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4BD99">
      <w:pPr>
        <w:adjustRightInd w:val="0"/>
        <w:snapToGrid w:val="0"/>
        <w:spacing w:line="360" w:lineRule="auto"/>
        <w:rPr>
          <w:rFonts w:hint="eastAsia" w:ascii="仿宋" w:hAnsi="仿宋" w:eastAsia="仿宋" w:cs="仿宋"/>
          <w:w w:val="80"/>
          <w:sz w:val="44"/>
          <w:szCs w:val="44"/>
          <w:highlight w:val="none"/>
          <w:lang w:bidi="th-TH"/>
        </w:rPr>
      </w:pPr>
    </w:p>
    <w:p w14:paraId="593F81D7">
      <w:pPr>
        <w:pStyle w:val="19"/>
        <w:adjustRightInd w:val="0"/>
        <w:snapToGrid w:val="0"/>
        <w:spacing w:line="360" w:lineRule="auto"/>
        <w:ind w:firstLine="0"/>
        <w:rPr>
          <w:rFonts w:hint="eastAsia" w:ascii="仿宋" w:hAnsi="仿宋" w:eastAsia="仿宋" w:cs="仿宋"/>
          <w:sz w:val="18"/>
          <w:szCs w:val="21"/>
          <w:highlight w:val="none"/>
        </w:rPr>
      </w:pPr>
    </w:p>
    <w:p w14:paraId="567121C1">
      <w:pPr>
        <w:rPr>
          <w:rFonts w:hint="eastAsia" w:ascii="仿宋" w:hAnsi="仿宋" w:eastAsia="仿宋" w:cs="仿宋"/>
          <w:sz w:val="18"/>
          <w:szCs w:val="21"/>
          <w:highlight w:val="none"/>
        </w:rPr>
      </w:pPr>
    </w:p>
    <w:p w14:paraId="7B91C72D">
      <w:pPr>
        <w:pStyle w:val="19"/>
        <w:adjustRightInd w:val="0"/>
        <w:snapToGrid w:val="0"/>
        <w:spacing w:line="360" w:lineRule="auto"/>
        <w:ind w:firstLine="0"/>
        <w:rPr>
          <w:rFonts w:hint="eastAsia" w:ascii="仿宋" w:hAnsi="仿宋" w:eastAsia="仿宋" w:cs="仿宋"/>
          <w:sz w:val="18"/>
          <w:szCs w:val="21"/>
          <w:highlight w:val="none"/>
        </w:rPr>
      </w:pPr>
    </w:p>
    <w:p w14:paraId="44B98F98">
      <w:pPr>
        <w:pStyle w:val="66"/>
        <w:widowControl w:val="0"/>
        <w:adjustRightInd w:val="0"/>
        <w:snapToGrid w:val="0"/>
        <w:spacing w:line="360" w:lineRule="auto"/>
        <w:ind w:firstLine="0"/>
        <w:jc w:val="center"/>
        <w:rPr>
          <w:rFonts w:hint="eastAsia" w:ascii="仿宋" w:hAnsi="仿宋" w:eastAsia="仿宋" w:cs="仿宋"/>
          <w:color w:val="000000" w:themeColor="text1"/>
          <w:sz w:val="44"/>
          <w:szCs w:val="44"/>
          <w:highlight w:val="none"/>
          <w:lang w:eastAsia="zh-CN"/>
          <w14:textFill>
            <w14:solidFill>
              <w14:schemeClr w14:val="tx1"/>
            </w14:solidFill>
          </w14:textFill>
        </w:rPr>
      </w:pPr>
      <w:r>
        <w:rPr>
          <w:rFonts w:hint="eastAsia" w:ascii="仿宋" w:hAnsi="仿宋" w:eastAsia="仿宋" w:cs="仿宋"/>
          <w:color w:val="000000" w:themeColor="text1"/>
          <w:sz w:val="44"/>
          <w:szCs w:val="44"/>
          <w:highlight w:val="none"/>
          <w:lang w:eastAsia="zh-CN"/>
          <w14:textFill>
            <w14:solidFill>
              <w14:schemeClr w14:val="tx1"/>
            </w14:solidFill>
          </w14:textFill>
        </w:rPr>
        <w:t>202</w:t>
      </w:r>
      <w:r>
        <w:rPr>
          <w:rFonts w:hint="eastAsia" w:ascii="仿宋" w:hAnsi="仿宋" w:eastAsia="仿宋" w:cs="仿宋"/>
          <w:color w:val="000000" w:themeColor="text1"/>
          <w:sz w:val="44"/>
          <w:szCs w:val="44"/>
          <w:highlight w:val="none"/>
          <w:lang w:val="en-US" w:eastAsia="zh-CN"/>
          <w14:textFill>
            <w14:solidFill>
              <w14:schemeClr w14:val="tx1"/>
            </w14:solidFill>
          </w14:textFill>
        </w:rPr>
        <w:t>5</w:t>
      </w:r>
      <w:r>
        <w:rPr>
          <w:rFonts w:hint="eastAsia" w:ascii="仿宋" w:hAnsi="仿宋" w:eastAsia="仿宋" w:cs="仿宋"/>
          <w:color w:val="000000" w:themeColor="text1"/>
          <w:sz w:val="44"/>
          <w:szCs w:val="44"/>
          <w:highlight w:val="none"/>
          <w:lang w:eastAsia="zh-CN"/>
          <w14:textFill>
            <w14:solidFill>
              <w14:schemeClr w14:val="tx1"/>
            </w14:solidFill>
          </w14:textFill>
        </w:rPr>
        <w:t>年度杭州市钱塘区政府投资项目</w:t>
      </w:r>
    </w:p>
    <w:p w14:paraId="0CFDFEEB">
      <w:pPr>
        <w:pStyle w:val="66"/>
        <w:widowControl w:val="0"/>
        <w:adjustRightInd w:val="0"/>
        <w:snapToGrid w:val="0"/>
        <w:spacing w:line="360" w:lineRule="auto"/>
        <w:ind w:firstLine="0"/>
        <w:jc w:val="center"/>
        <w:rPr>
          <w:rFonts w:hint="eastAsia" w:ascii="仿宋" w:hAnsi="仿宋" w:eastAsia="仿宋" w:cs="仿宋"/>
          <w:color w:val="000000" w:themeColor="text1"/>
          <w:sz w:val="40"/>
          <w:szCs w:val="40"/>
          <w:highlight w:val="none"/>
          <w:lang w:eastAsia="zh-CN"/>
          <w14:textFill>
            <w14:solidFill>
              <w14:schemeClr w14:val="tx1"/>
            </w14:solidFill>
          </w14:textFill>
        </w:rPr>
      </w:pPr>
      <w:r>
        <w:rPr>
          <w:rFonts w:hint="eastAsia" w:ascii="仿宋" w:hAnsi="仿宋" w:eastAsia="仿宋" w:cs="仿宋"/>
          <w:color w:val="000000" w:themeColor="text1"/>
          <w:sz w:val="44"/>
          <w:szCs w:val="44"/>
          <w:highlight w:val="none"/>
          <w:lang w:eastAsia="zh-CN"/>
          <w14:textFill>
            <w14:solidFill>
              <w14:schemeClr w14:val="tx1"/>
            </w14:solidFill>
          </w14:textFill>
        </w:rPr>
        <w:t>工程竣工财务决算审核服务</w:t>
      </w:r>
    </w:p>
    <w:p w14:paraId="09B0B5E7">
      <w:pPr>
        <w:adjustRightInd w:val="0"/>
        <w:snapToGrid w:val="0"/>
        <w:spacing w:line="360" w:lineRule="auto"/>
        <w:jc w:val="center"/>
        <w:rPr>
          <w:rFonts w:hint="eastAsia" w:ascii="仿宋" w:hAnsi="仿宋" w:eastAsia="仿宋" w:cs="仿宋"/>
          <w:b/>
          <w:szCs w:val="84"/>
          <w:highlight w:val="none"/>
        </w:rPr>
      </w:pPr>
    </w:p>
    <w:p w14:paraId="10EBD532">
      <w:pPr>
        <w:adjustRightInd w:val="0"/>
        <w:snapToGrid w:val="0"/>
        <w:spacing w:line="360" w:lineRule="auto"/>
        <w:jc w:val="center"/>
        <w:rPr>
          <w:rFonts w:hint="eastAsia" w:ascii="仿宋" w:hAnsi="仿宋" w:eastAsia="仿宋" w:cs="仿宋"/>
          <w:b/>
          <w:szCs w:val="84"/>
          <w:highlight w:val="none"/>
        </w:rPr>
      </w:pPr>
      <w:r>
        <w:rPr>
          <w:rFonts w:hint="eastAsia" w:ascii="仿宋" w:hAnsi="仿宋" w:eastAsia="仿宋" w:cs="仿宋"/>
          <w:b/>
          <w:szCs w:val="84"/>
          <w:highlight w:val="none"/>
        </w:rPr>
        <w:t>（电子招投标）</w:t>
      </w:r>
    </w:p>
    <w:p w14:paraId="74C130D2">
      <w:pPr>
        <w:pStyle w:val="18"/>
        <w:rPr>
          <w:rFonts w:hint="eastAsia" w:ascii="仿宋" w:hAnsi="仿宋" w:eastAsia="仿宋" w:cs="仿宋"/>
          <w:highlight w:val="none"/>
        </w:rPr>
      </w:pPr>
    </w:p>
    <w:p w14:paraId="2077CAA1">
      <w:pPr>
        <w:jc w:val="center"/>
        <w:rPr>
          <w:rFonts w:hint="eastAsia" w:ascii="仿宋" w:hAnsi="仿宋" w:eastAsia="仿宋" w:cs="仿宋"/>
          <w:b/>
          <w:szCs w:val="84"/>
          <w:highlight w:val="none"/>
        </w:rPr>
      </w:pPr>
    </w:p>
    <w:p w14:paraId="7617BBC6">
      <w:pPr>
        <w:jc w:val="center"/>
        <w:rPr>
          <w:rFonts w:hint="eastAsia" w:ascii="仿宋" w:hAnsi="仿宋" w:eastAsia="仿宋" w:cs="仿宋"/>
          <w:b/>
          <w:szCs w:val="84"/>
          <w:highlight w:val="none"/>
        </w:rPr>
      </w:pPr>
    </w:p>
    <w:p w14:paraId="55376B72">
      <w:pPr>
        <w:spacing w:line="360" w:lineRule="auto"/>
        <w:jc w:val="center"/>
        <w:rPr>
          <w:rFonts w:hint="eastAsia" w:ascii="仿宋" w:hAnsi="仿宋" w:eastAsia="仿宋" w:cs="仿宋"/>
          <w:b/>
          <w:sz w:val="84"/>
          <w:szCs w:val="84"/>
          <w:highlight w:val="none"/>
        </w:rPr>
      </w:pPr>
      <w:r>
        <w:rPr>
          <w:rFonts w:hint="eastAsia" w:ascii="仿宋" w:hAnsi="仿宋" w:eastAsia="仿宋" w:cs="仿宋"/>
          <w:b/>
          <w:spacing w:val="40"/>
          <w:w w:val="80"/>
          <w:sz w:val="96"/>
          <w:szCs w:val="96"/>
          <w:highlight w:val="none"/>
          <w:lang w:bidi="th-TH"/>
        </w:rPr>
        <w:t>采 购 文 件</w:t>
      </w:r>
    </w:p>
    <w:p w14:paraId="64DFFD09">
      <w:pPr>
        <w:jc w:val="center"/>
        <w:rPr>
          <w:rFonts w:hint="eastAsia" w:ascii="仿宋" w:hAnsi="仿宋" w:eastAsia="仿宋" w:cs="仿宋"/>
          <w:b/>
          <w:szCs w:val="84"/>
          <w:highlight w:val="none"/>
        </w:rPr>
      </w:pPr>
    </w:p>
    <w:p w14:paraId="43BC6B12">
      <w:pPr>
        <w:jc w:val="center"/>
        <w:rPr>
          <w:rFonts w:hint="eastAsia" w:ascii="仿宋" w:hAnsi="仿宋" w:eastAsia="仿宋" w:cs="仿宋"/>
          <w:b/>
          <w:szCs w:val="84"/>
          <w:highlight w:val="none"/>
        </w:rPr>
      </w:pPr>
    </w:p>
    <w:p w14:paraId="1976CA65">
      <w:pPr>
        <w:spacing w:line="360" w:lineRule="auto"/>
        <w:jc w:val="center"/>
        <w:rPr>
          <w:rFonts w:hint="eastAsia" w:ascii="仿宋" w:hAnsi="仿宋" w:eastAsia="仿宋" w:cs="仿宋"/>
          <w:b/>
          <w:w w:val="80"/>
          <w:sz w:val="36"/>
          <w:szCs w:val="36"/>
          <w:highlight w:val="none"/>
          <w:lang w:eastAsia="zh-CN" w:bidi="th-TH"/>
        </w:rPr>
      </w:pPr>
      <w:r>
        <w:rPr>
          <w:rFonts w:hint="eastAsia" w:ascii="仿宋" w:hAnsi="仿宋" w:eastAsia="仿宋" w:cs="仿宋"/>
          <w:b/>
          <w:w w:val="80"/>
          <w:sz w:val="36"/>
          <w:szCs w:val="36"/>
          <w:highlight w:val="none"/>
          <w:lang w:bidi="th-TH"/>
        </w:rPr>
        <w:t>项目编号：</w:t>
      </w:r>
      <w:r>
        <w:rPr>
          <w:rFonts w:hint="eastAsia" w:ascii="仿宋" w:hAnsi="仿宋" w:eastAsia="仿宋" w:cs="仿宋"/>
          <w:b/>
          <w:w w:val="80"/>
          <w:sz w:val="36"/>
          <w:szCs w:val="36"/>
          <w:highlight w:val="none"/>
          <w:lang w:eastAsia="zh-CN" w:bidi="th-TH"/>
        </w:rPr>
        <w:t>QTCG-GK-2025-091</w:t>
      </w:r>
    </w:p>
    <w:p w14:paraId="054295A7">
      <w:pPr>
        <w:pStyle w:val="26"/>
        <w:ind w:left="5250"/>
        <w:rPr>
          <w:rFonts w:hint="eastAsia" w:ascii="仿宋" w:hAnsi="仿宋" w:eastAsia="仿宋" w:cs="仿宋"/>
          <w:b/>
          <w:szCs w:val="28"/>
          <w:highlight w:val="none"/>
        </w:rPr>
      </w:pPr>
    </w:p>
    <w:p w14:paraId="6240FB64">
      <w:pPr>
        <w:rPr>
          <w:rFonts w:hint="eastAsia" w:ascii="仿宋" w:hAnsi="仿宋" w:eastAsia="仿宋" w:cs="仿宋"/>
          <w:b/>
          <w:highlight w:val="none"/>
        </w:rPr>
      </w:pPr>
    </w:p>
    <w:p w14:paraId="6735F26C">
      <w:pPr>
        <w:rPr>
          <w:rFonts w:hint="eastAsia" w:ascii="仿宋" w:hAnsi="仿宋" w:eastAsia="仿宋" w:cs="仿宋"/>
          <w:b/>
          <w:highlight w:val="none"/>
        </w:rPr>
      </w:pPr>
    </w:p>
    <w:p w14:paraId="7F817D17">
      <w:pPr>
        <w:pStyle w:val="62"/>
        <w:ind w:left="420"/>
        <w:rPr>
          <w:rFonts w:hint="eastAsia" w:ascii="仿宋" w:hAnsi="仿宋" w:eastAsia="仿宋" w:cs="仿宋"/>
          <w:highlight w:val="none"/>
        </w:rPr>
      </w:pPr>
    </w:p>
    <w:p w14:paraId="336F523F">
      <w:pPr>
        <w:rPr>
          <w:rFonts w:hint="eastAsia" w:ascii="仿宋" w:hAnsi="仿宋" w:eastAsia="仿宋" w:cs="仿宋"/>
          <w:b/>
          <w:highlight w:val="none"/>
        </w:rPr>
      </w:pPr>
    </w:p>
    <w:p w14:paraId="669A4C4E">
      <w:pPr>
        <w:rPr>
          <w:rFonts w:hint="eastAsia" w:ascii="仿宋" w:hAnsi="仿宋" w:eastAsia="仿宋" w:cs="仿宋"/>
          <w:b/>
          <w:highlight w:val="none"/>
        </w:rPr>
      </w:pPr>
    </w:p>
    <w:tbl>
      <w:tblPr>
        <w:tblStyle w:val="45"/>
        <w:tblW w:w="6244" w:type="dxa"/>
        <w:jc w:val="center"/>
        <w:tblLayout w:type="fixed"/>
        <w:tblCellMar>
          <w:top w:w="0" w:type="dxa"/>
          <w:left w:w="108" w:type="dxa"/>
          <w:bottom w:w="0" w:type="dxa"/>
          <w:right w:w="108" w:type="dxa"/>
        </w:tblCellMar>
      </w:tblPr>
      <w:tblGrid>
        <w:gridCol w:w="2160"/>
        <w:gridCol w:w="260"/>
        <w:gridCol w:w="3824"/>
      </w:tblGrid>
      <w:tr w14:paraId="4CDBA500">
        <w:tblPrEx>
          <w:tblCellMar>
            <w:top w:w="0" w:type="dxa"/>
            <w:left w:w="108" w:type="dxa"/>
            <w:bottom w:w="0" w:type="dxa"/>
            <w:right w:w="108" w:type="dxa"/>
          </w:tblCellMar>
        </w:tblPrEx>
        <w:trPr>
          <w:trHeight w:val="680" w:hRule="atLeast"/>
          <w:jc w:val="center"/>
        </w:trPr>
        <w:tc>
          <w:tcPr>
            <w:tcW w:w="2160" w:type="dxa"/>
            <w:noWrap/>
            <w:vAlign w:val="center"/>
          </w:tcPr>
          <w:p w14:paraId="31853B61">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采购人</w:t>
            </w:r>
          </w:p>
        </w:tc>
        <w:tc>
          <w:tcPr>
            <w:tcW w:w="260" w:type="dxa"/>
            <w:noWrap/>
            <w:vAlign w:val="center"/>
          </w:tcPr>
          <w:p w14:paraId="6DFE8798">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w:t>
            </w:r>
          </w:p>
        </w:tc>
        <w:tc>
          <w:tcPr>
            <w:tcW w:w="3824" w:type="dxa"/>
            <w:noWrap/>
            <w:vAlign w:val="center"/>
          </w:tcPr>
          <w:p w14:paraId="67BFC3A8">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杭州市钱塘区政府投资项目评审服务中心</w:t>
            </w:r>
          </w:p>
        </w:tc>
      </w:tr>
      <w:tr w14:paraId="750FC18D">
        <w:tblPrEx>
          <w:tblCellMar>
            <w:top w:w="0" w:type="dxa"/>
            <w:left w:w="108" w:type="dxa"/>
            <w:bottom w:w="0" w:type="dxa"/>
            <w:right w:w="108" w:type="dxa"/>
          </w:tblCellMar>
        </w:tblPrEx>
        <w:trPr>
          <w:trHeight w:val="297" w:hRule="atLeast"/>
          <w:jc w:val="center"/>
        </w:trPr>
        <w:tc>
          <w:tcPr>
            <w:tcW w:w="2160" w:type="dxa"/>
            <w:noWrap/>
            <w:vAlign w:val="center"/>
          </w:tcPr>
          <w:p w14:paraId="1EDCF32C">
            <w:pPr>
              <w:snapToGrid w:val="0"/>
              <w:jc w:val="distribute"/>
              <w:rPr>
                <w:rFonts w:hint="eastAsia" w:ascii="仿宋" w:hAnsi="仿宋" w:eastAsia="仿宋" w:cs="仿宋"/>
                <w:b/>
                <w:sz w:val="22"/>
                <w:szCs w:val="22"/>
                <w:highlight w:val="none"/>
              </w:rPr>
            </w:pPr>
          </w:p>
        </w:tc>
        <w:tc>
          <w:tcPr>
            <w:tcW w:w="260" w:type="dxa"/>
            <w:noWrap/>
            <w:vAlign w:val="center"/>
          </w:tcPr>
          <w:p w14:paraId="61524FE0">
            <w:pPr>
              <w:snapToGrid w:val="0"/>
              <w:jc w:val="distribute"/>
              <w:rPr>
                <w:rFonts w:hint="eastAsia" w:ascii="仿宋" w:hAnsi="仿宋" w:eastAsia="仿宋" w:cs="仿宋"/>
                <w:b/>
                <w:sz w:val="22"/>
                <w:szCs w:val="22"/>
                <w:highlight w:val="none"/>
              </w:rPr>
            </w:pPr>
          </w:p>
        </w:tc>
        <w:tc>
          <w:tcPr>
            <w:tcW w:w="3824" w:type="dxa"/>
            <w:noWrap/>
            <w:vAlign w:val="center"/>
          </w:tcPr>
          <w:p w14:paraId="7FA2E79F">
            <w:pPr>
              <w:snapToGrid w:val="0"/>
              <w:jc w:val="distribute"/>
              <w:rPr>
                <w:rFonts w:hint="eastAsia" w:ascii="仿宋" w:hAnsi="仿宋" w:eastAsia="仿宋" w:cs="仿宋"/>
                <w:b/>
                <w:sz w:val="22"/>
                <w:szCs w:val="22"/>
                <w:highlight w:val="none"/>
              </w:rPr>
            </w:pPr>
          </w:p>
        </w:tc>
      </w:tr>
      <w:tr w14:paraId="2E2D321E">
        <w:tblPrEx>
          <w:tblCellMar>
            <w:top w:w="0" w:type="dxa"/>
            <w:left w:w="108" w:type="dxa"/>
            <w:bottom w:w="0" w:type="dxa"/>
            <w:right w:w="108" w:type="dxa"/>
          </w:tblCellMar>
        </w:tblPrEx>
        <w:trPr>
          <w:trHeight w:val="680" w:hRule="atLeast"/>
          <w:jc w:val="center"/>
        </w:trPr>
        <w:tc>
          <w:tcPr>
            <w:tcW w:w="2160" w:type="dxa"/>
            <w:noWrap/>
            <w:vAlign w:val="center"/>
          </w:tcPr>
          <w:p w14:paraId="3DA6F746">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采购代理机构</w:t>
            </w:r>
          </w:p>
        </w:tc>
        <w:tc>
          <w:tcPr>
            <w:tcW w:w="260" w:type="dxa"/>
            <w:noWrap/>
            <w:vAlign w:val="center"/>
          </w:tcPr>
          <w:p w14:paraId="3A7C2867">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w:t>
            </w:r>
          </w:p>
        </w:tc>
        <w:tc>
          <w:tcPr>
            <w:tcW w:w="3824" w:type="dxa"/>
            <w:noWrap/>
            <w:vAlign w:val="center"/>
          </w:tcPr>
          <w:p w14:paraId="27FD30E6">
            <w:pPr>
              <w:snapToGrid w:val="0"/>
              <w:jc w:val="distribute"/>
              <w:rPr>
                <w:rFonts w:hint="eastAsia" w:ascii="仿宋" w:hAnsi="仿宋" w:eastAsia="仿宋" w:cs="仿宋"/>
                <w:b/>
                <w:sz w:val="32"/>
                <w:szCs w:val="32"/>
                <w:highlight w:val="none"/>
              </w:rPr>
            </w:pPr>
            <w:r>
              <w:rPr>
                <w:rFonts w:hint="eastAsia" w:ascii="仿宋" w:hAnsi="仿宋" w:eastAsia="仿宋" w:cs="仿宋"/>
                <w:b/>
                <w:color w:val="000000" w:themeColor="text1"/>
                <w:sz w:val="32"/>
                <w:szCs w:val="32"/>
                <w:highlight w:val="none"/>
                <w14:textFill>
                  <w14:solidFill>
                    <w14:schemeClr w14:val="tx1"/>
                  </w14:solidFill>
                </w14:textFill>
              </w:rPr>
              <w:t>浙江国际招投标有限公司</w:t>
            </w:r>
          </w:p>
        </w:tc>
      </w:tr>
      <w:tr w14:paraId="5AE28526">
        <w:tblPrEx>
          <w:tblCellMar>
            <w:top w:w="0" w:type="dxa"/>
            <w:left w:w="108" w:type="dxa"/>
            <w:bottom w:w="0" w:type="dxa"/>
            <w:right w:w="108" w:type="dxa"/>
          </w:tblCellMar>
        </w:tblPrEx>
        <w:trPr>
          <w:trHeight w:val="462" w:hRule="atLeast"/>
          <w:jc w:val="center"/>
        </w:trPr>
        <w:tc>
          <w:tcPr>
            <w:tcW w:w="2160" w:type="dxa"/>
            <w:noWrap/>
            <w:vAlign w:val="center"/>
          </w:tcPr>
          <w:p w14:paraId="30BBAA1F">
            <w:pPr>
              <w:snapToGrid w:val="0"/>
              <w:jc w:val="distribute"/>
              <w:rPr>
                <w:rFonts w:hint="eastAsia" w:ascii="仿宋" w:hAnsi="仿宋" w:eastAsia="仿宋" w:cs="仿宋"/>
                <w:b/>
                <w:sz w:val="30"/>
                <w:szCs w:val="30"/>
                <w:highlight w:val="none"/>
              </w:rPr>
            </w:pPr>
          </w:p>
        </w:tc>
        <w:tc>
          <w:tcPr>
            <w:tcW w:w="260" w:type="dxa"/>
            <w:noWrap/>
            <w:vAlign w:val="center"/>
          </w:tcPr>
          <w:p w14:paraId="294FA013">
            <w:pPr>
              <w:snapToGrid w:val="0"/>
              <w:jc w:val="distribute"/>
              <w:rPr>
                <w:rFonts w:hint="eastAsia" w:ascii="仿宋" w:hAnsi="仿宋" w:eastAsia="仿宋" w:cs="仿宋"/>
                <w:b/>
                <w:sz w:val="30"/>
                <w:szCs w:val="30"/>
                <w:highlight w:val="none"/>
              </w:rPr>
            </w:pPr>
          </w:p>
        </w:tc>
        <w:tc>
          <w:tcPr>
            <w:tcW w:w="3824" w:type="dxa"/>
            <w:noWrap/>
            <w:vAlign w:val="center"/>
          </w:tcPr>
          <w:p w14:paraId="6623A4FF">
            <w:pPr>
              <w:snapToGrid w:val="0"/>
              <w:jc w:val="distribute"/>
              <w:rPr>
                <w:rFonts w:hint="eastAsia" w:ascii="仿宋" w:hAnsi="仿宋" w:eastAsia="仿宋" w:cs="仿宋"/>
                <w:b/>
                <w:sz w:val="30"/>
                <w:szCs w:val="30"/>
                <w:highlight w:val="none"/>
              </w:rPr>
            </w:pPr>
          </w:p>
        </w:tc>
      </w:tr>
      <w:tr w14:paraId="545DB6A9">
        <w:tblPrEx>
          <w:tblCellMar>
            <w:top w:w="0" w:type="dxa"/>
            <w:left w:w="108" w:type="dxa"/>
            <w:bottom w:w="0" w:type="dxa"/>
            <w:right w:w="108" w:type="dxa"/>
          </w:tblCellMar>
        </w:tblPrEx>
        <w:trPr>
          <w:trHeight w:val="680" w:hRule="atLeast"/>
          <w:jc w:val="center"/>
        </w:trPr>
        <w:tc>
          <w:tcPr>
            <w:tcW w:w="6244" w:type="dxa"/>
            <w:gridSpan w:val="3"/>
            <w:noWrap/>
            <w:vAlign w:val="bottom"/>
          </w:tcPr>
          <w:p w14:paraId="06EB50EF">
            <w:pPr>
              <w:snapToGrid w:val="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2025年0</w:t>
            </w:r>
            <w:r>
              <w:rPr>
                <w:rFonts w:hint="eastAsia" w:ascii="仿宋" w:hAnsi="仿宋" w:eastAsia="仿宋" w:cs="仿宋"/>
                <w:b/>
                <w:sz w:val="30"/>
                <w:szCs w:val="30"/>
                <w:highlight w:val="none"/>
                <w:lang w:val="en-US" w:eastAsia="zh-CN"/>
              </w:rPr>
              <w:t>6</w:t>
            </w:r>
            <w:r>
              <w:rPr>
                <w:rFonts w:hint="eastAsia" w:ascii="仿宋" w:hAnsi="仿宋" w:eastAsia="仿宋" w:cs="仿宋"/>
                <w:b/>
                <w:sz w:val="30"/>
                <w:szCs w:val="30"/>
                <w:highlight w:val="none"/>
              </w:rPr>
              <w:t>月</w:t>
            </w:r>
          </w:p>
        </w:tc>
      </w:tr>
    </w:tbl>
    <w:p w14:paraId="70DC0265">
      <w:pPr>
        <w:pStyle w:val="24"/>
        <w:spacing w:line="360" w:lineRule="auto"/>
        <w:jc w:val="center"/>
        <w:rPr>
          <w:rFonts w:hint="eastAsia" w:ascii="仿宋" w:hAnsi="仿宋" w:eastAsia="仿宋" w:cs="仿宋"/>
          <w:b/>
          <w:sz w:val="32"/>
          <w:szCs w:val="32"/>
          <w:highlight w:val="none"/>
        </w:rPr>
      </w:pPr>
      <w:r>
        <w:rPr>
          <w:rFonts w:hint="eastAsia" w:ascii="仿宋" w:hAnsi="仿宋" w:eastAsia="仿宋" w:cs="仿宋"/>
          <w:b/>
          <w:sz w:val="48"/>
          <w:szCs w:val="48"/>
          <w:highlight w:val="none"/>
        </w:rPr>
        <w:br w:type="page"/>
      </w:r>
      <w:r>
        <w:rPr>
          <w:rFonts w:hint="eastAsia" w:ascii="仿宋" w:hAnsi="仿宋" w:eastAsia="仿宋" w:cs="仿宋"/>
          <w:b/>
          <w:sz w:val="32"/>
          <w:szCs w:val="32"/>
          <w:highlight w:val="none"/>
        </w:rPr>
        <w:t>目    录</w:t>
      </w:r>
    </w:p>
    <w:p w14:paraId="1A50DFAE">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b/>
          <w:caps w:val="0"/>
          <w:sz w:val="21"/>
          <w:szCs w:val="21"/>
          <w:highlight w:val="none"/>
        </w:rPr>
        <w:fldChar w:fldCharType="begin"/>
      </w:r>
      <w:r>
        <w:rPr>
          <w:rFonts w:hint="eastAsia" w:ascii="仿宋" w:hAnsi="仿宋" w:eastAsia="仿宋" w:cs="仿宋"/>
          <w:b/>
          <w:caps w:val="0"/>
          <w:sz w:val="21"/>
          <w:szCs w:val="21"/>
          <w:highlight w:val="none"/>
        </w:rPr>
        <w:instrText xml:space="preserve"> TOC \o "1-2" \u </w:instrText>
      </w:r>
      <w:r>
        <w:rPr>
          <w:rFonts w:hint="eastAsia" w:ascii="仿宋" w:hAnsi="仿宋" w:eastAsia="仿宋" w:cs="仿宋"/>
          <w:b/>
          <w:caps w:val="0"/>
          <w:sz w:val="21"/>
          <w:szCs w:val="21"/>
          <w:highlight w:val="none"/>
        </w:rPr>
        <w:fldChar w:fldCharType="separate"/>
      </w:r>
      <w:r>
        <w:rPr>
          <w:rFonts w:hint="eastAsia" w:ascii="仿宋" w:hAnsi="仿宋" w:eastAsia="仿宋" w:cs="仿宋"/>
          <w:sz w:val="24"/>
          <w:szCs w:val="40"/>
          <w:highlight w:val="none"/>
        </w:rPr>
        <w:t>第一部分  采购公告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_Toc13451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p>
    <w:p w14:paraId="034B281C">
      <w:pPr>
        <w:pStyle w:val="37"/>
        <w:tabs>
          <w:tab w:val="right" w:leader="dot" w:pos="8306"/>
          <w:tab w:val="clear" w:pos="8720"/>
        </w:tabs>
        <w:spacing w:line="360" w:lineRule="auto"/>
        <w:ind w:firstLine="264" w:firstLineChars="110"/>
        <w:rPr>
          <w:rFonts w:hint="eastAsia" w:ascii="仿宋" w:hAnsi="仿宋" w:eastAsia="仿宋" w:cs="仿宋"/>
          <w:sz w:val="24"/>
          <w:szCs w:val="24"/>
          <w:highlight w:val="none"/>
        </w:rPr>
      </w:pPr>
      <w:r>
        <w:rPr>
          <w:rFonts w:hint="eastAsia" w:ascii="仿宋" w:hAnsi="仿宋" w:eastAsia="仿宋" w:cs="仿宋"/>
          <w:sz w:val="24"/>
          <w:szCs w:val="40"/>
          <w:highlight w:val="none"/>
        </w:rPr>
        <w:t>前 附 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_Toc1014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p>
    <w:p w14:paraId="2316D740">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40"/>
          <w:highlight w:val="none"/>
        </w:rPr>
        <w:t>第二部分  投标须知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_Toc28292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w:t>
      </w:r>
      <w:r>
        <w:rPr>
          <w:rFonts w:hint="eastAsia" w:ascii="仿宋" w:hAnsi="仿宋" w:eastAsia="仿宋" w:cs="仿宋"/>
          <w:sz w:val="24"/>
          <w:szCs w:val="24"/>
          <w:highlight w:val="none"/>
        </w:rPr>
        <w:fldChar w:fldCharType="end"/>
      </w:r>
    </w:p>
    <w:p w14:paraId="2586E096">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40"/>
          <w:highlight w:val="none"/>
        </w:rPr>
        <w:t>第三部分  采购需求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_Toc11107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29</w:t>
      </w:r>
      <w:r>
        <w:rPr>
          <w:rFonts w:hint="eastAsia" w:ascii="仿宋" w:hAnsi="仿宋" w:eastAsia="仿宋" w:cs="仿宋"/>
          <w:sz w:val="24"/>
          <w:szCs w:val="24"/>
          <w:highlight w:val="none"/>
        </w:rPr>
        <w:fldChar w:fldCharType="end"/>
      </w:r>
    </w:p>
    <w:p w14:paraId="0020B8E0">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40"/>
          <w:highlight w:val="none"/>
        </w:rPr>
        <w:t>第四部分  评标办法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_Toc25398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37</w:t>
      </w:r>
      <w:r>
        <w:rPr>
          <w:rFonts w:hint="eastAsia" w:ascii="仿宋" w:hAnsi="仿宋" w:eastAsia="仿宋" w:cs="仿宋"/>
          <w:sz w:val="24"/>
          <w:szCs w:val="24"/>
          <w:highlight w:val="none"/>
        </w:rPr>
        <w:fldChar w:fldCharType="end"/>
      </w:r>
    </w:p>
    <w:p w14:paraId="039F4BF2">
      <w:pPr>
        <w:pStyle w:val="37"/>
        <w:tabs>
          <w:tab w:val="right" w:leader="dot" w:pos="8306"/>
          <w:tab w:val="clear" w:pos="8720"/>
        </w:tabs>
        <w:spacing w:line="360" w:lineRule="auto"/>
        <w:ind w:firstLine="264" w:firstLineChars="110"/>
        <w:rPr>
          <w:rFonts w:hint="eastAsia" w:ascii="仿宋" w:hAnsi="仿宋" w:eastAsia="仿宋" w:cs="仿宋"/>
          <w:sz w:val="24"/>
          <w:szCs w:val="24"/>
          <w:highlight w:val="none"/>
        </w:rPr>
      </w:pPr>
      <w:r>
        <w:rPr>
          <w:rFonts w:hint="eastAsia" w:ascii="仿宋" w:hAnsi="仿宋" w:eastAsia="仿宋" w:cs="仿宋"/>
          <w:sz w:val="24"/>
          <w:szCs w:val="36"/>
          <w:highlight w:val="none"/>
        </w:rPr>
        <w:t>评标办法前附表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_Toc11969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37</w:t>
      </w:r>
      <w:r>
        <w:rPr>
          <w:rFonts w:hint="eastAsia" w:ascii="仿宋" w:hAnsi="仿宋" w:eastAsia="仿宋" w:cs="仿宋"/>
          <w:sz w:val="24"/>
          <w:szCs w:val="24"/>
          <w:highlight w:val="none"/>
        </w:rPr>
        <w:fldChar w:fldCharType="end"/>
      </w:r>
    </w:p>
    <w:p w14:paraId="2AE5692E">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40"/>
          <w:highlight w:val="none"/>
        </w:rPr>
        <w:t>第五部分  合同条款</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_Toc2880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47</w:t>
      </w:r>
      <w:r>
        <w:rPr>
          <w:rFonts w:hint="eastAsia" w:ascii="仿宋" w:hAnsi="仿宋" w:eastAsia="仿宋" w:cs="仿宋"/>
          <w:sz w:val="24"/>
          <w:szCs w:val="24"/>
          <w:highlight w:val="none"/>
        </w:rPr>
        <w:fldChar w:fldCharType="end"/>
      </w:r>
    </w:p>
    <w:p w14:paraId="591E5EA5">
      <w:pPr>
        <w:pStyle w:val="32"/>
        <w:tabs>
          <w:tab w:val="right" w:leader="dot" w:pos="8306"/>
          <w:tab w:val="clear" w:pos="8720"/>
        </w:tabs>
        <w:adjustRightInd w:val="0"/>
        <w:snapToGrid w:val="0"/>
        <w:spacing w:line="360" w:lineRule="auto"/>
        <w:rPr>
          <w:rFonts w:hint="eastAsia" w:ascii="仿宋" w:hAnsi="仿宋" w:eastAsia="仿宋" w:cs="仿宋"/>
          <w:highlight w:val="none"/>
        </w:rPr>
      </w:pPr>
      <w:r>
        <w:rPr>
          <w:rFonts w:hint="eastAsia" w:ascii="仿宋" w:hAnsi="仿宋" w:eastAsia="仿宋" w:cs="仿宋"/>
          <w:sz w:val="24"/>
          <w:szCs w:val="40"/>
          <w:highlight w:val="none"/>
        </w:rPr>
        <w:t>第六部分  投标文件格式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_Toc21370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57</w:t>
      </w:r>
      <w:r>
        <w:rPr>
          <w:rFonts w:hint="eastAsia" w:ascii="仿宋" w:hAnsi="仿宋" w:eastAsia="仿宋" w:cs="仿宋"/>
          <w:sz w:val="24"/>
          <w:szCs w:val="24"/>
          <w:highlight w:val="none"/>
        </w:rPr>
        <w:fldChar w:fldCharType="end"/>
      </w:r>
    </w:p>
    <w:p w14:paraId="11081C0E">
      <w:pPr>
        <w:pStyle w:val="37"/>
        <w:tabs>
          <w:tab w:val="right" w:leader="dot" w:pos="8306"/>
          <w:tab w:val="clear" w:pos="8720"/>
        </w:tabs>
        <w:rPr>
          <w:rFonts w:hint="eastAsia" w:ascii="仿宋" w:hAnsi="仿宋" w:eastAsia="仿宋" w:cs="仿宋"/>
          <w:highlight w:val="none"/>
        </w:rPr>
      </w:pPr>
    </w:p>
    <w:p w14:paraId="012B3F43">
      <w:pPr>
        <w:pStyle w:val="32"/>
        <w:tabs>
          <w:tab w:val="right" w:leader="dot" w:pos="8306"/>
          <w:tab w:val="clear" w:pos="8720"/>
        </w:tabs>
        <w:rPr>
          <w:rFonts w:hint="eastAsia" w:ascii="仿宋" w:hAnsi="仿宋" w:eastAsia="仿宋" w:cs="仿宋"/>
          <w:highlight w:val="none"/>
        </w:rPr>
      </w:pPr>
    </w:p>
    <w:p w14:paraId="2561B455">
      <w:pPr>
        <w:jc w:val="center"/>
        <w:rPr>
          <w:rFonts w:hint="eastAsia" w:ascii="仿宋" w:hAnsi="仿宋" w:eastAsia="仿宋" w:cs="仿宋"/>
          <w:szCs w:val="21"/>
          <w:highlight w:val="none"/>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仿宋" w:hAnsi="仿宋" w:eastAsia="仿宋" w:cs="仿宋"/>
          <w:szCs w:val="21"/>
          <w:highlight w:val="none"/>
        </w:rPr>
        <w:fldChar w:fldCharType="end"/>
      </w:r>
    </w:p>
    <w:p w14:paraId="584633DA">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bookmarkStart w:id="0" w:name="_Toc21665"/>
      <w:bookmarkStart w:id="1" w:name="_Toc13451"/>
      <w:r>
        <w:rPr>
          <w:rFonts w:hint="eastAsia" w:ascii="仿宋" w:hAnsi="仿宋" w:eastAsia="仿宋" w:cs="仿宋"/>
          <w:b/>
          <w:sz w:val="30"/>
          <w:szCs w:val="30"/>
          <w:highlight w:val="none"/>
        </w:rPr>
        <w:t>第一部分  采购公告</w:t>
      </w:r>
      <w:bookmarkEnd w:id="0"/>
      <w:bookmarkEnd w:id="1"/>
    </w:p>
    <w:p w14:paraId="57ED19EA">
      <w:pPr>
        <w:pBdr>
          <w:top w:val="single" w:color="auto" w:sz="4" w:space="1"/>
          <w:left w:val="single" w:color="auto" w:sz="4" w:space="0"/>
          <w:bottom w:val="single" w:color="auto" w:sz="4" w:space="3"/>
          <w:right w:val="single" w:color="auto" w:sz="4" w:space="4"/>
        </w:pBd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项目概况                                                    </w:t>
      </w:r>
    </w:p>
    <w:p w14:paraId="7C8939D2">
      <w:pPr>
        <w:pBdr>
          <w:top w:val="single" w:color="auto" w:sz="4" w:space="1"/>
          <w:left w:val="single" w:color="auto" w:sz="4" w:space="0"/>
          <w:bottom w:val="single" w:color="auto" w:sz="4" w:space="3"/>
          <w:right w:val="single" w:color="auto" w:sz="4" w:space="4"/>
        </w:pBd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2025年度杭州市钱塘区政府投资项目工程竣工财务决算审核服务</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招标项目的潜在投标人应在政采云平台线上获取（下载）招标文件，并于 2025年</w:t>
      </w:r>
      <w:r>
        <w:rPr>
          <w:rFonts w:hint="eastAsia" w:ascii="仿宋" w:hAnsi="仿宋" w:eastAsia="仿宋" w:cs="仿宋"/>
          <w:kern w:val="0"/>
          <w:sz w:val="24"/>
          <w:highlight w:val="none"/>
          <w:lang w:val="en-US" w:eastAsia="zh-CN"/>
        </w:rPr>
        <w:t>07月10日</w:t>
      </w:r>
      <w:r>
        <w:rPr>
          <w:rFonts w:hint="eastAsia" w:ascii="仿宋" w:hAnsi="仿宋" w:eastAsia="仿宋" w:cs="仿宋"/>
          <w:kern w:val="0"/>
          <w:sz w:val="24"/>
          <w:highlight w:val="none"/>
        </w:rPr>
        <w:t xml:space="preserve"> 09:30（北京时间）前递交（上传）投标文件。      </w:t>
      </w:r>
    </w:p>
    <w:p w14:paraId="33E88287">
      <w:pPr>
        <w:pStyle w:val="41"/>
        <w:adjustRightInd w:val="0"/>
        <w:snapToGrid w:val="0"/>
        <w:spacing w:beforeAutospacing="0" w:afterAutospacing="0" w:line="360" w:lineRule="auto"/>
        <w:jc w:val="both"/>
        <w:rPr>
          <w:rFonts w:hint="eastAsia" w:ascii="仿宋" w:hAnsi="仿宋" w:eastAsia="仿宋" w:cs="仿宋"/>
          <w:sz w:val="24"/>
          <w:szCs w:val="24"/>
          <w:highlight w:val="none"/>
        </w:rPr>
      </w:pPr>
    </w:p>
    <w:p w14:paraId="4C88A59E">
      <w:pPr>
        <w:pStyle w:val="41"/>
        <w:adjustRightInd w:val="0"/>
        <w:snapToGrid w:val="0"/>
        <w:spacing w:beforeAutospacing="0" w:afterAutospacing="0" w:line="360" w:lineRule="auto"/>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rPr>
        <w:t>一、项目基本情况</w:t>
      </w:r>
    </w:p>
    <w:p w14:paraId="4E8ED518">
      <w:pPr>
        <w:pStyle w:val="41"/>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QTCG-GK-2025-091</w:t>
      </w:r>
    </w:p>
    <w:p w14:paraId="15DFF480">
      <w:pPr>
        <w:pStyle w:val="41"/>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2025年度杭州市钱塘区政府投资项目工程竣工财务决算审核服务</w:t>
      </w:r>
    </w:p>
    <w:p w14:paraId="3C178CAF">
      <w:pPr>
        <w:pStyle w:val="41"/>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2180000</w:t>
      </w:r>
    </w:p>
    <w:p w14:paraId="43A81704">
      <w:pPr>
        <w:pStyle w:val="41"/>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w:t>
      </w:r>
    </w:p>
    <w:p w14:paraId="7302649F">
      <w:pPr>
        <w:pStyle w:val="41"/>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采购需求：</w:t>
      </w:r>
    </w:p>
    <w:p w14:paraId="1334A68D">
      <w:pPr>
        <w:pStyle w:val="41"/>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rPr>
      </w:pPr>
    </w:p>
    <w:p w14:paraId="11B646BA">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标项一</w:t>
      </w:r>
    </w:p>
    <w:p w14:paraId="741EB02D">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标项名称：</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年度杭州市钱塘区政府投资项目工程竣工财务决算审核服务</w:t>
      </w:r>
      <w:r>
        <w:rPr>
          <w:rFonts w:hint="eastAsia" w:ascii="仿宋" w:hAnsi="仿宋" w:eastAsia="仿宋" w:cs="仿宋"/>
          <w:sz w:val="24"/>
          <w:szCs w:val="24"/>
          <w:highlight w:val="none"/>
          <w:lang w:val="en-US" w:eastAsia="zh-CN"/>
        </w:rPr>
        <w:t>标项一</w:t>
      </w:r>
    </w:p>
    <w:p w14:paraId="395D9AFB">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中小企业政策： 中小企业预留</w:t>
      </w:r>
    </w:p>
    <w:p w14:paraId="75F62FC2">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数量：不限</w:t>
      </w:r>
    </w:p>
    <w:p w14:paraId="5FCAFFDC">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860000</w:t>
      </w:r>
    </w:p>
    <w:p w14:paraId="2A120E2F">
      <w:pPr>
        <w:pStyle w:val="41"/>
        <w:adjustRightInd w:val="0"/>
        <w:snapToGrid w:val="0"/>
        <w:spacing w:beforeAutospacing="0" w:afterAutospacing="0"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简要规格描述或项目基本概况介绍、用途：</w:t>
      </w:r>
      <w:r>
        <w:rPr>
          <w:rFonts w:hint="eastAsia" w:ascii="仿宋" w:hAnsi="仿宋" w:eastAsia="仿宋" w:cs="仿宋"/>
          <w:color w:val="auto"/>
          <w:sz w:val="24"/>
          <w:szCs w:val="24"/>
          <w:highlight w:val="none"/>
        </w:rPr>
        <w:t>根据采购人要求，</w:t>
      </w:r>
      <w:r>
        <w:rPr>
          <w:rFonts w:hint="eastAsia" w:ascii="仿宋" w:hAnsi="仿宋" w:eastAsia="仿宋" w:cs="仿宋"/>
          <w:b w:val="0"/>
          <w:bCs/>
          <w:sz w:val="24"/>
          <w:highlight w:val="none"/>
          <w:vertAlign w:val="baseline"/>
          <w:lang w:eastAsia="zh-CN"/>
        </w:rPr>
        <w:t>提供202</w:t>
      </w:r>
      <w:r>
        <w:rPr>
          <w:rFonts w:hint="eastAsia" w:ascii="仿宋" w:hAnsi="仿宋" w:eastAsia="仿宋" w:cs="仿宋"/>
          <w:b w:val="0"/>
          <w:bCs/>
          <w:sz w:val="24"/>
          <w:highlight w:val="none"/>
          <w:vertAlign w:val="baseline"/>
          <w:lang w:val="en-US" w:eastAsia="zh-CN"/>
        </w:rPr>
        <w:t>5</w:t>
      </w:r>
      <w:r>
        <w:rPr>
          <w:rFonts w:hint="eastAsia" w:ascii="仿宋" w:hAnsi="仿宋" w:eastAsia="仿宋" w:cs="仿宋"/>
          <w:b w:val="0"/>
          <w:bCs/>
          <w:sz w:val="24"/>
          <w:highlight w:val="none"/>
          <w:vertAlign w:val="baseline"/>
          <w:lang w:eastAsia="zh-CN"/>
        </w:rPr>
        <w:t>年度杭州市钱塘区政府投资项目工程竣工财务决算审核服务</w:t>
      </w:r>
      <w:r>
        <w:rPr>
          <w:rFonts w:hint="eastAsia" w:ascii="仿宋" w:hAnsi="仿宋" w:eastAsia="仿宋" w:cs="仿宋"/>
          <w:color w:val="auto"/>
          <w:sz w:val="24"/>
          <w:szCs w:val="24"/>
          <w:highlight w:val="none"/>
          <w:lang w:val="en-US" w:eastAsia="zh-CN"/>
        </w:rPr>
        <w:t>。该标项以</w:t>
      </w:r>
      <w:r>
        <w:rPr>
          <w:rFonts w:hint="eastAsia" w:ascii="仿宋" w:hAnsi="仿宋" w:eastAsia="仿宋" w:cs="仿宋"/>
          <w:color w:val="auto"/>
          <w:sz w:val="24"/>
          <w:highlight w:val="none"/>
          <w:lang w:val="en-US" w:eastAsia="zh-CN"/>
        </w:rPr>
        <w:t>各街道、区建投集团下属大江东建发公司及金沙湖投发公司实施及代建类政府投资项目工程竣工财务决算审核服务</w:t>
      </w:r>
      <w:r>
        <w:rPr>
          <w:rFonts w:hint="eastAsia" w:ascii="仿宋" w:hAnsi="仿宋" w:eastAsia="仿宋" w:cs="仿宋"/>
          <w:color w:val="auto"/>
          <w:sz w:val="24"/>
          <w:szCs w:val="24"/>
          <w:highlight w:val="none"/>
          <w:lang w:val="en-US" w:eastAsia="zh-CN"/>
        </w:rPr>
        <w:t>为主，具体服务内容以采购人待审核的实际任务为准。详见采购文件</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供应商可点击本公告下方“浏览采购文件”查看采购需求。</w:t>
      </w:r>
    </w:p>
    <w:p w14:paraId="0680D200">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6AFF707D">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p>
    <w:p w14:paraId="7C24F41A">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标项二</w:t>
      </w:r>
    </w:p>
    <w:p w14:paraId="79C92F4A">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标项名称：</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年度杭州市钱塘区政府投资项目工程竣工财务决算审核服务</w:t>
      </w:r>
      <w:r>
        <w:rPr>
          <w:rFonts w:hint="eastAsia" w:ascii="仿宋" w:hAnsi="仿宋" w:eastAsia="仿宋" w:cs="仿宋"/>
          <w:sz w:val="24"/>
          <w:szCs w:val="24"/>
          <w:highlight w:val="none"/>
          <w:lang w:val="en-US" w:eastAsia="zh-CN"/>
        </w:rPr>
        <w:t>标项二</w:t>
      </w:r>
    </w:p>
    <w:p w14:paraId="4FFEB026">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中小企业政策： 中小企业预留</w:t>
      </w:r>
    </w:p>
    <w:p w14:paraId="1AD29595">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数量：不限</w:t>
      </w:r>
    </w:p>
    <w:p w14:paraId="1A51B620">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预算金额（元）: </w:t>
      </w:r>
      <w:r>
        <w:rPr>
          <w:rFonts w:hint="eastAsia" w:ascii="仿宋" w:hAnsi="仿宋" w:eastAsia="仿宋" w:cs="仿宋"/>
          <w:sz w:val="24"/>
          <w:szCs w:val="24"/>
          <w:highlight w:val="none"/>
          <w:lang w:val="en-US" w:eastAsia="zh-CN"/>
        </w:rPr>
        <w:t>700000</w:t>
      </w:r>
    </w:p>
    <w:p w14:paraId="640A1C63">
      <w:pPr>
        <w:pStyle w:val="41"/>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简要规格描述或项目基本概况介绍、用途：</w:t>
      </w:r>
      <w:r>
        <w:rPr>
          <w:rFonts w:hint="eastAsia" w:ascii="仿宋" w:hAnsi="仿宋" w:eastAsia="仿宋" w:cs="仿宋"/>
          <w:color w:val="auto"/>
          <w:sz w:val="24"/>
          <w:szCs w:val="24"/>
          <w:highlight w:val="none"/>
        </w:rPr>
        <w:t>根据采购人要求，</w:t>
      </w:r>
      <w:r>
        <w:rPr>
          <w:rFonts w:hint="eastAsia" w:ascii="仿宋" w:hAnsi="仿宋" w:eastAsia="仿宋" w:cs="仿宋"/>
          <w:b w:val="0"/>
          <w:bCs/>
          <w:sz w:val="24"/>
          <w:highlight w:val="none"/>
          <w:vertAlign w:val="baseline"/>
          <w:lang w:eastAsia="zh-CN"/>
        </w:rPr>
        <w:t>提供202</w:t>
      </w:r>
      <w:r>
        <w:rPr>
          <w:rFonts w:hint="eastAsia" w:ascii="仿宋" w:hAnsi="仿宋" w:eastAsia="仿宋" w:cs="仿宋"/>
          <w:b w:val="0"/>
          <w:bCs/>
          <w:sz w:val="24"/>
          <w:highlight w:val="none"/>
          <w:vertAlign w:val="baseline"/>
          <w:lang w:val="en-US" w:eastAsia="zh-CN"/>
        </w:rPr>
        <w:t>5</w:t>
      </w:r>
      <w:r>
        <w:rPr>
          <w:rFonts w:hint="eastAsia" w:ascii="仿宋" w:hAnsi="仿宋" w:eastAsia="仿宋" w:cs="仿宋"/>
          <w:b w:val="0"/>
          <w:bCs/>
          <w:sz w:val="24"/>
          <w:highlight w:val="none"/>
          <w:vertAlign w:val="baseline"/>
          <w:lang w:eastAsia="zh-CN"/>
        </w:rPr>
        <w:t>年度杭州市钱塘区政府投资项目工程竣工财务决算审核服务</w:t>
      </w:r>
      <w:r>
        <w:rPr>
          <w:rFonts w:hint="eastAsia" w:ascii="仿宋" w:hAnsi="仿宋" w:eastAsia="仿宋" w:cs="仿宋"/>
          <w:color w:val="auto"/>
          <w:sz w:val="24"/>
          <w:szCs w:val="24"/>
          <w:highlight w:val="none"/>
          <w:lang w:val="en-US" w:eastAsia="zh-CN"/>
        </w:rPr>
        <w:t>。该标项以</w:t>
      </w:r>
      <w:r>
        <w:rPr>
          <w:rFonts w:hint="eastAsia" w:ascii="仿宋" w:hAnsi="仿宋" w:eastAsia="仿宋" w:cs="仿宋"/>
          <w:color w:val="auto"/>
          <w:sz w:val="24"/>
          <w:highlight w:val="none"/>
          <w:lang w:val="en-US" w:eastAsia="zh-CN"/>
        </w:rPr>
        <w:t>区产城中心、区产业集团、区城发集团、区建投集团（除下属大江东建发公司及金沙湖投发公司实施及代建类政府投资项目外）类政府投资项目工程竣工财务决算审核服务</w:t>
      </w:r>
      <w:r>
        <w:rPr>
          <w:rFonts w:hint="eastAsia" w:ascii="仿宋" w:hAnsi="仿宋" w:eastAsia="仿宋" w:cs="仿宋"/>
          <w:color w:val="auto"/>
          <w:sz w:val="24"/>
          <w:szCs w:val="24"/>
          <w:highlight w:val="none"/>
          <w:lang w:val="en-US" w:eastAsia="zh-CN"/>
        </w:rPr>
        <w:t>为主，具体服务内容以采购人待审核的实际任务为准。详见采购文件</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供应商可点击本公告下方“浏览采购文件”查看采购需求。</w:t>
      </w:r>
    </w:p>
    <w:p w14:paraId="71093937">
      <w:pPr>
        <w:pStyle w:val="41"/>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rPr>
      </w:pPr>
    </w:p>
    <w:p w14:paraId="5F45F64D">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标项三</w:t>
      </w:r>
    </w:p>
    <w:p w14:paraId="77A9068A">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标项名称：</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年度杭州市钱塘区政府投资项目工程竣工财务决算审核服务</w:t>
      </w:r>
      <w:r>
        <w:rPr>
          <w:rFonts w:hint="eastAsia" w:ascii="仿宋" w:hAnsi="仿宋" w:eastAsia="仿宋" w:cs="仿宋"/>
          <w:sz w:val="24"/>
          <w:szCs w:val="24"/>
          <w:highlight w:val="none"/>
          <w:lang w:val="en-US" w:eastAsia="zh-CN"/>
        </w:rPr>
        <w:t>标项三</w:t>
      </w:r>
    </w:p>
    <w:p w14:paraId="41C744D9">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中小企业政策： 中小企业预留</w:t>
      </w:r>
    </w:p>
    <w:p w14:paraId="121FB668">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数量：不限</w:t>
      </w:r>
    </w:p>
    <w:p w14:paraId="17268F27">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预算金额（元）: </w:t>
      </w:r>
      <w:r>
        <w:rPr>
          <w:rFonts w:hint="eastAsia" w:ascii="仿宋" w:hAnsi="仿宋" w:eastAsia="仿宋" w:cs="仿宋"/>
          <w:sz w:val="24"/>
          <w:szCs w:val="24"/>
          <w:highlight w:val="none"/>
          <w:lang w:val="en-US" w:eastAsia="zh-CN"/>
        </w:rPr>
        <w:t>620000</w:t>
      </w:r>
    </w:p>
    <w:p w14:paraId="4F5BCAB5">
      <w:pPr>
        <w:pStyle w:val="41"/>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简要规格描述或项目基本概况介绍、用途：</w:t>
      </w:r>
      <w:r>
        <w:rPr>
          <w:rFonts w:hint="eastAsia" w:ascii="仿宋" w:hAnsi="仿宋" w:eastAsia="仿宋" w:cs="仿宋"/>
          <w:color w:val="auto"/>
          <w:sz w:val="24"/>
          <w:szCs w:val="24"/>
          <w:highlight w:val="none"/>
        </w:rPr>
        <w:t>根据采购人要求，</w:t>
      </w:r>
      <w:r>
        <w:rPr>
          <w:rFonts w:hint="eastAsia" w:ascii="仿宋" w:hAnsi="仿宋" w:eastAsia="仿宋" w:cs="仿宋"/>
          <w:b w:val="0"/>
          <w:bCs/>
          <w:sz w:val="24"/>
          <w:highlight w:val="none"/>
          <w:vertAlign w:val="baseline"/>
          <w:lang w:eastAsia="zh-CN"/>
        </w:rPr>
        <w:t>提供202</w:t>
      </w:r>
      <w:r>
        <w:rPr>
          <w:rFonts w:hint="eastAsia" w:ascii="仿宋" w:hAnsi="仿宋" w:eastAsia="仿宋" w:cs="仿宋"/>
          <w:b w:val="0"/>
          <w:bCs/>
          <w:sz w:val="24"/>
          <w:highlight w:val="none"/>
          <w:vertAlign w:val="baseline"/>
          <w:lang w:val="en-US" w:eastAsia="zh-CN"/>
        </w:rPr>
        <w:t>5</w:t>
      </w:r>
      <w:r>
        <w:rPr>
          <w:rFonts w:hint="eastAsia" w:ascii="仿宋" w:hAnsi="仿宋" w:eastAsia="仿宋" w:cs="仿宋"/>
          <w:b w:val="0"/>
          <w:bCs/>
          <w:sz w:val="24"/>
          <w:highlight w:val="none"/>
          <w:vertAlign w:val="baseline"/>
          <w:lang w:eastAsia="zh-CN"/>
        </w:rPr>
        <w:t>年度杭州市钱塘区政府投资项目工程竣工财务决算审核服务</w:t>
      </w:r>
      <w:r>
        <w:rPr>
          <w:rFonts w:hint="eastAsia" w:ascii="仿宋" w:hAnsi="仿宋" w:eastAsia="仿宋" w:cs="仿宋"/>
          <w:color w:val="auto"/>
          <w:sz w:val="24"/>
          <w:szCs w:val="24"/>
          <w:highlight w:val="none"/>
          <w:lang w:val="en-US" w:eastAsia="zh-CN"/>
        </w:rPr>
        <w:t>。该标项以</w:t>
      </w:r>
      <w:r>
        <w:rPr>
          <w:rFonts w:hint="eastAsia" w:ascii="仿宋" w:hAnsi="仿宋" w:eastAsia="仿宋" w:cs="仿宋"/>
          <w:color w:val="auto"/>
          <w:sz w:val="24"/>
          <w:highlight w:val="none"/>
          <w:lang w:val="en-US" w:eastAsia="zh-CN"/>
        </w:rPr>
        <w:t>其他类政府投资项目工程竣工财务决算审核服务</w:t>
      </w:r>
      <w:r>
        <w:rPr>
          <w:rFonts w:hint="eastAsia" w:ascii="仿宋" w:hAnsi="仿宋" w:eastAsia="仿宋" w:cs="仿宋"/>
          <w:color w:val="auto"/>
          <w:sz w:val="24"/>
          <w:szCs w:val="24"/>
          <w:highlight w:val="none"/>
          <w:lang w:val="en-US" w:eastAsia="zh-CN"/>
        </w:rPr>
        <w:t>为主，具体服务内容以采购人待审核的实际任务为准。详见采购文件</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供应商可点击本公告下方“浏览采购文件”查看采购需求。</w:t>
      </w:r>
    </w:p>
    <w:p w14:paraId="51C2B20E">
      <w:pPr>
        <w:pStyle w:val="41"/>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rPr>
      </w:pPr>
    </w:p>
    <w:p w14:paraId="3A164DF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合同履约期限：标项 1、2、3</w:t>
      </w:r>
      <w:r>
        <w:rPr>
          <w:rFonts w:hint="eastAsia" w:ascii="仿宋" w:hAnsi="仿宋" w:eastAsia="仿宋" w:cs="仿宋"/>
          <w:sz w:val="24"/>
          <w:szCs w:val="24"/>
          <w:highlight w:val="none"/>
          <w:lang w:eastAsia="zh-CN"/>
        </w:rPr>
        <w:t>，</w:t>
      </w:r>
      <w:bookmarkStart w:id="190" w:name="_GoBack"/>
      <w:bookmarkEnd w:id="190"/>
      <w:r>
        <w:rPr>
          <w:rFonts w:hint="eastAsia" w:ascii="仿宋" w:hAnsi="仿宋" w:eastAsia="仿宋" w:cs="仿宋"/>
          <w:kern w:val="0"/>
          <w:sz w:val="24"/>
          <w:szCs w:val="24"/>
          <w:highlight w:val="none"/>
          <w:lang w:val="en-US" w:eastAsia="zh-CN" w:bidi="ar-SA"/>
        </w:rPr>
        <w:t>整体服务期为1年。</w:t>
      </w:r>
    </w:p>
    <w:p w14:paraId="54361EB7">
      <w:pPr>
        <w:pStyle w:val="41"/>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本项目（是）接受联合体投标。</w:t>
      </w:r>
    </w:p>
    <w:p w14:paraId="51CC92BC">
      <w:pPr>
        <w:pStyle w:val="41"/>
        <w:adjustRightInd w:val="0"/>
        <w:snapToGrid w:val="0"/>
        <w:spacing w:beforeAutospacing="0" w:afterAutospacing="0"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二、申请人的资格要求</w:t>
      </w:r>
    </w:p>
    <w:p w14:paraId="1B3CD9A8">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1. </w:t>
      </w:r>
      <w:bookmarkStart w:id="2" w:name="OLE_LINK7"/>
      <w:bookmarkStart w:id="3" w:name="OLE_LINK6"/>
      <w:r>
        <w:rPr>
          <w:rFonts w:hint="eastAsia" w:ascii="仿宋" w:hAnsi="仿宋" w:eastAsia="仿宋" w:cs="仿宋"/>
          <w:snapToGrid w:val="0"/>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bookmarkEnd w:id="2"/>
      <w:bookmarkEnd w:id="3"/>
    </w:p>
    <w:p w14:paraId="63E4567F">
      <w:pPr>
        <w:spacing w:line="360" w:lineRule="auto"/>
        <w:ind w:firstLine="480"/>
        <w:rPr>
          <w:rFonts w:hint="eastAsia" w:ascii="仿宋" w:hAnsi="仿宋" w:eastAsia="仿宋" w:cs="仿宋"/>
          <w:snapToGrid w:val="0"/>
          <w:kern w:val="28"/>
          <w:sz w:val="24"/>
          <w:szCs w:val="20"/>
          <w:highlight w:val="none"/>
        </w:rPr>
      </w:pPr>
      <w:bookmarkStart w:id="4" w:name="OLE_LINK8"/>
      <w:r>
        <w:rPr>
          <w:rFonts w:hint="eastAsia" w:ascii="仿宋" w:hAnsi="仿宋" w:eastAsia="仿宋" w:cs="仿宋"/>
          <w:snapToGrid w:val="0"/>
          <w:kern w:val="28"/>
          <w:sz w:val="24"/>
          <w:szCs w:val="20"/>
          <w:highlight w:val="none"/>
        </w:rPr>
        <w:t>2.落实政府采购政策需满足的资格要求：</w:t>
      </w:r>
      <w:r>
        <w:rPr>
          <w:rFonts w:hint="eastAsia" w:ascii="仿宋" w:hAnsi="仿宋" w:eastAsia="仿宋" w:cs="仿宋"/>
          <w:snapToGrid w:val="0"/>
          <w:kern w:val="28"/>
          <w:sz w:val="24"/>
          <w:szCs w:val="20"/>
          <w:highlight w:val="none"/>
          <w:lang w:val="en-US" w:eastAsia="zh-CN"/>
        </w:rPr>
        <w:t>标项1,2,3，</w:t>
      </w:r>
      <w:r>
        <w:rPr>
          <w:rFonts w:hint="eastAsia" w:ascii="仿宋" w:hAnsi="仿宋" w:eastAsia="仿宋" w:cs="仿宋"/>
          <w:sz w:val="24"/>
          <w:highlight w:val="none"/>
        </w:rPr>
        <w:t>服务全部由符合政策要求的中小企业承接，提供中小企业声明函</w:t>
      </w:r>
      <w:r>
        <w:rPr>
          <w:rFonts w:hint="eastAsia" w:ascii="仿宋" w:hAnsi="仿宋" w:eastAsia="仿宋" w:cs="仿宋"/>
          <w:snapToGrid w:val="0"/>
          <w:kern w:val="28"/>
          <w:sz w:val="24"/>
          <w:szCs w:val="20"/>
          <w:highlight w:val="none"/>
        </w:rPr>
        <w:t>。</w:t>
      </w:r>
    </w:p>
    <w:bookmarkEnd w:id="4"/>
    <w:p w14:paraId="4933640D">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3.本项目的特定资格要求：</w:t>
      </w:r>
      <w:r>
        <w:rPr>
          <w:rFonts w:hint="eastAsia" w:ascii="仿宋" w:hAnsi="仿宋" w:eastAsia="仿宋" w:cs="仿宋"/>
          <w:snapToGrid w:val="0"/>
          <w:kern w:val="28"/>
          <w:sz w:val="24"/>
          <w:szCs w:val="20"/>
          <w:highlight w:val="none"/>
          <w:lang w:val="en-US" w:eastAsia="zh-CN"/>
        </w:rPr>
        <w:t>标项1,2,3，</w:t>
      </w:r>
      <w:r>
        <w:rPr>
          <w:rFonts w:hint="eastAsia" w:ascii="仿宋" w:hAnsi="仿宋" w:eastAsia="仿宋" w:cs="仿宋"/>
          <w:snapToGrid w:val="0"/>
          <w:color w:val="auto"/>
          <w:kern w:val="28"/>
          <w:sz w:val="24"/>
          <w:szCs w:val="20"/>
          <w:highlight w:val="none"/>
          <w:lang w:val="en-US" w:eastAsia="zh-CN"/>
        </w:rPr>
        <w:t>具有有效的、财政部门颁发的会计师事务所执业证书</w:t>
      </w:r>
      <w:r>
        <w:rPr>
          <w:rFonts w:hint="eastAsia" w:ascii="仿宋" w:hAnsi="仿宋" w:eastAsia="仿宋" w:cs="仿宋"/>
          <w:snapToGrid w:val="0"/>
          <w:kern w:val="28"/>
          <w:sz w:val="24"/>
          <w:szCs w:val="20"/>
          <w:highlight w:val="none"/>
          <w:lang w:eastAsia="zh-CN"/>
        </w:rPr>
        <w:t>；</w:t>
      </w:r>
      <w:r>
        <w:rPr>
          <w:rFonts w:hint="eastAsia" w:ascii="仿宋" w:hAnsi="仿宋" w:eastAsia="仿宋" w:cs="仿宋"/>
          <w:snapToGrid w:val="0"/>
          <w:kern w:val="28"/>
          <w:sz w:val="24"/>
          <w:szCs w:val="20"/>
          <w:highlight w:val="none"/>
        </w:rPr>
        <w:t>该特定条件的法律法规依据：《会计师事务所执业许可和监督管理办法》。</w:t>
      </w:r>
    </w:p>
    <w:p w14:paraId="03035450">
      <w:pPr>
        <w:pStyle w:val="41"/>
        <w:adjustRightInd w:val="0"/>
        <w:snapToGrid w:val="0"/>
        <w:spacing w:beforeAutospacing="0" w:afterAutospacing="0"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三、获取招标文件</w:t>
      </w:r>
    </w:p>
    <w:p w14:paraId="7B3D71E4">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2025年</w:t>
      </w:r>
      <w:r>
        <w:rPr>
          <w:rFonts w:hint="eastAsia" w:ascii="仿宋" w:hAnsi="仿宋" w:eastAsia="仿宋" w:cs="仿宋"/>
          <w:sz w:val="24"/>
          <w:highlight w:val="none"/>
          <w:u w:val="single"/>
          <w:lang w:val="en-US" w:eastAsia="zh-CN"/>
        </w:rPr>
        <w:t>07月10日</w:t>
      </w:r>
      <w:r>
        <w:rPr>
          <w:rFonts w:hint="eastAsia" w:ascii="仿宋" w:hAnsi="仿宋" w:eastAsia="仿宋" w:cs="仿宋"/>
          <w:sz w:val="24"/>
          <w:highlight w:val="none"/>
        </w:rPr>
        <w:t>，每天上午00:00至12:00 ，下午12:00至23:59（北京时间，线上获取法定节假日均可，线下获取文件法定节假日除外）</w:t>
      </w:r>
    </w:p>
    <w:p w14:paraId="15322272">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bCs/>
          <w:sz w:val="24"/>
          <w:highlight w:val="none"/>
        </w:rPr>
        <w:t>政采云平台线上获取</w:t>
      </w:r>
      <w:r>
        <w:rPr>
          <w:rFonts w:hint="eastAsia" w:ascii="仿宋" w:hAnsi="仿宋" w:eastAsia="仿宋" w:cs="仿宋"/>
          <w:sz w:val="24"/>
          <w:highlight w:val="none"/>
        </w:rPr>
        <w:t xml:space="preserve"> </w:t>
      </w:r>
    </w:p>
    <w:p w14:paraId="403F3485">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14:paraId="04F01258">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4C860CB1">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101D6266">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2025年</w:t>
      </w:r>
      <w:r>
        <w:rPr>
          <w:rFonts w:hint="eastAsia" w:ascii="仿宋" w:hAnsi="仿宋" w:eastAsia="仿宋" w:cs="仿宋"/>
          <w:sz w:val="24"/>
          <w:highlight w:val="none"/>
          <w:u w:val="single"/>
          <w:lang w:val="en-US" w:eastAsia="zh-CN"/>
        </w:rPr>
        <w:t>07月10日</w:t>
      </w:r>
      <w:r>
        <w:rPr>
          <w:rFonts w:hint="eastAsia" w:ascii="仿宋" w:hAnsi="仿宋" w:eastAsia="仿宋" w:cs="仿宋"/>
          <w:sz w:val="24"/>
          <w:highlight w:val="none"/>
          <w:u w:val="single"/>
        </w:rPr>
        <w:t>09:30</w:t>
      </w:r>
      <w:r>
        <w:rPr>
          <w:rFonts w:hint="eastAsia" w:ascii="仿宋" w:hAnsi="仿宋" w:eastAsia="仿宋" w:cs="仿宋"/>
          <w:sz w:val="24"/>
          <w:highlight w:val="none"/>
        </w:rPr>
        <w:t>（北京时间）</w:t>
      </w:r>
    </w:p>
    <w:p w14:paraId="388BE502">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投标地点（网址）：请登录政采云投标客户端投标</w:t>
      </w:r>
      <w:r>
        <w:rPr>
          <w:rFonts w:hint="eastAsia" w:ascii="仿宋" w:hAnsi="仿宋" w:eastAsia="仿宋" w:cs="仿宋"/>
          <w:sz w:val="24"/>
          <w:highlight w:val="none"/>
        </w:rPr>
        <w:t xml:space="preserve"> </w:t>
      </w:r>
    </w:p>
    <w:p w14:paraId="2E5FD730">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2025年</w:t>
      </w:r>
      <w:r>
        <w:rPr>
          <w:rFonts w:hint="eastAsia" w:ascii="仿宋" w:hAnsi="仿宋" w:eastAsia="仿宋" w:cs="仿宋"/>
          <w:sz w:val="24"/>
          <w:highlight w:val="none"/>
          <w:u w:val="single"/>
          <w:lang w:val="en-US" w:eastAsia="zh-CN"/>
        </w:rPr>
        <w:t>07月10日</w:t>
      </w:r>
      <w:r>
        <w:rPr>
          <w:rFonts w:hint="eastAsia" w:ascii="仿宋" w:hAnsi="仿宋" w:eastAsia="仿宋" w:cs="仿宋"/>
          <w:sz w:val="24"/>
          <w:highlight w:val="none"/>
          <w:u w:val="single"/>
        </w:rPr>
        <w:t>09:30</w:t>
      </w:r>
    </w:p>
    <w:p w14:paraId="6E65DC1E">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14:paraId="6B11B550">
      <w:pPr>
        <w:spacing w:line="360" w:lineRule="auto"/>
        <w:ind w:firstLine="1446" w:firstLineChars="6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（线下）：</w:t>
      </w:r>
      <w:r>
        <w:rPr>
          <w:rFonts w:hint="eastAsia" w:ascii="仿宋" w:hAnsi="仿宋" w:eastAsia="仿宋" w:cs="仿宋"/>
          <w:color w:val="000000" w:themeColor="text1"/>
          <w:sz w:val="24"/>
          <w:highlight w:val="none"/>
          <w14:textFill>
            <w14:solidFill>
              <w14:schemeClr w14:val="tx1"/>
            </w14:solidFill>
          </w14:textFill>
        </w:rPr>
        <w:t>杭州市钱塘区金沙大道600号东楼6楼</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号开标室</w:t>
      </w:r>
    </w:p>
    <w:p w14:paraId="41AB9D0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五</w:t>
      </w:r>
      <w:r>
        <w:rPr>
          <w:rFonts w:hint="eastAsia" w:ascii="仿宋" w:hAnsi="仿宋" w:eastAsia="仿宋" w:cs="仿宋"/>
          <w:b/>
          <w:color w:val="000000" w:themeColor="text1"/>
          <w:sz w:val="24"/>
          <w:highlight w:val="none"/>
          <w14:textFill>
            <w14:solidFill>
              <w14:schemeClr w14:val="tx1"/>
            </w14:solidFill>
          </w14:textFill>
        </w:rPr>
        <w:t xml:space="preserve">、公告期限 </w:t>
      </w:r>
    </w:p>
    <w:p w14:paraId="0F50E46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7979B30B">
      <w:pPr>
        <w:spacing w:line="360" w:lineRule="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六</w:t>
      </w:r>
      <w:r>
        <w:rPr>
          <w:rFonts w:hint="eastAsia" w:ascii="仿宋" w:hAnsi="仿宋" w:eastAsia="仿宋" w:cs="仿宋"/>
          <w:b/>
          <w:sz w:val="24"/>
          <w:highlight w:val="none"/>
        </w:rPr>
        <w:t>、其他补充事宜</w:t>
      </w:r>
    </w:p>
    <w:p w14:paraId="2A7D6AEA">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0F543DBA">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D1F1A4">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132B78">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4.其他事项：</w:t>
      </w:r>
    </w:p>
    <w:p w14:paraId="0C30EC77">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（1）需要落实的政府采购政策：包括节约资源、保护环境、支持创新、促进中小企业发展等。详见招标文件的第二部分总则。</w:t>
      </w:r>
    </w:p>
    <w:p w14:paraId="1E61CE7F">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w:t>
      </w:r>
      <w:r>
        <w:rPr>
          <w:rFonts w:hint="eastAsia" w:ascii="仿宋" w:hAnsi="仿宋" w:eastAsia="仿宋" w:cs="仿宋"/>
          <w:sz w:val="24"/>
          <w:highlight w:val="none"/>
          <w:lang w:val="en-US" w:eastAsia="zh-CN"/>
        </w:rPr>
        <w:t>前附表</w:t>
      </w:r>
      <w:r>
        <w:rPr>
          <w:rFonts w:hint="eastAsia" w:ascii="仿宋" w:hAnsi="仿宋" w:eastAsia="仿宋" w:cs="仿宋"/>
          <w:sz w:val="24"/>
          <w:highlight w:val="none"/>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64C28108">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（3）</w:t>
      </w:r>
      <w:r>
        <w:rPr>
          <w:rFonts w:hint="eastAsia" w:ascii="仿宋" w:hAnsi="仿宋" w:eastAsia="仿宋" w:cs="仿宋"/>
          <w:sz w:val="24"/>
          <w:szCs w:val="24"/>
          <w:highlight w:val="none"/>
        </w:rPr>
        <w:t>钱塘区政府采购支持中小企业信用融资：</w:t>
      </w:r>
    </w:p>
    <w:p w14:paraId="41F19D75">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14:paraId="13968B66">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A.适用对象：在浙江“政采云”平台注册入库，并取得钱塘区政府采购合同的中小企业供应商。</w:t>
      </w:r>
    </w:p>
    <w:p w14:paraId="4EF7E669">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B.相关信息获取方式：具体合作银行及联系方式详见采购文件。登陆杭州钱塘区管理委员会官网（http://qt.hangzhou.gov.cn） “公告公示”专栏，可查看信用融资政策文件及各相关银行服务方案。</w:t>
      </w:r>
    </w:p>
    <w:p w14:paraId="25B4C0D3">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C.申请方式和步骤：①供应商若有融资意向，需先与钱塘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14:paraId="69934002">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912170">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（5）本项目采购文件公告期限为本公告发布之日起5个工作日。</w:t>
      </w:r>
    </w:p>
    <w:p w14:paraId="05B40C0E">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本项目采用兼投不兼中的原则确定各标项第一中标候选人，</w:t>
      </w:r>
      <w:r>
        <w:rPr>
          <w:rFonts w:hint="eastAsia" w:ascii="仿宋" w:hAnsi="仿宋" w:eastAsia="仿宋" w:cs="仿宋"/>
          <w:color w:val="auto"/>
          <w:sz w:val="24"/>
          <w:highlight w:val="none"/>
          <w:lang w:val="en-US" w:eastAsia="zh-CN"/>
        </w:rPr>
        <w:t>详见采购文件前附表第18项的特别说明。</w:t>
      </w:r>
    </w:p>
    <w:p w14:paraId="6DBA8EBB">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七</w:t>
      </w:r>
      <w:r>
        <w:rPr>
          <w:rFonts w:hint="eastAsia" w:ascii="仿宋" w:hAnsi="仿宋" w:eastAsia="仿宋" w:cs="仿宋"/>
          <w:b/>
          <w:bCs/>
          <w:sz w:val="24"/>
          <w:szCs w:val="24"/>
          <w:highlight w:val="none"/>
        </w:rPr>
        <w:t>、对本次采购提出询问、质疑、投诉，请按以下方式联系　　　</w:t>
      </w:r>
      <w:r>
        <w:rPr>
          <w:rFonts w:hint="eastAsia" w:ascii="仿宋" w:hAnsi="仿宋" w:eastAsia="仿宋" w:cs="仿宋"/>
          <w:sz w:val="24"/>
          <w:szCs w:val="24"/>
          <w:highlight w:val="none"/>
        </w:rPr>
        <w:t>　　　　　　　　　</w:t>
      </w:r>
    </w:p>
    <w:p w14:paraId="6F463DB1">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采购人信息</w:t>
      </w:r>
    </w:p>
    <w:p w14:paraId="5A84199C">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名称：</w:t>
      </w:r>
      <w:r>
        <w:rPr>
          <w:rFonts w:hint="eastAsia" w:ascii="仿宋" w:hAnsi="仿宋" w:eastAsia="仿宋" w:cs="仿宋"/>
          <w:sz w:val="24"/>
          <w:szCs w:val="24"/>
          <w:highlight w:val="none"/>
          <w:lang w:eastAsia="zh-CN"/>
        </w:rPr>
        <w:t>杭州市钱塘区政府投资项目评审服务中心</w:t>
      </w:r>
      <w:r>
        <w:rPr>
          <w:rFonts w:hint="eastAsia" w:ascii="仿宋" w:hAnsi="仿宋" w:eastAsia="仿宋" w:cs="仿宋"/>
          <w:sz w:val="24"/>
          <w:szCs w:val="24"/>
          <w:highlight w:val="none"/>
        </w:rPr>
        <w:t>　　　　　　　　　</w:t>
      </w:r>
    </w:p>
    <w:p w14:paraId="064E9B35">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杭州市钱塘区青六北路499号1B221室</w:t>
      </w:r>
    </w:p>
    <w:p w14:paraId="0C5FB254">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 </w:t>
      </w:r>
    </w:p>
    <w:p w14:paraId="64634BC1">
      <w:pPr>
        <w:spacing w:line="360" w:lineRule="auto"/>
        <w:ind w:left="0" w:leftChars="0" w:firstLine="840" w:firstLineChars="0"/>
        <w:rPr>
          <w:rFonts w:hint="eastAsia" w:ascii="仿宋" w:hAnsi="仿宋" w:eastAsia="仿宋" w:cs="仿宋"/>
          <w:sz w:val="24"/>
          <w:highlight w:val="none"/>
        </w:rPr>
      </w:pPr>
      <w:r>
        <w:rPr>
          <w:rFonts w:hint="eastAsia" w:ascii="仿宋" w:hAnsi="仿宋" w:eastAsia="仿宋" w:cs="仿宋"/>
          <w:sz w:val="24"/>
          <w:highlight w:val="none"/>
        </w:rPr>
        <w:t>项目联系人（询问）：</w:t>
      </w:r>
      <w:r>
        <w:rPr>
          <w:rFonts w:hint="eastAsia" w:ascii="仿宋" w:hAnsi="仿宋" w:eastAsia="仿宋" w:cs="仿宋"/>
          <w:sz w:val="24"/>
          <w:highlight w:val="none"/>
          <w:lang w:eastAsia="zh-CN"/>
        </w:rPr>
        <w:t>闫梦</w:t>
      </w:r>
    </w:p>
    <w:p w14:paraId="54BB13E7">
      <w:pPr>
        <w:spacing w:line="360" w:lineRule="auto"/>
        <w:ind w:left="0" w:leftChars="0" w:firstLine="840" w:firstLineChars="0"/>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项目联系方式（询问）：</w:t>
      </w:r>
      <w:r>
        <w:rPr>
          <w:rFonts w:hint="eastAsia" w:ascii="仿宋" w:hAnsi="仿宋" w:eastAsia="仿宋" w:cs="仿宋"/>
          <w:sz w:val="24"/>
          <w:highlight w:val="none"/>
          <w:lang w:val="en-US" w:eastAsia="zh-CN"/>
        </w:rPr>
        <w:t>0571-89535709</w:t>
      </w:r>
    </w:p>
    <w:p w14:paraId="4500F12C">
      <w:pPr>
        <w:spacing w:line="360" w:lineRule="auto"/>
        <w:ind w:left="0" w:leftChars="0" w:firstLine="840" w:firstLineChars="0"/>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val="en-US" w:eastAsia="zh-CN"/>
        </w:rPr>
        <w:t>叶青</w:t>
      </w:r>
    </w:p>
    <w:p w14:paraId="0B91984D">
      <w:pPr>
        <w:spacing w:line="360" w:lineRule="auto"/>
        <w:ind w:left="0" w:leftChars="0" w:firstLine="840" w:firstLineChars="0"/>
        <w:rPr>
          <w:rFonts w:hint="eastAsia" w:ascii="仿宋" w:hAnsi="仿宋" w:eastAsia="仿宋" w:cs="仿宋"/>
          <w:sz w:val="24"/>
          <w:szCs w:val="24"/>
          <w:highlight w:val="none"/>
        </w:rPr>
      </w:pPr>
      <w:r>
        <w:rPr>
          <w:rFonts w:hint="eastAsia" w:ascii="仿宋" w:hAnsi="仿宋" w:eastAsia="仿宋" w:cs="仿宋"/>
          <w:sz w:val="24"/>
          <w:highlight w:val="none"/>
        </w:rPr>
        <w:t>质疑联系方式：</w:t>
      </w:r>
      <w:r>
        <w:rPr>
          <w:rFonts w:hint="eastAsia" w:ascii="仿宋" w:hAnsi="仿宋" w:eastAsia="仿宋" w:cs="仿宋"/>
          <w:sz w:val="24"/>
          <w:highlight w:val="none"/>
          <w:lang w:val="en-US" w:eastAsia="zh-CN"/>
        </w:rPr>
        <w:t>0571-89535707</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（请通过以下路径在线提起质疑：政采云-项目采购-询问质疑投诉-质疑列表）</w:t>
      </w:r>
      <w:r>
        <w:rPr>
          <w:rFonts w:hint="eastAsia" w:ascii="仿宋" w:hAnsi="仿宋" w:eastAsia="仿宋" w:cs="仿宋"/>
          <w:sz w:val="24"/>
          <w:szCs w:val="24"/>
          <w:highlight w:val="none"/>
        </w:rPr>
        <w:t>　　　</w:t>
      </w:r>
    </w:p>
    <w:p w14:paraId="3AC8B0E0">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07B0D520">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名称：浙江国际招投标有限公司 　　　　　　　　　　　</w:t>
      </w:r>
    </w:p>
    <w:p w14:paraId="3B10D4DC">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地址：浙江省杭州市西湖区文三路90号东部软件园1号楼3楼 </w:t>
      </w:r>
    </w:p>
    <w:p w14:paraId="4F41F6EE">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传真： 0571-88473411   　</w:t>
      </w:r>
    </w:p>
    <w:p w14:paraId="4FFAD307">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项目联系人（询问）：唐稳 　   　　　　　　　　　　　</w:t>
      </w:r>
    </w:p>
    <w:p w14:paraId="794A2E31">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项目联系方式（询问）：0571-81061825 </w:t>
      </w:r>
    </w:p>
    <w:p w14:paraId="71336B9D">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质疑联系人：赵娟 </w:t>
      </w:r>
    </w:p>
    <w:p w14:paraId="43B935E6">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质疑联系方式：0571-81061819（请通过以下路径在线提起质疑：政采云-项目采购-询问质疑投诉-质疑列表）　</w:t>
      </w:r>
    </w:p>
    <w:p w14:paraId="0F2BD3C5">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3.同级政府采购监督管理部门</w:t>
      </w:r>
    </w:p>
    <w:p w14:paraId="7BE170B5">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名称：杭州市钱塘区财政局、浙江省政府采购行政裁决服务中心 (杭州)</w:t>
      </w:r>
    </w:p>
    <w:p w14:paraId="5595BB7C">
      <w:pPr>
        <w:pStyle w:val="41"/>
        <w:adjustRightInd w:val="0"/>
        <w:snapToGrid w:val="0"/>
        <w:spacing w:beforeAutospacing="0" w:afterAutospacing="0"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地址：杭州市上城区清泰街549号城建综合大楼11楼 (快递仅限ems或顺丰)             </w:t>
      </w:r>
    </w:p>
    <w:p w14:paraId="727D71F8">
      <w:pPr>
        <w:pStyle w:val="41"/>
        <w:adjustRightInd w:val="0"/>
        <w:snapToGrid w:val="0"/>
        <w:spacing w:beforeAutospacing="0" w:afterAutospacing="0"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传真：      </w:t>
      </w:r>
    </w:p>
    <w:p w14:paraId="50ECBDCA">
      <w:pPr>
        <w:pStyle w:val="41"/>
        <w:adjustRightInd w:val="0"/>
        <w:snapToGrid w:val="0"/>
        <w:spacing w:beforeAutospacing="0" w:afterAutospacing="0"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联 系 人：匡老师</w:t>
      </w:r>
    </w:p>
    <w:p w14:paraId="3013B15F">
      <w:pPr>
        <w:pStyle w:val="41"/>
        <w:adjustRightInd w:val="0"/>
        <w:snapToGrid w:val="0"/>
        <w:spacing w:beforeAutospacing="0" w:afterAutospacing="0"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监督投诉电话：0571-87807798  （仅限投诉事项）</w:t>
      </w:r>
    </w:p>
    <w:p w14:paraId="24782878">
      <w:pPr>
        <w:pStyle w:val="41"/>
        <w:adjustRightInd w:val="0"/>
        <w:snapToGrid w:val="0"/>
        <w:spacing w:beforeAutospacing="0" w:afterAutospacing="0" w:line="360" w:lineRule="auto"/>
        <w:rPr>
          <w:rFonts w:hint="eastAsia" w:ascii="仿宋" w:hAnsi="仿宋" w:eastAsia="仿宋" w:cs="仿宋"/>
          <w:sz w:val="24"/>
          <w:szCs w:val="24"/>
          <w:highlight w:val="none"/>
        </w:rPr>
      </w:pPr>
    </w:p>
    <w:p w14:paraId="1322F9AC">
      <w:pPr>
        <w:widowControl/>
        <w:adjustRightInd w:val="0"/>
        <w:snapToGrid w:val="0"/>
        <w:spacing w:line="360" w:lineRule="auto"/>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2A7CDB01">
      <w:pPr>
        <w:widowControl/>
        <w:adjustRightInd w:val="0"/>
        <w:snapToGrid w:val="0"/>
        <w:spacing w:line="360" w:lineRule="auto"/>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CA问题联系电话（人工）：汇信CA 400-888-4636；天谷CA 400-087-8198。</w:t>
      </w:r>
    </w:p>
    <w:p w14:paraId="72655169">
      <w:pPr>
        <w:widowControl/>
        <w:tabs>
          <w:tab w:val="left" w:pos="8647"/>
        </w:tabs>
        <w:adjustRightInd w:val="0"/>
        <w:snapToGrid w:val="0"/>
        <w:spacing w:line="360" w:lineRule="auto"/>
        <w:jc w:val="center"/>
        <w:outlineLvl w:val="1"/>
        <w:rPr>
          <w:rFonts w:hint="eastAsia" w:ascii="仿宋" w:hAnsi="仿宋" w:eastAsia="仿宋" w:cs="仿宋"/>
          <w:b/>
          <w:sz w:val="30"/>
          <w:szCs w:val="30"/>
          <w:highlight w:val="none"/>
        </w:rPr>
      </w:pPr>
      <w:r>
        <w:rPr>
          <w:rFonts w:hint="eastAsia" w:ascii="仿宋" w:hAnsi="仿宋" w:eastAsia="仿宋" w:cs="仿宋"/>
          <w:b/>
          <w:bCs/>
          <w:sz w:val="28"/>
          <w:szCs w:val="21"/>
          <w:highlight w:val="none"/>
        </w:rPr>
        <w:br w:type="page"/>
      </w:r>
      <w:bookmarkStart w:id="5" w:name="_Toc1014"/>
      <w:r>
        <w:rPr>
          <w:rFonts w:hint="eastAsia" w:ascii="仿宋" w:hAnsi="仿宋" w:eastAsia="仿宋" w:cs="仿宋"/>
          <w:b/>
          <w:sz w:val="30"/>
          <w:szCs w:val="30"/>
          <w:highlight w:val="none"/>
        </w:rPr>
        <w:t>前 附 表</w:t>
      </w:r>
      <w:bookmarkEnd w:id="5"/>
    </w:p>
    <w:tbl>
      <w:tblPr>
        <w:tblStyle w:val="45"/>
        <w:tblW w:w="856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9"/>
        <w:gridCol w:w="1843"/>
        <w:gridCol w:w="6095"/>
      </w:tblGrid>
      <w:tr w14:paraId="2A2C3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blHeader/>
        </w:trPr>
        <w:tc>
          <w:tcPr>
            <w:tcW w:w="629" w:type="dxa"/>
            <w:tcBorders>
              <w:tl2br w:val="nil"/>
              <w:tr2bl w:val="nil"/>
            </w:tcBorders>
            <w:noWrap/>
            <w:vAlign w:val="center"/>
          </w:tcPr>
          <w:p w14:paraId="23A0C8B9">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l2br w:val="nil"/>
              <w:tr2bl w:val="nil"/>
            </w:tcBorders>
            <w:noWrap/>
            <w:vAlign w:val="center"/>
          </w:tcPr>
          <w:p w14:paraId="78709868">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l2br w:val="nil"/>
              <w:tr2bl w:val="nil"/>
            </w:tcBorders>
            <w:noWrap/>
            <w:vAlign w:val="center"/>
          </w:tcPr>
          <w:p w14:paraId="394DD391">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0BFF2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0" w:hRule="atLeast"/>
        </w:trPr>
        <w:tc>
          <w:tcPr>
            <w:tcW w:w="629" w:type="dxa"/>
            <w:tcBorders>
              <w:tl2br w:val="nil"/>
              <w:tr2bl w:val="nil"/>
            </w:tcBorders>
            <w:noWrap/>
            <w:vAlign w:val="center"/>
          </w:tcPr>
          <w:p w14:paraId="50C41D6D">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843" w:type="dxa"/>
            <w:tcBorders>
              <w:tl2br w:val="nil"/>
              <w:tr2bl w:val="nil"/>
            </w:tcBorders>
            <w:noWrap/>
            <w:vAlign w:val="center"/>
          </w:tcPr>
          <w:p w14:paraId="4AF6E66B">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项目属性</w:t>
            </w:r>
          </w:p>
        </w:tc>
        <w:tc>
          <w:tcPr>
            <w:tcW w:w="6095" w:type="dxa"/>
            <w:tcBorders>
              <w:tl2br w:val="nil"/>
              <w:tr2bl w:val="nil"/>
            </w:tcBorders>
            <w:noWrap/>
            <w:vAlign w:val="center"/>
          </w:tcPr>
          <w:p w14:paraId="17148E3F">
            <w:pPr>
              <w:adjustRightInd w:val="0"/>
              <w:snapToGrid w:val="0"/>
              <w:spacing w:line="400" w:lineRule="exact"/>
              <w:rPr>
                <w:rFonts w:hint="eastAsia" w:ascii="仿宋" w:hAnsi="仿宋" w:eastAsia="仿宋" w:cs="仿宋"/>
                <w:b/>
                <w:kern w:val="0"/>
                <w:sz w:val="24"/>
                <w:highlight w:val="none"/>
              </w:rPr>
            </w:pPr>
            <w:r>
              <w:rPr>
                <w:rFonts w:hint="eastAsia" w:ascii="仿宋" w:hAnsi="仿宋" w:eastAsia="仿宋" w:cs="仿宋"/>
                <w:sz w:val="24"/>
                <w:highlight w:val="none"/>
              </w:rPr>
              <w:t>服务类</w:t>
            </w:r>
          </w:p>
        </w:tc>
      </w:tr>
      <w:tr w14:paraId="49FE9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7" w:hRule="atLeast"/>
        </w:trPr>
        <w:tc>
          <w:tcPr>
            <w:tcW w:w="629" w:type="dxa"/>
            <w:vMerge w:val="restart"/>
            <w:tcBorders>
              <w:tl2br w:val="nil"/>
              <w:tr2bl w:val="nil"/>
            </w:tcBorders>
            <w:noWrap/>
            <w:vAlign w:val="center"/>
          </w:tcPr>
          <w:p w14:paraId="48F810FB">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843" w:type="dxa"/>
            <w:vMerge w:val="restart"/>
            <w:tcBorders>
              <w:tl2br w:val="nil"/>
              <w:tr2bl w:val="nil"/>
            </w:tcBorders>
            <w:noWrap/>
            <w:vAlign w:val="center"/>
          </w:tcPr>
          <w:p w14:paraId="55F56E46">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采购标的对应的中小企业划分标准所属行业</w:t>
            </w:r>
          </w:p>
        </w:tc>
        <w:tc>
          <w:tcPr>
            <w:tcW w:w="6095" w:type="dxa"/>
            <w:tcBorders>
              <w:tl2br w:val="nil"/>
              <w:tr2bl w:val="nil"/>
            </w:tcBorders>
            <w:noWrap/>
            <w:vAlign w:val="center"/>
          </w:tcPr>
          <w:p w14:paraId="730C57F9">
            <w:pPr>
              <w:adjustRightInd w:val="0"/>
              <w:snapToGrid w:val="0"/>
              <w:rPr>
                <w:rFonts w:hint="eastAsia" w:ascii="仿宋" w:hAnsi="仿宋" w:eastAsia="仿宋" w:cs="仿宋"/>
                <w:b/>
                <w:color w:val="FF0000"/>
                <w:kern w:val="0"/>
                <w:sz w:val="24"/>
                <w:highlight w:val="none"/>
                <w:lang w:eastAsia="zh-CN"/>
              </w:rPr>
            </w:pPr>
            <w:r>
              <w:rPr>
                <w:rFonts w:hint="eastAsia" w:ascii="仿宋" w:hAnsi="仿宋" w:eastAsia="仿宋" w:cs="仿宋"/>
                <w:b/>
                <w:bCs/>
                <w:color w:val="FF0000"/>
                <w:kern w:val="0"/>
                <w:sz w:val="24"/>
                <w:highlight w:val="none"/>
                <w:lang w:val="en-US" w:eastAsia="zh-CN"/>
              </w:rPr>
              <w:t>各标项</w:t>
            </w:r>
            <w:r>
              <w:rPr>
                <w:rFonts w:hint="eastAsia" w:ascii="仿宋" w:hAnsi="仿宋" w:eastAsia="仿宋" w:cs="仿宋"/>
                <w:b/>
                <w:bCs/>
                <w:color w:val="FF0000"/>
                <w:kern w:val="0"/>
                <w:sz w:val="24"/>
                <w:highlight w:val="none"/>
              </w:rPr>
              <w:t>标的</w:t>
            </w:r>
            <w:r>
              <w:rPr>
                <w:rFonts w:hint="eastAsia" w:ascii="仿宋" w:hAnsi="仿宋" w:eastAsia="仿宋" w:cs="仿宋"/>
                <w:b/>
                <w:bCs/>
                <w:color w:val="FF0000"/>
                <w:kern w:val="0"/>
                <w:sz w:val="24"/>
                <w:highlight w:val="none"/>
                <w:lang w:val="en-US" w:eastAsia="zh-CN"/>
              </w:rPr>
              <w:t>均</w:t>
            </w:r>
            <w:r>
              <w:rPr>
                <w:rFonts w:hint="eastAsia" w:ascii="仿宋" w:hAnsi="仿宋" w:eastAsia="仿宋" w:cs="仿宋"/>
                <w:b/>
                <w:bCs/>
                <w:color w:val="FF0000"/>
                <w:kern w:val="0"/>
                <w:sz w:val="24"/>
                <w:highlight w:val="none"/>
              </w:rPr>
              <w:t>为：</w:t>
            </w:r>
            <w:r>
              <w:rPr>
                <w:rFonts w:hint="eastAsia" w:ascii="仿宋" w:hAnsi="仿宋" w:eastAsia="仿宋" w:cs="仿宋"/>
                <w:b/>
                <w:bCs/>
                <w:color w:val="FF0000"/>
                <w:kern w:val="0"/>
                <w:sz w:val="24"/>
                <w:highlight w:val="none"/>
                <w:u w:val="single"/>
                <w:lang w:eastAsia="zh-CN"/>
              </w:rPr>
              <w:t>2025年度杭州市钱塘区政府投资项目工程竣工财务决算审核服务</w:t>
            </w:r>
            <w:r>
              <w:rPr>
                <w:rFonts w:hint="eastAsia" w:ascii="仿宋" w:hAnsi="仿宋" w:eastAsia="仿宋" w:cs="仿宋"/>
                <w:b/>
                <w:bCs/>
                <w:color w:val="FF0000"/>
                <w:kern w:val="0"/>
                <w:sz w:val="24"/>
                <w:highlight w:val="none"/>
                <w:u w:val="none"/>
                <w:lang w:eastAsia="zh-CN"/>
              </w:rPr>
              <w:t>，</w:t>
            </w:r>
            <w:r>
              <w:rPr>
                <w:rFonts w:hint="eastAsia" w:ascii="仿宋" w:hAnsi="仿宋" w:eastAsia="仿宋" w:cs="仿宋"/>
                <w:b/>
                <w:bCs/>
                <w:color w:val="FF0000"/>
                <w:kern w:val="0"/>
                <w:sz w:val="24"/>
                <w:highlight w:val="none"/>
              </w:rPr>
              <w:t>属于</w:t>
            </w:r>
            <w:r>
              <w:rPr>
                <w:rFonts w:hint="eastAsia" w:ascii="仿宋" w:hAnsi="仿宋" w:eastAsia="仿宋" w:cs="仿宋"/>
                <w:b/>
                <w:bCs/>
                <w:color w:val="FF0000"/>
                <w:kern w:val="0"/>
                <w:sz w:val="24"/>
                <w:highlight w:val="none"/>
                <w:u w:val="single"/>
              </w:rPr>
              <w:t xml:space="preserve"> </w:t>
            </w:r>
            <w:r>
              <w:rPr>
                <w:rFonts w:hint="eastAsia" w:ascii="仿宋" w:hAnsi="仿宋" w:eastAsia="仿宋" w:cs="仿宋"/>
                <w:b/>
                <w:bCs/>
                <w:color w:val="FF0000"/>
                <w:kern w:val="0"/>
                <w:sz w:val="24"/>
                <w:highlight w:val="none"/>
                <w:u w:val="single"/>
                <w:lang w:val="en-US" w:eastAsia="zh-CN"/>
              </w:rPr>
              <w:t>租赁和商务服务业</w:t>
            </w:r>
            <w:r>
              <w:rPr>
                <w:rFonts w:hint="eastAsia" w:ascii="仿宋" w:hAnsi="仿宋" w:eastAsia="仿宋" w:cs="仿宋"/>
                <w:b/>
                <w:bCs/>
                <w:color w:val="FF0000"/>
                <w:kern w:val="0"/>
                <w:sz w:val="24"/>
                <w:highlight w:val="none"/>
                <w:u w:val="single"/>
              </w:rPr>
              <w:t xml:space="preserve"> </w:t>
            </w:r>
            <w:r>
              <w:rPr>
                <w:rFonts w:hint="eastAsia" w:ascii="仿宋" w:hAnsi="仿宋" w:eastAsia="仿宋" w:cs="仿宋"/>
                <w:b/>
                <w:bCs/>
                <w:color w:val="FF0000"/>
                <w:kern w:val="0"/>
                <w:sz w:val="24"/>
                <w:highlight w:val="none"/>
                <w:u w:val="none"/>
                <w:lang w:eastAsia="zh-CN"/>
              </w:rPr>
              <w:t>。</w:t>
            </w:r>
          </w:p>
        </w:tc>
      </w:tr>
      <w:tr w14:paraId="69F18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01" w:hRule="atLeast"/>
        </w:trPr>
        <w:tc>
          <w:tcPr>
            <w:tcW w:w="629" w:type="dxa"/>
            <w:vMerge w:val="continue"/>
            <w:tcBorders>
              <w:tl2br w:val="nil"/>
              <w:tr2bl w:val="nil"/>
            </w:tcBorders>
            <w:noWrap/>
            <w:vAlign w:val="center"/>
          </w:tcPr>
          <w:p w14:paraId="27B37812">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5A01483B">
            <w:pPr>
              <w:adjustRightInd w:val="0"/>
              <w:snapToGrid w:val="0"/>
              <w:spacing w:line="400" w:lineRule="exact"/>
              <w:jc w:val="center"/>
              <w:rPr>
                <w:rFonts w:hint="eastAsia" w:ascii="仿宋" w:hAnsi="仿宋" w:eastAsia="仿宋" w:cs="仿宋"/>
                <w:b/>
                <w:sz w:val="24"/>
                <w:highlight w:val="none"/>
              </w:rPr>
            </w:pPr>
          </w:p>
        </w:tc>
        <w:tc>
          <w:tcPr>
            <w:tcW w:w="6095" w:type="dxa"/>
            <w:tcBorders>
              <w:tl2br w:val="nil"/>
              <w:tr2bl w:val="nil"/>
            </w:tcBorders>
            <w:noWrap/>
            <w:vAlign w:val="center"/>
          </w:tcPr>
          <w:p w14:paraId="08CA08F3">
            <w:pPr>
              <w:adjustRightInd w:val="0"/>
              <w:snapToGrid w:val="0"/>
              <w:rPr>
                <w:rFonts w:hint="eastAsia" w:ascii="仿宋" w:hAnsi="仿宋" w:eastAsia="仿宋" w:cs="仿宋"/>
                <w:color w:val="FF0000"/>
                <w:kern w:val="0"/>
                <w:sz w:val="24"/>
                <w:highlight w:val="none"/>
              </w:rPr>
            </w:pPr>
            <w:r>
              <w:rPr>
                <w:rFonts w:hint="eastAsia" w:ascii="仿宋" w:hAnsi="仿宋" w:eastAsia="仿宋" w:cs="仿宋"/>
                <w:b/>
                <w:bCs/>
                <w:color w:val="FF0000"/>
                <w:kern w:val="0"/>
                <w:sz w:val="24"/>
                <w:highlight w:val="none"/>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1369D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968" w:hRule="atLeast"/>
        </w:trPr>
        <w:tc>
          <w:tcPr>
            <w:tcW w:w="629" w:type="dxa"/>
            <w:vMerge w:val="continue"/>
            <w:tcBorders>
              <w:tl2br w:val="nil"/>
              <w:tr2bl w:val="nil"/>
            </w:tcBorders>
            <w:noWrap/>
            <w:vAlign w:val="center"/>
          </w:tcPr>
          <w:p w14:paraId="52FC57BB">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1DA154B3">
            <w:pPr>
              <w:adjustRightInd w:val="0"/>
              <w:snapToGrid w:val="0"/>
              <w:spacing w:line="400" w:lineRule="exact"/>
              <w:jc w:val="center"/>
              <w:rPr>
                <w:rFonts w:hint="eastAsia" w:ascii="仿宋" w:hAnsi="仿宋" w:eastAsia="仿宋" w:cs="仿宋"/>
                <w:b/>
                <w:sz w:val="24"/>
                <w:highlight w:val="none"/>
              </w:rPr>
            </w:pPr>
          </w:p>
        </w:tc>
        <w:tc>
          <w:tcPr>
            <w:tcW w:w="6095" w:type="dxa"/>
            <w:tcBorders>
              <w:tl2br w:val="nil"/>
              <w:tr2bl w:val="nil"/>
            </w:tcBorders>
            <w:noWrap/>
            <w:vAlign w:val="center"/>
          </w:tcPr>
          <w:p w14:paraId="17DA585D">
            <w:pPr>
              <w:adjustRightInd w:val="0"/>
              <w:snapToGrid w:val="0"/>
              <w:rPr>
                <w:rFonts w:hint="eastAsia" w:ascii="仿宋" w:hAnsi="仿宋" w:eastAsia="仿宋" w:cs="仿宋"/>
                <w:kern w:val="0"/>
                <w:sz w:val="24"/>
                <w:highlight w:val="none"/>
              </w:rPr>
            </w:pPr>
            <w:r>
              <w:rPr>
                <w:rFonts w:hint="eastAsia" w:ascii="仿宋" w:hAnsi="仿宋" w:eastAsia="仿宋" w:cs="仿宋"/>
                <w:kern w:val="0"/>
                <w:sz w:val="24"/>
                <w:highlight w:val="none"/>
              </w:rPr>
              <w:t>（1）投标人填写中小企业声明函时，标的为</w:t>
            </w:r>
            <w:r>
              <w:rPr>
                <w:rFonts w:hint="eastAsia" w:ascii="仿宋" w:hAnsi="仿宋" w:eastAsia="仿宋" w:cs="仿宋"/>
                <w:b/>
                <w:bCs/>
                <w:color w:val="FF0000"/>
                <w:kern w:val="0"/>
                <w:sz w:val="24"/>
                <w:highlight w:val="none"/>
                <w:u w:val="single"/>
                <w:lang w:eastAsia="zh-CN"/>
              </w:rPr>
              <w:t>2025年度杭州市钱塘区政府投资项目工程竣工财务决算审核服务</w:t>
            </w:r>
            <w:r>
              <w:rPr>
                <w:rFonts w:hint="eastAsia" w:ascii="仿宋" w:hAnsi="仿宋" w:eastAsia="仿宋" w:cs="仿宋"/>
                <w:kern w:val="0"/>
                <w:sz w:val="24"/>
                <w:highlight w:val="none"/>
              </w:rPr>
              <w:t>，所属行业为</w:t>
            </w:r>
            <w:r>
              <w:rPr>
                <w:rFonts w:hint="eastAsia" w:ascii="仿宋" w:hAnsi="仿宋" w:eastAsia="仿宋" w:cs="仿宋"/>
                <w:b/>
                <w:bCs/>
                <w:color w:val="FF0000"/>
                <w:kern w:val="0"/>
                <w:sz w:val="24"/>
                <w:highlight w:val="none"/>
                <w:u w:val="single"/>
                <w:lang w:val="en-US" w:eastAsia="zh-CN"/>
              </w:rPr>
              <w:t>租赁和商务服务业</w:t>
            </w:r>
            <w:r>
              <w:rPr>
                <w:rFonts w:hint="eastAsia" w:ascii="仿宋" w:hAnsi="仿宋" w:eastAsia="仿宋" w:cs="仿宋"/>
                <w:kern w:val="0"/>
                <w:sz w:val="24"/>
                <w:highlight w:val="none"/>
              </w:rPr>
              <w:t>；</w:t>
            </w:r>
          </w:p>
          <w:p w14:paraId="79521367">
            <w:pPr>
              <w:adjustRightInd w:val="0"/>
              <w:snapToGrid w:val="0"/>
              <w:rPr>
                <w:rFonts w:hint="eastAsia" w:ascii="仿宋" w:hAnsi="仿宋" w:eastAsia="仿宋" w:cs="仿宋"/>
                <w:kern w:val="0"/>
                <w:sz w:val="24"/>
                <w:highlight w:val="none"/>
              </w:rPr>
            </w:pPr>
            <w:r>
              <w:rPr>
                <w:rFonts w:hint="eastAsia" w:ascii="仿宋" w:hAnsi="仿宋" w:eastAsia="仿宋" w:cs="仿宋"/>
                <w:kern w:val="0"/>
                <w:sz w:val="24"/>
                <w:highlight w:val="none"/>
              </w:rPr>
              <w:t>（2）从业人员、营业收入、资产总额填报上一年度数据，无上一年度数据的新成立企业可不填报；</w:t>
            </w:r>
          </w:p>
          <w:p w14:paraId="7302129A">
            <w:pPr>
              <w:adjustRightInd w:val="0"/>
              <w:snapToGrid w:val="0"/>
              <w:rPr>
                <w:rFonts w:hint="eastAsia"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color w:val="000000" w:themeColor="text1"/>
                <w:kern w:val="0"/>
                <w:sz w:val="24"/>
                <w:highlight w:val="none"/>
                <w14:textFill>
                  <w14:solidFill>
                    <w14:schemeClr w14:val="tx1"/>
                  </w14:solidFill>
                </w14:textFill>
              </w:rPr>
              <w:t>中型企业、小型企业、微型企业等3种</w:t>
            </w:r>
            <w:r>
              <w:rPr>
                <w:rFonts w:hint="eastAsia" w:ascii="仿宋" w:hAnsi="仿宋" w:eastAsia="仿宋" w:cs="仿宋"/>
                <w:kern w:val="0"/>
                <w:sz w:val="24"/>
                <w:highlight w:val="none"/>
              </w:rPr>
              <w:t>企业类型，结合以上数据，依据《中小企业划型标准规定》（工信部联企业〔2011〕300号）确定的</w:t>
            </w:r>
            <w:r>
              <w:rPr>
                <w:rFonts w:hint="eastAsia" w:ascii="仿宋" w:hAnsi="仿宋" w:eastAsia="仿宋" w:cs="仿宋"/>
                <w:b/>
                <w:bCs/>
                <w:color w:val="FF0000"/>
                <w:kern w:val="0"/>
                <w:sz w:val="24"/>
                <w:highlight w:val="none"/>
                <w:u w:val="single"/>
                <w:lang w:val="en-US" w:eastAsia="zh-CN"/>
              </w:rPr>
              <w:t>租赁和商务服务业</w:t>
            </w:r>
            <w:r>
              <w:rPr>
                <w:rFonts w:hint="eastAsia" w:ascii="仿宋" w:hAnsi="仿宋" w:eastAsia="仿宋" w:cs="仿宋"/>
                <w:kern w:val="0"/>
                <w:sz w:val="24"/>
                <w:highlight w:val="none"/>
              </w:rPr>
              <w:t>，</w:t>
            </w:r>
            <w:r>
              <w:rPr>
                <w:rFonts w:hint="eastAsia" w:ascii="仿宋" w:hAnsi="仿宋" w:eastAsia="仿宋" w:cs="仿宋"/>
                <w:b/>
                <w:bCs/>
                <w:color w:val="FF0000"/>
                <w:kern w:val="0"/>
                <w:sz w:val="24"/>
                <w:highlight w:val="none"/>
                <w:u w:val="single"/>
              </w:rPr>
              <w:t>填写时应明确是中型或小型或微型</w:t>
            </w:r>
            <w:r>
              <w:rPr>
                <w:rFonts w:hint="eastAsia" w:ascii="仿宋" w:hAnsi="仿宋" w:eastAsia="仿宋" w:cs="仿宋"/>
                <w:kern w:val="0"/>
                <w:sz w:val="24"/>
                <w:highlight w:val="none"/>
              </w:rPr>
              <w:t>。</w:t>
            </w:r>
          </w:p>
        </w:tc>
      </w:tr>
      <w:tr w14:paraId="1110D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765A6AD8">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843" w:type="dxa"/>
            <w:tcBorders>
              <w:tl2br w:val="nil"/>
              <w:tr2bl w:val="nil"/>
            </w:tcBorders>
            <w:noWrap/>
            <w:vAlign w:val="center"/>
          </w:tcPr>
          <w:p w14:paraId="360040AD">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l2br w:val="nil"/>
              <w:tr2bl w:val="nil"/>
            </w:tcBorders>
            <w:noWrap/>
            <w:vAlign w:val="center"/>
          </w:tcPr>
          <w:p w14:paraId="5221E6F0">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本项目不允许采购进口产品。</w:t>
            </w:r>
          </w:p>
          <w:p w14:paraId="01764724">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1F8C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5D4B11F5">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843" w:type="dxa"/>
            <w:tcBorders>
              <w:tl2br w:val="nil"/>
              <w:tr2bl w:val="nil"/>
            </w:tcBorders>
            <w:noWrap/>
            <w:vAlign w:val="center"/>
          </w:tcPr>
          <w:p w14:paraId="3BE9CD33">
            <w:pPr>
              <w:adjustRightInd w:val="0"/>
              <w:snapToGrid w:val="0"/>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095" w:type="dxa"/>
            <w:tcBorders>
              <w:tl2br w:val="nil"/>
              <w:tr2bl w:val="nil"/>
            </w:tcBorders>
            <w:noWrap/>
            <w:vAlign w:val="center"/>
          </w:tcPr>
          <w:p w14:paraId="749ED9A6">
            <w:pPr>
              <w:adjustRightInd w:val="0"/>
              <w:snapToGrid w:val="0"/>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 xml:space="preserve"> A</w:t>
            </w:r>
            <w:r>
              <w:rPr>
                <w:rFonts w:hint="eastAsia" w:ascii="仿宋" w:hAnsi="仿宋" w:eastAsia="仿宋" w:cs="仿宋"/>
                <w:sz w:val="24"/>
                <w:highlight w:val="none"/>
              </w:rPr>
              <w:t>同意将非主体、非关键性的工作分包。</w:t>
            </w:r>
          </w:p>
          <w:p w14:paraId="12D0E4F4">
            <w:pPr>
              <w:adjustRightInd w:val="0"/>
              <w:snapToGrid w:val="0"/>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 xml:space="preserve"> B</w:t>
            </w:r>
            <w:r>
              <w:rPr>
                <w:rFonts w:hint="eastAsia" w:ascii="仿宋" w:hAnsi="仿宋" w:eastAsia="仿宋" w:cs="仿宋"/>
                <w:sz w:val="24"/>
                <w:highlight w:val="none"/>
              </w:rPr>
              <w:t>同意向小微企业合理分包。</w:t>
            </w:r>
          </w:p>
          <w:p w14:paraId="5A7582E8">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□C</w:t>
            </w:r>
            <w:r>
              <w:rPr>
                <w:rFonts w:hint="eastAsia" w:ascii="仿宋" w:hAnsi="仿宋" w:eastAsia="仿宋" w:cs="仿宋"/>
                <w:sz w:val="24"/>
                <w:highlight w:val="none"/>
              </w:rPr>
              <w:t>不同意分包。</w:t>
            </w:r>
          </w:p>
        </w:tc>
      </w:tr>
      <w:tr w14:paraId="4DAE7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33" w:hRule="atLeast"/>
        </w:trPr>
        <w:tc>
          <w:tcPr>
            <w:tcW w:w="629" w:type="dxa"/>
            <w:tcBorders>
              <w:tl2br w:val="nil"/>
              <w:tr2bl w:val="nil"/>
            </w:tcBorders>
            <w:noWrap/>
            <w:vAlign w:val="center"/>
          </w:tcPr>
          <w:p w14:paraId="4212FADD">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843" w:type="dxa"/>
            <w:tcBorders>
              <w:tl2br w:val="nil"/>
              <w:tr2bl w:val="nil"/>
            </w:tcBorders>
            <w:noWrap/>
            <w:vAlign w:val="center"/>
          </w:tcPr>
          <w:p w14:paraId="25B6CC1C">
            <w:pPr>
              <w:adjustRightInd w:val="0"/>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6095" w:type="dxa"/>
            <w:tcBorders>
              <w:tl2br w:val="nil"/>
              <w:tr2bl w:val="nil"/>
            </w:tcBorders>
            <w:noWrap/>
            <w:vAlign w:val="center"/>
          </w:tcPr>
          <w:p w14:paraId="3E3C2F44">
            <w:pPr>
              <w:snapToGrid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5FA3447D">
            <w:pPr>
              <w:snapToGrid w:val="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0"/>
                <w:highlight w:val="none"/>
                <w14:textFill>
                  <w14:solidFill>
                    <w14:schemeClr w14:val="tx1"/>
                  </w14:solidFill>
                </w14:textFill>
              </w:rPr>
              <w:t>。</w:t>
            </w:r>
          </w:p>
          <w:p w14:paraId="09F86ADC">
            <w:pPr>
              <w:snapToGrid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A8"/>
            </w:r>
            <w:r>
              <w:rPr>
                <w:rFonts w:hint="eastAsia" w:ascii="仿宋" w:hAnsi="仿宋" w:eastAsia="仿宋" w:cs="仿宋"/>
                <w:color w:val="000000" w:themeColor="text1"/>
                <w:kern w:val="0"/>
                <w:sz w:val="24"/>
                <w:highlight w:val="none"/>
                <w14:textFill>
                  <w14:solidFill>
                    <w14:schemeClr w14:val="tx1"/>
                  </w14:solidFill>
                </w14:textFill>
              </w:rPr>
              <w:t>C不统一组织，供应商在获取采购文件后，自行至项目现场考察。地点：</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 xml:space="preserve"> ，联系人：</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，联系方式：</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w:t>
            </w:r>
          </w:p>
        </w:tc>
      </w:tr>
      <w:tr w14:paraId="292D7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22BBA778">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843" w:type="dxa"/>
            <w:tcBorders>
              <w:tl2br w:val="nil"/>
              <w:tr2bl w:val="nil"/>
            </w:tcBorders>
            <w:noWrap/>
            <w:vAlign w:val="center"/>
          </w:tcPr>
          <w:p w14:paraId="5DA6FC1C">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095" w:type="dxa"/>
            <w:tcBorders>
              <w:tl2br w:val="nil"/>
              <w:tr2bl w:val="nil"/>
            </w:tcBorders>
            <w:noWrap/>
            <w:vAlign w:val="center"/>
          </w:tcPr>
          <w:p w14:paraId="0FF48F00">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14:paraId="3893F79C">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B要求提供，</w:t>
            </w:r>
          </w:p>
          <w:p w14:paraId="1C080673">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snapToGrid w:val="0"/>
                <w:kern w:val="28"/>
                <w:sz w:val="24"/>
                <w:highlight w:val="none"/>
              </w:rPr>
              <w:t>样品：</w:t>
            </w:r>
            <w:r>
              <w:rPr>
                <w:rFonts w:hint="eastAsia" w:ascii="仿宋" w:hAnsi="仿宋" w:eastAsia="仿宋" w:cs="仿宋"/>
                <w:snapToGrid w:val="0"/>
                <w:kern w:val="28"/>
                <w:sz w:val="24"/>
                <w:highlight w:val="none"/>
                <w:u w:val="single"/>
              </w:rPr>
              <w:t xml:space="preserve">  /  </w:t>
            </w:r>
            <w:r>
              <w:rPr>
                <w:rFonts w:hint="eastAsia" w:ascii="仿宋" w:hAnsi="仿宋" w:eastAsia="仿宋" w:cs="仿宋"/>
                <w:snapToGrid w:val="0"/>
                <w:kern w:val="28"/>
                <w:sz w:val="24"/>
                <w:highlight w:val="none"/>
              </w:rPr>
              <w:t>；</w:t>
            </w:r>
          </w:p>
          <w:p w14:paraId="254F3BE5">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snapToGrid w:val="0"/>
                <w:kern w:val="28"/>
                <w:sz w:val="24"/>
                <w:highlight w:val="none"/>
              </w:rPr>
              <w:t>样品制作的标准和要求：</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w:t>
            </w:r>
          </w:p>
          <w:p w14:paraId="60936674">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w:t>
            </w:r>
          </w:p>
          <w:p w14:paraId="0B404E36">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是否需要随样品提交检测报告：</w:t>
            </w: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否；</w:t>
            </w: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w:t>
            </w:r>
          </w:p>
          <w:p w14:paraId="7F688A6B">
            <w:pPr>
              <w:numPr>
                <w:ilvl w:val="0"/>
                <w:numId w:val="1"/>
              </w:num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提供样品的时间：</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；地点：</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14:paraId="27200A13">
            <w:pPr>
              <w:numPr>
                <w:ilvl w:val="0"/>
                <w:numId w:val="1"/>
              </w:num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362E328">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sz w:val="24"/>
                <w:highlight w:val="none"/>
              </w:rPr>
              <w:t>制作、运输、安装和保管样品所发生的一切费用由投标人自理。</w:t>
            </w:r>
          </w:p>
        </w:tc>
      </w:tr>
      <w:tr w14:paraId="2F2A2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2" w:hRule="atLeast"/>
        </w:trPr>
        <w:tc>
          <w:tcPr>
            <w:tcW w:w="629" w:type="dxa"/>
            <w:tcBorders>
              <w:tl2br w:val="nil"/>
              <w:tr2bl w:val="nil"/>
            </w:tcBorders>
            <w:noWrap/>
            <w:vAlign w:val="center"/>
          </w:tcPr>
          <w:p w14:paraId="2259CB7A">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843" w:type="dxa"/>
            <w:tcBorders>
              <w:tl2br w:val="nil"/>
              <w:tr2bl w:val="nil"/>
            </w:tcBorders>
            <w:noWrap/>
            <w:vAlign w:val="center"/>
          </w:tcPr>
          <w:p w14:paraId="5EFA489F">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6095" w:type="dxa"/>
            <w:tcBorders>
              <w:tl2br w:val="nil"/>
              <w:tr2bl w:val="nil"/>
            </w:tcBorders>
            <w:noWrap/>
            <w:vAlign w:val="center"/>
          </w:tcPr>
          <w:p w14:paraId="3453AD83">
            <w:pPr>
              <w:adjustRightInd w:val="0"/>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1050CD62">
            <w:pPr>
              <w:adjustRightInd w:val="0"/>
              <w:snapToGrid w:val="0"/>
              <w:spacing w:line="40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A8"/>
            </w:r>
            <w:r>
              <w:rPr>
                <w:rFonts w:hint="eastAsia" w:ascii="仿宋" w:hAnsi="仿宋" w:eastAsia="仿宋" w:cs="仿宋"/>
                <w:color w:val="000000" w:themeColor="text1"/>
                <w:kern w:val="0"/>
                <w:sz w:val="24"/>
                <w:highlight w:val="none"/>
                <w14:textFill>
                  <w14:solidFill>
                    <w14:schemeClr w14:val="tx1"/>
                  </w14:solidFill>
                </w14:textFill>
              </w:rPr>
              <w:t>B组织。</w:t>
            </w:r>
          </w:p>
          <w:p w14:paraId="04C523C5">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（1）在评标时安排每个投标人进行方案讲解演示。每个投标人时间不超过</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分钟，讲解次序以投标文件解密时间先后次序为准，讲解演示人员不超过</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人。讲解演示结束后按要求解答评标委员会提问。</w:t>
            </w:r>
          </w:p>
          <w:p w14:paraId="5F3F3F7A">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（2）方案讲解演示可选择以下其中一种方式：</w:t>
            </w:r>
          </w:p>
          <w:p w14:paraId="57D7459F">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方式一：政采云平台在线讲解演示。政采云平台在线讲解需投标人根据政采云平台操作要求做好准备工作，提前完善软硬件配置环境。</w:t>
            </w:r>
          </w:p>
          <w:p w14:paraId="33A65D7B">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方式二：交易中心现场讲解演示。现场讲解地点为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，讲解演示所用电脑等设备由投标人自备。现场讲解演示人员进场时提供讲解人员名单（加盖公章或授权代表签名）及身份证明，否则不得讲解演示。</w:t>
            </w:r>
          </w:p>
          <w:p w14:paraId="22C6EA79">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CDCB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noWrap/>
            <w:vAlign w:val="center"/>
          </w:tcPr>
          <w:p w14:paraId="2A83422B">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843" w:type="dxa"/>
            <w:vMerge w:val="restart"/>
            <w:tcBorders>
              <w:tl2br w:val="nil"/>
              <w:tr2bl w:val="nil"/>
            </w:tcBorders>
            <w:noWrap/>
            <w:vAlign w:val="center"/>
          </w:tcPr>
          <w:p w14:paraId="168A271A">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投标人应当提供的资格、资信证明文件</w:t>
            </w:r>
          </w:p>
        </w:tc>
        <w:tc>
          <w:tcPr>
            <w:tcW w:w="6095" w:type="dxa"/>
            <w:tcBorders>
              <w:tl2br w:val="nil"/>
              <w:tr2bl w:val="nil"/>
            </w:tcBorders>
            <w:noWrap/>
            <w:vAlign w:val="center"/>
          </w:tcPr>
          <w:p w14:paraId="08DA7C87">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（1）资格证明文件：见招标文件第二部分11.1。</w:t>
            </w:r>
          </w:p>
          <w:p w14:paraId="2A90AC43">
            <w:pPr>
              <w:adjustRightInd w:val="0"/>
              <w:snapToGrid w:val="0"/>
              <w:spacing w:line="400" w:lineRule="exact"/>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14:paraId="41173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noWrap/>
            <w:vAlign w:val="center"/>
          </w:tcPr>
          <w:p w14:paraId="625D6719">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0156B85A">
            <w:pPr>
              <w:adjustRightInd w:val="0"/>
              <w:snapToGrid w:val="0"/>
              <w:spacing w:line="400" w:lineRule="exact"/>
              <w:jc w:val="center"/>
              <w:rPr>
                <w:rFonts w:hint="eastAsia" w:ascii="仿宋" w:hAnsi="仿宋" w:eastAsia="仿宋" w:cs="仿宋"/>
                <w:b/>
                <w:sz w:val="24"/>
                <w:highlight w:val="none"/>
              </w:rPr>
            </w:pPr>
          </w:p>
        </w:tc>
        <w:tc>
          <w:tcPr>
            <w:tcW w:w="6095" w:type="dxa"/>
            <w:tcBorders>
              <w:tl2br w:val="nil"/>
              <w:tr2bl w:val="nil"/>
            </w:tcBorders>
            <w:noWrap/>
            <w:vAlign w:val="center"/>
          </w:tcPr>
          <w:p w14:paraId="6C72FB97">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14:paraId="55C66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7" w:hRule="atLeast"/>
        </w:trPr>
        <w:tc>
          <w:tcPr>
            <w:tcW w:w="629" w:type="dxa"/>
            <w:tcBorders>
              <w:tl2br w:val="nil"/>
              <w:tr2bl w:val="nil"/>
            </w:tcBorders>
            <w:noWrap/>
            <w:vAlign w:val="center"/>
          </w:tcPr>
          <w:p w14:paraId="21F9C70E">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843" w:type="dxa"/>
            <w:tcBorders>
              <w:tl2br w:val="nil"/>
              <w:tr2bl w:val="nil"/>
            </w:tcBorders>
            <w:noWrap/>
            <w:vAlign w:val="center"/>
          </w:tcPr>
          <w:p w14:paraId="460319EF">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095" w:type="dxa"/>
            <w:tcBorders>
              <w:tl2br w:val="nil"/>
              <w:tr2bl w:val="nil"/>
            </w:tcBorders>
            <w:noWrap/>
            <w:vAlign w:val="center"/>
          </w:tcPr>
          <w:p w14:paraId="5BF49067">
            <w:pPr>
              <w:pStyle w:val="18"/>
              <w:rPr>
                <w:rFonts w:hint="eastAsia" w:ascii="仿宋" w:hAnsi="仿宋" w:eastAsia="仿宋" w:cs="仿宋"/>
                <w:sz w:val="24"/>
                <w:highlight w:val="none"/>
              </w:rPr>
            </w:pPr>
            <w:r>
              <w:rPr>
                <w:rFonts w:hint="eastAsia" w:ascii="仿宋" w:hAnsi="仿宋" w:eastAsia="仿宋"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056BFCB1">
            <w:pPr>
              <w:pStyle w:val="18"/>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A无</w:t>
            </w:r>
          </w:p>
          <w:p w14:paraId="6B74CBE0">
            <w:pPr>
              <w:pStyle w:val="18"/>
              <w:rPr>
                <w:rFonts w:hint="eastAsia" w:ascii="仿宋" w:hAnsi="仿宋" w:eastAsia="仿宋" w:cs="仿宋"/>
                <w:kern w:val="0"/>
                <w:sz w:val="24"/>
                <w:highlight w:val="none"/>
              </w:rPr>
            </w:pPr>
            <w:r>
              <w:rPr>
                <w:rFonts w:hint="eastAsia" w:ascii="仿宋" w:hAnsi="仿宋" w:eastAsia="仿宋" w:cs="仿宋"/>
                <w:snapToGrid w:val="0"/>
                <w:kern w:val="0"/>
                <w:sz w:val="24"/>
                <w:highlight w:val="none"/>
              </w:rPr>
              <w:t>☐</w:t>
            </w:r>
            <w:r>
              <w:rPr>
                <w:rFonts w:hint="eastAsia" w:ascii="仿宋" w:hAnsi="仿宋" w:eastAsia="仿宋" w:cs="仿宋"/>
                <w:kern w:val="0"/>
                <w:sz w:val="24"/>
                <w:highlight w:val="none"/>
              </w:rPr>
              <w:t>B 政府</w:t>
            </w:r>
            <w:r>
              <w:rPr>
                <w:rFonts w:hint="eastAsia" w:ascii="仿宋" w:hAnsi="仿宋" w:eastAsia="仿宋" w:cs="仿宋"/>
                <w:sz w:val="24"/>
                <w:highlight w:val="none"/>
              </w:rPr>
              <w:t>强制采购节能产品</w:t>
            </w:r>
            <w:r>
              <w:rPr>
                <w:rFonts w:hint="eastAsia" w:ascii="仿宋" w:hAnsi="仿宋" w:eastAsia="仿宋" w:cs="仿宋"/>
                <w:kern w:val="0"/>
                <w:sz w:val="24"/>
                <w:highlight w:val="none"/>
              </w:rPr>
              <w:t>：</w:t>
            </w:r>
          </w:p>
          <w:p w14:paraId="520A0235">
            <w:pPr>
              <w:pStyle w:val="18"/>
              <w:rPr>
                <w:rFonts w:hint="eastAsia" w:ascii="仿宋" w:hAnsi="仿宋" w:eastAsia="仿宋" w:cs="仿宋"/>
                <w:sz w:val="24"/>
                <w:highlight w:val="none"/>
                <w:u w:val="single"/>
              </w:rPr>
            </w:pPr>
            <w:r>
              <w:rPr>
                <w:rFonts w:hint="eastAsia" w:ascii="仿宋" w:hAnsi="仿宋" w:eastAsia="仿宋" w:cs="仿宋"/>
                <w:sz w:val="24"/>
                <w:highlight w:val="none"/>
              </w:rPr>
              <w:t>（1）；</w:t>
            </w:r>
          </w:p>
          <w:p w14:paraId="5C9F7601">
            <w:pPr>
              <w:pStyle w:val="18"/>
              <w:rPr>
                <w:rFonts w:hint="eastAsia" w:ascii="仿宋" w:hAnsi="仿宋" w:eastAsia="仿宋" w:cs="仿宋"/>
                <w:sz w:val="24"/>
                <w:highlight w:val="none"/>
              </w:rPr>
            </w:pPr>
            <w:r>
              <w:rPr>
                <w:rFonts w:hint="eastAsia" w:ascii="仿宋" w:hAnsi="仿宋" w:eastAsia="仿宋" w:cs="仿宋"/>
                <w:sz w:val="24"/>
                <w:highlight w:val="none"/>
              </w:rPr>
              <w:t>（2）……</w:t>
            </w:r>
          </w:p>
          <w:p w14:paraId="5208B74B">
            <w:pPr>
              <w:pStyle w:val="18"/>
              <w:rPr>
                <w:rFonts w:hint="eastAsia" w:ascii="仿宋" w:hAnsi="仿宋" w:eastAsia="仿宋" w:cs="仿宋"/>
                <w:kern w:val="0"/>
                <w:sz w:val="24"/>
                <w:highlight w:val="none"/>
              </w:rPr>
            </w:pPr>
            <w:r>
              <w:rPr>
                <w:rFonts w:hint="eastAsia" w:ascii="仿宋" w:hAnsi="仿宋" w:eastAsia="仿宋" w:cs="仿宋"/>
                <w:snapToGrid w:val="0"/>
                <w:kern w:val="0"/>
                <w:sz w:val="24"/>
                <w:highlight w:val="none"/>
              </w:rPr>
              <w:t>☐</w:t>
            </w:r>
            <w:r>
              <w:rPr>
                <w:rFonts w:hint="eastAsia" w:ascii="仿宋" w:hAnsi="仿宋" w:eastAsia="仿宋" w:cs="仿宋"/>
                <w:kern w:val="0"/>
                <w:sz w:val="24"/>
                <w:highlight w:val="none"/>
              </w:rPr>
              <w:t xml:space="preserve">C </w:t>
            </w:r>
            <w:r>
              <w:rPr>
                <w:rFonts w:hint="eastAsia" w:ascii="仿宋" w:hAnsi="仿宋" w:eastAsia="仿宋" w:cs="仿宋"/>
                <w:sz w:val="24"/>
                <w:highlight w:val="none"/>
              </w:rPr>
              <w:t>政府优先采购节能产品</w:t>
            </w:r>
            <w:r>
              <w:rPr>
                <w:rFonts w:hint="eastAsia" w:ascii="仿宋" w:hAnsi="仿宋" w:eastAsia="仿宋" w:cs="仿宋"/>
                <w:kern w:val="0"/>
                <w:sz w:val="24"/>
                <w:highlight w:val="none"/>
              </w:rPr>
              <w:t>：</w:t>
            </w:r>
          </w:p>
          <w:p w14:paraId="4272F057">
            <w:pPr>
              <w:pStyle w:val="18"/>
              <w:rPr>
                <w:rFonts w:hint="eastAsia" w:ascii="仿宋" w:hAnsi="仿宋" w:eastAsia="仿宋" w:cs="仿宋"/>
                <w:sz w:val="24"/>
                <w:highlight w:val="none"/>
                <w:u w:val="single"/>
              </w:rPr>
            </w:pPr>
            <w:r>
              <w:rPr>
                <w:rFonts w:hint="eastAsia" w:ascii="仿宋" w:hAnsi="仿宋" w:eastAsia="仿宋" w:cs="仿宋"/>
                <w:kern w:val="0"/>
                <w:sz w:val="24"/>
                <w:highlight w:val="none"/>
              </w:rPr>
              <w:t>（1）</w:t>
            </w:r>
            <w:r>
              <w:rPr>
                <w:rFonts w:hint="eastAsia" w:ascii="仿宋" w:hAnsi="仿宋" w:eastAsia="仿宋" w:cs="仿宋"/>
                <w:sz w:val="24"/>
                <w:highlight w:val="none"/>
              </w:rPr>
              <w:t>；</w:t>
            </w:r>
          </w:p>
          <w:p w14:paraId="63336C5A">
            <w:pPr>
              <w:pStyle w:val="18"/>
              <w:rPr>
                <w:rFonts w:hint="eastAsia" w:ascii="仿宋" w:hAnsi="仿宋" w:eastAsia="仿宋" w:cs="仿宋"/>
                <w:sz w:val="24"/>
                <w:highlight w:val="none"/>
              </w:rPr>
            </w:pPr>
            <w:r>
              <w:rPr>
                <w:rFonts w:hint="eastAsia" w:ascii="仿宋" w:hAnsi="仿宋" w:eastAsia="仿宋" w:cs="仿宋"/>
                <w:sz w:val="24"/>
                <w:highlight w:val="none"/>
              </w:rPr>
              <w:t>（2）……</w:t>
            </w:r>
          </w:p>
          <w:p w14:paraId="34789C6E">
            <w:pPr>
              <w:pStyle w:val="18"/>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☐D </w:t>
            </w:r>
            <w:r>
              <w:rPr>
                <w:rFonts w:hint="eastAsia" w:ascii="仿宋" w:hAnsi="仿宋" w:eastAsia="仿宋" w:cs="仿宋"/>
                <w:sz w:val="24"/>
                <w:highlight w:val="none"/>
              </w:rPr>
              <w:t>政府优先采购环境标志产品</w:t>
            </w:r>
            <w:r>
              <w:rPr>
                <w:rFonts w:hint="eastAsia" w:ascii="仿宋" w:hAnsi="仿宋" w:eastAsia="仿宋" w:cs="仿宋"/>
                <w:kern w:val="0"/>
                <w:sz w:val="24"/>
                <w:highlight w:val="none"/>
              </w:rPr>
              <w:t>：</w:t>
            </w:r>
          </w:p>
          <w:p w14:paraId="3C6006C2">
            <w:pPr>
              <w:pStyle w:val="18"/>
              <w:rPr>
                <w:rFonts w:hint="eastAsia" w:ascii="仿宋" w:hAnsi="仿宋" w:eastAsia="仿宋" w:cs="仿宋"/>
                <w:sz w:val="24"/>
                <w:highlight w:val="none"/>
              </w:rPr>
            </w:pPr>
            <w:r>
              <w:rPr>
                <w:rFonts w:hint="eastAsia" w:ascii="仿宋" w:hAnsi="仿宋" w:eastAsia="仿宋" w:cs="仿宋"/>
                <w:kern w:val="0"/>
                <w:sz w:val="24"/>
                <w:highlight w:val="none"/>
              </w:rPr>
              <w:t>（1）</w:t>
            </w:r>
            <w:r>
              <w:rPr>
                <w:rFonts w:hint="eastAsia" w:ascii="仿宋" w:hAnsi="仿宋" w:eastAsia="仿宋" w:cs="仿宋"/>
                <w:sz w:val="24"/>
                <w:highlight w:val="none"/>
              </w:rPr>
              <w:t>；</w:t>
            </w:r>
          </w:p>
          <w:p w14:paraId="2C344AE9">
            <w:pPr>
              <w:pStyle w:val="18"/>
              <w:rPr>
                <w:rFonts w:hint="eastAsia" w:ascii="仿宋" w:hAnsi="仿宋" w:eastAsia="仿宋" w:cs="仿宋"/>
                <w:sz w:val="24"/>
                <w:highlight w:val="none"/>
              </w:rPr>
            </w:pPr>
            <w:r>
              <w:rPr>
                <w:rFonts w:hint="eastAsia" w:ascii="仿宋" w:hAnsi="仿宋" w:eastAsia="仿宋" w:cs="仿宋"/>
                <w:sz w:val="24"/>
                <w:highlight w:val="none"/>
              </w:rPr>
              <w:t>（2）……</w:t>
            </w:r>
          </w:p>
        </w:tc>
      </w:tr>
      <w:tr w14:paraId="10D4E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7" w:hRule="atLeast"/>
        </w:trPr>
        <w:tc>
          <w:tcPr>
            <w:tcW w:w="629" w:type="dxa"/>
            <w:tcBorders>
              <w:tl2br w:val="nil"/>
              <w:tr2bl w:val="nil"/>
            </w:tcBorders>
            <w:noWrap/>
            <w:vAlign w:val="center"/>
          </w:tcPr>
          <w:p w14:paraId="436DFE98">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843" w:type="dxa"/>
            <w:tcBorders>
              <w:tl2br w:val="nil"/>
              <w:tr2bl w:val="nil"/>
            </w:tcBorders>
            <w:noWrap/>
            <w:vAlign w:val="center"/>
          </w:tcPr>
          <w:p w14:paraId="0E31EB29">
            <w:pPr>
              <w:adjustRightInd w:val="0"/>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报价要求（下有）</w:t>
            </w:r>
          </w:p>
        </w:tc>
        <w:tc>
          <w:tcPr>
            <w:tcW w:w="6095" w:type="dxa"/>
            <w:tcBorders>
              <w:tl2br w:val="nil"/>
              <w:tr2bl w:val="nil"/>
            </w:tcBorders>
            <w:noWrap/>
            <w:vAlign w:val="center"/>
          </w:tcPr>
          <w:p w14:paraId="0DE59FAC">
            <w:pPr>
              <w:tabs>
                <w:tab w:val="left" w:pos="3570"/>
              </w:tabs>
              <w:adjustRightInd w:val="0"/>
              <w:snapToGrid w:val="0"/>
              <w:spacing w:line="40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4"/>
                <w:highlight w:val="none"/>
                <w14:textFill>
                  <w14:solidFill>
                    <w14:schemeClr w14:val="tx1"/>
                  </w14:solidFill>
                </w14:textFill>
              </w:rPr>
              <w:t>开标一览表（报价表）是报价的唯一载体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提醒：验收时检测费用由采购人承担，不包含在投标总价中。</w:t>
            </w:r>
          </w:p>
          <w:p w14:paraId="601FDA33">
            <w:pPr>
              <w:adjustRightInd w:val="0"/>
              <w:snapToGrid w:val="0"/>
              <w:spacing w:line="40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14:paraId="25CCF212">
            <w:pPr>
              <w:numPr>
                <w:ilvl w:val="0"/>
                <w:numId w:val="2"/>
              </w:numPr>
              <w:adjustRightInd w:val="0"/>
              <w:snapToGrid w:val="0"/>
              <w:spacing w:line="40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14:paraId="4A3C9952">
            <w:pPr>
              <w:numPr>
                <w:ilvl w:val="0"/>
                <w:numId w:val="2"/>
              </w:numPr>
              <w:adjustRightInd w:val="0"/>
              <w:snapToGrid w:val="0"/>
              <w:spacing w:line="40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14:paraId="3D1332B8">
            <w:pPr>
              <w:numPr>
                <w:ilvl w:val="0"/>
                <w:numId w:val="2"/>
              </w:numPr>
              <w:adjustRightInd w:val="0"/>
              <w:snapToGrid w:val="0"/>
              <w:spacing w:line="40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37A5C1A7">
            <w:pPr>
              <w:numPr>
                <w:ilvl w:val="0"/>
                <w:numId w:val="2"/>
              </w:numPr>
              <w:adjustRightInd w:val="0"/>
              <w:snapToGrid w:val="0"/>
              <w:spacing w:line="400" w:lineRule="exact"/>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0C66D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7" w:hRule="atLeast"/>
        </w:trPr>
        <w:tc>
          <w:tcPr>
            <w:tcW w:w="629" w:type="dxa"/>
            <w:vMerge w:val="restart"/>
            <w:tcBorders>
              <w:tl2br w:val="nil"/>
              <w:tr2bl w:val="nil"/>
            </w:tcBorders>
            <w:noWrap/>
            <w:vAlign w:val="center"/>
          </w:tcPr>
          <w:p w14:paraId="45F6493D">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843" w:type="dxa"/>
            <w:vMerge w:val="restart"/>
            <w:tcBorders>
              <w:tl2br w:val="nil"/>
              <w:tr2bl w:val="nil"/>
            </w:tcBorders>
            <w:noWrap/>
            <w:vAlign w:val="center"/>
          </w:tcPr>
          <w:p w14:paraId="0C246B05">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095" w:type="dxa"/>
            <w:tcBorders>
              <w:tl2br w:val="nil"/>
              <w:tr2bl w:val="nil"/>
            </w:tcBorders>
            <w:noWrap/>
            <w:vAlign w:val="center"/>
          </w:tcPr>
          <w:p w14:paraId="298F7CC5">
            <w:pPr>
              <w:adjustRightInd w:val="0"/>
              <w:snapToGrid w:val="0"/>
              <w:spacing w:line="400" w:lineRule="exact"/>
              <w:rPr>
                <w:rFonts w:hint="eastAsia" w:ascii="仿宋" w:hAnsi="仿宋" w:eastAsia="仿宋" w:cs="仿宋"/>
                <w:b/>
                <w:sz w:val="24"/>
                <w:highlight w:val="none"/>
              </w:rPr>
            </w:pPr>
            <w:r>
              <w:rPr>
                <w:rFonts w:hint="eastAsia" w:ascii="仿宋" w:hAnsi="仿宋" w:eastAsia="仿宋" w:cs="仿宋"/>
                <w:sz w:val="24"/>
                <w:highlight w:val="none"/>
              </w:rPr>
              <w:t>为支持和促进中小企业发展，进一步发挥政府采购政策功能，根据《杭州市政府采购支持中小企业信用融资管理办法》和《关于钱塘区政府采购支持中小企业信用融资有关事项的通知》，供应商若有融资意向，详见本采购文件尾页《关于钱塘区政府采购支持中小企业信用融资相关事项通知》，或登录杭州钱塘区管理委员会官网查看信用融资相关政策及各相关银行服务方案、联系方式。</w:t>
            </w:r>
          </w:p>
        </w:tc>
      </w:tr>
      <w:tr w14:paraId="2466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7" w:hRule="atLeast"/>
        </w:trPr>
        <w:tc>
          <w:tcPr>
            <w:tcW w:w="629" w:type="dxa"/>
            <w:vMerge w:val="continue"/>
            <w:tcBorders>
              <w:tl2br w:val="nil"/>
              <w:tr2bl w:val="nil"/>
            </w:tcBorders>
            <w:noWrap/>
            <w:vAlign w:val="center"/>
          </w:tcPr>
          <w:p w14:paraId="265FE361">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5D16DDA6">
            <w:pPr>
              <w:adjustRightInd w:val="0"/>
              <w:snapToGrid w:val="0"/>
              <w:spacing w:line="400" w:lineRule="exact"/>
              <w:ind w:firstLine="482" w:firstLineChars="200"/>
              <w:rPr>
                <w:rFonts w:hint="eastAsia" w:ascii="仿宋" w:hAnsi="仿宋" w:eastAsia="仿宋" w:cs="仿宋"/>
                <w:b/>
                <w:sz w:val="24"/>
                <w:highlight w:val="none"/>
              </w:rPr>
            </w:pPr>
          </w:p>
        </w:tc>
        <w:tc>
          <w:tcPr>
            <w:tcW w:w="6095" w:type="dxa"/>
            <w:tcBorders>
              <w:tl2br w:val="nil"/>
              <w:tr2bl w:val="nil"/>
            </w:tcBorders>
            <w:noWrap/>
            <w:vAlign w:val="center"/>
          </w:tcPr>
          <w:p w14:paraId="70FFBCCE">
            <w:pPr>
              <w:adjustRightInd w:val="0"/>
              <w:snapToGrid w:val="0"/>
              <w:spacing w:line="400" w:lineRule="exact"/>
              <w:rPr>
                <w:rFonts w:hint="eastAsia" w:ascii="仿宋" w:hAnsi="仿宋" w:eastAsia="仿宋" w:cs="仿宋"/>
                <w:b/>
                <w:sz w:val="24"/>
                <w:highlight w:val="none"/>
              </w:rPr>
            </w:pP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B6F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629" w:type="dxa"/>
            <w:tcBorders>
              <w:tl2br w:val="nil"/>
              <w:tr2bl w:val="nil"/>
            </w:tcBorders>
            <w:noWrap/>
            <w:vAlign w:val="center"/>
          </w:tcPr>
          <w:p w14:paraId="2D385C1E">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843" w:type="dxa"/>
            <w:tcBorders>
              <w:tl2br w:val="nil"/>
              <w:tr2bl w:val="nil"/>
            </w:tcBorders>
            <w:noWrap/>
            <w:vAlign w:val="center"/>
          </w:tcPr>
          <w:p w14:paraId="423FB318">
            <w:pPr>
              <w:adjustRightInd w:val="0"/>
              <w:snapToGrid w:val="0"/>
              <w:spacing w:line="400" w:lineRule="exact"/>
              <w:jc w:val="center"/>
              <w:rPr>
                <w:rFonts w:hint="eastAsia" w:ascii="仿宋" w:hAnsi="仿宋" w:eastAsia="仿宋" w:cs="仿宋"/>
                <w:bCs/>
                <w:sz w:val="24"/>
                <w:highlight w:val="none"/>
              </w:rPr>
            </w:pPr>
            <w:r>
              <w:rPr>
                <w:rFonts w:hint="eastAsia" w:ascii="仿宋" w:hAnsi="仿宋" w:eastAsia="仿宋" w:cs="仿宋"/>
                <w:b/>
                <w:sz w:val="24"/>
                <w:highlight w:val="none"/>
              </w:rPr>
              <w:t xml:space="preserve">备份投标文件送达地点和签收人员 </w:t>
            </w:r>
          </w:p>
        </w:tc>
        <w:tc>
          <w:tcPr>
            <w:tcW w:w="6095" w:type="dxa"/>
            <w:tcBorders>
              <w:tl2br w:val="nil"/>
              <w:tr2bl w:val="nil"/>
            </w:tcBorders>
            <w:noWrap/>
            <w:vAlign w:val="center"/>
          </w:tcPr>
          <w:p w14:paraId="28880773">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备份投标文件送达地点：</w:t>
            </w:r>
            <w:r>
              <w:rPr>
                <w:rFonts w:hint="eastAsia" w:ascii="仿宋" w:hAnsi="仿宋" w:eastAsia="仿宋" w:cs="仿宋"/>
                <w:sz w:val="24"/>
                <w:highlight w:val="none"/>
                <w:u w:val="single"/>
              </w:rPr>
              <w:t xml:space="preserve"> 杭州市文三路90号东部软件园一号楼319室  </w:t>
            </w:r>
            <w:r>
              <w:rPr>
                <w:rFonts w:hint="eastAsia" w:ascii="仿宋" w:hAnsi="仿宋" w:eastAsia="仿宋" w:cs="仿宋"/>
                <w:kern w:val="28"/>
                <w:sz w:val="24"/>
                <w:szCs w:val="24"/>
                <w:highlight w:val="none"/>
              </w:rPr>
              <w:t>；</w:t>
            </w:r>
          </w:p>
          <w:p w14:paraId="5D4A689A">
            <w:pPr>
              <w:pStyle w:val="24"/>
              <w:adjustRightInd w:val="0"/>
              <w:snapToGrid w:val="0"/>
              <w:spacing w:line="400" w:lineRule="exact"/>
              <w:rPr>
                <w:rFonts w:hint="eastAsia" w:ascii="仿宋" w:hAnsi="仿宋" w:eastAsia="仿宋" w:cs="仿宋"/>
                <w:color w:val="FF0000"/>
                <w:kern w:val="28"/>
                <w:sz w:val="24"/>
                <w:szCs w:val="24"/>
                <w:highlight w:val="none"/>
              </w:rPr>
            </w:pPr>
            <w:r>
              <w:rPr>
                <w:rFonts w:hint="eastAsia" w:ascii="仿宋" w:hAnsi="仿宋" w:eastAsia="仿宋" w:cs="仿宋"/>
                <w:b/>
                <w:bCs/>
                <w:color w:val="FF0000"/>
                <w:kern w:val="28"/>
                <w:sz w:val="24"/>
                <w:szCs w:val="24"/>
                <w:highlight w:val="none"/>
              </w:rPr>
              <w:t>因开标地点与代理机构办公地点不在同一处，备份文件如开标当天送出或可以收到的，</w:t>
            </w:r>
            <w:r>
              <w:rPr>
                <w:rFonts w:hint="eastAsia" w:ascii="仿宋" w:hAnsi="仿宋" w:eastAsia="仿宋" w:cs="仿宋"/>
                <w:color w:val="FF0000"/>
                <w:kern w:val="28"/>
                <w:sz w:val="24"/>
                <w:szCs w:val="24"/>
                <w:highlight w:val="none"/>
              </w:rPr>
              <w:t>请在投标截止时间</w:t>
            </w:r>
            <w:r>
              <w:rPr>
                <w:rFonts w:hint="eastAsia" w:ascii="仿宋" w:hAnsi="仿宋" w:eastAsia="仿宋" w:cs="仿宋"/>
                <w:color w:val="FF0000"/>
                <w:kern w:val="28"/>
                <w:sz w:val="24"/>
                <w:szCs w:val="24"/>
                <w:highlight w:val="none"/>
                <w:lang w:val="en-US" w:eastAsia="zh-CN"/>
              </w:rPr>
              <w:t>当天</w:t>
            </w:r>
            <w:r>
              <w:rPr>
                <w:rFonts w:hint="eastAsia" w:ascii="仿宋" w:hAnsi="仿宋" w:eastAsia="仿宋" w:cs="仿宋"/>
                <w:color w:val="FF0000"/>
                <w:kern w:val="28"/>
                <w:sz w:val="24"/>
                <w:szCs w:val="24"/>
                <w:highlight w:val="none"/>
              </w:rPr>
              <w:t>，送至</w:t>
            </w:r>
            <w:r>
              <w:rPr>
                <w:rFonts w:hint="eastAsia" w:ascii="仿宋" w:hAnsi="仿宋" w:eastAsia="仿宋" w:cs="仿宋"/>
                <w:color w:val="FF0000"/>
                <w:sz w:val="24"/>
                <w:highlight w:val="none"/>
                <w:u w:val="single"/>
              </w:rPr>
              <w:t>杭州市钱塘区金沙大道600号东楼6楼</w:t>
            </w:r>
            <w:r>
              <w:rPr>
                <w:rFonts w:hint="eastAsia" w:ascii="仿宋" w:hAnsi="仿宋" w:eastAsia="仿宋" w:cs="仿宋"/>
                <w:color w:val="FF0000"/>
                <w:sz w:val="24"/>
                <w:highlight w:val="none"/>
                <w:u w:val="single"/>
                <w:lang w:val="en-US" w:eastAsia="zh-CN"/>
              </w:rPr>
              <w:t>5</w:t>
            </w:r>
            <w:r>
              <w:rPr>
                <w:rFonts w:hint="eastAsia" w:ascii="仿宋" w:hAnsi="仿宋" w:eastAsia="仿宋" w:cs="仿宋"/>
                <w:color w:val="FF0000"/>
                <w:sz w:val="24"/>
                <w:highlight w:val="none"/>
                <w:u w:val="single"/>
              </w:rPr>
              <w:t>号开标室</w:t>
            </w:r>
            <w:r>
              <w:rPr>
                <w:rFonts w:hint="eastAsia" w:ascii="仿宋" w:hAnsi="仿宋" w:eastAsia="仿宋" w:cs="仿宋"/>
                <w:color w:val="FF0000"/>
                <w:sz w:val="24"/>
                <w:highlight w:val="none"/>
              </w:rPr>
              <w:t>。</w:t>
            </w:r>
          </w:p>
          <w:p w14:paraId="2EC7C927">
            <w:pPr>
              <w:pStyle w:val="24"/>
              <w:adjustRightInd w:val="0"/>
              <w:snapToGrid w:val="0"/>
              <w:spacing w:line="400" w:lineRule="exact"/>
              <w:rPr>
                <w:rFonts w:hint="eastAsia" w:ascii="仿宋" w:hAnsi="仿宋" w:eastAsia="仿宋" w:cs="仿宋"/>
                <w:highlight w:val="none"/>
              </w:rPr>
            </w:pP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highlight w:val="none"/>
                <w:u w:val="single"/>
              </w:rPr>
              <w:t xml:space="preserve"> 唐稳，13777483506   </w:t>
            </w:r>
            <w:r>
              <w:rPr>
                <w:rFonts w:hint="eastAsia" w:ascii="仿宋" w:hAnsi="仿宋" w:eastAsia="仿宋" w:cs="仿宋"/>
                <w:sz w:val="24"/>
                <w:szCs w:val="24"/>
                <w:highlight w:val="none"/>
              </w:rPr>
              <w:t>。</w:t>
            </w:r>
          </w:p>
          <w:p w14:paraId="09EB9865">
            <w:pPr>
              <w:pStyle w:val="24"/>
              <w:adjustRightInd w:val="0"/>
              <w:snapToGrid w:val="0"/>
              <w:spacing w:line="400" w:lineRule="exact"/>
              <w:rPr>
                <w:rFonts w:hint="eastAsia" w:ascii="仿宋" w:hAnsi="仿宋" w:eastAsia="仿宋" w:cs="仿宋"/>
                <w:b/>
                <w:kern w:val="0"/>
                <w:sz w:val="24"/>
                <w:highlight w:val="none"/>
                <w:lang w:val="zh-CN"/>
              </w:rPr>
            </w:pPr>
            <w:r>
              <w:rPr>
                <w:rFonts w:hint="eastAsia" w:ascii="仿宋" w:hAnsi="仿宋" w:eastAsia="仿宋" w:cs="仿宋"/>
                <w:b/>
                <w:sz w:val="24"/>
                <w:szCs w:val="24"/>
                <w:highlight w:val="none"/>
              </w:rPr>
              <w:t>采购人、采购机构不强制或变相强制投标人提交备份投标文件。</w:t>
            </w:r>
          </w:p>
        </w:tc>
      </w:tr>
      <w:tr w14:paraId="4820E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6" w:hRule="atLeast"/>
        </w:trPr>
        <w:tc>
          <w:tcPr>
            <w:tcW w:w="629" w:type="dxa"/>
            <w:tcBorders>
              <w:tl2br w:val="nil"/>
              <w:tr2bl w:val="nil"/>
            </w:tcBorders>
            <w:noWrap/>
            <w:vAlign w:val="center"/>
          </w:tcPr>
          <w:p w14:paraId="73C60DF5">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843" w:type="dxa"/>
            <w:tcBorders>
              <w:tl2br w:val="nil"/>
              <w:tr2bl w:val="nil"/>
            </w:tcBorders>
            <w:noWrap/>
            <w:vAlign w:val="center"/>
          </w:tcPr>
          <w:p w14:paraId="5BFD3C38">
            <w:pPr>
              <w:adjustRightInd w:val="0"/>
              <w:snapToGrid w:val="0"/>
              <w:jc w:val="center"/>
              <w:rPr>
                <w:rFonts w:hint="eastAsia" w:ascii="仿宋" w:hAnsi="仿宋" w:eastAsia="仿宋" w:cs="仿宋"/>
                <w:b/>
                <w:sz w:val="24"/>
                <w:highlight w:val="none"/>
              </w:rPr>
            </w:pPr>
            <w:r>
              <w:rPr>
                <w:rFonts w:hint="eastAsia" w:ascii="仿宋" w:hAnsi="仿宋" w:eastAsia="仿宋" w:cs="仿宋"/>
                <w:sz w:val="24"/>
                <w:highlight w:val="none"/>
              </w:rPr>
              <w:t>采购代理服务费</w:t>
            </w:r>
          </w:p>
        </w:tc>
        <w:tc>
          <w:tcPr>
            <w:tcW w:w="6095" w:type="dxa"/>
            <w:tcBorders>
              <w:tl2br w:val="nil"/>
              <w:tr2bl w:val="nil"/>
            </w:tcBorders>
            <w:noWrap/>
            <w:vAlign w:val="center"/>
          </w:tcPr>
          <w:p w14:paraId="6B747DFE">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kern w:val="28"/>
                <w:sz w:val="24"/>
                <w:szCs w:val="24"/>
                <w:highlight w:val="none"/>
                <w:lang w:val="en-US" w:eastAsia="zh-CN"/>
              </w:rPr>
              <w:t>本项目的采购代理服务费由各标项中标人分别支付，标项一金额为</w:t>
            </w:r>
            <w:r>
              <w:rPr>
                <w:rFonts w:hint="eastAsia" w:ascii="仿宋" w:hAnsi="仿宋" w:eastAsia="仿宋" w:cs="仿宋"/>
                <w:kern w:val="28"/>
                <w:sz w:val="24"/>
                <w:szCs w:val="24"/>
                <w:highlight w:val="none"/>
                <w:u w:val="single"/>
                <w:lang w:val="en-US" w:eastAsia="zh-CN"/>
              </w:rPr>
              <w:t>5100</w:t>
            </w:r>
            <w:r>
              <w:rPr>
                <w:rFonts w:hint="eastAsia" w:ascii="仿宋" w:hAnsi="仿宋" w:eastAsia="仿宋" w:cs="仿宋"/>
                <w:kern w:val="28"/>
                <w:sz w:val="24"/>
                <w:szCs w:val="24"/>
                <w:highlight w:val="none"/>
                <w:u w:val="none"/>
                <w:lang w:val="en-US" w:eastAsia="zh-CN"/>
              </w:rPr>
              <w:t>元；标项二</w:t>
            </w:r>
            <w:r>
              <w:rPr>
                <w:rFonts w:hint="eastAsia" w:ascii="仿宋" w:hAnsi="仿宋" w:eastAsia="仿宋" w:cs="仿宋"/>
                <w:kern w:val="28"/>
                <w:sz w:val="24"/>
                <w:szCs w:val="24"/>
                <w:highlight w:val="none"/>
                <w:lang w:val="en-US" w:eastAsia="zh-CN"/>
              </w:rPr>
              <w:t>金额为</w:t>
            </w:r>
            <w:r>
              <w:rPr>
                <w:rFonts w:hint="eastAsia" w:ascii="仿宋" w:hAnsi="仿宋" w:eastAsia="仿宋" w:cs="仿宋"/>
                <w:kern w:val="28"/>
                <w:sz w:val="24"/>
                <w:szCs w:val="24"/>
                <w:highlight w:val="none"/>
                <w:u w:val="single"/>
                <w:lang w:val="en-US" w:eastAsia="zh-CN"/>
              </w:rPr>
              <w:t>4200</w:t>
            </w:r>
            <w:r>
              <w:rPr>
                <w:rFonts w:hint="eastAsia" w:ascii="仿宋" w:hAnsi="仿宋" w:eastAsia="仿宋" w:cs="仿宋"/>
                <w:kern w:val="28"/>
                <w:sz w:val="24"/>
                <w:szCs w:val="24"/>
                <w:highlight w:val="none"/>
                <w:u w:val="none"/>
                <w:lang w:val="en-US" w:eastAsia="zh-CN"/>
              </w:rPr>
              <w:t>元；标项三</w:t>
            </w:r>
            <w:r>
              <w:rPr>
                <w:rFonts w:hint="eastAsia" w:ascii="仿宋" w:hAnsi="仿宋" w:eastAsia="仿宋" w:cs="仿宋"/>
                <w:kern w:val="28"/>
                <w:sz w:val="24"/>
                <w:szCs w:val="24"/>
                <w:highlight w:val="none"/>
                <w:lang w:val="en-US" w:eastAsia="zh-CN"/>
              </w:rPr>
              <w:t>金额为</w:t>
            </w:r>
            <w:r>
              <w:rPr>
                <w:rFonts w:hint="eastAsia" w:ascii="仿宋" w:hAnsi="仿宋" w:eastAsia="仿宋" w:cs="仿宋"/>
                <w:kern w:val="28"/>
                <w:sz w:val="24"/>
                <w:szCs w:val="24"/>
                <w:highlight w:val="none"/>
                <w:u w:val="single"/>
                <w:lang w:val="en-US" w:eastAsia="zh-CN"/>
              </w:rPr>
              <w:t>3700</w:t>
            </w:r>
            <w:r>
              <w:rPr>
                <w:rFonts w:hint="eastAsia" w:ascii="仿宋" w:hAnsi="仿宋" w:eastAsia="仿宋" w:cs="仿宋"/>
                <w:kern w:val="28"/>
                <w:sz w:val="24"/>
                <w:szCs w:val="24"/>
                <w:highlight w:val="none"/>
                <w:u w:val="none"/>
                <w:lang w:val="en-US" w:eastAsia="zh-CN"/>
              </w:rPr>
              <w:t>元</w:t>
            </w:r>
            <w:r>
              <w:rPr>
                <w:rFonts w:hint="eastAsia" w:ascii="仿宋" w:hAnsi="仿宋" w:eastAsia="仿宋" w:cs="仿宋"/>
                <w:kern w:val="28"/>
                <w:sz w:val="24"/>
                <w:szCs w:val="24"/>
                <w:highlight w:val="none"/>
                <w:lang w:val="en-US" w:eastAsia="zh-CN"/>
              </w:rPr>
              <w:t>。</w:t>
            </w:r>
          </w:p>
          <w:p w14:paraId="6AFEB01D">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2.结算方式及时间为：在结果公告发布5个工作日内由中标人一次性向采购代理机构付清。</w:t>
            </w:r>
          </w:p>
          <w:p w14:paraId="280ADB0F">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3.代理机构账号信息：</w:t>
            </w:r>
          </w:p>
          <w:p w14:paraId="5D413510">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（1）收款人（全称）：浙江国际招投标有限公司</w:t>
            </w:r>
          </w:p>
          <w:p w14:paraId="18DF0901">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（2）开户银行：中国工商银行杭州武林支行</w:t>
            </w:r>
          </w:p>
          <w:p w14:paraId="2846BF11">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（3）帐    号：1202 0212 0990 6782 015</w:t>
            </w:r>
          </w:p>
          <w:p w14:paraId="707C975D">
            <w:pPr>
              <w:pStyle w:val="24"/>
              <w:adjustRightInd w:val="0"/>
              <w:snapToGrid w:val="0"/>
              <w:rPr>
                <w:rFonts w:hint="eastAsia" w:ascii="仿宋" w:hAnsi="仿宋" w:eastAsia="仿宋" w:cs="仿宋"/>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中标、成交供应商放弃中标、成交资格导致重新采购的，应当承担支付代理费和专家评审费等费用在内的赔偿责任。</w:t>
            </w:r>
          </w:p>
        </w:tc>
      </w:tr>
      <w:tr w14:paraId="5FEFA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vMerge w:val="restart"/>
            <w:tcBorders>
              <w:tl2br w:val="nil"/>
              <w:tr2bl w:val="nil"/>
            </w:tcBorders>
            <w:noWrap/>
            <w:vAlign w:val="center"/>
          </w:tcPr>
          <w:p w14:paraId="5E4EAC43">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14</w:t>
            </w:r>
          </w:p>
          <w:p w14:paraId="2536204D">
            <w:pPr>
              <w:adjustRightInd w:val="0"/>
              <w:snapToGrid w:val="0"/>
              <w:spacing w:line="400" w:lineRule="exact"/>
              <w:jc w:val="center"/>
              <w:rPr>
                <w:rFonts w:hint="eastAsia" w:ascii="仿宋" w:hAnsi="仿宋" w:eastAsia="仿宋" w:cs="仿宋"/>
                <w:sz w:val="24"/>
                <w:highlight w:val="none"/>
              </w:rPr>
            </w:pPr>
          </w:p>
        </w:tc>
        <w:tc>
          <w:tcPr>
            <w:tcW w:w="1843" w:type="dxa"/>
            <w:vMerge w:val="restart"/>
            <w:tcBorders>
              <w:tl2br w:val="nil"/>
              <w:tr2bl w:val="nil"/>
            </w:tcBorders>
            <w:noWrap/>
            <w:vAlign w:val="center"/>
          </w:tcPr>
          <w:p w14:paraId="2F65E52B">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联合体投标说明</w:t>
            </w:r>
          </w:p>
          <w:p w14:paraId="779D6052">
            <w:pPr>
              <w:adjustRightInd w:val="0"/>
              <w:snapToGrid w:val="0"/>
              <w:jc w:val="center"/>
              <w:rPr>
                <w:rFonts w:hint="eastAsia" w:ascii="仿宋" w:hAnsi="仿宋" w:eastAsia="仿宋" w:cs="仿宋"/>
                <w:sz w:val="24"/>
                <w:highlight w:val="none"/>
              </w:rPr>
            </w:pPr>
          </w:p>
        </w:tc>
        <w:tc>
          <w:tcPr>
            <w:tcW w:w="6095" w:type="dxa"/>
            <w:tcBorders>
              <w:tl2br w:val="nil"/>
              <w:tr2bl w:val="nil"/>
            </w:tcBorders>
            <w:noWrap/>
            <w:vAlign w:val="center"/>
          </w:tcPr>
          <w:p w14:paraId="1924EB59">
            <w:pPr>
              <w:pStyle w:val="24"/>
              <w:adjustRightInd w:val="0"/>
              <w:snapToGrid w:val="0"/>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以联合体形式参与投标的，资格文件中：</w:t>
            </w:r>
          </w:p>
          <w:p w14:paraId="56135250">
            <w:pPr>
              <w:pStyle w:val="24"/>
              <w:adjustRightInd w:val="0"/>
              <w:snapToGrid w:val="0"/>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1、联合体各方均应提供“符合参加采购活动应当具备的一般条件的承诺函”，否则资格审查不通过。（承诺函格式见采购文件第六部分）</w:t>
            </w:r>
          </w:p>
          <w:p w14:paraId="574DC515">
            <w:pPr>
              <w:rPr>
                <w:rFonts w:hint="eastAsia" w:ascii="仿宋" w:hAnsi="仿宋" w:eastAsia="仿宋" w:cs="仿宋"/>
                <w:highlight w:val="none"/>
                <w:lang w:val="en-US" w:eastAsia="zh-CN"/>
              </w:rPr>
            </w:pPr>
            <w:r>
              <w:rPr>
                <w:rFonts w:hint="eastAsia" w:ascii="仿宋" w:hAnsi="仿宋" w:eastAsia="仿宋" w:cs="仿宋"/>
                <w:kern w:val="28"/>
                <w:sz w:val="24"/>
                <w:szCs w:val="24"/>
                <w:highlight w:val="none"/>
              </w:rPr>
              <w:t>2、资格文件中必须提供联合协议，否则资格审查不通过。（联合协议格式见采购文件第六部分）</w:t>
            </w:r>
          </w:p>
        </w:tc>
      </w:tr>
      <w:tr w14:paraId="18C69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vMerge w:val="continue"/>
            <w:tcBorders>
              <w:tl2br w:val="nil"/>
              <w:tr2bl w:val="nil"/>
            </w:tcBorders>
            <w:noWrap/>
            <w:vAlign w:val="center"/>
          </w:tcPr>
          <w:p w14:paraId="6C37948A">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0480D8BF">
            <w:pPr>
              <w:adjustRightInd w:val="0"/>
              <w:snapToGrid w:val="0"/>
              <w:jc w:val="center"/>
              <w:rPr>
                <w:rFonts w:hint="eastAsia" w:ascii="仿宋" w:hAnsi="仿宋" w:eastAsia="仿宋" w:cs="仿宋"/>
                <w:sz w:val="24"/>
                <w:highlight w:val="none"/>
              </w:rPr>
            </w:pPr>
          </w:p>
        </w:tc>
        <w:tc>
          <w:tcPr>
            <w:tcW w:w="6095" w:type="dxa"/>
            <w:tcBorders>
              <w:tl2br w:val="nil"/>
              <w:tr2bl w:val="nil"/>
            </w:tcBorders>
            <w:noWrap/>
            <w:vAlign w:val="center"/>
          </w:tcPr>
          <w:p w14:paraId="3B7BFB5C">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业绩证明材料</w:t>
            </w:r>
          </w:p>
          <w:p w14:paraId="5B09804D">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A8"/>
            </w:r>
            <w:r>
              <w:rPr>
                <w:rFonts w:hint="eastAsia" w:ascii="仿宋" w:hAnsi="仿宋" w:eastAsia="仿宋" w:cs="仿宋"/>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14:paraId="6E8287A7">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FE"/>
            </w:r>
            <w:r>
              <w:rPr>
                <w:rFonts w:hint="eastAsia" w:ascii="仿宋" w:hAnsi="仿宋" w:eastAsia="仿宋" w:cs="仿宋"/>
                <w:kern w:val="28"/>
                <w:sz w:val="24"/>
                <w:szCs w:val="24"/>
                <w:highlight w:val="none"/>
              </w:rPr>
              <w:t>联合体投标的，由联合体牵头方出具相应的业绩证明材料。</w:t>
            </w:r>
          </w:p>
          <w:p w14:paraId="3C55AECC">
            <w:pPr>
              <w:pStyle w:val="24"/>
              <w:adjustRightInd w:val="0"/>
              <w:snapToGrid w:val="0"/>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☐其他规定：</w:t>
            </w:r>
            <w:r>
              <w:rPr>
                <w:rFonts w:hint="eastAsia" w:ascii="仿宋" w:hAnsi="仿宋" w:eastAsia="仿宋" w:cs="仿宋"/>
                <w:kern w:val="28"/>
                <w:sz w:val="24"/>
                <w:szCs w:val="24"/>
                <w:highlight w:val="none"/>
                <w:u w:val="single"/>
              </w:rPr>
              <w:t xml:space="preserve">       /          </w:t>
            </w:r>
          </w:p>
        </w:tc>
      </w:tr>
      <w:tr w14:paraId="47CA1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vMerge w:val="continue"/>
            <w:tcBorders>
              <w:tl2br w:val="nil"/>
              <w:tr2bl w:val="nil"/>
            </w:tcBorders>
            <w:noWrap/>
            <w:vAlign w:val="center"/>
          </w:tcPr>
          <w:p w14:paraId="10D0A048">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76528FAB">
            <w:pPr>
              <w:adjustRightInd w:val="0"/>
              <w:snapToGrid w:val="0"/>
              <w:jc w:val="center"/>
              <w:rPr>
                <w:rFonts w:hint="eastAsia" w:ascii="仿宋" w:hAnsi="仿宋" w:eastAsia="仿宋" w:cs="仿宋"/>
                <w:sz w:val="24"/>
                <w:highlight w:val="none"/>
              </w:rPr>
            </w:pPr>
          </w:p>
        </w:tc>
        <w:tc>
          <w:tcPr>
            <w:tcW w:w="6095" w:type="dxa"/>
            <w:tcBorders>
              <w:tl2br w:val="nil"/>
              <w:tr2bl w:val="nil"/>
            </w:tcBorders>
            <w:noWrap/>
            <w:vAlign w:val="center"/>
          </w:tcPr>
          <w:p w14:paraId="45C93E12">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其他资信证明材料</w:t>
            </w:r>
          </w:p>
          <w:p w14:paraId="3A151C76">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A8"/>
            </w:r>
            <w:r>
              <w:rPr>
                <w:rFonts w:hint="eastAsia" w:ascii="仿宋" w:hAnsi="仿宋" w:eastAsia="仿宋" w:cs="仿宋"/>
                <w:kern w:val="28"/>
                <w:sz w:val="24"/>
                <w:szCs w:val="24"/>
                <w:highlight w:val="none"/>
              </w:rPr>
              <w:t>联合体投标的，联合体各方均需按招标文件第四部分评标标准要求提供资信证明文件，否则视为不符合相关要求。</w:t>
            </w:r>
          </w:p>
          <w:p w14:paraId="77479C9B">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FE"/>
            </w:r>
            <w:r>
              <w:rPr>
                <w:rFonts w:hint="eastAsia" w:ascii="仿宋" w:hAnsi="仿宋" w:eastAsia="仿宋" w:cs="仿宋"/>
                <w:kern w:val="28"/>
                <w:sz w:val="24"/>
                <w:szCs w:val="24"/>
                <w:highlight w:val="none"/>
              </w:rPr>
              <w:t>联合体投标的，联合体牵头方或者联合体成员根据分工按招标文件第四部分评标标准要求提供资信证明文件的，视为符合了相关要求。</w:t>
            </w:r>
          </w:p>
          <w:p w14:paraId="5D511C7E">
            <w:pPr>
              <w:pStyle w:val="24"/>
              <w:adjustRightInd w:val="0"/>
              <w:snapToGrid w:val="0"/>
              <w:rPr>
                <w:rFonts w:hint="eastAsia" w:ascii="仿宋" w:hAnsi="仿宋" w:eastAsia="仿宋" w:cs="仿宋"/>
                <w:snapToGrid w:val="0"/>
                <w:kern w:val="0"/>
                <w:sz w:val="24"/>
                <w:szCs w:val="24"/>
                <w:highlight w:val="none"/>
              </w:rPr>
            </w:pPr>
            <w:r>
              <w:rPr>
                <w:rFonts w:hint="eastAsia" w:ascii="仿宋" w:hAnsi="仿宋" w:eastAsia="仿宋" w:cs="仿宋"/>
                <w:kern w:val="28"/>
                <w:sz w:val="24"/>
                <w:szCs w:val="24"/>
                <w:highlight w:val="none"/>
              </w:rPr>
              <w:sym w:font="Wingdings" w:char="00FE"/>
            </w:r>
            <w:r>
              <w:rPr>
                <w:rFonts w:hint="eastAsia" w:ascii="仿宋" w:hAnsi="仿宋" w:eastAsia="仿宋" w:cs="仿宋"/>
                <w:kern w:val="28"/>
                <w:sz w:val="24"/>
                <w:szCs w:val="24"/>
                <w:highlight w:val="none"/>
              </w:rPr>
              <w:t>其他规定：</w:t>
            </w:r>
            <w:r>
              <w:rPr>
                <w:rFonts w:hint="eastAsia" w:ascii="仿宋" w:hAnsi="仿宋" w:eastAsia="仿宋" w:cs="仿宋"/>
                <w:kern w:val="28"/>
                <w:sz w:val="24"/>
                <w:szCs w:val="24"/>
                <w:highlight w:val="none"/>
                <w:u w:val="single"/>
              </w:rPr>
              <w:t xml:space="preserve"> </w:t>
            </w:r>
            <w:r>
              <w:rPr>
                <w:rFonts w:hint="eastAsia" w:ascii="仿宋" w:hAnsi="仿宋" w:eastAsia="仿宋" w:cs="仿宋"/>
                <w:kern w:val="28"/>
                <w:sz w:val="24"/>
                <w:szCs w:val="24"/>
                <w:highlight w:val="none"/>
                <w:u w:val="single"/>
                <w:lang w:val="en-US" w:eastAsia="zh-CN"/>
              </w:rPr>
              <w:t>项目团队以联合体牵头人提供为准</w:t>
            </w:r>
            <w:r>
              <w:rPr>
                <w:rFonts w:hint="eastAsia" w:ascii="仿宋" w:hAnsi="仿宋" w:eastAsia="仿宋" w:cs="仿宋"/>
                <w:kern w:val="28"/>
                <w:sz w:val="24"/>
                <w:szCs w:val="24"/>
                <w:highlight w:val="none"/>
                <w:u w:val="single"/>
              </w:rPr>
              <w:t xml:space="preserve">  </w:t>
            </w:r>
          </w:p>
        </w:tc>
      </w:tr>
      <w:tr w14:paraId="74ADB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tcBorders>
              <w:tl2br w:val="nil"/>
              <w:tr2bl w:val="nil"/>
            </w:tcBorders>
            <w:noWrap/>
            <w:vAlign w:val="center"/>
          </w:tcPr>
          <w:p w14:paraId="1AED2E2E">
            <w:pPr>
              <w:adjustRightInd w:val="0"/>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w:t>
            </w:r>
          </w:p>
        </w:tc>
        <w:tc>
          <w:tcPr>
            <w:tcW w:w="1843" w:type="dxa"/>
            <w:tcBorders>
              <w:tl2br w:val="nil"/>
              <w:tr2bl w:val="nil"/>
            </w:tcBorders>
            <w:noWrap/>
            <w:vAlign w:val="center"/>
          </w:tcPr>
          <w:p w14:paraId="09D3CE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val="en" w:eastAsia="zh-CN"/>
              </w:rPr>
              <w:t>中标候选人数量</w:t>
            </w:r>
          </w:p>
        </w:tc>
        <w:tc>
          <w:tcPr>
            <w:tcW w:w="6095" w:type="dxa"/>
            <w:tcBorders>
              <w:tl2br w:val="nil"/>
              <w:tr2bl w:val="nil"/>
            </w:tcBorders>
            <w:noWrap/>
            <w:vAlign w:val="center"/>
          </w:tcPr>
          <w:p w14:paraId="195CB4A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28"/>
                <w:sz w:val="24"/>
                <w:szCs w:val="24"/>
                <w:highlight w:val="none"/>
              </w:rPr>
            </w:pPr>
            <w:r>
              <w:rPr>
                <w:rFonts w:hint="eastAsia" w:ascii="仿宋" w:hAnsi="仿宋" w:eastAsia="仿宋" w:cs="仿宋"/>
                <w:color w:val="auto"/>
                <w:kern w:val="0"/>
                <w:sz w:val="24"/>
                <w:highlight w:val="none"/>
                <w:lang w:val="en" w:eastAsia="zh-CN"/>
              </w:rPr>
              <w:t>本项目推荐的</w:t>
            </w:r>
            <w:r>
              <w:rPr>
                <w:rFonts w:hint="eastAsia" w:ascii="仿宋" w:hAnsi="仿宋" w:eastAsia="仿宋" w:cs="仿宋"/>
                <w:color w:val="auto"/>
                <w:kern w:val="0"/>
                <w:sz w:val="24"/>
                <w:highlight w:val="none"/>
                <w:lang w:val="en-US" w:eastAsia="zh-CN"/>
              </w:rPr>
              <w:t>各标项</w:t>
            </w:r>
            <w:r>
              <w:rPr>
                <w:rFonts w:hint="eastAsia" w:ascii="仿宋" w:hAnsi="仿宋" w:eastAsia="仿宋" w:cs="仿宋"/>
                <w:color w:val="auto"/>
                <w:kern w:val="0"/>
                <w:sz w:val="24"/>
                <w:highlight w:val="none"/>
                <w:lang w:val="en" w:eastAsia="zh-CN"/>
              </w:rPr>
              <w:t>中标候选人数量：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 w:eastAsia="zh-CN"/>
              </w:rPr>
              <w:t>。</w:t>
            </w:r>
          </w:p>
        </w:tc>
      </w:tr>
      <w:tr w14:paraId="78F44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412" w:hRule="atLeast"/>
        </w:trPr>
        <w:tc>
          <w:tcPr>
            <w:tcW w:w="629" w:type="dxa"/>
            <w:tcBorders>
              <w:tl2br w:val="nil"/>
              <w:tr2bl w:val="nil"/>
            </w:tcBorders>
            <w:noWrap/>
            <w:vAlign w:val="center"/>
          </w:tcPr>
          <w:p w14:paraId="530824ED">
            <w:pPr>
              <w:adjustRightInd w:val="0"/>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843" w:type="dxa"/>
            <w:tcBorders>
              <w:tl2br w:val="nil"/>
              <w:tr2bl w:val="nil"/>
            </w:tcBorders>
            <w:noWrap/>
            <w:vAlign w:val="center"/>
          </w:tcPr>
          <w:p w14:paraId="374AEB90">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钱塘区公共资源交易领域突出问题专项整治线索征集公告</w:t>
            </w:r>
          </w:p>
        </w:tc>
        <w:tc>
          <w:tcPr>
            <w:tcW w:w="6095" w:type="dxa"/>
            <w:tcBorders>
              <w:tl2br w:val="nil"/>
              <w:tr2bl w:val="nil"/>
            </w:tcBorders>
            <w:noWrap/>
            <w:vAlign w:val="center"/>
          </w:tcPr>
          <w:p w14:paraId="3FCE705D">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为进一步贯彻落实省市区“招投标领域专项整治与提升”工作要求，维护公平竞争的市场环境，现开设公共资源交易领域违法线索征集渠道，线索反馈联系方式如下：</w:t>
            </w:r>
          </w:p>
          <w:p w14:paraId="5A284B90">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 xml:space="preserve">钱塘区财政局：ryp2001@163.com </w:t>
            </w:r>
          </w:p>
          <w:p w14:paraId="4A445A23">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钱塘区公共资源交易管理办公室:qtqgzb@163.com</w:t>
            </w:r>
          </w:p>
        </w:tc>
      </w:tr>
      <w:tr w14:paraId="0C293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785" w:hRule="atLeast"/>
        </w:trPr>
        <w:tc>
          <w:tcPr>
            <w:tcW w:w="629" w:type="dxa"/>
            <w:tcBorders>
              <w:tl2br w:val="nil"/>
              <w:tr2bl w:val="nil"/>
            </w:tcBorders>
            <w:noWrap/>
            <w:vAlign w:val="center"/>
          </w:tcPr>
          <w:p w14:paraId="448236BC">
            <w:pPr>
              <w:adjustRightInd w:val="0"/>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1843" w:type="dxa"/>
            <w:tcBorders>
              <w:tl2br w:val="nil"/>
              <w:tr2bl w:val="nil"/>
            </w:tcBorders>
            <w:noWrap/>
            <w:vAlign w:val="center"/>
          </w:tcPr>
          <w:p w14:paraId="0D379392">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材料审核</w:t>
            </w:r>
          </w:p>
        </w:tc>
        <w:tc>
          <w:tcPr>
            <w:tcW w:w="6095" w:type="dxa"/>
            <w:tcBorders>
              <w:tl2br w:val="nil"/>
              <w:tr2bl w:val="nil"/>
            </w:tcBorders>
            <w:noWrap/>
            <w:vAlign w:val="center"/>
          </w:tcPr>
          <w:p w14:paraId="0C103AFA">
            <w:pPr>
              <w:pStyle w:val="24"/>
              <w:snapToGrid w:val="0"/>
              <w:spacing w:line="400" w:lineRule="exact"/>
              <w:rPr>
                <w:rFonts w:hint="eastAsia" w:ascii="仿宋" w:hAnsi="仿宋" w:eastAsia="仿宋" w:cs="仿宋"/>
                <w:color w:val="FF0000"/>
                <w:kern w:val="28"/>
                <w:sz w:val="24"/>
                <w:szCs w:val="24"/>
                <w:highlight w:val="none"/>
                <w:lang w:eastAsia="zh-CN"/>
              </w:rPr>
            </w:pPr>
            <w:r>
              <w:rPr>
                <w:rFonts w:hint="eastAsia" w:ascii="仿宋" w:hAnsi="仿宋" w:eastAsia="仿宋" w:cs="仿宋"/>
                <w:color w:val="auto"/>
                <w:kern w:val="28"/>
                <w:sz w:val="24"/>
                <w:szCs w:val="24"/>
                <w:highlight w:val="none"/>
                <w:lang w:val="en-US" w:eastAsia="zh-CN"/>
              </w:rPr>
              <w:t>根据《</w:t>
            </w:r>
            <w:r>
              <w:rPr>
                <w:rFonts w:hint="eastAsia" w:ascii="仿宋" w:hAnsi="仿宋" w:eastAsia="仿宋" w:cs="仿宋"/>
                <w:color w:val="auto"/>
                <w:kern w:val="28"/>
                <w:sz w:val="24"/>
                <w:szCs w:val="24"/>
                <w:highlight w:val="none"/>
              </w:rPr>
              <w:t>浙江省财政厅关于进一步规范政府采购秩序促进公平竞争的通知</w:t>
            </w:r>
            <w:r>
              <w:rPr>
                <w:rFonts w:hint="eastAsia" w:ascii="仿宋" w:hAnsi="仿宋" w:eastAsia="仿宋" w:cs="仿宋"/>
                <w:color w:val="auto"/>
                <w:kern w:val="28"/>
                <w:sz w:val="24"/>
                <w:szCs w:val="24"/>
                <w:highlight w:val="none"/>
                <w:lang w:val="en-US" w:eastAsia="zh-CN"/>
              </w:rPr>
              <w:t>》（</w:t>
            </w:r>
            <w:r>
              <w:rPr>
                <w:rFonts w:hint="eastAsia" w:ascii="仿宋" w:hAnsi="仿宋" w:eastAsia="仿宋" w:cs="仿宋"/>
                <w:color w:val="auto"/>
                <w:kern w:val="28"/>
                <w:sz w:val="24"/>
                <w:szCs w:val="24"/>
                <w:highlight w:val="none"/>
              </w:rPr>
              <w:t>浙财采监〔2025〕2号</w:t>
            </w:r>
            <w:r>
              <w:rPr>
                <w:rFonts w:hint="eastAsia" w:ascii="仿宋" w:hAnsi="仿宋" w:eastAsia="仿宋" w:cs="仿宋"/>
                <w:color w:val="auto"/>
                <w:kern w:val="28"/>
                <w:sz w:val="24"/>
                <w:szCs w:val="24"/>
                <w:highlight w:val="none"/>
                <w:lang w:val="en-US" w:eastAsia="zh-CN"/>
              </w:rPr>
              <w:t>）相关规定，</w:t>
            </w:r>
            <w:r>
              <w:rPr>
                <w:rFonts w:hint="eastAsia" w:ascii="仿宋" w:hAnsi="仿宋" w:eastAsia="仿宋" w:cs="仿宋"/>
                <w:b/>
                <w:bCs/>
                <w:color w:val="FF0000"/>
                <w:kern w:val="28"/>
                <w:sz w:val="24"/>
                <w:szCs w:val="24"/>
                <w:highlight w:val="none"/>
              </w:rPr>
              <w:t>评审结束后、合同签订前，采购人、采购代理机构</w:t>
            </w:r>
            <w:r>
              <w:rPr>
                <w:rFonts w:hint="eastAsia" w:ascii="仿宋" w:hAnsi="仿宋" w:eastAsia="仿宋" w:cs="仿宋"/>
                <w:b/>
                <w:bCs/>
                <w:color w:val="FF0000"/>
                <w:kern w:val="28"/>
                <w:sz w:val="24"/>
                <w:szCs w:val="24"/>
                <w:highlight w:val="none"/>
                <w:lang w:val="en-US" w:eastAsia="zh-CN"/>
              </w:rPr>
              <w:t>将</w:t>
            </w:r>
            <w:r>
              <w:rPr>
                <w:rFonts w:hint="eastAsia" w:ascii="仿宋" w:hAnsi="仿宋" w:eastAsia="仿宋" w:cs="仿宋"/>
                <w:b/>
                <w:bCs/>
                <w:color w:val="FF0000"/>
                <w:kern w:val="28"/>
                <w:sz w:val="24"/>
                <w:szCs w:val="24"/>
                <w:highlight w:val="none"/>
              </w:rPr>
              <w:t>通过网站查询、原件核对等方式对中标（成交）供应商在投标（响应）文件中涉及客观分评审内容的检测报告、认证证书等资料的真实性进行复核，复核情况详细记录，并纳入采购档案</w:t>
            </w:r>
            <w:r>
              <w:rPr>
                <w:rFonts w:hint="eastAsia" w:ascii="仿宋" w:hAnsi="仿宋" w:eastAsia="仿宋" w:cs="仿宋"/>
                <w:color w:val="FF0000"/>
                <w:kern w:val="28"/>
                <w:sz w:val="24"/>
                <w:szCs w:val="24"/>
                <w:highlight w:val="none"/>
                <w:lang w:eastAsia="zh-CN"/>
              </w:rPr>
              <w:t>。</w:t>
            </w:r>
          </w:p>
          <w:p w14:paraId="5806974F">
            <w:pPr>
              <w:pStyle w:val="24"/>
              <w:adjustRightInd w:val="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如</w:t>
            </w:r>
            <w:r>
              <w:rPr>
                <w:rFonts w:hint="eastAsia" w:ascii="仿宋" w:hAnsi="仿宋" w:eastAsia="仿宋" w:cs="仿宋"/>
                <w:color w:val="auto"/>
                <w:kern w:val="28"/>
                <w:sz w:val="24"/>
                <w:szCs w:val="24"/>
                <w:highlight w:val="none"/>
              </w:rPr>
              <w:t>采购人</w:t>
            </w:r>
            <w:r>
              <w:rPr>
                <w:rFonts w:hint="eastAsia" w:ascii="仿宋" w:hAnsi="仿宋" w:eastAsia="仿宋" w:cs="仿宋"/>
                <w:color w:val="auto"/>
                <w:kern w:val="28"/>
                <w:sz w:val="24"/>
                <w:szCs w:val="24"/>
                <w:highlight w:val="none"/>
                <w:lang w:val="en-US" w:eastAsia="zh-CN"/>
              </w:rPr>
              <w:t>或</w:t>
            </w:r>
            <w:r>
              <w:rPr>
                <w:rFonts w:hint="eastAsia" w:ascii="仿宋" w:hAnsi="仿宋" w:eastAsia="仿宋" w:cs="仿宋"/>
                <w:color w:val="auto"/>
                <w:kern w:val="28"/>
                <w:sz w:val="24"/>
                <w:szCs w:val="24"/>
                <w:highlight w:val="none"/>
              </w:rPr>
              <w:t>采购代理机构</w:t>
            </w:r>
            <w:r>
              <w:rPr>
                <w:rFonts w:hint="eastAsia" w:ascii="仿宋" w:hAnsi="仿宋" w:eastAsia="仿宋" w:cs="仿宋"/>
                <w:color w:val="auto"/>
                <w:kern w:val="28"/>
                <w:sz w:val="24"/>
                <w:szCs w:val="24"/>
                <w:highlight w:val="none"/>
                <w:lang w:val="en-US" w:eastAsia="zh-CN"/>
              </w:rPr>
              <w:t>向供应商要求提交</w:t>
            </w:r>
            <w:r>
              <w:rPr>
                <w:rFonts w:hint="eastAsia" w:ascii="仿宋" w:hAnsi="仿宋" w:eastAsia="仿宋" w:cs="仿宋"/>
                <w:color w:val="auto"/>
                <w:kern w:val="28"/>
                <w:sz w:val="24"/>
                <w:szCs w:val="24"/>
                <w:highlight w:val="none"/>
              </w:rPr>
              <w:t>涉及客观分评审内容</w:t>
            </w:r>
            <w:r>
              <w:rPr>
                <w:rFonts w:hint="eastAsia" w:ascii="仿宋" w:hAnsi="仿宋" w:eastAsia="仿宋" w:cs="仿宋"/>
                <w:color w:val="auto"/>
                <w:kern w:val="28"/>
                <w:sz w:val="24"/>
                <w:szCs w:val="24"/>
                <w:highlight w:val="none"/>
                <w:lang w:val="en-US" w:eastAsia="zh-CN"/>
              </w:rPr>
              <w:t>的资料时，供应商务必按要求提交相关材料。</w:t>
            </w:r>
          </w:p>
        </w:tc>
      </w:tr>
      <w:tr w14:paraId="05C54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14" w:hRule="atLeast"/>
        </w:trPr>
        <w:tc>
          <w:tcPr>
            <w:tcW w:w="629" w:type="dxa"/>
            <w:tcBorders>
              <w:tl2br w:val="nil"/>
              <w:tr2bl w:val="nil"/>
            </w:tcBorders>
            <w:noWrap/>
            <w:vAlign w:val="center"/>
          </w:tcPr>
          <w:p w14:paraId="41FED0E1">
            <w:pPr>
              <w:adjustRightInd w:val="0"/>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1843" w:type="dxa"/>
            <w:tcBorders>
              <w:tl2br w:val="nil"/>
              <w:tr2bl w:val="nil"/>
            </w:tcBorders>
            <w:noWrap/>
            <w:vAlign w:val="center"/>
          </w:tcPr>
          <w:p w14:paraId="0CBE4D3C">
            <w:pPr>
              <w:adjustRightInd w:val="0"/>
              <w:snapToGrid w:val="0"/>
              <w:jc w:val="center"/>
              <w:rPr>
                <w:rFonts w:hint="eastAsia" w:ascii="仿宋" w:hAnsi="仿宋" w:eastAsia="仿宋" w:cs="仿宋"/>
                <w:b/>
                <w:bCs/>
                <w:color w:val="auto"/>
                <w:sz w:val="24"/>
                <w:highlight w:val="none"/>
                <w:lang w:val="en-US" w:eastAsia="zh-CN"/>
              </w:rPr>
            </w:pPr>
            <w:r>
              <w:rPr>
                <w:rFonts w:hint="eastAsia" w:ascii="仿宋" w:hAnsi="仿宋" w:eastAsia="仿宋" w:cs="仿宋"/>
                <w:b/>
                <w:color w:val="auto"/>
                <w:sz w:val="24"/>
                <w:highlight w:val="none"/>
                <w:lang w:val="en-US" w:eastAsia="zh-CN"/>
              </w:rPr>
              <w:t>特别说明</w:t>
            </w:r>
          </w:p>
        </w:tc>
        <w:tc>
          <w:tcPr>
            <w:tcW w:w="6095" w:type="dxa"/>
            <w:tcBorders>
              <w:tl2br w:val="nil"/>
              <w:tr2bl w:val="nil"/>
            </w:tcBorders>
            <w:noWrap/>
            <w:vAlign w:val="center"/>
          </w:tcPr>
          <w:p w14:paraId="1850B4B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kern w:val="28"/>
                <w:sz w:val="24"/>
                <w:highlight w:val="none"/>
                <w:lang w:val="en-US" w:eastAsia="zh-CN"/>
              </w:rPr>
            </w:pPr>
            <w:r>
              <w:rPr>
                <w:rFonts w:hint="eastAsia" w:ascii="仿宋" w:hAnsi="仿宋" w:eastAsia="仿宋" w:cs="仿宋"/>
                <w:snapToGrid w:val="0"/>
                <w:kern w:val="28"/>
                <w:sz w:val="24"/>
                <w:highlight w:val="none"/>
                <w:lang w:val="en-US" w:eastAsia="zh-CN"/>
              </w:rPr>
              <w:t>1.为保障服务质量，根据服务对象划分三个标项，每个标项产生一家中标人。</w:t>
            </w:r>
          </w:p>
          <w:p w14:paraId="609AB75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kern w:val="28"/>
                <w:sz w:val="24"/>
                <w:highlight w:val="none"/>
                <w:lang w:val="en-US" w:eastAsia="zh-CN"/>
              </w:rPr>
            </w:pPr>
            <w:r>
              <w:rPr>
                <w:rFonts w:hint="eastAsia" w:ascii="仿宋" w:hAnsi="仿宋" w:eastAsia="仿宋" w:cs="仿宋"/>
                <w:snapToGrid w:val="0"/>
                <w:kern w:val="28"/>
                <w:sz w:val="24"/>
                <w:highlight w:val="none"/>
                <w:lang w:val="en-US" w:eastAsia="zh-CN"/>
              </w:rPr>
              <w:t>2.供应商可自行选择任意一个或多个标项参与响应，但只允许在一个标项中标。若供应商同时参加多个标项的，各个标项的投标文件分别制作、上传。</w:t>
            </w:r>
          </w:p>
          <w:p w14:paraId="0DACC8D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kern w:val="28"/>
                <w:sz w:val="24"/>
                <w:highlight w:val="none"/>
                <w:lang w:val="en-US" w:eastAsia="zh-CN"/>
              </w:rPr>
            </w:pPr>
            <w:r>
              <w:rPr>
                <w:rFonts w:hint="eastAsia" w:ascii="仿宋" w:hAnsi="仿宋" w:eastAsia="仿宋" w:cs="仿宋"/>
                <w:snapToGrid w:val="0"/>
                <w:kern w:val="28"/>
                <w:sz w:val="24"/>
                <w:highlight w:val="none"/>
                <w:lang w:val="en-US" w:eastAsia="zh-CN"/>
              </w:rPr>
              <w:t>3.本项目采用兼投不兼中的原则确定各标项第一中标候选人。在评审时，评标委员会按照标项一、标项二、标项三顺序依次进行评审。评审结果按评审后得分由高到低顺序排列。</w:t>
            </w:r>
          </w:p>
          <w:p w14:paraId="46D2ABA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kern w:val="28"/>
                <w:sz w:val="24"/>
                <w:highlight w:val="none"/>
                <w:lang w:val="en-US" w:eastAsia="zh-CN"/>
              </w:rPr>
            </w:pPr>
            <w:r>
              <w:rPr>
                <w:rFonts w:hint="eastAsia" w:ascii="仿宋" w:hAnsi="仿宋" w:eastAsia="仿宋" w:cs="仿宋"/>
                <w:snapToGrid w:val="0"/>
                <w:kern w:val="28"/>
                <w:sz w:val="24"/>
                <w:highlight w:val="none"/>
                <w:lang w:val="en-US" w:eastAsia="zh-CN"/>
              </w:rPr>
              <w:t>投标文件满足采购文件全部实质性要求，且按照评审因素的量化指标评审得分最高的供应商为排名第一的中标候选人。评审后得分相同的，按投标报价由低到高顺序排列；得分且报价相同，出现并列情形的，则由评标委员会投票，按照少数服从多数的原则作出结论。</w:t>
            </w:r>
          </w:p>
          <w:p w14:paraId="67492B9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snapToGrid w:val="0"/>
                <w:kern w:val="28"/>
                <w:sz w:val="24"/>
                <w:highlight w:val="none"/>
                <w:lang w:val="en-US" w:eastAsia="zh-CN"/>
              </w:rPr>
              <w:t>4.▲中标顺序根据评审顺序，已被前面的标项推荐为第一中标候选人的供应商不再推荐为下一标项的中标候选人，且不参与下一标项的详细评审。</w:t>
            </w:r>
          </w:p>
        </w:tc>
      </w:tr>
      <w:tr w14:paraId="5F0EF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2" w:hRule="atLeast"/>
        </w:trPr>
        <w:tc>
          <w:tcPr>
            <w:tcW w:w="629" w:type="dxa"/>
            <w:tcBorders>
              <w:tl2br w:val="nil"/>
              <w:tr2bl w:val="nil"/>
            </w:tcBorders>
            <w:noWrap/>
            <w:vAlign w:val="center"/>
          </w:tcPr>
          <w:p w14:paraId="6C6E0F83">
            <w:pPr>
              <w:adjustRightInd w:val="0"/>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7938" w:type="dxa"/>
            <w:gridSpan w:val="2"/>
            <w:tcBorders>
              <w:tl2br w:val="nil"/>
              <w:tr2bl w:val="nil"/>
            </w:tcBorders>
            <w:noWrap/>
            <w:vAlign w:val="center"/>
          </w:tcPr>
          <w:p w14:paraId="4DB77435">
            <w:pPr>
              <w:pStyle w:val="24"/>
              <w:adjustRightInd w:val="0"/>
              <w:snapToGrid w:val="0"/>
              <w:spacing w:line="400" w:lineRule="exact"/>
              <w:rPr>
                <w:rFonts w:hint="eastAsia" w:ascii="仿宋" w:hAnsi="仿宋" w:eastAsia="仿宋" w:cs="仿宋"/>
                <w:kern w:val="28"/>
                <w:sz w:val="24"/>
                <w:szCs w:val="24"/>
                <w:highlight w:val="none"/>
                <w:lang w:val="en-US" w:eastAsia="zh-CN"/>
              </w:rPr>
            </w:pPr>
            <w:r>
              <w:rPr>
                <w:rFonts w:hint="eastAsia" w:ascii="仿宋" w:hAnsi="仿宋" w:eastAsia="仿宋" w:cs="仿宋"/>
                <w:kern w:val="0"/>
                <w:sz w:val="24"/>
                <w:highlight w:val="none"/>
              </w:rPr>
              <w:t>评审因素对应的要求视为采购需求的一部分。</w:t>
            </w:r>
          </w:p>
        </w:tc>
      </w:tr>
    </w:tbl>
    <w:p w14:paraId="3F134AC6">
      <w:pPr>
        <w:widowControl/>
        <w:adjustRightInd w:val="0"/>
        <w:snapToGrid w:val="0"/>
        <w:spacing w:line="360" w:lineRule="auto"/>
        <w:ind w:firstLine="420" w:firstLineChars="200"/>
        <w:jc w:val="left"/>
        <w:rPr>
          <w:rFonts w:hint="eastAsia" w:ascii="仿宋" w:hAnsi="仿宋" w:eastAsia="仿宋" w:cs="仿宋"/>
          <w:kern w:val="0"/>
          <w:szCs w:val="21"/>
          <w:highlight w:val="none"/>
        </w:rPr>
      </w:pPr>
    </w:p>
    <w:p w14:paraId="3C4CE52C">
      <w:pPr>
        <w:rPr>
          <w:rFonts w:hint="eastAsia" w:ascii="仿宋" w:hAnsi="仿宋" w:eastAsia="仿宋" w:cs="仿宋"/>
          <w:szCs w:val="21"/>
          <w:highlight w:val="none"/>
        </w:rPr>
      </w:pPr>
    </w:p>
    <w:p w14:paraId="381C1BA5">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注：以上内容如有变化将另行书面通知。如通知其中某一内容发生变化，其余未提及的将不作变动。</w:t>
      </w:r>
      <w:bookmarkStart w:id="6" w:name="_Toc251566649"/>
      <w:bookmarkStart w:id="7" w:name="_Toc240450076"/>
    </w:p>
    <w:p w14:paraId="7DC06FD2">
      <w:pPr>
        <w:adjustRightInd w:val="0"/>
        <w:snapToGrid w:val="0"/>
        <w:spacing w:before="120" w:beforeLines="50" w:after="120" w:afterLines="50" w:line="360" w:lineRule="auto"/>
        <w:jc w:val="center"/>
        <w:outlineLvl w:val="0"/>
        <w:rPr>
          <w:rFonts w:hint="eastAsia" w:ascii="仿宋" w:hAnsi="仿宋" w:eastAsia="仿宋" w:cs="仿宋"/>
          <w:szCs w:val="21"/>
          <w:highlight w:val="none"/>
        </w:rPr>
      </w:pPr>
      <w:r>
        <w:rPr>
          <w:rFonts w:hint="eastAsia" w:ascii="仿宋" w:hAnsi="仿宋" w:eastAsia="仿宋" w:cs="仿宋"/>
          <w:szCs w:val="21"/>
          <w:highlight w:val="none"/>
        </w:rPr>
        <w:br w:type="page"/>
      </w:r>
      <w:bookmarkStart w:id="8" w:name="_Toc2187"/>
      <w:bookmarkStart w:id="9" w:name="_Toc28292"/>
      <w:r>
        <w:rPr>
          <w:rFonts w:hint="eastAsia" w:ascii="仿宋" w:hAnsi="仿宋" w:eastAsia="仿宋" w:cs="仿宋"/>
          <w:b/>
          <w:sz w:val="30"/>
          <w:szCs w:val="30"/>
          <w:highlight w:val="none"/>
        </w:rPr>
        <w:t>第二部分  投标须知</w:t>
      </w:r>
      <w:bookmarkEnd w:id="6"/>
      <w:bookmarkEnd w:id="7"/>
      <w:bookmarkEnd w:id="8"/>
      <w:bookmarkEnd w:id="9"/>
    </w:p>
    <w:p w14:paraId="0F0FB39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highlight w:val="none"/>
        </w:rPr>
      </w:pPr>
      <w:bookmarkStart w:id="10" w:name="_Toc29733"/>
      <w:bookmarkStart w:id="11" w:name="_Toc5875"/>
      <w:bookmarkStart w:id="12" w:name="_Toc3612"/>
      <w:r>
        <w:rPr>
          <w:rFonts w:hint="eastAsia" w:ascii="仿宋" w:hAnsi="仿宋" w:eastAsia="仿宋" w:cs="仿宋"/>
          <w:b/>
          <w:sz w:val="32"/>
          <w:szCs w:val="20"/>
          <w:highlight w:val="none"/>
        </w:rPr>
        <w:t>一、总则</w:t>
      </w:r>
      <w:bookmarkEnd w:id="10"/>
      <w:bookmarkEnd w:id="11"/>
      <w:bookmarkEnd w:id="12"/>
    </w:p>
    <w:p w14:paraId="3BA43B97">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适用范围</w:t>
      </w:r>
    </w:p>
    <w:p w14:paraId="63BC6B87">
      <w:pPr>
        <w:snapToGrid w:val="0"/>
        <w:spacing w:line="360" w:lineRule="auto"/>
        <w:ind w:firstLine="480" w:firstLineChars="200"/>
        <w:jc w:val="left"/>
        <w:rPr>
          <w:rFonts w:hint="eastAsia" w:ascii="仿宋" w:hAnsi="仿宋" w:eastAsia="仿宋" w:cs="仿宋"/>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023E34CF">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定义</w:t>
      </w:r>
    </w:p>
    <w:p w14:paraId="7EE5F5EE">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“采购人”系指招标公告中载明的本项目的采购人。</w:t>
      </w:r>
    </w:p>
    <w:p w14:paraId="137720D3">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“采购代理机构”系指招标公告中载明的本项目的采购代理机构。</w:t>
      </w:r>
    </w:p>
    <w:p w14:paraId="4E30745E">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“投标人”系指响应招标、参加投标竞争的法人、其他组织或者自然人。</w:t>
      </w:r>
    </w:p>
    <w:p w14:paraId="333103C1">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“负责人”系指法人企业的法定负责人，或其他组织为法律、行政法规规定代表单位行使职权的主要负责人，或自然人本人。</w:t>
      </w:r>
    </w:p>
    <w:p w14:paraId="26C328EF">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2E1A18">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“电子交易平台”是指本项目政府采购活动所依托的政府采购云平台（https://www.zcygov.cn/）。</w:t>
      </w:r>
    </w:p>
    <w:p w14:paraId="66A11477">
      <w:pPr>
        <w:numPr>
          <w:ilvl w:val="1"/>
          <w:numId w:val="3"/>
        </w:numPr>
        <w:spacing w:line="360" w:lineRule="auto"/>
        <w:rPr>
          <w:rFonts w:hint="eastAsia" w:ascii="仿宋" w:hAnsi="仿宋" w:eastAsia="仿宋" w:cs="仿宋"/>
          <w:b/>
          <w:sz w:val="24"/>
          <w:highlight w:val="none"/>
        </w:rPr>
      </w:pPr>
      <w:r>
        <w:rPr>
          <w:rFonts w:hint="eastAsia" w:ascii="仿宋" w:hAnsi="仿宋" w:eastAsia="仿宋" w:cs="仿宋"/>
          <w:sz w:val="24"/>
          <w:highlight w:val="none"/>
        </w:rPr>
        <w:t>“▲” 系指实质性要求条款，“★”系关键技术指标，“</w:t>
      </w:r>
      <w:r>
        <w:rPr>
          <w:rFonts w:hint="eastAsia" w:ascii="仿宋" w:hAnsi="仿宋" w:eastAsia="仿宋" w:cs="仿宋"/>
          <w:kern w:val="28"/>
          <w:sz w:val="24"/>
          <w:highlight w:val="none"/>
        </w:rPr>
        <w:sym w:font="Wingdings" w:char="00FE"/>
      </w:r>
      <w:r>
        <w:rPr>
          <w:rFonts w:hint="eastAsia" w:ascii="仿宋" w:hAnsi="仿宋" w:eastAsia="仿宋" w:cs="仿宋"/>
          <w:sz w:val="24"/>
          <w:highlight w:val="none"/>
        </w:rPr>
        <w:t>” 系指适用本项目的要求，“☐” 系指不适用本项目的要求。</w:t>
      </w:r>
    </w:p>
    <w:p w14:paraId="14C85EBE">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采购项目需要落实的政府采购政策</w:t>
      </w:r>
    </w:p>
    <w:p w14:paraId="41756A3E">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2BD0444">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支持绿色发展</w:t>
      </w:r>
    </w:p>
    <w:p w14:paraId="0E03AEF6">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746C44B">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34FE15F">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2FE92CFA">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0A6A77A">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858B9F1">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支持中小企业发展</w:t>
      </w:r>
    </w:p>
    <w:p w14:paraId="1DC4A9DA">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b/>
          <w:bCs/>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EAE8350">
      <w:pPr>
        <w:spacing w:line="360" w:lineRule="auto"/>
        <w:ind w:firstLine="840" w:firstLineChars="35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74BB6E9F">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0BD7F1E0">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62884B52">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sz w:val="24"/>
          <w:highlight w:val="none"/>
        </w:rPr>
        <w:t>10%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 w:hAnsi="仿宋" w:eastAsia="仿宋" w:cs="仿宋"/>
          <w:b/>
          <w:bCs/>
          <w:sz w:val="24"/>
          <w:highlight w:val="none"/>
        </w:rPr>
        <w:t>4%</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53B6080A">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符合《关于促进残疾人就业政府采购政策的通知》（财库〔2017〕141号）规定的条件并提供《残疾人福利性单位声明函》（附件1）的残疾人福利性单位视同小型、微型企业；</w:t>
      </w:r>
    </w:p>
    <w:p w14:paraId="4F14885C">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250184B">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sz w:val="24"/>
          <w:highlight w:val="none"/>
        </w:rPr>
        <w:t>。</w:t>
      </w:r>
    </w:p>
    <w:p w14:paraId="534264BB">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中小企业享受扶持政策获得政府采购合同的，小微企业不得将合同分包给大中型企业，中型企业不得将合同分包给大型企业。</w:t>
      </w:r>
    </w:p>
    <w:p w14:paraId="3D9E9773">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支持创新发展</w:t>
      </w:r>
    </w:p>
    <w:p w14:paraId="5B88165E">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采购人优先采购被认定为首台套产品和“制造精品”的自主创新产品。</w:t>
      </w:r>
    </w:p>
    <w:p w14:paraId="3A085BDC">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E72D8B2">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采购人应当贯彻落实知识产权保护相关法律法规，应当采购使用正版软件。</w:t>
      </w:r>
    </w:p>
    <w:p w14:paraId="263F5252">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w:t>
      </w:r>
    </w:p>
    <w:p w14:paraId="08A9955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18D06044">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中小企业信用融资：为支持和促进中小企业发展，进一步发挥政府采购政策功能，</w:t>
      </w: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11AFBD4">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询问、质疑、投诉、补偿救济</w:t>
      </w:r>
    </w:p>
    <w:p w14:paraId="6DFC8A5F">
      <w:pPr>
        <w:numPr>
          <w:ilvl w:val="1"/>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4897A6">
      <w:pPr>
        <w:numPr>
          <w:ilvl w:val="1"/>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供应商询问</w:t>
      </w:r>
    </w:p>
    <w:p w14:paraId="200DB267">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E12C5B">
      <w:pPr>
        <w:numPr>
          <w:ilvl w:val="1"/>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供应商质疑</w:t>
      </w:r>
    </w:p>
    <w:p w14:paraId="793FF6D5">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提出质疑的供应商应当是参与所质疑项目采购活动的供应商。潜在供应商已依法获取其可质疑的招标文件的，可以对该文件提出质疑。</w:t>
      </w:r>
    </w:p>
    <w:p w14:paraId="04C46A44">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4BB4B5D">
      <w:pPr>
        <w:numPr>
          <w:ilvl w:val="3"/>
          <w:numId w:val="3"/>
        </w:numPr>
        <w:tabs>
          <w:tab w:val="left" w:pos="210"/>
          <w:tab w:val="left" w:pos="1050"/>
        </w:tabs>
        <w:snapToGrid w:val="0"/>
        <w:spacing w:line="360" w:lineRule="auto"/>
        <w:ind w:left="1050" w:hanging="105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对招标文件提出质疑的，质疑期限为供应商获得招标文件之日或者招标文件公告期限届满之日起计算。</w:t>
      </w:r>
    </w:p>
    <w:p w14:paraId="2C262805">
      <w:pPr>
        <w:numPr>
          <w:ilvl w:val="3"/>
          <w:numId w:val="3"/>
        </w:numPr>
        <w:tabs>
          <w:tab w:val="left" w:pos="210"/>
          <w:tab w:val="left" w:pos="1050"/>
        </w:tabs>
        <w:snapToGrid w:val="0"/>
        <w:spacing w:line="360" w:lineRule="auto"/>
        <w:ind w:left="1050" w:hanging="105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对采购过程提出质疑的，质疑期限为各采购程序环节结束之日起计算。</w:t>
      </w:r>
    </w:p>
    <w:p w14:paraId="37878322">
      <w:pPr>
        <w:numPr>
          <w:ilvl w:val="3"/>
          <w:numId w:val="3"/>
        </w:numPr>
        <w:tabs>
          <w:tab w:val="left" w:pos="210"/>
          <w:tab w:val="left" w:pos="1050"/>
        </w:tabs>
        <w:snapToGrid w:val="0"/>
        <w:spacing w:line="360" w:lineRule="auto"/>
        <w:ind w:left="1050" w:hanging="105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对采购结果提出质疑的，质疑期限自采购结果公告期限届满之日起计算。</w:t>
      </w:r>
    </w:p>
    <w:p w14:paraId="575A206C">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供应商提出质疑应当提交质疑函和必要的证明材料。质疑函应当包括下列内容：</w:t>
      </w:r>
    </w:p>
    <w:p w14:paraId="3375D984">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供应商的姓名或者名称、地址、邮编、联系人及联系电话；</w:t>
      </w:r>
    </w:p>
    <w:p w14:paraId="1F7832DA">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质疑项目的名称、编号；</w:t>
      </w:r>
    </w:p>
    <w:p w14:paraId="7A91A2D0">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具体、明确的质疑事项和与质疑事项相关的请求；</w:t>
      </w:r>
    </w:p>
    <w:p w14:paraId="09AEF9C9">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事实依据；</w:t>
      </w:r>
    </w:p>
    <w:p w14:paraId="34E14046">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必要的法律依据；</w:t>
      </w:r>
    </w:p>
    <w:p w14:paraId="49778369">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提出质疑的日期。</w:t>
      </w:r>
    </w:p>
    <w:p w14:paraId="67803836">
      <w:pPr>
        <w:tabs>
          <w:tab w:val="left" w:pos="210"/>
        </w:tabs>
        <w:snapToGrid w:val="0"/>
        <w:spacing w:line="360" w:lineRule="auto"/>
        <w:ind w:firstLine="480" w:firstLineChars="20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15CB3A3">
      <w:pPr>
        <w:tabs>
          <w:tab w:val="left" w:pos="210"/>
        </w:tabs>
        <w:snapToGrid w:val="0"/>
        <w:spacing w:line="360" w:lineRule="auto"/>
        <w:ind w:firstLine="480" w:firstLineChars="20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质疑函范本及制作说明详见附件2。</w:t>
      </w:r>
    </w:p>
    <w:p w14:paraId="780D5AA2">
      <w:pPr>
        <w:numPr>
          <w:ilvl w:val="2"/>
          <w:numId w:val="3"/>
        </w:numPr>
        <w:tabs>
          <w:tab w:val="left" w:pos="210"/>
          <w:tab w:val="left" w:pos="84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对同一采购程序环节的质疑，供应商须在法定质疑期内一次性提出。</w:t>
      </w:r>
    </w:p>
    <w:p w14:paraId="3924A843">
      <w:pPr>
        <w:numPr>
          <w:ilvl w:val="2"/>
          <w:numId w:val="3"/>
        </w:numPr>
        <w:tabs>
          <w:tab w:val="left" w:pos="210"/>
          <w:tab w:val="left" w:pos="84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采购人负责供应商质疑答复。采购人委托采购代理机构采购的，采购代理机构对委托授权范围内质疑事项作出答复。委托授权范围应当在采购代理协议中明确。</w:t>
      </w:r>
    </w:p>
    <w:p w14:paraId="7AC2337B">
      <w:pPr>
        <w:numPr>
          <w:ilvl w:val="2"/>
          <w:numId w:val="3"/>
        </w:numPr>
        <w:tabs>
          <w:tab w:val="left" w:pos="210"/>
          <w:tab w:val="left" w:pos="84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1F521D9">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询问或者质疑事项可能影响采购结果的，采购人应当暂停签订合同，已经签订合同的，应当中止履行合同。</w:t>
      </w:r>
    </w:p>
    <w:p w14:paraId="2C6CAB10">
      <w:pPr>
        <w:numPr>
          <w:ilvl w:val="1"/>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供应商投诉</w:t>
      </w:r>
    </w:p>
    <w:p w14:paraId="062C6641">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3CF27FBA">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供应商投诉的事项不得超出已质疑事项的范围，基于质疑答复内容提出的投诉事项除外。</w:t>
      </w:r>
    </w:p>
    <w:p w14:paraId="4F9852DB">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供应商投诉应当有明确的请求和必要的证明材料。</w:t>
      </w:r>
    </w:p>
    <w:p w14:paraId="68C393B0">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以联合体形式参加政府采购活动的，其投诉应当由组成联合体的所有供应商共同提出。</w:t>
      </w:r>
    </w:p>
    <w:p w14:paraId="0CEF9C9F">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政府采购项目投诉材料可寄送浙江省政府采购行政裁决服务中心（杭州），</w:t>
      </w:r>
      <w:r>
        <w:rPr>
          <w:rFonts w:hint="eastAsia" w:ascii="仿宋" w:hAnsi="仿宋" w:eastAsia="仿宋" w:cs="仿宋"/>
          <w:bCs/>
          <w:sz w:val="24"/>
          <w:highlight w:val="none"/>
          <w:lang w:val="en-US" w:eastAsia="zh-CN"/>
        </w:rPr>
        <w:t>联系人及联系方式见采购公告</w:t>
      </w:r>
      <w:r>
        <w:rPr>
          <w:rFonts w:hint="eastAsia" w:ascii="仿宋" w:hAnsi="仿宋" w:eastAsia="仿宋" w:cs="仿宋"/>
          <w:bCs/>
          <w:sz w:val="24"/>
          <w:highlight w:val="none"/>
          <w:lang w:val="zh-CN"/>
        </w:rPr>
        <w:t>。</w:t>
      </w:r>
    </w:p>
    <w:p w14:paraId="1BE057E1">
      <w:pPr>
        <w:tabs>
          <w:tab w:val="left" w:pos="210"/>
        </w:tabs>
        <w:snapToGrid w:val="0"/>
        <w:spacing w:line="360" w:lineRule="auto"/>
        <w:ind w:firstLine="720" w:firstLineChars="30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投诉书范本及制作说明详见附件3。</w:t>
      </w:r>
    </w:p>
    <w:p w14:paraId="4FC108AE">
      <w:pPr>
        <w:numPr>
          <w:ilvl w:val="1"/>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补偿救济</w:t>
      </w:r>
    </w:p>
    <w:p w14:paraId="0E6DAE65">
      <w:pPr>
        <w:numPr>
          <w:ilvl w:val="2"/>
          <w:numId w:val="3"/>
        </w:numPr>
        <w:tabs>
          <w:tab w:val="left" w:pos="210"/>
        </w:tabs>
        <w:snapToGrid w:val="0"/>
        <w:spacing w:line="360" w:lineRule="auto"/>
        <w:jc w:val="left"/>
        <w:rPr>
          <w:rFonts w:hint="eastAsia" w:ascii="仿宋" w:hAnsi="仿宋" w:eastAsia="仿宋" w:cs="仿宋"/>
          <w:highlight w:val="none"/>
        </w:rPr>
      </w:pPr>
      <w:r>
        <w:rPr>
          <w:rFonts w:hint="eastAsia" w:ascii="仿宋" w:hAnsi="仿宋" w:eastAsia="仿宋" w:cs="仿宋"/>
          <w:bCs/>
          <w:sz w:val="24"/>
          <w:highlight w:val="none"/>
          <w:lang w:val="zh-CN"/>
        </w:rPr>
        <w:t>采购人因政策变化、规划调整而不履行政府采购合同的，供应商可依据《杭州市涉企补偿救济实施办法（试行）》向采购人提起补偿申请。</w:t>
      </w:r>
    </w:p>
    <w:p w14:paraId="41E07660">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highlight w:val="none"/>
        </w:rPr>
      </w:pPr>
      <w:bookmarkStart w:id="13" w:name="_Toc14473"/>
      <w:bookmarkStart w:id="14" w:name="_Toc28192"/>
      <w:bookmarkStart w:id="15" w:name="_Toc5240"/>
      <w:bookmarkStart w:id="16" w:name="_Toc27887"/>
      <w:bookmarkStart w:id="17" w:name="_Toc30065"/>
      <w:r>
        <w:rPr>
          <w:rFonts w:hint="eastAsia" w:ascii="仿宋" w:hAnsi="仿宋" w:eastAsia="仿宋" w:cs="仿宋"/>
          <w:b/>
          <w:sz w:val="32"/>
          <w:szCs w:val="20"/>
          <w:highlight w:val="none"/>
        </w:rPr>
        <w:t>二、招标文件的构成、澄清、修改</w:t>
      </w:r>
      <w:bookmarkEnd w:id="13"/>
      <w:bookmarkEnd w:id="14"/>
      <w:bookmarkEnd w:id="15"/>
      <w:bookmarkEnd w:id="16"/>
      <w:bookmarkEnd w:id="17"/>
    </w:p>
    <w:p w14:paraId="7EDDCA6C">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招标文件的构成</w:t>
      </w:r>
    </w:p>
    <w:p w14:paraId="5C576DEF">
      <w:pPr>
        <w:numPr>
          <w:ilvl w:val="1"/>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招标文件包括下列文件及附件：</w:t>
      </w:r>
    </w:p>
    <w:p w14:paraId="747E7E8D">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招标公告；</w:t>
      </w:r>
    </w:p>
    <w:p w14:paraId="5FB89FCE">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投标人须知；</w:t>
      </w:r>
    </w:p>
    <w:p w14:paraId="70C6F1B8">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采购需求；</w:t>
      </w:r>
    </w:p>
    <w:p w14:paraId="15EF3A48">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评标办法；</w:t>
      </w:r>
    </w:p>
    <w:p w14:paraId="0236B797">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拟签订的合同文本；</w:t>
      </w:r>
    </w:p>
    <w:p w14:paraId="613070C3">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应提交的有关格式范例。</w:t>
      </w:r>
    </w:p>
    <w:p w14:paraId="16AC1782">
      <w:pPr>
        <w:numPr>
          <w:ilvl w:val="1"/>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与本项目有关的澄清或者修改的内容为招标文件的组成部分。</w:t>
      </w:r>
    </w:p>
    <w:p w14:paraId="109B32DA">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招标文件的澄清、修改</w:t>
      </w:r>
    </w:p>
    <w:p w14:paraId="5DD7E558">
      <w:pPr>
        <w:numPr>
          <w:ilvl w:val="1"/>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已获取招标文件的潜在投标人，若有问题需要澄清，应于投标截止时间前，以书面形式向采购代理机构提出。</w:t>
      </w:r>
    </w:p>
    <w:p w14:paraId="12373E46">
      <w:pPr>
        <w:numPr>
          <w:ilvl w:val="1"/>
          <w:numId w:val="3"/>
        </w:numPr>
        <w:tabs>
          <w:tab w:val="left" w:pos="210"/>
        </w:tabs>
        <w:snapToGrid w:val="0"/>
        <w:spacing w:line="360" w:lineRule="auto"/>
        <w:jc w:val="left"/>
        <w:rPr>
          <w:rFonts w:hint="eastAsia" w:ascii="仿宋" w:hAnsi="仿宋" w:eastAsia="仿宋" w:cs="仿宋"/>
          <w:highlight w:val="none"/>
        </w:rPr>
      </w:pPr>
      <w:r>
        <w:rPr>
          <w:rFonts w:hint="eastAsia" w:ascii="仿宋" w:hAnsi="仿宋" w:eastAsia="仿宋" w:cs="仿宋"/>
          <w:bCs/>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仿宋" w:hAnsi="仿宋" w:eastAsia="仿宋" w:cs="仿宋"/>
          <w:highlight w:val="none"/>
        </w:rPr>
        <w:t xml:space="preserve">    </w:t>
      </w:r>
    </w:p>
    <w:p w14:paraId="7FCA588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highlight w:val="none"/>
        </w:rPr>
      </w:pPr>
      <w:bookmarkStart w:id="18" w:name="_Toc484"/>
      <w:bookmarkStart w:id="19" w:name="_Toc8085"/>
      <w:bookmarkStart w:id="20" w:name="_Toc2344"/>
      <w:bookmarkStart w:id="21" w:name="_Toc10627"/>
      <w:bookmarkStart w:id="22" w:name="_Toc25644"/>
      <w:r>
        <w:rPr>
          <w:rFonts w:hint="eastAsia" w:ascii="仿宋" w:hAnsi="仿宋" w:eastAsia="仿宋" w:cs="仿宋"/>
          <w:b/>
          <w:sz w:val="32"/>
          <w:szCs w:val="20"/>
          <w:highlight w:val="none"/>
        </w:rPr>
        <w:t>三、投标</w:t>
      </w:r>
      <w:bookmarkEnd w:id="18"/>
      <w:bookmarkEnd w:id="19"/>
      <w:bookmarkEnd w:id="20"/>
      <w:bookmarkEnd w:id="21"/>
      <w:bookmarkEnd w:id="22"/>
    </w:p>
    <w:p w14:paraId="46F2948C">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招标文件的获取</w:t>
      </w:r>
    </w:p>
    <w:p w14:paraId="763B0E0B">
      <w:pPr>
        <w:spacing w:line="360" w:lineRule="auto"/>
        <w:ind w:firstLine="42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2BA2C455">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p w14:paraId="4AEE6CB4">
      <w:pPr>
        <w:pStyle w:val="24"/>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4F0F2345">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投标保证金</w:t>
      </w:r>
    </w:p>
    <w:p w14:paraId="4D3D9856">
      <w:pPr>
        <w:pStyle w:val="11"/>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本项目不需缴纳投标保证金。</w:t>
      </w:r>
    </w:p>
    <w:p w14:paraId="5375AC3D">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投标文件的语言</w:t>
      </w:r>
    </w:p>
    <w:p w14:paraId="086530DD">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14:paraId="2AFB0713">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投标文件的组成</w:t>
      </w:r>
    </w:p>
    <w:p w14:paraId="2E97763E">
      <w:pPr>
        <w:numPr>
          <w:ilvl w:val="1"/>
          <w:numId w:val="3"/>
        </w:numPr>
        <w:tabs>
          <w:tab w:val="left" w:pos="210"/>
          <w:tab w:val="left" w:pos="630"/>
          <w:tab w:val="left" w:pos="840"/>
        </w:tabs>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资格文件：</w:t>
      </w:r>
    </w:p>
    <w:p w14:paraId="747FD05F">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符合参加政府采购活动应当具备的一般条件的承诺函；</w:t>
      </w:r>
    </w:p>
    <w:p w14:paraId="3C993950">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联合协议；（如果有）</w:t>
      </w:r>
    </w:p>
    <w:p w14:paraId="307C6122">
      <w:pPr>
        <w:numPr>
          <w:ilvl w:val="2"/>
          <w:numId w:val="3"/>
        </w:numPr>
        <w:tabs>
          <w:tab w:val="left" w:pos="210"/>
          <w:tab w:val="left" w:pos="630"/>
          <w:tab w:val="left" w:pos="840"/>
        </w:tabs>
        <w:snapToGrid w:val="0"/>
        <w:spacing w:line="360" w:lineRule="auto"/>
        <w:jc w:val="left"/>
        <w:rPr>
          <w:rFonts w:hint="eastAsia" w:ascii="仿宋" w:hAnsi="仿宋" w:eastAsia="仿宋" w:cs="仿宋"/>
          <w:snapToGrid w:val="0"/>
          <w:kern w:val="0"/>
          <w:sz w:val="24"/>
          <w:highlight w:val="none"/>
        </w:rPr>
      </w:pPr>
      <w:r>
        <w:rPr>
          <w:rFonts w:hint="eastAsia" w:ascii="仿宋" w:hAnsi="仿宋" w:eastAsia="仿宋" w:cs="仿宋"/>
          <w:bCs/>
          <w:sz w:val="24"/>
          <w:highlight w:val="none"/>
        </w:rPr>
        <w:t>落实政府采购政策需满足的资格要求；（如果有，按采购公告“申请人的资格要求”第2项；未要求的，无需提供）</w:t>
      </w:r>
    </w:p>
    <w:p w14:paraId="0FA30A39">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本项目的特定资格要求</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（如果有，按采购公告“申请人的资格要求”第3项；未要求的，无需提供）</w:t>
      </w:r>
    </w:p>
    <w:p w14:paraId="6E50FBA5">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lang w:eastAsia="zh-CN"/>
        </w:rPr>
        <w:t>投标人认为需提交的其他相关材料（如有）。</w:t>
      </w:r>
    </w:p>
    <w:p w14:paraId="40219077">
      <w:pPr>
        <w:numPr>
          <w:ilvl w:val="1"/>
          <w:numId w:val="3"/>
        </w:numPr>
        <w:tabs>
          <w:tab w:val="left" w:pos="210"/>
          <w:tab w:val="left" w:pos="630"/>
          <w:tab w:val="left" w:pos="840"/>
        </w:tabs>
        <w:snapToGrid w:val="0"/>
        <w:spacing w:line="360" w:lineRule="auto"/>
        <w:jc w:val="left"/>
        <w:rPr>
          <w:rFonts w:hint="eastAsia" w:ascii="仿宋" w:hAnsi="仿宋" w:eastAsia="仿宋" w:cs="仿宋"/>
          <w:b/>
          <w:sz w:val="24"/>
          <w:highlight w:val="none"/>
          <w:lang w:val="zh-CN"/>
        </w:rPr>
      </w:pPr>
      <w:r>
        <w:rPr>
          <w:rFonts w:hint="eastAsia" w:ascii="仿宋" w:hAnsi="仿宋" w:eastAsia="仿宋" w:cs="仿宋"/>
          <w:b/>
          <w:sz w:val="24"/>
          <w:highlight w:val="none"/>
        </w:rPr>
        <w:t>商务技术</w:t>
      </w:r>
      <w:r>
        <w:rPr>
          <w:rFonts w:hint="eastAsia" w:ascii="仿宋" w:hAnsi="仿宋" w:eastAsia="仿宋" w:cs="仿宋"/>
          <w:b/>
          <w:sz w:val="24"/>
          <w:highlight w:val="none"/>
          <w:lang w:val="zh-CN"/>
        </w:rPr>
        <w:t>文件：</w:t>
      </w:r>
    </w:p>
    <w:p w14:paraId="0F39CC35">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投标函；</w:t>
      </w:r>
      <w:r>
        <w:rPr>
          <w:rFonts w:hint="eastAsia" w:ascii="仿宋" w:hAnsi="仿宋" w:eastAsia="仿宋" w:cs="仿宋"/>
          <w:bCs/>
          <w:sz w:val="24"/>
          <w:highlight w:val="none"/>
          <w:lang w:val="zh-CN"/>
        </w:rPr>
        <w:t xml:space="preserve"> </w:t>
      </w:r>
    </w:p>
    <w:p w14:paraId="3D7555AA">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授权委托书或法定代表人（单位负责人、自然人本人）身份证明，以及为授权代表缴纳、距投标截止时间3个月内任意时间出具的社保证明材料；</w:t>
      </w:r>
    </w:p>
    <w:p w14:paraId="477D2DF0">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分包意向协议；（如果有）</w:t>
      </w:r>
    </w:p>
    <w:p w14:paraId="414C7BB1">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符合性审查资料；</w:t>
      </w:r>
    </w:p>
    <w:p w14:paraId="3D0B6BC6">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评标标准相应的商务技术资料；</w:t>
      </w:r>
    </w:p>
    <w:p w14:paraId="57378FE2">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投标标的清单；</w:t>
      </w:r>
    </w:p>
    <w:p w14:paraId="53DFBB97">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商务技术偏离表；</w:t>
      </w:r>
    </w:p>
    <w:p w14:paraId="459054AD">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政府采购供应商廉洁自律承诺书</w:t>
      </w:r>
      <w:r>
        <w:rPr>
          <w:rFonts w:hint="eastAsia" w:ascii="仿宋" w:hAnsi="仿宋" w:eastAsia="仿宋" w:cs="仿宋"/>
          <w:bCs/>
          <w:sz w:val="24"/>
          <w:highlight w:val="none"/>
        </w:rPr>
        <w:t>；</w:t>
      </w:r>
    </w:p>
    <w:p w14:paraId="05D6B319">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eastAsia="zh-CN"/>
        </w:rPr>
        <w:t>投标人认为需提交的其他相关材料（如有）。</w:t>
      </w:r>
    </w:p>
    <w:p w14:paraId="6E6ADCE6">
      <w:pPr>
        <w:numPr>
          <w:ilvl w:val="1"/>
          <w:numId w:val="3"/>
        </w:numPr>
        <w:tabs>
          <w:tab w:val="left" w:pos="210"/>
          <w:tab w:val="left" w:pos="630"/>
          <w:tab w:val="left" w:pos="840"/>
        </w:tabs>
        <w:snapToGrid w:val="0"/>
        <w:spacing w:line="360" w:lineRule="auto"/>
        <w:jc w:val="left"/>
        <w:rPr>
          <w:rFonts w:hint="eastAsia" w:ascii="仿宋" w:hAnsi="仿宋" w:eastAsia="仿宋" w:cs="仿宋"/>
          <w:b/>
          <w:sz w:val="24"/>
          <w:highlight w:val="none"/>
          <w:lang w:val="zh-CN"/>
        </w:rPr>
      </w:pPr>
      <w:r>
        <w:rPr>
          <w:rFonts w:hint="eastAsia" w:ascii="仿宋" w:hAnsi="仿宋" w:eastAsia="仿宋" w:cs="仿宋"/>
          <w:b/>
          <w:sz w:val="24"/>
          <w:highlight w:val="none"/>
        </w:rPr>
        <w:t xml:space="preserve">报价文件： </w:t>
      </w:r>
    </w:p>
    <w:p w14:paraId="22EEC725">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开标一览表（报价表）；</w:t>
      </w:r>
    </w:p>
    <w:p w14:paraId="1BEEC3F0">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报价明细表；（自拟）</w:t>
      </w:r>
    </w:p>
    <w:p w14:paraId="2D68BAC6">
      <w:pPr>
        <w:numPr>
          <w:ilvl w:val="2"/>
          <w:numId w:val="3"/>
        </w:numPr>
        <w:tabs>
          <w:tab w:val="left" w:pos="210"/>
          <w:tab w:val="left" w:pos="630"/>
          <w:tab w:val="left" w:pos="840"/>
        </w:tabs>
        <w:snapToGrid w:val="0"/>
        <w:spacing w:line="360" w:lineRule="auto"/>
        <w:ind w:left="0" w:firstLine="0"/>
        <w:jc w:val="left"/>
        <w:rPr>
          <w:rFonts w:hint="eastAsia" w:ascii="仿宋" w:hAnsi="仿宋" w:eastAsia="仿宋" w:cs="仿宋"/>
          <w:bCs/>
          <w:sz w:val="24"/>
          <w:highlight w:val="none"/>
        </w:rPr>
      </w:pPr>
      <w:r>
        <w:rPr>
          <w:rFonts w:hint="eastAsia" w:ascii="仿宋" w:hAnsi="仿宋" w:eastAsia="仿宋" w:cs="仿宋"/>
          <w:bCs/>
          <w:sz w:val="24"/>
          <w:highlight w:val="none"/>
          <w:lang w:eastAsia="zh-CN"/>
        </w:rPr>
        <w:t>投标人认为需提交的其他相关材料（如有）。</w:t>
      </w:r>
    </w:p>
    <w:p w14:paraId="00245B51">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3D0BBD5A">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投标人提供虚假材料投标的，投标无效；</w:t>
      </w:r>
    </w:p>
    <w:p w14:paraId="72156769">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投标人应对投标文件中材料的真实性、合法性负责。</w:t>
      </w:r>
    </w:p>
    <w:p w14:paraId="06BB9EEC">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投标文件的编制</w:t>
      </w:r>
    </w:p>
    <w:p w14:paraId="304FA6B3">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383BA79">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3EC1E6F6">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使用“政采云电子交易客户端”需要提前申领CA数字证书，申领流程请自行前往“浙江政府采购网-下载专区-电子交易客户端-CA驱动和申领流程”进行查阅。</w:t>
      </w:r>
    </w:p>
    <w:p w14:paraId="39C7D140">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投标文件的签署、盖章</w:t>
      </w:r>
    </w:p>
    <w:p w14:paraId="1DFFD030">
      <w:pPr>
        <w:numPr>
          <w:ilvl w:val="1"/>
          <w:numId w:val="3"/>
        </w:numPr>
        <w:tabs>
          <w:tab w:val="left" w:pos="210"/>
          <w:tab w:val="left" w:pos="6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投标文件按照招标文件第六部分格式要求进行签署、盖章。</w:t>
      </w:r>
    </w:p>
    <w:p w14:paraId="78EE6EC3">
      <w:pPr>
        <w:pStyle w:val="121"/>
        <w:snapToGrid w:val="0"/>
        <w:ind w:firstLine="482"/>
        <w:rPr>
          <w:rFonts w:hint="eastAsia" w:ascii="仿宋" w:hAnsi="仿宋" w:eastAsia="仿宋" w:cs="仿宋"/>
          <w:b/>
          <w:highlight w:val="none"/>
        </w:rPr>
      </w:pP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5205208A">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highlight w:val="none"/>
        </w:rPr>
      </w:pPr>
      <w:r>
        <w:rPr>
          <w:rFonts w:hint="eastAsia" w:ascii="仿宋" w:hAnsi="仿宋" w:eastAsia="仿宋" w:cs="仿宋"/>
          <w:bCs/>
          <w:sz w:val="24"/>
          <w:highlight w:val="none"/>
        </w:rPr>
        <w:t>为确保网上操作合法、有效和安全，投标人应当在投标截止时间前完成在“政府采购云平台”的身份认证，确保在电子投标过程中能够对相关数据电文进行加密和使用电子签名。</w:t>
      </w:r>
    </w:p>
    <w:p w14:paraId="25F6C229">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highlight w:val="none"/>
        </w:rPr>
      </w:pPr>
      <w:r>
        <w:rPr>
          <w:rFonts w:hint="eastAsia" w:ascii="仿宋" w:hAnsi="仿宋" w:eastAsia="仿宋" w:cs="仿宋"/>
          <w:bCs/>
          <w:sz w:val="24"/>
          <w:highlight w:val="none"/>
        </w:rPr>
        <w:t>招标文件对投标文件签署、盖章的要求适用于电子签名。</w:t>
      </w:r>
    </w:p>
    <w:p w14:paraId="5A890683">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投标文件的提交、补充、修改、撤回</w:t>
      </w:r>
    </w:p>
    <w:p w14:paraId="4A02382D">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highlight w:val="none"/>
        </w:rPr>
      </w:pPr>
      <w:r>
        <w:rPr>
          <w:rFonts w:hint="eastAsia" w:ascii="仿宋" w:hAnsi="仿宋" w:eastAsia="仿宋" w:cs="仿宋"/>
          <w:bCs/>
          <w:sz w:val="24"/>
          <w:highlight w:val="none"/>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2CDF364">
      <w:pPr>
        <w:numPr>
          <w:ilvl w:val="1"/>
          <w:numId w:val="3"/>
        </w:numPr>
        <w:tabs>
          <w:tab w:val="left" w:pos="210"/>
          <w:tab w:val="left" w:pos="6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7AF3D2EB">
      <w:pPr>
        <w:numPr>
          <w:ilvl w:val="1"/>
          <w:numId w:val="3"/>
        </w:numPr>
        <w:tabs>
          <w:tab w:val="left" w:pos="210"/>
          <w:tab w:val="left" w:pos="6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61324FDD">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备份投标文件</w:t>
      </w:r>
    </w:p>
    <w:p w14:paraId="4F1476C8">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投标人在电子交易平台传输递交投标文件后，还可以在投标截止时间前直接提交或者以邮政快递方式递交备份投标文件1份，</w:t>
      </w:r>
      <w:r>
        <w:rPr>
          <w:rFonts w:hint="eastAsia" w:ascii="仿宋" w:hAnsi="仿宋" w:eastAsia="仿宋" w:cs="仿宋"/>
          <w:b/>
          <w:sz w:val="24"/>
          <w:highlight w:val="none"/>
        </w:rPr>
        <w:t>但采购人、采购代理机构不强制或变相强制投标人提交备份投标文件</w:t>
      </w:r>
      <w:r>
        <w:rPr>
          <w:rFonts w:hint="eastAsia" w:ascii="仿宋" w:hAnsi="仿宋" w:eastAsia="仿宋" w:cs="仿宋"/>
          <w:bCs/>
          <w:sz w:val="24"/>
          <w:highlight w:val="none"/>
        </w:rPr>
        <w:t>。</w:t>
      </w:r>
    </w:p>
    <w:p w14:paraId="6B240ACC">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highlight w:val="none"/>
        </w:rPr>
        <w:t>不符合上述制作、存储、密封规定的备份投标文件将被视为无效或者被拒绝接收。</w:t>
      </w:r>
    </w:p>
    <w:p w14:paraId="0E422AC7">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直接提交备份投标文件的，投标人应于投标截止时间前在招标公告中载明的开标地点将备份投标文件提交给采购代理机构，</w:t>
      </w:r>
      <w:r>
        <w:rPr>
          <w:rFonts w:hint="eastAsia" w:ascii="仿宋" w:hAnsi="仿宋" w:eastAsia="仿宋" w:cs="仿宋"/>
          <w:b/>
          <w:sz w:val="24"/>
          <w:highlight w:val="none"/>
        </w:rPr>
        <w:t>采购代理机构将拒绝接受逾期送达的备份投标文件</w:t>
      </w:r>
      <w:r>
        <w:rPr>
          <w:rFonts w:hint="eastAsia" w:ascii="仿宋" w:hAnsi="仿宋" w:eastAsia="仿宋" w:cs="仿宋"/>
          <w:bCs/>
          <w:sz w:val="24"/>
          <w:highlight w:val="none"/>
        </w:rPr>
        <w:t>。</w:t>
      </w:r>
    </w:p>
    <w:p w14:paraId="6C652610">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DA0BD75">
      <w:pPr>
        <w:numPr>
          <w:ilvl w:val="1"/>
          <w:numId w:val="3"/>
        </w:numPr>
        <w:tabs>
          <w:tab w:val="left" w:pos="210"/>
          <w:tab w:val="left" w:pos="640"/>
        </w:tabs>
        <w:snapToGrid w:val="0"/>
        <w:spacing w:line="360" w:lineRule="auto"/>
        <w:ind w:left="629" w:hanging="629"/>
        <w:jc w:val="left"/>
        <w:rPr>
          <w:rFonts w:hint="eastAsia" w:ascii="仿宋" w:hAnsi="仿宋" w:eastAsia="仿宋" w:cs="仿宋"/>
          <w:b/>
          <w:sz w:val="24"/>
          <w:highlight w:val="none"/>
        </w:rPr>
      </w:pPr>
      <w:r>
        <w:rPr>
          <w:rFonts w:hint="eastAsia" w:ascii="仿宋" w:hAnsi="仿宋" w:eastAsia="仿宋" w:cs="仿宋"/>
          <w:b/>
          <w:sz w:val="24"/>
          <w:highlight w:val="none"/>
        </w:rPr>
        <w:t>投标人仅提交备份投标文件，未在电子交易平台传输递交投标文件的，投标无效。</w:t>
      </w:r>
    </w:p>
    <w:p w14:paraId="4CA9A2EE">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投标文件的无效处理</w:t>
      </w:r>
    </w:p>
    <w:p w14:paraId="641ED697">
      <w:pPr>
        <w:pStyle w:val="2"/>
        <w:ind w:firstLine="360" w:firstLineChars="150"/>
        <w:rPr>
          <w:rFonts w:hint="eastAsia" w:ascii="仿宋" w:hAnsi="仿宋" w:eastAsia="仿宋" w:cs="仿宋"/>
          <w:szCs w:val="21"/>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第4.2项规定</w:t>
      </w:r>
      <w:r>
        <w:rPr>
          <w:rFonts w:hint="eastAsia" w:ascii="仿宋" w:hAnsi="仿宋" w:eastAsia="仿宋" w:cs="仿宋"/>
          <w:szCs w:val="21"/>
          <w:highlight w:val="none"/>
        </w:rPr>
        <w:t>的情形之一的，投标无效。</w:t>
      </w:r>
    </w:p>
    <w:p w14:paraId="45F3D3C8">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投标有效期</w:t>
      </w:r>
    </w:p>
    <w:p w14:paraId="59F69F85">
      <w:pPr>
        <w:numPr>
          <w:ilvl w:val="1"/>
          <w:numId w:val="3"/>
        </w:numPr>
        <w:tabs>
          <w:tab w:val="left" w:pos="210"/>
          <w:tab w:val="left" w:pos="6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投标有效期为从提交投标文件的截止之日起90天。</w:t>
      </w:r>
    </w:p>
    <w:p w14:paraId="11E9AE45">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48C637A1">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highlight w:val="none"/>
        </w:rPr>
      </w:pPr>
      <w:r>
        <w:rPr>
          <w:rFonts w:hint="eastAsia" w:ascii="仿宋" w:hAnsi="仿宋" w:eastAsia="仿宋" w:cs="仿宋"/>
          <w:bCs/>
          <w:sz w:val="24"/>
          <w:highlight w:val="none"/>
        </w:rPr>
        <w:t>投标文件合格投递后，自投标截止日期起，在投标有效期内有效。</w:t>
      </w:r>
    </w:p>
    <w:p w14:paraId="09D15354">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highlight w:val="none"/>
        </w:rPr>
      </w:pPr>
      <w:r>
        <w:rPr>
          <w:rFonts w:hint="eastAsia" w:ascii="仿宋" w:hAnsi="仿宋" w:eastAsia="仿宋" w:cs="仿宋"/>
          <w:bCs/>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7DC1CF01">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highlight w:val="none"/>
        </w:rPr>
      </w:pPr>
      <w:r>
        <w:rPr>
          <w:rFonts w:hint="eastAsia" w:ascii="仿宋" w:hAnsi="仿宋" w:eastAsia="仿宋" w:cs="仿宋"/>
          <w:bCs/>
          <w:sz w:val="24"/>
          <w:highlight w:val="none"/>
        </w:rPr>
        <w:t>自投标截止时间起至投标有效期届满，供应商投标文件不可撤销。</w:t>
      </w:r>
    </w:p>
    <w:p w14:paraId="1B8D03A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highlight w:val="none"/>
        </w:rPr>
      </w:pPr>
      <w:bookmarkStart w:id="23" w:name="_Toc533"/>
      <w:bookmarkStart w:id="24" w:name="_Toc11837"/>
      <w:bookmarkStart w:id="25" w:name="_Toc3728"/>
      <w:bookmarkStart w:id="26" w:name="_Toc16113"/>
      <w:bookmarkStart w:id="27" w:name="_Toc25497"/>
      <w:r>
        <w:rPr>
          <w:rFonts w:hint="eastAsia" w:ascii="仿宋" w:hAnsi="仿宋" w:eastAsia="仿宋" w:cs="仿宋"/>
          <w:b/>
          <w:sz w:val="32"/>
          <w:szCs w:val="20"/>
          <w:highlight w:val="none"/>
        </w:rPr>
        <w:t>四、开标、资格审查与信用信息查询</w:t>
      </w:r>
      <w:bookmarkEnd w:id="23"/>
      <w:bookmarkEnd w:id="24"/>
      <w:bookmarkEnd w:id="25"/>
      <w:bookmarkEnd w:id="26"/>
      <w:bookmarkEnd w:id="27"/>
    </w:p>
    <w:p w14:paraId="14D93C54">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 xml:space="preserve">开标 </w:t>
      </w:r>
    </w:p>
    <w:p w14:paraId="302AF060">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采购代理机构按照招标文件规定的时间通过电子交易平台组织开标，所有投标人均应当准时在线参加。投标人不足3家的，不得开标。</w:t>
      </w:r>
    </w:p>
    <w:p w14:paraId="20C9F10D">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01CA8FB4">
      <w:pPr>
        <w:numPr>
          <w:ilvl w:val="1"/>
          <w:numId w:val="3"/>
        </w:numPr>
        <w:tabs>
          <w:tab w:val="left" w:pos="210"/>
          <w:tab w:val="left" w:pos="640"/>
        </w:tabs>
        <w:snapToGrid w:val="0"/>
        <w:spacing w:line="360" w:lineRule="auto"/>
        <w:ind w:left="629" w:hanging="629"/>
        <w:jc w:val="left"/>
        <w:rPr>
          <w:rFonts w:hint="eastAsia" w:ascii="仿宋" w:hAnsi="仿宋" w:eastAsia="仿宋" w:cs="仿宋"/>
          <w:b/>
          <w:sz w:val="24"/>
          <w:highlight w:val="none"/>
        </w:rPr>
      </w:pP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338EC47D">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资格审查</w:t>
      </w:r>
    </w:p>
    <w:p w14:paraId="3B6CFCC8">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开标后，采购人或采购代理机构依据法律法规和招标文件的规定，对投标人的资格进行审查。</w:t>
      </w:r>
    </w:p>
    <w:p w14:paraId="30A4E312">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采购人或采购代理机构依据法律法规和招标文件的规定，对投标人的基本资格条件、特定资格条件进行审查。</w:t>
      </w:r>
    </w:p>
    <w:p w14:paraId="17D7378C">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投标人未按照招标文件要求提供与基本资格条件、特定资格条件相应的有效资格证明材料的，视为投标人不具备招标文件中规定的资格要求，其投标无效。</w:t>
      </w:r>
    </w:p>
    <w:p w14:paraId="4FA6DBE9">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对未通过资格审查的投标人，采购人或采购代理机构告知其未通过的原因。</w:t>
      </w:r>
    </w:p>
    <w:p w14:paraId="21B193E7">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合格投标人不足3家的，不再评标。</w:t>
      </w:r>
    </w:p>
    <w:p w14:paraId="2ECE38E0">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信用信息查询</w:t>
      </w:r>
    </w:p>
    <w:p w14:paraId="15CBCD2B">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信用信息查询渠道及截止时间：采购代理机构将通过“信用中国”网站(www.creditchina.gov.cn)、中国政府采购网(www.ccgp.gov.cn)渠道查询投标人投标截止时间当天的信用记录。</w:t>
      </w:r>
    </w:p>
    <w:p w14:paraId="3629E4C6">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信用信息查询记录和证据留存的具体方式：现场查询的投标人的信用记录、查询结果经确认后将与采购文件一起存档。</w:t>
      </w:r>
    </w:p>
    <w:p w14:paraId="0A63C4EF">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信用信息的使用规则：经查询列入失信被执行人名单、重大税收违法案件当事人名单、政府采购严重违法失信行为记录名单的投标人将被拒绝参与政府采购活动。</w:t>
      </w:r>
    </w:p>
    <w:p w14:paraId="5315E27C">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9BC23B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highlight w:val="none"/>
        </w:rPr>
      </w:pPr>
      <w:bookmarkStart w:id="28" w:name="_Toc19433"/>
      <w:bookmarkStart w:id="29" w:name="_Toc9793"/>
      <w:bookmarkStart w:id="30" w:name="_Toc7171"/>
      <w:bookmarkStart w:id="31" w:name="_Toc24431"/>
      <w:bookmarkStart w:id="32" w:name="_Toc22552"/>
      <w:r>
        <w:rPr>
          <w:rFonts w:hint="eastAsia" w:ascii="仿宋" w:hAnsi="仿宋" w:eastAsia="仿宋" w:cs="仿宋"/>
          <w:b/>
          <w:sz w:val="32"/>
          <w:szCs w:val="20"/>
          <w:highlight w:val="none"/>
        </w:rPr>
        <w:t>五、评标</w:t>
      </w:r>
      <w:bookmarkEnd w:id="28"/>
      <w:bookmarkEnd w:id="29"/>
      <w:bookmarkEnd w:id="30"/>
      <w:bookmarkEnd w:id="31"/>
      <w:bookmarkEnd w:id="32"/>
    </w:p>
    <w:p w14:paraId="1EC9B588">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评标</w:t>
      </w:r>
    </w:p>
    <w:p w14:paraId="15D1E28D">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14:paraId="33C82DAA">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highlight w:val="none"/>
        </w:rPr>
      </w:pPr>
      <w:bookmarkStart w:id="33" w:name="_Toc20749"/>
      <w:bookmarkStart w:id="34" w:name="_Toc7518"/>
      <w:bookmarkStart w:id="35" w:name="_Toc31668"/>
      <w:bookmarkStart w:id="36" w:name="_Toc29939"/>
      <w:bookmarkStart w:id="37" w:name="_Toc30302"/>
      <w:r>
        <w:rPr>
          <w:rFonts w:hint="eastAsia" w:ascii="仿宋" w:hAnsi="仿宋" w:eastAsia="仿宋" w:cs="仿宋"/>
          <w:b/>
          <w:sz w:val="32"/>
          <w:szCs w:val="20"/>
          <w:highlight w:val="none"/>
        </w:rPr>
        <w:t>六、定 标</w:t>
      </w:r>
      <w:bookmarkEnd w:id="33"/>
      <w:bookmarkEnd w:id="34"/>
      <w:bookmarkEnd w:id="35"/>
      <w:bookmarkEnd w:id="36"/>
      <w:bookmarkEnd w:id="37"/>
    </w:p>
    <w:p w14:paraId="53A7D8FC">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确定中标供应商</w:t>
      </w:r>
    </w:p>
    <w:p w14:paraId="4C2723E6">
      <w:pPr>
        <w:pStyle w:val="121"/>
        <w:snapToGrid w:val="0"/>
        <w:ind w:firstLine="420" w:firstLineChars="175"/>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候选人并列的，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14:paraId="72827539">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中标通知与中标结果公告</w:t>
      </w:r>
    </w:p>
    <w:p w14:paraId="26F33702">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自中标人确定之日起2个工作日内，采购代理机构通过电子交易平台向中标人发出中标通知书，同时编制发布采购结果公告。采购代理机构也可以以纸质形式进行中标通知。</w:t>
      </w:r>
    </w:p>
    <w:p w14:paraId="24E41092">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中标结果公告内容包括采购人及其委托的采购代理机构的名称、地址、联系方式，项目名称和项目编号，中标人名称、地址和中标金额，主要中标标的的名称、规格型号、数量、单价、服务要求，开标记录、</w:t>
      </w:r>
      <w:bookmarkStart w:id="38" w:name="_Hlk101184471"/>
      <w:r>
        <w:rPr>
          <w:rFonts w:hint="eastAsia" w:ascii="仿宋" w:hAnsi="仿宋" w:eastAsia="仿宋" w:cs="仿宋"/>
          <w:bCs/>
          <w:sz w:val="24"/>
          <w:highlight w:val="none"/>
        </w:rPr>
        <w:t>资格审查情况、评审专家抽取规则、符合性审查情况、</w:t>
      </w:r>
      <w:bookmarkEnd w:id="38"/>
      <w:r>
        <w:rPr>
          <w:rFonts w:hint="eastAsia" w:ascii="仿宋" w:hAnsi="仿宋" w:eastAsia="仿宋" w:cs="仿宋"/>
          <w:bCs/>
          <w:sz w:val="24"/>
          <w:highlight w:val="none"/>
        </w:rPr>
        <w:t>未中标情况说明、中标公告期限以及评审专家名单、评分汇总及明细。</w:t>
      </w:r>
    </w:p>
    <w:p w14:paraId="492F2F35">
      <w:pPr>
        <w:numPr>
          <w:ilvl w:val="1"/>
          <w:numId w:val="3"/>
        </w:numPr>
        <w:tabs>
          <w:tab w:val="left" w:pos="210"/>
          <w:tab w:val="left" w:pos="640"/>
        </w:tabs>
        <w:snapToGrid w:val="0"/>
        <w:spacing w:line="360" w:lineRule="auto"/>
        <w:ind w:left="629" w:hanging="629"/>
        <w:jc w:val="left"/>
        <w:rPr>
          <w:rFonts w:hint="eastAsia" w:ascii="仿宋" w:hAnsi="仿宋" w:eastAsia="仿宋" w:cs="仿宋"/>
          <w:highlight w:val="none"/>
        </w:rPr>
      </w:pPr>
      <w:r>
        <w:rPr>
          <w:rFonts w:hint="eastAsia" w:ascii="仿宋" w:hAnsi="仿宋" w:eastAsia="仿宋" w:cs="仿宋"/>
          <w:bCs/>
          <w:sz w:val="24"/>
          <w:highlight w:val="none"/>
        </w:rPr>
        <w:t>公告期限为1个工作日。</w:t>
      </w:r>
    </w:p>
    <w:p w14:paraId="37AF7FD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highlight w:val="none"/>
        </w:rPr>
      </w:pPr>
      <w:bookmarkStart w:id="39" w:name="_Toc5538"/>
      <w:bookmarkStart w:id="40" w:name="_Toc16906"/>
      <w:bookmarkStart w:id="41" w:name="_Toc12684"/>
      <w:bookmarkStart w:id="42" w:name="_Toc21438"/>
      <w:r>
        <w:rPr>
          <w:rFonts w:hint="eastAsia" w:ascii="仿宋" w:hAnsi="仿宋" w:eastAsia="仿宋" w:cs="仿宋"/>
          <w:b/>
          <w:sz w:val="32"/>
          <w:szCs w:val="20"/>
          <w:highlight w:val="none"/>
        </w:rPr>
        <w:t>七、合同授予</w:t>
      </w:r>
      <w:bookmarkEnd w:id="39"/>
      <w:bookmarkEnd w:id="40"/>
      <w:bookmarkEnd w:id="41"/>
      <w:bookmarkEnd w:id="42"/>
    </w:p>
    <w:p w14:paraId="0DA3CB0B">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合同授予</w:t>
      </w:r>
    </w:p>
    <w:p w14:paraId="751AA63F">
      <w:pPr>
        <w:widowControl/>
        <w:shd w:val="clear" w:color="auto" w:fill="FFFFFF"/>
        <w:spacing w:line="360" w:lineRule="auto"/>
        <w:ind w:firstLine="420"/>
        <w:jc w:val="left"/>
        <w:rPr>
          <w:rFonts w:hint="eastAsia" w:ascii="仿宋" w:hAnsi="仿宋" w:eastAsia="仿宋" w:cs="仿宋"/>
          <w:b/>
          <w:highlight w:val="none"/>
        </w:rPr>
      </w:pPr>
      <w:r>
        <w:rPr>
          <w:rFonts w:hint="eastAsia" w:ascii="仿宋" w:hAnsi="仿宋" w:eastAsia="仿宋" w:cs="仿宋"/>
          <w:sz w:val="24"/>
          <w:highlight w:val="none"/>
        </w:rPr>
        <w:t>合同主要条款详见第五部分拟签订的合同文本。</w:t>
      </w:r>
    </w:p>
    <w:p w14:paraId="239EB463">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合同的签订</w:t>
      </w:r>
    </w:p>
    <w:p w14:paraId="275DEF73">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DD240FA">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1C60F9F2">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如签订合同并生效后，供应商无故拒绝或延期，除按照合同条款处理外，列入不良行为记录一次，并给予通报。</w:t>
      </w:r>
    </w:p>
    <w:p w14:paraId="25FD2615">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中标供应商拒绝与采购人签订合同的，采购人可以按照评审报告推荐的中标或者成交候选人名单排序，确定下一候选人为中标供应商，也可以重新开展政府采购活动。</w:t>
      </w:r>
    </w:p>
    <w:p w14:paraId="6A868612">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采购合同由采购人与中标供应商根据招标文件、投标文件等内容通过政府采购电子交易平台在线签订，自动备案。</w:t>
      </w:r>
    </w:p>
    <w:p w14:paraId="2469114A">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履约保证金</w:t>
      </w:r>
    </w:p>
    <w:p w14:paraId="5B9AE388">
      <w:pPr>
        <w:tabs>
          <w:tab w:val="left" w:pos="210"/>
          <w:tab w:val="left" w:pos="640"/>
        </w:tabs>
        <w:snapToGrid w:val="0"/>
        <w:spacing w:line="360" w:lineRule="auto"/>
        <w:ind w:firstLine="480" w:firstLineChars="20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DFB6EC1">
      <w:pPr>
        <w:pStyle w:val="2"/>
        <w:rPr>
          <w:rFonts w:hint="eastAsia" w:ascii="仿宋" w:hAnsi="仿宋" w:eastAsia="仿宋" w:cs="仿宋"/>
          <w:highlight w:val="none"/>
          <w:lang w:val="zh-CN"/>
        </w:rPr>
      </w:pPr>
      <w:r>
        <w:rPr>
          <w:rFonts w:hint="eastAsia" w:ascii="仿宋" w:hAnsi="仿宋" w:eastAsia="仿宋" w:cs="仿宋"/>
          <w:bCs/>
          <w:sz w:val="24"/>
          <w:highlight w:val="none"/>
          <w:lang w:val="zh-CN" w:eastAsia="zh-CN"/>
        </w:rPr>
        <w:t>供应商</w:t>
      </w:r>
      <w:r>
        <w:rPr>
          <w:rFonts w:hint="eastAsia" w:ascii="仿宋" w:hAnsi="仿宋" w:eastAsia="仿宋" w:cs="仿宋"/>
          <w:bCs/>
          <w:sz w:val="24"/>
          <w:highlight w:val="none"/>
          <w:lang w:val="en-US" w:eastAsia="zh-CN"/>
        </w:rPr>
        <w:t>可</w:t>
      </w:r>
      <w:r>
        <w:rPr>
          <w:rFonts w:hint="eastAsia" w:ascii="仿宋" w:hAnsi="仿宋" w:eastAsia="仿宋" w:cs="仿宋"/>
          <w:bCs/>
          <w:sz w:val="24"/>
          <w:highlight w:val="none"/>
          <w:lang w:val="zh-CN" w:eastAsia="zh-CN"/>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Cs/>
          <w:sz w:val="24"/>
          <w:highlight w:val="none"/>
          <w:lang w:val="en-US" w:eastAsia="zh-CN"/>
        </w:rPr>
        <w:t>95763</w:t>
      </w:r>
      <w:r>
        <w:rPr>
          <w:rFonts w:hint="eastAsia" w:ascii="仿宋" w:hAnsi="仿宋" w:eastAsia="仿宋" w:cs="仿宋"/>
          <w:bCs/>
          <w:sz w:val="24"/>
          <w:highlight w:val="none"/>
          <w:lang w:val="zh-CN" w:eastAsia="zh-CN"/>
        </w:rPr>
        <w:t>。</w:t>
      </w:r>
    </w:p>
    <w:p w14:paraId="563C0C59">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预付款</w:t>
      </w:r>
    </w:p>
    <w:p w14:paraId="76B941D1">
      <w:pPr>
        <w:tabs>
          <w:tab w:val="left" w:pos="210"/>
          <w:tab w:val="left" w:pos="640"/>
        </w:tabs>
        <w:snapToGrid w:val="0"/>
        <w:spacing w:line="360" w:lineRule="auto"/>
        <w:ind w:firstLine="480" w:firstLineChars="200"/>
        <w:jc w:val="left"/>
        <w:rPr>
          <w:rFonts w:hint="eastAsia" w:ascii="仿宋" w:hAnsi="仿宋" w:eastAsia="仿宋" w:cs="仿宋"/>
          <w:b/>
          <w:sz w:val="32"/>
          <w:highlight w:val="none"/>
        </w:rPr>
      </w:pPr>
      <w:r>
        <w:rPr>
          <w:rFonts w:hint="eastAsia" w:ascii="仿宋" w:hAnsi="仿宋" w:eastAsia="仿宋" w:cs="仿宋"/>
          <w:bCs/>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sz w:val="24"/>
          <w:highlight w:val="none"/>
        </w:rPr>
        <w:t>95763</w:t>
      </w:r>
      <w:r>
        <w:rPr>
          <w:rFonts w:hint="eastAsia" w:ascii="仿宋" w:hAnsi="仿宋" w:eastAsia="仿宋" w:cs="仿宋"/>
          <w:bCs/>
          <w:sz w:val="24"/>
          <w:highlight w:val="none"/>
        </w:rPr>
        <w:t>。</w:t>
      </w:r>
    </w:p>
    <w:p w14:paraId="5E04C02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highlight w:val="none"/>
        </w:rPr>
      </w:pPr>
      <w:bookmarkStart w:id="43" w:name="_Toc12260"/>
      <w:bookmarkStart w:id="44" w:name="_Toc32079"/>
      <w:bookmarkStart w:id="45" w:name="_Toc24890"/>
      <w:r>
        <w:rPr>
          <w:rFonts w:hint="eastAsia" w:ascii="仿宋" w:hAnsi="仿宋" w:eastAsia="仿宋" w:cs="仿宋"/>
          <w:b/>
          <w:sz w:val="32"/>
          <w:szCs w:val="20"/>
          <w:highlight w:val="none"/>
        </w:rPr>
        <w:t>八、电子交易活动的中止</w:t>
      </w:r>
      <w:bookmarkEnd w:id="43"/>
      <w:bookmarkEnd w:id="44"/>
      <w:bookmarkEnd w:id="45"/>
    </w:p>
    <w:p w14:paraId="036BA901">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电子交易活动的中止</w:t>
      </w:r>
    </w:p>
    <w:p w14:paraId="6BEDE772">
      <w:pPr>
        <w:pStyle w:val="121"/>
        <w:snapToGrid w:val="0"/>
        <w:ind w:firstLine="480"/>
        <w:rPr>
          <w:rFonts w:hint="eastAsia" w:ascii="仿宋" w:hAnsi="仿宋" w:eastAsia="仿宋" w:cs="仿宋"/>
          <w:highlight w:val="none"/>
        </w:rPr>
      </w:pPr>
      <w:r>
        <w:rPr>
          <w:rFonts w:hint="eastAsia" w:ascii="仿宋" w:hAnsi="仿宋" w:eastAsia="仿宋" w:cs="仿宋"/>
          <w:highlight w:val="none"/>
        </w:rPr>
        <w:t>采购过程中出现以下情形，导致电子交易平台无法正常运行，或者无法保证电子交易的公平、公正和安全时，采购代理机构可中止电子交易活动：</w:t>
      </w:r>
    </w:p>
    <w:p w14:paraId="2DAF1118">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电子交易平台发生故障而无法登录访问的； </w:t>
      </w:r>
    </w:p>
    <w:p w14:paraId="1D28AD21">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电子交易平台应用或数据库出现错误，不能进行正常操作的；</w:t>
      </w:r>
    </w:p>
    <w:p w14:paraId="4BC3910A">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电子交易平台发现严重安全漏洞，有潜在泄密危险的；</w:t>
      </w:r>
    </w:p>
    <w:p w14:paraId="7816A1CB">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病毒发作导致不能进行正常操作的； </w:t>
      </w:r>
    </w:p>
    <w:p w14:paraId="11087A5C">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其他无法保证电子交易的公平、公正和安全的情况。</w:t>
      </w:r>
    </w:p>
    <w:p w14:paraId="3C65E157">
      <w:pPr>
        <w:numPr>
          <w:ilvl w:val="0"/>
          <w:numId w:val="3"/>
        </w:numPr>
        <w:tabs>
          <w:tab w:val="left" w:pos="210"/>
        </w:tabs>
        <w:snapToGrid w:val="0"/>
        <w:spacing w:line="360" w:lineRule="auto"/>
        <w:ind w:left="403" w:hanging="403"/>
        <w:jc w:val="left"/>
        <w:outlineLvl w:val="2"/>
        <w:rPr>
          <w:rFonts w:hint="eastAsia" w:ascii="仿宋" w:hAnsi="仿宋" w:eastAsia="仿宋" w:cs="仿宋"/>
          <w:sz w:val="24"/>
          <w:highlight w:val="none"/>
        </w:rPr>
      </w:pPr>
      <w:r>
        <w:rPr>
          <w:rFonts w:hint="eastAsia" w:ascii="仿宋" w:hAnsi="仿宋" w:eastAsia="仿宋" w:cs="仿宋"/>
          <w:b/>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B9DDC80">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outlineLvl w:val="1"/>
        <w:rPr>
          <w:rFonts w:hint="eastAsia" w:ascii="仿宋" w:hAnsi="仿宋" w:eastAsia="仿宋" w:cs="仿宋"/>
          <w:b/>
          <w:sz w:val="32"/>
          <w:szCs w:val="20"/>
          <w:highlight w:val="none"/>
        </w:rPr>
      </w:pPr>
      <w:bookmarkStart w:id="46" w:name="_Toc26192"/>
      <w:bookmarkStart w:id="47" w:name="_Toc18624"/>
      <w:bookmarkStart w:id="48" w:name="_Toc24777"/>
      <w:r>
        <w:rPr>
          <w:rFonts w:hint="eastAsia" w:ascii="仿宋" w:hAnsi="仿宋" w:eastAsia="仿宋" w:cs="仿宋"/>
          <w:b/>
          <w:sz w:val="32"/>
          <w:szCs w:val="20"/>
          <w:highlight w:val="none"/>
        </w:rPr>
        <w:t>九、验收</w:t>
      </w:r>
      <w:bookmarkEnd w:id="46"/>
      <w:bookmarkEnd w:id="47"/>
      <w:bookmarkEnd w:id="48"/>
    </w:p>
    <w:p w14:paraId="7ADB41D7">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验收</w:t>
      </w:r>
    </w:p>
    <w:p w14:paraId="14C758CE">
      <w:pPr>
        <w:widowControl/>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r>
        <w:rPr>
          <w:rFonts w:hint="eastAsia" w:ascii="仿宋" w:hAnsi="仿宋" w:eastAsia="仿宋" w:cs="仿宋"/>
          <w:bCs/>
          <w:i w:val="0"/>
          <w:iCs w:val="0"/>
          <w:caps w:val="0"/>
          <w:spacing w:val="0"/>
          <w:kern w:val="2"/>
          <w:sz w:val="24"/>
          <w:szCs w:val="24"/>
          <w:highlight w:val="none"/>
          <w:shd w:val="clear"/>
          <w:lang w:val="zh-CN" w:eastAsia="zh-CN" w:bidi="ar"/>
        </w:rPr>
        <w:t>。</w:t>
      </w:r>
    </w:p>
    <w:p w14:paraId="702F1561">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采购人可以邀请参加本项目的其他投标人或者第三方机构参与验收。参与验收的投标人或者第三方机构的意见作为验收书的参考资料一并存档。</w:t>
      </w:r>
    </w:p>
    <w:p w14:paraId="68274052">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2D8695">
      <w:pPr>
        <w:numPr>
          <w:ilvl w:val="1"/>
          <w:numId w:val="3"/>
        </w:numPr>
        <w:tabs>
          <w:tab w:val="left" w:pos="210"/>
          <w:tab w:val="left" w:pos="640"/>
        </w:tabs>
        <w:snapToGrid w:val="0"/>
        <w:spacing w:line="360" w:lineRule="auto"/>
        <w:ind w:left="627" w:hanging="627"/>
        <w:jc w:val="left"/>
        <w:outlineLvl w:val="2"/>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BB2A7F0">
      <w:pPr>
        <w:numPr>
          <w:ilvl w:val="1"/>
          <w:numId w:val="3"/>
        </w:numPr>
        <w:tabs>
          <w:tab w:val="left" w:pos="210"/>
          <w:tab w:val="left" w:pos="640"/>
        </w:tabs>
        <w:snapToGrid w:val="0"/>
        <w:spacing w:line="360" w:lineRule="auto"/>
        <w:ind w:left="627" w:hanging="627"/>
        <w:jc w:val="left"/>
        <w:outlineLvl w:val="2"/>
        <w:rPr>
          <w:rFonts w:hint="eastAsia" w:ascii="仿宋" w:hAnsi="仿宋" w:eastAsia="仿宋" w:cs="仿宋"/>
          <w:bCs/>
          <w:sz w:val="24"/>
          <w:highlight w:val="none"/>
          <w:lang w:val="zh-CN"/>
        </w:rPr>
      </w:pPr>
      <w:r>
        <w:rPr>
          <w:rFonts w:hint="eastAsia" w:ascii="仿宋" w:hAnsi="仿宋" w:eastAsia="仿宋" w:cs="仿宋"/>
          <w:bCs/>
          <w:sz w:val="24"/>
          <w:highlight w:val="none"/>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959880D">
      <w:pPr>
        <w:pStyle w:val="60"/>
        <w:rPr>
          <w:rFonts w:hint="eastAsia" w:ascii="仿宋" w:hAnsi="仿宋" w:eastAsia="仿宋" w:cs="仿宋"/>
          <w:highlight w:val="none"/>
          <w:lang w:val="zh-CN"/>
        </w:rPr>
      </w:pPr>
    </w:p>
    <w:p w14:paraId="08BAC754">
      <w:pPr>
        <w:adjustRightInd w:val="0"/>
        <w:snapToGrid w:val="0"/>
        <w:spacing w:before="120" w:beforeLines="50" w:after="120" w:afterLines="50" w:line="360" w:lineRule="auto"/>
        <w:jc w:val="center"/>
        <w:outlineLvl w:val="0"/>
        <w:rPr>
          <w:rFonts w:hint="eastAsia" w:ascii="仿宋" w:hAnsi="仿宋" w:eastAsia="仿宋" w:cs="仿宋"/>
          <w:color w:val="000000" w:themeColor="text1"/>
          <w:sz w:val="36"/>
          <w:highlight w:val="none"/>
          <w14:textFill>
            <w14:solidFill>
              <w14:schemeClr w14:val="tx1"/>
            </w14:solidFill>
          </w14:textFill>
        </w:rPr>
      </w:pPr>
      <w:r>
        <w:rPr>
          <w:rFonts w:hint="eastAsia" w:ascii="仿宋" w:hAnsi="仿宋" w:eastAsia="仿宋" w:cs="仿宋"/>
          <w:b/>
          <w:bCs/>
          <w:sz w:val="28"/>
          <w:szCs w:val="21"/>
          <w:highlight w:val="none"/>
        </w:rPr>
        <w:br w:type="page"/>
      </w:r>
      <w:bookmarkStart w:id="49" w:name="_Toc83616202"/>
      <w:bookmarkStart w:id="50" w:name="_Toc31190"/>
      <w:bookmarkStart w:id="51" w:name="_Toc242012796"/>
      <w:bookmarkStart w:id="52" w:name="_Toc11107"/>
      <w:r>
        <w:rPr>
          <w:rFonts w:hint="eastAsia" w:ascii="仿宋" w:hAnsi="仿宋" w:eastAsia="仿宋" w:cs="仿宋"/>
          <w:b/>
          <w:color w:val="000000" w:themeColor="text1"/>
          <w:sz w:val="30"/>
          <w:szCs w:val="30"/>
          <w:highlight w:val="none"/>
          <w14:textFill>
            <w14:solidFill>
              <w14:schemeClr w14:val="tx1"/>
            </w14:solidFill>
          </w14:textFill>
        </w:rPr>
        <w:t>第三部分</w:t>
      </w:r>
      <w:bookmarkEnd w:id="49"/>
      <w:bookmarkEnd w:id="50"/>
      <w:bookmarkEnd w:id="51"/>
      <w:r>
        <w:rPr>
          <w:rFonts w:hint="eastAsia" w:ascii="仿宋" w:hAnsi="仿宋" w:eastAsia="仿宋" w:cs="仿宋"/>
          <w:b/>
          <w:color w:val="000000" w:themeColor="text1"/>
          <w:sz w:val="30"/>
          <w:szCs w:val="30"/>
          <w:highlight w:val="none"/>
          <w14:textFill>
            <w14:solidFill>
              <w14:schemeClr w14:val="tx1"/>
            </w14:solidFill>
          </w14:textFill>
        </w:rPr>
        <w:t xml:space="preserve">  采购需求</w:t>
      </w:r>
      <w:bookmarkEnd w:id="52"/>
    </w:p>
    <w:p w14:paraId="5A6AAF55">
      <w:pPr>
        <w:pStyle w:val="4"/>
        <w:keepNext/>
        <w:keepLines/>
        <w:pageBreakBefore w:val="0"/>
        <w:widowControl w:val="0"/>
        <w:tabs>
          <w:tab w:val="left" w:pos="432"/>
        </w:tabs>
        <w:kinsoku/>
        <w:wordWrap/>
        <w:overflowPunct/>
        <w:topLinePunct w:val="0"/>
        <w:autoSpaceDE/>
        <w:autoSpaceDN/>
        <w:bidi w:val="0"/>
        <w:adjustRightInd w:val="0"/>
        <w:snapToGrid w:val="0"/>
        <w:spacing w:line="360" w:lineRule="auto"/>
        <w:ind w:left="0" w:firstLine="0"/>
        <w:textAlignment w:val="auto"/>
        <w:rPr>
          <w:rFonts w:hint="eastAsia" w:ascii="仿宋" w:hAnsi="仿宋" w:eastAsia="仿宋" w:cs="仿宋"/>
          <w:color w:val="000000" w:themeColor="text1"/>
          <w:sz w:val="24"/>
          <w:szCs w:val="24"/>
          <w:highlight w:val="none"/>
          <w14:textFill>
            <w14:solidFill>
              <w14:schemeClr w14:val="tx1"/>
            </w14:solidFill>
          </w14:textFill>
        </w:rPr>
      </w:pPr>
      <w:bookmarkStart w:id="53" w:name="_Toc21672"/>
      <w:bookmarkStart w:id="54" w:name="_Toc418846105"/>
      <w:bookmarkStart w:id="55" w:name="_Toc28747"/>
      <w:bookmarkStart w:id="56" w:name="_Toc5161"/>
      <w:bookmarkStart w:id="57" w:name="_Toc887"/>
      <w:bookmarkStart w:id="58" w:name="_Toc30857"/>
      <w:bookmarkStart w:id="59" w:name="_Toc10115"/>
      <w:bookmarkStart w:id="60" w:name="_Toc3315"/>
      <w:bookmarkStart w:id="61" w:name="_Toc6542"/>
      <w:bookmarkStart w:id="62" w:name="_Toc15069"/>
      <w:bookmarkStart w:id="63" w:name="_Toc417054472"/>
      <w:bookmarkStart w:id="64" w:name="_Toc27410"/>
      <w:bookmarkStart w:id="65" w:name="_Toc453947198"/>
      <w:bookmarkStart w:id="66" w:name="_Toc331971533"/>
      <w:bookmarkStart w:id="67" w:name="_Toc417054389"/>
      <w:bookmarkStart w:id="68" w:name="_Toc419104917"/>
      <w:bookmarkStart w:id="69" w:name="_Toc306304665"/>
      <w:bookmarkStart w:id="70" w:name="_Toc203558307"/>
      <w:bookmarkStart w:id="71" w:name="_Toc194983818"/>
      <w:bookmarkStart w:id="72" w:name="_Toc12471"/>
      <w:bookmarkStart w:id="73" w:name="_Toc342633574"/>
      <w:r>
        <w:rPr>
          <w:rFonts w:hint="eastAsia" w:ascii="仿宋" w:hAnsi="仿宋" w:eastAsia="仿宋" w:cs="仿宋"/>
          <w:color w:val="000000" w:themeColor="text1"/>
          <w:sz w:val="24"/>
          <w:szCs w:val="24"/>
          <w:highlight w:val="none"/>
          <w14:textFill>
            <w14:solidFill>
              <w14:schemeClr w14:val="tx1"/>
            </w14:solidFill>
          </w14:textFill>
        </w:rPr>
        <w:t>一、项目概况</w:t>
      </w:r>
      <w:bookmarkEnd w:id="53"/>
      <w:bookmarkEnd w:id="54"/>
      <w:bookmarkEnd w:id="55"/>
      <w:bookmarkEnd w:id="56"/>
      <w:bookmarkEnd w:id="57"/>
      <w:bookmarkEnd w:id="58"/>
    </w:p>
    <w:p w14:paraId="685ADD88">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bookmarkStart w:id="74" w:name="_Toc6499"/>
      <w:bookmarkStart w:id="75" w:name="_Toc32216"/>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年度杭州市钱塘区政府投资项目工程竣工财务决算审核服务</w:t>
      </w:r>
    </w:p>
    <w:p w14:paraId="32493015">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项目实施地点：杭州市钱塘区</w:t>
      </w:r>
      <w:r>
        <w:rPr>
          <w:rFonts w:hint="eastAsia" w:ascii="仿宋" w:hAnsi="仿宋" w:eastAsia="仿宋" w:cs="仿宋"/>
          <w:color w:val="000000" w:themeColor="text1"/>
          <w:sz w:val="24"/>
          <w:highlight w:val="none"/>
          <w:lang w:eastAsia="zh-CN"/>
          <w14:textFill>
            <w14:solidFill>
              <w14:schemeClr w14:val="tx1"/>
            </w14:solidFill>
          </w14:textFill>
        </w:rPr>
        <w:t>。</w:t>
      </w:r>
    </w:p>
    <w:p w14:paraId="07F048B7">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采购内容及范围：</w:t>
      </w:r>
      <w:r>
        <w:rPr>
          <w:rFonts w:hint="eastAsia" w:ascii="仿宋" w:hAnsi="仿宋" w:eastAsia="仿宋" w:cs="仿宋"/>
          <w:color w:val="000000" w:themeColor="text1"/>
          <w:sz w:val="24"/>
          <w:highlight w:val="none"/>
          <w:lang w:val="en-US" w:eastAsia="zh-CN"/>
          <w14:textFill>
            <w14:solidFill>
              <w14:schemeClr w14:val="tx1"/>
            </w14:solidFill>
          </w14:textFill>
        </w:rPr>
        <w:t>通过公开招标方式产生服务单位，负责采购人委托的2025年度杭州市钱塘区政府投资项目工程竣工财务决算审核服务。本项目分为三个标项，具体如下：</w:t>
      </w:r>
    </w:p>
    <w:p w14:paraId="3A59FAB1">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标项一，各街道、区建投集团下属大江东建发公司及金沙湖投发公司实施及代建类政府投资项目工程竣工财务决算审核服务；</w:t>
      </w:r>
    </w:p>
    <w:p w14:paraId="3F183200">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标项二，区产城中心、区产业集团、区城发集团、区建投集团（除下属大江东建发公司及金沙湖投发公司实施及代建类政府投资项目外）类政府投资项目工程竣工财务决算审核服务；</w:t>
      </w:r>
    </w:p>
    <w:p w14:paraId="22C63597">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标项三，其他类政府投资项目工程竣工财务决算审核服务。</w:t>
      </w:r>
    </w:p>
    <w:p w14:paraId="206346DF">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4.本项目咨询服务成果所有权和使用权均属于采购人或其授权部门。</w:t>
      </w:r>
    </w:p>
    <w:p w14:paraId="3E4FFF04">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5.注意事项：</w:t>
      </w:r>
    </w:p>
    <w:p w14:paraId="5CCEC3BF">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（1）因各标项中的服务内容以采购人待审核的实际任务为准，采购人无法确保所有标项委派内容平均分派。投标人应事先考虑可能存在各标项受托任务数量不同的因素，并承担相应风险。</w:t>
      </w:r>
    </w:p>
    <w:p w14:paraId="3F206C76">
      <w:pPr>
        <w:pStyle w:val="2"/>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（2）标项内容明确的类型以立项为准，无立项的，以出资方为准。</w:t>
      </w:r>
    </w:p>
    <w:p w14:paraId="131A3AB0">
      <w:pPr>
        <w:pStyle w:val="2"/>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（3）根据业务性质、服务内容等要素，本项目在编制、审核等环节应遵循回避原则。</w:t>
      </w:r>
    </w:p>
    <w:p w14:paraId="5013EF93">
      <w:pPr>
        <w:pStyle w:val="4"/>
        <w:keepNext/>
        <w:keepLines/>
        <w:pageBreakBefore w:val="0"/>
        <w:widowControl w:val="0"/>
        <w:tabs>
          <w:tab w:val="left" w:pos="432"/>
        </w:tabs>
        <w:kinsoku/>
        <w:wordWrap/>
        <w:overflowPunct/>
        <w:topLinePunct w:val="0"/>
        <w:autoSpaceDE/>
        <w:autoSpaceDN/>
        <w:bidi w:val="0"/>
        <w:adjustRightInd w:val="0"/>
        <w:snapToGrid w:val="0"/>
        <w:spacing w:line="360" w:lineRule="auto"/>
        <w:ind w:left="0" w:firstLine="0"/>
        <w:textAlignment w:val="auto"/>
        <w:rPr>
          <w:rFonts w:hint="eastAsia" w:ascii="仿宋" w:hAnsi="仿宋" w:eastAsia="仿宋" w:cs="仿宋"/>
          <w:color w:val="000000" w:themeColor="text1"/>
          <w:sz w:val="24"/>
          <w:szCs w:val="24"/>
          <w:highlight w:val="none"/>
          <w14:textFill>
            <w14:solidFill>
              <w14:schemeClr w14:val="tx1"/>
            </w14:solidFill>
          </w14:textFill>
        </w:rPr>
      </w:pPr>
      <w:bookmarkStart w:id="76" w:name="_Toc28114"/>
      <w:bookmarkStart w:id="77" w:name="_Toc14806"/>
      <w:r>
        <w:rPr>
          <w:rFonts w:hint="eastAsia" w:ascii="仿宋" w:hAnsi="仿宋" w:eastAsia="仿宋" w:cs="仿宋"/>
          <w:color w:val="000000" w:themeColor="text1"/>
          <w:sz w:val="24"/>
          <w:szCs w:val="24"/>
          <w:highlight w:val="none"/>
          <w14:textFill>
            <w14:solidFill>
              <w14:schemeClr w14:val="tx1"/>
            </w14:solidFill>
          </w14:textFill>
        </w:rPr>
        <w:t>二</w:t>
      </w:r>
      <w:bookmarkEnd w:id="74"/>
      <w:r>
        <w:rPr>
          <w:rFonts w:hint="eastAsia" w:ascii="仿宋" w:hAnsi="仿宋" w:eastAsia="仿宋" w:cs="仿宋"/>
          <w:color w:val="000000" w:themeColor="text1"/>
          <w:sz w:val="24"/>
          <w:szCs w:val="24"/>
          <w:highlight w:val="none"/>
          <w14:textFill>
            <w14:solidFill>
              <w14:schemeClr w14:val="tx1"/>
            </w14:solidFill>
          </w14:textFill>
        </w:rPr>
        <w:t>、</w:t>
      </w:r>
      <w:bookmarkEnd w:id="75"/>
      <w:r>
        <w:rPr>
          <w:rFonts w:hint="eastAsia" w:ascii="仿宋" w:hAnsi="仿宋" w:eastAsia="仿宋" w:cs="仿宋"/>
          <w:color w:val="000000" w:themeColor="text1"/>
          <w:sz w:val="24"/>
          <w:szCs w:val="24"/>
          <w:highlight w:val="none"/>
          <w14:textFill>
            <w14:solidFill>
              <w14:schemeClr w14:val="tx1"/>
            </w14:solidFill>
          </w14:textFill>
        </w:rPr>
        <w:t>审核依据</w:t>
      </w:r>
      <w:bookmarkEnd w:id="76"/>
      <w:bookmarkEnd w:id="77"/>
    </w:p>
    <w:p w14:paraId="1F3F4E5F">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000000" w:themeColor="text1"/>
          <w:sz w:val="24"/>
          <w:highlight w:val="none"/>
          <w:lang w:eastAsia="zh-CN"/>
          <w14:textFill>
            <w14:solidFill>
              <w14:schemeClr w14:val="tx1"/>
            </w14:solidFill>
          </w14:textFill>
        </w:rPr>
      </w:pPr>
      <w:bookmarkStart w:id="78" w:name="_Toc2439"/>
      <w:bookmarkStart w:id="79" w:name="_Toc8836"/>
      <w:r>
        <w:rPr>
          <w:rFonts w:hint="eastAsia" w:ascii="仿宋" w:hAnsi="仿宋" w:eastAsia="仿宋" w:cs="仿宋"/>
          <w:color w:val="000000" w:themeColor="text1"/>
          <w:sz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应当遵循依法、独立、客观、公正的原则，依据《</w:t>
      </w:r>
      <w:r>
        <w:rPr>
          <w:rFonts w:hint="eastAsia" w:ascii="仿宋" w:hAnsi="仿宋" w:eastAsia="仿宋" w:cs="仿宋"/>
          <w:color w:val="000000" w:themeColor="text1"/>
          <w:sz w:val="24"/>
          <w:highlight w:val="none"/>
          <w:lang w:eastAsia="zh-CN"/>
          <w14:textFill>
            <w14:solidFill>
              <w14:schemeClr w14:val="tx1"/>
            </w14:solidFill>
          </w14:textFill>
        </w:rPr>
        <w:t>中华人民共和国会计法</w:t>
      </w:r>
      <w:r>
        <w:rPr>
          <w:rFonts w:hint="eastAsia" w:ascii="仿宋" w:hAnsi="仿宋" w:eastAsia="仿宋" w:cs="仿宋"/>
          <w:color w:val="000000" w:themeColor="text1"/>
          <w:sz w:val="24"/>
          <w:highlight w:val="none"/>
          <w14:textFill>
            <w14:solidFill>
              <w14:schemeClr w14:val="tx1"/>
            </w14:solidFill>
          </w14:textFill>
        </w:rPr>
        <w:t>》、《基本建设财政规则》（财政部第81号令）、《基本建设项目竣工财务决算管理暂行办法》（财建〔2016〕503号）、《基本建设项目建设成本管理规定》（财建〔2016〕504号）等法规、规范性文件开展审核业务，建立内部审核质量控制机制，对出具审核报告的合法性、准确性、全面性负责。</w:t>
      </w:r>
    </w:p>
    <w:p w14:paraId="2368F2BB">
      <w:pPr>
        <w:pStyle w:val="4"/>
        <w:keepNext/>
        <w:keepLines/>
        <w:pageBreakBefore w:val="0"/>
        <w:widowControl w:val="0"/>
        <w:numPr>
          <w:ilvl w:val="0"/>
          <w:numId w:val="4"/>
        </w:numPr>
        <w:tabs>
          <w:tab w:val="left" w:pos="432"/>
        </w:tabs>
        <w:kinsoku/>
        <w:wordWrap/>
        <w:overflowPunct/>
        <w:topLinePunct w:val="0"/>
        <w:autoSpaceDE/>
        <w:autoSpaceDN/>
        <w:bidi w:val="0"/>
        <w:adjustRightInd w:val="0"/>
        <w:snapToGrid w:val="0"/>
        <w:spacing w:line="360" w:lineRule="auto"/>
        <w:ind w:left="0" w:firstLine="0"/>
        <w:textAlignment w:val="auto"/>
        <w:rPr>
          <w:rFonts w:hint="eastAsia" w:ascii="仿宋" w:hAnsi="仿宋" w:eastAsia="仿宋" w:cs="仿宋"/>
          <w:color w:val="000000" w:themeColor="text1"/>
          <w:sz w:val="24"/>
          <w:szCs w:val="24"/>
          <w:highlight w:val="none"/>
          <w14:textFill>
            <w14:solidFill>
              <w14:schemeClr w14:val="tx1"/>
            </w14:solidFill>
          </w14:textFill>
        </w:rPr>
      </w:pPr>
      <w:bookmarkStart w:id="80" w:name="_Toc12132"/>
      <w:bookmarkStart w:id="81" w:name="_Toc5853"/>
      <w:r>
        <w:rPr>
          <w:rFonts w:hint="eastAsia" w:ascii="仿宋" w:hAnsi="仿宋" w:eastAsia="仿宋" w:cs="仿宋"/>
          <w:color w:val="000000" w:themeColor="text1"/>
          <w:sz w:val="24"/>
          <w:szCs w:val="24"/>
          <w:highlight w:val="none"/>
          <w14:textFill>
            <w14:solidFill>
              <w14:schemeClr w14:val="tx1"/>
            </w14:solidFill>
          </w14:textFill>
        </w:rPr>
        <w:t>服务内容</w:t>
      </w:r>
      <w:bookmarkEnd w:id="80"/>
      <w:bookmarkEnd w:id="81"/>
    </w:p>
    <w:p w14:paraId="163CAF92">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bookmarkStart w:id="82" w:name="_Hlk99435838"/>
      <w:r>
        <w:rPr>
          <w:rFonts w:hint="eastAsia" w:ascii="仿宋" w:hAnsi="仿宋" w:eastAsia="仿宋" w:cs="仿宋"/>
          <w:color w:val="000000" w:themeColor="text1"/>
          <w:sz w:val="24"/>
          <w:highlight w:val="none"/>
          <w:lang w:val="en-US" w:eastAsia="zh-CN"/>
          <w14:textFill>
            <w14:solidFill>
              <w14:schemeClr w14:val="tx1"/>
            </w14:solidFill>
          </w14:textFill>
        </w:rPr>
        <w:t>如中标，各标项中标人在审核期限内按照采购人要求，完成各类项目决算审核工作。</w:t>
      </w:r>
      <w:bookmarkEnd w:id="82"/>
      <w:r>
        <w:rPr>
          <w:rFonts w:hint="eastAsia" w:ascii="仿宋" w:hAnsi="仿宋" w:eastAsia="仿宋" w:cs="仿宋"/>
          <w:color w:val="000000" w:themeColor="text1"/>
          <w:sz w:val="24"/>
          <w:highlight w:val="none"/>
          <w:lang w:val="en-US" w:eastAsia="zh-CN"/>
          <w14:textFill>
            <w14:solidFill>
              <w14:schemeClr w14:val="tx1"/>
            </w14:solidFill>
          </w14:textFill>
        </w:rPr>
        <w:t>在完成项目决算审核工作后，中标人需出具相应的决算报告，做好资料归档工作并填写资料清单。</w:t>
      </w:r>
    </w:p>
    <w:p w14:paraId="05B0B820">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（一）审核服务包括但不限于以下内容：</w:t>
      </w:r>
    </w:p>
    <w:p w14:paraId="62DFAEF9">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1.工程价款结算是否按规定程序批复，各类建安工程费、设备费是否按规定办理结算手续；</w:t>
      </w:r>
    </w:p>
    <w:p w14:paraId="7C178F8D">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2.待摊费用支出是否合规、合理、结算手续是否完备、计算是否正确；建设单位管理费列支是否符合规定；待摊投资支出是否按合理比例分摊计入交付使用资产价值中；</w:t>
      </w:r>
    </w:p>
    <w:p w14:paraId="0CC5998D">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3.项目投资支出是否控制在批准的概算内，概算调整手续是否完备；</w:t>
      </w:r>
    </w:p>
    <w:p w14:paraId="1A86F5AD">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4.项目资金是否全部到位，核算是否规范，资金使用是否合理，有无挤占、挪用现象；</w:t>
      </w:r>
    </w:p>
    <w:p w14:paraId="1575AC92">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5.项目在建设过程中历次检查和审核所提的重大问题是否已经整改落实，审核单位可要求建设单位提供历次巡视、检查和审核相关资料；</w:t>
      </w:r>
    </w:p>
    <w:p w14:paraId="194FADE5">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6.待核销基建支出和转出投资有无依据，是否合理；</w:t>
      </w:r>
    </w:p>
    <w:p w14:paraId="0BE94845">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7.竣工财务决算报表所填列的数据是否完整，表间勾稽关系是否清晰、正确；</w:t>
      </w:r>
    </w:p>
    <w:p w14:paraId="1D5118FC">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8.项目形成资产是否全面反映，资产接受单位是否落实，尾工工程及预留费用是否控制在规定的范围内，预留的金额和比例是否合理；</w:t>
      </w:r>
    </w:p>
    <w:p w14:paraId="1440F15B">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9.费用支出的政策依据是否充分，是否符合相关政策制度和内控管理要求；</w:t>
      </w:r>
    </w:p>
    <w:p w14:paraId="5EA36124">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10.决算的内容和格式是否符合国家有关规定，决算资料报送是否完整、决算数据间是否存在错误。</w:t>
      </w:r>
    </w:p>
    <w:p w14:paraId="0FE1B110">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（二）审核报告需包含下列内容：</w:t>
      </w:r>
    </w:p>
    <w:p w14:paraId="39AE98DF">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反映项目概况。一是项目的立项、初设及概算批复情况，建设规模、建设内容、投资总额及资金来源；二是项目建设实施情况，建设主体、征地拆迁等前期工作、招投标工作、开竣工时间、实际建设内容规模；三是工程结算审核批复情况等；四是至决算日项目账面收支情况等。</w:t>
      </w:r>
    </w:p>
    <w:p w14:paraId="594CC499">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反映审核情况。一是资金来源筹措及到位审核分析；二是投资支出分类审核分析，实际投资支出与批准概算对比分析原因；三是往来款项审核分析；四是具体核增核减项目情况分析说明；五是对项目资产交付金额、资金结余、应交回财政资金等进行说明；六是对可能存在的某些遗留问题等补充说明。</w:t>
      </w:r>
    </w:p>
    <w:p w14:paraId="128130CB">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审核评价及建议。对项目基本建设程序及制度执行、内控管理流程建立及实际操作、建设资金使用绩效情况以及项目审核中发现的重要问题应进行实事求是地披露评价，并应援引相关法规依据；并针对审核反映的问题提出明确的、具备可操作性的审核建议。</w:t>
      </w:r>
    </w:p>
    <w:p w14:paraId="001F9268">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4.相关审核附表说明。</w:t>
      </w:r>
    </w:p>
    <w:p w14:paraId="1447A83C">
      <w:pPr>
        <w:pStyle w:val="4"/>
        <w:keepNext/>
        <w:keepLines/>
        <w:pageBreakBefore w:val="0"/>
        <w:widowControl w:val="0"/>
        <w:tabs>
          <w:tab w:val="left" w:pos="432"/>
        </w:tabs>
        <w:kinsoku/>
        <w:wordWrap/>
        <w:overflowPunct/>
        <w:topLinePunct w:val="0"/>
        <w:autoSpaceDE/>
        <w:autoSpaceDN/>
        <w:bidi w:val="0"/>
        <w:adjustRightInd w:val="0"/>
        <w:snapToGrid w:val="0"/>
        <w:spacing w:line="360" w:lineRule="auto"/>
        <w:ind w:left="0" w:firstLine="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83" w:name="_Toc9986"/>
      <w:bookmarkStart w:id="84" w:name="_Toc30961"/>
      <w:r>
        <w:rPr>
          <w:rFonts w:hint="eastAsia" w:ascii="仿宋" w:hAnsi="仿宋" w:eastAsia="仿宋" w:cs="仿宋"/>
          <w:color w:val="000000" w:themeColor="text1"/>
          <w:kern w:val="0"/>
          <w:sz w:val="24"/>
          <w:highlight w:val="none"/>
          <w:lang w:val="en-US" w:eastAsia="zh-CN"/>
          <w14:textFill>
            <w14:solidFill>
              <w14:schemeClr w14:val="tx1"/>
            </w14:solidFill>
          </w14:textFill>
        </w:rPr>
        <w:t>四、</w:t>
      </w:r>
      <w:r>
        <w:rPr>
          <w:rFonts w:hint="eastAsia" w:ascii="仿宋" w:hAnsi="仿宋" w:eastAsia="仿宋" w:cs="仿宋"/>
          <w:color w:val="000000" w:themeColor="text1"/>
          <w:kern w:val="0"/>
          <w:sz w:val="24"/>
          <w:highlight w:val="none"/>
          <w14:textFill>
            <w14:solidFill>
              <w14:schemeClr w14:val="tx1"/>
            </w14:solidFill>
          </w14:textFill>
        </w:rPr>
        <w:t>审核时限</w:t>
      </w:r>
      <w:bookmarkEnd w:id="83"/>
      <w:bookmarkEnd w:id="84"/>
    </w:p>
    <w:p w14:paraId="3B37C4C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color w:val="000000" w:themeColor="text1"/>
          <w:kern w:val="0"/>
          <w:sz w:val="24"/>
          <w:highlight w:val="none"/>
          <w:lang w:eastAsia="zh-CN"/>
          <w14:textFill>
            <w14:solidFill>
              <w14:schemeClr w14:val="tx1"/>
            </w14:solidFill>
          </w14:textFill>
        </w:rPr>
      </w:pPr>
      <w:bookmarkStart w:id="85" w:name="_Hlk99541591"/>
      <w:r>
        <w:rPr>
          <w:rFonts w:hint="eastAsia" w:ascii="仿宋" w:hAnsi="仿宋" w:eastAsia="仿宋" w:cs="仿宋"/>
          <w:color w:val="000000" w:themeColor="text1"/>
          <w:kern w:val="0"/>
          <w:sz w:val="24"/>
          <w:highlight w:val="none"/>
          <w14:textFill>
            <w14:solidFill>
              <w14:schemeClr w14:val="tx1"/>
            </w14:solidFill>
          </w14:textFill>
        </w:rPr>
        <w:t>在接到采购人项目委托5日内，完成资料验收核对工作</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收到完整资料后，</w:t>
      </w:r>
      <w:r>
        <w:rPr>
          <w:rFonts w:hint="eastAsia" w:ascii="仿宋" w:hAnsi="仿宋" w:eastAsia="仿宋" w:cs="仿宋"/>
          <w:color w:val="000000" w:themeColor="text1"/>
          <w:kern w:val="0"/>
          <w:sz w:val="24"/>
          <w:highlight w:val="none"/>
          <w14:textFill>
            <w14:solidFill>
              <w14:schemeClr w14:val="tx1"/>
            </w14:solidFill>
          </w14:textFill>
        </w:rPr>
        <w:t>送审总额1亿以下项目一般在20天内出审核报告</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送审总额1亿（含）以上项目一般在45天内出审核报告</w:t>
      </w:r>
      <w:r>
        <w:rPr>
          <w:rFonts w:hint="eastAsia" w:ascii="仿宋" w:hAnsi="仿宋" w:eastAsia="仿宋" w:cs="仿宋"/>
          <w:color w:val="000000" w:themeColor="text1"/>
          <w:kern w:val="0"/>
          <w:sz w:val="24"/>
          <w:highlight w:val="none"/>
          <w:lang w:eastAsia="zh-CN"/>
          <w14:textFill>
            <w14:solidFill>
              <w14:schemeClr w14:val="tx1"/>
            </w14:solidFill>
          </w14:textFill>
        </w:rPr>
        <w:t>。</w:t>
      </w:r>
    </w:p>
    <w:p w14:paraId="0AC2F1FF">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outlineLvl w:val="9"/>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具体按项目合同要求的时限执行。</w:t>
      </w:r>
      <w:bookmarkEnd w:id="85"/>
    </w:p>
    <w:p w14:paraId="0322929F">
      <w:pPr>
        <w:pStyle w:val="4"/>
        <w:keepNext/>
        <w:keepLines/>
        <w:pageBreakBefore w:val="0"/>
        <w:widowControl w:val="0"/>
        <w:tabs>
          <w:tab w:val="left" w:pos="432"/>
        </w:tabs>
        <w:kinsoku/>
        <w:wordWrap/>
        <w:overflowPunct/>
        <w:topLinePunct w:val="0"/>
        <w:autoSpaceDE/>
        <w:autoSpaceDN/>
        <w:bidi w:val="0"/>
        <w:adjustRightInd w:val="0"/>
        <w:snapToGrid w:val="0"/>
        <w:spacing w:line="360" w:lineRule="auto"/>
        <w:ind w:left="0" w:firstLine="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bookmarkStart w:id="86" w:name="_Toc17492"/>
      <w:bookmarkStart w:id="87" w:name="_Toc4399"/>
      <w:r>
        <w:rPr>
          <w:rFonts w:hint="eastAsia" w:ascii="仿宋" w:hAnsi="仿宋" w:eastAsia="仿宋" w:cs="仿宋"/>
          <w:color w:val="000000" w:themeColor="text1"/>
          <w:kern w:val="0"/>
          <w:sz w:val="24"/>
          <w:highlight w:val="none"/>
          <w:lang w:val="en-US" w:eastAsia="zh-CN"/>
          <w14:textFill>
            <w14:solidFill>
              <w14:schemeClr w14:val="tx1"/>
            </w14:solidFill>
          </w14:textFill>
        </w:rPr>
        <w:t>五、误差率要求</w:t>
      </w:r>
      <w:bookmarkEnd w:id="86"/>
      <w:bookmarkEnd w:id="87"/>
    </w:p>
    <w:p w14:paraId="41D9EA88">
      <w:pPr>
        <w:tabs>
          <w:tab w:val="left" w:pos="0"/>
        </w:tabs>
        <w:snapToGrid w:val="0"/>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承诺决算审核误差率：不高于0.2%。</w:t>
      </w:r>
    </w:p>
    <w:p w14:paraId="42E64BED">
      <w:pPr>
        <w:tabs>
          <w:tab w:val="left" w:pos="0"/>
        </w:tabs>
        <w:snapToGrid w:val="0"/>
        <w:spacing w:line="360" w:lineRule="auto"/>
        <w:ind w:firstLine="480" w:firstLineChars="200"/>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实际</w:t>
      </w:r>
      <w:r>
        <w:rPr>
          <w:rFonts w:hint="eastAsia" w:ascii="仿宋" w:hAnsi="仿宋" w:eastAsia="仿宋" w:cs="仿宋"/>
          <w:color w:val="000000" w:themeColor="text1"/>
          <w:kern w:val="0"/>
          <w:sz w:val="24"/>
          <w:szCs w:val="24"/>
          <w:highlight w:val="none"/>
          <w14:textFill>
            <w14:solidFill>
              <w14:schemeClr w14:val="tx1"/>
            </w14:solidFill>
          </w14:textFill>
        </w:rPr>
        <w:t>决算审核误差率</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大于</w:t>
      </w:r>
      <w:r>
        <w:rPr>
          <w:rFonts w:hint="eastAsia" w:ascii="仿宋" w:hAnsi="仿宋" w:eastAsia="仿宋" w:cs="仿宋"/>
          <w:color w:val="000000" w:themeColor="text1"/>
          <w:kern w:val="0"/>
          <w:sz w:val="24"/>
          <w:szCs w:val="24"/>
          <w:highlight w:val="none"/>
          <w14:textFill>
            <w14:solidFill>
              <w14:schemeClr w14:val="tx1"/>
            </w14:solidFill>
          </w14:textFill>
        </w:rPr>
        <w:t>承诺决算审核误差率的，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在相应项目费用结算时，</w:t>
      </w:r>
      <w:r>
        <w:rPr>
          <w:rFonts w:hint="eastAsia" w:ascii="仿宋" w:hAnsi="仿宋" w:eastAsia="仿宋" w:cs="仿宋"/>
          <w:color w:val="000000" w:themeColor="text1"/>
          <w:kern w:val="0"/>
          <w:sz w:val="24"/>
          <w:szCs w:val="24"/>
          <w:highlight w:val="none"/>
          <w14:textFill>
            <w14:solidFill>
              <w14:schemeClr w14:val="tx1"/>
            </w14:solidFill>
          </w14:textFill>
        </w:rPr>
        <w:t>扣减30%业务费用</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25449BC8">
      <w:pPr>
        <w:pStyle w:val="4"/>
        <w:keepNext/>
        <w:keepLines/>
        <w:pageBreakBefore w:val="0"/>
        <w:widowControl w:val="0"/>
        <w:tabs>
          <w:tab w:val="left" w:pos="432"/>
        </w:tabs>
        <w:kinsoku/>
        <w:wordWrap/>
        <w:overflowPunct/>
        <w:topLinePunct w:val="0"/>
        <w:autoSpaceDE/>
        <w:autoSpaceDN/>
        <w:bidi w:val="0"/>
        <w:adjustRightInd w:val="0"/>
        <w:snapToGrid w:val="0"/>
        <w:spacing w:line="360" w:lineRule="auto"/>
        <w:ind w:left="0" w:firstLine="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bookmarkStart w:id="88" w:name="_Toc19130"/>
      <w:bookmarkStart w:id="89" w:name="_Toc30922"/>
      <w:r>
        <w:rPr>
          <w:rFonts w:hint="eastAsia" w:ascii="仿宋" w:hAnsi="仿宋" w:eastAsia="仿宋" w:cs="仿宋"/>
          <w:color w:val="000000" w:themeColor="text1"/>
          <w:kern w:val="0"/>
          <w:sz w:val="24"/>
          <w:highlight w:val="none"/>
          <w:lang w:val="en-US" w:eastAsia="zh-CN"/>
          <w14:textFill>
            <w14:solidFill>
              <w14:schemeClr w14:val="tx1"/>
            </w14:solidFill>
          </w14:textFill>
        </w:rPr>
        <w:t>六、合同期限</w:t>
      </w:r>
      <w:bookmarkEnd w:id="88"/>
      <w:bookmarkEnd w:id="89"/>
    </w:p>
    <w:p w14:paraId="227B4A3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整体服务期为一年。在服务期内，各标项中标人须接受采购人具体项目委托，并根据采购人的时间计划安排相关工作。</w:t>
      </w:r>
    </w:p>
    <w:p w14:paraId="231AE1F2">
      <w:pPr>
        <w:pStyle w:val="4"/>
        <w:keepNext/>
        <w:keepLines/>
        <w:pageBreakBefore w:val="0"/>
        <w:widowControl w:val="0"/>
        <w:tabs>
          <w:tab w:val="left" w:pos="432"/>
        </w:tabs>
        <w:kinsoku/>
        <w:wordWrap/>
        <w:overflowPunct/>
        <w:topLinePunct w:val="0"/>
        <w:autoSpaceDE/>
        <w:autoSpaceDN/>
        <w:bidi w:val="0"/>
        <w:adjustRightInd w:val="0"/>
        <w:snapToGrid w:val="0"/>
        <w:spacing w:line="360" w:lineRule="auto"/>
        <w:ind w:left="0" w:firstLine="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bookmarkStart w:id="90" w:name="_Toc5400"/>
      <w:bookmarkStart w:id="91" w:name="_Toc13430"/>
      <w:r>
        <w:rPr>
          <w:rFonts w:hint="eastAsia" w:ascii="仿宋" w:hAnsi="仿宋" w:eastAsia="仿宋" w:cs="仿宋"/>
          <w:color w:val="000000" w:themeColor="text1"/>
          <w:kern w:val="0"/>
          <w:sz w:val="24"/>
          <w:highlight w:val="none"/>
          <w:lang w:val="en-US" w:eastAsia="zh-CN"/>
          <w14:textFill>
            <w14:solidFill>
              <w14:schemeClr w14:val="tx1"/>
            </w14:solidFill>
          </w14:textFill>
        </w:rPr>
        <w:t>七、任务派发方式</w:t>
      </w:r>
      <w:bookmarkEnd w:id="90"/>
      <w:bookmarkEnd w:id="91"/>
    </w:p>
    <w:p w14:paraId="3C045793">
      <w:pPr>
        <w:spacing w:line="360" w:lineRule="auto"/>
        <w:ind w:firstLine="480" w:firstLineChars="200"/>
        <w:jc w:val="left"/>
        <w:rPr>
          <w:rFonts w:hint="eastAsia" w:ascii="仿宋" w:hAnsi="仿宋" w:eastAsia="仿宋" w:cs="仿宋"/>
          <w:b w:val="0"/>
          <w:bCs w:val="0"/>
          <w:color w:val="000000" w:themeColor="text1"/>
          <w:sz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u w:val="none"/>
          <w:lang w:val="en-US" w:eastAsia="zh-CN"/>
          <w14:textFill>
            <w14:solidFill>
              <w14:schemeClr w14:val="tx1"/>
            </w14:solidFill>
          </w14:textFill>
        </w:rPr>
        <w:t>待审项目根据送审主体所属标项进行派发，各标项实际支付额度以年度预算额度为上限。</w:t>
      </w:r>
    </w:p>
    <w:bookmarkEnd w:id="78"/>
    <w:bookmarkEnd w:id="79"/>
    <w:p w14:paraId="6346C749">
      <w:pPr>
        <w:pStyle w:val="4"/>
        <w:keepNext/>
        <w:keepLines/>
        <w:pageBreakBefore w:val="0"/>
        <w:widowControl w:val="0"/>
        <w:tabs>
          <w:tab w:val="left" w:pos="432"/>
        </w:tabs>
        <w:kinsoku/>
        <w:wordWrap/>
        <w:overflowPunct/>
        <w:topLinePunct w:val="0"/>
        <w:autoSpaceDE/>
        <w:autoSpaceDN/>
        <w:bidi w:val="0"/>
        <w:adjustRightInd w:val="0"/>
        <w:snapToGrid w:val="0"/>
        <w:spacing w:line="360" w:lineRule="auto"/>
        <w:ind w:left="0" w:firstLine="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bookmarkStart w:id="92" w:name="_Toc7317"/>
      <w:bookmarkStart w:id="93" w:name="_Toc13904"/>
      <w:r>
        <w:rPr>
          <w:rFonts w:hint="eastAsia" w:ascii="仿宋" w:hAnsi="仿宋" w:eastAsia="仿宋" w:cs="仿宋"/>
          <w:color w:val="000000" w:themeColor="text1"/>
          <w:kern w:val="0"/>
          <w:sz w:val="24"/>
          <w:highlight w:val="none"/>
          <w:lang w:val="en-US" w:eastAsia="zh-CN"/>
          <w14:textFill>
            <w14:solidFill>
              <w14:schemeClr w14:val="tx1"/>
            </w14:solidFill>
          </w14:textFill>
        </w:rPr>
        <w:t>八、其他要求</w:t>
      </w:r>
      <w:bookmarkEnd w:id="92"/>
      <w:bookmarkEnd w:id="93"/>
    </w:p>
    <w:p w14:paraId="0DA94502">
      <w:pPr>
        <w:spacing w:line="360" w:lineRule="auto"/>
        <w:ind w:firstLine="480" w:firstLineChars="200"/>
        <w:jc w:val="left"/>
        <w:rPr>
          <w:rFonts w:hint="eastAsia" w:ascii="仿宋" w:hAnsi="仿宋" w:eastAsia="仿宋" w:cs="仿宋"/>
          <w:b w:val="0"/>
          <w:bCs w:val="0"/>
          <w:color w:val="000000" w:themeColor="text1"/>
          <w:spacing w:val="-4"/>
          <w:sz w:val="24"/>
          <w:highlight w:val="none"/>
          <w:u w:val="none"/>
          <w:lang w:val="en-US" w:eastAsia="zh-CN" w:bidi="ar"/>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1</w:t>
      </w:r>
      <w:r>
        <w:rPr>
          <w:rFonts w:hint="eastAsia" w:ascii="仿宋" w:hAnsi="仿宋" w:eastAsia="仿宋" w:cs="仿宋"/>
          <w:color w:val="000000" w:themeColor="text1"/>
          <w:kern w:val="2"/>
          <w:sz w:val="24"/>
          <w:highlight w:val="none"/>
          <w:lang w:val="en-US" w:eastAsia="zh-CN"/>
          <w14:textFill>
            <w14:solidFill>
              <w14:schemeClr w14:val="tx1"/>
            </w14:solidFill>
          </w14:textFill>
        </w:rPr>
        <w:t>.投标</w:t>
      </w:r>
      <w:r>
        <w:rPr>
          <w:rFonts w:hint="eastAsia" w:ascii="仿宋" w:hAnsi="仿宋" w:eastAsia="仿宋" w:cs="仿宋"/>
          <w:color w:val="000000" w:themeColor="text1"/>
          <w:kern w:val="2"/>
          <w:sz w:val="24"/>
          <w:highlight w:val="none"/>
          <w14:textFill>
            <w14:solidFill>
              <w14:schemeClr w14:val="tx1"/>
            </w14:solidFill>
          </w14:textFill>
        </w:rPr>
        <w:t>文件中提供拟派项目组团队</w:t>
      </w:r>
      <w:r>
        <w:rPr>
          <w:rFonts w:hint="eastAsia" w:ascii="仿宋" w:hAnsi="仿宋" w:eastAsia="仿宋" w:cs="仿宋"/>
          <w:color w:val="000000" w:themeColor="text1"/>
          <w:kern w:val="2"/>
          <w:sz w:val="24"/>
          <w:highlight w:val="none"/>
          <w:lang w:val="en-US" w:eastAsia="zh-CN"/>
          <w14:textFill>
            <w14:solidFill>
              <w14:schemeClr w14:val="tx1"/>
            </w14:solidFill>
          </w14:textFill>
        </w:rPr>
        <w:t>人员</w:t>
      </w:r>
      <w:r>
        <w:rPr>
          <w:rFonts w:hint="eastAsia" w:ascii="仿宋" w:hAnsi="仿宋" w:eastAsia="仿宋" w:cs="仿宋"/>
          <w:color w:val="000000" w:themeColor="text1"/>
          <w:kern w:val="2"/>
          <w:sz w:val="24"/>
          <w:highlight w:val="none"/>
          <w14:textFill>
            <w14:solidFill>
              <w14:schemeClr w14:val="tx1"/>
            </w14:solidFill>
          </w14:textFill>
        </w:rPr>
        <w:t>名单，</w:t>
      </w:r>
      <w:r>
        <w:rPr>
          <w:rFonts w:hint="eastAsia" w:ascii="仿宋" w:hAnsi="仿宋" w:eastAsia="仿宋" w:cs="仿宋"/>
          <w:color w:val="000000" w:themeColor="text1"/>
          <w:kern w:val="2"/>
          <w:sz w:val="24"/>
          <w:highlight w:val="none"/>
          <w:lang w:val="en-US" w:eastAsia="zh-CN"/>
          <w14:textFill>
            <w14:solidFill>
              <w14:schemeClr w14:val="tx1"/>
            </w14:solidFill>
          </w14:textFill>
        </w:rPr>
        <w:t>包括</w:t>
      </w:r>
      <w:r>
        <w:rPr>
          <w:rFonts w:hint="eastAsia" w:ascii="仿宋" w:hAnsi="仿宋" w:eastAsia="仿宋" w:cs="仿宋"/>
          <w:color w:val="000000" w:themeColor="text1"/>
          <w:kern w:val="2"/>
          <w:sz w:val="24"/>
          <w:highlight w:val="none"/>
          <w14:textFill>
            <w14:solidFill>
              <w14:schemeClr w14:val="tx1"/>
            </w14:solidFill>
          </w14:textFill>
        </w:rPr>
        <w:t>项目负责人</w:t>
      </w:r>
      <w:r>
        <w:rPr>
          <w:rFonts w:hint="eastAsia" w:ascii="仿宋" w:hAnsi="仿宋" w:eastAsia="仿宋" w:cs="仿宋"/>
          <w:color w:val="000000" w:themeColor="text1"/>
          <w:kern w:val="2"/>
          <w:sz w:val="24"/>
          <w:highlight w:val="none"/>
          <w:lang w:eastAsia="zh-CN"/>
          <w14:textFill>
            <w14:solidFill>
              <w14:schemeClr w14:val="tx1"/>
            </w14:solidFill>
          </w14:textFill>
        </w:rPr>
        <w:t>、</w:t>
      </w:r>
      <w:r>
        <w:rPr>
          <w:rFonts w:hint="eastAsia" w:ascii="仿宋" w:hAnsi="仿宋" w:eastAsia="仿宋" w:cs="仿宋"/>
          <w:color w:val="000000" w:themeColor="text1"/>
          <w:kern w:val="2"/>
          <w:sz w:val="24"/>
          <w:highlight w:val="none"/>
          <w:lang w:val="en-US" w:eastAsia="zh-CN"/>
          <w14:textFill>
            <w14:solidFill>
              <w14:schemeClr w14:val="tx1"/>
            </w14:solidFill>
          </w14:textFill>
        </w:rPr>
        <w:t>项目主管人员、一般审核人员等，</w:t>
      </w:r>
      <w:r>
        <w:rPr>
          <w:rFonts w:hint="eastAsia" w:ascii="仿宋" w:hAnsi="仿宋" w:eastAsia="仿宋" w:cs="仿宋"/>
          <w:b w:val="0"/>
          <w:bCs w:val="0"/>
          <w:color w:val="000000" w:themeColor="text1"/>
          <w:spacing w:val="-4"/>
          <w:sz w:val="24"/>
          <w:highlight w:val="none"/>
          <w:u w:val="none"/>
          <w:lang w:val="en-US" w:eastAsia="zh-CN" w:bidi="ar"/>
          <w14:textFill>
            <w14:solidFill>
              <w14:schemeClr w14:val="tx1"/>
            </w14:solidFill>
          </w14:textFill>
        </w:rPr>
        <w:t>总数不少于10人。</w:t>
      </w:r>
    </w:p>
    <w:p w14:paraId="15371A9A">
      <w:pPr>
        <w:spacing w:line="360" w:lineRule="auto"/>
        <w:ind w:firstLine="480" w:firstLineChars="200"/>
        <w:jc w:val="left"/>
        <w:rPr>
          <w:rFonts w:hint="eastAsia" w:ascii="仿宋" w:hAnsi="仿宋" w:eastAsia="仿宋" w:cs="仿宋"/>
          <w:b w:val="0"/>
          <w:bCs w:val="0"/>
          <w:color w:val="FF0000"/>
          <w:spacing w:val="-4"/>
          <w:sz w:val="24"/>
          <w:highlight w:val="none"/>
          <w:u w:val="none"/>
          <w:lang w:val="en-US" w:eastAsia="zh-CN" w:bidi="ar"/>
        </w:rPr>
      </w:pPr>
      <w:r>
        <w:rPr>
          <w:rFonts w:hint="eastAsia" w:ascii="仿宋" w:hAnsi="仿宋" w:eastAsia="仿宋" w:cs="仿宋"/>
          <w:color w:val="FF0000"/>
          <w:kern w:val="2"/>
          <w:sz w:val="24"/>
          <w:highlight w:val="none"/>
          <w:u w:val="none"/>
          <w:lang w:val="en-US" w:eastAsia="zh-CN"/>
        </w:rPr>
        <w:t>团队名单中应列明所有团队人员的姓名、身份证号码，并须提供供应商为人员缴纳的、距投标截止时间最近一个月的、社保机构出具的社保证明材料，否则评审时不予认可。</w:t>
      </w:r>
      <w:r>
        <w:rPr>
          <w:rFonts w:hint="eastAsia" w:ascii="仿宋" w:hAnsi="仿宋" w:eastAsia="仿宋" w:cs="仿宋"/>
          <w:b w:val="0"/>
          <w:bCs w:val="0"/>
          <w:color w:val="FF0000"/>
          <w:spacing w:val="-4"/>
          <w:sz w:val="24"/>
          <w:highlight w:val="none"/>
          <w:u w:val="none"/>
          <w:lang w:val="en-US" w:eastAsia="zh-CN" w:bidi="ar"/>
        </w:rPr>
        <w:t>如最近一个月社保还无法查询到信息的，可提供</w:t>
      </w:r>
      <w:r>
        <w:rPr>
          <w:rFonts w:hint="eastAsia" w:ascii="仿宋" w:hAnsi="仿宋" w:eastAsia="仿宋" w:cs="仿宋"/>
          <w:b w:val="0"/>
          <w:bCs w:val="0"/>
          <w:color w:val="FF0000"/>
          <w:kern w:val="2"/>
          <w:sz w:val="24"/>
          <w:highlight w:val="none"/>
          <w:u w:val="none"/>
          <w:lang w:val="en-US" w:eastAsia="zh-CN"/>
        </w:rPr>
        <w:t>最近两个月任意时间出具的社保证明；</w:t>
      </w:r>
      <w:r>
        <w:rPr>
          <w:rFonts w:hint="eastAsia" w:ascii="仿宋" w:hAnsi="仿宋" w:eastAsia="仿宋" w:cs="仿宋"/>
          <w:b w:val="0"/>
          <w:bCs w:val="0"/>
          <w:color w:val="FF0000"/>
          <w:spacing w:val="-4"/>
          <w:sz w:val="24"/>
          <w:highlight w:val="none"/>
          <w:u w:val="none"/>
          <w:lang w:val="en-US" w:eastAsia="zh-CN" w:bidi="ar"/>
        </w:rPr>
        <w:t>退休返聘、或者外聘等人员不予认可。</w:t>
      </w:r>
    </w:p>
    <w:p w14:paraId="3A9392B3">
      <w:pPr>
        <w:spacing w:line="360" w:lineRule="auto"/>
        <w:ind w:firstLine="480" w:firstLineChars="200"/>
        <w:jc w:val="left"/>
        <w:rPr>
          <w:rFonts w:hint="eastAsia" w:ascii="仿宋" w:hAnsi="仿宋" w:eastAsia="仿宋" w:cs="仿宋"/>
          <w:color w:val="000000" w:themeColor="text1"/>
          <w:kern w:val="2"/>
          <w:sz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一旦</w:t>
      </w:r>
      <w:r>
        <w:rPr>
          <w:rFonts w:hint="eastAsia" w:ascii="仿宋" w:hAnsi="仿宋" w:eastAsia="仿宋" w:cs="仿宋"/>
          <w:color w:val="000000" w:themeColor="text1"/>
          <w:kern w:val="2"/>
          <w:sz w:val="24"/>
          <w:highlight w:val="none"/>
          <w:lang w:val="en-US" w:eastAsia="zh-CN"/>
          <w14:textFill>
            <w14:solidFill>
              <w14:schemeClr w14:val="tx1"/>
            </w14:solidFill>
          </w14:textFill>
        </w:rPr>
        <w:t>中标</w:t>
      </w:r>
      <w:r>
        <w:rPr>
          <w:rFonts w:hint="eastAsia" w:ascii="仿宋" w:hAnsi="仿宋" w:eastAsia="仿宋" w:cs="仿宋"/>
          <w:color w:val="000000" w:themeColor="text1"/>
          <w:kern w:val="2"/>
          <w:sz w:val="24"/>
          <w:highlight w:val="none"/>
          <w14:textFill>
            <w14:solidFill>
              <w14:schemeClr w14:val="tx1"/>
            </w14:solidFill>
          </w14:textFill>
        </w:rPr>
        <w:t>，实际项目</w:t>
      </w:r>
      <w:r>
        <w:rPr>
          <w:rFonts w:hint="eastAsia" w:ascii="仿宋" w:hAnsi="仿宋" w:eastAsia="仿宋" w:cs="仿宋"/>
          <w:color w:val="000000" w:themeColor="text1"/>
          <w:kern w:val="2"/>
          <w:sz w:val="24"/>
          <w:highlight w:val="none"/>
          <w:lang w:val="en-US" w:eastAsia="zh-CN"/>
          <w14:textFill>
            <w14:solidFill>
              <w14:schemeClr w14:val="tx1"/>
            </w14:solidFill>
          </w14:textFill>
        </w:rPr>
        <w:t>参与</w:t>
      </w:r>
      <w:r>
        <w:rPr>
          <w:rFonts w:hint="eastAsia" w:ascii="仿宋" w:hAnsi="仿宋" w:eastAsia="仿宋" w:cs="仿宋"/>
          <w:color w:val="000000" w:themeColor="text1"/>
          <w:kern w:val="2"/>
          <w:sz w:val="24"/>
          <w:highlight w:val="none"/>
          <w14:textFill>
            <w14:solidFill>
              <w14:schemeClr w14:val="tx1"/>
            </w14:solidFill>
          </w14:textFill>
        </w:rPr>
        <w:t>人员必须在项目组团队名单之列。除不可抗力</w:t>
      </w:r>
      <w:r>
        <w:rPr>
          <w:rFonts w:hint="eastAsia" w:ascii="仿宋" w:hAnsi="仿宋" w:eastAsia="仿宋" w:cs="仿宋"/>
          <w:color w:val="000000" w:themeColor="text1"/>
          <w:kern w:val="2"/>
          <w:sz w:val="24"/>
          <w:highlight w:val="none"/>
          <w:lang w:val="en-US" w:eastAsia="zh-CN"/>
          <w14:textFill>
            <w14:solidFill>
              <w14:schemeClr w14:val="tx1"/>
            </w14:solidFill>
          </w14:textFill>
        </w:rPr>
        <w:t>外</w:t>
      </w:r>
      <w:r>
        <w:rPr>
          <w:rFonts w:hint="eastAsia" w:ascii="仿宋" w:hAnsi="仿宋" w:eastAsia="仿宋" w:cs="仿宋"/>
          <w:color w:val="000000" w:themeColor="text1"/>
          <w:kern w:val="2"/>
          <w:sz w:val="24"/>
          <w:highlight w:val="none"/>
          <w:lang w:eastAsia="zh-CN"/>
          <w14:textFill>
            <w14:solidFill>
              <w14:schemeClr w14:val="tx1"/>
            </w14:solidFill>
          </w14:textFill>
        </w:rPr>
        <w:t>，</w:t>
      </w:r>
      <w:r>
        <w:rPr>
          <w:rFonts w:hint="eastAsia" w:ascii="仿宋" w:hAnsi="仿宋" w:eastAsia="仿宋" w:cs="仿宋"/>
          <w:color w:val="000000" w:themeColor="text1"/>
          <w:kern w:val="2"/>
          <w:sz w:val="24"/>
          <w:highlight w:val="none"/>
          <w:lang w:val="en-US" w:eastAsia="zh-CN"/>
          <w14:textFill>
            <w14:solidFill>
              <w14:schemeClr w14:val="tx1"/>
            </w14:solidFill>
          </w14:textFill>
        </w:rPr>
        <w:t>无正当理由且未获得采购人书面同意的，</w:t>
      </w:r>
      <w:r>
        <w:rPr>
          <w:rFonts w:hint="eastAsia" w:ascii="仿宋" w:hAnsi="仿宋" w:eastAsia="仿宋" w:cs="仿宋"/>
          <w:color w:val="000000" w:themeColor="text1"/>
          <w:kern w:val="2"/>
          <w:sz w:val="24"/>
          <w:highlight w:val="none"/>
          <w14:textFill>
            <w14:solidFill>
              <w14:schemeClr w14:val="tx1"/>
            </w14:solidFill>
          </w14:textFill>
        </w:rPr>
        <w:t>项目</w:t>
      </w:r>
      <w:r>
        <w:rPr>
          <w:rFonts w:hint="eastAsia" w:ascii="仿宋" w:hAnsi="仿宋" w:eastAsia="仿宋" w:cs="仿宋"/>
          <w:color w:val="000000" w:themeColor="text1"/>
          <w:kern w:val="2"/>
          <w:sz w:val="24"/>
          <w:highlight w:val="none"/>
          <w:lang w:val="en-US" w:eastAsia="zh-CN"/>
          <w14:textFill>
            <w14:solidFill>
              <w14:schemeClr w14:val="tx1"/>
            </w14:solidFill>
          </w14:textFill>
        </w:rPr>
        <w:t>组</w:t>
      </w:r>
      <w:r>
        <w:rPr>
          <w:rFonts w:hint="eastAsia" w:ascii="仿宋" w:hAnsi="仿宋" w:eastAsia="仿宋" w:cs="仿宋"/>
          <w:color w:val="000000" w:themeColor="text1"/>
          <w:kern w:val="2"/>
          <w:sz w:val="24"/>
          <w:highlight w:val="none"/>
          <w14:textFill>
            <w14:solidFill>
              <w14:schemeClr w14:val="tx1"/>
            </w14:solidFill>
          </w14:textFill>
        </w:rPr>
        <w:t>团队人员</w:t>
      </w:r>
      <w:r>
        <w:rPr>
          <w:rFonts w:hint="eastAsia" w:ascii="仿宋" w:hAnsi="仿宋" w:eastAsia="仿宋" w:cs="仿宋"/>
          <w:color w:val="000000" w:themeColor="text1"/>
          <w:kern w:val="2"/>
          <w:sz w:val="24"/>
          <w:highlight w:val="none"/>
          <w:lang w:val="en-US" w:eastAsia="zh-CN"/>
          <w14:textFill>
            <w14:solidFill>
              <w14:schemeClr w14:val="tx1"/>
            </w14:solidFill>
          </w14:textFill>
        </w:rPr>
        <w:t>不得变更</w:t>
      </w:r>
      <w:r>
        <w:rPr>
          <w:rFonts w:hint="eastAsia" w:ascii="仿宋" w:hAnsi="仿宋" w:eastAsia="仿宋" w:cs="仿宋"/>
          <w:color w:val="000000" w:themeColor="text1"/>
          <w:kern w:val="2"/>
          <w:sz w:val="24"/>
          <w:highlight w:val="none"/>
          <w14:textFill>
            <w14:solidFill>
              <w14:schemeClr w14:val="tx1"/>
            </w14:solidFill>
          </w14:textFill>
        </w:rPr>
        <w:t>。</w:t>
      </w:r>
    </w:p>
    <w:p w14:paraId="52F6967B">
      <w:pPr>
        <w:spacing w:line="360" w:lineRule="auto"/>
        <w:ind w:firstLine="480" w:firstLineChars="200"/>
        <w:jc w:val="left"/>
        <w:rPr>
          <w:rFonts w:hint="eastAsia" w:ascii="仿宋" w:hAnsi="仿宋" w:eastAsia="仿宋" w:cs="仿宋"/>
          <w:color w:val="000000"/>
          <w:kern w:val="2"/>
          <w:sz w:val="24"/>
          <w:highlight w:val="none"/>
          <w:lang w:val="en-US" w:eastAsia="zh-CN"/>
        </w:rPr>
      </w:pPr>
      <w:r>
        <w:rPr>
          <w:rFonts w:hint="eastAsia" w:ascii="仿宋" w:hAnsi="仿宋" w:eastAsia="仿宋" w:cs="仿宋"/>
          <w:color w:val="000000"/>
          <w:kern w:val="2"/>
          <w:sz w:val="24"/>
          <w:highlight w:val="none"/>
          <w:lang w:val="en-US" w:eastAsia="zh-CN"/>
        </w:rPr>
        <w:t>▲2.项目组团队中</w:t>
      </w:r>
      <w:r>
        <w:rPr>
          <w:rFonts w:hint="eastAsia" w:ascii="仿宋" w:hAnsi="仿宋" w:eastAsia="仿宋" w:cs="仿宋"/>
          <w:color w:val="000000"/>
          <w:kern w:val="2"/>
          <w:sz w:val="24"/>
          <w:highlight w:val="none"/>
        </w:rPr>
        <w:t>应包括项目负责人1名，</w:t>
      </w:r>
      <w:r>
        <w:rPr>
          <w:rFonts w:hint="eastAsia" w:ascii="仿宋" w:hAnsi="仿宋" w:eastAsia="仿宋" w:cs="仿宋"/>
          <w:color w:val="000000"/>
          <w:kern w:val="2"/>
          <w:sz w:val="24"/>
          <w:highlight w:val="none"/>
          <w:u w:val="none"/>
          <w:lang w:val="en-US" w:eastAsia="zh-CN"/>
        </w:rPr>
        <w:t>项目主管人员5名，均须</w:t>
      </w:r>
      <w:r>
        <w:rPr>
          <w:rFonts w:hint="eastAsia" w:ascii="仿宋" w:hAnsi="仿宋" w:eastAsia="仿宋" w:cs="仿宋"/>
          <w:color w:val="000000"/>
          <w:kern w:val="2"/>
          <w:sz w:val="24"/>
          <w:highlight w:val="none"/>
          <w:u w:val="none"/>
        </w:rPr>
        <w:t>具有注册会计师资格证书</w:t>
      </w:r>
      <w:r>
        <w:rPr>
          <w:rFonts w:hint="eastAsia" w:ascii="仿宋" w:hAnsi="仿宋" w:eastAsia="仿宋" w:cs="仿宋"/>
          <w:color w:val="000000"/>
          <w:kern w:val="2"/>
          <w:sz w:val="24"/>
          <w:highlight w:val="none"/>
          <w:u w:val="none"/>
          <w:lang w:eastAsia="zh-CN"/>
        </w:rPr>
        <w:t>。</w:t>
      </w:r>
    </w:p>
    <w:p w14:paraId="0766DF7F">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b w:val="0"/>
          <w:bCs w:val="0"/>
          <w:color w:val="auto"/>
          <w:sz w:val="24"/>
          <w:highlight w:val="none"/>
          <w:u w:val="none"/>
          <w:lang w:val="en-US" w:eastAsia="zh-CN"/>
        </w:rPr>
        <w:t>3</w:t>
      </w:r>
      <w:bookmarkStart w:id="94" w:name="_Hlk100157475"/>
      <w:r>
        <w:rPr>
          <w:rFonts w:hint="eastAsia" w:ascii="仿宋" w:hAnsi="仿宋" w:eastAsia="仿宋" w:cs="仿宋"/>
          <w:b w:val="0"/>
          <w:bCs w:val="0"/>
          <w:color w:val="auto"/>
          <w:sz w:val="24"/>
          <w:highlight w:val="none"/>
          <w:u w:val="none"/>
          <w:lang w:val="en-US" w:eastAsia="zh-CN"/>
        </w:rPr>
        <w:t>.鼓励项目负责人具有</w:t>
      </w:r>
      <w:r>
        <w:rPr>
          <w:rFonts w:hint="eastAsia" w:ascii="仿宋" w:hAnsi="仿宋" w:eastAsia="仿宋" w:cs="仿宋"/>
          <w:color w:val="auto"/>
          <w:spacing w:val="-4"/>
          <w:sz w:val="24"/>
          <w:highlight w:val="none"/>
          <w:lang w:bidi="ar"/>
        </w:rPr>
        <w:t>高级（含）以上职称</w:t>
      </w:r>
      <w:r>
        <w:rPr>
          <w:rFonts w:hint="eastAsia" w:ascii="仿宋" w:hAnsi="仿宋" w:eastAsia="仿宋" w:cs="仿宋"/>
          <w:color w:val="auto"/>
          <w:spacing w:val="-4"/>
          <w:sz w:val="24"/>
          <w:highlight w:val="none"/>
          <w:lang w:eastAsia="zh-CN" w:bidi="ar"/>
        </w:rPr>
        <w:t>，</w:t>
      </w:r>
      <w:r>
        <w:rPr>
          <w:rFonts w:hint="eastAsia" w:ascii="仿宋" w:hAnsi="仿宋" w:eastAsia="仿宋" w:cs="仿宋"/>
          <w:color w:val="auto"/>
          <w:spacing w:val="-4"/>
          <w:sz w:val="24"/>
          <w:highlight w:val="none"/>
          <w:lang w:val="en-US" w:eastAsia="zh-CN" w:bidi="ar"/>
        </w:rPr>
        <w:t>曾</w:t>
      </w:r>
      <w:r>
        <w:rPr>
          <w:rFonts w:hint="eastAsia" w:ascii="仿宋" w:hAnsi="仿宋" w:eastAsia="仿宋" w:cs="仿宋"/>
          <w:color w:val="auto"/>
          <w:sz w:val="24"/>
          <w:highlight w:val="none"/>
          <w:lang w:val="en-US" w:eastAsia="zh-CN"/>
        </w:rPr>
        <w:t>担任</w:t>
      </w:r>
      <w:r>
        <w:rPr>
          <w:rFonts w:hint="eastAsia" w:ascii="仿宋" w:hAnsi="仿宋" w:eastAsia="仿宋" w:cs="仿宋"/>
          <w:color w:val="auto"/>
          <w:sz w:val="24"/>
          <w:highlight w:val="none"/>
        </w:rPr>
        <w:t>过政府投资项目类竣工财务决算审核业务项目</w:t>
      </w:r>
      <w:r>
        <w:rPr>
          <w:rFonts w:hint="eastAsia" w:ascii="仿宋" w:hAnsi="仿宋" w:eastAsia="仿宋" w:cs="仿宋"/>
          <w:color w:val="auto"/>
          <w:sz w:val="24"/>
          <w:highlight w:val="none"/>
          <w:lang w:val="en-US" w:eastAsia="zh-CN"/>
        </w:rPr>
        <w:t>负责人</w:t>
      </w:r>
      <w:r>
        <w:rPr>
          <w:rFonts w:hint="eastAsia" w:ascii="仿宋" w:hAnsi="仿宋" w:eastAsia="仿宋" w:cs="仿宋"/>
          <w:color w:val="auto"/>
          <w:sz w:val="24"/>
          <w:highlight w:val="none"/>
          <w:lang w:eastAsia="zh-CN"/>
        </w:rPr>
        <w:t>。</w:t>
      </w:r>
    </w:p>
    <w:p w14:paraId="5D3A9CD3">
      <w:pPr>
        <w:spacing w:line="360" w:lineRule="auto"/>
        <w:ind w:firstLine="480" w:firstLineChars="200"/>
        <w:jc w:val="left"/>
        <w:rPr>
          <w:rFonts w:hint="eastAsia" w:ascii="仿宋" w:hAnsi="仿宋" w:eastAsia="仿宋" w:cs="仿宋"/>
          <w:color w:val="FF0000"/>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pacing w:val="-4"/>
          <w:sz w:val="24"/>
          <w:highlight w:val="none"/>
          <w:lang w:val="en-US" w:eastAsia="zh-CN" w:bidi="ar"/>
        </w:rPr>
        <w:t>鼓励除</w:t>
      </w:r>
      <w:r>
        <w:rPr>
          <w:rFonts w:hint="eastAsia" w:ascii="仿宋" w:hAnsi="仿宋" w:eastAsia="仿宋" w:cs="仿宋"/>
          <w:spacing w:val="-4"/>
          <w:kern w:val="2"/>
          <w:sz w:val="24"/>
          <w:highlight w:val="none"/>
          <w:lang w:bidi="ar"/>
        </w:rPr>
        <w:t>项目负责人</w:t>
      </w:r>
      <w:r>
        <w:rPr>
          <w:rFonts w:hint="eastAsia" w:ascii="仿宋" w:hAnsi="仿宋" w:eastAsia="仿宋" w:cs="仿宋"/>
          <w:spacing w:val="-4"/>
          <w:kern w:val="2"/>
          <w:sz w:val="24"/>
          <w:highlight w:val="none"/>
          <w:lang w:val="en-US" w:eastAsia="zh-CN" w:bidi="ar"/>
        </w:rPr>
        <w:t>外的</w:t>
      </w:r>
      <w:r>
        <w:rPr>
          <w:rFonts w:hint="eastAsia" w:ascii="仿宋" w:hAnsi="仿宋" w:eastAsia="仿宋" w:cs="仿宋"/>
          <w:spacing w:val="-4"/>
          <w:sz w:val="24"/>
          <w:highlight w:val="none"/>
          <w:lang w:val="en-US" w:eastAsia="zh-CN" w:bidi="ar"/>
        </w:rPr>
        <w:t>其他人员</w:t>
      </w:r>
      <w:r>
        <w:rPr>
          <w:rFonts w:hint="eastAsia" w:ascii="仿宋" w:hAnsi="仿宋" w:eastAsia="仿宋" w:cs="仿宋"/>
          <w:spacing w:val="-4"/>
          <w:sz w:val="24"/>
          <w:highlight w:val="none"/>
          <w:lang w:bidi="ar"/>
        </w:rPr>
        <w:t>具有中级</w:t>
      </w:r>
      <w:r>
        <w:rPr>
          <w:rFonts w:hint="eastAsia" w:ascii="仿宋" w:hAnsi="仿宋" w:eastAsia="仿宋" w:cs="仿宋"/>
          <w:spacing w:val="-4"/>
          <w:sz w:val="24"/>
          <w:highlight w:val="none"/>
          <w:lang w:eastAsia="zh-CN" w:bidi="ar"/>
        </w:rPr>
        <w:t>（</w:t>
      </w:r>
      <w:r>
        <w:rPr>
          <w:rFonts w:hint="eastAsia" w:ascii="仿宋" w:hAnsi="仿宋" w:eastAsia="仿宋" w:cs="仿宋"/>
          <w:spacing w:val="-4"/>
          <w:sz w:val="24"/>
          <w:highlight w:val="none"/>
          <w:lang w:val="en-US" w:eastAsia="zh-CN" w:bidi="ar"/>
        </w:rPr>
        <w:t>含</w:t>
      </w:r>
      <w:r>
        <w:rPr>
          <w:rFonts w:hint="eastAsia" w:ascii="仿宋" w:hAnsi="仿宋" w:eastAsia="仿宋" w:cs="仿宋"/>
          <w:spacing w:val="-4"/>
          <w:sz w:val="24"/>
          <w:highlight w:val="none"/>
          <w:lang w:eastAsia="zh-CN" w:bidi="ar"/>
        </w:rPr>
        <w:t>）</w:t>
      </w:r>
      <w:r>
        <w:rPr>
          <w:rFonts w:hint="eastAsia" w:ascii="仿宋" w:hAnsi="仿宋" w:eastAsia="仿宋" w:cs="仿宋"/>
          <w:spacing w:val="-4"/>
          <w:sz w:val="24"/>
          <w:highlight w:val="none"/>
          <w:lang w:bidi="ar"/>
        </w:rPr>
        <w:t>以上职称</w:t>
      </w:r>
      <w:r>
        <w:rPr>
          <w:rFonts w:hint="eastAsia" w:ascii="仿宋" w:hAnsi="仿宋" w:eastAsia="仿宋" w:cs="仿宋"/>
          <w:spacing w:val="-4"/>
          <w:sz w:val="24"/>
          <w:highlight w:val="none"/>
          <w:lang w:eastAsia="zh-CN" w:bidi="ar"/>
        </w:rPr>
        <w:t>，</w:t>
      </w:r>
      <w:r>
        <w:rPr>
          <w:rFonts w:hint="eastAsia" w:ascii="仿宋" w:hAnsi="仿宋" w:eastAsia="仿宋" w:cs="仿宋"/>
          <w:spacing w:val="-4"/>
          <w:sz w:val="24"/>
          <w:highlight w:val="none"/>
          <w:lang w:val="en-US" w:eastAsia="zh-CN" w:bidi="ar"/>
        </w:rPr>
        <w:t>一般审核人员</w:t>
      </w:r>
      <w:r>
        <w:rPr>
          <w:rFonts w:hint="eastAsia" w:ascii="仿宋" w:hAnsi="仿宋" w:eastAsia="仿宋" w:cs="仿宋"/>
          <w:spacing w:val="-4"/>
          <w:sz w:val="24"/>
          <w:highlight w:val="none"/>
          <w:lang w:bidi="ar"/>
        </w:rPr>
        <w:t>具有注册会计师资格证书</w:t>
      </w:r>
      <w:r>
        <w:rPr>
          <w:rFonts w:hint="eastAsia" w:ascii="仿宋" w:hAnsi="仿宋" w:eastAsia="仿宋" w:cs="仿宋"/>
          <w:spacing w:val="-4"/>
          <w:sz w:val="24"/>
          <w:highlight w:val="none"/>
          <w:lang w:eastAsia="zh-CN" w:bidi="ar"/>
        </w:rPr>
        <w:t>。</w:t>
      </w:r>
    </w:p>
    <w:bookmarkEnd w:id="94"/>
    <w:p w14:paraId="0E7D8FC7">
      <w:pPr>
        <w:spacing w:line="360" w:lineRule="auto"/>
        <w:ind w:firstLine="480" w:firstLineChars="200"/>
        <w:jc w:val="left"/>
        <w:rPr>
          <w:rFonts w:hint="eastAsia" w:ascii="仿宋" w:hAnsi="仿宋" w:eastAsia="仿宋" w:cs="仿宋"/>
          <w:b w:val="0"/>
          <w:bCs w:val="0"/>
          <w:color w:val="000000"/>
          <w:sz w:val="24"/>
          <w:highlight w:val="none"/>
          <w:u w:val="none"/>
        </w:rPr>
      </w:pPr>
      <w:r>
        <w:rPr>
          <w:rFonts w:hint="eastAsia" w:ascii="仿宋" w:hAnsi="仿宋" w:eastAsia="仿宋" w:cs="仿宋"/>
          <w:b w:val="0"/>
          <w:bCs w:val="0"/>
          <w:color w:val="000000"/>
          <w:sz w:val="24"/>
          <w:highlight w:val="none"/>
          <w:u w:val="none"/>
          <w:lang w:val="en-US" w:eastAsia="zh-CN"/>
        </w:rPr>
        <w:t>5.投标人</w:t>
      </w:r>
      <w:r>
        <w:rPr>
          <w:rFonts w:hint="eastAsia" w:ascii="仿宋" w:hAnsi="仿宋" w:eastAsia="仿宋" w:cs="仿宋"/>
          <w:b w:val="0"/>
          <w:bCs w:val="0"/>
          <w:color w:val="000000"/>
          <w:sz w:val="24"/>
          <w:highlight w:val="none"/>
          <w:u w:val="none"/>
        </w:rPr>
        <w:t>需接受</w:t>
      </w:r>
      <w:r>
        <w:rPr>
          <w:rFonts w:hint="eastAsia" w:ascii="仿宋" w:hAnsi="仿宋" w:eastAsia="仿宋" w:cs="仿宋"/>
          <w:b w:val="0"/>
          <w:bCs w:val="0"/>
          <w:color w:val="000000"/>
          <w:sz w:val="24"/>
          <w:highlight w:val="none"/>
          <w:u w:val="none"/>
          <w:lang w:val="en-US" w:eastAsia="zh-CN"/>
        </w:rPr>
        <w:t>采购</w:t>
      </w:r>
      <w:r>
        <w:rPr>
          <w:rFonts w:hint="eastAsia" w:ascii="仿宋" w:hAnsi="仿宋" w:eastAsia="仿宋" w:cs="仿宋"/>
          <w:b w:val="0"/>
          <w:bCs w:val="0"/>
          <w:color w:val="000000"/>
          <w:sz w:val="24"/>
          <w:highlight w:val="none"/>
          <w:u w:val="none"/>
          <w:lang w:eastAsia="zh-CN"/>
        </w:rPr>
        <w:t>人</w:t>
      </w:r>
      <w:r>
        <w:rPr>
          <w:rFonts w:hint="eastAsia" w:ascii="仿宋" w:hAnsi="仿宋" w:eastAsia="仿宋" w:cs="仿宋"/>
          <w:b w:val="0"/>
          <w:bCs w:val="0"/>
          <w:color w:val="000000"/>
          <w:sz w:val="24"/>
          <w:highlight w:val="none"/>
          <w:u w:val="none"/>
        </w:rPr>
        <w:t>的指导、监督和管理，严格按照</w:t>
      </w:r>
      <w:r>
        <w:rPr>
          <w:rFonts w:hint="eastAsia" w:ascii="仿宋" w:hAnsi="仿宋" w:eastAsia="仿宋" w:cs="仿宋"/>
          <w:b w:val="0"/>
          <w:bCs w:val="0"/>
          <w:color w:val="000000"/>
          <w:sz w:val="24"/>
          <w:highlight w:val="none"/>
          <w:u w:val="none"/>
          <w:lang w:val="en-US" w:eastAsia="zh-CN"/>
        </w:rPr>
        <w:t>采购人</w:t>
      </w:r>
      <w:r>
        <w:rPr>
          <w:rFonts w:hint="eastAsia" w:ascii="仿宋" w:hAnsi="仿宋" w:eastAsia="仿宋" w:cs="仿宋"/>
          <w:b w:val="0"/>
          <w:bCs w:val="0"/>
          <w:color w:val="000000"/>
          <w:sz w:val="24"/>
          <w:highlight w:val="none"/>
          <w:u w:val="none"/>
        </w:rPr>
        <w:t>的有关规定和要求实施审核任务，按</w:t>
      </w:r>
      <w:r>
        <w:rPr>
          <w:rFonts w:hint="eastAsia" w:ascii="仿宋" w:hAnsi="仿宋" w:eastAsia="仿宋" w:cs="仿宋"/>
          <w:b w:val="0"/>
          <w:bCs w:val="0"/>
          <w:color w:val="000000"/>
          <w:sz w:val="24"/>
          <w:highlight w:val="none"/>
          <w:u w:val="none"/>
          <w:lang w:val="en-US" w:eastAsia="zh-CN"/>
        </w:rPr>
        <w:t>采购人</w:t>
      </w:r>
      <w:r>
        <w:rPr>
          <w:rFonts w:hint="eastAsia" w:ascii="仿宋" w:hAnsi="仿宋" w:eastAsia="仿宋" w:cs="仿宋"/>
          <w:b w:val="0"/>
          <w:bCs w:val="0"/>
          <w:color w:val="000000"/>
          <w:sz w:val="24"/>
          <w:highlight w:val="none"/>
          <w:u w:val="none"/>
        </w:rPr>
        <w:t>的质量和进度要求及时提供审核结果以及与审核事项相关的审核资料，按</w:t>
      </w:r>
      <w:r>
        <w:rPr>
          <w:rFonts w:hint="eastAsia" w:ascii="仿宋" w:hAnsi="仿宋" w:eastAsia="仿宋" w:cs="仿宋"/>
          <w:b w:val="0"/>
          <w:bCs w:val="0"/>
          <w:color w:val="000000"/>
          <w:sz w:val="24"/>
          <w:highlight w:val="none"/>
          <w:u w:val="none"/>
          <w:lang w:val="en-US" w:eastAsia="zh-CN"/>
        </w:rPr>
        <w:t>采购人</w:t>
      </w:r>
      <w:r>
        <w:rPr>
          <w:rFonts w:hint="eastAsia" w:ascii="仿宋" w:hAnsi="仿宋" w:eastAsia="仿宋" w:cs="仿宋"/>
          <w:b w:val="0"/>
          <w:bCs w:val="0"/>
          <w:color w:val="000000"/>
          <w:sz w:val="24"/>
          <w:highlight w:val="none"/>
          <w:u w:val="none"/>
        </w:rPr>
        <w:t>规定的格式、要求起草有关审核文书和其他材料。</w:t>
      </w:r>
    </w:p>
    <w:p w14:paraId="6F8059AD">
      <w:pPr>
        <w:spacing w:line="360" w:lineRule="auto"/>
        <w:ind w:firstLine="480" w:firstLineChars="200"/>
        <w:jc w:val="left"/>
        <w:rPr>
          <w:rFonts w:hint="eastAsia" w:ascii="仿宋" w:hAnsi="仿宋" w:eastAsia="仿宋" w:cs="仿宋"/>
          <w:b w:val="0"/>
          <w:bCs w:val="0"/>
          <w:color w:val="000000"/>
          <w:sz w:val="24"/>
          <w:highlight w:val="none"/>
          <w:u w:val="none"/>
        </w:rPr>
      </w:pPr>
      <w:r>
        <w:rPr>
          <w:rFonts w:hint="eastAsia" w:ascii="仿宋" w:hAnsi="仿宋" w:eastAsia="仿宋" w:cs="仿宋"/>
          <w:b w:val="0"/>
          <w:bCs w:val="0"/>
          <w:color w:val="000000"/>
          <w:sz w:val="24"/>
          <w:highlight w:val="none"/>
          <w:u w:val="none"/>
          <w:lang w:val="en-US" w:eastAsia="zh-CN"/>
        </w:rPr>
        <w:t>6.</w:t>
      </w:r>
      <w:r>
        <w:rPr>
          <w:rFonts w:hint="eastAsia" w:ascii="仿宋" w:hAnsi="仿宋" w:eastAsia="仿宋" w:cs="仿宋"/>
          <w:b w:val="0"/>
          <w:bCs w:val="0"/>
          <w:color w:val="000000"/>
          <w:sz w:val="24"/>
          <w:highlight w:val="none"/>
          <w:u w:val="none"/>
        </w:rPr>
        <w:t>在审核任务完成后，</w:t>
      </w:r>
      <w:r>
        <w:rPr>
          <w:rFonts w:hint="eastAsia" w:ascii="仿宋" w:hAnsi="仿宋" w:eastAsia="仿宋" w:cs="仿宋"/>
          <w:b w:val="0"/>
          <w:bCs w:val="0"/>
          <w:color w:val="000000"/>
          <w:sz w:val="24"/>
          <w:highlight w:val="none"/>
          <w:u w:val="none"/>
          <w:lang w:val="en-US" w:eastAsia="zh-CN"/>
        </w:rPr>
        <w:t>投标人</w:t>
      </w:r>
      <w:r>
        <w:rPr>
          <w:rFonts w:hint="eastAsia" w:ascii="仿宋" w:hAnsi="仿宋" w:eastAsia="仿宋" w:cs="仿宋"/>
          <w:b w:val="0"/>
          <w:bCs w:val="0"/>
          <w:color w:val="000000"/>
          <w:sz w:val="24"/>
          <w:highlight w:val="none"/>
          <w:u w:val="none"/>
        </w:rPr>
        <w:t>应及时移交审核实施过程中所形成的全部纸质资料和电子资料。</w:t>
      </w:r>
      <w:r>
        <w:rPr>
          <w:rFonts w:hint="eastAsia" w:ascii="仿宋" w:hAnsi="仿宋" w:eastAsia="仿宋" w:cs="仿宋"/>
          <w:b w:val="0"/>
          <w:bCs w:val="0"/>
          <w:color w:val="000000"/>
          <w:sz w:val="24"/>
          <w:highlight w:val="none"/>
          <w:u w:val="none"/>
          <w:lang w:val="en-US" w:eastAsia="zh-CN"/>
        </w:rPr>
        <w:t>投标人</w:t>
      </w:r>
      <w:r>
        <w:rPr>
          <w:rFonts w:hint="eastAsia" w:ascii="仿宋" w:hAnsi="仿宋" w:eastAsia="仿宋" w:cs="仿宋"/>
          <w:b w:val="0"/>
          <w:bCs w:val="0"/>
          <w:color w:val="000000"/>
          <w:sz w:val="24"/>
          <w:highlight w:val="none"/>
          <w:u w:val="none"/>
        </w:rPr>
        <w:t>不得将其参与审核工作获取的相关信息用于与所审核事项无关的目的。</w:t>
      </w:r>
    </w:p>
    <w:p w14:paraId="60764908">
      <w:pPr>
        <w:spacing w:line="360" w:lineRule="auto"/>
        <w:ind w:firstLine="480" w:firstLineChars="200"/>
        <w:jc w:val="left"/>
        <w:rPr>
          <w:rFonts w:hint="eastAsia" w:ascii="仿宋" w:hAnsi="仿宋" w:eastAsia="仿宋" w:cs="仿宋"/>
          <w:b w:val="0"/>
          <w:bCs w:val="0"/>
          <w:color w:val="000000"/>
          <w:sz w:val="24"/>
          <w:highlight w:val="none"/>
          <w:u w:val="none"/>
        </w:rPr>
      </w:pPr>
      <w:r>
        <w:rPr>
          <w:rFonts w:hint="eastAsia" w:ascii="仿宋" w:hAnsi="仿宋" w:eastAsia="仿宋" w:cs="仿宋"/>
          <w:b w:val="0"/>
          <w:bCs w:val="0"/>
          <w:color w:val="000000"/>
          <w:sz w:val="24"/>
          <w:highlight w:val="none"/>
          <w:u w:val="none"/>
          <w:lang w:val="en-US" w:eastAsia="zh-CN"/>
        </w:rPr>
        <w:t>7.</w:t>
      </w:r>
      <w:r>
        <w:rPr>
          <w:rFonts w:hint="eastAsia" w:ascii="仿宋" w:hAnsi="仿宋" w:eastAsia="仿宋" w:cs="仿宋"/>
          <w:b w:val="0"/>
          <w:bCs w:val="0"/>
          <w:color w:val="000000"/>
          <w:sz w:val="24"/>
          <w:highlight w:val="none"/>
          <w:u w:val="none"/>
        </w:rPr>
        <w:t>响应时间要求：一般情况1小时内响应，需要现场服务时，接到</w:t>
      </w:r>
      <w:r>
        <w:rPr>
          <w:rFonts w:hint="eastAsia" w:ascii="仿宋" w:hAnsi="仿宋" w:eastAsia="仿宋" w:cs="仿宋"/>
          <w:b w:val="0"/>
          <w:bCs w:val="0"/>
          <w:color w:val="000000"/>
          <w:sz w:val="24"/>
          <w:highlight w:val="none"/>
          <w:u w:val="none"/>
          <w:lang w:val="en-US" w:eastAsia="zh-CN"/>
        </w:rPr>
        <w:t>采购</w:t>
      </w:r>
      <w:r>
        <w:rPr>
          <w:rFonts w:hint="eastAsia" w:ascii="仿宋" w:hAnsi="仿宋" w:eastAsia="仿宋" w:cs="仿宋"/>
          <w:b w:val="0"/>
          <w:bCs w:val="0"/>
          <w:color w:val="000000"/>
          <w:sz w:val="24"/>
          <w:highlight w:val="none"/>
          <w:u w:val="none"/>
        </w:rPr>
        <w:t>人通知后2小时内到达</w:t>
      </w:r>
      <w:r>
        <w:rPr>
          <w:rFonts w:hint="eastAsia" w:ascii="仿宋" w:hAnsi="仿宋" w:eastAsia="仿宋" w:cs="仿宋"/>
          <w:b w:val="0"/>
          <w:bCs w:val="0"/>
          <w:color w:val="000000"/>
          <w:sz w:val="24"/>
          <w:highlight w:val="none"/>
          <w:u w:val="none"/>
          <w:lang w:eastAsia="zh-CN"/>
        </w:rPr>
        <w:t>采购人</w:t>
      </w:r>
      <w:r>
        <w:rPr>
          <w:rFonts w:hint="eastAsia" w:ascii="仿宋" w:hAnsi="仿宋" w:eastAsia="仿宋" w:cs="仿宋"/>
          <w:b w:val="0"/>
          <w:bCs w:val="0"/>
          <w:color w:val="000000"/>
          <w:sz w:val="24"/>
          <w:highlight w:val="none"/>
          <w:u w:val="none"/>
        </w:rPr>
        <w:t>指定的服务地点。</w:t>
      </w:r>
    </w:p>
    <w:p w14:paraId="765ACB97">
      <w:pPr>
        <w:spacing w:line="360" w:lineRule="auto"/>
        <w:ind w:firstLine="480" w:firstLineChars="200"/>
        <w:jc w:val="left"/>
        <w:rPr>
          <w:rFonts w:hint="eastAsia" w:ascii="仿宋" w:hAnsi="仿宋" w:eastAsia="仿宋" w:cs="仿宋"/>
          <w:b w:val="0"/>
          <w:bCs w:val="0"/>
          <w:color w:val="000000"/>
          <w:sz w:val="24"/>
          <w:highlight w:val="none"/>
          <w:u w:val="none"/>
          <w:lang w:val="en-US" w:eastAsia="zh-CN"/>
        </w:rPr>
      </w:pPr>
      <w:r>
        <w:rPr>
          <w:rFonts w:hint="eastAsia" w:ascii="仿宋" w:hAnsi="仿宋" w:eastAsia="仿宋" w:cs="仿宋"/>
          <w:color w:val="000000"/>
          <w:kern w:val="2"/>
          <w:sz w:val="24"/>
          <w:highlight w:val="none"/>
          <w:lang w:val="en-US" w:eastAsia="zh-CN"/>
        </w:rPr>
        <w:t>▲</w:t>
      </w:r>
      <w:r>
        <w:rPr>
          <w:rFonts w:hint="eastAsia" w:ascii="仿宋" w:hAnsi="仿宋" w:eastAsia="仿宋" w:cs="仿宋"/>
          <w:b w:val="0"/>
          <w:bCs w:val="0"/>
          <w:color w:val="000000"/>
          <w:sz w:val="24"/>
          <w:highlight w:val="none"/>
          <w:u w:val="none"/>
          <w:lang w:val="en-US" w:eastAsia="zh-CN"/>
        </w:rPr>
        <w:t>8.投标人在投标文件中必须提供廉洁承诺书（格式见采购文件第六部分“投标文件格式”，“商务技术文件部分”，“（8）</w:t>
      </w:r>
      <w:r>
        <w:rPr>
          <w:rFonts w:hint="eastAsia" w:ascii="仿宋" w:hAnsi="仿宋" w:eastAsia="仿宋" w:cs="仿宋"/>
          <w:sz w:val="24"/>
          <w:szCs w:val="24"/>
          <w:highlight w:val="none"/>
          <w:lang w:val="zh-CN"/>
        </w:rPr>
        <w:t>政府采购供应商廉洁自律承诺书</w:t>
      </w:r>
      <w:r>
        <w:rPr>
          <w:rFonts w:hint="eastAsia" w:ascii="仿宋" w:hAnsi="仿宋" w:eastAsia="仿宋" w:cs="仿宋"/>
          <w:b w:val="0"/>
          <w:bCs w:val="0"/>
          <w:color w:val="000000"/>
          <w:sz w:val="24"/>
          <w:highlight w:val="none"/>
          <w:u w:val="none"/>
          <w:lang w:val="en-US" w:eastAsia="zh-CN"/>
        </w:rPr>
        <w:t>”），否则作无效标处理。</w:t>
      </w:r>
    </w:p>
    <w:p w14:paraId="0B172B32">
      <w:pPr>
        <w:pStyle w:val="4"/>
        <w:keepNext/>
        <w:keepLines/>
        <w:pageBreakBefore w:val="0"/>
        <w:widowControl w:val="0"/>
        <w:tabs>
          <w:tab w:val="left" w:pos="432"/>
        </w:tabs>
        <w:kinsoku/>
        <w:wordWrap/>
        <w:overflowPunct/>
        <w:topLinePunct w:val="0"/>
        <w:autoSpaceDE/>
        <w:autoSpaceDN/>
        <w:bidi w:val="0"/>
        <w:adjustRightInd w:val="0"/>
        <w:snapToGrid w:val="0"/>
        <w:spacing w:line="360" w:lineRule="auto"/>
        <w:ind w:left="0" w:firstLine="0"/>
        <w:textAlignment w:val="auto"/>
        <w:rPr>
          <w:rFonts w:hint="eastAsia" w:ascii="仿宋" w:hAnsi="仿宋" w:eastAsia="仿宋" w:cs="仿宋"/>
          <w:color w:val="auto"/>
          <w:kern w:val="0"/>
          <w:sz w:val="24"/>
          <w:highlight w:val="none"/>
          <w:lang w:val="en-US" w:eastAsia="zh-CN"/>
        </w:rPr>
      </w:pPr>
      <w:bookmarkStart w:id="95" w:name="_Toc10123"/>
      <w:bookmarkStart w:id="96" w:name="_Toc31473"/>
      <w:bookmarkStart w:id="97" w:name="_Toc30255"/>
      <w:r>
        <w:rPr>
          <w:rFonts w:hint="eastAsia" w:ascii="仿宋" w:hAnsi="仿宋" w:eastAsia="仿宋" w:cs="仿宋"/>
          <w:color w:val="auto"/>
          <w:kern w:val="0"/>
          <w:sz w:val="24"/>
          <w:highlight w:val="none"/>
          <w:lang w:val="en-US" w:eastAsia="zh-CN"/>
        </w:rPr>
        <w:t>九、</w:t>
      </w:r>
      <w:bookmarkStart w:id="98" w:name="_Toc4722"/>
      <w:r>
        <w:rPr>
          <w:rFonts w:hint="eastAsia" w:ascii="仿宋" w:hAnsi="仿宋" w:eastAsia="仿宋" w:cs="仿宋"/>
          <w:color w:val="auto"/>
          <w:kern w:val="0"/>
          <w:sz w:val="24"/>
          <w:highlight w:val="none"/>
          <w:lang w:val="en-US" w:eastAsia="zh-CN"/>
        </w:rPr>
        <w:t>商务要求</w:t>
      </w:r>
      <w:bookmarkEnd w:id="95"/>
      <w:bookmarkEnd w:id="96"/>
      <w:bookmarkEnd w:id="97"/>
      <w:bookmarkEnd w:id="98"/>
    </w:p>
    <w:p w14:paraId="28B42985">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（一）投标报价</w:t>
      </w:r>
    </w:p>
    <w:p w14:paraId="14B3E6C7">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本项目报价采用费率形式。</w:t>
      </w:r>
      <w:r>
        <w:rPr>
          <w:rFonts w:hint="eastAsia" w:ascii="仿宋" w:hAnsi="仿宋" w:eastAsia="仿宋" w:cs="仿宋"/>
          <w:snapToGrid w:val="0"/>
          <w:color w:val="auto"/>
          <w:kern w:val="2"/>
          <w:sz w:val="24"/>
          <w:szCs w:val="24"/>
          <w:highlight w:val="none"/>
          <w:lang w:val="en-US" w:eastAsia="zh-CN" w:bidi="ar-SA"/>
        </w:rPr>
        <w:t>报价包含完成合同所涉及的全部内容，包括人工、交通、就餐、住宿、利润、管理、税金及供应商认为还需发生的其他费用。</w:t>
      </w:r>
    </w:p>
    <w:p w14:paraId="00CEE930">
      <w:pPr>
        <w:snapToGrid w:val="0"/>
        <w:spacing w:line="360" w:lineRule="auto"/>
        <w:ind w:firstLine="42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szCs w:val="21"/>
          <w:highlight w:val="none"/>
        </w:rPr>
        <w:t>▲</w:t>
      </w:r>
      <w:r>
        <w:rPr>
          <w:rFonts w:hint="eastAsia" w:ascii="仿宋" w:hAnsi="仿宋" w:eastAsia="仿宋" w:cs="仿宋"/>
          <w:b/>
          <w:bCs/>
          <w:color w:val="auto"/>
          <w:sz w:val="24"/>
          <w:highlight w:val="none"/>
          <w:lang w:val="en-US" w:eastAsia="zh-CN"/>
        </w:rPr>
        <w:t>（二）采购预算及最高限价</w:t>
      </w:r>
    </w:p>
    <w:p w14:paraId="58871F37">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1.本项目采购预算：一年服务期的总预算为人民币218万元。其中，标项一预算为86万元，标项二预算为70万元，标项三预算为62万元。</w:t>
      </w:r>
    </w:p>
    <w:p w14:paraId="6BD59E6F">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2.最高限价</w:t>
      </w:r>
    </w:p>
    <w:p w14:paraId="7B4DFB16">
      <w:pPr>
        <w:pStyle w:val="18"/>
        <w:adjustRightInd w:val="0"/>
        <w:snapToGrid w:val="0"/>
        <w:spacing w:after="0" w:line="360" w:lineRule="auto"/>
        <w:ind w:firstLine="482" w:firstLineChars="200"/>
        <w:rPr>
          <w:rFonts w:hint="eastAsia" w:ascii="仿宋" w:hAnsi="仿宋" w:eastAsia="仿宋" w:cs="仿宋"/>
          <w:kern w:val="0"/>
          <w:sz w:val="24"/>
          <w:highlight w:val="none"/>
        </w:rPr>
      </w:pPr>
      <w:bookmarkStart w:id="99" w:name="_Hlk98146069"/>
      <w:r>
        <w:rPr>
          <w:rFonts w:hint="eastAsia" w:ascii="仿宋" w:hAnsi="仿宋" w:eastAsia="仿宋" w:cs="仿宋"/>
          <w:b/>
          <w:bCs/>
          <w:kern w:val="0"/>
          <w:sz w:val="24"/>
          <w:highlight w:val="none"/>
        </w:rPr>
        <w:t>本项目报价参考附件：</w:t>
      </w:r>
      <w:bookmarkStart w:id="100" w:name="_Hlk100161586"/>
      <w:r>
        <w:rPr>
          <w:rFonts w:hint="eastAsia" w:ascii="仿宋" w:hAnsi="仿宋" w:eastAsia="仿宋" w:cs="仿宋"/>
          <w:b/>
          <w:bCs/>
          <w:kern w:val="0"/>
          <w:sz w:val="24"/>
          <w:highlight w:val="none"/>
        </w:rPr>
        <w:t>《竣工财务决算审核咨询服务费计费标准》，</w:t>
      </w:r>
      <w:r>
        <w:rPr>
          <w:rFonts w:hint="eastAsia" w:ascii="仿宋" w:hAnsi="仿宋" w:eastAsia="仿宋" w:cs="仿宋"/>
          <w:b/>
          <w:bCs/>
          <w:kern w:val="0"/>
          <w:sz w:val="24"/>
          <w:highlight w:val="none"/>
          <w:lang w:val="en-US" w:eastAsia="zh-CN"/>
        </w:rPr>
        <w:t>以</w:t>
      </w:r>
      <w:r>
        <w:rPr>
          <w:rFonts w:hint="eastAsia" w:ascii="仿宋" w:hAnsi="仿宋" w:eastAsia="仿宋" w:cs="仿宋"/>
          <w:b/>
          <w:bCs/>
          <w:kern w:val="0"/>
          <w:sz w:val="24"/>
          <w:highlight w:val="none"/>
        </w:rPr>
        <w:t>单个建设项目</w:t>
      </w:r>
      <w:r>
        <w:rPr>
          <w:rFonts w:hint="eastAsia" w:ascii="仿宋" w:hAnsi="仿宋" w:eastAsia="仿宋" w:cs="仿宋"/>
          <w:b/>
          <w:bCs/>
          <w:kern w:val="0"/>
          <w:sz w:val="24"/>
          <w:highlight w:val="none"/>
          <w:lang w:val="en-US" w:eastAsia="zh-CN"/>
        </w:rPr>
        <w:t>总费用为收</w:t>
      </w:r>
      <w:r>
        <w:rPr>
          <w:rFonts w:hint="eastAsia" w:ascii="仿宋" w:hAnsi="仿宋" w:eastAsia="仿宋" w:cs="仿宋"/>
          <w:b/>
          <w:bCs/>
          <w:kern w:val="0"/>
          <w:sz w:val="24"/>
          <w:highlight w:val="none"/>
        </w:rPr>
        <w:t>费基数，最高限价为标准收费的</w:t>
      </w:r>
      <w:r>
        <w:rPr>
          <w:rFonts w:hint="eastAsia" w:ascii="仿宋" w:hAnsi="仿宋" w:eastAsia="仿宋" w:cs="仿宋"/>
          <w:b/>
          <w:bCs/>
          <w:kern w:val="0"/>
          <w:sz w:val="24"/>
          <w:highlight w:val="none"/>
          <w:lang w:val="en-US" w:eastAsia="zh-CN"/>
        </w:rPr>
        <w:t>90</w:t>
      </w:r>
      <w:r>
        <w:rPr>
          <w:rFonts w:hint="eastAsia" w:ascii="仿宋" w:hAnsi="仿宋" w:eastAsia="仿宋" w:cs="仿宋"/>
          <w:b/>
          <w:bCs/>
          <w:kern w:val="0"/>
          <w:sz w:val="24"/>
          <w:highlight w:val="none"/>
        </w:rPr>
        <w:t>%。</w:t>
      </w:r>
    </w:p>
    <w:p w14:paraId="0F101FA0">
      <w:pPr>
        <w:tabs>
          <w:tab w:val="left" w:pos="0"/>
        </w:tabs>
        <w:snapToGrid w:val="0"/>
        <w:spacing w:line="360" w:lineRule="auto"/>
        <w:ind w:firstLine="480"/>
        <w:rPr>
          <w:rFonts w:hint="eastAsia" w:ascii="仿宋" w:hAnsi="仿宋" w:eastAsia="仿宋" w:cs="仿宋"/>
          <w:kern w:val="0"/>
          <w:sz w:val="24"/>
          <w:highlight w:val="none"/>
        </w:rPr>
      </w:pPr>
    </w:p>
    <w:p w14:paraId="05855428">
      <w:pPr>
        <w:tabs>
          <w:tab w:val="left" w:pos="0"/>
        </w:tabs>
        <w:snapToGrid w:val="0"/>
        <w:spacing w:line="360" w:lineRule="auto"/>
        <w:ind w:firstLine="480"/>
        <w:rPr>
          <w:rFonts w:hint="eastAsia" w:ascii="仿宋" w:hAnsi="仿宋" w:eastAsia="仿宋" w:cs="仿宋"/>
          <w:kern w:val="0"/>
          <w:sz w:val="24"/>
          <w:highlight w:val="none"/>
        </w:rPr>
      </w:pPr>
    </w:p>
    <w:p w14:paraId="7BA6E354">
      <w:pPr>
        <w:tabs>
          <w:tab w:val="left" w:pos="0"/>
        </w:tabs>
        <w:snapToGrid w:val="0"/>
        <w:spacing w:line="360" w:lineRule="auto"/>
        <w:ind w:firstLine="480"/>
        <w:rPr>
          <w:rFonts w:hint="eastAsia" w:ascii="仿宋" w:hAnsi="仿宋" w:eastAsia="仿宋" w:cs="仿宋"/>
          <w:kern w:val="0"/>
          <w:sz w:val="24"/>
          <w:highlight w:val="none"/>
        </w:rPr>
      </w:pPr>
    </w:p>
    <w:p w14:paraId="33F5B93C">
      <w:pPr>
        <w:tabs>
          <w:tab w:val="left" w:pos="0"/>
        </w:tabs>
        <w:snapToGrid w:val="0"/>
        <w:spacing w:line="360" w:lineRule="auto"/>
        <w:ind w:firstLine="480"/>
        <w:rPr>
          <w:rFonts w:hint="eastAsia" w:ascii="仿宋" w:hAnsi="仿宋" w:eastAsia="仿宋" w:cs="仿宋"/>
          <w:kern w:val="0"/>
          <w:sz w:val="24"/>
          <w:highlight w:val="none"/>
        </w:rPr>
      </w:pPr>
    </w:p>
    <w:p w14:paraId="782C2814">
      <w:pPr>
        <w:tabs>
          <w:tab w:val="left" w:pos="0"/>
        </w:tabs>
        <w:snapToGrid w:val="0"/>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附件：竣工财务决算审核咨询服务费计费标准</w:t>
      </w:r>
    </w:p>
    <w:p w14:paraId="23B61FEE">
      <w:pPr>
        <w:tabs>
          <w:tab w:val="left" w:pos="0"/>
        </w:tabs>
        <w:spacing w:line="360" w:lineRule="auto"/>
        <w:ind w:firstLine="480"/>
        <w:jc w:val="right"/>
        <w:rPr>
          <w:rFonts w:hint="eastAsia" w:ascii="仿宋" w:hAnsi="仿宋" w:eastAsia="仿宋" w:cs="仿宋"/>
          <w:kern w:val="0"/>
          <w:sz w:val="24"/>
          <w:highlight w:val="none"/>
        </w:rPr>
      </w:pPr>
      <w:r>
        <w:rPr>
          <w:rFonts w:hint="eastAsia" w:ascii="仿宋" w:hAnsi="仿宋" w:eastAsia="仿宋" w:cs="仿宋"/>
          <w:kern w:val="0"/>
          <w:sz w:val="24"/>
          <w:highlight w:val="none"/>
        </w:rPr>
        <w:t>费率：‰</w:t>
      </w:r>
    </w:p>
    <w:tbl>
      <w:tblPr>
        <w:tblStyle w:val="45"/>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2"/>
        <w:gridCol w:w="575"/>
        <w:gridCol w:w="733"/>
        <w:gridCol w:w="700"/>
        <w:gridCol w:w="483"/>
        <w:gridCol w:w="700"/>
        <w:gridCol w:w="800"/>
        <w:gridCol w:w="717"/>
        <w:gridCol w:w="832"/>
        <w:gridCol w:w="801"/>
        <w:gridCol w:w="750"/>
        <w:gridCol w:w="1253"/>
      </w:tblGrid>
      <w:tr w14:paraId="5C2A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452" w:type="dxa"/>
            <w:vMerge w:val="restart"/>
            <w:noWrap w:val="0"/>
            <w:vAlign w:val="center"/>
          </w:tcPr>
          <w:p w14:paraId="59D9CB06">
            <w:pPr>
              <w:adjustRightInd/>
              <w:jc w:val="center"/>
              <w:rPr>
                <w:rFonts w:hint="eastAsia" w:ascii="仿宋" w:hAnsi="仿宋" w:eastAsia="仿宋" w:cs="仿宋"/>
                <w:b/>
                <w:szCs w:val="21"/>
                <w:highlight w:val="none"/>
              </w:rPr>
            </w:pPr>
            <w:r>
              <w:rPr>
                <w:rFonts w:hint="eastAsia" w:ascii="仿宋" w:hAnsi="仿宋" w:eastAsia="仿宋" w:cs="仿宋"/>
                <w:b/>
                <w:bCs/>
                <w:szCs w:val="21"/>
                <w:highlight w:val="none"/>
              </w:rPr>
              <w:t>序号</w:t>
            </w:r>
          </w:p>
        </w:tc>
        <w:tc>
          <w:tcPr>
            <w:tcW w:w="575" w:type="dxa"/>
            <w:vMerge w:val="restart"/>
            <w:noWrap w:val="0"/>
            <w:vAlign w:val="center"/>
          </w:tcPr>
          <w:p w14:paraId="01FD2500">
            <w:pPr>
              <w:adjustRightInd/>
              <w:jc w:val="center"/>
              <w:rPr>
                <w:rFonts w:hint="eastAsia" w:ascii="仿宋" w:hAnsi="仿宋" w:eastAsia="仿宋" w:cs="仿宋"/>
                <w:b/>
                <w:szCs w:val="21"/>
                <w:highlight w:val="none"/>
              </w:rPr>
            </w:pPr>
            <w:r>
              <w:rPr>
                <w:rFonts w:hint="eastAsia" w:ascii="仿宋" w:hAnsi="仿宋" w:eastAsia="仿宋" w:cs="仿宋"/>
                <w:b/>
                <w:bCs/>
                <w:szCs w:val="21"/>
                <w:highlight w:val="none"/>
              </w:rPr>
              <w:t>咨询项目</w:t>
            </w:r>
          </w:p>
        </w:tc>
        <w:tc>
          <w:tcPr>
            <w:tcW w:w="733" w:type="dxa"/>
            <w:vMerge w:val="restart"/>
            <w:noWrap w:val="0"/>
            <w:vAlign w:val="center"/>
          </w:tcPr>
          <w:p w14:paraId="268A9176">
            <w:pPr>
              <w:adjustRightInd/>
              <w:jc w:val="center"/>
              <w:rPr>
                <w:rFonts w:hint="eastAsia" w:ascii="仿宋" w:hAnsi="仿宋" w:eastAsia="仿宋" w:cs="仿宋"/>
                <w:b/>
                <w:szCs w:val="21"/>
                <w:highlight w:val="none"/>
              </w:rPr>
            </w:pPr>
            <w:r>
              <w:rPr>
                <w:rFonts w:hint="eastAsia" w:ascii="仿宋" w:hAnsi="仿宋" w:eastAsia="仿宋" w:cs="仿宋"/>
                <w:b/>
                <w:bCs/>
                <w:szCs w:val="21"/>
                <w:highlight w:val="none"/>
              </w:rPr>
              <w:t>收费基数</w:t>
            </w:r>
          </w:p>
        </w:tc>
        <w:tc>
          <w:tcPr>
            <w:tcW w:w="7036" w:type="dxa"/>
            <w:gridSpan w:val="9"/>
            <w:noWrap w:val="0"/>
            <w:vAlign w:val="center"/>
          </w:tcPr>
          <w:p w14:paraId="632E1367">
            <w:pPr>
              <w:adjustRightInd/>
              <w:ind w:firstLine="422" w:firstLineChars="200"/>
              <w:jc w:val="center"/>
              <w:rPr>
                <w:rFonts w:hint="eastAsia" w:ascii="仿宋" w:hAnsi="仿宋" w:eastAsia="仿宋" w:cs="仿宋"/>
                <w:b/>
                <w:bCs/>
                <w:szCs w:val="21"/>
                <w:highlight w:val="none"/>
              </w:rPr>
            </w:pPr>
            <w:r>
              <w:rPr>
                <w:rFonts w:hint="eastAsia" w:ascii="仿宋" w:hAnsi="仿宋" w:eastAsia="仿宋" w:cs="仿宋"/>
                <w:b/>
                <w:bCs/>
                <w:szCs w:val="21"/>
                <w:highlight w:val="none"/>
              </w:rPr>
              <w:t>分档累进计费标准</w:t>
            </w:r>
          </w:p>
        </w:tc>
      </w:tr>
      <w:tr w14:paraId="03A1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452" w:type="dxa"/>
            <w:vMerge w:val="continue"/>
            <w:noWrap w:val="0"/>
            <w:vAlign w:val="center"/>
          </w:tcPr>
          <w:p w14:paraId="0BE0109E">
            <w:pPr>
              <w:adjustRightInd/>
              <w:ind w:firstLine="422" w:firstLineChars="200"/>
              <w:jc w:val="center"/>
              <w:rPr>
                <w:rFonts w:hint="eastAsia" w:ascii="仿宋" w:hAnsi="仿宋" w:eastAsia="仿宋" w:cs="仿宋"/>
                <w:b/>
                <w:szCs w:val="21"/>
                <w:highlight w:val="none"/>
              </w:rPr>
            </w:pPr>
          </w:p>
        </w:tc>
        <w:tc>
          <w:tcPr>
            <w:tcW w:w="575" w:type="dxa"/>
            <w:vMerge w:val="continue"/>
            <w:noWrap w:val="0"/>
            <w:vAlign w:val="center"/>
          </w:tcPr>
          <w:p w14:paraId="75F1DF98">
            <w:pPr>
              <w:adjustRightInd/>
              <w:ind w:firstLine="422" w:firstLineChars="200"/>
              <w:jc w:val="center"/>
              <w:rPr>
                <w:rFonts w:hint="eastAsia" w:ascii="仿宋" w:hAnsi="仿宋" w:eastAsia="仿宋" w:cs="仿宋"/>
                <w:b/>
                <w:szCs w:val="21"/>
                <w:highlight w:val="none"/>
              </w:rPr>
            </w:pPr>
          </w:p>
        </w:tc>
        <w:tc>
          <w:tcPr>
            <w:tcW w:w="733" w:type="dxa"/>
            <w:vMerge w:val="continue"/>
            <w:noWrap w:val="0"/>
            <w:vAlign w:val="center"/>
          </w:tcPr>
          <w:p w14:paraId="5353BD89">
            <w:pPr>
              <w:adjustRightInd/>
              <w:ind w:firstLine="422" w:firstLineChars="200"/>
              <w:jc w:val="center"/>
              <w:rPr>
                <w:rFonts w:hint="eastAsia" w:ascii="仿宋" w:hAnsi="仿宋" w:eastAsia="仿宋" w:cs="仿宋"/>
                <w:b/>
                <w:szCs w:val="21"/>
                <w:highlight w:val="none"/>
              </w:rPr>
            </w:pPr>
          </w:p>
        </w:tc>
        <w:tc>
          <w:tcPr>
            <w:tcW w:w="700" w:type="dxa"/>
            <w:noWrap w:val="0"/>
            <w:vAlign w:val="center"/>
          </w:tcPr>
          <w:p w14:paraId="7A4B144A">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100</w:t>
            </w:r>
          </w:p>
          <w:p w14:paraId="7E85A246">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万元 以内</w:t>
            </w:r>
          </w:p>
        </w:tc>
        <w:tc>
          <w:tcPr>
            <w:tcW w:w="483" w:type="dxa"/>
            <w:noWrap w:val="0"/>
            <w:vAlign w:val="center"/>
          </w:tcPr>
          <w:p w14:paraId="5A5DB7DC">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101-500万元</w:t>
            </w:r>
          </w:p>
        </w:tc>
        <w:tc>
          <w:tcPr>
            <w:tcW w:w="700" w:type="dxa"/>
            <w:noWrap w:val="0"/>
            <w:vAlign w:val="center"/>
          </w:tcPr>
          <w:p w14:paraId="24BD9506">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501—1000</w:t>
            </w:r>
          </w:p>
          <w:p w14:paraId="1F8D9D45">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万元</w:t>
            </w:r>
          </w:p>
        </w:tc>
        <w:tc>
          <w:tcPr>
            <w:tcW w:w="800" w:type="dxa"/>
            <w:noWrap w:val="0"/>
            <w:vAlign w:val="center"/>
          </w:tcPr>
          <w:p w14:paraId="2B6E60E5">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1001—2000</w:t>
            </w:r>
          </w:p>
          <w:p w14:paraId="5D3E61F4">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万元</w:t>
            </w:r>
          </w:p>
        </w:tc>
        <w:tc>
          <w:tcPr>
            <w:tcW w:w="717" w:type="dxa"/>
            <w:noWrap w:val="0"/>
            <w:vAlign w:val="center"/>
          </w:tcPr>
          <w:p w14:paraId="2EAA28A3">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2001—5000</w:t>
            </w:r>
          </w:p>
          <w:p w14:paraId="57986F75">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万元</w:t>
            </w:r>
          </w:p>
        </w:tc>
        <w:tc>
          <w:tcPr>
            <w:tcW w:w="832" w:type="dxa"/>
            <w:noWrap w:val="0"/>
            <w:vAlign w:val="center"/>
          </w:tcPr>
          <w:p w14:paraId="7D02BCAB">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5001- 10000</w:t>
            </w:r>
          </w:p>
          <w:p w14:paraId="3A13A42D">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万元</w:t>
            </w:r>
          </w:p>
        </w:tc>
        <w:tc>
          <w:tcPr>
            <w:tcW w:w="801" w:type="dxa"/>
            <w:noWrap w:val="0"/>
            <w:vAlign w:val="center"/>
          </w:tcPr>
          <w:p w14:paraId="12FB46B1">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10001-</w:t>
            </w:r>
          </w:p>
          <w:p w14:paraId="3BB01C85">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50000</w:t>
            </w:r>
          </w:p>
          <w:p w14:paraId="30938BEB">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万元</w:t>
            </w:r>
          </w:p>
        </w:tc>
        <w:tc>
          <w:tcPr>
            <w:tcW w:w="750" w:type="dxa"/>
            <w:noWrap w:val="0"/>
            <w:vAlign w:val="center"/>
          </w:tcPr>
          <w:p w14:paraId="35E48433">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50001-100000</w:t>
            </w:r>
          </w:p>
          <w:p w14:paraId="27B104FF">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万元</w:t>
            </w:r>
          </w:p>
        </w:tc>
        <w:tc>
          <w:tcPr>
            <w:tcW w:w="1253" w:type="dxa"/>
            <w:noWrap w:val="0"/>
            <w:vAlign w:val="center"/>
          </w:tcPr>
          <w:p w14:paraId="41CC6D8A">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100000</w:t>
            </w:r>
          </w:p>
          <w:p w14:paraId="74385EE2">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万元以上</w:t>
            </w:r>
          </w:p>
        </w:tc>
      </w:tr>
      <w:tr w14:paraId="62B2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9" w:hRule="atLeast"/>
          <w:jc w:val="center"/>
        </w:trPr>
        <w:tc>
          <w:tcPr>
            <w:tcW w:w="452" w:type="dxa"/>
            <w:noWrap w:val="0"/>
            <w:vAlign w:val="center"/>
          </w:tcPr>
          <w:p w14:paraId="2A1F7883">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1</w:t>
            </w:r>
          </w:p>
        </w:tc>
        <w:tc>
          <w:tcPr>
            <w:tcW w:w="575" w:type="dxa"/>
            <w:noWrap w:val="0"/>
            <w:vAlign w:val="center"/>
          </w:tcPr>
          <w:p w14:paraId="0B54475C">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工程财务决算审核</w:t>
            </w:r>
          </w:p>
        </w:tc>
        <w:tc>
          <w:tcPr>
            <w:tcW w:w="733" w:type="dxa"/>
            <w:noWrap w:val="0"/>
            <w:vAlign w:val="center"/>
          </w:tcPr>
          <w:p w14:paraId="6B864498">
            <w:pPr>
              <w:adjustRightInd/>
              <w:jc w:val="center"/>
              <w:rPr>
                <w:rFonts w:hint="eastAsia" w:ascii="仿宋" w:hAnsi="仿宋" w:eastAsia="仿宋" w:cs="仿宋"/>
                <w:b/>
                <w:szCs w:val="21"/>
                <w:highlight w:val="none"/>
                <w:lang w:eastAsia="zh-CN"/>
              </w:rPr>
            </w:pPr>
            <w:r>
              <w:rPr>
                <w:rFonts w:hint="eastAsia" w:ascii="仿宋" w:hAnsi="仿宋" w:eastAsia="仿宋" w:cs="仿宋"/>
                <w:b/>
                <w:szCs w:val="21"/>
                <w:highlight w:val="none"/>
                <w:lang w:eastAsia="zh-CN"/>
              </w:rPr>
              <w:t>建设项目总费用</w:t>
            </w:r>
          </w:p>
        </w:tc>
        <w:tc>
          <w:tcPr>
            <w:tcW w:w="700" w:type="dxa"/>
            <w:noWrap w:val="0"/>
            <w:vAlign w:val="center"/>
          </w:tcPr>
          <w:p w14:paraId="23751FD1">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 xml:space="preserve"> 2.0</w:t>
            </w:r>
          </w:p>
        </w:tc>
        <w:tc>
          <w:tcPr>
            <w:tcW w:w="483" w:type="dxa"/>
            <w:noWrap w:val="0"/>
            <w:vAlign w:val="center"/>
          </w:tcPr>
          <w:p w14:paraId="57BF4726">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1.6</w:t>
            </w:r>
          </w:p>
        </w:tc>
        <w:tc>
          <w:tcPr>
            <w:tcW w:w="700" w:type="dxa"/>
            <w:noWrap w:val="0"/>
            <w:vAlign w:val="center"/>
          </w:tcPr>
          <w:p w14:paraId="6A134A97">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1.2</w:t>
            </w:r>
          </w:p>
        </w:tc>
        <w:tc>
          <w:tcPr>
            <w:tcW w:w="800" w:type="dxa"/>
            <w:noWrap w:val="0"/>
            <w:vAlign w:val="center"/>
          </w:tcPr>
          <w:p w14:paraId="0C1A1DC2">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0.8</w:t>
            </w:r>
          </w:p>
        </w:tc>
        <w:tc>
          <w:tcPr>
            <w:tcW w:w="717" w:type="dxa"/>
            <w:noWrap w:val="0"/>
            <w:vAlign w:val="center"/>
          </w:tcPr>
          <w:p w14:paraId="33D6FE53">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0.5</w:t>
            </w:r>
          </w:p>
        </w:tc>
        <w:tc>
          <w:tcPr>
            <w:tcW w:w="832" w:type="dxa"/>
            <w:noWrap w:val="0"/>
            <w:vAlign w:val="center"/>
          </w:tcPr>
          <w:p w14:paraId="57FF41FC">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0.3</w:t>
            </w:r>
          </w:p>
        </w:tc>
        <w:tc>
          <w:tcPr>
            <w:tcW w:w="801" w:type="dxa"/>
            <w:noWrap w:val="0"/>
            <w:vAlign w:val="center"/>
          </w:tcPr>
          <w:p w14:paraId="50DFA4FD">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0.1</w:t>
            </w:r>
          </w:p>
        </w:tc>
        <w:tc>
          <w:tcPr>
            <w:tcW w:w="750" w:type="dxa"/>
            <w:noWrap w:val="0"/>
            <w:vAlign w:val="center"/>
          </w:tcPr>
          <w:p w14:paraId="185FDCD2">
            <w:pPr>
              <w:adjustRightInd/>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0.07</w:t>
            </w:r>
          </w:p>
        </w:tc>
        <w:tc>
          <w:tcPr>
            <w:tcW w:w="1253" w:type="dxa"/>
            <w:noWrap w:val="0"/>
            <w:vAlign w:val="center"/>
          </w:tcPr>
          <w:p w14:paraId="39B8038A">
            <w:pPr>
              <w:adjustRightInd/>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0.05</w:t>
            </w:r>
          </w:p>
        </w:tc>
      </w:tr>
      <w:tr w14:paraId="7917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452" w:type="dxa"/>
            <w:noWrap w:val="0"/>
            <w:vAlign w:val="center"/>
          </w:tcPr>
          <w:p w14:paraId="7C108644">
            <w:pPr>
              <w:adjustRightInd/>
              <w:jc w:val="center"/>
              <w:rPr>
                <w:rFonts w:hint="eastAsia" w:ascii="仿宋" w:hAnsi="仿宋" w:eastAsia="仿宋" w:cs="仿宋"/>
                <w:b/>
                <w:szCs w:val="21"/>
                <w:highlight w:val="none"/>
              </w:rPr>
            </w:pPr>
            <w:r>
              <w:rPr>
                <w:rFonts w:hint="eastAsia" w:ascii="仿宋" w:hAnsi="仿宋" w:eastAsia="仿宋" w:cs="仿宋"/>
                <w:b/>
                <w:szCs w:val="21"/>
                <w:highlight w:val="none"/>
              </w:rPr>
              <w:t>最高限价</w:t>
            </w:r>
          </w:p>
        </w:tc>
        <w:tc>
          <w:tcPr>
            <w:tcW w:w="8344" w:type="dxa"/>
            <w:gridSpan w:val="11"/>
            <w:noWrap w:val="0"/>
            <w:vAlign w:val="center"/>
          </w:tcPr>
          <w:p w14:paraId="658A69FC">
            <w:pPr>
              <w:adjustRightInd/>
              <w:ind w:firstLine="422" w:firstLineChars="200"/>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rPr>
              <w:t>▲</w:t>
            </w:r>
            <w:r>
              <w:rPr>
                <w:rFonts w:hint="eastAsia" w:ascii="仿宋" w:hAnsi="仿宋" w:eastAsia="仿宋" w:cs="仿宋"/>
                <w:b/>
                <w:bCs/>
                <w:szCs w:val="21"/>
                <w:highlight w:val="none"/>
                <w:lang w:val="en-US" w:eastAsia="zh-CN"/>
              </w:rPr>
              <w:t>最高限价为</w:t>
            </w:r>
            <w:r>
              <w:rPr>
                <w:rFonts w:hint="eastAsia" w:ascii="仿宋" w:hAnsi="仿宋" w:eastAsia="仿宋" w:cs="仿宋"/>
                <w:b/>
                <w:bCs/>
                <w:szCs w:val="21"/>
                <w:highlight w:val="none"/>
              </w:rPr>
              <w:t>上述标准收费的</w:t>
            </w:r>
            <w:r>
              <w:rPr>
                <w:rFonts w:hint="eastAsia" w:ascii="仿宋" w:hAnsi="仿宋" w:eastAsia="仿宋" w:cs="仿宋"/>
                <w:b/>
                <w:szCs w:val="21"/>
                <w:highlight w:val="none"/>
                <w:lang w:val="en-US" w:eastAsia="zh-CN"/>
              </w:rPr>
              <w:t>90</w:t>
            </w:r>
            <w:r>
              <w:rPr>
                <w:rFonts w:hint="eastAsia" w:ascii="仿宋" w:hAnsi="仿宋" w:eastAsia="仿宋" w:cs="仿宋"/>
                <w:b/>
                <w:szCs w:val="21"/>
                <w:highlight w:val="none"/>
              </w:rPr>
              <w:t>%</w:t>
            </w:r>
            <w:r>
              <w:rPr>
                <w:rFonts w:hint="eastAsia" w:ascii="仿宋" w:hAnsi="仿宋" w:eastAsia="仿宋" w:cs="仿宋"/>
                <w:b/>
                <w:szCs w:val="21"/>
                <w:highlight w:val="none"/>
                <w:lang w:eastAsia="zh-CN"/>
              </w:rPr>
              <w:t>。</w:t>
            </w:r>
            <w:r>
              <w:rPr>
                <w:rFonts w:hint="eastAsia" w:ascii="仿宋" w:hAnsi="仿宋" w:eastAsia="仿宋" w:cs="仿宋"/>
                <w:b/>
                <w:szCs w:val="21"/>
                <w:highlight w:val="none"/>
                <w:lang w:val="en-US" w:eastAsia="zh-CN"/>
              </w:rPr>
              <w:t>报价费率大于（不含）90%的，投标无效</w:t>
            </w:r>
          </w:p>
        </w:tc>
      </w:tr>
    </w:tbl>
    <w:p w14:paraId="177427E2">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备注：</w:t>
      </w:r>
    </w:p>
    <w:p w14:paraId="2655B8B9">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投标</w:t>
      </w:r>
      <w:r>
        <w:rPr>
          <w:rFonts w:hint="eastAsia" w:ascii="仿宋" w:hAnsi="仿宋" w:eastAsia="仿宋" w:cs="仿宋"/>
          <w:kern w:val="0"/>
          <w:sz w:val="24"/>
          <w:highlight w:val="none"/>
        </w:rPr>
        <w:t>报价应是</w:t>
      </w:r>
      <w:r>
        <w:rPr>
          <w:rFonts w:hint="eastAsia" w:ascii="仿宋" w:hAnsi="仿宋" w:eastAsia="仿宋" w:cs="仿宋"/>
          <w:kern w:val="0"/>
          <w:sz w:val="24"/>
          <w:highlight w:val="none"/>
          <w:lang w:val="en-US" w:eastAsia="zh-CN"/>
        </w:rPr>
        <w:t>采购</w:t>
      </w:r>
      <w:r>
        <w:rPr>
          <w:rFonts w:hint="eastAsia" w:ascii="仿宋" w:hAnsi="仿宋" w:eastAsia="仿宋" w:cs="仿宋"/>
          <w:kern w:val="0"/>
          <w:sz w:val="24"/>
          <w:highlight w:val="none"/>
          <w:lang w:eastAsia="zh-CN"/>
        </w:rPr>
        <w:t>文件</w:t>
      </w:r>
      <w:r>
        <w:rPr>
          <w:rFonts w:hint="eastAsia" w:ascii="仿宋" w:hAnsi="仿宋" w:eastAsia="仿宋" w:cs="仿宋"/>
          <w:kern w:val="0"/>
          <w:sz w:val="24"/>
          <w:highlight w:val="none"/>
        </w:rPr>
        <w:t>所确定的招标范围内全部工作内容的价格表现。</w:t>
      </w:r>
    </w:p>
    <w:p w14:paraId="4D42F688">
      <w:pPr>
        <w:pStyle w:val="2"/>
        <w:spacing w:line="360" w:lineRule="auto"/>
        <w:rPr>
          <w:rFonts w:hint="eastAsia" w:ascii="仿宋" w:hAnsi="仿宋" w:eastAsia="仿宋" w:cs="仿宋"/>
          <w:color w:val="auto"/>
          <w:highlight w:val="none"/>
          <w:lang w:eastAsia="zh-CN"/>
        </w:rPr>
      </w:pPr>
      <w:r>
        <w:rPr>
          <w:rFonts w:hint="eastAsia" w:ascii="仿宋" w:hAnsi="仿宋" w:eastAsia="仿宋" w:cs="仿宋"/>
          <w:kern w:val="0"/>
          <w:sz w:val="24"/>
          <w:szCs w:val="24"/>
          <w:highlight w:val="none"/>
          <w:lang w:val="en-US" w:eastAsia="zh-CN" w:bidi="ar-SA"/>
        </w:rPr>
        <w:t>（2）</w:t>
      </w:r>
      <w:r>
        <w:rPr>
          <w:rFonts w:hint="eastAsia" w:ascii="仿宋" w:hAnsi="仿宋" w:eastAsia="仿宋" w:cs="仿宋"/>
          <w:color w:val="auto"/>
          <w:highlight w:val="none"/>
          <w:lang w:val="en-US" w:eastAsia="zh-CN"/>
        </w:rPr>
        <w:t>报价时，小数点后只保留一位（即“xy.c%”的方式）；</w:t>
      </w:r>
      <w:r>
        <w:rPr>
          <w:rFonts w:hint="eastAsia" w:ascii="仿宋" w:hAnsi="仿宋" w:eastAsia="仿宋" w:cs="仿宋"/>
          <w:b/>
          <w:bCs/>
          <w:color w:val="auto"/>
          <w:highlight w:val="none"/>
          <w:lang w:val="en-US" w:eastAsia="zh-CN"/>
        </w:rPr>
        <w:t>采购人不接受免费服务，如报价出现“0”视作无效标处理</w:t>
      </w:r>
      <w:r>
        <w:rPr>
          <w:rFonts w:hint="eastAsia" w:ascii="仿宋" w:hAnsi="仿宋" w:eastAsia="仿宋" w:cs="仿宋"/>
          <w:color w:val="auto"/>
          <w:highlight w:val="none"/>
          <w:lang w:val="en-US" w:eastAsia="zh-CN"/>
        </w:rPr>
        <w:t>。如中标，合同支付金额=</w:t>
      </w:r>
      <w:r>
        <w:rPr>
          <w:rFonts w:hint="eastAsia" w:ascii="仿宋" w:hAnsi="仿宋" w:eastAsia="仿宋" w:cs="仿宋"/>
          <w:color w:val="auto"/>
          <w:highlight w:val="none"/>
        </w:rPr>
        <w:t>标准收费×</w:t>
      </w:r>
      <w:r>
        <w:rPr>
          <w:rFonts w:hint="eastAsia" w:ascii="仿宋" w:hAnsi="仿宋" w:eastAsia="仿宋" w:cs="仿宋"/>
          <w:color w:val="auto"/>
          <w:highlight w:val="none"/>
          <w:lang w:val="en-US" w:eastAsia="zh-CN"/>
        </w:rPr>
        <w:t>中标的报价</w:t>
      </w:r>
      <w:r>
        <w:rPr>
          <w:rFonts w:hint="eastAsia" w:ascii="仿宋" w:hAnsi="仿宋" w:eastAsia="仿宋" w:cs="仿宋"/>
          <w:color w:val="auto"/>
          <w:highlight w:val="none"/>
        </w:rPr>
        <w:t>费率</w:t>
      </w:r>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lang w:val="en-US" w:eastAsia="zh-CN"/>
        </w:rPr>
        <w:t>xy.c%</w:t>
      </w:r>
      <w:r>
        <w:rPr>
          <w:rFonts w:hint="eastAsia" w:ascii="仿宋" w:hAnsi="仿宋" w:eastAsia="仿宋" w:cs="仿宋"/>
          <w:b w:val="0"/>
          <w:bCs w:val="0"/>
          <w:color w:val="auto"/>
          <w:highlight w:val="none"/>
        </w:rPr>
        <w:t>）</w:t>
      </w:r>
      <w:r>
        <w:rPr>
          <w:rFonts w:hint="eastAsia" w:ascii="仿宋" w:hAnsi="仿宋" w:eastAsia="仿宋" w:cs="仿宋"/>
          <w:color w:val="auto"/>
          <w:highlight w:val="none"/>
          <w:lang w:eastAsia="zh-CN"/>
        </w:rPr>
        <w:t>。</w:t>
      </w:r>
    </w:p>
    <w:p w14:paraId="7119981D">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工程竣工财务决算以单个项目（以立项文件为准）为单位，对单个项目最终计算收费小于2000元的，按2000元计算。</w:t>
      </w:r>
      <w:bookmarkEnd w:id="99"/>
      <w:bookmarkEnd w:id="100"/>
    </w:p>
    <w:p w14:paraId="50178637">
      <w:pPr>
        <w:tabs>
          <w:tab w:val="left" w:pos="0"/>
        </w:tabs>
        <w:snapToGrid w:val="0"/>
        <w:spacing w:line="360" w:lineRule="auto"/>
        <w:ind w:firstLine="480"/>
        <w:rPr>
          <w:rFonts w:hint="eastAsia" w:ascii="仿宋" w:hAnsi="仿宋" w:eastAsia="仿宋" w:cs="仿宋"/>
          <w:highlight w:val="none"/>
          <w:lang w:val="en-US" w:eastAsia="zh-CN"/>
        </w:rPr>
      </w:pPr>
      <w:r>
        <w:rPr>
          <w:rFonts w:hint="eastAsia" w:ascii="仿宋" w:hAnsi="仿宋" w:eastAsia="仿宋" w:cs="仿宋"/>
          <w:kern w:val="0"/>
          <w:sz w:val="24"/>
          <w:highlight w:val="none"/>
          <w:lang w:val="en-US" w:eastAsia="zh-CN"/>
        </w:rPr>
        <w:t>4.</w:t>
      </w:r>
      <w:r>
        <w:rPr>
          <w:rFonts w:hint="eastAsia" w:ascii="仿宋" w:hAnsi="仿宋" w:eastAsia="仿宋" w:cs="仿宋"/>
          <w:color w:val="auto"/>
          <w:sz w:val="24"/>
          <w:szCs w:val="24"/>
          <w:highlight w:val="none"/>
          <w:shd w:val="clear" w:color="auto" w:fill="auto"/>
          <w:lang w:val="en-US" w:eastAsia="zh-CN"/>
        </w:rPr>
        <w:t>投标人报价费率低于《</w:t>
      </w:r>
      <w:r>
        <w:rPr>
          <w:rFonts w:hint="eastAsia" w:ascii="仿宋" w:hAnsi="仿宋" w:eastAsia="仿宋" w:cs="仿宋"/>
          <w:kern w:val="0"/>
          <w:sz w:val="24"/>
          <w:highlight w:val="none"/>
        </w:rPr>
        <w:t>竣工财务决算审核咨询服务费计费标准</w:t>
      </w:r>
      <w:r>
        <w:rPr>
          <w:rFonts w:hint="eastAsia" w:ascii="仿宋" w:hAnsi="仿宋" w:eastAsia="仿宋" w:cs="仿宋"/>
          <w:kern w:val="0"/>
          <w:sz w:val="24"/>
          <w:highlight w:val="none"/>
          <w:lang w:eastAsia="zh-CN"/>
        </w:rPr>
        <w:t>》</w:t>
      </w:r>
      <w:r>
        <w:rPr>
          <w:rFonts w:hint="eastAsia" w:ascii="仿宋" w:hAnsi="仿宋" w:eastAsia="仿宋" w:cs="仿宋"/>
          <w:color w:val="auto"/>
          <w:sz w:val="24"/>
          <w:szCs w:val="24"/>
          <w:highlight w:val="none"/>
          <w:shd w:val="clear" w:color="auto" w:fill="auto"/>
          <w:lang w:val="en-US" w:eastAsia="zh-CN"/>
        </w:rPr>
        <w:t>50%（不含）的，应当在报价文件中详细阐述不影响服务质量或者诚信履约的具体原因，并提供相关证明材料。</w:t>
      </w:r>
    </w:p>
    <w:p w14:paraId="63871D39">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（三）履约保证金</w:t>
      </w:r>
    </w:p>
    <w:p w14:paraId="2A616C99">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本项目不收取履约保证金</w:t>
      </w:r>
      <w:r>
        <w:rPr>
          <w:rFonts w:hint="eastAsia" w:ascii="仿宋" w:hAnsi="仿宋" w:eastAsia="仿宋" w:cs="仿宋"/>
          <w:sz w:val="24"/>
          <w:highlight w:val="none"/>
          <w:lang w:val="en-US" w:eastAsia="zh-CN"/>
        </w:rPr>
        <w:t>。如有违约情形的，从应付合同费用中扣除，或者由中标人另行交纳违约金。</w:t>
      </w:r>
    </w:p>
    <w:p w14:paraId="7A71694A">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（四）预付款</w:t>
      </w:r>
    </w:p>
    <w:p w14:paraId="7966EB32">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b w:val="0"/>
          <w:bCs/>
          <w:color w:val="auto"/>
          <w:sz w:val="24"/>
          <w:highlight w:val="none"/>
          <w:lang w:val="en-US" w:eastAsia="zh-CN"/>
        </w:rPr>
        <w:t>本项目属于以人工投入为主且实行按月定期结算支付款项的项目，不约定预付款。</w:t>
      </w:r>
    </w:p>
    <w:p w14:paraId="24627722">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（五）费用支付</w:t>
      </w:r>
    </w:p>
    <w:p w14:paraId="2F7ED0F0">
      <w:pPr>
        <w:spacing w:line="360" w:lineRule="auto"/>
        <w:ind w:firstLine="487" w:firstLineChars="203"/>
        <w:rPr>
          <w:rFonts w:hint="eastAsia" w:ascii="仿宋" w:hAnsi="仿宋" w:eastAsia="仿宋" w:cs="仿宋"/>
          <w:bCs/>
          <w:color w:val="FF0000"/>
          <w:kern w:val="0"/>
          <w:sz w:val="24"/>
          <w:highlight w:val="none"/>
        </w:rPr>
      </w:pPr>
      <w:r>
        <w:rPr>
          <w:rFonts w:hint="eastAsia" w:ascii="仿宋" w:hAnsi="仿宋" w:eastAsia="仿宋" w:cs="仿宋"/>
          <w:bCs/>
          <w:color w:val="FF0000"/>
          <w:kern w:val="0"/>
          <w:sz w:val="24"/>
          <w:highlight w:val="none"/>
          <w:lang w:val="en-US" w:eastAsia="zh-CN"/>
        </w:rPr>
        <w:t>1.本项目签订固定费率合同，</w:t>
      </w:r>
      <w:r>
        <w:rPr>
          <w:rFonts w:hint="eastAsia" w:ascii="仿宋" w:hAnsi="仿宋" w:eastAsia="仿宋" w:cs="仿宋"/>
          <w:bCs/>
          <w:color w:val="FF0000"/>
          <w:kern w:val="0"/>
          <w:sz w:val="24"/>
          <w:highlight w:val="none"/>
        </w:rPr>
        <w:t>最终支付金额</w:t>
      </w:r>
      <w:r>
        <w:rPr>
          <w:rFonts w:hint="eastAsia" w:ascii="仿宋" w:hAnsi="仿宋" w:eastAsia="仿宋" w:cs="仿宋"/>
          <w:bCs/>
          <w:color w:val="FF0000"/>
          <w:kern w:val="0"/>
          <w:sz w:val="24"/>
          <w:highlight w:val="none"/>
          <w:lang w:val="en-US" w:eastAsia="zh-CN"/>
        </w:rPr>
        <w:t>按</w:t>
      </w:r>
      <w:r>
        <w:rPr>
          <w:rFonts w:hint="eastAsia" w:ascii="仿宋" w:hAnsi="仿宋" w:eastAsia="仿宋" w:cs="仿宋"/>
          <w:bCs/>
          <w:color w:val="FF0000"/>
          <w:kern w:val="0"/>
          <w:sz w:val="24"/>
          <w:highlight w:val="none"/>
        </w:rPr>
        <w:t>单个</w:t>
      </w:r>
      <w:r>
        <w:rPr>
          <w:rFonts w:hint="eastAsia" w:ascii="仿宋" w:hAnsi="仿宋" w:eastAsia="仿宋" w:cs="仿宋"/>
          <w:bCs/>
          <w:color w:val="FF0000"/>
          <w:kern w:val="0"/>
          <w:sz w:val="24"/>
          <w:highlight w:val="none"/>
          <w:lang w:val="en-US" w:eastAsia="zh-CN"/>
        </w:rPr>
        <w:t>委托</w:t>
      </w:r>
      <w:r>
        <w:rPr>
          <w:rFonts w:hint="eastAsia" w:ascii="仿宋" w:hAnsi="仿宋" w:eastAsia="仿宋" w:cs="仿宋"/>
          <w:bCs/>
          <w:color w:val="FF0000"/>
          <w:kern w:val="0"/>
          <w:sz w:val="24"/>
          <w:highlight w:val="none"/>
        </w:rPr>
        <w:t>项目根据《竣工财务决算审核咨询服务费计费标准》</w:t>
      </w:r>
      <w:r>
        <w:rPr>
          <w:rFonts w:hint="eastAsia" w:ascii="仿宋" w:hAnsi="仿宋" w:eastAsia="仿宋" w:cs="仿宋"/>
          <w:bCs/>
          <w:color w:val="FF0000"/>
          <w:kern w:val="0"/>
          <w:sz w:val="24"/>
          <w:highlight w:val="none"/>
          <w:lang w:val="en-US" w:eastAsia="zh-CN"/>
        </w:rPr>
        <w:t>标准</w:t>
      </w:r>
      <w:r>
        <w:rPr>
          <w:rFonts w:hint="eastAsia" w:ascii="仿宋" w:hAnsi="仿宋" w:eastAsia="仿宋" w:cs="仿宋"/>
          <w:bCs/>
          <w:color w:val="FF0000"/>
          <w:kern w:val="0"/>
          <w:sz w:val="24"/>
          <w:highlight w:val="none"/>
        </w:rPr>
        <w:t>计算费用乘以中标费率按实结算</w:t>
      </w:r>
      <w:r>
        <w:rPr>
          <w:rFonts w:hint="eastAsia" w:ascii="仿宋" w:hAnsi="仿宋" w:eastAsia="仿宋" w:cs="仿宋"/>
          <w:bCs/>
          <w:color w:val="FF0000"/>
          <w:kern w:val="0"/>
          <w:sz w:val="24"/>
          <w:highlight w:val="none"/>
          <w:lang w:eastAsia="zh-CN"/>
        </w:rPr>
        <w:t>，</w:t>
      </w:r>
      <w:r>
        <w:rPr>
          <w:rFonts w:hint="eastAsia" w:ascii="仿宋" w:hAnsi="仿宋" w:eastAsia="仿宋" w:cs="仿宋"/>
          <w:bCs/>
          <w:color w:val="FF0000"/>
          <w:kern w:val="0"/>
          <w:sz w:val="24"/>
          <w:highlight w:val="none"/>
        </w:rPr>
        <w:t>但各标项中标单位的项目审核费用累计结算总金额不得超过各标项预算。</w:t>
      </w:r>
    </w:p>
    <w:p w14:paraId="5D036E20">
      <w:pPr>
        <w:spacing w:line="360" w:lineRule="auto"/>
        <w:ind w:firstLine="487" w:firstLineChars="203"/>
        <w:rPr>
          <w:rFonts w:hint="eastAsia" w:ascii="仿宋" w:hAnsi="仿宋" w:eastAsia="仿宋" w:cs="仿宋"/>
          <w:bCs/>
          <w:color w:val="FF0000"/>
          <w:kern w:val="0"/>
          <w:sz w:val="24"/>
          <w:highlight w:val="none"/>
          <w:lang w:val="en-US" w:eastAsia="zh-CN"/>
        </w:rPr>
      </w:pPr>
      <w:r>
        <w:rPr>
          <w:rFonts w:hint="eastAsia" w:ascii="仿宋" w:hAnsi="仿宋" w:eastAsia="仿宋" w:cs="仿宋"/>
          <w:bCs/>
          <w:color w:val="FF0000"/>
          <w:kern w:val="0"/>
          <w:sz w:val="24"/>
          <w:highlight w:val="none"/>
          <w:lang w:val="en-US" w:eastAsia="zh-CN"/>
        </w:rPr>
        <w:t>2.</w:t>
      </w:r>
      <w:r>
        <w:rPr>
          <w:rFonts w:hint="eastAsia" w:ascii="仿宋" w:hAnsi="仿宋" w:eastAsia="仿宋" w:cs="仿宋"/>
          <w:bCs/>
          <w:kern w:val="0"/>
          <w:sz w:val="24"/>
          <w:highlight w:val="none"/>
        </w:rPr>
        <w:t>审核费用支付</w:t>
      </w:r>
      <w:r>
        <w:rPr>
          <w:rFonts w:hint="eastAsia" w:ascii="仿宋" w:hAnsi="仿宋" w:eastAsia="仿宋" w:cs="仿宋"/>
          <w:bCs/>
          <w:kern w:val="0"/>
          <w:sz w:val="24"/>
          <w:highlight w:val="none"/>
          <w:lang w:eastAsia="zh-CN"/>
        </w:rPr>
        <w:t>：</w:t>
      </w:r>
      <w:r>
        <w:rPr>
          <w:rFonts w:hint="eastAsia" w:ascii="仿宋" w:hAnsi="仿宋" w:eastAsia="仿宋" w:cs="仿宋"/>
          <w:bCs/>
          <w:kern w:val="0"/>
          <w:sz w:val="24"/>
          <w:highlight w:val="none"/>
        </w:rPr>
        <w:t>按月</w:t>
      </w:r>
      <w:r>
        <w:rPr>
          <w:rFonts w:hint="eastAsia" w:ascii="仿宋" w:hAnsi="仿宋" w:eastAsia="仿宋" w:cs="仿宋"/>
          <w:bCs/>
          <w:kern w:val="0"/>
          <w:sz w:val="24"/>
          <w:highlight w:val="none"/>
          <w:lang w:val="en-US" w:eastAsia="zh-CN"/>
        </w:rPr>
        <w:t>汇总应结算费用，并按月定期</w:t>
      </w:r>
      <w:r>
        <w:rPr>
          <w:rFonts w:hint="eastAsia" w:ascii="仿宋" w:hAnsi="仿宋" w:eastAsia="仿宋" w:cs="仿宋"/>
          <w:bCs/>
          <w:kern w:val="0"/>
          <w:sz w:val="24"/>
          <w:highlight w:val="none"/>
        </w:rPr>
        <w:t>结算</w:t>
      </w:r>
      <w:r>
        <w:rPr>
          <w:rFonts w:hint="eastAsia" w:ascii="仿宋" w:hAnsi="仿宋" w:eastAsia="仿宋" w:cs="仿宋"/>
          <w:bCs/>
          <w:kern w:val="0"/>
          <w:sz w:val="24"/>
          <w:highlight w:val="none"/>
          <w:lang w:eastAsia="zh-CN"/>
        </w:rPr>
        <w:t>。</w:t>
      </w:r>
      <w:r>
        <w:rPr>
          <w:rFonts w:hint="eastAsia" w:ascii="仿宋" w:hAnsi="仿宋" w:eastAsia="仿宋" w:cs="仿宋"/>
          <w:bCs/>
          <w:kern w:val="0"/>
          <w:sz w:val="24"/>
          <w:highlight w:val="none"/>
          <w:lang w:val="en-US" w:eastAsia="zh-CN"/>
        </w:rPr>
        <w:t>如有违约则扣除相应的费用后支付剩余审核服务费。（</w:t>
      </w:r>
      <w:r>
        <w:rPr>
          <w:rFonts w:hint="eastAsia" w:ascii="仿宋" w:hAnsi="仿宋" w:eastAsia="仿宋" w:cs="仿宋"/>
          <w:bCs/>
          <w:color w:val="FF0000"/>
          <w:kern w:val="0"/>
          <w:sz w:val="24"/>
          <w:highlight w:val="none"/>
        </w:rPr>
        <w:t>跨年度支付的，具体按照财政资金到位情况支付，</w:t>
      </w:r>
      <w:r>
        <w:rPr>
          <w:rFonts w:hint="eastAsia" w:ascii="仿宋" w:hAnsi="仿宋" w:eastAsia="仿宋" w:cs="仿宋"/>
          <w:bCs/>
          <w:color w:val="FF0000"/>
          <w:kern w:val="0"/>
          <w:sz w:val="24"/>
          <w:highlight w:val="none"/>
          <w:lang w:val="en-US" w:eastAsia="zh-CN"/>
        </w:rPr>
        <w:t>中标人</w:t>
      </w:r>
      <w:r>
        <w:rPr>
          <w:rFonts w:hint="eastAsia" w:ascii="仿宋" w:hAnsi="仿宋" w:eastAsia="仿宋" w:cs="仿宋"/>
          <w:bCs/>
          <w:color w:val="FF0000"/>
          <w:kern w:val="0"/>
          <w:sz w:val="24"/>
          <w:highlight w:val="none"/>
        </w:rPr>
        <w:t>不得以此为由怠于履行本合同义务</w:t>
      </w:r>
      <w:r>
        <w:rPr>
          <w:rFonts w:hint="eastAsia" w:ascii="仿宋" w:hAnsi="仿宋" w:eastAsia="仿宋" w:cs="仿宋"/>
          <w:bCs/>
          <w:kern w:val="0"/>
          <w:sz w:val="24"/>
          <w:highlight w:val="none"/>
          <w:lang w:val="en-US" w:eastAsia="zh-CN"/>
        </w:rPr>
        <w:t>）</w:t>
      </w:r>
    </w:p>
    <w:p w14:paraId="07D87DE6">
      <w:pPr>
        <w:spacing w:line="360" w:lineRule="auto"/>
        <w:ind w:firstLine="487" w:firstLineChars="203"/>
        <w:rPr>
          <w:rFonts w:hint="eastAsia" w:ascii="仿宋" w:hAnsi="仿宋" w:eastAsia="仿宋" w:cs="仿宋"/>
          <w:highlight w:val="none"/>
          <w:lang w:val="en-US" w:eastAsia="zh-CN"/>
        </w:rPr>
      </w:pPr>
      <w:r>
        <w:rPr>
          <w:rFonts w:hint="eastAsia" w:ascii="仿宋" w:hAnsi="仿宋" w:eastAsia="仿宋" w:cs="仿宋"/>
          <w:bCs/>
          <w:color w:val="auto"/>
          <w:kern w:val="0"/>
          <w:sz w:val="24"/>
          <w:highlight w:val="none"/>
          <w:lang w:eastAsia="zh-CN"/>
        </w:rPr>
        <w:t>对于满足合同约定支付条件的，</w:t>
      </w:r>
      <w:r>
        <w:rPr>
          <w:rFonts w:hint="eastAsia" w:ascii="仿宋" w:hAnsi="仿宋" w:eastAsia="仿宋" w:cs="仿宋"/>
          <w:bCs/>
          <w:color w:val="auto"/>
          <w:kern w:val="0"/>
          <w:sz w:val="24"/>
          <w:highlight w:val="none"/>
          <w:lang w:val="en-US" w:eastAsia="zh-CN"/>
        </w:rPr>
        <w:t>采购人将</w:t>
      </w:r>
      <w:r>
        <w:rPr>
          <w:rFonts w:hint="eastAsia" w:ascii="仿宋" w:hAnsi="仿宋" w:eastAsia="仿宋" w:cs="仿宋"/>
          <w:bCs/>
          <w:color w:val="auto"/>
          <w:kern w:val="0"/>
          <w:sz w:val="24"/>
          <w:highlight w:val="none"/>
          <w:lang w:eastAsia="zh-CN"/>
        </w:rPr>
        <w:t>在审核</w:t>
      </w:r>
      <w:r>
        <w:rPr>
          <w:rFonts w:hint="eastAsia" w:ascii="仿宋" w:hAnsi="仿宋" w:eastAsia="仿宋" w:cs="仿宋"/>
          <w:bCs/>
          <w:color w:val="auto"/>
          <w:kern w:val="0"/>
          <w:sz w:val="24"/>
          <w:highlight w:val="none"/>
          <w:lang w:val="en-US" w:eastAsia="zh-CN"/>
        </w:rPr>
        <w:t>确认无误</w:t>
      </w:r>
      <w:r>
        <w:rPr>
          <w:rFonts w:hint="eastAsia" w:ascii="仿宋" w:hAnsi="仿宋" w:eastAsia="仿宋" w:cs="仿宋"/>
          <w:bCs/>
          <w:color w:val="auto"/>
          <w:kern w:val="0"/>
          <w:sz w:val="24"/>
          <w:highlight w:val="none"/>
          <w:lang w:eastAsia="zh-CN"/>
        </w:rPr>
        <w:t>后5个工作日内将资金支付到合同约定的供应商账户。</w:t>
      </w:r>
    </w:p>
    <w:p w14:paraId="03CB3B93">
      <w:pPr>
        <w:pStyle w:val="4"/>
        <w:keepNext/>
        <w:keepLines/>
        <w:pageBreakBefore w:val="0"/>
        <w:widowControl w:val="0"/>
        <w:tabs>
          <w:tab w:val="left" w:pos="432"/>
        </w:tabs>
        <w:kinsoku/>
        <w:wordWrap/>
        <w:overflowPunct/>
        <w:topLinePunct w:val="0"/>
        <w:autoSpaceDE/>
        <w:autoSpaceDN/>
        <w:bidi w:val="0"/>
        <w:adjustRightInd w:val="0"/>
        <w:snapToGrid w:val="0"/>
        <w:spacing w:line="360" w:lineRule="auto"/>
        <w:ind w:left="0" w:firstLine="0"/>
        <w:textAlignment w:val="auto"/>
        <w:rPr>
          <w:rFonts w:hint="eastAsia" w:ascii="仿宋" w:hAnsi="仿宋" w:eastAsia="仿宋" w:cs="仿宋"/>
          <w:color w:val="auto"/>
          <w:kern w:val="0"/>
          <w:sz w:val="24"/>
          <w:highlight w:val="none"/>
          <w:lang w:val="en-US" w:eastAsia="zh-CN"/>
        </w:rPr>
      </w:pPr>
      <w:bookmarkStart w:id="101" w:name="_Toc20430"/>
      <w:bookmarkStart w:id="102" w:name="_Toc18336"/>
      <w:r>
        <w:rPr>
          <w:rFonts w:hint="eastAsia" w:ascii="仿宋" w:hAnsi="仿宋" w:eastAsia="仿宋" w:cs="仿宋"/>
          <w:color w:val="auto"/>
          <w:kern w:val="0"/>
          <w:sz w:val="24"/>
          <w:highlight w:val="none"/>
          <w:lang w:val="en-US" w:eastAsia="zh-CN"/>
        </w:rPr>
        <w:t>十、评价机制</w:t>
      </w:r>
      <w:bookmarkEnd w:id="101"/>
      <w:bookmarkEnd w:id="102"/>
    </w:p>
    <w:p w14:paraId="3AD52112">
      <w:pPr>
        <w:adjustRightInd w:val="0"/>
        <w:snapToGrid w:val="0"/>
        <w:spacing w:line="360" w:lineRule="auto"/>
        <w:ind w:firstLine="480" w:firstLineChars="200"/>
        <w:rPr>
          <w:rFonts w:hint="eastAsia" w:ascii="仿宋" w:hAnsi="仿宋" w:eastAsia="仿宋" w:cs="仿宋"/>
          <w:kern w:val="0"/>
          <w:sz w:val="24"/>
          <w:szCs w:val="24"/>
          <w:highlight w:val="none"/>
          <w:lang w:val="en-US" w:eastAsia="zh-CN"/>
        </w:rPr>
      </w:pPr>
      <w:bookmarkStart w:id="103" w:name="_Toc31265"/>
      <w:r>
        <w:rPr>
          <w:rFonts w:hint="eastAsia" w:ascii="仿宋" w:hAnsi="仿宋" w:eastAsia="仿宋" w:cs="仿宋"/>
          <w:kern w:val="0"/>
          <w:sz w:val="24"/>
          <w:szCs w:val="24"/>
          <w:highlight w:val="none"/>
          <w:lang w:val="en-US" w:eastAsia="zh-CN"/>
        </w:rPr>
        <w:t>出现以下情形，一经查实终止业务委托：</w:t>
      </w:r>
    </w:p>
    <w:p w14:paraId="0075D3EF">
      <w:pPr>
        <w:numPr>
          <w:ilvl w:val="0"/>
          <w:numId w:val="0"/>
        </w:numPr>
        <w:adjustRightInd w:val="0"/>
        <w:snapToGrid w:val="0"/>
        <w:spacing w:line="360" w:lineRule="auto"/>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1.中标人无法在履行合同时满足政府采购活动中响应的实质性条款；</w:t>
      </w:r>
    </w:p>
    <w:p w14:paraId="3C431892">
      <w:pPr>
        <w:numPr>
          <w:ilvl w:val="0"/>
          <w:numId w:val="0"/>
        </w:numPr>
        <w:adjustRightInd w:val="0"/>
        <w:snapToGrid w:val="0"/>
        <w:spacing w:line="360" w:lineRule="auto"/>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2.中标人丢失项目资料，造成项目无法开展完成的；对相关单位造成不良影响、造成重要经济损失的，除终止业务委托外，另须赔偿相应损失；</w:t>
      </w:r>
    </w:p>
    <w:p w14:paraId="28C9E158">
      <w:pPr>
        <w:numPr>
          <w:ilvl w:val="0"/>
          <w:numId w:val="0"/>
        </w:numPr>
        <w:adjustRightInd w:val="0"/>
        <w:snapToGrid w:val="0"/>
        <w:spacing w:line="360" w:lineRule="auto"/>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3.中标人提供虚假报告；</w:t>
      </w:r>
    </w:p>
    <w:p w14:paraId="4DA1DED0">
      <w:pPr>
        <w:numPr>
          <w:ilvl w:val="0"/>
          <w:numId w:val="0"/>
        </w:numPr>
        <w:adjustRightInd w:val="0"/>
        <w:snapToGrid w:val="0"/>
        <w:spacing w:line="360" w:lineRule="auto"/>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4.中标人向相关单位违规收取费用。</w:t>
      </w:r>
    </w:p>
    <w:p w14:paraId="327485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说明：具体评价机制以采购人项目执行过程中制定的内容为准。</w:t>
      </w:r>
    </w:p>
    <w:p w14:paraId="48D13C3E">
      <w:pPr>
        <w:pStyle w:val="4"/>
        <w:keepNext/>
        <w:keepLines/>
        <w:pageBreakBefore w:val="0"/>
        <w:widowControl w:val="0"/>
        <w:tabs>
          <w:tab w:val="left" w:pos="432"/>
        </w:tabs>
        <w:kinsoku/>
        <w:wordWrap/>
        <w:overflowPunct/>
        <w:topLinePunct w:val="0"/>
        <w:autoSpaceDE/>
        <w:autoSpaceDN/>
        <w:bidi w:val="0"/>
        <w:adjustRightInd w:val="0"/>
        <w:snapToGrid w:val="0"/>
        <w:spacing w:line="360" w:lineRule="auto"/>
        <w:ind w:left="0" w:firstLine="0"/>
        <w:textAlignment w:val="auto"/>
        <w:rPr>
          <w:rFonts w:hint="eastAsia" w:ascii="仿宋" w:hAnsi="仿宋" w:eastAsia="仿宋" w:cs="仿宋"/>
          <w:color w:val="auto"/>
          <w:kern w:val="0"/>
          <w:sz w:val="24"/>
          <w:highlight w:val="none"/>
          <w:lang w:val="en-US" w:eastAsia="zh-CN"/>
        </w:rPr>
      </w:pPr>
      <w:bookmarkStart w:id="104" w:name="_Toc11448"/>
      <w:bookmarkStart w:id="105" w:name="_Toc26240"/>
      <w:r>
        <w:rPr>
          <w:rFonts w:hint="eastAsia" w:ascii="仿宋" w:hAnsi="仿宋" w:eastAsia="仿宋" w:cs="仿宋"/>
          <w:color w:val="auto"/>
          <w:kern w:val="0"/>
          <w:sz w:val="24"/>
          <w:highlight w:val="none"/>
          <w:lang w:val="en-US" w:eastAsia="zh-CN"/>
        </w:rPr>
        <w:t>十一、验收</w:t>
      </w:r>
      <w:bookmarkEnd w:id="103"/>
      <w:bookmarkEnd w:id="104"/>
      <w:bookmarkEnd w:id="105"/>
    </w:p>
    <w:p w14:paraId="232F878D">
      <w:pPr>
        <w:adjustRightInd w:val="0"/>
        <w:snapToGrid w:val="0"/>
        <w:spacing w:line="360" w:lineRule="auto"/>
        <w:ind w:firstLine="480" w:firstLineChars="200"/>
        <w:rPr>
          <w:rFonts w:hint="eastAsia" w:ascii="仿宋" w:hAnsi="仿宋" w:eastAsia="仿宋" w:cs="仿宋"/>
          <w:snapToGrid w:val="0"/>
          <w:kern w:val="0"/>
          <w:sz w:val="24"/>
          <w:highlight w:val="none"/>
          <w:lang w:eastAsia="zh-CN"/>
        </w:rPr>
      </w:pPr>
      <w:r>
        <w:rPr>
          <w:rFonts w:hint="eastAsia" w:ascii="仿宋" w:hAnsi="仿宋" w:eastAsia="仿宋" w:cs="仿宋"/>
          <w:snapToGrid w:val="0"/>
          <w:kern w:val="0"/>
          <w:sz w:val="24"/>
          <w:highlight w:val="none"/>
          <w:lang w:eastAsia="zh-CN"/>
        </w:rPr>
        <w:t>1.验收主体：</w:t>
      </w:r>
      <w:r>
        <w:rPr>
          <w:rFonts w:hint="eastAsia" w:ascii="仿宋" w:hAnsi="仿宋" w:eastAsia="仿宋" w:cs="仿宋"/>
          <w:color w:val="auto"/>
          <w:sz w:val="24"/>
          <w:szCs w:val="24"/>
          <w:highlight w:val="none"/>
          <w:lang w:eastAsia="zh-CN"/>
        </w:rPr>
        <w:t>杭州市钱塘区政府投资项目评审服务中心</w:t>
      </w:r>
      <w:r>
        <w:rPr>
          <w:rFonts w:hint="eastAsia" w:ascii="仿宋" w:hAnsi="仿宋" w:eastAsia="仿宋" w:cs="仿宋"/>
          <w:snapToGrid w:val="0"/>
          <w:kern w:val="0"/>
          <w:sz w:val="24"/>
          <w:highlight w:val="none"/>
          <w:lang w:eastAsia="zh-CN"/>
        </w:rPr>
        <w:t>。</w:t>
      </w:r>
    </w:p>
    <w:p w14:paraId="28698BF3">
      <w:pPr>
        <w:adjustRightInd w:val="0"/>
        <w:snapToGrid w:val="0"/>
        <w:spacing w:line="360" w:lineRule="auto"/>
        <w:ind w:firstLine="480" w:firstLineChars="200"/>
        <w:rPr>
          <w:rFonts w:hint="eastAsia" w:ascii="仿宋" w:hAnsi="仿宋" w:eastAsia="仿宋" w:cs="仿宋"/>
          <w:snapToGrid w:val="0"/>
          <w:kern w:val="0"/>
          <w:sz w:val="24"/>
          <w:highlight w:val="none"/>
          <w:lang w:eastAsia="zh-CN"/>
        </w:rPr>
      </w:pPr>
      <w:r>
        <w:rPr>
          <w:rFonts w:hint="eastAsia" w:ascii="仿宋" w:hAnsi="仿宋" w:eastAsia="仿宋" w:cs="仿宋"/>
          <w:snapToGrid w:val="0"/>
          <w:kern w:val="0"/>
          <w:sz w:val="24"/>
          <w:highlight w:val="none"/>
          <w:lang w:eastAsia="zh-CN"/>
        </w:rPr>
        <w:t>2.采购人在中标人提供服务的过程中，有权不定期对服务内容和质量进行考核。中标人应当配合进行。</w:t>
      </w:r>
    </w:p>
    <w:p w14:paraId="20B805DA">
      <w:pPr>
        <w:adjustRightInd w:val="0"/>
        <w:snapToGrid w:val="0"/>
        <w:spacing w:line="360" w:lineRule="auto"/>
        <w:ind w:firstLine="480" w:firstLineChars="200"/>
        <w:rPr>
          <w:rFonts w:hint="eastAsia" w:ascii="仿宋" w:hAnsi="仿宋" w:eastAsia="仿宋" w:cs="仿宋"/>
          <w:snapToGrid w:val="0"/>
          <w:kern w:val="0"/>
          <w:sz w:val="24"/>
          <w:highlight w:val="none"/>
          <w:lang w:eastAsia="zh-CN"/>
        </w:rPr>
      </w:pPr>
      <w:r>
        <w:rPr>
          <w:rFonts w:hint="eastAsia" w:ascii="仿宋" w:hAnsi="仿宋" w:eastAsia="仿宋" w:cs="仿宋"/>
          <w:snapToGrid w:val="0"/>
          <w:kern w:val="0"/>
          <w:sz w:val="24"/>
          <w:highlight w:val="none"/>
          <w:lang w:eastAsia="zh-CN"/>
        </w:rPr>
        <w:t>3.最终验收时间：服务内容执行完毕、服务期截止后。</w:t>
      </w:r>
    </w:p>
    <w:p w14:paraId="72F53E36">
      <w:pPr>
        <w:adjustRightInd w:val="0"/>
        <w:snapToGrid w:val="0"/>
        <w:spacing w:line="360" w:lineRule="auto"/>
        <w:ind w:firstLine="480" w:firstLineChars="200"/>
        <w:rPr>
          <w:rFonts w:hint="eastAsia" w:ascii="仿宋" w:hAnsi="仿宋" w:eastAsia="仿宋" w:cs="仿宋"/>
          <w:snapToGrid w:val="0"/>
          <w:kern w:val="0"/>
          <w:sz w:val="24"/>
          <w:highlight w:val="none"/>
          <w:lang w:eastAsia="zh-CN"/>
        </w:rPr>
      </w:pPr>
      <w:r>
        <w:rPr>
          <w:rFonts w:hint="eastAsia" w:ascii="仿宋" w:hAnsi="仿宋" w:eastAsia="仿宋" w:cs="仿宋"/>
          <w:snapToGrid w:val="0"/>
          <w:kern w:val="0"/>
          <w:sz w:val="24"/>
          <w:highlight w:val="none"/>
          <w:lang w:eastAsia="zh-CN"/>
        </w:rPr>
        <w:t>4.验收程序：中标人向采购人提出申请验收，采购人按验收方案组织履约验收。中标人应将项目执行过程及时记录、收集、整理，向采购人递交验收申请资料。</w:t>
      </w:r>
    </w:p>
    <w:p w14:paraId="3A7B2CDE">
      <w:pPr>
        <w:adjustRightInd w:val="0"/>
        <w:snapToGrid w:val="0"/>
        <w:spacing w:line="360" w:lineRule="auto"/>
        <w:ind w:firstLine="480" w:firstLineChars="200"/>
        <w:rPr>
          <w:rFonts w:hint="eastAsia" w:ascii="仿宋" w:hAnsi="仿宋" w:eastAsia="仿宋" w:cs="仿宋"/>
          <w:snapToGrid w:val="0"/>
          <w:kern w:val="0"/>
          <w:sz w:val="24"/>
          <w:highlight w:val="none"/>
          <w:lang w:eastAsia="zh-CN"/>
        </w:rPr>
      </w:pPr>
      <w:r>
        <w:rPr>
          <w:rFonts w:hint="eastAsia" w:ascii="仿宋" w:hAnsi="仿宋" w:eastAsia="仿宋" w:cs="仿宋"/>
          <w:snapToGrid w:val="0"/>
          <w:kern w:val="0"/>
          <w:sz w:val="24"/>
          <w:highlight w:val="none"/>
          <w:lang w:eastAsia="zh-CN"/>
        </w:rPr>
        <w:t>5.验收内容：中标人实际完成的情况是否符合</w:t>
      </w:r>
      <w:r>
        <w:rPr>
          <w:rFonts w:hint="eastAsia" w:ascii="仿宋" w:hAnsi="仿宋" w:eastAsia="仿宋" w:cs="仿宋"/>
          <w:snapToGrid w:val="0"/>
          <w:kern w:val="0"/>
          <w:sz w:val="24"/>
          <w:highlight w:val="none"/>
          <w:lang w:val="en-US" w:eastAsia="zh-CN"/>
        </w:rPr>
        <w:t>采购</w:t>
      </w:r>
      <w:r>
        <w:rPr>
          <w:rFonts w:hint="eastAsia" w:ascii="仿宋" w:hAnsi="仿宋" w:eastAsia="仿宋" w:cs="仿宋"/>
          <w:snapToGrid w:val="0"/>
          <w:kern w:val="0"/>
          <w:sz w:val="24"/>
          <w:highlight w:val="none"/>
          <w:lang w:eastAsia="zh-CN"/>
        </w:rPr>
        <w:t>文件要求和中标人在投标文件中的商务、技术承诺。</w:t>
      </w:r>
    </w:p>
    <w:p w14:paraId="68546154">
      <w:pPr>
        <w:adjustRightInd w:val="0"/>
        <w:snapToGrid w:val="0"/>
        <w:spacing w:line="360" w:lineRule="auto"/>
        <w:ind w:firstLine="480" w:firstLineChars="200"/>
        <w:rPr>
          <w:rFonts w:hint="eastAsia" w:ascii="仿宋" w:hAnsi="仿宋" w:eastAsia="仿宋" w:cs="仿宋"/>
          <w:snapToGrid w:val="0"/>
          <w:kern w:val="0"/>
          <w:sz w:val="24"/>
          <w:highlight w:val="none"/>
          <w:lang w:eastAsia="zh-CN"/>
        </w:rPr>
      </w:pPr>
      <w:r>
        <w:rPr>
          <w:rFonts w:hint="eastAsia" w:ascii="仿宋" w:hAnsi="仿宋" w:eastAsia="仿宋" w:cs="仿宋"/>
          <w:snapToGrid w:val="0"/>
          <w:kern w:val="0"/>
          <w:sz w:val="24"/>
          <w:highlight w:val="none"/>
          <w:lang w:eastAsia="zh-CN"/>
        </w:rPr>
        <w:t>6.验收标准：中标人已经按</w:t>
      </w:r>
      <w:r>
        <w:rPr>
          <w:rFonts w:hint="eastAsia" w:ascii="仿宋" w:hAnsi="仿宋" w:eastAsia="仿宋" w:cs="仿宋"/>
          <w:snapToGrid w:val="0"/>
          <w:kern w:val="0"/>
          <w:sz w:val="24"/>
          <w:highlight w:val="none"/>
          <w:lang w:val="en-US" w:eastAsia="zh-CN"/>
        </w:rPr>
        <w:t>采购</w:t>
      </w:r>
      <w:r>
        <w:rPr>
          <w:rFonts w:hint="eastAsia" w:ascii="仿宋" w:hAnsi="仿宋" w:eastAsia="仿宋" w:cs="仿宋"/>
          <w:snapToGrid w:val="0"/>
          <w:kern w:val="0"/>
          <w:sz w:val="24"/>
          <w:highlight w:val="none"/>
          <w:lang w:eastAsia="zh-CN"/>
        </w:rPr>
        <w:t>文件要求和中标人在</w:t>
      </w:r>
      <w:r>
        <w:rPr>
          <w:rFonts w:hint="eastAsia" w:ascii="仿宋" w:hAnsi="仿宋" w:eastAsia="仿宋" w:cs="仿宋"/>
          <w:snapToGrid w:val="0"/>
          <w:kern w:val="0"/>
          <w:sz w:val="24"/>
          <w:highlight w:val="none"/>
          <w:lang w:val="en-US" w:eastAsia="zh-CN"/>
        </w:rPr>
        <w:t>投标</w:t>
      </w:r>
      <w:r>
        <w:rPr>
          <w:rFonts w:hint="eastAsia" w:ascii="仿宋" w:hAnsi="仿宋" w:eastAsia="仿宋" w:cs="仿宋"/>
          <w:snapToGrid w:val="0"/>
          <w:kern w:val="0"/>
          <w:sz w:val="24"/>
          <w:highlight w:val="none"/>
          <w:lang w:eastAsia="zh-CN"/>
        </w:rPr>
        <w:t>文件中的商务、技术承诺完成项目执行。</w:t>
      </w:r>
    </w:p>
    <w:p w14:paraId="6B8C9AD8">
      <w:pPr>
        <w:adjustRightInd w:val="0"/>
        <w:snapToGrid w:val="0"/>
        <w:spacing w:line="360" w:lineRule="auto"/>
        <w:ind w:firstLine="480" w:firstLineChars="200"/>
        <w:rPr>
          <w:rFonts w:hint="eastAsia" w:ascii="仿宋" w:hAnsi="仿宋" w:eastAsia="仿宋" w:cs="仿宋"/>
          <w:snapToGrid w:val="0"/>
          <w:kern w:val="0"/>
          <w:sz w:val="24"/>
          <w:highlight w:val="none"/>
          <w:lang w:eastAsia="zh-CN"/>
        </w:rPr>
      </w:pPr>
      <w:r>
        <w:rPr>
          <w:rFonts w:hint="eastAsia" w:ascii="仿宋" w:hAnsi="仿宋" w:eastAsia="仿宋" w:cs="仿宋"/>
          <w:snapToGrid w:val="0"/>
          <w:kern w:val="0"/>
          <w:sz w:val="24"/>
          <w:highlight w:val="none"/>
          <w:lang w:eastAsia="zh-CN"/>
        </w:rPr>
        <w:t>7.验收时中标人应在现场，验收完毕后作出验收结果报告；验收产生的费用，由采购人承担。</w:t>
      </w:r>
    </w:p>
    <w:p w14:paraId="5D87618D">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2105DAE7">
      <w:pPr>
        <w:pStyle w:val="4"/>
        <w:keepNext/>
        <w:keepLines/>
        <w:pageBreakBefore w:val="0"/>
        <w:widowControl w:val="0"/>
        <w:tabs>
          <w:tab w:val="left" w:pos="432"/>
        </w:tabs>
        <w:kinsoku/>
        <w:wordWrap/>
        <w:overflowPunct/>
        <w:topLinePunct w:val="0"/>
        <w:autoSpaceDE/>
        <w:autoSpaceDN/>
        <w:bidi w:val="0"/>
        <w:adjustRightInd w:val="0"/>
        <w:snapToGrid w:val="0"/>
        <w:spacing w:line="360" w:lineRule="auto"/>
        <w:ind w:left="0" w:firstLine="0"/>
        <w:textAlignment w:val="auto"/>
        <w:rPr>
          <w:rFonts w:hint="eastAsia" w:ascii="仿宋" w:hAnsi="仿宋" w:eastAsia="仿宋" w:cs="仿宋"/>
          <w:color w:val="auto"/>
          <w:kern w:val="0"/>
          <w:sz w:val="24"/>
          <w:highlight w:val="none"/>
          <w:lang w:val="en-US" w:eastAsia="zh-CN"/>
        </w:rPr>
      </w:pPr>
      <w:bookmarkStart w:id="106" w:name="_Toc12820"/>
      <w:bookmarkStart w:id="107" w:name="_Toc1675"/>
      <w:bookmarkStart w:id="108" w:name="_Toc18094"/>
      <w:bookmarkStart w:id="109" w:name="_Toc29944"/>
      <w:r>
        <w:rPr>
          <w:rFonts w:hint="eastAsia" w:ascii="仿宋" w:hAnsi="仿宋" w:eastAsia="仿宋" w:cs="仿宋"/>
          <w:color w:val="auto"/>
          <w:kern w:val="0"/>
          <w:sz w:val="24"/>
          <w:highlight w:val="none"/>
          <w:lang w:val="en-US" w:eastAsia="zh-CN"/>
        </w:rPr>
        <w:t>十二、</w:t>
      </w:r>
      <w:bookmarkStart w:id="110" w:name="_Toc25431"/>
      <w:bookmarkStart w:id="111" w:name="_Toc32149"/>
      <w:r>
        <w:rPr>
          <w:rFonts w:hint="eastAsia" w:ascii="仿宋" w:hAnsi="仿宋" w:eastAsia="仿宋" w:cs="仿宋"/>
          <w:color w:val="auto"/>
          <w:kern w:val="0"/>
          <w:sz w:val="24"/>
          <w:highlight w:val="none"/>
          <w:lang w:val="en-US" w:eastAsia="zh-CN"/>
        </w:rPr>
        <w:t>投标要求</w:t>
      </w:r>
      <w:bookmarkEnd w:id="106"/>
      <w:bookmarkEnd w:id="107"/>
      <w:bookmarkEnd w:id="108"/>
      <w:bookmarkEnd w:id="110"/>
      <w:bookmarkEnd w:id="111"/>
    </w:p>
    <w:p w14:paraId="79E1EF90">
      <w:pPr>
        <w:pStyle w:val="18"/>
        <w:adjustRightInd w:val="0"/>
        <w:snapToGrid w:val="0"/>
        <w:spacing w:after="0"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（一）</w:t>
      </w:r>
      <w:r>
        <w:rPr>
          <w:rFonts w:hint="eastAsia" w:ascii="仿宋" w:hAnsi="仿宋" w:eastAsia="仿宋" w:cs="仿宋"/>
          <w:b/>
          <w:bCs/>
          <w:sz w:val="24"/>
          <w:highlight w:val="none"/>
          <w:lang w:val="en-US" w:eastAsia="zh-CN"/>
        </w:rPr>
        <w:t>投标人</w:t>
      </w:r>
      <w:r>
        <w:rPr>
          <w:rFonts w:hint="eastAsia" w:ascii="仿宋" w:hAnsi="仿宋" w:eastAsia="仿宋" w:cs="仿宋"/>
          <w:b/>
          <w:bCs/>
          <w:sz w:val="24"/>
          <w:highlight w:val="none"/>
        </w:rPr>
        <w:t>要求</w:t>
      </w:r>
    </w:p>
    <w:p w14:paraId="519D218E">
      <w:pPr>
        <w:pStyle w:val="18"/>
        <w:adjustRightInd w:val="0"/>
        <w:snapToGrid w:val="0"/>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为确保项目的顺利实施，</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应有</w:t>
      </w:r>
      <w:r>
        <w:rPr>
          <w:rFonts w:hint="eastAsia" w:ascii="仿宋" w:hAnsi="仿宋" w:eastAsia="仿宋" w:cs="仿宋"/>
          <w:bCs/>
          <w:color w:val="auto"/>
          <w:sz w:val="24"/>
          <w:highlight w:val="none"/>
          <w:lang w:eastAsia="zh-CN"/>
        </w:rPr>
        <w:t>政府投资项目工程竣工财务决算审核服务</w:t>
      </w:r>
      <w:r>
        <w:rPr>
          <w:rFonts w:hint="eastAsia" w:ascii="仿宋" w:hAnsi="仿宋" w:eastAsia="仿宋" w:cs="仿宋"/>
          <w:bCs/>
          <w:color w:val="auto"/>
          <w:sz w:val="24"/>
          <w:highlight w:val="none"/>
        </w:rPr>
        <w:t>业绩经验。</w:t>
      </w:r>
    </w:p>
    <w:p w14:paraId="1C80CA4C">
      <w:pPr>
        <w:pStyle w:val="18"/>
        <w:adjustRightInd w:val="0"/>
        <w:snapToGrid w:val="0"/>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应能提供快速的服务响应，具有较强的项目管理、技术服务和组织实施能力。</w:t>
      </w:r>
    </w:p>
    <w:p w14:paraId="7B9D14D4">
      <w:pPr>
        <w:pStyle w:val="18"/>
        <w:adjustRightInd w:val="0"/>
        <w:snapToGrid w:val="0"/>
        <w:spacing w:after="0"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3.投标人具有有效的质量管理体系认证证书，且证书在全国认证认可信息公共服务平台查询状态为有效。</w:t>
      </w:r>
    </w:p>
    <w:p w14:paraId="46800F9F">
      <w:pPr>
        <w:pStyle w:val="18"/>
        <w:adjustRightInd w:val="0"/>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二</w:t>
      </w:r>
      <w:r>
        <w:rPr>
          <w:rFonts w:hint="eastAsia" w:ascii="仿宋" w:hAnsi="仿宋" w:eastAsia="仿宋" w:cs="仿宋"/>
          <w:b/>
          <w:bCs/>
          <w:sz w:val="24"/>
          <w:highlight w:val="none"/>
        </w:rPr>
        <w:t>）</w:t>
      </w:r>
      <w:r>
        <w:rPr>
          <w:rFonts w:hint="eastAsia" w:ascii="仿宋" w:hAnsi="仿宋" w:eastAsia="仿宋" w:cs="仿宋"/>
          <w:b/>
          <w:bCs/>
          <w:sz w:val="24"/>
          <w:szCs w:val="24"/>
          <w:highlight w:val="none"/>
          <w:lang w:eastAsia="zh-CN"/>
        </w:rPr>
        <w:t>响应</w:t>
      </w:r>
      <w:r>
        <w:rPr>
          <w:rFonts w:hint="eastAsia" w:ascii="仿宋" w:hAnsi="仿宋" w:eastAsia="仿宋" w:cs="仿宋"/>
          <w:b/>
          <w:bCs/>
          <w:sz w:val="24"/>
          <w:highlight w:val="none"/>
        </w:rPr>
        <w:t>时对方案的要求</w:t>
      </w:r>
    </w:p>
    <w:p w14:paraId="56508080">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highlight w:val="none"/>
          <w:lang w:eastAsia="zh-CN"/>
        </w:rPr>
      </w:pPr>
      <w:r>
        <w:rPr>
          <w:rFonts w:hint="eastAsia" w:ascii="仿宋" w:hAnsi="仿宋" w:eastAsia="仿宋" w:cs="仿宋"/>
          <w:kern w:val="0"/>
          <w:sz w:val="24"/>
          <w:highlight w:val="none"/>
          <w:lang w:val="en-US" w:eastAsia="zh-CN"/>
        </w:rPr>
        <w:t>投标文件内容在涵盖对本项目采购需求中列明全部内容的响应之外，还应包括但不限于以下内容</w:t>
      </w:r>
      <w:r>
        <w:rPr>
          <w:rFonts w:hint="eastAsia" w:ascii="仿宋" w:hAnsi="仿宋" w:eastAsia="仿宋" w:cs="仿宋"/>
          <w:kern w:val="0"/>
          <w:highlight w:val="none"/>
          <w:lang w:eastAsia="zh-CN"/>
        </w:rPr>
        <w:t>：</w:t>
      </w:r>
    </w:p>
    <w:p w14:paraId="065E6B68">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针对</w:t>
      </w:r>
      <w:r>
        <w:rPr>
          <w:rFonts w:hint="eastAsia" w:ascii="仿宋" w:hAnsi="仿宋" w:eastAsia="仿宋" w:cs="仿宋"/>
          <w:color w:val="auto"/>
          <w:sz w:val="24"/>
          <w:szCs w:val="24"/>
          <w:highlight w:val="none"/>
          <w:lang w:eastAsia="zh-CN"/>
        </w:rPr>
        <w:t>政府投资项目工程竣工财务决算审核</w:t>
      </w:r>
      <w:r>
        <w:rPr>
          <w:rFonts w:hint="eastAsia" w:ascii="仿宋" w:hAnsi="仿宋" w:eastAsia="仿宋" w:cs="仿宋"/>
          <w:color w:val="auto"/>
          <w:sz w:val="24"/>
          <w:szCs w:val="24"/>
          <w:highlight w:val="none"/>
          <w:lang w:val="en-US" w:eastAsia="zh-CN"/>
        </w:rPr>
        <w:t>服务内容，提供</w:t>
      </w:r>
      <w:r>
        <w:rPr>
          <w:rFonts w:hint="eastAsia" w:ascii="仿宋" w:hAnsi="仿宋" w:eastAsia="仿宋" w:cs="仿宋"/>
          <w:kern w:val="0"/>
          <w:sz w:val="24"/>
          <w:szCs w:val="24"/>
          <w:highlight w:val="none"/>
          <w:lang w:val="en-US" w:eastAsia="zh-CN"/>
        </w:rPr>
        <w:t>工作</w:t>
      </w:r>
      <w:r>
        <w:rPr>
          <w:rFonts w:hint="eastAsia" w:ascii="仿宋" w:hAnsi="仿宋" w:eastAsia="仿宋" w:cs="仿宋"/>
          <w:kern w:val="0"/>
          <w:sz w:val="24"/>
          <w:szCs w:val="24"/>
          <w:highlight w:val="none"/>
          <w:lang w:eastAsia="zh-CN"/>
        </w:rPr>
        <w:t>方案</w:t>
      </w:r>
      <w:r>
        <w:rPr>
          <w:rFonts w:hint="eastAsia" w:ascii="仿宋" w:hAnsi="仿宋" w:eastAsia="仿宋" w:cs="仿宋"/>
          <w:sz w:val="24"/>
          <w:szCs w:val="24"/>
          <w:highlight w:val="none"/>
          <w:lang w:val="en-US" w:eastAsia="zh-CN"/>
        </w:rPr>
        <w:t>，应包括：（1）</w:t>
      </w:r>
      <w:r>
        <w:rPr>
          <w:rFonts w:hint="eastAsia" w:ascii="仿宋" w:hAnsi="仿宋" w:eastAsia="仿宋" w:cs="仿宋"/>
          <w:sz w:val="24"/>
          <w:highlight w:val="none"/>
        </w:rPr>
        <w:t>针对本项目提出的工作程序、计划安排</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w:t>
      </w:r>
      <w:r>
        <w:rPr>
          <w:rFonts w:hint="eastAsia" w:ascii="仿宋" w:hAnsi="仿宋" w:eastAsia="仿宋" w:cs="仿宋"/>
          <w:sz w:val="24"/>
          <w:highlight w:val="none"/>
        </w:rPr>
        <w:t>针对问题披露及整改措施建议</w:t>
      </w:r>
      <w:r>
        <w:rPr>
          <w:rFonts w:hint="eastAsia" w:ascii="仿宋" w:hAnsi="仿宋" w:eastAsia="仿宋" w:cs="仿宋"/>
          <w:sz w:val="24"/>
          <w:highlight w:val="none"/>
          <w:lang w:val="en-US" w:eastAsia="zh-CN"/>
        </w:rPr>
        <w:t>的响应方案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kern w:val="0"/>
          <w:sz w:val="24"/>
          <w:szCs w:val="24"/>
          <w:highlight w:val="none"/>
          <w:lang w:val="en-US" w:eastAsia="zh-CN"/>
        </w:rPr>
        <w:t>针对本项目制定质量保证措施，包括</w:t>
      </w:r>
      <w:r>
        <w:rPr>
          <w:rFonts w:hint="eastAsia" w:ascii="仿宋" w:hAnsi="仿宋" w:eastAsia="仿宋" w:cs="仿宋"/>
          <w:sz w:val="24"/>
          <w:szCs w:val="24"/>
          <w:highlight w:val="none"/>
          <w:lang w:val="en-US" w:eastAsia="zh-CN"/>
        </w:rPr>
        <w:t>质量内控体系、内控制度、报告质量管理制度建立情况</w:t>
      </w:r>
      <w:r>
        <w:rPr>
          <w:rFonts w:hint="eastAsia" w:ascii="仿宋" w:hAnsi="仿宋" w:eastAsia="仿宋" w:cs="仿宋"/>
          <w:kern w:val="0"/>
          <w:sz w:val="24"/>
          <w:szCs w:val="24"/>
          <w:highlight w:val="none"/>
          <w:lang w:val="en-US" w:eastAsia="zh-CN"/>
        </w:rPr>
        <w:t>内容；（4）</w:t>
      </w:r>
      <w:r>
        <w:rPr>
          <w:rFonts w:hint="eastAsia" w:ascii="仿宋" w:hAnsi="仿宋" w:eastAsia="仿宋" w:cs="仿宋"/>
          <w:sz w:val="24"/>
          <w:highlight w:val="none"/>
          <w:lang w:bidi="ar"/>
        </w:rPr>
        <w:t>应急预案</w:t>
      </w:r>
      <w:r>
        <w:rPr>
          <w:rFonts w:hint="eastAsia" w:ascii="仿宋" w:hAnsi="仿宋" w:eastAsia="仿宋" w:cs="仿宋"/>
          <w:sz w:val="24"/>
          <w:highlight w:val="none"/>
          <w:lang w:eastAsia="zh-CN" w:bidi="ar"/>
        </w:rPr>
        <w:t>，</w:t>
      </w:r>
      <w:r>
        <w:rPr>
          <w:rFonts w:hint="eastAsia" w:ascii="仿宋" w:hAnsi="仿宋" w:eastAsia="仿宋" w:cs="仿宋"/>
          <w:sz w:val="24"/>
          <w:highlight w:val="none"/>
          <w:lang w:val="en-US" w:eastAsia="zh-CN" w:bidi="ar"/>
        </w:rPr>
        <w:t>包括</w:t>
      </w:r>
      <w:r>
        <w:rPr>
          <w:rFonts w:hint="eastAsia" w:ascii="仿宋" w:hAnsi="仿宋" w:eastAsia="仿宋" w:cs="仿宋"/>
          <w:sz w:val="24"/>
          <w:highlight w:val="none"/>
          <w:lang w:bidi="ar"/>
        </w:rPr>
        <w:t>根据各</w:t>
      </w:r>
      <w:r>
        <w:rPr>
          <w:rFonts w:hint="eastAsia" w:ascii="仿宋" w:hAnsi="仿宋" w:eastAsia="仿宋" w:cs="仿宋"/>
          <w:sz w:val="24"/>
          <w:highlight w:val="none"/>
          <w:lang w:val="en-US" w:eastAsia="zh-CN" w:bidi="ar"/>
        </w:rPr>
        <w:t>投标人</w:t>
      </w:r>
      <w:r>
        <w:rPr>
          <w:rFonts w:hint="eastAsia" w:ascii="仿宋" w:hAnsi="仿宋" w:eastAsia="仿宋" w:cs="仿宋"/>
          <w:sz w:val="24"/>
          <w:highlight w:val="none"/>
          <w:lang w:bidi="ar"/>
        </w:rPr>
        <w:t>针对突发性事件，如临时任务,制定有针对性、高效的应急措施等情况</w:t>
      </w:r>
      <w:r>
        <w:rPr>
          <w:rFonts w:hint="eastAsia" w:ascii="仿宋" w:hAnsi="仿宋" w:eastAsia="仿宋" w:cs="仿宋"/>
          <w:sz w:val="24"/>
          <w:highlight w:val="none"/>
          <w:lang w:eastAsia="zh-CN" w:bidi="ar"/>
        </w:rPr>
        <w:t>；（</w:t>
      </w:r>
      <w:r>
        <w:rPr>
          <w:rFonts w:hint="eastAsia" w:ascii="仿宋" w:hAnsi="仿宋" w:eastAsia="仿宋" w:cs="仿宋"/>
          <w:sz w:val="24"/>
          <w:highlight w:val="none"/>
          <w:lang w:val="en-US" w:eastAsia="zh-CN" w:bidi="ar"/>
        </w:rPr>
        <w:t>5</w:t>
      </w:r>
      <w:r>
        <w:rPr>
          <w:rFonts w:hint="eastAsia" w:ascii="仿宋" w:hAnsi="仿宋" w:eastAsia="仿宋" w:cs="仿宋"/>
          <w:sz w:val="24"/>
          <w:highlight w:val="none"/>
          <w:lang w:eastAsia="zh-CN" w:bidi="ar"/>
        </w:rPr>
        <w:t>）</w:t>
      </w:r>
      <w:r>
        <w:rPr>
          <w:rFonts w:hint="eastAsia" w:ascii="仿宋" w:hAnsi="仿宋" w:eastAsia="仿宋" w:cs="仿宋"/>
          <w:sz w:val="24"/>
          <w:highlight w:val="none"/>
          <w:lang w:val="en-US" w:eastAsia="zh-CN" w:bidi="ar"/>
        </w:rPr>
        <w:t>针对</w:t>
      </w:r>
      <w:r>
        <w:rPr>
          <w:rFonts w:hint="eastAsia" w:ascii="仿宋" w:hAnsi="仿宋" w:eastAsia="仿宋" w:cs="仿宋"/>
          <w:sz w:val="24"/>
          <w:highlight w:val="none"/>
          <w:lang w:bidi="ar"/>
        </w:rPr>
        <w:t>项目管理、决算编报、决算审核、决算批复等各个环节，提出全面提高财务决算管理质量的措施</w:t>
      </w:r>
      <w:r>
        <w:rPr>
          <w:rFonts w:hint="eastAsia" w:ascii="仿宋" w:hAnsi="仿宋" w:eastAsia="仿宋" w:cs="仿宋"/>
          <w:sz w:val="24"/>
          <w:highlight w:val="none"/>
          <w:lang w:eastAsia="zh-CN" w:bidi="ar"/>
        </w:rPr>
        <w:t>；（</w:t>
      </w:r>
      <w:r>
        <w:rPr>
          <w:rFonts w:hint="eastAsia" w:ascii="仿宋" w:hAnsi="仿宋" w:eastAsia="仿宋" w:cs="仿宋"/>
          <w:sz w:val="24"/>
          <w:highlight w:val="none"/>
          <w:lang w:val="en-US" w:eastAsia="zh-CN" w:bidi="ar"/>
        </w:rPr>
        <w:t>6</w:t>
      </w:r>
      <w:r>
        <w:rPr>
          <w:rFonts w:hint="eastAsia" w:ascii="仿宋" w:hAnsi="仿宋" w:eastAsia="仿宋" w:cs="仿宋"/>
          <w:sz w:val="24"/>
          <w:highlight w:val="none"/>
          <w:lang w:eastAsia="zh-CN" w:bidi="ar"/>
        </w:rPr>
        <w:t>）保密制度及措施；（</w:t>
      </w:r>
      <w:r>
        <w:rPr>
          <w:rFonts w:hint="eastAsia" w:ascii="仿宋" w:hAnsi="仿宋" w:eastAsia="仿宋" w:cs="仿宋"/>
          <w:sz w:val="24"/>
          <w:highlight w:val="none"/>
          <w:lang w:val="en-US" w:eastAsia="zh-CN" w:bidi="ar"/>
        </w:rPr>
        <w:t>7</w:t>
      </w:r>
      <w:r>
        <w:rPr>
          <w:rFonts w:hint="eastAsia" w:ascii="仿宋" w:hAnsi="仿宋" w:eastAsia="仿宋" w:cs="仿宋"/>
          <w:sz w:val="24"/>
          <w:highlight w:val="none"/>
          <w:lang w:eastAsia="zh-CN" w:bidi="ar"/>
        </w:rPr>
        <w:t>）材料汇编及归档</w:t>
      </w:r>
      <w:r>
        <w:rPr>
          <w:rFonts w:hint="eastAsia" w:ascii="仿宋" w:hAnsi="仿宋" w:eastAsia="仿宋" w:cs="仿宋"/>
          <w:sz w:val="24"/>
          <w:highlight w:val="none"/>
          <w:lang w:val="en-US" w:eastAsia="zh-CN" w:bidi="ar"/>
        </w:rPr>
        <w:t>方案</w:t>
      </w:r>
      <w:r>
        <w:rPr>
          <w:rFonts w:hint="eastAsia" w:ascii="仿宋" w:hAnsi="仿宋" w:eastAsia="仿宋" w:cs="仿宋"/>
          <w:kern w:val="0"/>
          <w:sz w:val="24"/>
          <w:szCs w:val="24"/>
          <w:highlight w:val="none"/>
          <w:lang w:val="en-US" w:eastAsia="zh-CN"/>
        </w:rPr>
        <w:t>。</w:t>
      </w:r>
    </w:p>
    <w:p w14:paraId="00A79C35">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2.拟派项目组成员情况，应包括：（1）</w:t>
      </w:r>
      <w:r>
        <w:rPr>
          <w:rFonts w:hint="eastAsia" w:ascii="仿宋" w:hAnsi="仿宋" w:eastAsia="仿宋" w:cs="仿宋"/>
          <w:bCs/>
          <w:sz w:val="24"/>
          <w:highlight w:val="none"/>
        </w:rPr>
        <w:t>拟派的项目负责人情况</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除项目负责人之外的</w:t>
      </w:r>
      <w:r>
        <w:rPr>
          <w:rFonts w:hint="eastAsia" w:ascii="仿宋" w:hAnsi="仿宋" w:eastAsia="仿宋" w:cs="仿宋"/>
          <w:sz w:val="24"/>
          <w:highlight w:val="none"/>
        </w:rPr>
        <w:t>拟派项目团队情况</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人员保障方案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包括</w:t>
      </w:r>
      <w:r>
        <w:rPr>
          <w:rFonts w:hint="eastAsia" w:ascii="仿宋" w:hAnsi="仿宋" w:eastAsia="仿宋" w:cs="仿宋"/>
          <w:sz w:val="24"/>
          <w:highlight w:val="none"/>
        </w:rPr>
        <w:t>人员供应</w:t>
      </w:r>
      <w:r>
        <w:rPr>
          <w:rFonts w:hint="eastAsia" w:ascii="仿宋" w:hAnsi="仿宋" w:eastAsia="仿宋" w:cs="仿宋"/>
          <w:sz w:val="24"/>
          <w:highlight w:val="none"/>
          <w:lang w:val="en-US" w:eastAsia="zh-CN"/>
        </w:rPr>
        <w:t>保障</w:t>
      </w:r>
      <w:r>
        <w:rPr>
          <w:rFonts w:hint="eastAsia" w:ascii="仿宋" w:hAnsi="仿宋" w:eastAsia="仿宋" w:cs="仿宋"/>
          <w:sz w:val="24"/>
          <w:highlight w:val="none"/>
        </w:rPr>
        <w:t>、人员稳定性</w:t>
      </w:r>
      <w:r>
        <w:rPr>
          <w:rFonts w:hint="eastAsia" w:ascii="仿宋" w:hAnsi="仿宋" w:eastAsia="仿宋" w:cs="仿宋"/>
          <w:sz w:val="24"/>
          <w:highlight w:val="none"/>
          <w:lang w:val="en-US" w:eastAsia="zh-CN"/>
        </w:rPr>
        <w:t>保障等情况。</w:t>
      </w:r>
    </w:p>
    <w:p w14:paraId="11ECC3E8">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3.根据采购需求，投标人需提供响应时间的承诺。</w:t>
      </w:r>
      <w:bookmarkEnd w:id="109"/>
    </w:p>
    <w:p w14:paraId="4C62FB1D">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4.投标人需结合对本项目采购需求的理解，针对本项目重点、难点进行分析并提出相应解决措施。包括针对工程财务竣工决算上报不及时，供应商结合对本项目采购需求的理解，对此问题进行分析并提出解决措施；针对工程财务竣工决算推进困难，供应商结合对本项目采购需求的理解，对此问题进行分析并提出解决措施；投标人结合采购需求及实际工作经验，</w:t>
      </w:r>
      <w:r>
        <w:rPr>
          <w:rFonts w:hint="eastAsia" w:ascii="仿宋" w:hAnsi="仿宋" w:eastAsia="仿宋" w:cs="仿宋"/>
          <w:sz w:val="24"/>
          <w:highlight w:val="none"/>
          <w:lang w:bidi="ar"/>
        </w:rPr>
        <w:t>针对财务竣工决算审核重点及风险点</w:t>
      </w:r>
      <w:r>
        <w:rPr>
          <w:rFonts w:hint="eastAsia" w:ascii="仿宋" w:hAnsi="仿宋" w:eastAsia="仿宋" w:cs="仿宋"/>
          <w:bCs/>
          <w:sz w:val="24"/>
          <w:highlight w:val="none"/>
          <w:lang w:val="en-US" w:eastAsia="zh-CN"/>
        </w:rPr>
        <w:t>，提出有效应对措施。</w:t>
      </w:r>
    </w:p>
    <w:p w14:paraId="24C1F069">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5.根据采购需求，投标人需提供误差率的承诺。</w:t>
      </w:r>
    </w:p>
    <w:p w14:paraId="303DB2A5">
      <w:pPr>
        <w:pStyle w:val="4"/>
        <w:spacing w:before="120" w:after="120" w:line="360" w:lineRule="auto"/>
        <w:rPr>
          <w:rFonts w:hint="eastAsia" w:ascii="仿宋" w:hAnsi="仿宋" w:eastAsia="仿宋" w:cs="仿宋"/>
          <w:b/>
          <w:bCs/>
          <w:color w:val="auto"/>
          <w:sz w:val="24"/>
          <w:szCs w:val="24"/>
          <w:highlight w:val="none"/>
          <w:lang w:val="en-US" w:eastAsia="zh-CN"/>
        </w:rPr>
      </w:pPr>
      <w:bookmarkStart w:id="112" w:name="_Toc19989"/>
      <w:r>
        <w:rPr>
          <w:rFonts w:hint="eastAsia" w:ascii="仿宋" w:hAnsi="仿宋" w:eastAsia="仿宋" w:cs="仿宋"/>
          <w:b/>
          <w:bCs/>
          <w:color w:val="auto"/>
          <w:sz w:val="24"/>
          <w:szCs w:val="24"/>
          <w:highlight w:val="none"/>
          <w:lang w:val="en-US" w:eastAsia="zh-CN"/>
        </w:rPr>
        <w:t>十三、其他</w:t>
      </w:r>
      <w:bookmarkEnd w:id="112"/>
    </w:p>
    <w:p w14:paraId="3B7E8A0A">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1.分包和转包</w:t>
      </w:r>
    </w:p>
    <w:p w14:paraId="591C4D32">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（1）投标人不得将本合同范围的服务转包由其他单位承担；也不得未经采购人书面同意擅自部分内容分包给其他单位承担；如有违反以上情形，采购人有权解除合同，并追究中标人的违约责任。 </w:t>
      </w:r>
    </w:p>
    <w:p w14:paraId="6BE33E98">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（2）享受《政府采购促进中小企业发展管理办法》的通知（财库〔2020〕46 号）的规定扶持政策获得政府采购合同的，小微企业不得将合同分包给大中型企业，中型企业不得将合同分包给大型企业。  </w:t>
      </w:r>
    </w:p>
    <w:p w14:paraId="220064E0">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rPr>
        <w:t>投标时的证明材料要确保真实有效。如核实虚假的，采购人有权向监管部门反映，取消该投标人的中标资格并追究其法律责任。</w:t>
      </w:r>
    </w:p>
    <w:p w14:paraId="53E846FA">
      <w:pPr>
        <w:pStyle w:val="19"/>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评审结束后、合同签订前，采购人或采购代理机构将核查如下资料，供应商务必按要求提交相关材料。</w:t>
      </w:r>
    </w:p>
    <w:p w14:paraId="32E9D46F">
      <w:pPr>
        <w:pStyle w:val="19"/>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（1）资料收件人：唐稳；联系方式：0571-81061825；地址：杭州市西湖区文三路90号东部软件园一号楼319室。</w:t>
      </w:r>
    </w:p>
    <w:p w14:paraId="1B911C88">
      <w:pPr>
        <w:pStyle w:val="19"/>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（2）可以通过快递方式送达，也可以直接送达。</w:t>
      </w:r>
    </w:p>
    <w:p w14:paraId="50D35746">
      <w:pPr>
        <w:adjustRightInd w:val="0"/>
        <w:snapToGrid w:val="0"/>
        <w:spacing w:line="360" w:lineRule="auto"/>
        <w:ind w:firstLine="480"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（3）核验的资料：业绩合同原件，人员证书原件。</w:t>
      </w:r>
    </w:p>
    <w:p w14:paraId="23F16297">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lang w:val="zh-CN"/>
        </w:rPr>
        <w:t>未尽事宜可进一步参阅合同条款、</w:t>
      </w:r>
      <w:r>
        <w:rPr>
          <w:rFonts w:hint="eastAsia" w:ascii="仿宋" w:hAnsi="仿宋" w:eastAsia="仿宋" w:cs="仿宋"/>
          <w:snapToGrid w:val="0"/>
          <w:color w:val="auto"/>
          <w:kern w:val="0"/>
          <w:sz w:val="24"/>
          <w:highlight w:val="none"/>
        </w:rPr>
        <w:t>招标文件其他内容、</w:t>
      </w:r>
      <w:r>
        <w:rPr>
          <w:rFonts w:hint="eastAsia" w:ascii="仿宋" w:hAnsi="仿宋" w:eastAsia="仿宋" w:cs="仿宋"/>
          <w:snapToGrid w:val="0"/>
          <w:color w:val="auto"/>
          <w:kern w:val="0"/>
          <w:sz w:val="24"/>
          <w:highlight w:val="none"/>
          <w:lang w:val="zh-CN"/>
        </w:rPr>
        <w:t>相关附件。</w:t>
      </w:r>
    </w:p>
    <w:bookmarkEnd w:id="59"/>
    <w:bookmarkEnd w:id="60"/>
    <w:bookmarkEnd w:id="61"/>
    <w:bookmarkEnd w:id="62"/>
    <w:bookmarkEnd w:id="63"/>
    <w:bookmarkEnd w:id="64"/>
    <w:bookmarkEnd w:id="65"/>
    <w:bookmarkEnd w:id="66"/>
    <w:bookmarkEnd w:id="67"/>
    <w:bookmarkEnd w:id="68"/>
    <w:p w14:paraId="2DA15F5D">
      <w:pPr>
        <w:rPr>
          <w:rFonts w:hint="eastAsia" w:ascii="仿宋" w:hAnsi="仿宋" w:eastAsia="仿宋" w:cs="仿宋"/>
          <w:highlight w:val="none"/>
        </w:rPr>
      </w:pPr>
      <w:r>
        <w:rPr>
          <w:rFonts w:hint="eastAsia" w:ascii="仿宋" w:hAnsi="仿宋" w:eastAsia="仿宋" w:cs="仿宋"/>
          <w:highlight w:val="none"/>
        </w:rPr>
        <w:br w:type="page"/>
      </w:r>
    </w:p>
    <w:bookmarkEnd w:id="69"/>
    <w:bookmarkEnd w:id="70"/>
    <w:bookmarkEnd w:id="71"/>
    <w:bookmarkEnd w:id="72"/>
    <w:p w14:paraId="3EEBA598">
      <w:pPr>
        <w:adjustRightInd w:val="0"/>
        <w:snapToGrid w:val="0"/>
        <w:spacing w:before="120" w:beforeLines="50" w:after="120" w:afterLines="50" w:line="360" w:lineRule="auto"/>
        <w:jc w:val="center"/>
        <w:outlineLvl w:val="0"/>
        <w:rPr>
          <w:rFonts w:hint="eastAsia" w:ascii="仿宋" w:hAnsi="仿宋" w:eastAsia="仿宋" w:cs="仿宋"/>
          <w:b/>
          <w:color w:val="000000" w:themeColor="text1"/>
          <w:sz w:val="30"/>
          <w:szCs w:val="30"/>
          <w:highlight w:val="none"/>
          <w14:textFill>
            <w14:solidFill>
              <w14:schemeClr w14:val="tx1"/>
            </w14:solidFill>
          </w14:textFill>
        </w:rPr>
      </w:pPr>
      <w:bookmarkStart w:id="113" w:name="_Toc25398"/>
      <w:bookmarkStart w:id="114" w:name="_Toc14349"/>
      <w:r>
        <w:rPr>
          <w:rFonts w:hint="eastAsia" w:ascii="仿宋" w:hAnsi="仿宋" w:eastAsia="仿宋" w:cs="仿宋"/>
          <w:b/>
          <w:color w:val="000000" w:themeColor="text1"/>
          <w:sz w:val="30"/>
          <w:szCs w:val="30"/>
          <w:highlight w:val="none"/>
          <w14:textFill>
            <w14:solidFill>
              <w14:schemeClr w14:val="tx1"/>
            </w14:solidFill>
          </w14:textFill>
        </w:rPr>
        <w:t>第四部分  评标办法</w:t>
      </w:r>
      <w:bookmarkEnd w:id="113"/>
      <w:bookmarkEnd w:id="114"/>
    </w:p>
    <w:p w14:paraId="21D2C0F3">
      <w:pPr>
        <w:pStyle w:val="4"/>
        <w:snapToGrid w:val="0"/>
        <w:spacing w:before="120" w:beforeLines="50" w:after="120" w:afterLines="50" w:line="360" w:lineRule="auto"/>
        <w:rPr>
          <w:rFonts w:hint="eastAsia" w:ascii="仿宋" w:hAnsi="仿宋" w:eastAsia="仿宋" w:cs="仿宋"/>
          <w:sz w:val="24"/>
          <w:szCs w:val="24"/>
          <w:highlight w:val="none"/>
        </w:rPr>
      </w:pPr>
      <w:bookmarkStart w:id="115" w:name="_Toc11969"/>
      <w:bookmarkStart w:id="116" w:name="_Toc16598"/>
      <w:r>
        <w:rPr>
          <w:rFonts w:hint="eastAsia" w:ascii="仿宋" w:hAnsi="仿宋" w:eastAsia="仿宋" w:cs="仿宋"/>
          <w:sz w:val="24"/>
          <w:szCs w:val="24"/>
          <w:highlight w:val="none"/>
        </w:rPr>
        <w:t>评标办法前附表</w:t>
      </w:r>
      <w:bookmarkEnd w:id="115"/>
      <w:bookmarkEnd w:id="116"/>
    </w:p>
    <w:tbl>
      <w:tblPr>
        <w:tblStyle w:val="45"/>
        <w:tblpPr w:leftFromText="180" w:rightFromText="180" w:vertAnchor="text" w:horzAnchor="page" w:tblpX="1618" w:tblpY="120"/>
        <w:tblOverlap w:val="never"/>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4665"/>
        <w:gridCol w:w="945"/>
        <w:gridCol w:w="1009"/>
        <w:gridCol w:w="2008"/>
      </w:tblGrid>
      <w:tr w14:paraId="550D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07C66903">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lang w:bidi="ar"/>
              </w:rPr>
              <w:t>序号</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1FE7B0F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lang w:bidi="ar"/>
              </w:rPr>
              <w:t>评标标准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ED8FEC1">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lang w:bidi="ar"/>
              </w:rPr>
              <w:t>权重</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0C36431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主观分/客观分属性</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55FDB84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lang w:eastAsia="zh-CN" w:bidi="ar"/>
              </w:rPr>
              <w:t>投标文件</w:t>
            </w:r>
            <w:r>
              <w:rPr>
                <w:rFonts w:hint="eastAsia" w:ascii="仿宋" w:hAnsi="仿宋" w:eastAsia="仿宋" w:cs="仿宋"/>
                <w:bCs/>
                <w:sz w:val="24"/>
                <w:highlight w:val="none"/>
                <w:lang w:bidi="ar"/>
              </w:rPr>
              <w:t>中评标标准相应的商务技术资料目录</w:t>
            </w:r>
            <w:r>
              <w:rPr>
                <w:rFonts w:hint="eastAsia" w:ascii="仿宋" w:hAnsi="仿宋" w:eastAsia="仿宋" w:cs="仿宋"/>
                <w:sz w:val="24"/>
                <w:highlight w:val="none"/>
                <w:shd w:val="clear" w:color="auto" w:fill="FFFFFF"/>
                <w:lang w:bidi="ar"/>
              </w:rPr>
              <w:t>*</w:t>
            </w:r>
          </w:p>
        </w:tc>
      </w:tr>
      <w:tr w14:paraId="1986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72CAED3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lang w:bidi="ar"/>
              </w:rPr>
              <w:t>1</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3B99F054">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bidi="ar"/>
              </w:rPr>
              <w:t>投标人</w:t>
            </w:r>
            <w:r>
              <w:rPr>
                <w:rFonts w:hint="eastAsia" w:ascii="仿宋" w:hAnsi="仿宋" w:eastAsia="仿宋" w:cs="仿宋"/>
                <w:sz w:val="24"/>
                <w:highlight w:val="none"/>
                <w:lang w:bidi="ar"/>
              </w:rPr>
              <w:t>服务经验</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5AE267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bidi="ar"/>
              </w:rPr>
              <w:t>/</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52538D7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2450750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15F9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0BDE238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1.1</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6958B486">
            <w:pPr>
              <w:keepNext w:val="0"/>
              <w:keepLines w:val="0"/>
              <w:pageBreakBefore w:val="0"/>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2022年1月1日以来（时间以审核报告出具日期为准），投标人完成政府投资项目工程竣工财务决算审核服务项目的，每个得0.</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分，最高得1分。</w:t>
            </w:r>
          </w:p>
          <w:p w14:paraId="303B83C2">
            <w:pPr>
              <w:keepNext w:val="0"/>
              <w:keepLines w:val="0"/>
              <w:pageBreakBefore w:val="0"/>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证明材料：①同时提供委托合同及审核报告</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复印件或扫描件</w:t>
            </w:r>
            <w:r>
              <w:rPr>
                <w:rFonts w:hint="eastAsia" w:ascii="仿宋" w:hAnsi="仿宋" w:eastAsia="仿宋" w:cs="仿宋"/>
                <w:sz w:val="24"/>
                <w:highlight w:val="none"/>
              </w:rPr>
              <w:t>并加盖公章</w:t>
            </w:r>
            <w:r>
              <w:rPr>
                <w:rFonts w:hint="eastAsia" w:ascii="仿宋" w:hAnsi="仿宋" w:eastAsia="仿宋" w:cs="仿宋"/>
                <w:sz w:val="24"/>
                <w:highlight w:val="none"/>
                <w:lang w:eastAsia="zh-CN"/>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10B188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735730E7">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3DE3DF5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6951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45D8F3C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2</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1B2615C4">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审核服务工作方案</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5036DC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7A35D283">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50C8232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1711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7"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457BF99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2.1</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71C82BD5">
            <w:pPr>
              <w:pStyle w:val="17"/>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根据投标文件中各投标人针对本项目提出的</w:t>
            </w:r>
            <w:r>
              <w:rPr>
                <w:rFonts w:hint="eastAsia" w:ascii="仿宋" w:hAnsi="仿宋" w:eastAsia="仿宋" w:cs="仿宋"/>
                <w:b/>
                <w:bCs/>
                <w:sz w:val="24"/>
                <w:highlight w:val="none"/>
              </w:rPr>
              <w:t>工作程序、计划安排的响应情况</w:t>
            </w:r>
            <w:r>
              <w:rPr>
                <w:rFonts w:hint="eastAsia" w:ascii="仿宋" w:hAnsi="仿宋" w:eastAsia="仿宋" w:cs="仿宋"/>
                <w:sz w:val="24"/>
                <w:highlight w:val="none"/>
              </w:rPr>
              <w:t>进行评分。</w:t>
            </w:r>
          </w:p>
          <w:p w14:paraId="54E18705">
            <w:pPr>
              <w:pStyle w:val="17"/>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方案内容完整、表述清晰、合理可行，视为方案</w:t>
            </w:r>
            <w:r>
              <w:rPr>
                <w:rFonts w:hint="eastAsia" w:ascii="仿宋" w:hAnsi="仿宋" w:eastAsia="仿宋" w:cs="仿宋"/>
                <w:color w:val="auto"/>
                <w:sz w:val="24"/>
                <w:highlight w:val="none"/>
                <w:lang w:val="en-US" w:eastAsia="zh-CN"/>
              </w:rPr>
              <w:t>好</w:t>
            </w:r>
            <w:r>
              <w:rPr>
                <w:rFonts w:hint="eastAsia" w:ascii="仿宋" w:hAnsi="仿宋" w:eastAsia="仿宋" w:cs="仿宋"/>
                <w:color w:val="auto"/>
                <w:sz w:val="24"/>
                <w:highlight w:val="none"/>
              </w:rPr>
              <w:t>，得6分；</w:t>
            </w:r>
          </w:p>
          <w:p w14:paraId="659EA4C7">
            <w:pPr>
              <w:pStyle w:val="17"/>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②方案内容较完整、表述较清晰、较合理可行，视为方案较好，得4.5分；</w:t>
            </w:r>
          </w:p>
          <w:p w14:paraId="613E63DE">
            <w:pPr>
              <w:pStyle w:val="17"/>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③</w:t>
            </w:r>
            <w:r>
              <w:rPr>
                <w:rFonts w:hint="eastAsia" w:ascii="仿宋" w:hAnsi="仿宋" w:eastAsia="仿宋" w:cs="仿宋"/>
                <w:color w:val="auto"/>
                <w:sz w:val="24"/>
                <w:highlight w:val="none"/>
              </w:rPr>
              <w:t>方案内容基本完整、表述基本</w:t>
            </w:r>
            <w:r>
              <w:rPr>
                <w:rFonts w:hint="eastAsia" w:ascii="仿宋" w:hAnsi="仿宋" w:eastAsia="仿宋" w:cs="仿宋"/>
                <w:color w:val="auto"/>
                <w:sz w:val="24"/>
                <w:highlight w:val="none"/>
                <w:lang w:val="en-US" w:eastAsia="zh-CN"/>
              </w:rPr>
              <w:t>清晰</w:t>
            </w:r>
            <w:r>
              <w:rPr>
                <w:rFonts w:hint="eastAsia" w:ascii="仿宋" w:hAnsi="仿宋" w:eastAsia="仿宋" w:cs="仿宋"/>
                <w:color w:val="auto"/>
                <w:sz w:val="24"/>
                <w:highlight w:val="none"/>
              </w:rPr>
              <w:t>、基本合理可行的，视为方案</w:t>
            </w:r>
            <w:r>
              <w:rPr>
                <w:rFonts w:hint="eastAsia" w:ascii="仿宋" w:hAnsi="仿宋" w:eastAsia="仿宋" w:cs="仿宋"/>
                <w:color w:val="auto"/>
                <w:sz w:val="24"/>
                <w:highlight w:val="none"/>
                <w:lang w:val="en-US" w:eastAsia="zh-CN"/>
              </w:rPr>
              <w:t>一般</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2411C873">
            <w:pPr>
              <w:pStyle w:val="17"/>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④</w:t>
            </w:r>
            <w:r>
              <w:rPr>
                <w:rFonts w:hint="eastAsia" w:ascii="仿宋" w:hAnsi="仿宋" w:eastAsia="仿宋" w:cs="仿宋"/>
                <w:color w:val="auto"/>
                <w:sz w:val="24"/>
                <w:highlight w:val="none"/>
              </w:rPr>
              <w:t>方案内容</w:t>
            </w:r>
            <w:r>
              <w:rPr>
                <w:rFonts w:hint="eastAsia" w:ascii="仿宋" w:hAnsi="仿宋" w:eastAsia="仿宋" w:cs="仿宋"/>
                <w:color w:val="auto"/>
                <w:sz w:val="24"/>
                <w:highlight w:val="none"/>
                <w:lang w:val="en-US" w:eastAsia="zh-CN"/>
              </w:rPr>
              <w:t>不够</w:t>
            </w:r>
            <w:r>
              <w:rPr>
                <w:rFonts w:hint="eastAsia" w:ascii="仿宋" w:hAnsi="仿宋" w:eastAsia="仿宋" w:cs="仿宋"/>
                <w:color w:val="auto"/>
                <w:sz w:val="24"/>
                <w:highlight w:val="none"/>
              </w:rPr>
              <w:t>完整、表述</w:t>
            </w:r>
            <w:r>
              <w:rPr>
                <w:rFonts w:hint="eastAsia" w:ascii="仿宋" w:hAnsi="仿宋" w:eastAsia="仿宋" w:cs="仿宋"/>
                <w:color w:val="auto"/>
                <w:sz w:val="24"/>
                <w:highlight w:val="none"/>
                <w:lang w:val="en-US" w:eastAsia="zh-CN"/>
              </w:rPr>
              <w:t>不够</w:t>
            </w:r>
            <w:r>
              <w:rPr>
                <w:rFonts w:hint="eastAsia" w:ascii="仿宋" w:hAnsi="仿宋" w:eastAsia="仿宋" w:cs="仿宋"/>
                <w:color w:val="auto"/>
                <w:sz w:val="24"/>
                <w:highlight w:val="none"/>
              </w:rPr>
              <w:t>清晰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视为方案存在不足，得</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p>
          <w:p w14:paraId="05601830">
            <w:pPr>
              <w:pStyle w:val="17"/>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color w:val="auto"/>
                <w:sz w:val="24"/>
                <w:highlight w:val="none"/>
                <w:lang w:val="en-US" w:eastAsia="zh-CN"/>
              </w:rPr>
              <w:t>⑤</w:t>
            </w:r>
            <w:r>
              <w:rPr>
                <w:rFonts w:hint="eastAsia" w:ascii="仿宋" w:hAnsi="仿宋" w:eastAsia="仿宋" w:cs="仿宋"/>
                <w:color w:val="auto"/>
                <w:sz w:val="24"/>
                <w:highlight w:val="none"/>
              </w:rPr>
              <w:t>方案不具有可行性</w:t>
            </w:r>
            <w:r>
              <w:rPr>
                <w:rFonts w:hint="eastAsia" w:ascii="仿宋" w:hAnsi="仿宋" w:eastAsia="仿宋" w:cs="仿宋"/>
                <w:color w:val="auto"/>
                <w:sz w:val="24"/>
                <w:highlight w:val="none"/>
                <w:lang w:val="en-US" w:eastAsia="zh-CN"/>
              </w:rPr>
              <w:t>或者未提供方案</w:t>
            </w:r>
            <w:r>
              <w:rPr>
                <w:rFonts w:hint="eastAsia" w:ascii="仿宋" w:hAnsi="仿宋" w:eastAsia="仿宋" w:cs="仿宋"/>
                <w:color w:val="auto"/>
                <w:sz w:val="24"/>
                <w:highlight w:val="none"/>
              </w:rPr>
              <w:t>，视为方案不可行，得0分。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03D9EE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6</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186A2249">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230FD90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63F9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35EC9A9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2.2</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63DF71AD">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根据投标文件中各投标人针对</w:t>
            </w:r>
            <w:r>
              <w:rPr>
                <w:rFonts w:hint="eastAsia" w:ascii="仿宋" w:hAnsi="仿宋" w:eastAsia="仿宋" w:cs="仿宋"/>
                <w:b/>
                <w:bCs/>
                <w:sz w:val="24"/>
                <w:highlight w:val="none"/>
              </w:rPr>
              <w:t>问题披露及整改措施建议</w:t>
            </w:r>
            <w:r>
              <w:rPr>
                <w:rFonts w:hint="eastAsia" w:ascii="仿宋" w:hAnsi="仿宋" w:eastAsia="仿宋" w:cs="仿宋"/>
                <w:b/>
                <w:bCs/>
                <w:sz w:val="24"/>
                <w:highlight w:val="none"/>
                <w:lang w:val="en-US" w:eastAsia="zh-CN"/>
              </w:rPr>
              <w:t>的情况</w:t>
            </w:r>
            <w:r>
              <w:rPr>
                <w:rFonts w:hint="eastAsia" w:ascii="仿宋" w:hAnsi="仿宋" w:eastAsia="仿宋" w:cs="仿宋"/>
                <w:sz w:val="24"/>
                <w:highlight w:val="none"/>
              </w:rPr>
              <w:t>进行评分。</w:t>
            </w:r>
          </w:p>
          <w:p w14:paraId="6FC8B1E0">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①</w:t>
            </w:r>
            <w:r>
              <w:rPr>
                <w:rFonts w:hint="eastAsia" w:ascii="仿宋" w:hAnsi="仿宋" w:eastAsia="仿宋" w:cs="仿宋"/>
                <w:sz w:val="24"/>
                <w:highlight w:val="none"/>
              </w:rPr>
              <w:t>问题披露及整改措施建议内容完整、表述清晰、合理可行，视为方案</w:t>
            </w:r>
            <w:r>
              <w:rPr>
                <w:rFonts w:hint="eastAsia" w:ascii="仿宋" w:hAnsi="仿宋" w:eastAsia="仿宋" w:cs="仿宋"/>
                <w:sz w:val="24"/>
                <w:highlight w:val="none"/>
                <w:lang w:val="en-US" w:eastAsia="zh-CN"/>
              </w:rPr>
              <w:t>好</w:t>
            </w:r>
            <w:r>
              <w:rPr>
                <w:rFonts w:hint="eastAsia" w:ascii="仿宋" w:hAnsi="仿宋" w:eastAsia="仿宋" w:cs="仿宋"/>
                <w:sz w:val="24"/>
                <w:highlight w:val="none"/>
              </w:rPr>
              <w:t>，得6分；</w:t>
            </w:r>
          </w:p>
          <w:p w14:paraId="248DFCEC">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②问题披露及整改措施建议内容较完整、表述较清晰、较合理可行，视为方案较好，得4.5分；</w:t>
            </w:r>
          </w:p>
          <w:p w14:paraId="09C137E6">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③</w:t>
            </w:r>
            <w:r>
              <w:rPr>
                <w:rFonts w:hint="eastAsia" w:ascii="仿宋" w:hAnsi="仿宋" w:eastAsia="仿宋" w:cs="仿宋"/>
                <w:sz w:val="24"/>
                <w:highlight w:val="none"/>
              </w:rPr>
              <w:t>问题披露及整改措施建议内容基本完整、表述基本</w:t>
            </w:r>
            <w:r>
              <w:rPr>
                <w:rFonts w:hint="eastAsia" w:ascii="仿宋" w:hAnsi="仿宋" w:eastAsia="仿宋" w:cs="仿宋"/>
                <w:sz w:val="24"/>
                <w:highlight w:val="none"/>
                <w:lang w:val="en-US" w:eastAsia="zh-CN"/>
              </w:rPr>
              <w:t>清晰</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基本</w:t>
            </w:r>
            <w:r>
              <w:rPr>
                <w:rFonts w:hint="eastAsia" w:ascii="仿宋" w:hAnsi="仿宋" w:eastAsia="仿宋" w:cs="仿宋"/>
                <w:sz w:val="24"/>
                <w:highlight w:val="none"/>
              </w:rPr>
              <w:t>合理可行的，视为方案</w:t>
            </w:r>
            <w:r>
              <w:rPr>
                <w:rFonts w:hint="eastAsia" w:ascii="仿宋" w:hAnsi="仿宋" w:eastAsia="仿宋" w:cs="仿宋"/>
                <w:sz w:val="24"/>
                <w:highlight w:val="none"/>
                <w:lang w:val="en-US" w:eastAsia="zh-CN"/>
              </w:rPr>
              <w:t>一般</w:t>
            </w:r>
            <w:r>
              <w:rPr>
                <w:rFonts w:hint="eastAsia" w:ascii="仿宋" w:hAnsi="仿宋" w:eastAsia="仿宋" w:cs="仿宋"/>
                <w:sz w:val="24"/>
                <w:highlight w:val="none"/>
              </w:rPr>
              <w:t>，得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p>
          <w:p w14:paraId="3D2DD856">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④问题披露及整改措施建议内容不够完整</w:t>
            </w:r>
            <w:r>
              <w:rPr>
                <w:rFonts w:hint="eastAsia" w:ascii="仿宋" w:hAnsi="仿宋" w:eastAsia="仿宋" w:cs="仿宋"/>
                <w:sz w:val="24"/>
                <w:highlight w:val="none"/>
              </w:rPr>
              <w:t>，表述</w:t>
            </w:r>
            <w:r>
              <w:rPr>
                <w:rFonts w:hint="eastAsia" w:ascii="仿宋" w:hAnsi="仿宋" w:eastAsia="仿宋" w:cs="仿宋"/>
                <w:sz w:val="24"/>
                <w:highlight w:val="none"/>
                <w:lang w:val="en-US" w:eastAsia="zh-CN"/>
              </w:rPr>
              <w:t>不够</w:t>
            </w:r>
            <w:r>
              <w:rPr>
                <w:rFonts w:hint="eastAsia" w:ascii="仿宋" w:hAnsi="仿宋" w:eastAsia="仿宋" w:cs="仿宋"/>
                <w:sz w:val="24"/>
                <w:highlight w:val="none"/>
              </w:rPr>
              <w:t>清晰</w:t>
            </w:r>
            <w:r>
              <w:rPr>
                <w:rFonts w:hint="eastAsia" w:ascii="仿宋" w:hAnsi="仿宋" w:eastAsia="仿宋" w:cs="仿宋"/>
                <w:sz w:val="24"/>
                <w:highlight w:val="none"/>
                <w:lang w:eastAsia="zh-CN"/>
              </w:rPr>
              <w:t>，</w:t>
            </w:r>
            <w:r>
              <w:rPr>
                <w:rFonts w:hint="eastAsia" w:ascii="仿宋" w:hAnsi="仿宋" w:eastAsia="仿宋" w:cs="仿宋"/>
                <w:sz w:val="24"/>
                <w:highlight w:val="none"/>
              </w:rPr>
              <w:t>视为方案存在不足，得</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分；</w:t>
            </w:r>
          </w:p>
          <w:p w14:paraId="6BCCA79F">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⑤</w:t>
            </w:r>
            <w:r>
              <w:rPr>
                <w:rFonts w:hint="eastAsia" w:ascii="仿宋" w:hAnsi="仿宋" w:eastAsia="仿宋" w:cs="仿宋"/>
                <w:sz w:val="24"/>
                <w:highlight w:val="none"/>
              </w:rPr>
              <w:t>方案不具有可行性</w:t>
            </w:r>
            <w:r>
              <w:rPr>
                <w:rFonts w:hint="eastAsia" w:ascii="仿宋" w:hAnsi="仿宋" w:eastAsia="仿宋" w:cs="仿宋"/>
                <w:sz w:val="24"/>
                <w:highlight w:val="none"/>
                <w:lang w:val="en-US" w:eastAsia="zh-CN"/>
              </w:rPr>
              <w:t>或者未提供方案</w:t>
            </w:r>
            <w:r>
              <w:rPr>
                <w:rFonts w:hint="eastAsia" w:ascii="仿宋" w:hAnsi="仿宋" w:eastAsia="仿宋" w:cs="仿宋"/>
                <w:sz w:val="24"/>
                <w:highlight w:val="none"/>
              </w:rPr>
              <w:t>，视为方案不可行，得0分。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C25821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6</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51A7D547">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3050967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6104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1"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4FAE22C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2.3</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61FC415B">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b/>
                <w:bCs/>
                <w:sz w:val="24"/>
                <w:highlight w:val="none"/>
              </w:rPr>
              <w:t>质量保证措施。</w:t>
            </w:r>
            <w:r>
              <w:rPr>
                <w:rFonts w:hint="eastAsia" w:ascii="仿宋" w:hAnsi="仿宋" w:eastAsia="仿宋" w:cs="仿宋"/>
                <w:sz w:val="24"/>
                <w:highlight w:val="none"/>
              </w:rPr>
              <w:t>根据质量内控体系、内控制度、报告质量管理制度建立情况，与财务决算审核质量要求的</w:t>
            </w:r>
            <w:r>
              <w:rPr>
                <w:rFonts w:hint="eastAsia" w:ascii="仿宋" w:hAnsi="仿宋" w:eastAsia="仿宋" w:cs="仿宋"/>
                <w:sz w:val="24"/>
                <w:highlight w:val="none"/>
                <w:lang w:val="en-US" w:eastAsia="zh-CN"/>
              </w:rPr>
              <w:t>满足</w:t>
            </w:r>
            <w:r>
              <w:rPr>
                <w:rFonts w:hint="eastAsia" w:ascii="仿宋" w:hAnsi="仿宋" w:eastAsia="仿宋" w:cs="仿宋"/>
                <w:sz w:val="24"/>
                <w:highlight w:val="none"/>
              </w:rPr>
              <w:t>情况进行评分。</w:t>
            </w:r>
          </w:p>
          <w:p w14:paraId="73DDB06E">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①</w:t>
            </w:r>
            <w:r>
              <w:rPr>
                <w:rFonts w:hint="eastAsia" w:ascii="仿宋" w:hAnsi="仿宋" w:eastAsia="仿宋" w:cs="仿宋"/>
                <w:sz w:val="24"/>
                <w:highlight w:val="none"/>
              </w:rPr>
              <w:t>各质量保证制度完善、满足财务决算审核质量要求的，视为方案</w:t>
            </w:r>
            <w:r>
              <w:rPr>
                <w:rFonts w:hint="eastAsia" w:ascii="仿宋" w:hAnsi="仿宋" w:eastAsia="仿宋" w:cs="仿宋"/>
                <w:sz w:val="24"/>
                <w:highlight w:val="none"/>
                <w:lang w:val="en-US" w:eastAsia="zh-CN"/>
              </w:rPr>
              <w:t>好</w:t>
            </w:r>
            <w:r>
              <w:rPr>
                <w:rFonts w:hint="eastAsia" w:ascii="仿宋" w:hAnsi="仿宋" w:eastAsia="仿宋" w:cs="仿宋"/>
                <w:sz w:val="24"/>
                <w:highlight w:val="none"/>
              </w:rPr>
              <w:t>，得6分；</w:t>
            </w:r>
          </w:p>
          <w:p w14:paraId="70107D4A">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②各质量保证制度较完善、较好满足财务决算审核质量要求的，视为方案较好，得4.5分；</w:t>
            </w:r>
          </w:p>
          <w:p w14:paraId="05AC17F3">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③</w:t>
            </w:r>
            <w:r>
              <w:rPr>
                <w:rFonts w:hint="eastAsia" w:ascii="仿宋" w:hAnsi="仿宋" w:eastAsia="仿宋" w:cs="仿宋"/>
                <w:sz w:val="24"/>
                <w:highlight w:val="none"/>
              </w:rPr>
              <w:t>各质量保证制度基本</w:t>
            </w:r>
            <w:r>
              <w:rPr>
                <w:rFonts w:hint="eastAsia" w:ascii="仿宋" w:hAnsi="仿宋" w:eastAsia="仿宋" w:cs="仿宋"/>
                <w:sz w:val="24"/>
                <w:highlight w:val="none"/>
                <w:lang w:val="en-US" w:eastAsia="zh-CN"/>
              </w:rPr>
              <w:t>完善</w:t>
            </w:r>
            <w:r>
              <w:rPr>
                <w:rFonts w:hint="eastAsia" w:ascii="仿宋" w:hAnsi="仿宋" w:eastAsia="仿宋" w:cs="仿宋"/>
                <w:sz w:val="24"/>
                <w:highlight w:val="none"/>
              </w:rPr>
              <w:t>，基本满足财务决算审核质量要求的，视为方案</w:t>
            </w:r>
            <w:r>
              <w:rPr>
                <w:rFonts w:hint="eastAsia" w:ascii="仿宋" w:hAnsi="仿宋" w:eastAsia="仿宋" w:cs="仿宋"/>
                <w:sz w:val="24"/>
                <w:highlight w:val="none"/>
                <w:lang w:val="en-US" w:eastAsia="zh-CN"/>
              </w:rPr>
              <w:t>一般</w:t>
            </w:r>
            <w:r>
              <w:rPr>
                <w:rFonts w:hint="eastAsia" w:ascii="仿宋" w:hAnsi="仿宋" w:eastAsia="仿宋" w:cs="仿宋"/>
                <w:sz w:val="24"/>
                <w:highlight w:val="none"/>
              </w:rPr>
              <w:t>，得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p>
          <w:p w14:paraId="61123325">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④各</w:t>
            </w:r>
            <w:r>
              <w:rPr>
                <w:rFonts w:hint="eastAsia" w:ascii="仿宋" w:hAnsi="仿宋" w:eastAsia="仿宋" w:cs="仿宋"/>
                <w:sz w:val="24"/>
                <w:highlight w:val="none"/>
              </w:rPr>
              <w:t>质量保证制度不</w:t>
            </w:r>
            <w:r>
              <w:rPr>
                <w:rFonts w:hint="eastAsia" w:ascii="仿宋" w:hAnsi="仿宋" w:eastAsia="仿宋" w:cs="仿宋"/>
                <w:sz w:val="24"/>
                <w:highlight w:val="none"/>
                <w:lang w:val="en-US" w:eastAsia="zh-CN"/>
              </w:rPr>
              <w:t>够完善、不够满足财务决算审核质量要求的</w:t>
            </w:r>
            <w:r>
              <w:rPr>
                <w:rFonts w:hint="eastAsia" w:ascii="仿宋" w:hAnsi="仿宋" w:eastAsia="仿宋" w:cs="仿宋"/>
                <w:sz w:val="24"/>
                <w:highlight w:val="none"/>
              </w:rPr>
              <w:t>，视为方案存在不足，得</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分。</w:t>
            </w:r>
          </w:p>
          <w:p w14:paraId="749BF8B0">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⑤各</w:t>
            </w:r>
            <w:r>
              <w:rPr>
                <w:rFonts w:hint="eastAsia" w:ascii="仿宋" w:hAnsi="仿宋" w:eastAsia="仿宋" w:cs="仿宋"/>
                <w:sz w:val="24"/>
                <w:highlight w:val="none"/>
              </w:rPr>
              <w:t>质量保证制度不</w:t>
            </w:r>
            <w:r>
              <w:rPr>
                <w:rFonts w:hint="eastAsia" w:ascii="仿宋" w:hAnsi="仿宋" w:eastAsia="仿宋" w:cs="仿宋"/>
                <w:sz w:val="24"/>
                <w:highlight w:val="none"/>
                <w:lang w:val="en-US" w:eastAsia="zh-CN"/>
              </w:rPr>
              <w:t>完善、不满足财务决算审核质量要求的或者未提供方案</w:t>
            </w:r>
            <w:r>
              <w:rPr>
                <w:rFonts w:hint="eastAsia" w:ascii="仿宋" w:hAnsi="仿宋" w:eastAsia="仿宋" w:cs="仿宋"/>
                <w:sz w:val="24"/>
                <w:highlight w:val="none"/>
              </w:rPr>
              <w:t>，视为方案不可行，得0分</w:t>
            </w:r>
            <w:r>
              <w:rPr>
                <w:rFonts w:hint="eastAsia" w:ascii="仿宋" w:hAnsi="仿宋" w:eastAsia="仿宋" w:cs="仿宋"/>
                <w:sz w:val="24"/>
                <w:highlight w:val="none"/>
                <w:lang w:eastAsia="zh-CN"/>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BDB6F8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6</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5D45095D">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5A95D5F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5E46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8"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6BD3575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2.4</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253A0AAF">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bidi="ar"/>
              </w:rPr>
            </w:pPr>
            <w:r>
              <w:rPr>
                <w:rFonts w:hint="eastAsia" w:ascii="仿宋" w:hAnsi="仿宋" w:eastAsia="仿宋" w:cs="仿宋"/>
                <w:b/>
                <w:bCs/>
                <w:sz w:val="24"/>
                <w:highlight w:val="none"/>
                <w:lang w:bidi="ar"/>
              </w:rPr>
              <w:t>应急预案。</w:t>
            </w:r>
            <w:r>
              <w:rPr>
                <w:rFonts w:hint="eastAsia" w:ascii="仿宋" w:hAnsi="仿宋" w:eastAsia="仿宋" w:cs="仿宋"/>
                <w:sz w:val="24"/>
                <w:highlight w:val="none"/>
                <w:lang w:bidi="ar"/>
              </w:rPr>
              <w:t>根据各投标人针对突发性事件</w:t>
            </w:r>
            <w:r>
              <w:rPr>
                <w:rFonts w:hint="eastAsia" w:ascii="仿宋" w:hAnsi="仿宋" w:eastAsia="仿宋" w:cs="仿宋"/>
                <w:sz w:val="24"/>
                <w:highlight w:val="none"/>
                <w:lang w:eastAsia="zh-CN" w:bidi="ar"/>
              </w:rPr>
              <w:t>（</w:t>
            </w:r>
            <w:r>
              <w:rPr>
                <w:rFonts w:hint="eastAsia" w:ascii="仿宋" w:hAnsi="仿宋" w:eastAsia="仿宋" w:cs="仿宋"/>
                <w:sz w:val="24"/>
                <w:highlight w:val="none"/>
                <w:lang w:bidi="ar"/>
              </w:rPr>
              <w:t>如临时任务</w:t>
            </w:r>
            <w:r>
              <w:rPr>
                <w:rFonts w:hint="eastAsia" w:ascii="仿宋" w:hAnsi="仿宋" w:eastAsia="仿宋" w:cs="仿宋"/>
                <w:sz w:val="24"/>
                <w:highlight w:val="none"/>
                <w:lang w:eastAsia="zh-CN" w:bidi="ar"/>
              </w:rPr>
              <w:t>）</w:t>
            </w:r>
            <w:r>
              <w:rPr>
                <w:rFonts w:hint="eastAsia" w:ascii="仿宋" w:hAnsi="仿宋" w:eastAsia="仿宋" w:cs="仿宋"/>
                <w:sz w:val="24"/>
                <w:highlight w:val="none"/>
                <w:lang w:bidi="ar"/>
              </w:rPr>
              <w:t>,制定</w:t>
            </w:r>
            <w:r>
              <w:rPr>
                <w:rFonts w:hint="eastAsia" w:ascii="仿宋" w:hAnsi="仿宋" w:eastAsia="仿宋" w:cs="仿宋"/>
                <w:sz w:val="24"/>
                <w:highlight w:val="none"/>
                <w:lang w:val="en-US" w:eastAsia="zh-CN" w:bidi="ar"/>
              </w:rPr>
              <w:t>完整</w:t>
            </w:r>
            <w:r>
              <w:rPr>
                <w:rFonts w:hint="eastAsia" w:ascii="仿宋" w:hAnsi="仿宋" w:eastAsia="仿宋" w:cs="仿宋"/>
                <w:sz w:val="24"/>
                <w:highlight w:val="none"/>
                <w:lang w:eastAsia="zh-CN" w:bidi="ar"/>
              </w:rPr>
              <w:t>、</w:t>
            </w:r>
            <w:r>
              <w:rPr>
                <w:rFonts w:hint="eastAsia" w:ascii="仿宋" w:hAnsi="仿宋" w:eastAsia="仿宋" w:cs="仿宋"/>
                <w:sz w:val="24"/>
                <w:highlight w:val="none"/>
                <w:lang w:bidi="ar"/>
              </w:rPr>
              <w:t>有针对性</w:t>
            </w:r>
            <w:r>
              <w:rPr>
                <w:rFonts w:hint="eastAsia" w:ascii="仿宋" w:hAnsi="仿宋" w:eastAsia="仿宋" w:cs="仿宋"/>
                <w:sz w:val="24"/>
                <w:highlight w:val="none"/>
                <w:lang w:eastAsia="zh-CN" w:bidi="ar"/>
              </w:rPr>
              <w:t>、</w:t>
            </w:r>
            <w:r>
              <w:rPr>
                <w:rFonts w:hint="eastAsia" w:ascii="仿宋" w:hAnsi="仿宋" w:eastAsia="仿宋" w:cs="仿宋"/>
                <w:sz w:val="24"/>
                <w:highlight w:val="none"/>
                <w:lang w:val="en-US" w:eastAsia="zh-CN" w:bidi="ar"/>
              </w:rPr>
              <w:t>切实可行</w:t>
            </w:r>
            <w:r>
              <w:rPr>
                <w:rFonts w:hint="eastAsia" w:ascii="仿宋" w:hAnsi="仿宋" w:eastAsia="仿宋" w:cs="仿宋"/>
                <w:sz w:val="24"/>
                <w:highlight w:val="none"/>
                <w:lang w:bidi="ar"/>
              </w:rPr>
              <w:t>的应急措施等情况进行评分。</w:t>
            </w:r>
          </w:p>
          <w:p w14:paraId="264E6429">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bidi="ar"/>
              </w:rPr>
            </w:pPr>
            <w:r>
              <w:rPr>
                <w:rFonts w:hint="eastAsia" w:ascii="仿宋" w:hAnsi="仿宋" w:eastAsia="仿宋" w:cs="仿宋"/>
                <w:sz w:val="24"/>
                <w:highlight w:val="none"/>
                <w:lang w:eastAsia="zh-CN" w:bidi="ar"/>
              </w:rPr>
              <w:t>①</w:t>
            </w:r>
            <w:r>
              <w:rPr>
                <w:rFonts w:hint="eastAsia" w:ascii="仿宋" w:hAnsi="仿宋" w:eastAsia="仿宋" w:cs="仿宋"/>
                <w:sz w:val="24"/>
                <w:highlight w:val="none"/>
                <w:lang w:bidi="ar"/>
              </w:rPr>
              <w:t>提出</w:t>
            </w:r>
            <w:r>
              <w:rPr>
                <w:rFonts w:hint="eastAsia" w:ascii="仿宋" w:hAnsi="仿宋" w:eastAsia="仿宋" w:cs="仿宋"/>
                <w:sz w:val="24"/>
                <w:highlight w:val="none"/>
                <w:lang w:val="en-US" w:eastAsia="zh-CN" w:bidi="ar"/>
              </w:rPr>
              <w:t>完整</w:t>
            </w:r>
            <w:r>
              <w:rPr>
                <w:rFonts w:hint="eastAsia" w:ascii="仿宋" w:hAnsi="仿宋" w:eastAsia="仿宋" w:cs="仿宋"/>
                <w:sz w:val="24"/>
                <w:highlight w:val="none"/>
                <w:lang w:bidi="ar"/>
              </w:rPr>
              <w:t>、有针对性、</w:t>
            </w:r>
            <w:r>
              <w:rPr>
                <w:rFonts w:hint="eastAsia" w:ascii="仿宋" w:hAnsi="仿宋" w:eastAsia="仿宋" w:cs="仿宋"/>
                <w:sz w:val="24"/>
                <w:highlight w:val="none"/>
                <w:lang w:val="en-US" w:eastAsia="zh-CN" w:bidi="ar"/>
              </w:rPr>
              <w:t>切实可行</w:t>
            </w:r>
            <w:r>
              <w:rPr>
                <w:rFonts w:hint="eastAsia" w:ascii="仿宋" w:hAnsi="仿宋" w:eastAsia="仿宋" w:cs="仿宋"/>
                <w:sz w:val="24"/>
                <w:highlight w:val="none"/>
                <w:lang w:bidi="ar"/>
              </w:rPr>
              <w:t>的</w:t>
            </w:r>
            <w:r>
              <w:rPr>
                <w:rFonts w:hint="eastAsia" w:ascii="仿宋" w:hAnsi="仿宋" w:eastAsia="仿宋" w:cs="仿宋"/>
                <w:sz w:val="24"/>
                <w:highlight w:val="none"/>
                <w:lang w:val="en-US" w:eastAsia="zh-CN" w:bidi="ar"/>
              </w:rPr>
              <w:t>措施</w:t>
            </w:r>
            <w:r>
              <w:rPr>
                <w:rFonts w:hint="eastAsia" w:ascii="仿宋" w:hAnsi="仿宋" w:eastAsia="仿宋" w:cs="仿宋"/>
                <w:sz w:val="24"/>
                <w:highlight w:val="none"/>
                <w:lang w:bidi="ar"/>
              </w:rPr>
              <w:t>，视为</w:t>
            </w:r>
            <w:r>
              <w:rPr>
                <w:rFonts w:hint="eastAsia" w:ascii="仿宋" w:hAnsi="仿宋" w:eastAsia="仿宋" w:cs="仿宋"/>
                <w:sz w:val="24"/>
                <w:highlight w:val="none"/>
                <w:lang w:val="en-US" w:eastAsia="zh-CN" w:bidi="ar"/>
              </w:rPr>
              <w:t>措施好</w:t>
            </w:r>
            <w:r>
              <w:rPr>
                <w:rFonts w:hint="eastAsia" w:ascii="仿宋" w:hAnsi="仿宋" w:eastAsia="仿宋" w:cs="仿宋"/>
                <w:sz w:val="24"/>
                <w:highlight w:val="none"/>
                <w:lang w:bidi="ar"/>
              </w:rPr>
              <w:t>，得6分；</w:t>
            </w:r>
          </w:p>
          <w:p w14:paraId="76B5DD6D">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②提出较完整、较有针对性、较切实可行的措施，视为措施较好，得4.5分；</w:t>
            </w:r>
          </w:p>
          <w:p w14:paraId="2A4464BB">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bidi="ar"/>
              </w:rPr>
            </w:pPr>
            <w:r>
              <w:rPr>
                <w:rFonts w:hint="eastAsia" w:ascii="仿宋" w:hAnsi="仿宋" w:eastAsia="仿宋" w:cs="仿宋"/>
                <w:sz w:val="24"/>
                <w:highlight w:val="none"/>
                <w:lang w:val="en-US" w:eastAsia="zh-CN" w:bidi="ar"/>
              </w:rPr>
              <w:t>③</w:t>
            </w:r>
            <w:r>
              <w:rPr>
                <w:rFonts w:hint="eastAsia" w:ascii="仿宋" w:hAnsi="仿宋" w:eastAsia="仿宋" w:cs="仿宋"/>
                <w:sz w:val="24"/>
                <w:highlight w:val="none"/>
                <w:lang w:bidi="ar"/>
              </w:rPr>
              <w:t>提出</w:t>
            </w:r>
            <w:r>
              <w:rPr>
                <w:rFonts w:hint="eastAsia" w:ascii="仿宋" w:hAnsi="仿宋" w:eastAsia="仿宋" w:cs="仿宋"/>
                <w:sz w:val="24"/>
                <w:highlight w:val="none"/>
                <w:lang w:val="en-US" w:eastAsia="zh-CN" w:bidi="ar"/>
              </w:rPr>
              <w:t>基本完整、基本有针对性、基本可行的措施</w:t>
            </w:r>
            <w:r>
              <w:rPr>
                <w:rFonts w:hint="eastAsia" w:ascii="仿宋" w:hAnsi="仿宋" w:eastAsia="仿宋" w:cs="仿宋"/>
                <w:sz w:val="24"/>
                <w:highlight w:val="none"/>
                <w:lang w:bidi="ar"/>
              </w:rPr>
              <w:t>，视为</w:t>
            </w:r>
            <w:r>
              <w:rPr>
                <w:rFonts w:hint="eastAsia" w:ascii="仿宋" w:hAnsi="仿宋" w:eastAsia="仿宋" w:cs="仿宋"/>
                <w:sz w:val="24"/>
                <w:highlight w:val="none"/>
                <w:lang w:val="en-US" w:eastAsia="zh-CN" w:bidi="ar"/>
              </w:rPr>
              <w:t>措施一般</w:t>
            </w:r>
            <w:r>
              <w:rPr>
                <w:rFonts w:hint="eastAsia" w:ascii="仿宋" w:hAnsi="仿宋" w:eastAsia="仿宋" w:cs="仿宋"/>
                <w:sz w:val="24"/>
                <w:highlight w:val="none"/>
                <w:lang w:bidi="ar"/>
              </w:rPr>
              <w:t>，得</w:t>
            </w:r>
            <w:r>
              <w:rPr>
                <w:rFonts w:hint="eastAsia" w:ascii="仿宋" w:hAnsi="仿宋" w:eastAsia="仿宋" w:cs="仿宋"/>
                <w:sz w:val="24"/>
                <w:highlight w:val="none"/>
                <w:lang w:val="en-US" w:eastAsia="zh-CN" w:bidi="ar"/>
              </w:rPr>
              <w:t>3</w:t>
            </w:r>
            <w:r>
              <w:rPr>
                <w:rFonts w:hint="eastAsia" w:ascii="仿宋" w:hAnsi="仿宋" w:eastAsia="仿宋" w:cs="仿宋"/>
                <w:sz w:val="24"/>
                <w:highlight w:val="none"/>
                <w:lang w:bidi="ar"/>
              </w:rPr>
              <w:t>分；</w:t>
            </w:r>
          </w:p>
          <w:p w14:paraId="6D42AC75">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bidi="ar"/>
              </w:rPr>
            </w:pPr>
            <w:r>
              <w:rPr>
                <w:rFonts w:hint="eastAsia" w:ascii="仿宋" w:hAnsi="仿宋" w:eastAsia="仿宋" w:cs="仿宋"/>
                <w:sz w:val="24"/>
                <w:highlight w:val="none"/>
                <w:lang w:val="en-US" w:eastAsia="zh-CN" w:bidi="ar"/>
              </w:rPr>
              <w:t>④</w:t>
            </w:r>
            <w:r>
              <w:rPr>
                <w:rFonts w:hint="eastAsia" w:ascii="仿宋" w:hAnsi="仿宋" w:eastAsia="仿宋" w:cs="仿宋"/>
                <w:sz w:val="24"/>
                <w:highlight w:val="none"/>
                <w:lang w:bidi="ar"/>
              </w:rPr>
              <w:t>提出</w:t>
            </w:r>
            <w:r>
              <w:rPr>
                <w:rFonts w:hint="eastAsia" w:ascii="仿宋" w:hAnsi="仿宋" w:eastAsia="仿宋" w:cs="仿宋"/>
                <w:sz w:val="24"/>
                <w:highlight w:val="none"/>
                <w:lang w:val="en-US" w:eastAsia="zh-CN" w:bidi="ar"/>
              </w:rPr>
              <w:t>不够完整</w:t>
            </w:r>
            <w:r>
              <w:rPr>
                <w:rFonts w:hint="eastAsia" w:ascii="仿宋" w:hAnsi="仿宋" w:eastAsia="仿宋" w:cs="仿宋"/>
                <w:sz w:val="24"/>
                <w:highlight w:val="none"/>
                <w:lang w:bidi="ar"/>
              </w:rPr>
              <w:t>、</w:t>
            </w:r>
            <w:r>
              <w:rPr>
                <w:rFonts w:hint="eastAsia" w:ascii="仿宋" w:hAnsi="仿宋" w:eastAsia="仿宋" w:cs="仿宋"/>
                <w:sz w:val="24"/>
                <w:highlight w:val="none"/>
                <w:lang w:val="en-US" w:eastAsia="zh-CN" w:bidi="ar"/>
              </w:rPr>
              <w:t>不够</w:t>
            </w:r>
            <w:r>
              <w:rPr>
                <w:rFonts w:hint="eastAsia" w:ascii="仿宋" w:hAnsi="仿宋" w:eastAsia="仿宋" w:cs="仿宋"/>
                <w:sz w:val="24"/>
                <w:highlight w:val="none"/>
                <w:lang w:bidi="ar"/>
              </w:rPr>
              <w:t>有针对性、</w:t>
            </w:r>
            <w:r>
              <w:rPr>
                <w:rFonts w:hint="eastAsia" w:ascii="仿宋" w:hAnsi="仿宋" w:eastAsia="仿宋" w:cs="仿宋"/>
                <w:sz w:val="24"/>
                <w:highlight w:val="none"/>
                <w:lang w:val="en-US" w:eastAsia="zh-CN" w:bidi="ar"/>
              </w:rPr>
              <w:t>不够可行</w:t>
            </w:r>
            <w:r>
              <w:rPr>
                <w:rFonts w:hint="eastAsia" w:ascii="仿宋" w:hAnsi="仿宋" w:eastAsia="仿宋" w:cs="仿宋"/>
                <w:sz w:val="24"/>
                <w:highlight w:val="none"/>
                <w:lang w:bidi="ar"/>
              </w:rPr>
              <w:t>的</w:t>
            </w:r>
            <w:r>
              <w:rPr>
                <w:rFonts w:hint="eastAsia" w:ascii="仿宋" w:hAnsi="仿宋" w:eastAsia="仿宋" w:cs="仿宋"/>
                <w:sz w:val="24"/>
                <w:highlight w:val="none"/>
                <w:lang w:val="en-US" w:eastAsia="zh-CN" w:bidi="ar"/>
              </w:rPr>
              <w:t>措施</w:t>
            </w:r>
            <w:r>
              <w:rPr>
                <w:rFonts w:hint="eastAsia" w:ascii="仿宋" w:hAnsi="仿宋" w:eastAsia="仿宋" w:cs="仿宋"/>
                <w:sz w:val="24"/>
                <w:highlight w:val="none"/>
                <w:lang w:bidi="ar"/>
              </w:rPr>
              <w:t>，</w:t>
            </w:r>
            <w:r>
              <w:rPr>
                <w:rFonts w:hint="eastAsia" w:ascii="仿宋" w:hAnsi="仿宋" w:eastAsia="仿宋" w:cs="仿宋"/>
                <w:sz w:val="24"/>
                <w:highlight w:val="none"/>
                <w:lang w:val="en-US" w:eastAsia="zh-CN" w:bidi="ar"/>
              </w:rPr>
              <w:t>视为措施存在不足，</w:t>
            </w:r>
            <w:r>
              <w:rPr>
                <w:rFonts w:hint="eastAsia" w:ascii="仿宋" w:hAnsi="仿宋" w:eastAsia="仿宋" w:cs="仿宋"/>
                <w:sz w:val="24"/>
                <w:highlight w:val="none"/>
                <w:lang w:bidi="ar"/>
              </w:rPr>
              <w:t>得</w:t>
            </w:r>
            <w:r>
              <w:rPr>
                <w:rFonts w:hint="eastAsia" w:ascii="仿宋" w:hAnsi="仿宋" w:eastAsia="仿宋" w:cs="仿宋"/>
                <w:sz w:val="24"/>
                <w:highlight w:val="none"/>
                <w:lang w:val="en-US" w:eastAsia="zh-CN" w:bidi="ar"/>
              </w:rPr>
              <w:t>1.5</w:t>
            </w:r>
            <w:r>
              <w:rPr>
                <w:rFonts w:hint="eastAsia" w:ascii="仿宋" w:hAnsi="仿宋" w:eastAsia="仿宋" w:cs="仿宋"/>
                <w:sz w:val="24"/>
                <w:highlight w:val="none"/>
                <w:lang w:bidi="ar"/>
              </w:rPr>
              <w:t>分；</w:t>
            </w:r>
          </w:p>
          <w:p w14:paraId="0B9F375B">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sz w:val="24"/>
                <w:highlight w:val="none"/>
                <w:lang w:eastAsia="zh-CN" w:bidi="ar"/>
              </w:rPr>
              <w:t>⑤</w:t>
            </w:r>
            <w:r>
              <w:rPr>
                <w:rFonts w:hint="eastAsia" w:ascii="仿宋" w:hAnsi="仿宋" w:eastAsia="仿宋" w:cs="仿宋"/>
                <w:sz w:val="24"/>
                <w:highlight w:val="none"/>
                <w:lang w:val="en-US" w:eastAsia="zh-CN" w:bidi="ar"/>
              </w:rPr>
              <w:t>措施</w:t>
            </w:r>
            <w:r>
              <w:rPr>
                <w:rFonts w:hint="eastAsia" w:ascii="仿宋" w:hAnsi="仿宋" w:eastAsia="仿宋" w:cs="仿宋"/>
                <w:sz w:val="24"/>
                <w:highlight w:val="none"/>
                <w:lang w:bidi="ar"/>
              </w:rPr>
              <w:t>不</w:t>
            </w:r>
            <w:r>
              <w:rPr>
                <w:rFonts w:hint="eastAsia" w:ascii="仿宋" w:hAnsi="仿宋" w:eastAsia="仿宋" w:cs="仿宋"/>
                <w:sz w:val="24"/>
                <w:highlight w:val="none"/>
                <w:lang w:val="en-US" w:eastAsia="zh-CN" w:bidi="ar"/>
              </w:rPr>
              <w:t>完整、无针对性、不</w:t>
            </w:r>
            <w:r>
              <w:rPr>
                <w:rFonts w:hint="eastAsia" w:ascii="仿宋" w:hAnsi="仿宋" w:eastAsia="仿宋" w:cs="仿宋"/>
                <w:sz w:val="24"/>
                <w:highlight w:val="none"/>
                <w:lang w:bidi="ar"/>
              </w:rPr>
              <w:t>具有操作性</w:t>
            </w:r>
            <w:r>
              <w:rPr>
                <w:rFonts w:hint="eastAsia" w:ascii="仿宋" w:hAnsi="仿宋" w:eastAsia="仿宋" w:cs="仿宋"/>
                <w:sz w:val="24"/>
                <w:highlight w:val="none"/>
                <w:lang w:val="en-US" w:eastAsia="zh-CN"/>
              </w:rPr>
              <w:t>或者未提供措施的</w:t>
            </w:r>
            <w:r>
              <w:rPr>
                <w:rFonts w:hint="eastAsia" w:ascii="仿宋" w:hAnsi="仿宋" w:eastAsia="仿宋" w:cs="仿宋"/>
                <w:sz w:val="24"/>
                <w:highlight w:val="none"/>
                <w:lang w:bidi="ar"/>
              </w:rPr>
              <w:t>，视为</w:t>
            </w:r>
            <w:r>
              <w:rPr>
                <w:rFonts w:hint="eastAsia" w:ascii="仿宋" w:hAnsi="仿宋" w:eastAsia="仿宋" w:cs="仿宋"/>
                <w:sz w:val="24"/>
                <w:highlight w:val="none"/>
                <w:lang w:val="en-US" w:eastAsia="zh-CN" w:bidi="ar"/>
              </w:rPr>
              <w:t>措施</w:t>
            </w:r>
            <w:r>
              <w:rPr>
                <w:rFonts w:hint="eastAsia" w:ascii="仿宋" w:hAnsi="仿宋" w:eastAsia="仿宋" w:cs="仿宋"/>
                <w:sz w:val="24"/>
                <w:highlight w:val="none"/>
                <w:lang w:bidi="ar"/>
              </w:rPr>
              <w:t>不可行，得0分。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5DAED71">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6</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235D51BA">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543DD2C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68CD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574DC06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lang w:bidi="ar"/>
              </w:rPr>
            </w:pPr>
            <w:r>
              <w:rPr>
                <w:rFonts w:hint="eastAsia" w:ascii="仿宋" w:hAnsi="仿宋" w:eastAsia="仿宋" w:cs="仿宋"/>
                <w:bCs/>
                <w:sz w:val="24"/>
                <w:highlight w:val="none"/>
                <w:lang w:bidi="ar"/>
              </w:rPr>
              <w:t>2.5</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756633D2">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lang w:eastAsia="zh-CN" w:bidi="ar"/>
              </w:rPr>
            </w:pPr>
            <w:r>
              <w:rPr>
                <w:rFonts w:hint="eastAsia" w:ascii="仿宋" w:hAnsi="仿宋" w:eastAsia="仿宋" w:cs="仿宋"/>
                <w:b/>
                <w:bCs/>
                <w:sz w:val="24"/>
                <w:highlight w:val="none"/>
                <w:lang w:bidi="ar"/>
              </w:rPr>
              <w:t>加强财务决算管理措施</w:t>
            </w:r>
            <w:r>
              <w:rPr>
                <w:rFonts w:hint="eastAsia" w:ascii="仿宋" w:hAnsi="仿宋" w:eastAsia="仿宋" w:cs="仿宋"/>
                <w:b/>
                <w:bCs/>
                <w:sz w:val="24"/>
                <w:highlight w:val="none"/>
                <w:lang w:eastAsia="zh-CN" w:bidi="ar"/>
              </w:rPr>
              <w:t>。</w:t>
            </w:r>
            <w:r>
              <w:rPr>
                <w:rFonts w:hint="eastAsia" w:ascii="仿宋" w:hAnsi="仿宋" w:eastAsia="仿宋" w:cs="仿宋"/>
                <w:sz w:val="24"/>
                <w:highlight w:val="none"/>
                <w:lang w:bidi="ar"/>
              </w:rPr>
              <w:t>从项目管理、决算编报、决算审核、决算批复等各个环节，提出全面提高财务决算管理质量的措施。</w:t>
            </w:r>
          </w:p>
          <w:p w14:paraId="612E27EB">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①问题分析透彻、解决措施到位，视为措施好，得4分；</w:t>
            </w:r>
          </w:p>
          <w:p w14:paraId="5D000379">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lang w:bidi="ar"/>
              </w:rPr>
            </w:pPr>
            <w:r>
              <w:rPr>
                <w:rFonts w:hint="eastAsia" w:ascii="仿宋" w:hAnsi="仿宋" w:eastAsia="仿宋" w:cs="仿宋"/>
                <w:sz w:val="24"/>
                <w:highlight w:val="none"/>
                <w:lang w:val="en-US" w:eastAsia="zh-CN" w:bidi="ar"/>
              </w:rPr>
              <w:t>②</w:t>
            </w:r>
            <w:r>
              <w:rPr>
                <w:rFonts w:hint="eastAsia" w:ascii="仿宋" w:hAnsi="仿宋" w:eastAsia="仿宋" w:cs="仿宋"/>
                <w:sz w:val="24"/>
                <w:highlight w:val="none"/>
                <w:lang w:bidi="ar"/>
              </w:rPr>
              <w:t>问题分析</w:t>
            </w:r>
            <w:r>
              <w:rPr>
                <w:rFonts w:hint="eastAsia" w:ascii="仿宋" w:hAnsi="仿宋" w:eastAsia="仿宋" w:cs="仿宋"/>
                <w:sz w:val="24"/>
                <w:highlight w:val="none"/>
                <w:lang w:val="en-US" w:eastAsia="zh-CN" w:bidi="ar"/>
              </w:rPr>
              <w:t>较透彻</w:t>
            </w:r>
            <w:r>
              <w:rPr>
                <w:rFonts w:hint="eastAsia" w:ascii="仿宋" w:hAnsi="仿宋" w:eastAsia="仿宋" w:cs="仿宋"/>
                <w:sz w:val="24"/>
                <w:highlight w:val="none"/>
                <w:lang w:bidi="ar"/>
              </w:rPr>
              <w:t>、解决措施</w:t>
            </w:r>
            <w:r>
              <w:rPr>
                <w:rFonts w:hint="eastAsia" w:ascii="仿宋" w:hAnsi="仿宋" w:eastAsia="仿宋" w:cs="仿宋"/>
                <w:sz w:val="24"/>
                <w:highlight w:val="none"/>
                <w:lang w:val="en-US" w:eastAsia="zh-CN" w:bidi="ar"/>
              </w:rPr>
              <w:t>较到位</w:t>
            </w:r>
            <w:r>
              <w:rPr>
                <w:rFonts w:hint="eastAsia" w:ascii="仿宋" w:hAnsi="仿宋" w:eastAsia="仿宋" w:cs="仿宋"/>
                <w:sz w:val="24"/>
                <w:highlight w:val="none"/>
                <w:lang w:bidi="ar"/>
              </w:rPr>
              <w:t>，视为</w:t>
            </w:r>
            <w:r>
              <w:rPr>
                <w:rFonts w:hint="eastAsia" w:ascii="仿宋" w:hAnsi="仿宋" w:eastAsia="仿宋" w:cs="仿宋"/>
                <w:sz w:val="24"/>
                <w:highlight w:val="none"/>
                <w:lang w:val="en-US" w:eastAsia="zh-CN" w:bidi="ar"/>
              </w:rPr>
              <w:t>措施较好</w:t>
            </w:r>
            <w:r>
              <w:rPr>
                <w:rFonts w:hint="eastAsia" w:ascii="仿宋" w:hAnsi="仿宋" w:eastAsia="仿宋" w:cs="仿宋"/>
                <w:sz w:val="24"/>
                <w:highlight w:val="none"/>
                <w:lang w:eastAsia="zh-CN" w:bidi="ar"/>
              </w:rPr>
              <w:t>，</w:t>
            </w:r>
            <w:r>
              <w:rPr>
                <w:rFonts w:hint="eastAsia" w:ascii="仿宋" w:hAnsi="仿宋" w:eastAsia="仿宋" w:cs="仿宋"/>
                <w:sz w:val="24"/>
                <w:highlight w:val="none"/>
                <w:lang w:bidi="ar"/>
              </w:rPr>
              <w:t>得</w:t>
            </w:r>
            <w:r>
              <w:rPr>
                <w:rFonts w:hint="eastAsia" w:ascii="仿宋" w:hAnsi="仿宋" w:eastAsia="仿宋" w:cs="仿宋"/>
                <w:sz w:val="24"/>
                <w:highlight w:val="none"/>
                <w:lang w:val="en-US" w:eastAsia="zh-CN" w:bidi="ar"/>
              </w:rPr>
              <w:t>3</w:t>
            </w:r>
            <w:r>
              <w:rPr>
                <w:rFonts w:hint="eastAsia" w:ascii="仿宋" w:hAnsi="仿宋" w:eastAsia="仿宋" w:cs="仿宋"/>
                <w:sz w:val="24"/>
                <w:highlight w:val="none"/>
                <w:lang w:bidi="ar"/>
              </w:rPr>
              <w:t>分；</w:t>
            </w:r>
          </w:p>
          <w:p w14:paraId="62F5FF27">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lang w:bidi="ar"/>
              </w:rPr>
            </w:pPr>
            <w:r>
              <w:rPr>
                <w:rFonts w:hint="eastAsia" w:ascii="仿宋" w:hAnsi="仿宋" w:eastAsia="仿宋" w:cs="仿宋"/>
                <w:sz w:val="24"/>
                <w:highlight w:val="none"/>
                <w:lang w:val="en-US" w:eastAsia="zh-CN" w:bidi="ar"/>
              </w:rPr>
              <w:t>③</w:t>
            </w:r>
            <w:r>
              <w:rPr>
                <w:rFonts w:hint="eastAsia" w:ascii="仿宋" w:hAnsi="仿宋" w:eastAsia="仿宋" w:cs="仿宋"/>
                <w:sz w:val="24"/>
                <w:highlight w:val="none"/>
                <w:lang w:bidi="ar"/>
              </w:rPr>
              <w:t>问题分析</w:t>
            </w:r>
            <w:r>
              <w:rPr>
                <w:rFonts w:hint="eastAsia" w:ascii="仿宋" w:hAnsi="仿宋" w:eastAsia="仿宋" w:cs="仿宋"/>
                <w:sz w:val="24"/>
                <w:highlight w:val="none"/>
                <w:lang w:val="en-US" w:eastAsia="zh-CN" w:bidi="ar"/>
              </w:rPr>
              <w:t>基本透彻、解决措施基本到位</w:t>
            </w:r>
            <w:r>
              <w:rPr>
                <w:rFonts w:hint="eastAsia" w:ascii="仿宋" w:hAnsi="仿宋" w:eastAsia="仿宋" w:cs="仿宋"/>
                <w:sz w:val="24"/>
                <w:highlight w:val="none"/>
                <w:lang w:bidi="ar"/>
              </w:rPr>
              <w:t>，视为</w:t>
            </w:r>
            <w:r>
              <w:rPr>
                <w:rFonts w:hint="eastAsia" w:ascii="仿宋" w:hAnsi="仿宋" w:eastAsia="仿宋" w:cs="仿宋"/>
                <w:sz w:val="24"/>
                <w:highlight w:val="none"/>
                <w:lang w:val="en-US" w:eastAsia="zh-CN" w:bidi="ar"/>
              </w:rPr>
              <w:t>措施一般</w:t>
            </w:r>
            <w:r>
              <w:rPr>
                <w:rFonts w:hint="eastAsia" w:ascii="仿宋" w:hAnsi="仿宋" w:eastAsia="仿宋" w:cs="仿宋"/>
                <w:sz w:val="24"/>
                <w:highlight w:val="none"/>
                <w:lang w:bidi="ar"/>
              </w:rPr>
              <w:t>，得2分；</w:t>
            </w:r>
          </w:p>
          <w:p w14:paraId="33FF2A4B">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bidi="ar"/>
              </w:rPr>
            </w:pPr>
            <w:r>
              <w:rPr>
                <w:rFonts w:hint="eastAsia" w:ascii="仿宋" w:hAnsi="仿宋" w:eastAsia="仿宋" w:cs="仿宋"/>
                <w:sz w:val="24"/>
                <w:highlight w:val="none"/>
                <w:lang w:val="en-US" w:eastAsia="zh-CN" w:bidi="ar"/>
              </w:rPr>
              <w:t>④</w:t>
            </w:r>
            <w:r>
              <w:rPr>
                <w:rFonts w:hint="eastAsia" w:ascii="仿宋" w:hAnsi="仿宋" w:eastAsia="仿宋" w:cs="仿宋"/>
                <w:sz w:val="24"/>
                <w:highlight w:val="none"/>
                <w:lang w:bidi="ar"/>
              </w:rPr>
              <w:t>问题分析</w:t>
            </w:r>
            <w:r>
              <w:rPr>
                <w:rFonts w:hint="eastAsia" w:ascii="仿宋" w:hAnsi="仿宋" w:eastAsia="仿宋" w:cs="仿宋"/>
                <w:sz w:val="24"/>
                <w:highlight w:val="none"/>
                <w:lang w:val="en-US" w:eastAsia="zh-CN" w:bidi="ar"/>
              </w:rPr>
              <w:t>不够透彻、解决措施不够到位，视为措施存在不足，</w:t>
            </w:r>
            <w:r>
              <w:rPr>
                <w:rFonts w:hint="eastAsia" w:ascii="仿宋" w:hAnsi="仿宋" w:eastAsia="仿宋" w:cs="仿宋"/>
                <w:sz w:val="24"/>
                <w:highlight w:val="none"/>
                <w:lang w:bidi="ar"/>
              </w:rPr>
              <w:t>得</w:t>
            </w:r>
            <w:r>
              <w:rPr>
                <w:rFonts w:hint="eastAsia" w:ascii="仿宋" w:hAnsi="仿宋" w:eastAsia="仿宋" w:cs="仿宋"/>
                <w:sz w:val="24"/>
                <w:highlight w:val="none"/>
                <w:lang w:val="en-US" w:eastAsia="zh-CN" w:bidi="ar"/>
              </w:rPr>
              <w:t>1</w:t>
            </w:r>
            <w:r>
              <w:rPr>
                <w:rFonts w:hint="eastAsia" w:ascii="仿宋" w:hAnsi="仿宋" w:eastAsia="仿宋" w:cs="仿宋"/>
                <w:sz w:val="24"/>
                <w:highlight w:val="none"/>
                <w:lang w:bidi="ar"/>
              </w:rPr>
              <w:t>分；</w:t>
            </w:r>
          </w:p>
          <w:p w14:paraId="403150A9">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lang w:bidi="ar"/>
              </w:rPr>
            </w:pPr>
            <w:r>
              <w:rPr>
                <w:rFonts w:hint="eastAsia" w:ascii="仿宋" w:hAnsi="仿宋" w:eastAsia="仿宋" w:cs="仿宋"/>
                <w:sz w:val="24"/>
                <w:highlight w:val="none"/>
                <w:lang w:val="en-US" w:eastAsia="zh-CN" w:bidi="ar"/>
              </w:rPr>
              <w:t>⑤</w:t>
            </w:r>
            <w:r>
              <w:rPr>
                <w:rFonts w:hint="eastAsia" w:ascii="仿宋" w:hAnsi="仿宋" w:eastAsia="仿宋" w:cs="仿宋"/>
                <w:sz w:val="24"/>
                <w:highlight w:val="none"/>
                <w:lang w:bidi="ar"/>
              </w:rPr>
              <w:t>问题分析</w:t>
            </w:r>
            <w:r>
              <w:rPr>
                <w:rFonts w:hint="eastAsia" w:ascii="仿宋" w:hAnsi="仿宋" w:eastAsia="仿宋" w:cs="仿宋"/>
                <w:sz w:val="24"/>
                <w:highlight w:val="none"/>
                <w:lang w:val="en-US" w:eastAsia="zh-CN" w:bidi="ar"/>
              </w:rPr>
              <w:t>不透彻、解决措施不到位或未提供解决措施的，</w:t>
            </w:r>
            <w:r>
              <w:rPr>
                <w:rFonts w:hint="eastAsia" w:ascii="仿宋" w:hAnsi="仿宋" w:eastAsia="仿宋" w:cs="仿宋"/>
                <w:sz w:val="24"/>
                <w:highlight w:val="none"/>
                <w:lang w:bidi="ar"/>
              </w:rPr>
              <w:t>视为</w:t>
            </w:r>
            <w:r>
              <w:rPr>
                <w:rFonts w:hint="eastAsia" w:ascii="仿宋" w:hAnsi="仿宋" w:eastAsia="仿宋" w:cs="仿宋"/>
                <w:sz w:val="24"/>
                <w:highlight w:val="none"/>
                <w:lang w:val="en-US" w:eastAsia="zh-CN" w:bidi="ar"/>
              </w:rPr>
              <w:t>措施</w:t>
            </w:r>
            <w:r>
              <w:rPr>
                <w:rFonts w:hint="eastAsia" w:ascii="仿宋" w:hAnsi="仿宋" w:eastAsia="仿宋" w:cs="仿宋"/>
                <w:sz w:val="24"/>
                <w:highlight w:val="none"/>
                <w:lang w:bidi="ar"/>
              </w:rPr>
              <w:t>不可行，得0分。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15196A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4</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7075FA7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41985BE1">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1C74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2470560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lang w:val="en-US" w:eastAsia="zh-CN" w:bidi="ar"/>
              </w:rPr>
            </w:pPr>
            <w:r>
              <w:rPr>
                <w:rFonts w:hint="eastAsia" w:ascii="仿宋" w:hAnsi="仿宋" w:eastAsia="仿宋" w:cs="仿宋"/>
                <w:bCs/>
                <w:sz w:val="24"/>
                <w:highlight w:val="none"/>
                <w:lang w:val="en-US" w:eastAsia="zh-CN" w:bidi="ar"/>
              </w:rPr>
              <w:t>2.6</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5BF908C7">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lang w:eastAsia="zh-CN" w:bidi="ar"/>
              </w:rPr>
            </w:pPr>
            <w:r>
              <w:rPr>
                <w:rFonts w:hint="eastAsia" w:ascii="仿宋" w:hAnsi="仿宋" w:eastAsia="仿宋" w:cs="仿宋"/>
                <w:b/>
                <w:bCs/>
                <w:sz w:val="24"/>
                <w:highlight w:val="none"/>
                <w:lang w:bidi="ar"/>
              </w:rPr>
              <w:t>保密制度及措施</w:t>
            </w:r>
            <w:r>
              <w:rPr>
                <w:rFonts w:hint="eastAsia" w:ascii="仿宋" w:hAnsi="仿宋" w:eastAsia="仿宋" w:cs="仿宋"/>
                <w:b/>
                <w:bCs/>
                <w:sz w:val="24"/>
                <w:highlight w:val="none"/>
                <w:lang w:eastAsia="zh-CN" w:bidi="ar"/>
              </w:rPr>
              <w:t>。</w:t>
            </w:r>
            <w:r>
              <w:rPr>
                <w:rFonts w:hint="eastAsia" w:ascii="仿宋" w:hAnsi="仿宋" w:eastAsia="仿宋" w:cs="仿宋"/>
                <w:sz w:val="24"/>
                <w:highlight w:val="none"/>
                <w:lang w:bidi="ar"/>
              </w:rPr>
              <w:t>保密制度完善，提出完善的财务数据保密措施。</w:t>
            </w:r>
          </w:p>
          <w:p w14:paraId="38B51DEF">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lang w:bidi="ar"/>
              </w:rPr>
            </w:pPr>
            <w:r>
              <w:rPr>
                <w:rFonts w:hint="eastAsia" w:ascii="仿宋" w:hAnsi="仿宋" w:eastAsia="仿宋" w:cs="仿宋"/>
                <w:sz w:val="24"/>
                <w:highlight w:val="none"/>
                <w:lang w:val="en-US" w:eastAsia="zh-CN" w:bidi="ar"/>
              </w:rPr>
              <w:t>①制度及</w:t>
            </w:r>
            <w:r>
              <w:rPr>
                <w:rFonts w:hint="eastAsia" w:ascii="仿宋" w:hAnsi="仿宋" w:eastAsia="仿宋" w:cs="仿宋"/>
                <w:sz w:val="24"/>
                <w:highlight w:val="none"/>
                <w:lang w:bidi="ar"/>
              </w:rPr>
              <w:t>措施</w:t>
            </w:r>
            <w:r>
              <w:rPr>
                <w:rFonts w:hint="eastAsia" w:ascii="仿宋" w:hAnsi="仿宋" w:eastAsia="仿宋" w:cs="仿宋"/>
                <w:sz w:val="24"/>
                <w:highlight w:val="none"/>
                <w:lang w:val="en-US" w:eastAsia="zh-CN" w:bidi="ar"/>
              </w:rPr>
              <w:t>完善</w:t>
            </w:r>
            <w:r>
              <w:rPr>
                <w:rFonts w:hint="eastAsia" w:ascii="仿宋" w:hAnsi="仿宋" w:eastAsia="仿宋" w:cs="仿宋"/>
                <w:sz w:val="24"/>
                <w:highlight w:val="none"/>
                <w:lang w:bidi="ar"/>
              </w:rPr>
              <w:t>，视为</w:t>
            </w:r>
            <w:r>
              <w:rPr>
                <w:rFonts w:hint="eastAsia" w:ascii="仿宋" w:hAnsi="仿宋" w:eastAsia="仿宋" w:cs="仿宋"/>
                <w:sz w:val="24"/>
                <w:highlight w:val="none"/>
                <w:lang w:val="en-US" w:eastAsia="zh-CN" w:bidi="ar"/>
              </w:rPr>
              <w:t>好</w:t>
            </w:r>
            <w:r>
              <w:rPr>
                <w:rFonts w:hint="eastAsia" w:ascii="仿宋" w:hAnsi="仿宋" w:eastAsia="仿宋" w:cs="仿宋"/>
                <w:sz w:val="24"/>
                <w:highlight w:val="none"/>
                <w:lang w:bidi="ar"/>
              </w:rPr>
              <w:t>，得2分；</w:t>
            </w:r>
          </w:p>
          <w:p w14:paraId="63B7084F">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lang w:bidi="ar"/>
              </w:rPr>
            </w:pPr>
            <w:r>
              <w:rPr>
                <w:rFonts w:hint="eastAsia" w:ascii="仿宋" w:hAnsi="仿宋" w:eastAsia="仿宋" w:cs="仿宋"/>
                <w:sz w:val="24"/>
                <w:highlight w:val="none"/>
                <w:lang w:val="en-US" w:eastAsia="zh-CN" w:bidi="ar"/>
              </w:rPr>
              <w:t>②制度及</w:t>
            </w:r>
            <w:r>
              <w:rPr>
                <w:rFonts w:hint="eastAsia" w:ascii="仿宋" w:hAnsi="仿宋" w:eastAsia="仿宋" w:cs="仿宋"/>
                <w:sz w:val="24"/>
                <w:highlight w:val="none"/>
                <w:lang w:bidi="ar"/>
              </w:rPr>
              <w:t>措施</w:t>
            </w:r>
            <w:r>
              <w:rPr>
                <w:rFonts w:hint="eastAsia" w:ascii="仿宋" w:hAnsi="仿宋" w:eastAsia="仿宋" w:cs="仿宋"/>
                <w:sz w:val="24"/>
                <w:highlight w:val="none"/>
                <w:lang w:val="en-US" w:eastAsia="zh-CN" w:bidi="ar"/>
              </w:rPr>
              <w:t>较完善</w:t>
            </w:r>
            <w:r>
              <w:rPr>
                <w:rFonts w:hint="eastAsia" w:ascii="仿宋" w:hAnsi="仿宋" w:eastAsia="仿宋" w:cs="仿宋"/>
                <w:sz w:val="24"/>
                <w:highlight w:val="none"/>
                <w:lang w:bidi="ar"/>
              </w:rPr>
              <w:t>，视为</w:t>
            </w:r>
            <w:r>
              <w:rPr>
                <w:rFonts w:hint="eastAsia" w:ascii="仿宋" w:hAnsi="仿宋" w:eastAsia="仿宋" w:cs="仿宋"/>
                <w:sz w:val="24"/>
                <w:highlight w:val="none"/>
                <w:lang w:val="en-US" w:eastAsia="zh-CN" w:bidi="ar"/>
              </w:rPr>
              <w:t>较好</w:t>
            </w:r>
            <w:r>
              <w:rPr>
                <w:rFonts w:hint="eastAsia" w:ascii="仿宋" w:hAnsi="仿宋" w:eastAsia="仿宋" w:cs="仿宋"/>
                <w:sz w:val="24"/>
                <w:highlight w:val="none"/>
                <w:lang w:bidi="ar"/>
              </w:rPr>
              <w:t>，得1分；</w:t>
            </w:r>
          </w:p>
          <w:p w14:paraId="7E6DA6D8">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lang w:bidi="ar"/>
              </w:rPr>
            </w:pPr>
            <w:r>
              <w:rPr>
                <w:rFonts w:hint="eastAsia" w:ascii="仿宋" w:hAnsi="仿宋" w:eastAsia="仿宋" w:cs="仿宋"/>
                <w:sz w:val="24"/>
                <w:highlight w:val="none"/>
                <w:lang w:val="en-US" w:eastAsia="zh-CN" w:bidi="ar"/>
              </w:rPr>
              <w:t>③制度及</w:t>
            </w:r>
            <w:r>
              <w:rPr>
                <w:rFonts w:hint="eastAsia" w:ascii="仿宋" w:hAnsi="仿宋" w:eastAsia="仿宋" w:cs="仿宋"/>
                <w:sz w:val="24"/>
                <w:highlight w:val="none"/>
                <w:lang w:bidi="ar"/>
              </w:rPr>
              <w:t>措施</w:t>
            </w:r>
            <w:r>
              <w:rPr>
                <w:rFonts w:hint="eastAsia" w:ascii="仿宋" w:hAnsi="仿宋" w:eastAsia="仿宋" w:cs="仿宋"/>
                <w:sz w:val="24"/>
                <w:highlight w:val="none"/>
                <w:lang w:val="en-US" w:eastAsia="zh-CN" w:bidi="ar"/>
              </w:rPr>
              <w:t>不完善或未提供</w:t>
            </w:r>
            <w:r>
              <w:rPr>
                <w:rFonts w:hint="eastAsia" w:ascii="仿宋" w:hAnsi="仿宋" w:eastAsia="仿宋" w:cs="仿宋"/>
                <w:sz w:val="24"/>
                <w:highlight w:val="none"/>
                <w:lang w:bidi="ar"/>
              </w:rPr>
              <w:t>，视为不可行，得0分。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953E69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2</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2068F7F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4499ABE3">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6CEC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77907CD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lang w:val="en-US" w:eastAsia="zh-CN" w:bidi="ar"/>
              </w:rPr>
            </w:pPr>
            <w:r>
              <w:rPr>
                <w:rFonts w:hint="eastAsia" w:ascii="仿宋" w:hAnsi="仿宋" w:eastAsia="仿宋" w:cs="仿宋"/>
                <w:bCs/>
                <w:sz w:val="24"/>
                <w:highlight w:val="none"/>
                <w:lang w:val="en-US" w:eastAsia="zh-CN" w:bidi="ar"/>
              </w:rPr>
              <w:t>2.7</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4D16BE31">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lang w:eastAsia="zh-CN" w:bidi="ar"/>
              </w:rPr>
            </w:pPr>
            <w:r>
              <w:rPr>
                <w:rFonts w:hint="eastAsia" w:ascii="仿宋" w:hAnsi="仿宋" w:eastAsia="仿宋" w:cs="仿宋"/>
                <w:b/>
                <w:bCs/>
                <w:sz w:val="24"/>
                <w:highlight w:val="none"/>
                <w:lang w:bidi="ar"/>
              </w:rPr>
              <w:t>材料汇编及归档</w:t>
            </w:r>
            <w:r>
              <w:rPr>
                <w:rFonts w:hint="eastAsia" w:ascii="仿宋" w:hAnsi="仿宋" w:eastAsia="仿宋" w:cs="仿宋"/>
                <w:b/>
                <w:bCs/>
                <w:sz w:val="24"/>
                <w:highlight w:val="none"/>
                <w:lang w:eastAsia="zh-CN" w:bidi="ar"/>
              </w:rPr>
              <w:t>。</w:t>
            </w:r>
            <w:r>
              <w:rPr>
                <w:rFonts w:hint="eastAsia" w:ascii="仿宋" w:hAnsi="仿宋" w:eastAsia="仿宋" w:cs="仿宋"/>
                <w:sz w:val="24"/>
                <w:highlight w:val="none"/>
                <w:lang w:bidi="ar"/>
              </w:rPr>
              <w:t>对工程竣工财务决算工作过程中资料收集、整理、汇编、归档、资料完整等提出保证措施。</w:t>
            </w:r>
          </w:p>
          <w:p w14:paraId="16E1D90F">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lang w:bidi="ar"/>
              </w:rPr>
            </w:pPr>
            <w:r>
              <w:rPr>
                <w:rFonts w:hint="eastAsia" w:ascii="仿宋" w:hAnsi="仿宋" w:eastAsia="仿宋" w:cs="仿宋"/>
                <w:sz w:val="24"/>
                <w:highlight w:val="none"/>
                <w:lang w:val="en-US" w:eastAsia="zh-CN" w:bidi="ar"/>
              </w:rPr>
              <w:t>①</w:t>
            </w:r>
            <w:r>
              <w:rPr>
                <w:rFonts w:hint="eastAsia" w:ascii="仿宋" w:hAnsi="仿宋" w:eastAsia="仿宋" w:cs="仿宋"/>
                <w:sz w:val="24"/>
                <w:highlight w:val="none"/>
                <w:lang w:bidi="ar"/>
              </w:rPr>
              <w:t>措施</w:t>
            </w:r>
            <w:r>
              <w:rPr>
                <w:rFonts w:hint="eastAsia" w:ascii="仿宋" w:hAnsi="仿宋" w:eastAsia="仿宋" w:cs="仿宋"/>
                <w:sz w:val="24"/>
                <w:highlight w:val="none"/>
                <w:lang w:val="en-US" w:eastAsia="zh-CN" w:bidi="ar"/>
              </w:rPr>
              <w:t>完善</w:t>
            </w:r>
            <w:r>
              <w:rPr>
                <w:rFonts w:hint="eastAsia" w:ascii="仿宋" w:hAnsi="仿宋" w:eastAsia="仿宋" w:cs="仿宋"/>
                <w:sz w:val="24"/>
                <w:highlight w:val="none"/>
                <w:lang w:bidi="ar"/>
              </w:rPr>
              <w:t>，视为</w:t>
            </w:r>
            <w:r>
              <w:rPr>
                <w:rFonts w:hint="eastAsia" w:ascii="仿宋" w:hAnsi="仿宋" w:eastAsia="仿宋" w:cs="仿宋"/>
                <w:sz w:val="24"/>
                <w:highlight w:val="none"/>
                <w:lang w:val="en-US" w:eastAsia="zh-CN" w:bidi="ar"/>
              </w:rPr>
              <w:t>好</w:t>
            </w:r>
            <w:r>
              <w:rPr>
                <w:rFonts w:hint="eastAsia" w:ascii="仿宋" w:hAnsi="仿宋" w:eastAsia="仿宋" w:cs="仿宋"/>
                <w:sz w:val="24"/>
                <w:highlight w:val="none"/>
                <w:lang w:bidi="ar"/>
              </w:rPr>
              <w:t>，得2分；</w:t>
            </w:r>
          </w:p>
          <w:p w14:paraId="6B55D3AC">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lang w:bidi="ar"/>
              </w:rPr>
            </w:pPr>
            <w:r>
              <w:rPr>
                <w:rFonts w:hint="eastAsia" w:ascii="仿宋" w:hAnsi="仿宋" w:eastAsia="仿宋" w:cs="仿宋"/>
                <w:sz w:val="24"/>
                <w:highlight w:val="none"/>
                <w:lang w:val="en-US" w:eastAsia="zh-CN" w:bidi="ar"/>
              </w:rPr>
              <w:t>②</w:t>
            </w:r>
            <w:r>
              <w:rPr>
                <w:rFonts w:hint="eastAsia" w:ascii="仿宋" w:hAnsi="仿宋" w:eastAsia="仿宋" w:cs="仿宋"/>
                <w:sz w:val="24"/>
                <w:highlight w:val="none"/>
                <w:lang w:bidi="ar"/>
              </w:rPr>
              <w:t>措施</w:t>
            </w:r>
            <w:r>
              <w:rPr>
                <w:rFonts w:hint="eastAsia" w:ascii="仿宋" w:hAnsi="仿宋" w:eastAsia="仿宋" w:cs="仿宋"/>
                <w:sz w:val="24"/>
                <w:highlight w:val="none"/>
                <w:lang w:val="en-US" w:eastAsia="zh-CN" w:bidi="ar"/>
              </w:rPr>
              <w:t>较完善</w:t>
            </w:r>
            <w:r>
              <w:rPr>
                <w:rFonts w:hint="eastAsia" w:ascii="仿宋" w:hAnsi="仿宋" w:eastAsia="仿宋" w:cs="仿宋"/>
                <w:sz w:val="24"/>
                <w:highlight w:val="none"/>
                <w:lang w:bidi="ar"/>
              </w:rPr>
              <w:t>，视为</w:t>
            </w:r>
            <w:r>
              <w:rPr>
                <w:rFonts w:hint="eastAsia" w:ascii="仿宋" w:hAnsi="仿宋" w:eastAsia="仿宋" w:cs="仿宋"/>
                <w:sz w:val="24"/>
                <w:highlight w:val="none"/>
                <w:lang w:val="en-US" w:eastAsia="zh-CN" w:bidi="ar"/>
              </w:rPr>
              <w:t>较好</w:t>
            </w:r>
            <w:r>
              <w:rPr>
                <w:rFonts w:hint="eastAsia" w:ascii="仿宋" w:hAnsi="仿宋" w:eastAsia="仿宋" w:cs="仿宋"/>
                <w:sz w:val="24"/>
                <w:highlight w:val="none"/>
                <w:lang w:bidi="ar"/>
              </w:rPr>
              <w:t>，得1分；</w:t>
            </w:r>
          </w:p>
          <w:p w14:paraId="1842EA17">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lang w:bidi="ar"/>
              </w:rPr>
            </w:pPr>
            <w:r>
              <w:rPr>
                <w:rFonts w:hint="eastAsia" w:ascii="仿宋" w:hAnsi="仿宋" w:eastAsia="仿宋" w:cs="仿宋"/>
                <w:sz w:val="24"/>
                <w:highlight w:val="none"/>
                <w:lang w:val="en-US" w:eastAsia="zh-CN" w:bidi="ar"/>
              </w:rPr>
              <w:t>③</w:t>
            </w:r>
            <w:r>
              <w:rPr>
                <w:rFonts w:hint="eastAsia" w:ascii="仿宋" w:hAnsi="仿宋" w:eastAsia="仿宋" w:cs="仿宋"/>
                <w:sz w:val="24"/>
                <w:highlight w:val="none"/>
                <w:lang w:bidi="ar"/>
              </w:rPr>
              <w:t>措施</w:t>
            </w:r>
            <w:r>
              <w:rPr>
                <w:rFonts w:hint="eastAsia" w:ascii="仿宋" w:hAnsi="仿宋" w:eastAsia="仿宋" w:cs="仿宋"/>
                <w:sz w:val="24"/>
                <w:highlight w:val="none"/>
                <w:lang w:val="en-US" w:eastAsia="zh-CN" w:bidi="ar"/>
              </w:rPr>
              <w:t>不完善或未提供</w:t>
            </w:r>
            <w:r>
              <w:rPr>
                <w:rFonts w:hint="eastAsia" w:ascii="仿宋" w:hAnsi="仿宋" w:eastAsia="仿宋" w:cs="仿宋"/>
                <w:sz w:val="24"/>
                <w:highlight w:val="none"/>
                <w:lang w:bidi="ar"/>
              </w:rPr>
              <w:t>，视为不可行，得0分。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74D38B8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2</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4350B68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7FAD016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54D3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169AB42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lang w:bidi="ar"/>
              </w:rPr>
              <w:t>3</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0CA2384E">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lang w:bidi="ar"/>
              </w:rPr>
              <w:t>拟派项目组成员情况。团队名单中应列明所有团队人员的姓名、身份证号码，并须提供供应商为人员缴纳的、距投标截止时间最近一个月的、社保机构出具的社保证明材料，否则评审时不予认可。如最近一个月社保还无法查询到信息的，可提供最近两个月任意时间出具的社保证明；退休返聘、或者外聘等人员不予认可。</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80A083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bidi="ar"/>
              </w:rPr>
              <w:t>/</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0FD8F4C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1F6FC66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53C8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272BA73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3.1</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4AE034C8">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bCs/>
                <w:sz w:val="24"/>
                <w:highlight w:val="none"/>
              </w:rPr>
              <w:t>拟派的项目负责人情况</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0BF2A2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0AA5CD16">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611774A1">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4372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78FFAB7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3.1.1</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33C24B1A">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pacing w:val="-4"/>
                <w:sz w:val="24"/>
                <w:highlight w:val="none"/>
                <w:lang w:bidi="ar"/>
              </w:rPr>
            </w:pPr>
            <w:r>
              <w:rPr>
                <w:rFonts w:hint="eastAsia" w:ascii="仿宋" w:hAnsi="仿宋" w:eastAsia="仿宋" w:cs="仿宋"/>
                <w:spacing w:val="-4"/>
                <w:sz w:val="24"/>
                <w:highlight w:val="none"/>
                <w:lang w:bidi="ar"/>
              </w:rPr>
              <w:t>拟派项目负责人具有高级（含）以上职称的得</w:t>
            </w:r>
            <w:r>
              <w:rPr>
                <w:rFonts w:hint="eastAsia" w:ascii="仿宋" w:hAnsi="仿宋" w:eastAsia="仿宋" w:cs="仿宋"/>
                <w:spacing w:val="-4"/>
                <w:sz w:val="24"/>
                <w:highlight w:val="none"/>
                <w:lang w:val="en-US" w:eastAsia="zh-CN" w:bidi="ar"/>
              </w:rPr>
              <w:t>4</w:t>
            </w:r>
            <w:r>
              <w:rPr>
                <w:rFonts w:hint="eastAsia" w:ascii="仿宋" w:hAnsi="仿宋" w:eastAsia="仿宋" w:cs="仿宋"/>
                <w:spacing w:val="-4"/>
                <w:sz w:val="24"/>
                <w:highlight w:val="none"/>
                <w:lang w:bidi="ar"/>
              </w:rPr>
              <w:t>分，没有不得分</w:t>
            </w:r>
            <w:r>
              <w:rPr>
                <w:rFonts w:hint="eastAsia" w:ascii="仿宋" w:hAnsi="仿宋" w:eastAsia="仿宋" w:cs="仿宋"/>
                <w:spacing w:val="-4"/>
                <w:sz w:val="24"/>
                <w:highlight w:val="none"/>
                <w:lang w:eastAsia="zh-CN" w:bidi="ar"/>
              </w:rPr>
              <w:t>。</w:t>
            </w:r>
          </w:p>
          <w:p w14:paraId="01083663">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bCs/>
                <w:sz w:val="24"/>
                <w:highlight w:val="none"/>
              </w:rPr>
              <w:t>证明材料：提供职称证书扫描件</w:t>
            </w:r>
            <w:r>
              <w:rPr>
                <w:rFonts w:hint="eastAsia" w:ascii="仿宋" w:hAnsi="仿宋" w:eastAsia="仿宋" w:cs="仿宋"/>
                <w:sz w:val="24"/>
                <w:highlight w:val="none"/>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2A13E13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4</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5793288A">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10922F1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6202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631E6C9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3.1.2</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27310DF2">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2022年1月1日以来，</w:t>
            </w:r>
            <w:r>
              <w:rPr>
                <w:rFonts w:hint="eastAsia" w:ascii="仿宋" w:hAnsi="仿宋" w:eastAsia="仿宋" w:cs="仿宋"/>
                <w:spacing w:val="-4"/>
                <w:sz w:val="24"/>
                <w:highlight w:val="none"/>
                <w:lang w:bidi="ar"/>
              </w:rPr>
              <w:t>拟派</w:t>
            </w:r>
            <w:r>
              <w:rPr>
                <w:rFonts w:hint="eastAsia" w:ascii="仿宋" w:hAnsi="仿宋" w:eastAsia="仿宋" w:cs="仿宋"/>
                <w:sz w:val="24"/>
                <w:highlight w:val="none"/>
              </w:rPr>
              <w:t>项目负责人担任过政府投资类竣工财务决算审核业务负责人的，每个项目得1分，最高得5分。</w:t>
            </w:r>
          </w:p>
          <w:p w14:paraId="563AAFD2">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证明材料：</w:t>
            </w:r>
            <w:r>
              <w:rPr>
                <w:rFonts w:hint="eastAsia" w:ascii="仿宋" w:hAnsi="仿宋" w:eastAsia="仿宋" w:cs="仿宋"/>
                <w:b/>
                <w:bCs/>
                <w:sz w:val="24"/>
                <w:highlight w:val="none"/>
              </w:rPr>
              <w:t>同时提供合同及审核报告（报告至少提供封面、盖章页、项目负责人签字页等关键页，时间以审核报告出具之日为准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投标人务必注意，上述内容不全或者无法辨认的，该证明材料不予认可</w:t>
            </w:r>
            <w:r>
              <w:rPr>
                <w:rFonts w:hint="eastAsia" w:ascii="仿宋" w:hAnsi="仿宋" w:eastAsia="仿宋" w:cs="仿宋"/>
                <w:b/>
                <w:bCs/>
                <w:sz w:val="24"/>
                <w:highlight w:val="none"/>
              </w:rPr>
              <w:t>）</w:t>
            </w:r>
            <w:r>
              <w:rPr>
                <w:rFonts w:hint="eastAsia" w:ascii="仿宋" w:hAnsi="仿宋" w:eastAsia="仿宋" w:cs="仿宋"/>
                <w:b/>
                <w:bCs/>
                <w:sz w:val="24"/>
                <w:highlight w:val="none"/>
                <w:lang w:eastAsia="zh-CN"/>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7C111A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5</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59290788">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1BEE789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6AFE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7A8C885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3.2</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1AB85841">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拟派项目团队情况（项目负责人除外）</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208DDBD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36E6466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41D915A3">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162C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4D440B0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3.2.1</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50FB6D7D">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sz w:val="24"/>
                <w:highlight w:val="none"/>
                <w:lang w:bidi="ar"/>
              </w:rPr>
              <w:t>项目组团队（项目负责人</w:t>
            </w:r>
            <w:r>
              <w:rPr>
                <w:rFonts w:hint="eastAsia" w:ascii="仿宋" w:hAnsi="仿宋" w:eastAsia="仿宋" w:cs="仿宋"/>
                <w:sz w:val="24"/>
                <w:highlight w:val="none"/>
                <w:lang w:eastAsia="zh-CN" w:bidi="ar"/>
              </w:rPr>
              <w:t>、</w:t>
            </w:r>
            <w:r>
              <w:rPr>
                <w:rFonts w:hint="eastAsia" w:ascii="仿宋" w:hAnsi="仿宋" w:eastAsia="仿宋" w:cs="仿宋"/>
                <w:sz w:val="24"/>
                <w:highlight w:val="none"/>
                <w:lang w:val="en-US" w:eastAsia="zh-CN" w:bidi="ar"/>
              </w:rPr>
              <w:t>项目主管人员</w:t>
            </w:r>
            <w:r>
              <w:rPr>
                <w:rFonts w:hint="eastAsia" w:ascii="仿宋" w:hAnsi="仿宋" w:eastAsia="仿宋" w:cs="仿宋"/>
                <w:sz w:val="24"/>
                <w:highlight w:val="none"/>
                <w:lang w:bidi="ar"/>
              </w:rPr>
              <w:t>除外）</w:t>
            </w:r>
            <w:r>
              <w:rPr>
                <w:rFonts w:hint="eastAsia" w:ascii="仿宋" w:hAnsi="仿宋" w:eastAsia="仿宋" w:cs="仿宋"/>
                <w:sz w:val="24"/>
                <w:highlight w:val="none"/>
                <w:lang w:val="en-US" w:eastAsia="zh-CN" w:bidi="ar"/>
              </w:rPr>
              <w:t>的一般审核人员</w:t>
            </w:r>
            <w:r>
              <w:rPr>
                <w:rFonts w:hint="eastAsia" w:ascii="仿宋" w:hAnsi="仿宋" w:eastAsia="仿宋" w:cs="仿宋"/>
                <w:sz w:val="24"/>
                <w:highlight w:val="none"/>
                <w:lang w:bidi="ar"/>
              </w:rPr>
              <w:t>中</w:t>
            </w:r>
            <w:r>
              <w:rPr>
                <w:rFonts w:hint="eastAsia" w:ascii="仿宋" w:hAnsi="仿宋" w:eastAsia="仿宋" w:cs="仿宋"/>
                <w:sz w:val="24"/>
                <w:highlight w:val="none"/>
                <w:lang w:eastAsia="zh-CN" w:bidi="ar"/>
              </w:rPr>
              <w:t>，</w:t>
            </w:r>
            <w:r>
              <w:rPr>
                <w:rFonts w:hint="eastAsia" w:ascii="仿宋" w:hAnsi="仿宋" w:eastAsia="仿宋" w:cs="仿宋"/>
                <w:sz w:val="24"/>
                <w:highlight w:val="none"/>
                <w:lang w:bidi="ar"/>
              </w:rPr>
              <w:t>具有注册会计师资格证书</w:t>
            </w:r>
            <w:r>
              <w:rPr>
                <w:rFonts w:hint="eastAsia" w:ascii="仿宋" w:hAnsi="仿宋" w:eastAsia="仿宋" w:cs="仿宋"/>
                <w:sz w:val="24"/>
                <w:highlight w:val="none"/>
                <w:lang w:val="en-US" w:eastAsia="zh-CN" w:bidi="ar"/>
              </w:rPr>
              <w:t>的，</w:t>
            </w:r>
            <w:r>
              <w:rPr>
                <w:rFonts w:hint="eastAsia" w:ascii="仿宋" w:hAnsi="仿宋" w:eastAsia="仿宋" w:cs="仿宋"/>
                <w:sz w:val="24"/>
                <w:highlight w:val="none"/>
                <w:lang w:bidi="ar"/>
              </w:rPr>
              <w:t>每增加1人得2分，最高得10分。</w:t>
            </w:r>
          </w:p>
          <w:p w14:paraId="3EFB9161">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bCs/>
                <w:sz w:val="24"/>
                <w:highlight w:val="none"/>
              </w:rPr>
              <w:t>证明材料：提供资格证书扫描件</w:t>
            </w:r>
            <w:r>
              <w:rPr>
                <w:rFonts w:hint="eastAsia" w:ascii="仿宋" w:hAnsi="仿宋" w:eastAsia="仿宋" w:cs="仿宋"/>
                <w:sz w:val="24"/>
                <w:highlight w:val="none"/>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522CB6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10</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11AD1585">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1616C94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2C79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5D8FD98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3.2.2</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3238D2CE">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sz w:val="24"/>
                <w:highlight w:val="none"/>
              </w:rPr>
              <w:t>项目组团队（项目负责人除外）具有中级（含）以上职称的每1人得2分，最高得8分。证明材料：提供职称证书扫描件。</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44F8EA9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094092DC">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69AD038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49E2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29F733F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3.3</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463BA7AC">
            <w:pPr>
              <w:pStyle w:val="17"/>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lang w:val="en-US" w:eastAsia="zh-CN"/>
              </w:rPr>
            </w:pPr>
            <w:r>
              <w:rPr>
                <w:rFonts w:hint="eastAsia" w:ascii="仿宋" w:hAnsi="仿宋" w:eastAsia="仿宋" w:cs="仿宋"/>
                <w:b/>
                <w:bCs/>
                <w:sz w:val="24"/>
                <w:highlight w:val="none"/>
              </w:rPr>
              <w:t>人员保障方案。</w:t>
            </w:r>
            <w:r>
              <w:rPr>
                <w:rFonts w:hint="eastAsia" w:ascii="仿宋" w:hAnsi="仿宋" w:eastAsia="仿宋" w:cs="仿宋"/>
                <w:sz w:val="24"/>
                <w:highlight w:val="none"/>
              </w:rPr>
              <w:t>根据投标人针对本项目提出切实可行的人员保障方案进行评分。</w:t>
            </w:r>
            <w:r>
              <w:rPr>
                <w:rFonts w:hint="eastAsia" w:ascii="仿宋" w:hAnsi="仿宋" w:eastAsia="仿宋" w:cs="仿宋"/>
                <w:sz w:val="24"/>
                <w:highlight w:val="none"/>
                <w:lang w:val="en-US" w:eastAsia="zh-CN"/>
              </w:rPr>
              <w:t xml:space="preserve">                       </w:t>
            </w:r>
          </w:p>
          <w:p w14:paraId="17A93A28">
            <w:pPr>
              <w:pStyle w:val="17"/>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①人员配备充足、</w:t>
            </w:r>
            <w:r>
              <w:rPr>
                <w:rFonts w:hint="eastAsia" w:ascii="仿宋" w:hAnsi="仿宋" w:eastAsia="仿宋" w:cs="仿宋"/>
                <w:sz w:val="24"/>
                <w:highlight w:val="none"/>
              </w:rPr>
              <w:t>稳定，方案</w:t>
            </w:r>
            <w:r>
              <w:rPr>
                <w:rFonts w:hint="eastAsia" w:ascii="仿宋" w:hAnsi="仿宋" w:eastAsia="仿宋" w:cs="仿宋"/>
                <w:sz w:val="24"/>
                <w:highlight w:val="none"/>
                <w:lang w:val="en-US" w:eastAsia="zh-CN"/>
              </w:rPr>
              <w:t>操作性</w:t>
            </w:r>
            <w:r>
              <w:rPr>
                <w:rFonts w:hint="eastAsia" w:ascii="仿宋" w:hAnsi="仿宋" w:eastAsia="仿宋" w:cs="仿宋"/>
                <w:sz w:val="24"/>
                <w:highlight w:val="none"/>
              </w:rPr>
              <w:t>强</w:t>
            </w:r>
            <w:r>
              <w:rPr>
                <w:rFonts w:hint="eastAsia" w:ascii="仿宋" w:hAnsi="仿宋" w:eastAsia="仿宋" w:cs="仿宋"/>
                <w:sz w:val="24"/>
                <w:highlight w:val="none"/>
                <w:lang w:val="en-US" w:eastAsia="zh-CN"/>
              </w:rPr>
              <w:t>，保障措施完善，</w:t>
            </w:r>
            <w:r>
              <w:rPr>
                <w:rFonts w:hint="eastAsia" w:ascii="仿宋" w:hAnsi="仿宋" w:eastAsia="仿宋" w:cs="仿宋"/>
                <w:sz w:val="24"/>
                <w:highlight w:val="none"/>
              </w:rPr>
              <w:t>视为方案</w:t>
            </w:r>
            <w:r>
              <w:rPr>
                <w:rFonts w:hint="eastAsia" w:ascii="仿宋" w:hAnsi="仿宋" w:eastAsia="仿宋" w:cs="仿宋"/>
                <w:sz w:val="24"/>
                <w:highlight w:val="none"/>
                <w:lang w:val="en-US" w:eastAsia="zh-CN"/>
              </w:rPr>
              <w:t>好</w:t>
            </w:r>
            <w:r>
              <w:rPr>
                <w:rFonts w:hint="eastAsia" w:ascii="仿宋" w:hAnsi="仿宋" w:eastAsia="仿宋" w:cs="仿宋"/>
                <w:sz w:val="24"/>
                <w:highlight w:val="none"/>
              </w:rPr>
              <w:t>，得</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分；</w:t>
            </w:r>
          </w:p>
          <w:p w14:paraId="369019F1">
            <w:pPr>
              <w:pStyle w:val="17"/>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②人员配备较充足、较</w:t>
            </w:r>
            <w:r>
              <w:rPr>
                <w:rFonts w:hint="eastAsia" w:ascii="仿宋" w:hAnsi="仿宋" w:eastAsia="仿宋" w:cs="仿宋"/>
                <w:sz w:val="24"/>
                <w:highlight w:val="none"/>
              </w:rPr>
              <w:t>稳定，方案</w:t>
            </w:r>
            <w:r>
              <w:rPr>
                <w:rFonts w:hint="eastAsia" w:ascii="仿宋" w:hAnsi="仿宋" w:eastAsia="仿宋" w:cs="仿宋"/>
                <w:sz w:val="24"/>
                <w:highlight w:val="none"/>
                <w:lang w:val="en-US" w:eastAsia="zh-CN"/>
              </w:rPr>
              <w:t>操作性较</w:t>
            </w:r>
            <w:r>
              <w:rPr>
                <w:rFonts w:hint="eastAsia" w:ascii="仿宋" w:hAnsi="仿宋" w:eastAsia="仿宋" w:cs="仿宋"/>
                <w:sz w:val="24"/>
                <w:highlight w:val="none"/>
              </w:rPr>
              <w:t>强</w:t>
            </w:r>
            <w:r>
              <w:rPr>
                <w:rFonts w:hint="eastAsia" w:ascii="仿宋" w:hAnsi="仿宋" w:eastAsia="仿宋" w:cs="仿宋"/>
                <w:sz w:val="24"/>
                <w:highlight w:val="none"/>
                <w:lang w:val="en-US" w:eastAsia="zh-CN"/>
              </w:rPr>
              <w:t>，保障措施较完善，</w:t>
            </w:r>
            <w:r>
              <w:rPr>
                <w:rFonts w:hint="eastAsia" w:ascii="仿宋" w:hAnsi="仿宋" w:eastAsia="仿宋" w:cs="仿宋"/>
                <w:sz w:val="24"/>
                <w:highlight w:val="none"/>
              </w:rPr>
              <w:t>视为方案</w:t>
            </w:r>
            <w:r>
              <w:rPr>
                <w:rFonts w:hint="eastAsia" w:ascii="仿宋" w:hAnsi="仿宋" w:eastAsia="仿宋" w:cs="仿宋"/>
                <w:sz w:val="24"/>
                <w:highlight w:val="none"/>
                <w:lang w:val="en-US" w:eastAsia="zh-CN"/>
              </w:rPr>
              <w:t>较好，得4.5分；</w:t>
            </w:r>
          </w:p>
          <w:p w14:paraId="240360B1">
            <w:pPr>
              <w:pStyle w:val="17"/>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③人员配备基本充足、基本</w:t>
            </w:r>
            <w:r>
              <w:rPr>
                <w:rFonts w:hint="eastAsia" w:ascii="仿宋" w:hAnsi="仿宋" w:eastAsia="仿宋" w:cs="仿宋"/>
                <w:sz w:val="24"/>
                <w:highlight w:val="none"/>
              </w:rPr>
              <w:t>稳定，方案</w:t>
            </w:r>
            <w:r>
              <w:rPr>
                <w:rFonts w:hint="eastAsia" w:ascii="仿宋" w:hAnsi="仿宋" w:eastAsia="仿宋" w:cs="仿宋"/>
                <w:sz w:val="24"/>
                <w:highlight w:val="none"/>
                <w:lang w:val="en-US" w:eastAsia="zh-CN"/>
              </w:rPr>
              <w:t>操作性基本</w:t>
            </w:r>
            <w:r>
              <w:rPr>
                <w:rFonts w:hint="eastAsia" w:ascii="仿宋" w:hAnsi="仿宋" w:eastAsia="仿宋" w:cs="仿宋"/>
                <w:sz w:val="24"/>
                <w:highlight w:val="none"/>
              </w:rPr>
              <w:t>强</w:t>
            </w:r>
            <w:r>
              <w:rPr>
                <w:rFonts w:hint="eastAsia" w:ascii="仿宋" w:hAnsi="仿宋" w:eastAsia="仿宋" w:cs="仿宋"/>
                <w:sz w:val="24"/>
                <w:highlight w:val="none"/>
                <w:lang w:val="en-US" w:eastAsia="zh-CN"/>
              </w:rPr>
              <w:t>，保障措施基本完善，</w:t>
            </w:r>
            <w:r>
              <w:rPr>
                <w:rFonts w:hint="eastAsia" w:ascii="仿宋" w:hAnsi="仿宋" w:eastAsia="仿宋" w:cs="仿宋"/>
                <w:sz w:val="24"/>
                <w:highlight w:val="none"/>
              </w:rPr>
              <w:t>视为方案</w:t>
            </w:r>
            <w:r>
              <w:rPr>
                <w:rFonts w:hint="eastAsia" w:ascii="仿宋" w:hAnsi="仿宋" w:eastAsia="仿宋" w:cs="仿宋"/>
                <w:sz w:val="24"/>
                <w:highlight w:val="none"/>
                <w:lang w:val="en-US" w:eastAsia="zh-CN"/>
              </w:rPr>
              <w:t>较一般，</w:t>
            </w:r>
            <w:r>
              <w:rPr>
                <w:rFonts w:hint="eastAsia" w:ascii="仿宋" w:hAnsi="仿宋" w:eastAsia="仿宋" w:cs="仿宋"/>
                <w:sz w:val="24"/>
                <w:highlight w:val="none"/>
              </w:rPr>
              <w:t>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p>
          <w:p w14:paraId="2F471D9E">
            <w:pPr>
              <w:pStyle w:val="17"/>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④人员配备不够充足、不够</w:t>
            </w:r>
            <w:r>
              <w:rPr>
                <w:rFonts w:hint="eastAsia" w:ascii="仿宋" w:hAnsi="仿宋" w:eastAsia="仿宋" w:cs="仿宋"/>
                <w:sz w:val="24"/>
                <w:highlight w:val="none"/>
              </w:rPr>
              <w:t>稳定，方案</w:t>
            </w:r>
            <w:r>
              <w:rPr>
                <w:rFonts w:hint="eastAsia" w:ascii="仿宋" w:hAnsi="仿宋" w:eastAsia="仿宋" w:cs="仿宋"/>
                <w:sz w:val="24"/>
                <w:highlight w:val="none"/>
                <w:lang w:val="en-US" w:eastAsia="zh-CN"/>
              </w:rPr>
              <w:t>操作性不够</w:t>
            </w:r>
            <w:r>
              <w:rPr>
                <w:rFonts w:hint="eastAsia" w:ascii="仿宋" w:hAnsi="仿宋" w:eastAsia="仿宋" w:cs="仿宋"/>
                <w:sz w:val="24"/>
                <w:highlight w:val="none"/>
              </w:rPr>
              <w:t>强</w:t>
            </w:r>
            <w:r>
              <w:rPr>
                <w:rFonts w:hint="eastAsia" w:ascii="仿宋" w:hAnsi="仿宋" w:eastAsia="仿宋" w:cs="仿宋"/>
                <w:sz w:val="24"/>
                <w:highlight w:val="none"/>
                <w:lang w:val="en-US" w:eastAsia="zh-CN"/>
              </w:rPr>
              <w:t>，保障措施不够完善，</w:t>
            </w:r>
            <w:r>
              <w:rPr>
                <w:rFonts w:hint="eastAsia" w:ascii="仿宋" w:hAnsi="仿宋" w:eastAsia="仿宋" w:cs="仿宋"/>
                <w:sz w:val="24"/>
                <w:highlight w:val="none"/>
              </w:rPr>
              <w:t>视为方案存在不足，得</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分；</w:t>
            </w:r>
          </w:p>
          <w:p w14:paraId="23DB06A2">
            <w:pPr>
              <w:pStyle w:val="17"/>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⑤人员配备不充足、不</w:t>
            </w:r>
            <w:r>
              <w:rPr>
                <w:rFonts w:hint="eastAsia" w:ascii="仿宋" w:hAnsi="仿宋" w:eastAsia="仿宋" w:cs="仿宋"/>
                <w:sz w:val="24"/>
                <w:highlight w:val="none"/>
              </w:rPr>
              <w:t>稳定，方案</w:t>
            </w:r>
            <w:r>
              <w:rPr>
                <w:rFonts w:hint="eastAsia" w:ascii="仿宋" w:hAnsi="仿宋" w:eastAsia="仿宋" w:cs="仿宋"/>
                <w:sz w:val="24"/>
                <w:highlight w:val="none"/>
                <w:lang w:val="en-US" w:eastAsia="zh-CN"/>
              </w:rPr>
              <w:t>操作性不</w:t>
            </w:r>
            <w:r>
              <w:rPr>
                <w:rFonts w:hint="eastAsia" w:ascii="仿宋" w:hAnsi="仿宋" w:eastAsia="仿宋" w:cs="仿宋"/>
                <w:sz w:val="24"/>
                <w:highlight w:val="none"/>
              </w:rPr>
              <w:t>强</w:t>
            </w:r>
            <w:r>
              <w:rPr>
                <w:rFonts w:hint="eastAsia" w:ascii="仿宋" w:hAnsi="仿宋" w:eastAsia="仿宋" w:cs="仿宋"/>
                <w:sz w:val="24"/>
                <w:highlight w:val="none"/>
                <w:lang w:val="en-US" w:eastAsia="zh-CN"/>
              </w:rPr>
              <w:t>，保障措施不完善，或者未提供方案的</w:t>
            </w:r>
            <w:r>
              <w:rPr>
                <w:rFonts w:hint="eastAsia" w:ascii="仿宋" w:hAnsi="仿宋" w:eastAsia="仿宋" w:cs="仿宋"/>
                <w:sz w:val="24"/>
                <w:highlight w:val="none"/>
              </w:rPr>
              <w:t>，视为方案不可行，得</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652165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lang w:eastAsia="zh-CN"/>
              </w:rPr>
            </w:pPr>
            <w:r>
              <w:rPr>
                <w:rFonts w:hint="eastAsia" w:ascii="仿宋" w:hAnsi="仿宋" w:eastAsia="仿宋" w:cs="仿宋"/>
                <w:color w:val="0000FF"/>
                <w:sz w:val="24"/>
                <w:highlight w:val="none"/>
                <w:lang w:val="en-US" w:eastAsia="zh-CN"/>
              </w:rPr>
              <w:t>6</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2EA00925">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13D908A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7BAE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00DF180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4</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3D59FFD3">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lang w:val="en-US" w:eastAsia="zh-CN"/>
              </w:rPr>
            </w:pPr>
            <w:r>
              <w:rPr>
                <w:rFonts w:hint="eastAsia" w:ascii="仿宋" w:hAnsi="仿宋" w:eastAsia="仿宋" w:cs="仿宋"/>
                <w:b/>
                <w:bCs/>
                <w:sz w:val="24"/>
                <w:highlight w:val="none"/>
              </w:rPr>
              <w:t>响应时间承诺。</w:t>
            </w:r>
            <w:r>
              <w:rPr>
                <w:rFonts w:hint="eastAsia" w:ascii="仿宋" w:hAnsi="仿宋" w:eastAsia="仿宋" w:cs="仿宋"/>
                <w:sz w:val="24"/>
                <w:highlight w:val="none"/>
              </w:rPr>
              <w:t>承诺一般情况下，1小时内响应</w:t>
            </w:r>
            <w:r>
              <w:rPr>
                <w:rFonts w:hint="eastAsia" w:ascii="仿宋" w:hAnsi="仿宋" w:eastAsia="仿宋" w:cs="仿宋"/>
                <w:sz w:val="24"/>
                <w:highlight w:val="none"/>
                <w:lang w:eastAsia="zh-CN"/>
              </w:rPr>
              <w:t>，</w:t>
            </w:r>
            <w:r>
              <w:rPr>
                <w:rFonts w:hint="eastAsia" w:ascii="仿宋" w:hAnsi="仿宋" w:eastAsia="仿宋" w:cs="仿宋"/>
                <w:sz w:val="24"/>
                <w:highlight w:val="none"/>
              </w:rPr>
              <w:t>需要现场服务时，接到采购人通知后2小时内到达采购人指定的服务地点</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 xml:space="preserve">    </w:t>
            </w:r>
          </w:p>
          <w:p w14:paraId="3D55F51E">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承诺满足上述要求的得1分；</w:t>
            </w:r>
            <w:r>
              <w:rPr>
                <w:rFonts w:hint="eastAsia" w:ascii="仿宋" w:hAnsi="仿宋" w:eastAsia="仿宋" w:cs="仿宋"/>
                <w:sz w:val="24"/>
                <w:highlight w:val="none"/>
              </w:rPr>
              <w:t>未承诺或</w:t>
            </w:r>
            <w:r>
              <w:rPr>
                <w:rFonts w:hint="eastAsia" w:ascii="仿宋" w:hAnsi="仿宋" w:eastAsia="仿宋" w:cs="仿宋"/>
                <w:sz w:val="24"/>
                <w:highlight w:val="none"/>
                <w:lang w:val="en-US" w:eastAsia="zh-CN"/>
              </w:rPr>
              <w:t>不满足的，</w:t>
            </w:r>
            <w:r>
              <w:rPr>
                <w:rFonts w:hint="eastAsia" w:ascii="仿宋" w:hAnsi="仿宋" w:eastAsia="仿宋" w:cs="仿宋"/>
                <w:sz w:val="24"/>
                <w:highlight w:val="none"/>
              </w:rPr>
              <w:t>得</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5599C2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11E6EAC3">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4C5E826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4D33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4D63565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bidi="ar"/>
              </w:rPr>
              <w:t>5</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203DCBC2">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sz w:val="24"/>
                <w:highlight w:val="none"/>
                <w:lang w:bidi="ar"/>
              </w:rPr>
              <w:t>针对本项目重点、难点分析及相应解决措施</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9FFFE13">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bidi="ar"/>
              </w:rPr>
              <w:t>/</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06D58D73">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120F8F4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21C5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4F96125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bidi="ar"/>
              </w:rPr>
              <w:t>5.1</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54E4BB31">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bidi="ar"/>
              </w:rPr>
            </w:pPr>
            <w:r>
              <w:rPr>
                <w:rFonts w:hint="eastAsia" w:ascii="仿宋" w:hAnsi="仿宋" w:eastAsia="仿宋" w:cs="仿宋"/>
                <w:sz w:val="24"/>
                <w:highlight w:val="none"/>
                <w:lang w:bidi="ar"/>
              </w:rPr>
              <w:t>针对工程财务竣工决算上报不及时，投标人结合对本项目采购需求的理解，对此问题进行分析并提出解决措施。</w:t>
            </w:r>
          </w:p>
          <w:p w14:paraId="3AAB6110">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①问题分析全面、解决措施有效，视为方案好，得6分；</w:t>
            </w:r>
          </w:p>
          <w:p w14:paraId="4191FF1A">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②问题分析较全面、解决措施较有效，视为方案较好，得4.5分；</w:t>
            </w:r>
          </w:p>
          <w:p w14:paraId="27040F85">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③问题分析基本全面、解决措施基本有效，视为方案一般，得3分；</w:t>
            </w:r>
          </w:p>
          <w:p w14:paraId="79AB39BC">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bidi="ar"/>
              </w:rPr>
            </w:pPr>
            <w:r>
              <w:rPr>
                <w:rFonts w:hint="eastAsia" w:ascii="仿宋" w:hAnsi="仿宋" w:eastAsia="仿宋" w:cs="仿宋"/>
                <w:sz w:val="24"/>
                <w:highlight w:val="none"/>
                <w:lang w:val="en-US" w:eastAsia="zh-CN" w:bidi="ar"/>
              </w:rPr>
              <w:t>④问题分析不够全面、解决措施不够有效，</w:t>
            </w:r>
            <w:r>
              <w:rPr>
                <w:rFonts w:hint="eastAsia" w:ascii="仿宋" w:hAnsi="仿宋" w:eastAsia="仿宋" w:cs="仿宋"/>
                <w:sz w:val="24"/>
                <w:highlight w:val="none"/>
                <w:lang w:bidi="ar"/>
              </w:rPr>
              <w:t>视为方案</w:t>
            </w:r>
            <w:r>
              <w:rPr>
                <w:rFonts w:hint="eastAsia" w:ascii="仿宋" w:hAnsi="仿宋" w:eastAsia="仿宋" w:cs="仿宋"/>
                <w:sz w:val="24"/>
                <w:highlight w:val="none"/>
                <w:lang w:val="en-US" w:eastAsia="zh-CN" w:bidi="ar"/>
              </w:rPr>
              <w:t>存在</w:t>
            </w:r>
            <w:r>
              <w:rPr>
                <w:rFonts w:hint="eastAsia" w:ascii="仿宋" w:hAnsi="仿宋" w:eastAsia="仿宋" w:cs="仿宋"/>
                <w:sz w:val="24"/>
                <w:highlight w:val="none"/>
                <w:lang w:bidi="ar"/>
              </w:rPr>
              <w:t>不足，得1</w:t>
            </w:r>
            <w:r>
              <w:rPr>
                <w:rFonts w:hint="eastAsia" w:ascii="仿宋" w:hAnsi="仿宋" w:eastAsia="仿宋" w:cs="仿宋"/>
                <w:sz w:val="24"/>
                <w:highlight w:val="none"/>
                <w:lang w:val="en-US" w:eastAsia="zh-CN" w:bidi="ar"/>
              </w:rPr>
              <w:t>.5</w:t>
            </w:r>
            <w:r>
              <w:rPr>
                <w:rFonts w:hint="eastAsia" w:ascii="仿宋" w:hAnsi="仿宋" w:eastAsia="仿宋" w:cs="仿宋"/>
                <w:sz w:val="24"/>
                <w:highlight w:val="none"/>
                <w:lang w:bidi="ar"/>
              </w:rPr>
              <w:t>分；</w:t>
            </w:r>
          </w:p>
          <w:p w14:paraId="3064410E">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bidi="ar"/>
              </w:rPr>
              <w:t>⑤问题分析不全面、解决措施无效，</w:t>
            </w:r>
            <w:r>
              <w:rPr>
                <w:rFonts w:hint="eastAsia" w:ascii="仿宋" w:hAnsi="仿宋" w:eastAsia="仿宋" w:cs="仿宋"/>
                <w:sz w:val="24"/>
                <w:highlight w:val="none"/>
                <w:lang w:val="en-US" w:eastAsia="zh-CN"/>
              </w:rPr>
              <w:t>或者未提供方案的</w:t>
            </w:r>
            <w:r>
              <w:rPr>
                <w:rFonts w:hint="eastAsia" w:ascii="仿宋" w:hAnsi="仿宋" w:eastAsia="仿宋" w:cs="仿宋"/>
                <w:sz w:val="24"/>
                <w:highlight w:val="none"/>
                <w:lang w:bidi="ar"/>
              </w:rPr>
              <w:t>，视为方案不可行，得0分。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8FF439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bidi="ar"/>
              </w:rPr>
              <w:t>6</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3944E3AB">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lang w:bidi="ar"/>
              </w:rPr>
              <w:t>主观分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6ECE136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7F85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49AF31F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bidi="ar"/>
              </w:rPr>
              <w:t>5.2</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234E209E">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bidi="ar"/>
              </w:rPr>
            </w:pPr>
            <w:r>
              <w:rPr>
                <w:rFonts w:hint="eastAsia" w:ascii="仿宋" w:hAnsi="仿宋" w:eastAsia="仿宋" w:cs="仿宋"/>
                <w:sz w:val="24"/>
                <w:highlight w:val="none"/>
                <w:lang w:bidi="ar"/>
              </w:rPr>
              <w:t>针对工程财务竣工决算推进困难，投标人结合对本项目采购需求的理解，对此问题进行分析并提出解决措施。</w:t>
            </w:r>
          </w:p>
          <w:p w14:paraId="4A3022AE">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①问题分析全面、解决措施有效，视为方案好，得6分；</w:t>
            </w:r>
          </w:p>
          <w:p w14:paraId="5EEAA85D">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②问题分析较全面、解决措施较有效，视为方案较好，得4.5分；</w:t>
            </w:r>
          </w:p>
          <w:p w14:paraId="2058D25C">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③问题分析基本全面、解决措施基本有效，视为方案一般，得3分；</w:t>
            </w:r>
          </w:p>
          <w:p w14:paraId="10B7F608">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bidi="ar"/>
              </w:rPr>
            </w:pPr>
            <w:r>
              <w:rPr>
                <w:rFonts w:hint="eastAsia" w:ascii="仿宋" w:hAnsi="仿宋" w:eastAsia="仿宋" w:cs="仿宋"/>
                <w:sz w:val="24"/>
                <w:highlight w:val="none"/>
                <w:lang w:val="en-US" w:eastAsia="zh-CN" w:bidi="ar"/>
              </w:rPr>
              <w:t>④问题分析不够全面、解决措施不够有效，</w:t>
            </w:r>
            <w:r>
              <w:rPr>
                <w:rFonts w:hint="eastAsia" w:ascii="仿宋" w:hAnsi="仿宋" w:eastAsia="仿宋" w:cs="仿宋"/>
                <w:sz w:val="24"/>
                <w:highlight w:val="none"/>
                <w:lang w:bidi="ar"/>
              </w:rPr>
              <w:t>视为方案</w:t>
            </w:r>
            <w:r>
              <w:rPr>
                <w:rFonts w:hint="eastAsia" w:ascii="仿宋" w:hAnsi="仿宋" w:eastAsia="仿宋" w:cs="仿宋"/>
                <w:sz w:val="24"/>
                <w:highlight w:val="none"/>
                <w:lang w:val="en-US" w:eastAsia="zh-CN" w:bidi="ar"/>
              </w:rPr>
              <w:t>存在</w:t>
            </w:r>
            <w:r>
              <w:rPr>
                <w:rFonts w:hint="eastAsia" w:ascii="仿宋" w:hAnsi="仿宋" w:eastAsia="仿宋" w:cs="仿宋"/>
                <w:sz w:val="24"/>
                <w:highlight w:val="none"/>
                <w:lang w:bidi="ar"/>
              </w:rPr>
              <w:t>不足，得1</w:t>
            </w:r>
            <w:r>
              <w:rPr>
                <w:rFonts w:hint="eastAsia" w:ascii="仿宋" w:hAnsi="仿宋" w:eastAsia="仿宋" w:cs="仿宋"/>
                <w:sz w:val="24"/>
                <w:highlight w:val="none"/>
                <w:lang w:val="en-US" w:eastAsia="zh-CN" w:bidi="ar"/>
              </w:rPr>
              <w:t>.5</w:t>
            </w:r>
            <w:r>
              <w:rPr>
                <w:rFonts w:hint="eastAsia" w:ascii="仿宋" w:hAnsi="仿宋" w:eastAsia="仿宋" w:cs="仿宋"/>
                <w:sz w:val="24"/>
                <w:highlight w:val="none"/>
                <w:lang w:bidi="ar"/>
              </w:rPr>
              <w:t>分；</w:t>
            </w:r>
          </w:p>
          <w:p w14:paraId="58B25AC0">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bCs/>
                <w:sz w:val="24"/>
                <w:highlight w:val="none"/>
              </w:rPr>
            </w:pPr>
            <w:r>
              <w:rPr>
                <w:rFonts w:hint="eastAsia" w:ascii="仿宋" w:hAnsi="仿宋" w:eastAsia="仿宋" w:cs="仿宋"/>
                <w:sz w:val="24"/>
                <w:highlight w:val="none"/>
                <w:lang w:val="en-US" w:eastAsia="zh-CN" w:bidi="ar"/>
              </w:rPr>
              <w:t>⑤问题分析不全面、解决措施无效，</w:t>
            </w:r>
            <w:r>
              <w:rPr>
                <w:rFonts w:hint="eastAsia" w:ascii="仿宋" w:hAnsi="仿宋" w:eastAsia="仿宋" w:cs="仿宋"/>
                <w:sz w:val="24"/>
                <w:highlight w:val="none"/>
                <w:lang w:val="en-US" w:eastAsia="zh-CN"/>
              </w:rPr>
              <w:t>或者未提供方案的</w:t>
            </w:r>
            <w:r>
              <w:rPr>
                <w:rFonts w:hint="eastAsia" w:ascii="仿宋" w:hAnsi="仿宋" w:eastAsia="仿宋" w:cs="仿宋"/>
                <w:sz w:val="24"/>
                <w:highlight w:val="none"/>
                <w:lang w:bidi="ar"/>
              </w:rPr>
              <w:t>，视为方案不可行，得0分。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4EF82D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bidi="ar"/>
              </w:rPr>
              <w:t>6</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69F8DFDC">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lang w:bidi="ar"/>
              </w:rPr>
              <w:t>主观分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6B1A065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7602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13464FF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bidi="ar"/>
              </w:rPr>
              <w:t>5.3</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3E93B9AA">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bidi="ar"/>
              </w:rPr>
            </w:pPr>
            <w:r>
              <w:rPr>
                <w:rFonts w:hint="eastAsia" w:ascii="仿宋" w:hAnsi="仿宋" w:eastAsia="仿宋" w:cs="仿宋"/>
                <w:sz w:val="24"/>
                <w:highlight w:val="none"/>
                <w:lang w:bidi="ar"/>
              </w:rPr>
              <w:t>针对财务竣工决算审核重点及风险点的把握情况提出措施。</w:t>
            </w:r>
          </w:p>
          <w:p w14:paraId="128C9F8F">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①措施有效，视为方案好，得6分；</w:t>
            </w:r>
          </w:p>
          <w:p w14:paraId="32D4329B">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②措施较有效，视为方案较好，得4.5分；</w:t>
            </w:r>
          </w:p>
          <w:p w14:paraId="595CDEA1">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③措施基本有效，视为方案一般，得3分；</w:t>
            </w:r>
          </w:p>
          <w:p w14:paraId="202DF14C">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bidi="ar"/>
              </w:rPr>
            </w:pPr>
            <w:r>
              <w:rPr>
                <w:rFonts w:hint="eastAsia" w:ascii="仿宋" w:hAnsi="仿宋" w:eastAsia="仿宋" w:cs="仿宋"/>
                <w:sz w:val="24"/>
                <w:highlight w:val="none"/>
                <w:lang w:val="en-US" w:eastAsia="zh-CN" w:bidi="ar"/>
              </w:rPr>
              <w:t>④措施不够有效，</w:t>
            </w:r>
            <w:r>
              <w:rPr>
                <w:rFonts w:hint="eastAsia" w:ascii="仿宋" w:hAnsi="仿宋" w:eastAsia="仿宋" w:cs="仿宋"/>
                <w:sz w:val="24"/>
                <w:highlight w:val="none"/>
                <w:lang w:bidi="ar"/>
              </w:rPr>
              <w:t>视为方案</w:t>
            </w:r>
            <w:r>
              <w:rPr>
                <w:rFonts w:hint="eastAsia" w:ascii="仿宋" w:hAnsi="仿宋" w:eastAsia="仿宋" w:cs="仿宋"/>
                <w:sz w:val="24"/>
                <w:highlight w:val="none"/>
                <w:lang w:val="en-US" w:eastAsia="zh-CN" w:bidi="ar"/>
              </w:rPr>
              <w:t>存在</w:t>
            </w:r>
            <w:r>
              <w:rPr>
                <w:rFonts w:hint="eastAsia" w:ascii="仿宋" w:hAnsi="仿宋" w:eastAsia="仿宋" w:cs="仿宋"/>
                <w:sz w:val="24"/>
                <w:highlight w:val="none"/>
                <w:lang w:bidi="ar"/>
              </w:rPr>
              <w:t>不足，得1</w:t>
            </w:r>
            <w:r>
              <w:rPr>
                <w:rFonts w:hint="eastAsia" w:ascii="仿宋" w:hAnsi="仿宋" w:eastAsia="仿宋" w:cs="仿宋"/>
                <w:sz w:val="24"/>
                <w:highlight w:val="none"/>
                <w:lang w:val="en-US" w:eastAsia="zh-CN" w:bidi="ar"/>
              </w:rPr>
              <w:t>.5</w:t>
            </w:r>
            <w:r>
              <w:rPr>
                <w:rFonts w:hint="eastAsia" w:ascii="仿宋" w:hAnsi="仿宋" w:eastAsia="仿宋" w:cs="仿宋"/>
                <w:sz w:val="24"/>
                <w:highlight w:val="none"/>
                <w:lang w:bidi="ar"/>
              </w:rPr>
              <w:t>分；</w:t>
            </w:r>
          </w:p>
          <w:p w14:paraId="3EB8B167">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bidi="ar"/>
              </w:rPr>
              <w:t>⑤措施无效，</w:t>
            </w:r>
            <w:r>
              <w:rPr>
                <w:rFonts w:hint="eastAsia" w:ascii="仿宋" w:hAnsi="仿宋" w:eastAsia="仿宋" w:cs="仿宋"/>
                <w:sz w:val="24"/>
                <w:highlight w:val="none"/>
                <w:lang w:val="en-US" w:eastAsia="zh-CN"/>
              </w:rPr>
              <w:t>或者未提供方案的</w:t>
            </w:r>
            <w:r>
              <w:rPr>
                <w:rFonts w:hint="eastAsia" w:ascii="仿宋" w:hAnsi="仿宋" w:eastAsia="仿宋" w:cs="仿宋"/>
                <w:sz w:val="24"/>
                <w:highlight w:val="none"/>
                <w:lang w:bidi="ar"/>
              </w:rPr>
              <w:t>，视为方案不可行，得0分。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20DB2DA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bidi="ar"/>
              </w:rPr>
              <w:t>6</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6506C4DC">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lang w:bidi="ar"/>
              </w:rPr>
              <w:t>主观分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2648E69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5F20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569BF06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r>
              <w:rPr>
                <w:rFonts w:hint="eastAsia" w:ascii="仿宋" w:hAnsi="仿宋" w:eastAsia="仿宋" w:cs="仿宋"/>
                <w:bCs/>
                <w:sz w:val="24"/>
                <w:highlight w:val="none"/>
              </w:rPr>
              <w:t>6</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1FA9E914">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误差率承诺。承诺决算审核误差率不高于0.2%的得</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分。无承诺或承诺不满足的</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得0分。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74AD97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bidi="ar"/>
              </w:rPr>
              <w:t>4</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580B53D5">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215E232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2BA6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1D00EA4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7</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5C62063A">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
                <w:bCs w:val="0"/>
                <w:color w:val="auto"/>
                <w:sz w:val="24"/>
                <w:highlight w:val="none"/>
                <w:lang w:val="en-US" w:eastAsia="zh-CN"/>
              </w:rPr>
              <w:t>体系认证。</w:t>
            </w:r>
            <w:r>
              <w:rPr>
                <w:rFonts w:hint="eastAsia" w:ascii="仿宋" w:hAnsi="仿宋" w:eastAsia="仿宋" w:cs="仿宋"/>
                <w:bCs/>
                <w:color w:val="auto"/>
                <w:sz w:val="24"/>
                <w:highlight w:val="none"/>
                <w:lang w:val="en-US" w:eastAsia="zh-CN"/>
              </w:rPr>
              <w:t>投标人具有有效的质量管理体系认证证书的得1分。否则不得分。</w:t>
            </w:r>
          </w:p>
          <w:p w14:paraId="3DC54437">
            <w:pPr>
              <w:keepNext w:val="0"/>
              <w:keepLines w:val="0"/>
              <w:pageBreakBefore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注：需提供证书扫描件以及全国认证认可信息公共服务平台（https://www.cnca.gov.cn）网页截图。</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401A8F1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bidi="ar"/>
              </w:rPr>
              <w:t>1</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5810AD73">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lang w:bidi="ar"/>
              </w:rPr>
              <w:t>客观分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00DB021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r w14:paraId="3F7C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4FCDCB0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14:paraId="3694E7C4">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投标报价。</w:t>
            </w:r>
            <w:r>
              <w:rPr>
                <w:rFonts w:hint="eastAsia" w:ascii="仿宋" w:hAnsi="仿宋" w:eastAsia="仿宋" w:cs="仿宋"/>
                <w:color w:val="auto"/>
                <w:sz w:val="24"/>
                <w:highlight w:val="none"/>
              </w:rPr>
              <w:t>有效投标报价的最低价作为评标基准价，其最低报价为满分；按［投标报价得分=（评标基准价/投标报价）*10］的计算公式计算。评标过程中，不得去掉报价中的最高报价和最低报价。</w:t>
            </w:r>
          </w:p>
          <w:p w14:paraId="7731BFFE">
            <w:pPr>
              <w:keepNext w:val="0"/>
              <w:keepLines w:val="0"/>
              <w:pageBreakBefore w:val="0"/>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因落实政府采购政策需要进行价格调整的，以调整后的价格计算评标基准价和投标报价。（因专门面向中小企业，价格调整在本次项目不适用）</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74D4C62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10</w:t>
            </w:r>
          </w:p>
          <w:p w14:paraId="23D406C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62B7C584">
            <w:pPr>
              <w:keepNext w:val="0"/>
              <w:keepLines w:val="0"/>
              <w:pageBreakBefore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2230638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4"/>
                <w:highlight w:val="none"/>
              </w:rPr>
            </w:pPr>
          </w:p>
        </w:tc>
      </w:tr>
    </w:tbl>
    <w:p w14:paraId="5DB3B9EE">
      <w:pPr>
        <w:pStyle w:val="18"/>
        <w:adjustRightInd w:val="0"/>
        <w:snapToGrid w:val="0"/>
        <w:spacing w:line="360" w:lineRule="auto"/>
        <w:ind w:firstLine="420" w:firstLineChars="200"/>
        <w:rPr>
          <w:rFonts w:hint="eastAsia" w:ascii="仿宋" w:hAnsi="仿宋" w:eastAsia="仿宋" w:cs="仿宋"/>
          <w:highlight w:val="none"/>
        </w:rPr>
      </w:pPr>
    </w:p>
    <w:p w14:paraId="2E1FAF90">
      <w:pPr>
        <w:snapToGrid w:val="0"/>
        <w:spacing w:line="360" w:lineRule="auto"/>
        <w:rPr>
          <w:rFonts w:hint="eastAsia" w:ascii="仿宋" w:hAnsi="仿宋" w:eastAsia="仿宋" w:cs="仿宋"/>
          <w:sz w:val="24"/>
          <w:highlight w:val="none"/>
        </w:rPr>
      </w:pPr>
    </w:p>
    <w:p w14:paraId="02F7F707">
      <w:pPr>
        <w:pStyle w:val="2"/>
        <w:rPr>
          <w:rFonts w:hint="eastAsia" w:ascii="仿宋" w:hAnsi="仿宋" w:eastAsia="仿宋" w:cs="仿宋"/>
          <w:highlight w:val="none"/>
        </w:rPr>
      </w:pPr>
    </w:p>
    <w:p w14:paraId="4FDC1E09">
      <w:pPr>
        <w:pStyle w:val="18"/>
        <w:rPr>
          <w:rFonts w:hint="eastAsia" w:ascii="仿宋" w:hAnsi="仿宋" w:eastAsia="仿宋" w:cs="仿宋"/>
          <w:b/>
          <w:sz w:val="32"/>
          <w:highlight w:val="none"/>
        </w:rPr>
      </w:pPr>
      <w:r>
        <w:rPr>
          <w:rFonts w:hint="eastAsia" w:ascii="仿宋" w:hAnsi="仿宋" w:eastAsia="仿宋" w:cs="仿宋"/>
          <w:sz w:val="20"/>
          <w:szCs w:val="20"/>
          <w:highlight w:val="none"/>
          <w:shd w:val="clear" w:color="auto" w:fill="FFFFFF"/>
        </w:rPr>
        <w:t> *</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14:paraId="37DCE796">
      <w:pPr>
        <w:rPr>
          <w:rFonts w:hint="eastAsia" w:ascii="仿宋" w:hAnsi="仿宋" w:eastAsia="仿宋" w:cs="仿宋"/>
          <w:b/>
          <w:sz w:val="32"/>
          <w:highlight w:val="none"/>
        </w:rPr>
      </w:pPr>
    </w:p>
    <w:p w14:paraId="42FE7BC2">
      <w:pPr>
        <w:numPr>
          <w:ilvl w:val="0"/>
          <w:numId w:val="5"/>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highlight w:val="none"/>
        </w:rPr>
      </w:pPr>
      <w:bookmarkStart w:id="117" w:name="_Toc28508"/>
      <w:bookmarkStart w:id="118" w:name="_Toc14163"/>
      <w:bookmarkStart w:id="119" w:name="_Toc19686"/>
      <w:r>
        <w:rPr>
          <w:rFonts w:hint="eastAsia" w:ascii="仿宋" w:hAnsi="仿宋" w:eastAsia="仿宋" w:cs="仿宋"/>
          <w:b/>
          <w:sz w:val="28"/>
          <w:szCs w:val="28"/>
          <w:highlight w:val="none"/>
        </w:rPr>
        <w:t>评标方法</w:t>
      </w:r>
      <w:bookmarkEnd w:id="117"/>
      <w:bookmarkEnd w:id="118"/>
      <w:bookmarkEnd w:id="119"/>
    </w:p>
    <w:p w14:paraId="179B5F05">
      <w:pPr>
        <w:numPr>
          <w:ilvl w:val="0"/>
          <w:numId w:val="6"/>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color w:val="000000" w:themeColor="text1"/>
          <w:kern w:val="0"/>
          <w:sz w:val="24"/>
          <w:highlight w:val="none"/>
          <w14:textFill>
            <w14:solidFill>
              <w14:schemeClr w14:val="tx1"/>
            </w14:solidFill>
          </w14:textFill>
        </w:rPr>
        <w:t>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w:t>
      </w:r>
      <w:r>
        <w:rPr>
          <w:rFonts w:hint="eastAsia" w:ascii="仿宋" w:hAnsi="仿宋" w:eastAsia="仿宋" w:cs="仿宋"/>
          <w:kern w:val="0"/>
          <w:sz w:val="24"/>
          <w:highlight w:val="none"/>
        </w:rPr>
        <w:t>满足招标文件全部实质性要求，且按照评审因素的量化指标评审得分最高的投标人为中标候选人的评标方法。</w:t>
      </w:r>
    </w:p>
    <w:p w14:paraId="33BE204D">
      <w:pPr>
        <w:numPr>
          <w:ilvl w:val="0"/>
          <w:numId w:val="5"/>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highlight w:val="none"/>
        </w:rPr>
      </w:pPr>
      <w:bookmarkStart w:id="120" w:name="_Toc5897"/>
      <w:bookmarkStart w:id="121" w:name="_Toc19233"/>
      <w:bookmarkStart w:id="122" w:name="_Toc9518"/>
      <w:bookmarkStart w:id="123" w:name="_Toc25354"/>
      <w:bookmarkStart w:id="124" w:name="_Toc9220"/>
      <w:r>
        <w:rPr>
          <w:rFonts w:hint="eastAsia" w:ascii="仿宋" w:hAnsi="仿宋" w:eastAsia="仿宋" w:cs="仿宋"/>
          <w:b/>
          <w:sz w:val="28"/>
          <w:szCs w:val="28"/>
          <w:highlight w:val="none"/>
        </w:rPr>
        <w:t>评标标准</w:t>
      </w:r>
      <w:bookmarkEnd w:id="120"/>
      <w:bookmarkEnd w:id="121"/>
      <w:bookmarkEnd w:id="122"/>
      <w:bookmarkEnd w:id="123"/>
      <w:bookmarkEnd w:id="124"/>
    </w:p>
    <w:p w14:paraId="70A799A8">
      <w:pPr>
        <w:numPr>
          <w:ilvl w:val="0"/>
          <w:numId w:val="6"/>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评标标准：</w:t>
      </w:r>
      <w:r>
        <w:rPr>
          <w:rFonts w:hint="eastAsia" w:ascii="仿宋" w:hAnsi="仿宋" w:eastAsia="仿宋" w:cs="仿宋"/>
          <w:kern w:val="0"/>
          <w:sz w:val="24"/>
          <w:highlight w:val="none"/>
        </w:rPr>
        <w:t>见评标办法前附表。</w:t>
      </w:r>
    </w:p>
    <w:p w14:paraId="14D75A59">
      <w:pPr>
        <w:numPr>
          <w:ilvl w:val="0"/>
          <w:numId w:val="5"/>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highlight w:val="none"/>
        </w:rPr>
      </w:pPr>
      <w:bookmarkStart w:id="125" w:name="_Toc1897"/>
      <w:bookmarkStart w:id="126" w:name="_Toc10741"/>
      <w:bookmarkStart w:id="127" w:name="_Toc4050"/>
      <w:bookmarkStart w:id="128" w:name="_Toc26738"/>
      <w:bookmarkStart w:id="129" w:name="_Toc17122"/>
      <w:r>
        <w:rPr>
          <w:rFonts w:hint="eastAsia" w:ascii="仿宋" w:hAnsi="仿宋" w:eastAsia="仿宋" w:cs="仿宋"/>
          <w:b/>
          <w:sz w:val="28"/>
          <w:szCs w:val="28"/>
          <w:highlight w:val="none"/>
        </w:rPr>
        <w:t>评标程序</w:t>
      </w:r>
      <w:bookmarkEnd w:id="125"/>
      <w:bookmarkEnd w:id="126"/>
      <w:bookmarkEnd w:id="127"/>
      <w:bookmarkEnd w:id="128"/>
      <w:bookmarkEnd w:id="129"/>
    </w:p>
    <w:p w14:paraId="5E1B2C45">
      <w:pPr>
        <w:numPr>
          <w:ilvl w:val="1"/>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4854B8AB">
      <w:pPr>
        <w:numPr>
          <w:ilvl w:val="1"/>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6AA83E92">
      <w:pPr>
        <w:numPr>
          <w:ilvl w:val="1"/>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4B92FA12">
      <w:pPr>
        <w:tabs>
          <w:tab w:val="left" w:pos="210"/>
        </w:tabs>
        <w:spacing w:line="360" w:lineRule="auto"/>
        <w:ind w:firstLine="480" w:firstLineChars="200"/>
        <w:rPr>
          <w:rFonts w:hint="eastAsia" w:ascii="仿宋" w:hAnsi="仿宋" w:eastAsia="仿宋" w:cs="仿宋"/>
          <w:b/>
          <w:bCs/>
          <w:kern w:val="0"/>
          <w:sz w:val="24"/>
          <w:highlight w:val="none"/>
        </w:rPr>
      </w:pPr>
      <w:r>
        <w:rPr>
          <w:rFonts w:hint="eastAsia" w:ascii="仿宋" w:hAnsi="仿宋" w:eastAsia="仿宋" w:cs="仿宋"/>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1F9C1039">
      <w:pPr>
        <w:numPr>
          <w:ilvl w:val="1"/>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报价评审。</w:t>
      </w:r>
    </w:p>
    <w:p w14:paraId="18401A11">
      <w:pPr>
        <w:numPr>
          <w:ilvl w:val="2"/>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投标文件报价出现前后不一致的，按照下列规定修正：</w:t>
      </w:r>
    </w:p>
    <w:p w14:paraId="056133F4">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投标文件中开标一览表(报价表)内容与投标文件中相应内容不一致的，以开标一览表(报价表)为准;</w:t>
      </w:r>
    </w:p>
    <w:p w14:paraId="1257F33E">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大写金额和小写金额不一致的，以大写金额为准;</w:t>
      </w:r>
    </w:p>
    <w:p w14:paraId="503B6C99">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单价金额小数点或者百分比有明显错位的，以开标一览表的总价为准，并修改单价;</w:t>
      </w:r>
    </w:p>
    <w:p w14:paraId="7936D5F8">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总价金额与按单价汇总金额不一致的，以单价金额计算结果为准。</w:t>
      </w:r>
    </w:p>
    <w:p w14:paraId="6B7D3ACB">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5E4A7054">
      <w:pPr>
        <w:numPr>
          <w:ilvl w:val="2"/>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投标文件出现不是唯一的、有选择性投标报价的，投标无效。</w:t>
      </w:r>
    </w:p>
    <w:p w14:paraId="194777CE">
      <w:pPr>
        <w:numPr>
          <w:ilvl w:val="2"/>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投标报价超过招标文件中规定的预算金额或者最高限价的，投标无效。</w:t>
      </w:r>
    </w:p>
    <w:p w14:paraId="66358918">
      <w:pPr>
        <w:numPr>
          <w:ilvl w:val="2"/>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A0CD8A">
      <w:pPr>
        <w:numPr>
          <w:ilvl w:val="2"/>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kern w:val="0"/>
          <w:sz w:val="24"/>
          <w:highlight w:val="none"/>
        </w:rPr>
        <w:t>10%</w:t>
      </w:r>
      <w:r>
        <w:rPr>
          <w:rFonts w:hint="eastAsia" w:ascii="仿宋" w:hAnsi="仿宋" w:eastAsia="仿宋" w:cs="仿宋"/>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kern w:val="0"/>
          <w:sz w:val="24"/>
          <w:highlight w:val="none"/>
        </w:rPr>
        <w:t>4%</w:t>
      </w:r>
      <w:r>
        <w:rPr>
          <w:rFonts w:hint="eastAsia" w:ascii="仿宋" w:hAnsi="仿宋" w:eastAsia="仿宋" w:cs="仿宋"/>
          <w:kern w:val="0"/>
          <w:sz w:val="24"/>
          <w:highlight w:val="none"/>
        </w:rPr>
        <w:t>的扣除，用扣除后的价格参加评审。组成联合体或者接受分包的小微企业与联合体内其他企业、分包企业之间存在直接控股、管理关系的，不享受价格扣除优惠政策。</w:t>
      </w:r>
    </w:p>
    <w:p w14:paraId="131DACBF">
      <w:pPr>
        <w:numPr>
          <w:ilvl w:val="1"/>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排序与推荐。</w:t>
      </w:r>
    </w:p>
    <w:p w14:paraId="155FDAF4">
      <w:pPr>
        <w:numPr>
          <w:ilvl w:val="2"/>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本项目采用兼投不兼中的原则确定各标项第一中标候选人。在评审时，评标委员会按照标项一、标项二、标项三顺序依次进行评审。评审结果按评审后得分由高到低顺序排列。</w:t>
      </w:r>
    </w:p>
    <w:p w14:paraId="4A736EBD">
      <w:pPr>
        <w:numPr>
          <w:ilvl w:val="2"/>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投标文件满足采购文件全部实质性要求，且按照评审因素的量化指标评审得分最高的供应商为排名第一的中标候选人。评审后得分相同的，按投标报价由低到高顺序排列；得分且报价相同，出现并列情形的，则由评标委员会投票，按照少数服从多数的原则作出结论。</w:t>
      </w:r>
    </w:p>
    <w:p w14:paraId="5CB0BD69">
      <w:pPr>
        <w:numPr>
          <w:ilvl w:val="2"/>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▲中标顺序根据评审顺序，已被前面的标项推荐为第一中标候选人的供应商不再推荐为下一标项的中标候选人，且不参与下一标项的详细评审。</w:t>
      </w:r>
    </w:p>
    <w:p w14:paraId="5ABF8C16">
      <w:pPr>
        <w:numPr>
          <w:ilvl w:val="1"/>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评分时保留小数点后1位小数（客观分有2位小数的可保留2位），计算评分值时保留小数点后2位小数。</w:t>
      </w:r>
    </w:p>
    <w:p w14:paraId="799A500A">
      <w:pPr>
        <w:numPr>
          <w:ilvl w:val="1"/>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86FBAB">
      <w:pPr>
        <w:numPr>
          <w:ilvl w:val="0"/>
          <w:numId w:val="5"/>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highlight w:val="none"/>
        </w:rPr>
      </w:pPr>
      <w:bookmarkStart w:id="130" w:name="_Toc16391"/>
      <w:bookmarkStart w:id="131" w:name="_Toc6871"/>
      <w:bookmarkStart w:id="132" w:name="_Toc5821"/>
      <w:bookmarkStart w:id="133" w:name="_Toc14486"/>
      <w:bookmarkStart w:id="134" w:name="_Toc25049"/>
      <w:r>
        <w:rPr>
          <w:rFonts w:hint="eastAsia" w:ascii="仿宋" w:hAnsi="仿宋" w:eastAsia="仿宋" w:cs="仿宋"/>
          <w:b/>
          <w:sz w:val="28"/>
          <w:szCs w:val="28"/>
          <w:highlight w:val="none"/>
        </w:rPr>
        <w:t>评标中的其他事项</w:t>
      </w:r>
      <w:bookmarkEnd w:id="130"/>
      <w:bookmarkEnd w:id="131"/>
      <w:bookmarkEnd w:id="132"/>
      <w:bookmarkEnd w:id="133"/>
      <w:bookmarkEnd w:id="134"/>
    </w:p>
    <w:p w14:paraId="5C6F73EB">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投标人澄清、说明或者补正。</w:t>
      </w:r>
      <w:r>
        <w:rPr>
          <w:rFonts w:hint="eastAsia" w:ascii="仿宋" w:hAnsi="仿宋" w:eastAsia="仿宋" w:cs="仿宋"/>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7EF295D">
      <w:pPr>
        <w:numPr>
          <w:ilvl w:val="1"/>
          <w:numId w:val="8"/>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投标无效。有下列情况之一的，投标无效：</w:t>
      </w:r>
    </w:p>
    <w:p w14:paraId="25619C75">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投标人不具备招标文件中规定的资格要求的（投标人未提供有效的资格文件的，视为投标人不具备招标文件中规定的资格要求）；</w:t>
      </w:r>
    </w:p>
    <w:p w14:paraId="16D6DAE2">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投标文件未按照招标文件要求签署、盖章的；</w:t>
      </w:r>
    </w:p>
    <w:p w14:paraId="60AE84F4">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采购人拟采购的产品属于政府强制采购的节能产品品目清单范围的，投标人未按招标文件要求提供国家确定的认证机构出具的、处于有效期之内的节能产品认证证书的；</w:t>
      </w:r>
    </w:p>
    <w:p w14:paraId="6FADE756">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投标文件含有采购人不能接受的附加条件的；</w:t>
      </w:r>
    </w:p>
    <w:p w14:paraId="32C932F4">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投标文件中承诺的投标有效期少于招标文件中载明的投标有效期的；</w:t>
      </w:r>
    </w:p>
    <w:p w14:paraId="7704C7AA">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投标文件出现不是唯一的、有选择性投标报价的;</w:t>
      </w:r>
    </w:p>
    <w:p w14:paraId="69D6B60F">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投标报价超过招标文件中规定的预算金额或者最高限价的;</w:t>
      </w:r>
    </w:p>
    <w:p w14:paraId="208471A1">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投标人对根据修正原则修正后的报价不确认的；</w:t>
      </w:r>
    </w:p>
    <w:p w14:paraId="7D22B370">
      <w:pPr>
        <w:numPr>
          <w:ilvl w:val="2"/>
          <w:numId w:val="8"/>
        </w:numPr>
        <w:tabs>
          <w:tab w:val="left" w:pos="210"/>
          <w:tab w:val="left" w:pos="840"/>
          <w:tab w:val="left" w:pos="1050"/>
          <w:tab w:val="left" w:pos="126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投标人提供虚假材料投标的；</w:t>
      </w:r>
    </w:p>
    <w:p w14:paraId="3DF6A2E7">
      <w:pPr>
        <w:numPr>
          <w:ilvl w:val="2"/>
          <w:numId w:val="8"/>
        </w:numPr>
        <w:tabs>
          <w:tab w:val="left" w:pos="210"/>
          <w:tab w:val="left" w:pos="840"/>
          <w:tab w:val="left" w:pos="1050"/>
          <w:tab w:val="left" w:pos="126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投标人有恶意串通、妨碍其他投标人的竞争行为、损害采购人或者其他投标人的合法权益情形的；</w:t>
      </w:r>
    </w:p>
    <w:p w14:paraId="2F93D07E">
      <w:pPr>
        <w:numPr>
          <w:ilvl w:val="2"/>
          <w:numId w:val="8"/>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人的数字证书加密的，或者加盖本项目其他投标（响应）人的电子印章的；（3）不同供应商的投标（响应）文件的内容存在3处（含）以上错误一致的；（4）不同供应商联系人为同一人或不同联系人的联系电话一致的；</w:t>
      </w:r>
    </w:p>
    <w:p w14:paraId="451520F7">
      <w:pPr>
        <w:numPr>
          <w:ilvl w:val="2"/>
          <w:numId w:val="8"/>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投标人仅提交备份投标文件，没有在电子交易平台传输递交投标文件的，投标无效；</w:t>
      </w:r>
    </w:p>
    <w:p w14:paraId="1BD11E86">
      <w:pPr>
        <w:numPr>
          <w:ilvl w:val="2"/>
          <w:numId w:val="8"/>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投标文件不满足招标文件的其它实质性要求的；</w:t>
      </w:r>
    </w:p>
    <w:p w14:paraId="382738B0">
      <w:pPr>
        <w:numPr>
          <w:ilvl w:val="2"/>
          <w:numId w:val="8"/>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法律、法规、规章（适用本市的）及省级以上规范性文件（适用本市的）规定的其他无效情形。</w:t>
      </w:r>
    </w:p>
    <w:p w14:paraId="707C1AE5">
      <w:pPr>
        <w:numPr>
          <w:ilvl w:val="0"/>
          <w:numId w:val="8"/>
        </w:numPr>
        <w:tabs>
          <w:tab w:val="left" w:pos="210"/>
          <w:tab w:val="clear" w:pos="399"/>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废标。</w:t>
      </w:r>
      <w:r>
        <w:rPr>
          <w:rFonts w:hint="eastAsia" w:ascii="仿宋" w:hAnsi="仿宋" w:eastAsia="仿宋" w:cs="仿宋"/>
          <w:kern w:val="0"/>
          <w:sz w:val="24"/>
          <w:highlight w:val="none"/>
        </w:rPr>
        <w:t>根据《中华人民共和国政府采购法》第三十六条之规定，在采购中，出现下列情形之一的，应予废标：</w:t>
      </w:r>
    </w:p>
    <w:p w14:paraId="40D60B2D">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符合专业条件的供应商或者对招标文件作实质响应的供应商不足3家的；</w:t>
      </w:r>
    </w:p>
    <w:p w14:paraId="604B387B">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出现影响采购公正的违法、违规行为的；</w:t>
      </w:r>
    </w:p>
    <w:p w14:paraId="47EAA882">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投标人的报价均超过了采购预算，采购人不能支付的；</w:t>
      </w:r>
    </w:p>
    <w:p w14:paraId="45345095">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因重大变故，采购任务取消的。</w:t>
      </w:r>
    </w:p>
    <w:p w14:paraId="3535C6D2">
      <w:pPr>
        <w:pStyle w:val="2"/>
        <w:snapToGrid w:val="0"/>
        <w:rPr>
          <w:rFonts w:hint="eastAsia" w:ascii="仿宋" w:hAnsi="仿宋" w:eastAsia="仿宋" w:cs="仿宋"/>
          <w:highlight w:val="none"/>
        </w:rPr>
      </w:pPr>
      <w:r>
        <w:rPr>
          <w:rFonts w:hint="eastAsia" w:ascii="仿宋" w:hAnsi="仿宋" w:eastAsia="仿宋" w:cs="仿宋"/>
          <w:highlight w:val="none"/>
        </w:rPr>
        <w:t>废标后，采购代理机构应当将废标理由通知所有投标人。</w:t>
      </w:r>
    </w:p>
    <w:p w14:paraId="27B0E980">
      <w:pPr>
        <w:numPr>
          <w:ilvl w:val="0"/>
          <w:numId w:val="8"/>
        </w:numPr>
        <w:tabs>
          <w:tab w:val="left" w:pos="210"/>
          <w:tab w:val="clear" w:pos="399"/>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修改招标文件，重新组织采购活动。</w:t>
      </w:r>
      <w:r>
        <w:rPr>
          <w:rFonts w:hint="eastAsia" w:ascii="仿宋" w:hAnsi="仿宋" w:eastAsia="仿宋" w:cs="仿宋"/>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C118144">
      <w:pPr>
        <w:numPr>
          <w:ilvl w:val="0"/>
          <w:numId w:val="8"/>
        </w:numPr>
        <w:tabs>
          <w:tab w:val="left" w:pos="210"/>
          <w:tab w:val="clear" w:pos="399"/>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重新开展采购。</w:t>
      </w:r>
      <w:r>
        <w:rPr>
          <w:rFonts w:hint="eastAsia" w:ascii="仿宋" w:hAnsi="仿宋" w:eastAsia="仿宋" w:cs="仿宋"/>
          <w:kern w:val="0"/>
          <w:sz w:val="24"/>
          <w:highlight w:val="none"/>
        </w:rPr>
        <w:t>有政府采购法第七十一条、第七十二条规定的违法行为之一，影响或者可能影响中标、成交结果的，依照下列规定处理：</w:t>
      </w:r>
    </w:p>
    <w:p w14:paraId="6F7594CD">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未确定中标或者中标人的，终止本次政府采购活动，重新开展政府采购活动。</w:t>
      </w:r>
    </w:p>
    <w:p w14:paraId="3A4F9D8C">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75BD3369">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政府采购合同已签订但尚未履行的，撤销合同，从合格的中标或者成交候选人中另行确定中标或者中标人；没有合格的中标或者成交候选人的，重新开展政府采购活动。</w:t>
      </w:r>
    </w:p>
    <w:p w14:paraId="48F68151">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政府采购合同已经履行，给采购人、供应商造成损失的，由责任人承担赔偿责任。</w:t>
      </w:r>
    </w:p>
    <w:p w14:paraId="12684E45">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14:paraId="7F9DD79A">
      <w:pPr>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bookmarkEnd w:id="73"/>
    <w:p w14:paraId="7D4C3B66">
      <w:pPr>
        <w:adjustRightInd w:val="0"/>
        <w:snapToGrid w:val="0"/>
        <w:spacing w:before="120" w:beforeLines="50" w:after="120" w:afterLines="50" w:line="360" w:lineRule="auto"/>
        <w:jc w:val="center"/>
        <w:outlineLvl w:val="0"/>
        <w:rPr>
          <w:rFonts w:hint="eastAsia" w:ascii="仿宋" w:hAnsi="仿宋" w:eastAsia="仿宋" w:cs="仿宋"/>
          <w:sz w:val="36"/>
          <w:highlight w:val="none"/>
        </w:rPr>
      </w:pPr>
      <w:bookmarkStart w:id="135" w:name="_Toc2880"/>
      <w:bookmarkStart w:id="136" w:name="_Toc242012824"/>
      <w:bookmarkStart w:id="137" w:name="_Toc19650"/>
      <w:r>
        <w:rPr>
          <w:rFonts w:hint="eastAsia" w:ascii="仿宋" w:hAnsi="仿宋" w:eastAsia="仿宋" w:cs="仿宋"/>
          <w:b/>
          <w:sz w:val="30"/>
          <w:szCs w:val="30"/>
          <w:highlight w:val="none"/>
        </w:rPr>
        <w:t>第五部分  合同条款</w:t>
      </w:r>
      <w:bookmarkEnd w:id="135"/>
      <w:bookmarkEnd w:id="136"/>
      <w:bookmarkEnd w:id="137"/>
    </w:p>
    <w:p w14:paraId="59140606">
      <w:pPr>
        <w:adjustRightInd w:val="0"/>
        <w:snapToGrid w:val="0"/>
        <w:spacing w:line="360" w:lineRule="auto"/>
        <w:ind w:firstLine="420" w:firstLineChars="200"/>
        <w:rPr>
          <w:rFonts w:hint="eastAsia" w:ascii="仿宋" w:hAnsi="仿宋" w:eastAsia="仿宋" w:cs="仿宋"/>
          <w:snapToGrid w:val="0"/>
          <w:kern w:val="0"/>
          <w:szCs w:val="21"/>
          <w:highlight w:val="none"/>
        </w:rPr>
      </w:pPr>
      <w:bookmarkStart w:id="138" w:name="_Toc249760790"/>
      <w:bookmarkStart w:id="139" w:name="_Hlk534720381"/>
      <w:bookmarkStart w:id="140" w:name="_Toc251566661"/>
      <w:r>
        <w:rPr>
          <w:rFonts w:hint="eastAsia" w:ascii="仿宋" w:hAnsi="仿宋" w:eastAsia="仿宋" w:cs="仿宋"/>
          <w:snapToGrid w:val="0"/>
          <w:kern w:val="0"/>
          <w:szCs w:val="21"/>
          <w:highlight w:val="none"/>
        </w:rPr>
        <w:t>合同将由</w:t>
      </w:r>
      <w:r>
        <w:rPr>
          <w:rFonts w:hint="eastAsia" w:ascii="仿宋" w:hAnsi="仿宋" w:eastAsia="仿宋" w:cs="仿宋"/>
          <w:snapToGrid w:val="0"/>
          <w:kern w:val="0"/>
          <w:szCs w:val="21"/>
          <w:highlight w:val="none"/>
          <w:lang w:eastAsia="zh-CN"/>
        </w:rPr>
        <w:t>杭州市钱塘区政府投资项目评审服务中心</w:t>
      </w:r>
      <w:r>
        <w:rPr>
          <w:rFonts w:hint="eastAsia" w:ascii="仿宋" w:hAnsi="仿宋" w:eastAsia="仿宋" w:cs="仿宋"/>
          <w:snapToGrid w:val="0"/>
          <w:kern w:val="0"/>
          <w:szCs w:val="21"/>
          <w:highlight w:val="none"/>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14:paraId="7713327D">
      <w:pPr>
        <w:snapToGrid w:val="0"/>
        <w:spacing w:before="120" w:beforeLines="50" w:after="120" w:afterLines="50"/>
        <w:jc w:val="center"/>
        <w:rPr>
          <w:rFonts w:hint="eastAsia" w:ascii="仿宋" w:hAnsi="仿宋" w:eastAsia="仿宋" w:cs="仿宋"/>
          <w:spacing w:val="-6"/>
          <w:highlight w:val="none"/>
        </w:rPr>
        <w:sectPr>
          <w:headerReference r:id="rId5" w:type="default"/>
          <w:footerReference r:id="rId6" w:type="default"/>
          <w:pgSz w:w="11850" w:h="16783"/>
          <w:pgMar w:top="1247" w:right="1588" w:bottom="1089" w:left="1588" w:header="851" w:footer="992" w:gutter="0"/>
          <w:cols w:space="720" w:num="1"/>
          <w:docGrid w:linePitch="312" w:charSpace="0"/>
        </w:sectPr>
      </w:pPr>
      <w:r>
        <w:rPr>
          <w:rFonts w:hint="eastAsia" w:ascii="仿宋" w:hAnsi="仿宋" w:eastAsia="仿宋" w:cs="仿宋"/>
          <w:spacing w:val="-6"/>
          <w:highlight w:val="none"/>
        </w:rPr>
        <w:t>（本合同为合同样稿）</w:t>
      </w:r>
    </w:p>
    <w:bookmarkEnd w:id="138"/>
    <w:bookmarkEnd w:id="139"/>
    <w:bookmarkEnd w:id="140"/>
    <w:p w14:paraId="7CDC8752">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bookmarkStart w:id="141" w:name="_Toc295465366"/>
      <w:bookmarkStart w:id="142" w:name="_Toc251566662"/>
      <w:bookmarkStart w:id="143" w:name="_Toc249760791"/>
      <w:bookmarkStart w:id="144" w:name="_Toc367274988"/>
      <w:bookmarkStart w:id="145" w:name="_Toc415814139"/>
      <w:r>
        <w:rPr>
          <w:rFonts w:hint="eastAsia" w:ascii="仿宋" w:hAnsi="仿宋" w:eastAsia="仿宋" w:cs="仿宋"/>
          <w:b/>
          <w:bCs/>
          <w:color w:val="auto"/>
          <w:sz w:val="24"/>
          <w:highlight w:val="none"/>
          <w:lang w:val="en-US" w:eastAsia="zh-CN"/>
        </w:rPr>
        <w:t>合同参考格式</w:t>
      </w:r>
    </w:p>
    <w:p w14:paraId="17136FF8">
      <w:pPr>
        <w:pStyle w:val="2"/>
        <w:keepNext w:val="0"/>
        <w:keepLines w:val="0"/>
        <w:pageBreakBefore w:val="0"/>
        <w:widowControl w:val="0"/>
        <w:kinsoku/>
        <w:wordWrap/>
        <w:overflowPunct/>
        <w:topLinePunct w:val="0"/>
        <w:autoSpaceDE/>
        <w:autoSpaceDN/>
        <w:bidi w:val="0"/>
        <w:adjustRightInd w:val="0"/>
        <w:snapToGrid/>
        <w:ind w:firstLine="488"/>
        <w:textAlignment w:val="auto"/>
        <w:outlineLvl w:val="1"/>
        <w:rPr>
          <w:rFonts w:hint="eastAsia" w:ascii="仿宋" w:hAnsi="仿宋" w:eastAsia="仿宋" w:cs="仿宋"/>
          <w:b/>
          <w:bCs/>
          <w:highlight w:val="none"/>
          <w:lang w:val="en-US" w:eastAsia="zh-CN"/>
        </w:rPr>
      </w:pPr>
      <w:bookmarkStart w:id="146" w:name="_Toc645"/>
      <w:r>
        <w:rPr>
          <w:rFonts w:hint="eastAsia" w:ascii="仿宋" w:hAnsi="仿宋" w:eastAsia="仿宋" w:cs="仿宋"/>
          <w:b/>
          <w:bCs/>
          <w:sz w:val="24"/>
          <w:szCs w:val="24"/>
          <w:highlight w:val="none"/>
          <w:lang w:val="en-US" w:eastAsia="zh-CN"/>
        </w:rPr>
        <w:t>一、项目主合同</w:t>
      </w:r>
      <w:bookmarkEnd w:id="146"/>
    </w:p>
    <w:p w14:paraId="55E6166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b/>
          <w:sz w:val="30"/>
          <w:szCs w:val="30"/>
          <w:highlight w:val="none"/>
        </w:rPr>
      </w:pPr>
      <w:r>
        <w:rPr>
          <w:rFonts w:hint="eastAsia" w:ascii="仿宋" w:hAnsi="仿宋" w:eastAsia="仿宋" w:cs="仿宋"/>
          <w:b/>
          <w:sz w:val="30"/>
          <w:szCs w:val="30"/>
          <w:highlight w:val="none"/>
        </w:rPr>
        <w:t>202</w:t>
      </w:r>
      <w:r>
        <w:rPr>
          <w:rFonts w:hint="eastAsia" w:ascii="仿宋" w:hAnsi="仿宋" w:eastAsia="仿宋" w:cs="仿宋"/>
          <w:b/>
          <w:sz w:val="30"/>
          <w:szCs w:val="30"/>
          <w:highlight w:val="none"/>
          <w:lang w:val="en-US" w:eastAsia="zh-CN"/>
        </w:rPr>
        <w:t>5</w:t>
      </w:r>
      <w:r>
        <w:rPr>
          <w:rFonts w:hint="eastAsia" w:ascii="仿宋" w:hAnsi="仿宋" w:eastAsia="仿宋" w:cs="仿宋"/>
          <w:b/>
          <w:sz w:val="30"/>
          <w:szCs w:val="30"/>
          <w:highlight w:val="none"/>
        </w:rPr>
        <w:t>年度杭州市钱塘区政府投资项目</w:t>
      </w:r>
    </w:p>
    <w:p w14:paraId="7426740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b/>
          <w:sz w:val="36"/>
          <w:szCs w:val="36"/>
          <w:highlight w:val="none"/>
          <w:lang w:eastAsia="zh-CN"/>
        </w:rPr>
      </w:pPr>
      <w:r>
        <w:rPr>
          <w:rFonts w:hint="eastAsia" w:ascii="仿宋" w:hAnsi="仿宋" w:eastAsia="仿宋" w:cs="仿宋"/>
          <w:b/>
          <w:sz w:val="30"/>
          <w:szCs w:val="30"/>
          <w:highlight w:val="none"/>
        </w:rPr>
        <w:t>工程竣工财务决算审核服务</w:t>
      </w:r>
      <w:r>
        <w:rPr>
          <w:rFonts w:hint="eastAsia" w:ascii="仿宋" w:hAnsi="仿宋" w:eastAsia="仿宋" w:cs="仿宋"/>
          <w:b/>
          <w:sz w:val="30"/>
          <w:szCs w:val="30"/>
          <w:highlight w:val="none"/>
          <w:lang w:val="en-US" w:eastAsia="zh-CN"/>
        </w:rPr>
        <w:t>合同</w:t>
      </w:r>
    </w:p>
    <w:p w14:paraId="4EB65BE8">
      <w:pPr>
        <w:pStyle w:val="2"/>
        <w:rPr>
          <w:rFonts w:hint="eastAsia" w:ascii="仿宋" w:hAnsi="仿宋" w:eastAsia="仿宋" w:cs="仿宋"/>
          <w:highlight w:val="none"/>
        </w:rPr>
      </w:pPr>
    </w:p>
    <w:p w14:paraId="6613282A">
      <w:pPr>
        <w:adjustRightInd w:val="0"/>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甲方：杭州市钱塘区政府投资项目评审服务中心</w:t>
      </w:r>
    </w:p>
    <w:p w14:paraId="2106B63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14:paraId="1C5B4335">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14:paraId="05EB38EE">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25FF8106">
      <w:pPr>
        <w:tabs>
          <w:tab w:val="left" w:pos="6237"/>
          <w:tab w:val="left" w:pos="6521"/>
        </w:tabs>
        <w:adjustRightInd w:val="0"/>
        <w:snapToGrid w:val="0"/>
        <w:spacing w:line="360" w:lineRule="auto"/>
        <w:ind w:firstLine="480" w:firstLineChars="200"/>
        <w:rPr>
          <w:rFonts w:hint="eastAsia" w:ascii="仿宋" w:hAnsi="仿宋" w:eastAsia="仿宋" w:cs="仿宋"/>
          <w:color w:val="auto"/>
          <w:sz w:val="24"/>
          <w:highlight w:val="none"/>
        </w:rPr>
      </w:pPr>
    </w:p>
    <w:p w14:paraId="3E723836">
      <w:pPr>
        <w:adjustRightInd w:val="0"/>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乙方：</w:t>
      </w:r>
    </w:p>
    <w:p w14:paraId="7DD715A0">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14:paraId="58F1FD8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7C83913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p w14:paraId="5EE8834C">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 </w:t>
      </w:r>
    </w:p>
    <w:p w14:paraId="54B72B9E">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14:paraId="6ABC9A2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7008CA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highlight w:val="none"/>
          <w:lang w:val="zh-CN"/>
        </w:rPr>
      </w:pPr>
    </w:p>
    <w:p w14:paraId="5C5B71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杭州市钱塘区政府投资项目评审服务中心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中标人</w:t>
      </w:r>
      <w:r>
        <w:rPr>
          <w:rFonts w:hint="eastAsia" w:ascii="仿宋" w:hAnsi="仿宋" w:eastAsia="仿宋" w:cs="仿宋"/>
          <w:color w:val="auto"/>
          <w:sz w:val="24"/>
          <w:highlight w:val="none"/>
          <w:u w:val="single"/>
        </w:rPr>
        <w:t xml:space="preserve">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CA3DC68">
      <w:pPr>
        <w:spacing w:line="360" w:lineRule="auto"/>
        <w:rPr>
          <w:rFonts w:hint="eastAsia" w:ascii="仿宋" w:hAnsi="仿宋" w:eastAsia="仿宋" w:cs="仿宋"/>
          <w:b/>
          <w:kern w:val="0"/>
          <w:sz w:val="24"/>
          <w:highlight w:val="none"/>
          <w:lang w:val="en-US" w:eastAsia="zh-CN"/>
        </w:rPr>
      </w:pPr>
      <w:r>
        <w:rPr>
          <w:rFonts w:hint="eastAsia" w:ascii="仿宋" w:hAnsi="仿宋" w:eastAsia="仿宋" w:cs="仿宋"/>
          <w:b/>
          <w:kern w:val="0"/>
          <w:sz w:val="24"/>
          <w:highlight w:val="none"/>
        </w:rPr>
        <w:t>一、</w:t>
      </w:r>
      <w:r>
        <w:rPr>
          <w:rFonts w:hint="eastAsia" w:ascii="仿宋" w:hAnsi="仿宋" w:eastAsia="仿宋" w:cs="仿宋"/>
          <w:b/>
          <w:kern w:val="0"/>
          <w:sz w:val="24"/>
          <w:highlight w:val="none"/>
          <w:lang w:val="en-US" w:eastAsia="zh-CN"/>
        </w:rPr>
        <w:t>服务内容</w:t>
      </w:r>
    </w:p>
    <w:p w14:paraId="7FEA41F0">
      <w:pPr>
        <w:spacing w:line="360" w:lineRule="auto"/>
        <w:ind w:firstLine="480" w:firstLineChars="200"/>
        <w:jc w:val="left"/>
        <w:rPr>
          <w:rFonts w:hint="eastAsia" w:ascii="仿宋" w:hAnsi="仿宋" w:eastAsia="仿宋" w:cs="仿宋"/>
          <w:highlight w:val="none"/>
          <w:lang w:val="en-US"/>
        </w:rPr>
      </w:pPr>
      <w:r>
        <w:rPr>
          <w:rFonts w:hint="eastAsia" w:ascii="仿宋" w:hAnsi="仿宋" w:eastAsia="仿宋" w:cs="仿宋"/>
          <w:bCs/>
          <w:kern w:val="0"/>
          <w:sz w:val="24"/>
          <w:highlight w:val="none"/>
          <w:lang w:val="en-US" w:eastAsia="zh-CN"/>
        </w:rPr>
        <w:t>协议期内，甲方通过下达签订单个项目委托</w:t>
      </w:r>
      <w:r>
        <w:rPr>
          <w:rFonts w:hint="eastAsia" w:ascii="仿宋" w:hAnsi="仿宋" w:eastAsia="仿宋" w:cs="仿宋"/>
          <w:bCs/>
          <w:kern w:val="0"/>
          <w:sz w:val="24"/>
          <w:highlight w:val="none"/>
          <w:lang w:eastAsia="zh-CN"/>
        </w:rPr>
        <w:t>合同的</w:t>
      </w:r>
      <w:r>
        <w:rPr>
          <w:rFonts w:hint="eastAsia" w:ascii="仿宋" w:hAnsi="仿宋" w:eastAsia="仿宋" w:cs="仿宋"/>
          <w:bCs/>
          <w:kern w:val="0"/>
          <w:sz w:val="24"/>
          <w:highlight w:val="none"/>
          <w:lang w:val="en-US" w:eastAsia="zh-CN"/>
        </w:rPr>
        <w:t>方式委托的</w:t>
      </w:r>
      <w:r>
        <w:rPr>
          <w:rFonts w:hint="eastAsia" w:ascii="仿宋" w:hAnsi="仿宋" w:eastAsia="仿宋" w:cs="仿宋"/>
          <w:b w:val="0"/>
          <w:bCs/>
          <w:sz w:val="24"/>
          <w:highlight w:val="none"/>
          <w:lang w:eastAsia="zh-CN"/>
        </w:rPr>
        <w:t>202</w:t>
      </w:r>
      <w:r>
        <w:rPr>
          <w:rFonts w:hint="eastAsia" w:ascii="仿宋" w:hAnsi="仿宋" w:eastAsia="仿宋" w:cs="仿宋"/>
          <w:b w:val="0"/>
          <w:bCs/>
          <w:sz w:val="24"/>
          <w:highlight w:val="none"/>
          <w:lang w:val="en-US" w:eastAsia="zh-CN"/>
        </w:rPr>
        <w:t>5</w:t>
      </w:r>
      <w:r>
        <w:rPr>
          <w:rFonts w:hint="eastAsia" w:ascii="仿宋" w:hAnsi="仿宋" w:eastAsia="仿宋" w:cs="仿宋"/>
          <w:b w:val="0"/>
          <w:bCs/>
          <w:sz w:val="24"/>
          <w:highlight w:val="none"/>
          <w:lang w:eastAsia="zh-CN"/>
        </w:rPr>
        <w:t>年度杭州市钱塘区政府投资项目工程竣工财务决算审核</w:t>
      </w:r>
      <w:r>
        <w:rPr>
          <w:rFonts w:hint="eastAsia" w:ascii="仿宋" w:hAnsi="仿宋" w:eastAsia="仿宋" w:cs="仿宋"/>
          <w:bCs/>
          <w:kern w:val="0"/>
          <w:sz w:val="24"/>
          <w:highlight w:val="none"/>
          <w:lang w:val="en-US" w:eastAsia="zh-CN"/>
        </w:rPr>
        <w:t>任务（</w:t>
      </w: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QTCG-GK-2025-091，</w:t>
      </w:r>
      <w:r>
        <w:rPr>
          <w:rFonts w:hint="eastAsia" w:ascii="仿宋" w:hAnsi="仿宋" w:eastAsia="仿宋" w:cs="仿宋"/>
          <w:bCs/>
          <w:kern w:val="0"/>
          <w:sz w:val="24"/>
          <w:highlight w:val="none"/>
          <w:lang w:val="en-US" w:eastAsia="zh-CN"/>
        </w:rPr>
        <w:t>以下简称“项目任务”），具体服务内容见甲方招标文件“第三部分采购需求”中“三、服务内容”。</w:t>
      </w:r>
    </w:p>
    <w:p w14:paraId="791B96AD">
      <w:pPr>
        <w:spacing w:line="360" w:lineRule="auto"/>
        <w:rPr>
          <w:rFonts w:hint="eastAsia" w:ascii="仿宋" w:hAnsi="仿宋" w:eastAsia="仿宋" w:cs="仿宋"/>
          <w:b/>
          <w:kern w:val="0"/>
          <w:sz w:val="24"/>
          <w:highlight w:val="none"/>
          <w:lang w:val="en-US" w:eastAsia="zh-CN"/>
        </w:rPr>
      </w:pPr>
      <w:r>
        <w:rPr>
          <w:rFonts w:hint="eastAsia" w:ascii="仿宋" w:hAnsi="仿宋" w:eastAsia="仿宋" w:cs="仿宋"/>
          <w:b/>
          <w:kern w:val="0"/>
          <w:sz w:val="24"/>
          <w:highlight w:val="none"/>
          <w:lang w:val="en-US" w:eastAsia="zh-CN"/>
        </w:rPr>
        <w:t>二、服务期限</w:t>
      </w:r>
    </w:p>
    <w:p w14:paraId="6FB04CE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kern w:val="0"/>
          <w:sz w:val="24"/>
          <w:highlight w:val="none"/>
          <w:lang w:val="en-US" w:eastAsia="zh-CN"/>
        </w:rPr>
      </w:pPr>
      <w:r>
        <w:rPr>
          <w:rFonts w:hint="eastAsia" w:ascii="仿宋" w:hAnsi="仿宋" w:eastAsia="仿宋" w:cs="仿宋"/>
          <w:bCs/>
          <w:kern w:val="0"/>
          <w:sz w:val="24"/>
          <w:highlight w:val="none"/>
          <w:lang w:val="en-US" w:eastAsia="zh-CN"/>
        </w:rPr>
        <w:t>壹年。</w:t>
      </w:r>
      <w:r>
        <w:rPr>
          <w:rFonts w:hint="eastAsia" w:ascii="仿宋" w:hAnsi="仿宋" w:eastAsia="仿宋" w:cs="仿宋"/>
          <w:color w:val="auto"/>
          <w:sz w:val="24"/>
          <w:highlight w:val="none"/>
        </w:rPr>
        <w:t>自</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u w:val="single"/>
          <w:lang w:val="en-US" w:eastAsia="zh-CN"/>
        </w:rPr>
        <w:t xml:space="preserve"> 2026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日止。</w:t>
      </w:r>
    </w:p>
    <w:p w14:paraId="42F2C974">
      <w:pPr>
        <w:spacing w:line="360" w:lineRule="auto"/>
        <w:rPr>
          <w:rFonts w:hint="eastAsia" w:ascii="仿宋" w:hAnsi="仿宋" w:eastAsia="仿宋" w:cs="仿宋"/>
          <w:b/>
          <w:kern w:val="0"/>
          <w:sz w:val="24"/>
          <w:highlight w:val="none"/>
        </w:rPr>
      </w:pPr>
      <w:r>
        <w:rPr>
          <w:rFonts w:hint="eastAsia" w:ascii="仿宋" w:hAnsi="仿宋" w:eastAsia="仿宋" w:cs="仿宋"/>
          <w:b/>
          <w:kern w:val="0"/>
          <w:sz w:val="24"/>
          <w:highlight w:val="none"/>
          <w:lang w:val="en-US" w:eastAsia="zh-CN"/>
        </w:rPr>
        <w:t>三、</w:t>
      </w:r>
      <w:r>
        <w:rPr>
          <w:rFonts w:hint="eastAsia" w:ascii="仿宋" w:hAnsi="仿宋" w:eastAsia="仿宋" w:cs="仿宋"/>
          <w:b/>
          <w:kern w:val="0"/>
          <w:sz w:val="24"/>
          <w:highlight w:val="none"/>
        </w:rPr>
        <w:t>项目</w:t>
      </w:r>
      <w:r>
        <w:rPr>
          <w:rFonts w:hint="eastAsia" w:ascii="仿宋" w:hAnsi="仿宋" w:eastAsia="仿宋" w:cs="仿宋"/>
          <w:b/>
          <w:kern w:val="0"/>
          <w:sz w:val="24"/>
          <w:highlight w:val="none"/>
          <w:lang w:val="en-US" w:eastAsia="zh-CN"/>
        </w:rPr>
        <w:t>任务</w:t>
      </w:r>
      <w:r>
        <w:rPr>
          <w:rFonts w:hint="eastAsia" w:ascii="仿宋" w:hAnsi="仿宋" w:eastAsia="仿宋" w:cs="仿宋"/>
          <w:b/>
          <w:kern w:val="0"/>
          <w:sz w:val="24"/>
          <w:highlight w:val="none"/>
        </w:rPr>
        <w:t>分派原则及方式</w:t>
      </w:r>
    </w:p>
    <w:p w14:paraId="7FB34254">
      <w:pPr>
        <w:spacing w:line="360" w:lineRule="auto"/>
        <w:ind w:firstLine="480" w:firstLineChars="200"/>
        <w:jc w:val="left"/>
        <w:rPr>
          <w:rFonts w:hint="eastAsia" w:ascii="仿宋" w:hAnsi="仿宋" w:eastAsia="仿宋" w:cs="仿宋"/>
          <w:b w:val="0"/>
          <w:bCs w:val="0"/>
          <w:color w:val="000000"/>
          <w:sz w:val="24"/>
          <w:highlight w:val="none"/>
          <w:u w:val="none"/>
          <w:lang w:val="en-US" w:eastAsia="zh-CN"/>
        </w:rPr>
      </w:pPr>
      <w:r>
        <w:rPr>
          <w:rFonts w:hint="eastAsia" w:ascii="仿宋" w:hAnsi="仿宋" w:eastAsia="仿宋" w:cs="仿宋"/>
          <w:bCs/>
          <w:kern w:val="0"/>
          <w:sz w:val="24"/>
          <w:highlight w:val="none"/>
          <w:lang w:val="en-US" w:eastAsia="zh-CN"/>
        </w:rPr>
        <w:t>1、</w:t>
      </w:r>
      <w:r>
        <w:rPr>
          <w:rFonts w:hint="eastAsia" w:ascii="仿宋" w:hAnsi="仿宋" w:eastAsia="仿宋" w:cs="仿宋"/>
          <w:color w:val="auto"/>
          <w:sz w:val="24"/>
          <w:highlight w:val="none"/>
          <w:lang w:val="en-US" w:eastAsia="zh-CN"/>
        </w:rPr>
        <w:t>乙方的中标标项为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p>
    <w:p w14:paraId="3DCFB375">
      <w:pPr>
        <w:numPr>
          <w:ilvl w:val="0"/>
          <w:numId w:val="10"/>
        </w:numPr>
        <w:spacing w:line="360" w:lineRule="auto"/>
        <w:ind w:firstLine="480" w:firstLineChars="200"/>
        <w:jc w:val="left"/>
        <w:rPr>
          <w:rFonts w:hint="eastAsia" w:ascii="仿宋" w:hAnsi="仿宋" w:eastAsia="仿宋" w:cs="仿宋"/>
          <w:b w:val="0"/>
          <w:bCs w:val="0"/>
          <w:color w:val="000000"/>
          <w:sz w:val="24"/>
          <w:highlight w:val="none"/>
          <w:u w:val="none"/>
          <w:lang w:val="en-US" w:eastAsia="zh-CN"/>
        </w:rPr>
      </w:pPr>
      <w:r>
        <w:rPr>
          <w:rFonts w:hint="eastAsia" w:ascii="仿宋" w:hAnsi="仿宋" w:eastAsia="仿宋" w:cs="仿宋"/>
          <w:bCs/>
          <w:kern w:val="0"/>
          <w:sz w:val="24"/>
          <w:highlight w:val="none"/>
          <w:lang w:val="en-US" w:eastAsia="zh-CN"/>
        </w:rPr>
        <w:t>具体分配任务以甲方实际下达审核任务为准，甲方</w:t>
      </w:r>
      <w:r>
        <w:rPr>
          <w:rFonts w:hint="eastAsia" w:ascii="仿宋" w:hAnsi="仿宋" w:eastAsia="仿宋" w:cs="仿宋"/>
          <w:bCs/>
          <w:sz w:val="24"/>
          <w:highlight w:val="none"/>
        </w:rPr>
        <w:t>以</w:t>
      </w:r>
      <w:r>
        <w:rPr>
          <w:rFonts w:hint="eastAsia" w:ascii="仿宋" w:hAnsi="仿宋" w:eastAsia="仿宋" w:cs="仿宋"/>
          <w:bCs/>
          <w:kern w:val="0"/>
          <w:sz w:val="24"/>
          <w:highlight w:val="none"/>
          <w:lang w:val="en-US" w:eastAsia="zh-CN"/>
        </w:rPr>
        <w:t>签订单个项目委托</w:t>
      </w:r>
      <w:r>
        <w:rPr>
          <w:rFonts w:hint="eastAsia" w:ascii="仿宋" w:hAnsi="仿宋" w:eastAsia="仿宋" w:cs="仿宋"/>
          <w:bCs/>
          <w:kern w:val="0"/>
          <w:sz w:val="24"/>
          <w:highlight w:val="none"/>
          <w:lang w:eastAsia="zh-CN"/>
        </w:rPr>
        <w:t>合同的</w:t>
      </w:r>
      <w:r>
        <w:rPr>
          <w:rFonts w:hint="eastAsia" w:ascii="仿宋" w:hAnsi="仿宋" w:eastAsia="仿宋" w:cs="仿宋"/>
          <w:bCs/>
          <w:kern w:val="0"/>
          <w:sz w:val="24"/>
          <w:highlight w:val="none"/>
        </w:rPr>
        <w:t>方式</w:t>
      </w:r>
      <w:r>
        <w:rPr>
          <w:rFonts w:hint="eastAsia" w:ascii="仿宋" w:hAnsi="仿宋" w:eastAsia="仿宋" w:cs="仿宋"/>
          <w:bCs/>
          <w:kern w:val="0"/>
          <w:sz w:val="24"/>
          <w:highlight w:val="none"/>
          <w:lang w:val="en-US" w:eastAsia="zh-CN"/>
        </w:rPr>
        <w:t>向乙方</w:t>
      </w:r>
      <w:r>
        <w:rPr>
          <w:rFonts w:hint="eastAsia" w:ascii="仿宋" w:hAnsi="仿宋" w:eastAsia="仿宋" w:cs="仿宋"/>
          <w:bCs/>
          <w:kern w:val="0"/>
          <w:sz w:val="24"/>
          <w:highlight w:val="none"/>
        </w:rPr>
        <w:t>下达委托审核任务。</w:t>
      </w:r>
    </w:p>
    <w:p w14:paraId="59320AE8">
      <w:pPr>
        <w:spacing w:line="360" w:lineRule="auto"/>
        <w:rPr>
          <w:rFonts w:hint="eastAsia" w:ascii="仿宋" w:hAnsi="仿宋" w:eastAsia="仿宋" w:cs="仿宋"/>
          <w:b/>
          <w:kern w:val="0"/>
          <w:sz w:val="24"/>
          <w:highlight w:val="none"/>
        </w:rPr>
      </w:pPr>
      <w:r>
        <w:rPr>
          <w:rFonts w:hint="eastAsia" w:ascii="仿宋" w:hAnsi="仿宋" w:eastAsia="仿宋" w:cs="仿宋"/>
          <w:b/>
          <w:kern w:val="0"/>
          <w:sz w:val="24"/>
          <w:highlight w:val="none"/>
          <w:lang w:val="en-US" w:eastAsia="zh-CN"/>
        </w:rPr>
        <w:t>四</w:t>
      </w:r>
      <w:r>
        <w:rPr>
          <w:rFonts w:hint="eastAsia" w:ascii="仿宋" w:hAnsi="仿宋" w:eastAsia="仿宋" w:cs="仿宋"/>
          <w:b/>
          <w:kern w:val="0"/>
          <w:sz w:val="24"/>
          <w:highlight w:val="none"/>
        </w:rPr>
        <w:t>、甲方的权利和义务</w:t>
      </w:r>
    </w:p>
    <w:p w14:paraId="24CD3992">
      <w:pPr>
        <w:spacing w:line="360" w:lineRule="auto"/>
        <w:ind w:firstLine="487" w:firstLineChars="203"/>
        <w:rPr>
          <w:rFonts w:hint="eastAsia" w:ascii="仿宋" w:hAnsi="仿宋" w:eastAsia="仿宋" w:cs="仿宋"/>
          <w:bCs/>
          <w:kern w:val="0"/>
          <w:sz w:val="24"/>
          <w:highlight w:val="none"/>
        </w:rPr>
      </w:pPr>
      <w:r>
        <w:rPr>
          <w:rFonts w:hint="eastAsia" w:ascii="仿宋" w:hAnsi="仿宋" w:eastAsia="仿宋" w:cs="仿宋"/>
          <w:bCs/>
          <w:kern w:val="0"/>
          <w:sz w:val="24"/>
          <w:highlight w:val="none"/>
        </w:rPr>
        <w:t>1、负责督促被审核单位将资料移交给乙方。</w:t>
      </w:r>
    </w:p>
    <w:p w14:paraId="34D81020">
      <w:pPr>
        <w:spacing w:line="360" w:lineRule="auto"/>
        <w:ind w:firstLine="487" w:firstLineChars="203"/>
        <w:rPr>
          <w:rFonts w:hint="eastAsia" w:ascii="仿宋" w:hAnsi="仿宋" w:eastAsia="仿宋" w:cs="仿宋"/>
          <w:bCs/>
          <w:kern w:val="0"/>
          <w:sz w:val="24"/>
          <w:highlight w:val="none"/>
        </w:rPr>
      </w:pPr>
      <w:r>
        <w:rPr>
          <w:rFonts w:hint="eastAsia" w:ascii="仿宋" w:hAnsi="仿宋" w:eastAsia="仿宋" w:cs="仿宋"/>
          <w:bCs/>
          <w:kern w:val="0"/>
          <w:sz w:val="24"/>
          <w:highlight w:val="none"/>
        </w:rPr>
        <w:t>2、</w:t>
      </w:r>
      <w:r>
        <w:rPr>
          <w:rFonts w:hint="eastAsia" w:ascii="仿宋" w:hAnsi="仿宋" w:eastAsia="仿宋" w:cs="仿宋"/>
          <w:bCs/>
          <w:kern w:val="0"/>
          <w:sz w:val="24"/>
          <w:highlight w:val="none"/>
          <w:lang w:val="en-US" w:eastAsia="zh-CN"/>
        </w:rPr>
        <w:t>有权</w:t>
      </w:r>
      <w:r>
        <w:rPr>
          <w:rFonts w:hint="eastAsia" w:ascii="仿宋" w:hAnsi="仿宋" w:eastAsia="仿宋" w:cs="仿宋"/>
          <w:bCs/>
          <w:kern w:val="0"/>
          <w:sz w:val="24"/>
          <w:highlight w:val="none"/>
        </w:rPr>
        <w:t>对乙方的审核质量、工作时效、履约情况和现场工作进行监督管理。</w:t>
      </w:r>
    </w:p>
    <w:p w14:paraId="0ECCBEF2">
      <w:pPr>
        <w:spacing w:line="360" w:lineRule="auto"/>
        <w:ind w:firstLine="487" w:firstLineChars="203"/>
        <w:rPr>
          <w:rFonts w:hint="eastAsia" w:ascii="仿宋" w:hAnsi="仿宋" w:eastAsia="仿宋" w:cs="仿宋"/>
          <w:bCs/>
          <w:kern w:val="0"/>
          <w:sz w:val="24"/>
          <w:highlight w:val="none"/>
        </w:rPr>
      </w:pPr>
      <w:r>
        <w:rPr>
          <w:rFonts w:hint="eastAsia" w:ascii="仿宋" w:hAnsi="仿宋" w:eastAsia="仿宋" w:cs="仿宋"/>
          <w:bCs/>
          <w:kern w:val="0"/>
          <w:sz w:val="24"/>
          <w:highlight w:val="none"/>
        </w:rPr>
        <w:t>3、</w:t>
      </w:r>
      <w:r>
        <w:rPr>
          <w:rFonts w:hint="eastAsia" w:ascii="仿宋" w:hAnsi="仿宋" w:eastAsia="仿宋" w:cs="仿宋"/>
          <w:bCs/>
          <w:kern w:val="0"/>
          <w:sz w:val="24"/>
          <w:highlight w:val="none"/>
          <w:lang w:val="en-US" w:eastAsia="zh-CN"/>
        </w:rPr>
        <w:t>对</w:t>
      </w:r>
      <w:r>
        <w:rPr>
          <w:rFonts w:hint="eastAsia" w:ascii="仿宋" w:hAnsi="仿宋" w:eastAsia="仿宋" w:cs="仿宋"/>
          <w:bCs/>
          <w:kern w:val="0"/>
          <w:sz w:val="24"/>
          <w:highlight w:val="none"/>
        </w:rPr>
        <w:t>项目审核过程中的争议问题</w:t>
      </w:r>
      <w:r>
        <w:rPr>
          <w:rFonts w:hint="eastAsia" w:ascii="仿宋" w:hAnsi="仿宋" w:eastAsia="仿宋" w:cs="仿宋"/>
          <w:bCs/>
          <w:kern w:val="0"/>
          <w:sz w:val="24"/>
          <w:highlight w:val="none"/>
          <w:lang w:val="en-US" w:eastAsia="zh-CN"/>
        </w:rPr>
        <w:t>进行必要的协调</w:t>
      </w:r>
      <w:r>
        <w:rPr>
          <w:rFonts w:hint="eastAsia" w:ascii="仿宋" w:hAnsi="仿宋" w:eastAsia="仿宋" w:cs="仿宋"/>
          <w:bCs/>
          <w:kern w:val="0"/>
          <w:sz w:val="24"/>
          <w:highlight w:val="none"/>
        </w:rPr>
        <w:t>。</w:t>
      </w:r>
    </w:p>
    <w:p w14:paraId="09DF3CCA">
      <w:pPr>
        <w:spacing w:line="360" w:lineRule="auto"/>
        <w:rPr>
          <w:rFonts w:hint="eastAsia" w:ascii="仿宋" w:hAnsi="仿宋" w:eastAsia="仿宋" w:cs="仿宋"/>
          <w:b/>
          <w:kern w:val="0"/>
          <w:sz w:val="24"/>
          <w:highlight w:val="none"/>
        </w:rPr>
      </w:pPr>
      <w:r>
        <w:rPr>
          <w:rFonts w:hint="eastAsia" w:ascii="仿宋" w:hAnsi="仿宋" w:eastAsia="仿宋" w:cs="仿宋"/>
          <w:b/>
          <w:kern w:val="0"/>
          <w:sz w:val="24"/>
          <w:highlight w:val="none"/>
          <w:lang w:val="en-US" w:eastAsia="zh-CN"/>
        </w:rPr>
        <w:t>五</w:t>
      </w:r>
      <w:r>
        <w:rPr>
          <w:rFonts w:hint="eastAsia" w:ascii="仿宋" w:hAnsi="仿宋" w:eastAsia="仿宋" w:cs="仿宋"/>
          <w:b/>
          <w:kern w:val="0"/>
          <w:sz w:val="24"/>
          <w:highlight w:val="none"/>
        </w:rPr>
        <w:t>、乙方的权利和义务</w:t>
      </w:r>
    </w:p>
    <w:p w14:paraId="71867742">
      <w:pPr>
        <w:spacing w:line="360" w:lineRule="auto"/>
        <w:ind w:firstLine="487" w:firstLineChars="203"/>
        <w:rPr>
          <w:rFonts w:hint="eastAsia" w:ascii="仿宋" w:hAnsi="仿宋" w:eastAsia="仿宋" w:cs="仿宋"/>
          <w:bCs/>
          <w:kern w:val="0"/>
          <w:sz w:val="24"/>
          <w:highlight w:val="none"/>
        </w:rPr>
      </w:pPr>
      <w:r>
        <w:rPr>
          <w:rFonts w:hint="eastAsia" w:ascii="仿宋" w:hAnsi="仿宋" w:eastAsia="仿宋" w:cs="仿宋"/>
          <w:bCs/>
          <w:kern w:val="0"/>
          <w:sz w:val="24"/>
          <w:highlight w:val="none"/>
        </w:rPr>
        <w:t>1、乙方应按</w:t>
      </w:r>
      <w:r>
        <w:rPr>
          <w:rFonts w:hint="eastAsia" w:ascii="仿宋" w:hAnsi="仿宋" w:eastAsia="仿宋" w:cs="仿宋"/>
          <w:bCs/>
          <w:kern w:val="0"/>
          <w:sz w:val="24"/>
          <w:highlight w:val="none"/>
          <w:lang w:val="en-US" w:eastAsia="zh-CN"/>
        </w:rPr>
        <w:t>投标</w:t>
      </w:r>
      <w:r>
        <w:rPr>
          <w:rFonts w:hint="eastAsia" w:ascii="仿宋" w:hAnsi="仿宋" w:eastAsia="仿宋" w:cs="仿宋"/>
          <w:bCs/>
          <w:kern w:val="0"/>
          <w:sz w:val="24"/>
          <w:highlight w:val="none"/>
        </w:rPr>
        <w:t>承诺的项目组团队安排审核人员，如有变化，需甲方书面同意。</w:t>
      </w:r>
      <w:r>
        <w:rPr>
          <w:rFonts w:hint="eastAsia" w:ascii="仿宋" w:hAnsi="仿宋" w:eastAsia="仿宋" w:cs="仿宋"/>
          <w:kern w:val="0"/>
          <w:sz w:val="24"/>
          <w:highlight w:val="none"/>
        </w:rPr>
        <w:t>在接到</w:t>
      </w:r>
      <w:r>
        <w:rPr>
          <w:rFonts w:hint="eastAsia" w:ascii="仿宋" w:hAnsi="仿宋" w:eastAsia="仿宋" w:cs="仿宋"/>
          <w:kern w:val="0"/>
          <w:sz w:val="24"/>
          <w:highlight w:val="none"/>
          <w:lang w:val="en-US" w:eastAsia="zh-CN"/>
        </w:rPr>
        <w:t>甲方</w:t>
      </w:r>
      <w:r>
        <w:rPr>
          <w:rFonts w:hint="eastAsia" w:ascii="仿宋" w:hAnsi="仿宋" w:eastAsia="仿宋" w:cs="仿宋"/>
          <w:kern w:val="0"/>
          <w:sz w:val="24"/>
          <w:highlight w:val="none"/>
        </w:rPr>
        <w:t>项目委托5日内，完成资料验收核对工作；</w:t>
      </w:r>
      <w:r>
        <w:rPr>
          <w:rFonts w:hint="eastAsia" w:ascii="仿宋" w:hAnsi="仿宋" w:eastAsia="仿宋" w:cs="仿宋"/>
          <w:kern w:val="0"/>
          <w:sz w:val="24"/>
          <w:highlight w:val="none"/>
          <w:lang w:val="en-US" w:eastAsia="zh-CN"/>
        </w:rPr>
        <w:t>收到完整资料后，</w:t>
      </w:r>
      <w:r>
        <w:rPr>
          <w:rFonts w:hint="eastAsia" w:ascii="仿宋" w:hAnsi="仿宋" w:eastAsia="仿宋" w:cs="仿宋"/>
          <w:kern w:val="0"/>
          <w:sz w:val="24"/>
          <w:highlight w:val="none"/>
        </w:rPr>
        <w:t>送审总额1亿以下项目一般在20天内出审核报告</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送审总额1亿（含）以上项目一般在45天内出审核报告</w:t>
      </w:r>
      <w:r>
        <w:rPr>
          <w:rFonts w:hint="eastAsia" w:ascii="仿宋" w:hAnsi="仿宋" w:eastAsia="仿宋" w:cs="仿宋"/>
          <w:kern w:val="0"/>
          <w:sz w:val="24"/>
          <w:highlight w:val="none"/>
          <w:lang w:eastAsia="zh-CN"/>
        </w:rPr>
        <w:t>。</w:t>
      </w:r>
      <w:r>
        <w:rPr>
          <w:rFonts w:hint="eastAsia" w:ascii="仿宋" w:hAnsi="仿宋" w:eastAsia="仿宋" w:cs="仿宋"/>
          <w:bCs/>
          <w:kern w:val="0"/>
          <w:sz w:val="24"/>
          <w:highlight w:val="none"/>
        </w:rPr>
        <w:t>具体按项目</w:t>
      </w:r>
      <w:r>
        <w:rPr>
          <w:rFonts w:hint="eastAsia" w:ascii="仿宋" w:hAnsi="仿宋" w:eastAsia="仿宋" w:cs="仿宋"/>
          <w:bCs/>
          <w:kern w:val="0"/>
          <w:sz w:val="24"/>
          <w:highlight w:val="none"/>
          <w:lang w:val="en-US" w:eastAsia="zh-CN"/>
        </w:rPr>
        <w:t>合同</w:t>
      </w:r>
      <w:r>
        <w:rPr>
          <w:rFonts w:hint="eastAsia" w:ascii="仿宋" w:hAnsi="仿宋" w:eastAsia="仿宋" w:cs="仿宋"/>
          <w:bCs/>
          <w:kern w:val="0"/>
          <w:sz w:val="24"/>
          <w:highlight w:val="none"/>
        </w:rPr>
        <w:t>要求的时限执行。</w:t>
      </w:r>
    </w:p>
    <w:p w14:paraId="446578B3">
      <w:pPr>
        <w:spacing w:line="360" w:lineRule="auto"/>
        <w:ind w:firstLine="487" w:firstLineChars="203"/>
        <w:rPr>
          <w:rFonts w:hint="eastAsia" w:ascii="仿宋" w:hAnsi="仿宋" w:eastAsia="仿宋" w:cs="仿宋"/>
          <w:bCs/>
          <w:kern w:val="0"/>
          <w:sz w:val="24"/>
          <w:highlight w:val="none"/>
        </w:rPr>
      </w:pPr>
      <w:r>
        <w:rPr>
          <w:rFonts w:hint="eastAsia" w:ascii="仿宋" w:hAnsi="仿宋" w:eastAsia="仿宋" w:cs="仿宋"/>
          <w:bCs/>
          <w:kern w:val="0"/>
          <w:sz w:val="24"/>
          <w:highlight w:val="none"/>
        </w:rPr>
        <w:t>2、不得将项目审核业务转包或分包给其他单位或个人。</w:t>
      </w:r>
    </w:p>
    <w:p w14:paraId="4FC52A8D">
      <w:pPr>
        <w:spacing w:line="360" w:lineRule="auto"/>
        <w:ind w:firstLine="480" w:firstLineChars="200"/>
        <w:jc w:val="left"/>
        <w:rPr>
          <w:rFonts w:hint="eastAsia" w:ascii="仿宋" w:hAnsi="仿宋" w:eastAsia="仿宋" w:cs="仿宋"/>
          <w:bCs/>
          <w:kern w:val="0"/>
          <w:sz w:val="24"/>
          <w:highlight w:val="none"/>
        </w:rPr>
      </w:pPr>
      <w:r>
        <w:rPr>
          <w:rFonts w:hint="eastAsia" w:ascii="仿宋" w:hAnsi="仿宋" w:eastAsia="仿宋" w:cs="仿宋"/>
          <w:bCs/>
          <w:kern w:val="0"/>
          <w:sz w:val="24"/>
          <w:highlight w:val="none"/>
        </w:rPr>
        <w:t>3、按</w:t>
      </w:r>
      <w:r>
        <w:rPr>
          <w:rFonts w:hint="eastAsia" w:ascii="仿宋" w:hAnsi="仿宋" w:eastAsia="仿宋" w:cs="仿宋"/>
          <w:bCs/>
          <w:kern w:val="0"/>
          <w:sz w:val="24"/>
          <w:highlight w:val="none"/>
          <w:lang w:val="en-US" w:eastAsia="zh-CN"/>
        </w:rPr>
        <w:t>法律法规、</w:t>
      </w:r>
      <w:r>
        <w:rPr>
          <w:rFonts w:hint="eastAsia" w:ascii="仿宋" w:hAnsi="仿宋" w:eastAsia="仿宋" w:cs="仿宋"/>
          <w:bCs/>
          <w:kern w:val="0"/>
          <w:sz w:val="24"/>
          <w:highlight w:val="none"/>
        </w:rPr>
        <w:t>财政部门相关制度</w:t>
      </w:r>
      <w:r>
        <w:rPr>
          <w:rFonts w:hint="eastAsia" w:ascii="仿宋" w:hAnsi="仿宋" w:eastAsia="仿宋" w:cs="仿宋"/>
          <w:bCs/>
          <w:kern w:val="0"/>
          <w:sz w:val="24"/>
          <w:highlight w:val="none"/>
          <w:lang w:val="en-US" w:eastAsia="zh-CN"/>
        </w:rPr>
        <w:t>及采购文件/投标文件</w:t>
      </w:r>
      <w:r>
        <w:rPr>
          <w:rFonts w:hint="eastAsia" w:ascii="仿宋" w:hAnsi="仿宋" w:eastAsia="仿宋" w:cs="仿宋"/>
          <w:bCs/>
          <w:kern w:val="0"/>
          <w:sz w:val="24"/>
          <w:highlight w:val="none"/>
        </w:rPr>
        <w:t>要求完成审核工作并接受甲方的业务监督，乙方</w:t>
      </w:r>
      <w:r>
        <w:rPr>
          <w:rFonts w:hint="eastAsia" w:ascii="仿宋" w:hAnsi="仿宋" w:eastAsia="仿宋" w:cs="仿宋"/>
          <w:kern w:val="0"/>
          <w:sz w:val="24"/>
          <w:highlight w:val="none"/>
        </w:rPr>
        <w:t>接受甲方制定的相关管理制度等文件约束。</w:t>
      </w:r>
    </w:p>
    <w:p w14:paraId="383A730B">
      <w:pPr>
        <w:spacing w:line="360" w:lineRule="auto"/>
        <w:ind w:firstLine="487" w:firstLineChars="203"/>
        <w:rPr>
          <w:rFonts w:hint="eastAsia" w:ascii="仿宋" w:hAnsi="仿宋" w:eastAsia="仿宋" w:cs="仿宋"/>
          <w:bCs/>
          <w:kern w:val="0"/>
          <w:sz w:val="24"/>
          <w:highlight w:val="none"/>
        </w:rPr>
      </w:pPr>
      <w:r>
        <w:rPr>
          <w:rFonts w:hint="eastAsia" w:ascii="仿宋" w:hAnsi="仿宋" w:eastAsia="仿宋" w:cs="仿宋"/>
          <w:bCs/>
          <w:kern w:val="0"/>
          <w:sz w:val="24"/>
          <w:highlight w:val="none"/>
        </w:rPr>
        <w:t>4、审核人员在办理审核事项时，应当客观公正、实事求是、廉洁奉公，并保持严谨、稳健、负责的职业态度。在执行审核任务时，应真实反映审核结果，客观评价审核事项。</w:t>
      </w:r>
    </w:p>
    <w:p w14:paraId="3E0B1454">
      <w:pPr>
        <w:spacing w:line="360" w:lineRule="auto"/>
        <w:ind w:firstLine="487" w:firstLineChars="203"/>
        <w:rPr>
          <w:rFonts w:hint="eastAsia" w:ascii="仿宋" w:hAnsi="仿宋" w:eastAsia="仿宋" w:cs="仿宋"/>
          <w:bCs/>
          <w:kern w:val="0"/>
          <w:sz w:val="24"/>
          <w:highlight w:val="none"/>
        </w:rPr>
      </w:pPr>
      <w:r>
        <w:rPr>
          <w:rFonts w:hint="eastAsia" w:ascii="仿宋" w:hAnsi="仿宋" w:eastAsia="仿宋" w:cs="仿宋"/>
          <w:bCs/>
          <w:kern w:val="0"/>
          <w:sz w:val="24"/>
          <w:highlight w:val="none"/>
        </w:rPr>
        <w:t>5、因乙方原因导致审核结果有误，造成甲方</w:t>
      </w:r>
      <w:r>
        <w:rPr>
          <w:rFonts w:hint="eastAsia" w:ascii="仿宋" w:hAnsi="仿宋" w:eastAsia="仿宋" w:cs="仿宋"/>
          <w:bCs/>
          <w:kern w:val="0"/>
          <w:sz w:val="24"/>
          <w:highlight w:val="none"/>
          <w:lang w:val="en-US" w:eastAsia="zh-CN"/>
        </w:rPr>
        <w:t>或其他第三方</w:t>
      </w:r>
      <w:r>
        <w:rPr>
          <w:rFonts w:hint="eastAsia" w:ascii="仿宋" w:hAnsi="仿宋" w:eastAsia="仿宋" w:cs="仿宋"/>
          <w:bCs/>
          <w:kern w:val="0"/>
          <w:sz w:val="24"/>
          <w:highlight w:val="none"/>
        </w:rPr>
        <w:t>经济损失的，乙方应承担相应的经济责任。</w:t>
      </w:r>
    </w:p>
    <w:p w14:paraId="1CF9794B">
      <w:pPr>
        <w:spacing w:line="360" w:lineRule="auto"/>
        <w:ind w:firstLine="487" w:firstLineChars="203"/>
        <w:rPr>
          <w:rFonts w:hint="eastAsia" w:ascii="仿宋" w:hAnsi="仿宋" w:eastAsia="仿宋" w:cs="仿宋"/>
          <w:bCs/>
          <w:kern w:val="0"/>
          <w:sz w:val="24"/>
          <w:highlight w:val="none"/>
        </w:rPr>
      </w:pPr>
      <w:r>
        <w:rPr>
          <w:rFonts w:hint="eastAsia" w:ascii="仿宋" w:hAnsi="仿宋" w:eastAsia="仿宋" w:cs="仿宋"/>
          <w:bCs/>
          <w:kern w:val="0"/>
          <w:sz w:val="24"/>
          <w:highlight w:val="none"/>
        </w:rPr>
        <w:t>6、如因其他原因被中止委托审核业务，仍应按委托合同要求完成在审项目的后续工作，否则甲方有权扣除乙方该项目的审核费用，并取消其以后承接组织审核业务的资格。</w:t>
      </w:r>
    </w:p>
    <w:p w14:paraId="239EF640">
      <w:pPr>
        <w:spacing w:line="360" w:lineRule="auto"/>
        <w:ind w:firstLine="487" w:firstLineChars="203"/>
        <w:rPr>
          <w:rFonts w:hint="eastAsia" w:ascii="仿宋" w:hAnsi="仿宋" w:eastAsia="仿宋" w:cs="仿宋"/>
          <w:bCs/>
          <w:kern w:val="0"/>
          <w:sz w:val="24"/>
          <w:highlight w:val="none"/>
        </w:rPr>
      </w:pPr>
      <w:r>
        <w:rPr>
          <w:rFonts w:hint="eastAsia" w:ascii="仿宋" w:hAnsi="仿宋" w:eastAsia="仿宋" w:cs="仿宋"/>
          <w:bCs/>
          <w:kern w:val="0"/>
          <w:sz w:val="24"/>
          <w:highlight w:val="none"/>
        </w:rPr>
        <w:t>7、按</w:t>
      </w:r>
      <w:r>
        <w:rPr>
          <w:rFonts w:hint="eastAsia" w:ascii="仿宋" w:hAnsi="仿宋" w:eastAsia="仿宋" w:cs="仿宋"/>
          <w:bCs/>
          <w:kern w:val="0"/>
          <w:sz w:val="24"/>
          <w:highlight w:val="none"/>
          <w:lang w:val="en-US" w:eastAsia="zh-CN"/>
        </w:rPr>
        <w:t>投标文件</w:t>
      </w:r>
      <w:r>
        <w:rPr>
          <w:rFonts w:hint="eastAsia" w:ascii="仿宋" w:hAnsi="仿宋" w:eastAsia="仿宋" w:cs="仿宋"/>
          <w:bCs/>
          <w:kern w:val="0"/>
          <w:sz w:val="24"/>
          <w:highlight w:val="none"/>
        </w:rPr>
        <w:t>承诺和</w:t>
      </w:r>
      <w:r>
        <w:rPr>
          <w:rFonts w:hint="eastAsia" w:ascii="仿宋" w:hAnsi="仿宋" w:eastAsia="仿宋" w:cs="仿宋"/>
          <w:bCs/>
          <w:kern w:val="0"/>
          <w:sz w:val="24"/>
          <w:highlight w:val="none"/>
          <w:lang w:val="en-US" w:eastAsia="zh-CN"/>
        </w:rPr>
        <w:t>项目合同</w:t>
      </w:r>
      <w:r>
        <w:rPr>
          <w:rFonts w:hint="eastAsia" w:ascii="仿宋" w:hAnsi="仿宋" w:eastAsia="仿宋" w:cs="仿宋"/>
          <w:bCs/>
          <w:kern w:val="0"/>
          <w:sz w:val="24"/>
          <w:highlight w:val="none"/>
        </w:rPr>
        <w:t>确定的时间、工作要求来完成审核任务。</w:t>
      </w:r>
    </w:p>
    <w:p w14:paraId="70EE928E">
      <w:pPr>
        <w:spacing w:line="360" w:lineRule="auto"/>
        <w:ind w:firstLine="487" w:firstLineChars="203"/>
        <w:rPr>
          <w:rFonts w:hint="eastAsia" w:ascii="仿宋" w:hAnsi="仿宋" w:eastAsia="仿宋" w:cs="仿宋"/>
          <w:bCs/>
          <w:kern w:val="0"/>
          <w:sz w:val="24"/>
          <w:highlight w:val="none"/>
          <w:lang w:val="en-US" w:eastAsia="zh-CN"/>
        </w:rPr>
      </w:pPr>
      <w:r>
        <w:rPr>
          <w:rFonts w:hint="eastAsia" w:ascii="仿宋" w:hAnsi="仿宋" w:eastAsia="仿宋" w:cs="仿宋"/>
          <w:bCs/>
          <w:kern w:val="0"/>
          <w:sz w:val="24"/>
          <w:highlight w:val="none"/>
          <w:lang w:val="en-US" w:eastAsia="zh-CN"/>
        </w:rPr>
        <w:t>8、根据本协议及甲方对具体项目任务要求，与甲方签订单个项目书面合同。</w:t>
      </w:r>
    </w:p>
    <w:p w14:paraId="0DC394F4">
      <w:pPr>
        <w:pStyle w:val="2"/>
        <w:rPr>
          <w:rFonts w:hint="eastAsia" w:ascii="仿宋" w:hAnsi="仿宋" w:eastAsia="仿宋" w:cs="仿宋"/>
          <w:highlight w:val="none"/>
          <w:lang w:val="en-US" w:eastAsia="zh-CN"/>
        </w:rPr>
      </w:pPr>
      <w:r>
        <w:rPr>
          <w:rFonts w:hint="eastAsia" w:ascii="仿宋" w:hAnsi="仿宋" w:eastAsia="仿宋" w:cs="仿宋"/>
          <w:bCs/>
          <w:kern w:val="0"/>
          <w:sz w:val="24"/>
          <w:highlight w:val="none"/>
          <w:lang w:val="en-US" w:eastAsia="zh-CN"/>
        </w:rPr>
        <w:t>9、在单个审核期限内按照甲方及单个项目要求，完成各类项目决算审核工作。在完成项目决算审核工作后，应约定出具相应的决算报告，做好资料归档工作并填写资料清单。</w:t>
      </w:r>
    </w:p>
    <w:p w14:paraId="750EB98D">
      <w:pPr>
        <w:spacing w:line="360" w:lineRule="auto"/>
        <w:rPr>
          <w:rFonts w:hint="eastAsia" w:ascii="仿宋" w:hAnsi="仿宋" w:eastAsia="仿宋" w:cs="仿宋"/>
          <w:b/>
          <w:kern w:val="0"/>
          <w:sz w:val="24"/>
          <w:highlight w:val="none"/>
        </w:rPr>
      </w:pPr>
      <w:r>
        <w:rPr>
          <w:rFonts w:hint="eastAsia" w:ascii="仿宋" w:hAnsi="仿宋" w:eastAsia="仿宋" w:cs="仿宋"/>
          <w:b/>
          <w:kern w:val="0"/>
          <w:sz w:val="24"/>
          <w:highlight w:val="none"/>
          <w:lang w:val="en-US" w:eastAsia="zh-CN"/>
        </w:rPr>
        <w:t>六</w:t>
      </w:r>
      <w:r>
        <w:rPr>
          <w:rFonts w:hint="eastAsia" w:ascii="仿宋" w:hAnsi="仿宋" w:eastAsia="仿宋" w:cs="仿宋"/>
          <w:b/>
          <w:kern w:val="0"/>
          <w:sz w:val="24"/>
          <w:highlight w:val="none"/>
        </w:rPr>
        <w:t>、</w:t>
      </w:r>
      <w:r>
        <w:rPr>
          <w:rFonts w:hint="eastAsia" w:ascii="仿宋" w:hAnsi="仿宋" w:eastAsia="仿宋" w:cs="仿宋"/>
          <w:b/>
          <w:kern w:val="0"/>
          <w:sz w:val="24"/>
          <w:highlight w:val="none"/>
          <w:lang w:val="en-US" w:eastAsia="zh-CN"/>
        </w:rPr>
        <w:t>服务</w:t>
      </w:r>
      <w:r>
        <w:rPr>
          <w:rFonts w:hint="eastAsia" w:ascii="仿宋" w:hAnsi="仿宋" w:eastAsia="仿宋" w:cs="仿宋"/>
          <w:b/>
          <w:kern w:val="0"/>
          <w:sz w:val="24"/>
          <w:highlight w:val="none"/>
        </w:rPr>
        <w:t>质量要求</w:t>
      </w:r>
    </w:p>
    <w:p w14:paraId="13122C4C">
      <w:pPr>
        <w:tabs>
          <w:tab w:val="left" w:pos="1260"/>
        </w:tabs>
        <w:spacing w:line="360" w:lineRule="auto"/>
        <w:ind w:firstLine="480" w:firstLineChars="200"/>
        <w:rPr>
          <w:rFonts w:hint="eastAsia" w:ascii="仿宋" w:hAnsi="仿宋" w:eastAsia="仿宋" w:cs="仿宋"/>
          <w:bCs/>
          <w:kern w:val="0"/>
          <w:sz w:val="24"/>
          <w:highlight w:val="none"/>
        </w:rPr>
      </w:pPr>
      <w:r>
        <w:rPr>
          <w:rFonts w:hint="eastAsia" w:ascii="仿宋" w:hAnsi="仿宋" w:eastAsia="仿宋" w:cs="仿宋"/>
          <w:kern w:val="0"/>
          <w:sz w:val="24"/>
          <w:highlight w:val="none"/>
        </w:rPr>
        <w:t>乙方应独立公正开展审核工作，严格遵守国家的有关法律、法规、制度规定及有关执业规范要求。乙方对审核报告的真实性、完整性、可靠性负责。</w:t>
      </w:r>
      <w:r>
        <w:rPr>
          <w:rFonts w:hint="eastAsia" w:ascii="仿宋" w:hAnsi="仿宋" w:eastAsia="仿宋" w:cs="仿宋"/>
          <w:bCs/>
          <w:kern w:val="0"/>
          <w:sz w:val="24"/>
          <w:highlight w:val="none"/>
        </w:rPr>
        <w:t>审核质量应符合《中华人民共和国会计法》、《基本建设财政规则》（财政部第81号令）、《基本建设项目竣工财务决算管理暂行办法》（财建〔2016〕503号）、《基本建设项目建设成本管理规定》（财建〔2016〕504号）等</w:t>
      </w:r>
      <w:r>
        <w:rPr>
          <w:rFonts w:hint="eastAsia" w:ascii="仿宋" w:hAnsi="仿宋" w:eastAsia="仿宋" w:cs="仿宋"/>
          <w:bCs/>
          <w:kern w:val="0"/>
          <w:sz w:val="24"/>
          <w:highlight w:val="none"/>
          <w:lang w:val="en-US" w:eastAsia="zh-CN"/>
        </w:rPr>
        <w:t>国家法律法规、</w:t>
      </w:r>
      <w:r>
        <w:rPr>
          <w:rFonts w:hint="eastAsia" w:ascii="仿宋" w:hAnsi="仿宋" w:eastAsia="仿宋" w:cs="仿宋"/>
          <w:bCs/>
          <w:kern w:val="0"/>
          <w:sz w:val="24"/>
          <w:highlight w:val="none"/>
        </w:rPr>
        <w:t>财政部门的相关规定</w:t>
      </w:r>
      <w:r>
        <w:rPr>
          <w:rFonts w:hint="eastAsia" w:ascii="仿宋" w:hAnsi="仿宋" w:eastAsia="仿宋" w:cs="仿宋"/>
          <w:bCs/>
          <w:kern w:val="0"/>
          <w:sz w:val="24"/>
          <w:highlight w:val="none"/>
          <w:lang w:val="en-US" w:eastAsia="zh-CN"/>
        </w:rPr>
        <w:t>及采购文件要求</w:t>
      </w:r>
      <w:r>
        <w:rPr>
          <w:rFonts w:hint="eastAsia" w:ascii="仿宋" w:hAnsi="仿宋" w:eastAsia="仿宋" w:cs="仿宋"/>
          <w:bCs/>
          <w:kern w:val="0"/>
          <w:sz w:val="24"/>
          <w:highlight w:val="none"/>
        </w:rPr>
        <w:t>。决算审核误差率：不高于</w:t>
      </w:r>
      <w:r>
        <w:rPr>
          <w:rFonts w:hint="eastAsia" w:ascii="仿宋" w:hAnsi="仿宋" w:eastAsia="仿宋" w:cs="仿宋"/>
          <w:bCs/>
          <w:kern w:val="0"/>
          <w:sz w:val="24"/>
          <w:highlight w:val="none"/>
          <w:u w:val="single"/>
        </w:rPr>
        <w:t xml:space="preserve">  （签订合同时根据</w:t>
      </w:r>
      <w:r>
        <w:rPr>
          <w:rFonts w:hint="eastAsia" w:ascii="仿宋" w:hAnsi="仿宋" w:eastAsia="仿宋" w:cs="仿宋"/>
          <w:bCs/>
          <w:kern w:val="0"/>
          <w:sz w:val="24"/>
          <w:highlight w:val="none"/>
          <w:u w:val="single"/>
          <w:lang w:val="en-US" w:eastAsia="zh-CN"/>
        </w:rPr>
        <w:t>投标</w:t>
      </w:r>
      <w:r>
        <w:rPr>
          <w:rFonts w:hint="eastAsia" w:ascii="仿宋" w:hAnsi="仿宋" w:eastAsia="仿宋" w:cs="仿宋"/>
          <w:bCs/>
          <w:kern w:val="0"/>
          <w:sz w:val="24"/>
          <w:highlight w:val="none"/>
          <w:u w:val="single"/>
        </w:rPr>
        <w:t>承诺填写）</w:t>
      </w:r>
      <w:r>
        <w:rPr>
          <w:rFonts w:hint="eastAsia" w:ascii="仿宋" w:hAnsi="仿宋" w:eastAsia="仿宋" w:cs="仿宋"/>
          <w:bCs/>
          <w:kern w:val="0"/>
          <w:sz w:val="24"/>
          <w:highlight w:val="none"/>
          <w:u w:val="single"/>
          <w:lang w:val="en-US" w:eastAsia="zh-CN"/>
        </w:rPr>
        <w:t xml:space="preserve">   </w:t>
      </w:r>
      <w:r>
        <w:rPr>
          <w:rFonts w:hint="eastAsia" w:ascii="仿宋" w:hAnsi="仿宋" w:eastAsia="仿宋" w:cs="仿宋"/>
          <w:bCs/>
          <w:kern w:val="0"/>
          <w:sz w:val="24"/>
          <w:highlight w:val="none"/>
          <w:u w:val="single"/>
        </w:rPr>
        <w:t xml:space="preserve"> </w:t>
      </w:r>
      <w:r>
        <w:rPr>
          <w:rFonts w:hint="eastAsia" w:ascii="仿宋" w:hAnsi="仿宋" w:eastAsia="仿宋" w:cs="仿宋"/>
          <w:bCs/>
          <w:kern w:val="0"/>
          <w:sz w:val="24"/>
          <w:highlight w:val="none"/>
        </w:rPr>
        <w:t>%。</w:t>
      </w:r>
    </w:p>
    <w:p w14:paraId="4B09DB67">
      <w:pPr>
        <w:numPr>
          <w:ilvl w:val="0"/>
          <w:numId w:val="0"/>
        </w:numPr>
        <w:tabs>
          <w:tab w:val="left" w:pos="1080"/>
        </w:tabs>
        <w:adjustRightInd/>
        <w:spacing w:line="360" w:lineRule="auto"/>
        <w:rPr>
          <w:rFonts w:hint="eastAsia" w:ascii="仿宋" w:hAnsi="仿宋" w:eastAsia="仿宋" w:cs="仿宋"/>
          <w:b/>
          <w:kern w:val="0"/>
          <w:sz w:val="24"/>
          <w:highlight w:val="none"/>
        </w:rPr>
      </w:pPr>
      <w:r>
        <w:rPr>
          <w:rFonts w:hint="eastAsia" w:ascii="仿宋" w:hAnsi="仿宋" w:eastAsia="仿宋" w:cs="仿宋"/>
          <w:b/>
          <w:kern w:val="0"/>
          <w:sz w:val="24"/>
          <w:highlight w:val="none"/>
          <w:lang w:val="en-US" w:eastAsia="zh-CN"/>
        </w:rPr>
        <w:t>七</w:t>
      </w:r>
      <w:r>
        <w:rPr>
          <w:rFonts w:hint="eastAsia" w:ascii="仿宋" w:hAnsi="仿宋" w:eastAsia="仿宋" w:cs="仿宋"/>
          <w:b/>
          <w:kern w:val="0"/>
          <w:sz w:val="24"/>
          <w:highlight w:val="none"/>
        </w:rPr>
        <w:t>、</w:t>
      </w:r>
      <w:r>
        <w:rPr>
          <w:rFonts w:hint="eastAsia" w:ascii="仿宋" w:hAnsi="仿宋" w:eastAsia="仿宋" w:cs="仿宋"/>
          <w:b/>
          <w:kern w:val="0"/>
          <w:sz w:val="24"/>
          <w:highlight w:val="none"/>
          <w:lang w:val="en-US" w:eastAsia="zh-CN"/>
        </w:rPr>
        <w:t>服务</w:t>
      </w:r>
      <w:r>
        <w:rPr>
          <w:rFonts w:hint="eastAsia" w:ascii="仿宋" w:hAnsi="仿宋" w:eastAsia="仿宋" w:cs="仿宋"/>
          <w:b/>
          <w:kern w:val="0"/>
          <w:sz w:val="24"/>
          <w:highlight w:val="none"/>
        </w:rPr>
        <w:t>评价</w:t>
      </w:r>
    </w:p>
    <w:p w14:paraId="27270C2D">
      <w:pPr>
        <w:adjustRightInd w:val="0"/>
        <w:snapToGrid w:val="0"/>
        <w:spacing w:line="360" w:lineRule="auto"/>
        <w:ind w:firstLine="480" w:firstLineChars="200"/>
        <w:rPr>
          <w:rFonts w:hint="eastAsia" w:ascii="仿宋" w:hAnsi="仿宋" w:eastAsia="仿宋" w:cs="仿宋"/>
          <w:color w:val="auto"/>
          <w:kern w:val="0"/>
          <w:highlight w:val="none"/>
          <w:lang w:val="en-US" w:eastAsia="zh-CN"/>
        </w:rPr>
      </w:pPr>
      <w:r>
        <w:rPr>
          <w:rFonts w:hint="eastAsia" w:ascii="仿宋" w:hAnsi="仿宋" w:eastAsia="仿宋" w:cs="仿宋"/>
          <w:snapToGrid w:val="0"/>
          <w:color w:val="auto"/>
          <w:kern w:val="0"/>
          <w:sz w:val="24"/>
          <w:highlight w:val="none"/>
          <w:lang w:val="en-US" w:eastAsia="zh-CN"/>
        </w:rPr>
        <w:t>（一）甲方</w:t>
      </w:r>
      <w:r>
        <w:rPr>
          <w:rFonts w:hint="eastAsia" w:ascii="仿宋" w:hAnsi="仿宋" w:eastAsia="仿宋" w:cs="仿宋"/>
          <w:snapToGrid w:val="0"/>
          <w:color w:val="auto"/>
          <w:kern w:val="0"/>
          <w:sz w:val="24"/>
          <w:highlight w:val="none"/>
          <w:lang w:eastAsia="zh-CN"/>
        </w:rPr>
        <w:t>在</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提供服务的过程中，有权不定期对服务内容和质量进行考核。</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应当配合进行</w:t>
      </w:r>
      <w:r>
        <w:rPr>
          <w:rFonts w:hint="eastAsia" w:ascii="仿宋" w:hAnsi="仿宋" w:eastAsia="仿宋" w:cs="仿宋"/>
          <w:color w:val="auto"/>
          <w:kern w:val="0"/>
          <w:highlight w:val="none"/>
          <w:lang w:val="en-US" w:eastAsia="zh-CN"/>
        </w:rPr>
        <w:t>。</w:t>
      </w:r>
    </w:p>
    <w:p w14:paraId="39538703">
      <w:pPr>
        <w:pStyle w:val="2"/>
        <w:rPr>
          <w:rFonts w:hint="eastAsia" w:ascii="仿宋" w:hAnsi="仿宋" w:eastAsia="仿宋" w:cs="仿宋"/>
          <w:color w:val="auto"/>
          <w:highlight w:val="none"/>
          <w:lang w:val="en-US" w:eastAsia="zh-CN"/>
        </w:rPr>
      </w:pPr>
      <w:r>
        <w:rPr>
          <w:rFonts w:hint="eastAsia" w:ascii="仿宋" w:hAnsi="仿宋" w:eastAsia="仿宋" w:cs="仿宋"/>
          <w:color w:val="auto"/>
          <w:kern w:val="0"/>
          <w:highlight w:val="none"/>
          <w:lang w:val="en-US" w:eastAsia="zh-CN"/>
        </w:rPr>
        <w:t>（二）验收依据：①采购文件确定的技术指标或者服务要求；②投标文件承诺、询标回复；③服务合同、甲方制定的考核标准。未进行相应约定的，应当符合国家强制性规定、政策要求、安全标准、行业或企业有关标准等。</w:t>
      </w:r>
    </w:p>
    <w:p w14:paraId="48CE06AD">
      <w:pPr>
        <w:adjustRightInd w:val="0"/>
        <w:snapToGrid w:val="0"/>
        <w:spacing w:line="360" w:lineRule="auto"/>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（三）出现以下情形，一经查实终止业务委托：</w:t>
      </w:r>
    </w:p>
    <w:p w14:paraId="1AD9E779">
      <w:pPr>
        <w:numPr>
          <w:ilvl w:val="0"/>
          <w:numId w:val="11"/>
        </w:numPr>
        <w:adjustRightInd w:val="0"/>
        <w:snapToGrid w:val="0"/>
        <w:spacing w:line="360" w:lineRule="auto"/>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乙方无法在履行合同时满足政府采购活动中响应的实质性条款；</w:t>
      </w:r>
    </w:p>
    <w:p w14:paraId="2FB4CA76">
      <w:pPr>
        <w:numPr>
          <w:ilvl w:val="0"/>
          <w:numId w:val="11"/>
        </w:numPr>
        <w:adjustRightInd w:val="0"/>
        <w:snapToGrid w:val="0"/>
        <w:spacing w:line="360" w:lineRule="auto"/>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乙方丢失项目资料，造成项目无法开展完成的；对相关单位造成不良影响、造成重要经济损失的，除终止业务委托外，另须赔偿相应损失；</w:t>
      </w:r>
    </w:p>
    <w:p w14:paraId="5221485C">
      <w:pPr>
        <w:numPr>
          <w:ilvl w:val="0"/>
          <w:numId w:val="11"/>
        </w:numPr>
        <w:adjustRightInd w:val="0"/>
        <w:snapToGrid w:val="0"/>
        <w:spacing w:line="360" w:lineRule="auto"/>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乙方提供虚假报告；</w:t>
      </w:r>
    </w:p>
    <w:p w14:paraId="1F67D79C">
      <w:pPr>
        <w:numPr>
          <w:ilvl w:val="0"/>
          <w:numId w:val="11"/>
        </w:numPr>
        <w:adjustRightInd w:val="0"/>
        <w:snapToGrid w:val="0"/>
        <w:spacing w:line="360" w:lineRule="auto"/>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乙方向相关单位违规收取费用。</w:t>
      </w:r>
    </w:p>
    <w:p w14:paraId="6346E366">
      <w:pPr>
        <w:tabs>
          <w:tab w:val="left" w:pos="1080"/>
        </w:tabs>
        <w:adjustRightInd/>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szCs w:val="24"/>
          <w:highlight w:val="none"/>
          <w:lang w:val="en-US" w:eastAsia="zh-CN"/>
        </w:rPr>
        <w:t>说明：具体评价机制以甲方项目执行过程中制定的内容为准。</w:t>
      </w:r>
    </w:p>
    <w:p w14:paraId="19FAF245">
      <w:pPr>
        <w:spacing w:line="360" w:lineRule="auto"/>
        <w:rPr>
          <w:rFonts w:hint="eastAsia" w:ascii="仿宋" w:hAnsi="仿宋" w:eastAsia="仿宋" w:cs="仿宋"/>
          <w:b/>
          <w:kern w:val="0"/>
          <w:sz w:val="24"/>
          <w:highlight w:val="none"/>
          <w:lang w:val="en-US" w:eastAsia="zh-CN"/>
        </w:rPr>
      </w:pPr>
      <w:r>
        <w:rPr>
          <w:rFonts w:hint="eastAsia" w:ascii="仿宋" w:hAnsi="仿宋" w:eastAsia="仿宋" w:cs="仿宋"/>
          <w:b/>
          <w:kern w:val="0"/>
          <w:sz w:val="24"/>
          <w:highlight w:val="none"/>
          <w:lang w:val="en-US" w:eastAsia="zh-CN"/>
        </w:rPr>
        <w:t>八</w:t>
      </w:r>
      <w:r>
        <w:rPr>
          <w:rFonts w:hint="eastAsia" w:ascii="仿宋" w:hAnsi="仿宋" w:eastAsia="仿宋" w:cs="仿宋"/>
          <w:b/>
          <w:kern w:val="0"/>
          <w:sz w:val="24"/>
          <w:highlight w:val="none"/>
        </w:rPr>
        <w:t>、审核费用</w:t>
      </w:r>
      <w:r>
        <w:rPr>
          <w:rFonts w:hint="eastAsia" w:ascii="仿宋" w:hAnsi="仿宋" w:eastAsia="仿宋" w:cs="仿宋"/>
          <w:b/>
          <w:kern w:val="0"/>
          <w:sz w:val="24"/>
          <w:highlight w:val="none"/>
          <w:lang w:val="en-US" w:eastAsia="zh-CN"/>
        </w:rPr>
        <w:t>及支付</w:t>
      </w:r>
    </w:p>
    <w:p w14:paraId="51DFDD71">
      <w:pPr>
        <w:spacing w:line="360" w:lineRule="auto"/>
        <w:ind w:firstLine="487" w:firstLineChars="203"/>
        <w:rPr>
          <w:rFonts w:hint="eastAsia" w:ascii="仿宋" w:hAnsi="仿宋" w:eastAsia="仿宋" w:cs="仿宋"/>
          <w:bCs/>
          <w:kern w:val="0"/>
          <w:sz w:val="24"/>
          <w:highlight w:val="none"/>
        </w:rPr>
      </w:pPr>
      <w:r>
        <w:rPr>
          <w:rFonts w:hint="eastAsia" w:ascii="仿宋" w:hAnsi="仿宋" w:eastAsia="仿宋" w:cs="仿宋"/>
          <w:bCs/>
          <w:kern w:val="0"/>
          <w:sz w:val="24"/>
          <w:highlight w:val="none"/>
          <w:lang w:val="en-US" w:eastAsia="zh-CN"/>
        </w:rPr>
        <w:t>1</w:t>
      </w:r>
      <w:r>
        <w:rPr>
          <w:rFonts w:hint="eastAsia" w:ascii="仿宋" w:hAnsi="仿宋" w:eastAsia="仿宋" w:cs="仿宋"/>
          <w:bCs/>
          <w:kern w:val="0"/>
          <w:sz w:val="24"/>
          <w:highlight w:val="none"/>
        </w:rPr>
        <w:t>、审核费用标准：按</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年度杭州市钱塘区政府投资项目工程竣工财务决算审核服务</w:t>
      </w:r>
      <w:r>
        <w:rPr>
          <w:rFonts w:hint="eastAsia" w:ascii="仿宋" w:hAnsi="仿宋" w:eastAsia="仿宋" w:cs="仿宋"/>
          <w:bCs/>
          <w:sz w:val="24"/>
          <w:highlight w:val="none"/>
        </w:rPr>
        <w:t>项目</w:t>
      </w:r>
      <w:r>
        <w:rPr>
          <w:rFonts w:hint="eastAsia" w:ascii="仿宋" w:hAnsi="仿宋" w:eastAsia="仿宋" w:cs="仿宋"/>
          <w:bCs/>
          <w:kern w:val="0"/>
          <w:sz w:val="24"/>
          <w:highlight w:val="none"/>
          <w:lang w:val="en-US" w:eastAsia="zh-CN"/>
        </w:rPr>
        <w:t>采购</w:t>
      </w:r>
      <w:r>
        <w:rPr>
          <w:rFonts w:hint="eastAsia" w:ascii="仿宋" w:hAnsi="仿宋" w:eastAsia="仿宋" w:cs="仿宋"/>
          <w:bCs/>
          <w:kern w:val="0"/>
          <w:sz w:val="24"/>
          <w:highlight w:val="none"/>
        </w:rPr>
        <w:t>文件中《竣工财务决算审核咨询服务费计费标准》</w:t>
      </w:r>
      <w:r>
        <w:rPr>
          <w:rFonts w:hint="eastAsia" w:ascii="仿宋" w:hAnsi="仿宋" w:eastAsia="仿宋" w:cs="仿宋"/>
          <w:bCs/>
          <w:kern w:val="0"/>
          <w:sz w:val="24"/>
          <w:highlight w:val="none"/>
          <w:lang w:eastAsia="zh-CN"/>
        </w:rPr>
        <w:t>（</w:t>
      </w:r>
      <w:r>
        <w:rPr>
          <w:rFonts w:hint="eastAsia" w:ascii="仿宋" w:hAnsi="仿宋" w:eastAsia="仿宋" w:cs="仿宋"/>
          <w:bCs/>
          <w:kern w:val="0"/>
          <w:sz w:val="24"/>
          <w:highlight w:val="none"/>
          <w:lang w:val="en-US" w:eastAsia="zh-CN"/>
        </w:rPr>
        <w:t>见附件1</w:t>
      </w:r>
      <w:r>
        <w:rPr>
          <w:rFonts w:hint="eastAsia" w:ascii="仿宋" w:hAnsi="仿宋" w:eastAsia="仿宋" w:cs="仿宋"/>
          <w:bCs/>
          <w:kern w:val="0"/>
          <w:sz w:val="24"/>
          <w:highlight w:val="none"/>
          <w:lang w:eastAsia="zh-CN"/>
        </w:rPr>
        <w:t>）</w:t>
      </w:r>
      <w:r>
        <w:rPr>
          <w:rFonts w:hint="eastAsia" w:ascii="仿宋" w:hAnsi="仿宋" w:eastAsia="仿宋" w:cs="仿宋"/>
          <w:color w:val="auto"/>
          <w:kern w:val="0"/>
          <w:sz w:val="24"/>
          <w:highlight w:val="none"/>
        </w:rPr>
        <w:t>标准收费的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bCs/>
          <w:kern w:val="0"/>
          <w:sz w:val="24"/>
          <w:highlight w:val="none"/>
        </w:rPr>
        <w:t>。</w:t>
      </w:r>
    </w:p>
    <w:p w14:paraId="68C13280">
      <w:pPr>
        <w:tabs>
          <w:tab w:val="left" w:pos="0"/>
        </w:tabs>
        <w:snapToGrid w:val="0"/>
        <w:spacing w:line="360" w:lineRule="auto"/>
        <w:ind w:firstLine="480" w:firstLineChars="0"/>
        <w:rPr>
          <w:rFonts w:hint="eastAsia" w:ascii="仿宋" w:hAnsi="仿宋" w:eastAsia="仿宋" w:cs="仿宋"/>
          <w:bCs/>
          <w:kern w:val="0"/>
          <w:sz w:val="24"/>
          <w:highlight w:val="none"/>
        </w:rPr>
      </w:pPr>
      <w:bookmarkStart w:id="147" w:name="_Hlk99436040"/>
      <w:r>
        <w:rPr>
          <w:rFonts w:hint="eastAsia" w:ascii="仿宋" w:hAnsi="仿宋" w:eastAsia="仿宋" w:cs="仿宋"/>
          <w:kern w:val="0"/>
          <w:sz w:val="24"/>
          <w:highlight w:val="none"/>
        </w:rPr>
        <w:t>以单个</w:t>
      </w:r>
      <w:r>
        <w:rPr>
          <w:rFonts w:hint="eastAsia" w:ascii="仿宋" w:hAnsi="仿宋" w:eastAsia="仿宋" w:cs="仿宋"/>
          <w:kern w:val="0"/>
          <w:sz w:val="24"/>
          <w:highlight w:val="none"/>
          <w:lang w:val="en-US" w:eastAsia="zh-CN"/>
        </w:rPr>
        <w:t>工程</w:t>
      </w:r>
      <w:r>
        <w:rPr>
          <w:rFonts w:hint="eastAsia" w:ascii="仿宋" w:hAnsi="仿宋" w:eastAsia="仿宋" w:cs="仿宋"/>
          <w:kern w:val="0"/>
          <w:sz w:val="24"/>
          <w:highlight w:val="none"/>
        </w:rPr>
        <w:t>项目（以立项文件为准）为</w:t>
      </w:r>
      <w:r>
        <w:rPr>
          <w:rFonts w:hint="eastAsia" w:ascii="仿宋" w:hAnsi="仿宋" w:eastAsia="仿宋" w:cs="仿宋"/>
          <w:kern w:val="0"/>
          <w:sz w:val="24"/>
          <w:highlight w:val="none"/>
          <w:lang w:val="en-US" w:eastAsia="zh-CN"/>
        </w:rPr>
        <w:t>计费</w:t>
      </w:r>
      <w:r>
        <w:rPr>
          <w:rFonts w:hint="eastAsia" w:ascii="仿宋" w:hAnsi="仿宋" w:eastAsia="仿宋" w:cs="仿宋"/>
          <w:kern w:val="0"/>
          <w:sz w:val="24"/>
          <w:highlight w:val="none"/>
        </w:rPr>
        <w:t>单位，对单个</w:t>
      </w:r>
      <w:r>
        <w:rPr>
          <w:rFonts w:hint="eastAsia" w:ascii="仿宋" w:hAnsi="仿宋" w:eastAsia="仿宋" w:cs="仿宋"/>
          <w:kern w:val="0"/>
          <w:sz w:val="24"/>
          <w:highlight w:val="none"/>
          <w:lang w:val="en-US" w:eastAsia="zh-CN"/>
        </w:rPr>
        <w:t>工程</w:t>
      </w:r>
      <w:r>
        <w:rPr>
          <w:rFonts w:hint="eastAsia" w:ascii="仿宋" w:hAnsi="仿宋" w:eastAsia="仿宋" w:cs="仿宋"/>
          <w:kern w:val="0"/>
          <w:sz w:val="24"/>
          <w:highlight w:val="none"/>
        </w:rPr>
        <w:t>项目最终计算收费小于2000元的，按2000元计算。</w:t>
      </w:r>
      <w:bookmarkEnd w:id="147"/>
    </w:p>
    <w:p w14:paraId="0DFD7E0D">
      <w:pPr>
        <w:spacing w:line="360" w:lineRule="auto"/>
        <w:ind w:firstLine="487" w:firstLineChars="203"/>
        <w:rPr>
          <w:rFonts w:hint="eastAsia" w:ascii="仿宋" w:hAnsi="仿宋" w:eastAsia="仿宋" w:cs="仿宋"/>
          <w:bCs/>
          <w:kern w:val="0"/>
          <w:sz w:val="24"/>
          <w:highlight w:val="none"/>
          <w:lang w:val="en-US" w:eastAsia="zh-CN"/>
        </w:rPr>
      </w:pPr>
      <w:r>
        <w:rPr>
          <w:rFonts w:hint="eastAsia" w:ascii="仿宋" w:hAnsi="仿宋" w:eastAsia="仿宋" w:cs="仿宋"/>
          <w:bCs/>
          <w:kern w:val="0"/>
          <w:sz w:val="24"/>
          <w:highlight w:val="none"/>
          <w:lang w:val="en-US" w:eastAsia="zh-CN"/>
        </w:rPr>
        <w:t>2、审核费用支付：按月汇总应结算费用，并按月定期结算。如有违约则扣除相应的费用后支付剩余审核服务费。（跨年度支付的，具体按照财政资金到位情况支付，乙方不得以此为由怠于履行本合同义务）。</w:t>
      </w:r>
    </w:p>
    <w:p w14:paraId="1276907B">
      <w:pPr>
        <w:spacing w:line="360" w:lineRule="auto"/>
        <w:ind w:firstLine="487" w:firstLineChars="203"/>
        <w:rPr>
          <w:rFonts w:hint="eastAsia" w:ascii="仿宋" w:hAnsi="仿宋" w:eastAsia="仿宋" w:cs="仿宋"/>
          <w:bCs/>
          <w:kern w:val="0"/>
          <w:sz w:val="24"/>
          <w:highlight w:val="none"/>
          <w:lang w:val="en-US" w:eastAsia="zh-CN"/>
        </w:rPr>
      </w:pPr>
      <w:r>
        <w:rPr>
          <w:rFonts w:hint="eastAsia" w:ascii="仿宋" w:hAnsi="仿宋" w:eastAsia="仿宋" w:cs="仿宋"/>
          <w:bCs/>
          <w:kern w:val="0"/>
          <w:sz w:val="24"/>
          <w:highlight w:val="none"/>
          <w:lang w:val="en-US" w:eastAsia="zh-CN"/>
        </w:rPr>
        <w:t>3、甲方付款前，乙方应提供相应金额符合要求的增值税发票，否则甲方有权不予付款。对于满足合同约定支付条件的，甲方将在审核确认无误后5个工作日内将资金支付到合同约定的供应商账户。</w:t>
      </w:r>
    </w:p>
    <w:p w14:paraId="0340BBB2">
      <w:pPr>
        <w:pStyle w:val="2"/>
        <w:rPr>
          <w:rFonts w:hint="eastAsia" w:ascii="仿宋" w:hAnsi="仿宋" w:eastAsia="仿宋" w:cs="仿宋"/>
          <w:highlight w:val="none"/>
          <w:lang w:val="en-US" w:eastAsia="zh-CN"/>
        </w:rPr>
      </w:pPr>
      <w:r>
        <w:rPr>
          <w:rFonts w:hint="eastAsia" w:ascii="仿宋" w:hAnsi="仿宋" w:eastAsia="仿宋" w:cs="仿宋"/>
          <w:bCs/>
          <w:kern w:val="0"/>
          <w:sz w:val="24"/>
          <w:highlight w:val="none"/>
          <w:lang w:val="en-US" w:eastAsia="zh-CN"/>
        </w:rPr>
        <w:t>4、经甲方验收，乙方的实际决算审核误差率大于承诺决算审核误差率的，在相应项目费用结算时，扣减30%业务费用。</w:t>
      </w:r>
    </w:p>
    <w:p w14:paraId="478DB387">
      <w:pPr>
        <w:snapToGrid w:val="0"/>
        <w:spacing w:line="360" w:lineRule="auto"/>
        <w:rPr>
          <w:rFonts w:hint="eastAsia" w:ascii="仿宋" w:hAnsi="仿宋" w:eastAsia="仿宋" w:cs="仿宋"/>
          <w:b/>
          <w:kern w:val="0"/>
          <w:sz w:val="24"/>
          <w:highlight w:val="none"/>
        </w:rPr>
      </w:pPr>
      <w:r>
        <w:rPr>
          <w:rFonts w:hint="eastAsia" w:ascii="仿宋" w:hAnsi="仿宋" w:eastAsia="仿宋" w:cs="仿宋"/>
          <w:b/>
          <w:kern w:val="0"/>
          <w:sz w:val="24"/>
          <w:highlight w:val="none"/>
          <w:lang w:val="en-US" w:eastAsia="zh-CN"/>
        </w:rPr>
        <w:t>九</w:t>
      </w:r>
      <w:r>
        <w:rPr>
          <w:rFonts w:hint="eastAsia" w:ascii="仿宋" w:hAnsi="仿宋" w:eastAsia="仿宋" w:cs="仿宋"/>
          <w:b/>
          <w:kern w:val="0"/>
          <w:sz w:val="24"/>
          <w:highlight w:val="none"/>
        </w:rPr>
        <w:t>、保密要求</w:t>
      </w:r>
    </w:p>
    <w:p w14:paraId="38505EFA">
      <w:pPr>
        <w:pStyle w:val="2"/>
        <w:spacing w:after="120" w:line="360" w:lineRule="auto"/>
        <w:rPr>
          <w:rFonts w:hint="eastAsia" w:ascii="仿宋" w:hAnsi="仿宋" w:eastAsia="仿宋" w:cs="仿宋"/>
          <w:kern w:val="0"/>
          <w:highlight w:val="none"/>
        </w:rPr>
      </w:pPr>
      <w:r>
        <w:rPr>
          <w:rFonts w:hint="eastAsia" w:ascii="仿宋" w:hAnsi="仿宋" w:eastAsia="仿宋" w:cs="仿宋"/>
          <w:kern w:val="0"/>
          <w:highlight w:val="none"/>
        </w:rPr>
        <w:t>乙方未经甲方</w:t>
      </w:r>
      <w:r>
        <w:rPr>
          <w:rFonts w:hint="eastAsia" w:ascii="仿宋" w:hAnsi="仿宋" w:eastAsia="仿宋" w:cs="仿宋"/>
          <w:kern w:val="0"/>
          <w:highlight w:val="none"/>
          <w:lang w:val="en-US" w:eastAsia="zh-CN"/>
        </w:rPr>
        <w:t>书面</w:t>
      </w:r>
      <w:r>
        <w:rPr>
          <w:rFonts w:hint="eastAsia" w:ascii="仿宋" w:hAnsi="仿宋" w:eastAsia="仿宋" w:cs="仿宋"/>
          <w:kern w:val="0"/>
          <w:highlight w:val="none"/>
        </w:rPr>
        <w:t>同意，不得以任何形式向</w:t>
      </w:r>
      <w:r>
        <w:rPr>
          <w:rFonts w:hint="eastAsia" w:ascii="仿宋" w:hAnsi="仿宋" w:eastAsia="仿宋" w:cs="仿宋"/>
          <w:kern w:val="0"/>
          <w:highlight w:val="none"/>
          <w:lang w:val="en-US" w:eastAsia="zh-CN"/>
        </w:rPr>
        <w:t>其他</w:t>
      </w:r>
      <w:r>
        <w:rPr>
          <w:rFonts w:hint="eastAsia" w:ascii="仿宋" w:hAnsi="仿宋" w:eastAsia="仿宋" w:cs="仿宋"/>
          <w:kern w:val="0"/>
          <w:highlight w:val="none"/>
        </w:rPr>
        <w:t>任何单位和个人披露</w:t>
      </w:r>
      <w:r>
        <w:rPr>
          <w:rFonts w:hint="eastAsia" w:ascii="仿宋" w:hAnsi="仿宋" w:eastAsia="仿宋" w:cs="仿宋"/>
          <w:kern w:val="0"/>
          <w:highlight w:val="none"/>
          <w:lang w:val="en-US" w:eastAsia="zh-CN"/>
        </w:rPr>
        <w:t>或使用</w:t>
      </w:r>
      <w:r>
        <w:rPr>
          <w:rFonts w:hint="eastAsia" w:ascii="仿宋" w:hAnsi="仿宋" w:eastAsia="仿宋" w:cs="仿宋"/>
          <w:kern w:val="0"/>
          <w:highlight w:val="none"/>
        </w:rPr>
        <w:t>被审核项目的相关信息</w:t>
      </w:r>
      <w:r>
        <w:rPr>
          <w:rFonts w:hint="eastAsia" w:ascii="仿宋" w:hAnsi="仿宋" w:eastAsia="仿宋" w:cs="仿宋"/>
          <w:kern w:val="0"/>
          <w:highlight w:val="none"/>
          <w:lang w:val="en-US" w:eastAsia="zh-CN"/>
        </w:rPr>
        <w:t>或资料</w:t>
      </w:r>
      <w:r>
        <w:rPr>
          <w:rFonts w:hint="eastAsia" w:ascii="仿宋" w:hAnsi="仿宋" w:eastAsia="仿宋" w:cs="仿宋"/>
          <w:kern w:val="0"/>
          <w:highlight w:val="none"/>
        </w:rPr>
        <w:t>，更不得对外提供、泄露或公开审核</w:t>
      </w:r>
      <w:r>
        <w:rPr>
          <w:rFonts w:hint="eastAsia" w:ascii="仿宋" w:hAnsi="仿宋" w:eastAsia="仿宋" w:cs="仿宋"/>
          <w:kern w:val="0"/>
          <w:highlight w:val="none"/>
          <w:lang w:val="en-US" w:eastAsia="zh-CN"/>
        </w:rPr>
        <w:t>任务</w:t>
      </w:r>
      <w:r>
        <w:rPr>
          <w:rFonts w:hint="eastAsia" w:ascii="仿宋" w:hAnsi="仿宋" w:eastAsia="仿宋" w:cs="仿宋"/>
          <w:kern w:val="0"/>
          <w:highlight w:val="none"/>
        </w:rPr>
        <w:t>的有关情况。如因乙方违反本条款</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乙方应承担由此导致的一切责任，如</w:t>
      </w:r>
      <w:r>
        <w:rPr>
          <w:rFonts w:hint="eastAsia" w:ascii="仿宋" w:hAnsi="仿宋" w:eastAsia="仿宋" w:cs="仿宋"/>
          <w:kern w:val="0"/>
          <w:highlight w:val="none"/>
        </w:rPr>
        <w:t>造成甲方损失，乙方应承担相应的经济赔偿。</w:t>
      </w:r>
    </w:p>
    <w:p w14:paraId="5DF3C63B">
      <w:pPr>
        <w:spacing w:line="360" w:lineRule="auto"/>
        <w:rPr>
          <w:rFonts w:hint="eastAsia" w:ascii="仿宋" w:hAnsi="仿宋" w:eastAsia="仿宋" w:cs="仿宋"/>
          <w:b/>
          <w:kern w:val="0"/>
          <w:sz w:val="24"/>
          <w:highlight w:val="none"/>
        </w:rPr>
      </w:pPr>
      <w:r>
        <w:rPr>
          <w:rFonts w:hint="eastAsia" w:ascii="仿宋" w:hAnsi="仿宋" w:eastAsia="仿宋" w:cs="仿宋"/>
          <w:b/>
          <w:kern w:val="0"/>
          <w:sz w:val="24"/>
          <w:highlight w:val="none"/>
          <w:lang w:val="en-US" w:eastAsia="zh-CN"/>
        </w:rPr>
        <w:t>十</w:t>
      </w:r>
      <w:r>
        <w:rPr>
          <w:rFonts w:hint="eastAsia" w:ascii="仿宋" w:hAnsi="仿宋" w:eastAsia="仿宋" w:cs="仿宋"/>
          <w:b/>
          <w:kern w:val="0"/>
          <w:sz w:val="24"/>
          <w:highlight w:val="none"/>
        </w:rPr>
        <w:t>、</w:t>
      </w:r>
      <w:r>
        <w:rPr>
          <w:rFonts w:hint="eastAsia" w:ascii="仿宋" w:hAnsi="仿宋" w:eastAsia="仿宋" w:cs="仿宋"/>
          <w:b/>
          <w:kern w:val="0"/>
          <w:sz w:val="24"/>
          <w:highlight w:val="none"/>
          <w:lang w:val="en-US" w:eastAsia="zh-CN"/>
        </w:rPr>
        <w:t>合同解除</w:t>
      </w:r>
      <w:r>
        <w:rPr>
          <w:rFonts w:hint="eastAsia" w:ascii="仿宋" w:hAnsi="仿宋" w:eastAsia="仿宋" w:cs="仿宋"/>
          <w:b/>
          <w:kern w:val="0"/>
          <w:sz w:val="24"/>
          <w:highlight w:val="none"/>
        </w:rPr>
        <w:t>和补充规则</w:t>
      </w:r>
    </w:p>
    <w:p w14:paraId="230E112B">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highlight w:val="none"/>
        </w:rPr>
      </w:pPr>
      <w:r>
        <w:rPr>
          <w:rFonts w:hint="eastAsia" w:ascii="仿宋" w:hAnsi="仿宋" w:eastAsia="仿宋" w:cs="仿宋"/>
          <w:kern w:val="0"/>
          <w:highlight w:val="none"/>
        </w:rPr>
        <w:t xml:space="preserve">(一) </w:t>
      </w:r>
      <w:r>
        <w:rPr>
          <w:rFonts w:hint="eastAsia" w:ascii="仿宋" w:hAnsi="仿宋" w:eastAsia="仿宋" w:cs="仿宋"/>
          <w:kern w:val="0"/>
          <w:highlight w:val="none"/>
          <w:lang w:val="en-US" w:eastAsia="zh-CN"/>
        </w:rPr>
        <w:t>合同解除</w:t>
      </w:r>
    </w:p>
    <w:p w14:paraId="285FA6F8">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highlight w:val="none"/>
        </w:rPr>
      </w:pPr>
      <w:r>
        <w:rPr>
          <w:rFonts w:hint="eastAsia" w:ascii="仿宋" w:hAnsi="仿宋" w:eastAsia="仿宋" w:cs="仿宋"/>
          <w:kern w:val="0"/>
          <w:highlight w:val="none"/>
          <w:lang w:val="en-US" w:eastAsia="zh-CN"/>
        </w:rPr>
        <w:t>乙方</w:t>
      </w:r>
      <w:r>
        <w:rPr>
          <w:rFonts w:hint="eastAsia" w:ascii="仿宋" w:hAnsi="仿宋" w:eastAsia="仿宋" w:cs="仿宋"/>
          <w:kern w:val="0"/>
          <w:highlight w:val="none"/>
        </w:rPr>
        <w:t>有下列情形之一，</w:t>
      </w:r>
      <w:r>
        <w:rPr>
          <w:rFonts w:hint="eastAsia" w:ascii="仿宋" w:hAnsi="仿宋" w:eastAsia="仿宋" w:cs="仿宋"/>
          <w:kern w:val="0"/>
          <w:highlight w:val="none"/>
          <w:lang w:val="en-US" w:eastAsia="zh-CN"/>
        </w:rPr>
        <w:t>甲方有权</w:t>
      </w:r>
      <w:r>
        <w:rPr>
          <w:rFonts w:hint="eastAsia" w:ascii="仿宋" w:hAnsi="仿宋" w:eastAsia="仿宋" w:cs="仿宋"/>
          <w:kern w:val="0"/>
          <w:highlight w:val="none"/>
        </w:rPr>
        <w:t>解除</w:t>
      </w:r>
      <w:r>
        <w:rPr>
          <w:rFonts w:hint="eastAsia" w:ascii="仿宋" w:hAnsi="仿宋" w:eastAsia="仿宋" w:cs="仿宋"/>
          <w:kern w:val="0"/>
          <w:highlight w:val="none"/>
          <w:lang w:val="en-US" w:eastAsia="zh-CN"/>
        </w:rPr>
        <w:t>本协议</w:t>
      </w:r>
      <w:r>
        <w:rPr>
          <w:rFonts w:hint="eastAsia" w:ascii="仿宋" w:hAnsi="仿宋" w:eastAsia="仿宋" w:cs="仿宋"/>
          <w:kern w:val="0"/>
          <w:highlight w:val="none"/>
        </w:rPr>
        <w:t>：</w:t>
      </w:r>
    </w:p>
    <w:p w14:paraId="726148FF">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highlight w:val="none"/>
        </w:rPr>
      </w:pPr>
      <w:r>
        <w:rPr>
          <w:rFonts w:hint="eastAsia" w:ascii="仿宋" w:hAnsi="仿宋" w:eastAsia="仿宋" w:cs="仿宋"/>
          <w:kern w:val="0"/>
          <w:highlight w:val="none"/>
        </w:rPr>
        <w:t>1</w:t>
      </w:r>
      <w:r>
        <w:rPr>
          <w:rFonts w:hint="eastAsia" w:ascii="仿宋" w:hAnsi="仿宋" w:eastAsia="仿宋" w:cs="仿宋"/>
          <w:kern w:val="0"/>
          <w:highlight w:val="none"/>
          <w:lang w:eastAsia="zh-CN"/>
        </w:rPr>
        <w:t>、</w:t>
      </w:r>
      <w:r>
        <w:rPr>
          <w:rFonts w:hint="eastAsia" w:ascii="仿宋" w:hAnsi="仿宋" w:eastAsia="仿宋" w:cs="仿宋"/>
          <w:kern w:val="0"/>
          <w:highlight w:val="none"/>
        </w:rPr>
        <w:t>恶意串通谋取</w:t>
      </w:r>
      <w:r>
        <w:rPr>
          <w:rFonts w:hint="eastAsia" w:ascii="仿宋" w:hAnsi="仿宋" w:eastAsia="仿宋" w:cs="仿宋"/>
          <w:kern w:val="0"/>
          <w:highlight w:val="none"/>
          <w:lang w:val="en-US" w:eastAsia="zh-CN"/>
        </w:rPr>
        <w:t>本项目中标</w:t>
      </w:r>
      <w:r>
        <w:rPr>
          <w:rFonts w:hint="eastAsia" w:ascii="仿宋" w:hAnsi="仿宋" w:eastAsia="仿宋" w:cs="仿宋"/>
          <w:kern w:val="0"/>
          <w:highlight w:val="none"/>
        </w:rPr>
        <w:t>或者合同成交的；</w:t>
      </w:r>
    </w:p>
    <w:p w14:paraId="71D928F0">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highlight w:val="none"/>
        </w:rPr>
      </w:pPr>
      <w:r>
        <w:rPr>
          <w:rFonts w:hint="eastAsia" w:ascii="仿宋" w:hAnsi="仿宋" w:eastAsia="仿宋" w:cs="仿宋"/>
          <w:kern w:val="0"/>
          <w:highlight w:val="none"/>
        </w:rPr>
        <w:t>2</w:t>
      </w:r>
      <w:r>
        <w:rPr>
          <w:rFonts w:hint="eastAsia" w:ascii="仿宋" w:hAnsi="仿宋" w:eastAsia="仿宋" w:cs="仿宋"/>
          <w:kern w:val="0"/>
          <w:highlight w:val="none"/>
          <w:lang w:eastAsia="zh-CN"/>
        </w:rPr>
        <w:t>、</w:t>
      </w:r>
      <w:r>
        <w:rPr>
          <w:rFonts w:hint="eastAsia" w:ascii="仿宋" w:hAnsi="仿宋" w:eastAsia="仿宋" w:cs="仿宋"/>
          <w:kern w:val="0"/>
          <w:highlight w:val="none"/>
        </w:rPr>
        <w:t>提供虚假材料谋取</w:t>
      </w:r>
      <w:r>
        <w:rPr>
          <w:rFonts w:hint="eastAsia" w:ascii="仿宋" w:hAnsi="仿宋" w:eastAsia="仿宋" w:cs="仿宋"/>
          <w:kern w:val="0"/>
          <w:highlight w:val="none"/>
          <w:lang w:val="en-US" w:eastAsia="zh-CN"/>
        </w:rPr>
        <w:t>本项目中标</w:t>
      </w:r>
      <w:r>
        <w:rPr>
          <w:rFonts w:hint="eastAsia" w:ascii="仿宋" w:hAnsi="仿宋" w:eastAsia="仿宋" w:cs="仿宋"/>
          <w:kern w:val="0"/>
          <w:highlight w:val="none"/>
        </w:rPr>
        <w:t>或者合同成交的；</w:t>
      </w:r>
    </w:p>
    <w:p w14:paraId="40A5C4C2">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highlight w:val="none"/>
        </w:rPr>
      </w:pPr>
      <w:r>
        <w:rPr>
          <w:rFonts w:hint="eastAsia" w:ascii="仿宋" w:hAnsi="仿宋" w:eastAsia="仿宋" w:cs="仿宋"/>
          <w:kern w:val="0"/>
          <w:highlight w:val="none"/>
        </w:rPr>
        <w:t>3</w:t>
      </w:r>
      <w:r>
        <w:rPr>
          <w:rFonts w:hint="eastAsia" w:ascii="仿宋" w:hAnsi="仿宋" w:eastAsia="仿宋" w:cs="仿宋"/>
          <w:kern w:val="0"/>
          <w:highlight w:val="none"/>
          <w:lang w:eastAsia="zh-CN"/>
        </w:rPr>
        <w:t>、</w:t>
      </w:r>
      <w:r>
        <w:rPr>
          <w:rFonts w:hint="eastAsia" w:ascii="仿宋" w:hAnsi="仿宋" w:eastAsia="仿宋" w:cs="仿宋"/>
          <w:kern w:val="0"/>
          <w:highlight w:val="none"/>
        </w:rPr>
        <w:t>无</w:t>
      </w:r>
      <w:r>
        <w:rPr>
          <w:rFonts w:hint="eastAsia" w:ascii="仿宋" w:hAnsi="仿宋" w:eastAsia="仿宋" w:cs="仿宋"/>
          <w:kern w:val="0"/>
          <w:highlight w:val="none"/>
          <w:lang w:val="en-US" w:eastAsia="zh-CN"/>
        </w:rPr>
        <w:t>约定</w:t>
      </w:r>
      <w:r>
        <w:rPr>
          <w:rFonts w:hint="eastAsia" w:ascii="仿宋" w:hAnsi="仿宋" w:eastAsia="仿宋" w:cs="仿宋"/>
          <w:kern w:val="0"/>
          <w:highlight w:val="none"/>
        </w:rPr>
        <w:t>理由拒不接受</w:t>
      </w:r>
      <w:r>
        <w:rPr>
          <w:rFonts w:hint="eastAsia" w:ascii="仿宋" w:hAnsi="仿宋" w:eastAsia="仿宋" w:cs="仿宋"/>
          <w:kern w:val="0"/>
          <w:highlight w:val="none"/>
          <w:lang w:val="en-US" w:eastAsia="zh-CN"/>
        </w:rPr>
        <w:t>甲方项目委派书并与甲方签订单个项目协议</w:t>
      </w:r>
      <w:r>
        <w:rPr>
          <w:rFonts w:hint="eastAsia" w:ascii="仿宋" w:hAnsi="仿宋" w:eastAsia="仿宋" w:cs="仿宋"/>
          <w:kern w:val="0"/>
          <w:highlight w:val="none"/>
        </w:rPr>
        <w:t>的；</w:t>
      </w:r>
    </w:p>
    <w:p w14:paraId="40C63081">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highlight w:val="none"/>
        </w:rPr>
      </w:pPr>
      <w:r>
        <w:rPr>
          <w:rFonts w:hint="eastAsia" w:ascii="仿宋" w:hAnsi="仿宋" w:eastAsia="仿宋" w:cs="仿宋"/>
          <w:kern w:val="0"/>
          <w:highlight w:val="none"/>
        </w:rPr>
        <w:t>4</w:t>
      </w:r>
      <w:r>
        <w:rPr>
          <w:rFonts w:hint="eastAsia" w:ascii="仿宋" w:hAnsi="仿宋" w:eastAsia="仿宋" w:cs="仿宋"/>
          <w:kern w:val="0"/>
          <w:highlight w:val="none"/>
          <w:lang w:eastAsia="zh-CN"/>
        </w:rPr>
        <w:t>、</w:t>
      </w:r>
      <w:r>
        <w:rPr>
          <w:rFonts w:hint="eastAsia" w:ascii="仿宋" w:hAnsi="仿宋" w:eastAsia="仿宋" w:cs="仿宋"/>
          <w:kern w:val="0"/>
          <w:highlight w:val="none"/>
        </w:rPr>
        <w:t>不履行合同义务或者履行合同义务不符合约定，经</w:t>
      </w:r>
      <w:r>
        <w:rPr>
          <w:rFonts w:hint="eastAsia" w:ascii="仿宋" w:hAnsi="仿宋" w:eastAsia="仿宋" w:cs="仿宋"/>
          <w:kern w:val="0"/>
          <w:highlight w:val="none"/>
          <w:lang w:val="en-US" w:eastAsia="zh-CN"/>
        </w:rPr>
        <w:t>甲方催告</w:t>
      </w:r>
      <w:r>
        <w:rPr>
          <w:rFonts w:hint="eastAsia" w:ascii="仿宋" w:hAnsi="仿宋" w:eastAsia="仿宋" w:cs="仿宋"/>
          <w:kern w:val="0"/>
          <w:highlight w:val="none"/>
        </w:rPr>
        <w:t>履行后仍不履行或者仍未按约定履行的；</w:t>
      </w:r>
    </w:p>
    <w:p w14:paraId="7B2DBE0D">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highlight w:val="none"/>
        </w:rPr>
      </w:pPr>
      <w:r>
        <w:rPr>
          <w:rFonts w:hint="eastAsia" w:ascii="仿宋" w:hAnsi="仿宋" w:eastAsia="仿宋" w:cs="仿宋"/>
          <w:kern w:val="0"/>
          <w:highlight w:val="none"/>
        </w:rPr>
        <w:t>5</w:t>
      </w:r>
      <w:r>
        <w:rPr>
          <w:rFonts w:hint="eastAsia" w:ascii="仿宋" w:hAnsi="仿宋" w:eastAsia="仿宋" w:cs="仿宋"/>
          <w:kern w:val="0"/>
          <w:highlight w:val="none"/>
          <w:lang w:eastAsia="zh-CN"/>
        </w:rPr>
        <w:t>、</w:t>
      </w:r>
      <w:r>
        <w:rPr>
          <w:rFonts w:hint="eastAsia" w:ascii="仿宋" w:hAnsi="仿宋" w:eastAsia="仿宋" w:cs="仿宋"/>
          <w:kern w:val="0"/>
          <w:highlight w:val="none"/>
        </w:rPr>
        <w:t>因违法行为被禁止或限制参加政府采购活动的；</w:t>
      </w:r>
    </w:p>
    <w:p w14:paraId="1EDB97BA">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highlight w:val="none"/>
        </w:rPr>
      </w:pPr>
      <w:r>
        <w:rPr>
          <w:rFonts w:hint="eastAsia" w:ascii="仿宋" w:hAnsi="仿宋" w:eastAsia="仿宋" w:cs="仿宋"/>
          <w:kern w:val="0"/>
          <w:highlight w:val="none"/>
        </w:rPr>
        <w:t>6</w:t>
      </w:r>
      <w:r>
        <w:rPr>
          <w:rFonts w:hint="eastAsia" w:ascii="仿宋" w:hAnsi="仿宋" w:eastAsia="仿宋" w:cs="仿宋"/>
          <w:kern w:val="0"/>
          <w:highlight w:val="none"/>
          <w:lang w:eastAsia="zh-CN"/>
        </w:rPr>
        <w:t>、</w:t>
      </w:r>
      <w:r>
        <w:rPr>
          <w:rFonts w:hint="eastAsia" w:ascii="仿宋" w:hAnsi="仿宋" w:eastAsia="仿宋" w:cs="仿宋"/>
          <w:kern w:val="0"/>
          <w:highlight w:val="none"/>
        </w:rPr>
        <w:t>其他情形。</w:t>
      </w:r>
    </w:p>
    <w:p w14:paraId="00DDFC02">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kern w:val="0"/>
          <w:sz w:val="24"/>
          <w:highlight w:val="none"/>
          <w:lang w:val="en-US" w:eastAsia="zh-CN"/>
        </w:rPr>
      </w:pPr>
      <w:r>
        <w:rPr>
          <w:rFonts w:hint="eastAsia" w:ascii="仿宋" w:hAnsi="仿宋" w:eastAsia="仿宋" w:cs="仿宋"/>
          <w:kern w:val="0"/>
          <w:highlight w:val="none"/>
          <w:lang w:val="en-US" w:eastAsia="zh-CN"/>
        </w:rPr>
        <w:t>（二）因乙方原因，甲方提前解除本协议的，乙方</w:t>
      </w:r>
      <w:r>
        <w:rPr>
          <w:rFonts w:hint="eastAsia" w:ascii="仿宋" w:hAnsi="仿宋" w:eastAsia="仿宋" w:cs="仿宋"/>
          <w:kern w:val="0"/>
          <w:highlight w:val="none"/>
        </w:rPr>
        <w:t>不得</w:t>
      </w:r>
      <w:r>
        <w:rPr>
          <w:rFonts w:hint="eastAsia" w:ascii="仿宋" w:hAnsi="仿宋" w:eastAsia="仿宋" w:cs="仿宋"/>
          <w:kern w:val="0"/>
          <w:highlight w:val="none"/>
          <w:lang w:val="en-US" w:eastAsia="zh-CN"/>
        </w:rPr>
        <w:t>再</w:t>
      </w:r>
      <w:r>
        <w:rPr>
          <w:rFonts w:hint="eastAsia" w:ascii="仿宋" w:hAnsi="仿宋" w:eastAsia="仿宋" w:cs="仿宋"/>
          <w:kern w:val="0"/>
          <w:highlight w:val="none"/>
        </w:rPr>
        <w:t>参加</w:t>
      </w:r>
      <w:r>
        <w:rPr>
          <w:rFonts w:hint="eastAsia" w:ascii="仿宋" w:hAnsi="仿宋" w:eastAsia="仿宋" w:cs="仿宋"/>
          <w:kern w:val="0"/>
          <w:highlight w:val="none"/>
          <w:lang w:val="en-US" w:eastAsia="zh-CN"/>
        </w:rPr>
        <w:t>本项目项下的任何投标</w:t>
      </w:r>
      <w:r>
        <w:rPr>
          <w:rFonts w:hint="eastAsia" w:ascii="仿宋" w:hAnsi="仿宋" w:eastAsia="仿宋" w:cs="仿宋"/>
          <w:kern w:val="0"/>
          <w:highlight w:val="none"/>
        </w:rPr>
        <w:t>。</w:t>
      </w:r>
    </w:p>
    <w:p w14:paraId="1C0649FA">
      <w:pPr>
        <w:spacing w:line="360" w:lineRule="auto"/>
        <w:rPr>
          <w:rFonts w:hint="eastAsia" w:ascii="仿宋" w:hAnsi="仿宋" w:eastAsia="仿宋" w:cs="仿宋"/>
          <w:b/>
          <w:kern w:val="0"/>
          <w:sz w:val="24"/>
          <w:highlight w:val="none"/>
        </w:rPr>
      </w:pPr>
      <w:r>
        <w:rPr>
          <w:rFonts w:hint="eastAsia" w:ascii="仿宋" w:hAnsi="仿宋" w:eastAsia="仿宋" w:cs="仿宋"/>
          <w:b/>
          <w:kern w:val="0"/>
          <w:sz w:val="24"/>
          <w:highlight w:val="none"/>
          <w:lang w:val="en-US" w:eastAsia="zh-CN"/>
        </w:rPr>
        <w:t>十一</w:t>
      </w:r>
      <w:r>
        <w:rPr>
          <w:rFonts w:hint="eastAsia" w:ascii="仿宋" w:hAnsi="仿宋" w:eastAsia="仿宋" w:cs="仿宋"/>
          <w:b/>
          <w:kern w:val="0"/>
          <w:sz w:val="24"/>
          <w:highlight w:val="none"/>
        </w:rPr>
        <w:t>、违约责任</w:t>
      </w:r>
    </w:p>
    <w:p w14:paraId="270B85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lang w:val="en-US" w:eastAsia="zh-CN"/>
        </w:rPr>
        <w:t>1、</w:t>
      </w:r>
      <w:r>
        <w:rPr>
          <w:rFonts w:hint="eastAsia" w:ascii="仿宋" w:hAnsi="仿宋" w:eastAsia="仿宋" w:cs="仿宋"/>
          <w:bCs/>
          <w:kern w:val="0"/>
          <w:sz w:val="24"/>
          <w:highlight w:val="none"/>
        </w:rPr>
        <w:t>项目审核应当严格遵守国家的有关法律、法规、制度及有关执业规范要求，乙方承诺对出具的审核意见的真实性、完整性、可靠性负责。对乙方及审核人员在审核中滥用职权、徇私舞弊、玩忽职守，尚不构成犯罪但造成损失的，</w:t>
      </w:r>
      <w:r>
        <w:rPr>
          <w:rFonts w:hint="eastAsia" w:ascii="仿宋" w:hAnsi="仿宋" w:eastAsia="仿宋" w:cs="仿宋"/>
          <w:bCs/>
          <w:kern w:val="0"/>
          <w:sz w:val="24"/>
          <w:highlight w:val="none"/>
          <w:lang w:val="en-US" w:eastAsia="zh-CN"/>
        </w:rPr>
        <w:t>甲方</w:t>
      </w:r>
      <w:r>
        <w:rPr>
          <w:rFonts w:hint="eastAsia" w:ascii="仿宋" w:hAnsi="仿宋" w:eastAsia="仿宋" w:cs="仿宋"/>
          <w:bCs/>
          <w:kern w:val="0"/>
          <w:sz w:val="24"/>
          <w:highlight w:val="none"/>
        </w:rPr>
        <w:t>除</w:t>
      </w:r>
      <w:r>
        <w:rPr>
          <w:rFonts w:hint="eastAsia" w:ascii="仿宋" w:hAnsi="仿宋" w:eastAsia="仿宋" w:cs="仿宋"/>
          <w:bCs/>
          <w:kern w:val="0"/>
          <w:sz w:val="24"/>
          <w:highlight w:val="none"/>
          <w:lang w:val="en-US" w:eastAsia="zh-CN"/>
        </w:rPr>
        <w:t>有权</w:t>
      </w:r>
      <w:r>
        <w:rPr>
          <w:rFonts w:hint="eastAsia" w:ascii="仿宋" w:hAnsi="仿宋" w:eastAsia="仿宋" w:cs="仿宋"/>
          <w:bCs/>
          <w:kern w:val="0"/>
          <w:sz w:val="24"/>
          <w:highlight w:val="none"/>
        </w:rPr>
        <w:t>终止委托</w:t>
      </w:r>
      <w:r>
        <w:rPr>
          <w:rFonts w:hint="eastAsia" w:ascii="仿宋" w:hAnsi="仿宋" w:eastAsia="仿宋" w:cs="仿宋"/>
          <w:bCs/>
          <w:kern w:val="0"/>
          <w:sz w:val="24"/>
          <w:highlight w:val="none"/>
          <w:lang w:eastAsia="zh-CN"/>
        </w:rPr>
        <w:t>、</w:t>
      </w:r>
      <w:r>
        <w:rPr>
          <w:rFonts w:hint="eastAsia" w:ascii="仿宋" w:hAnsi="仿宋" w:eastAsia="仿宋" w:cs="仿宋"/>
          <w:bCs/>
          <w:kern w:val="0"/>
          <w:sz w:val="24"/>
          <w:highlight w:val="none"/>
          <w:lang w:val="en-US" w:eastAsia="zh-CN"/>
        </w:rPr>
        <w:t>解除本协议</w:t>
      </w:r>
      <w:r>
        <w:rPr>
          <w:rFonts w:hint="eastAsia" w:ascii="仿宋" w:hAnsi="仿宋" w:eastAsia="仿宋" w:cs="仿宋"/>
          <w:bCs/>
          <w:kern w:val="0"/>
          <w:sz w:val="24"/>
          <w:highlight w:val="none"/>
        </w:rPr>
        <w:t>外，将依法追究</w:t>
      </w:r>
      <w:r>
        <w:rPr>
          <w:rFonts w:hint="eastAsia" w:ascii="仿宋" w:hAnsi="仿宋" w:eastAsia="仿宋" w:cs="仿宋"/>
          <w:bCs/>
          <w:kern w:val="0"/>
          <w:sz w:val="24"/>
          <w:highlight w:val="none"/>
          <w:lang w:val="en-US" w:eastAsia="zh-CN"/>
        </w:rPr>
        <w:t>乙方</w:t>
      </w:r>
      <w:r>
        <w:rPr>
          <w:rFonts w:hint="eastAsia" w:ascii="仿宋" w:hAnsi="仿宋" w:eastAsia="仿宋" w:cs="仿宋"/>
          <w:bCs/>
          <w:kern w:val="0"/>
          <w:sz w:val="24"/>
          <w:highlight w:val="none"/>
        </w:rPr>
        <w:t>的经济责任；如构成犯罪的，按规定依法移送司法部门处理。</w:t>
      </w:r>
    </w:p>
    <w:p w14:paraId="78BF6553">
      <w:pPr>
        <w:pStyle w:val="2"/>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2、因乙方原因逾期未能按约定完成单个任务的，应按该项目费用的   %每日承担违约金。乙方逾期未通过甲方验收的，应按总中标价的   %每日承担违约金，逾期超过  日的，甲方有权解除本协议。</w:t>
      </w:r>
    </w:p>
    <w:p w14:paraId="74B56EEA">
      <w:pPr>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Cs/>
          <w:color w:val="auto"/>
          <w:kern w:val="0"/>
          <w:sz w:val="24"/>
          <w:highlight w:val="none"/>
          <w:lang w:val="en-US" w:eastAsia="zh-CN"/>
        </w:rPr>
        <w:t>3、因乙方原因导致本协议解除的，乙方应退还未经甲方确认完成项目全部款项，并按总中标价的   %另行承担违约金。</w:t>
      </w:r>
    </w:p>
    <w:p w14:paraId="12634267">
      <w:pPr>
        <w:pStyle w:val="2"/>
        <w:spacing w:after="120" w:line="360" w:lineRule="auto"/>
        <w:ind w:firstLine="0" w:firstLineChars="0"/>
        <w:rPr>
          <w:rFonts w:hint="eastAsia" w:ascii="仿宋" w:hAnsi="仿宋" w:eastAsia="仿宋" w:cs="仿宋"/>
          <w:b/>
          <w:bCs/>
          <w:kern w:val="0"/>
          <w:highlight w:val="none"/>
        </w:rPr>
      </w:pPr>
      <w:r>
        <w:rPr>
          <w:rFonts w:hint="eastAsia" w:ascii="仿宋" w:hAnsi="仿宋" w:eastAsia="仿宋" w:cs="仿宋"/>
          <w:b/>
          <w:bCs/>
          <w:kern w:val="0"/>
          <w:highlight w:val="none"/>
        </w:rPr>
        <w:t>十</w:t>
      </w:r>
      <w:r>
        <w:rPr>
          <w:rFonts w:hint="eastAsia" w:ascii="仿宋" w:hAnsi="仿宋" w:eastAsia="仿宋" w:cs="仿宋"/>
          <w:b/>
          <w:bCs/>
          <w:kern w:val="0"/>
          <w:highlight w:val="none"/>
          <w:lang w:val="en-US" w:eastAsia="zh-CN"/>
        </w:rPr>
        <w:t>二</w:t>
      </w:r>
      <w:r>
        <w:rPr>
          <w:rFonts w:hint="eastAsia" w:ascii="仿宋" w:hAnsi="仿宋" w:eastAsia="仿宋" w:cs="仿宋"/>
          <w:b/>
          <w:bCs/>
          <w:kern w:val="0"/>
          <w:highlight w:val="none"/>
        </w:rPr>
        <w:t>、争议解决方式</w:t>
      </w:r>
    </w:p>
    <w:p w14:paraId="5B0B2D2A">
      <w:pPr>
        <w:pStyle w:val="2"/>
        <w:spacing w:after="120" w:line="360" w:lineRule="auto"/>
        <w:rPr>
          <w:rFonts w:hint="eastAsia" w:ascii="仿宋" w:hAnsi="仿宋" w:eastAsia="仿宋" w:cs="仿宋"/>
          <w:kern w:val="0"/>
          <w:highlight w:val="none"/>
        </w:rPr>
      </w:pPr>
      <w:r>
        <w:rPr>
          <w:rFonts w:hint="eastAsia" w:ascii="仿宋" w:hAnsi="仿宋" w:eastAsia="仿宋" w:cs="仿宋"/>
          <w:kern w:val="0"/>
          <w:highlight w:val="none"/>
        </w:rPr>
        <w:t>在履行本合同中产生的争议，应通过友好协商的方式解决，如不愿意协商或协商不一成，任何一方可向</w:t>
      </w:r>
      <w:r>
        <w:rPr>
          <w:rFonts w:hint="eastAsia" w:ascii="仿宋" w:hAnsi="仿宋" w:eastAsia="仿宋" w:cs="仿宋"/>
          <w:kern w:val="0"/>
          <w:highlight w:val="none"/>
          <w:lang w:val="en-US" w:eastAsia="zh-CN"/>
        </w:rPr>
        <w:t>甲方所在地人民法院提起诉讼</w:t>
      </w:r>
      <w:r>
        <w:rPr>
          <w:rFonts w:hint="eastAsia" w:ascii="仿宋" w:hAnsi="仿宋" w:eastAsia="仿宋" w:cs="仿宋"/>
          <w:kern w:val="0"/>
          <w:highlight w:val="none"/>
        </w:rPr>
        <w:t>。</w:t>
      </w:r>
    </w:p>
    <w:p w14:paraId="656E7617">
      <w:pPr>
        <w:spacing w:line="360" w:lineRule="auto"/>
        <w:rPr>
          <w:rFonts w:hint="eastAsia" w:ascii="仿宋" w:hAnsi="仿宋" w:eastAsia="仿宋" w:cs="仿宋"/>
          <w:b/>
          <w:kern w:val="0"/>
          <w:sz w:val="24"/>
          <w:highlight w:val="none"/>
        </w:rPr>
      </w:pPr>
      <w:r>
        <w:rPr>
          <w:rFonts w:hint="eastAsia" w:ascii="仿宋" w:hAnsi="仿宋" w:eastAsia="仿宋" w:cs="仿宋"/>
          <w:b/>
          <w:kern w:val="0"/>
          <w:sz w:val="24"/>
          <w:highlight w:val="none"/>
        </w:rPr>
        <w:t>十</w:t>
      </w:r>
      <w:r>
        <w:rPr>
          <w:rFonts w:hint="eastAsia" w:ascii="仿宋" w:hAnsi="仿宋" w:eastAsia="仿宋" w:cs="仿宋"/>
          <w:b/>
          <w:kern w:val="0"/>
          <w:sz w:val="24"/>
          <w:highlight w:val="none"/>
          <w:lang w:val="en-US" w:eastAsia="zh-CN"/>
        </w:rPr>
        <w:t>三</w:t>
      </w:r>
      <w:r>
        <w:rPr>
          <w:rFonts w:hint="eastAsia" w:ascii="仿宋" w:hAnsi="仿宋" w:eastAsia="仿宋" w:cs="仿宋"/>
          <w:b/>
          <w:kern w:val="0"/>
          <w:sz w:val="24"/>
          <w:highlight w:val="none"/>
        </w:rPr>
        <w:t>、合同的文本及生效。</w:t>
      </w:r>
    </w:p>
    <w:p w14:paraId="574BE09C">
      <w:pPr>
        <w:spacing w:line="360" w:lineRule="auto"/>
        <w:ind w:firstLine="487" w:firstLineChars="203"/>
        <w:rPr>
          <w:rFonts w:hint="eastAsia" w:ascii="仿宋" w:hAnsi="仿宋" w:eastAsia="仿宋" w:cs="仿宋"/>
          <w:bCs/>
          <w:kern w:val="0"/>
          <w:sz w:val="24"/>
          <w:highlight w:val="none"/>
        </w:rPr>
      </w:pPr>
      <w:r>
        <w:rPr>
          <w:rFonts w:hint="eastAsia" w:ascii="仿宋" w:hAnsi="仿宋" w:eastAsia="仿宋" w:cs="仿宋"/>
          <w:bCs/>
          <w:kern w:val="0"/>
          <w:sz w:val="24"/>
          <w:highlight w:val="none"/>
        </w:rPr>
        <w:t>1、本合同一式</w:t>
      </w:r>
      <w:r>
        <w:rPr>
          <w:rFonts w:hint="eastAsia" w:ascii="仿宋" w:hAnsi="仿宋" w:eastAsia="仿宋" w:cs="仿宋"/>
          <w:bCs/>
          <w:kern w:val="0"/>
          <w:sz w:val="24"/>
          <w:highlight w:val="none"/>
          <w:lang w:eastAsia="zh-CN"/>
        </w:rPr>
        <w:t>肆</w:t>
      </w:r>
      <w:r>
        <w:rPr>
          <w:rFonts w:hint="eastAsia" w:ascii="仿宋" w:hAnsi="仿宋" w:eastAsia="仿宋" w:cs="仿宋"/>
          <w:bCs/>
          <w:kern w:val="0"/>
          <w:sz w:val="24"/>
          <w:highlight w:val="none"/>
        </w:rPr>
        <w:t>份，甲乙各执</w:t>
      </w:r>
      <w:r>
        <w:rPr>
          <w:rFonts w:hint="eastAsia" w:ascii="仿宋" w:hAnsi="仿宋" w:eastAsia="仿宋" w:cs="仿宋"/>
          <w:bCs/>
          <w:kern w:val="0"/>
          <w:sz w:val="24"/>
          <w:highlight w:val="none"/>
          <w:lang w:eastAsia="zh-CN"/>
        </w:rPr>
        <w:t>贰</w:t>
      </w:r>
      <w:r>
        <w:rPr>
          <w:rFonts w:hint="eastAsia" w:ascii="仿宋" w:hAnsi="仿宋" w:eastAsia="仿宋" w:cs="仿宋"/>
          <w:bCs/>
          <w:kern w:val="0"/>
          <w:sz w:val="24"/>
          <w:highlight w:val="none"/>
        </w:rPr>
        <w:t>份。</w:t>
      </w:r>
    </w:p>
    <w:p w14:paraId="50432C86">
      <w:pPr>
        <w:autoSpaceDE w:val="0"/>
        <w:autoSpaceDN w:val="0"/>
        <w:spacing w:line="360" w:lineRule="auto"/>
        <w:ind w:firstLine="480" w:firstLineChars="200"/>
        <w:jc w:val="left"/>
        <w:rPr>
          <w:rFonts w:hint="eastAsia" w:ascii="仿宋" w:hAnsi="仿宋" w:eastAsia="仿宋" w:cs="仿宋"/>
          <w:bCs/>
          <w:kern w:val="0"/>
          <w:sz w:val="24"/>
          <w:highlight w:val="none"/>
        </w:rPr>
      </w:pPr>
      <w:r>
        <w:rPr>
          <w:rFonts w:hint="eastAsia" w:ascii="仿宋" w:hAnsi="仿宋" w:eastAsia="仿宋" w:cs="仿宋"/>
          <w:bCs/>
          <w:kern w:val="0"/>
          <w:sz w:val="24"/>
          <w:highlight w:val="none"/>
        </w:rPr>
        <w:t>2、本合同经甲乙双方法定代表人或授权代理人签字并加盖公章后即生效。</w:t>
      </w:r>
    </w:p>
    <w:p w14:paraId="3476617B">
      <w:pPr>
        <w:autoSpaceDE w:val="0"/>
        <w:autoSpaceDN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bCs/>
          <w:kern w:val="0"/>
          <w:sz w:val="24"/>
          <w:highlight w:val="none"/>
          <w:lang w:val="en-US" w:eastAsia="zh-CN"/>
        </w:rPr>
        <w:t>3、</w:t>
      </w:r>
      <w:r>
        <w:rPr>
          <w:rFonts w:hint="eastAsia" w:ascii="仿宋" w:hAnsi="仿宋" w:eastAsia="仿宋" w:cs="仿宋"/>
          <w:snapToGrid w:val="0"/>
          <w:color w:val="auto"/>
          <w:kern w:val="0"/>
          <w:sz w:val="24"/>
          <w:szCs w:val="24"/>
          <w:highlight w:val="none"/>
        </w:rPr>
        <w:t>本协议</w:t>
      </w:r>
      <w:r>
        <w:rPr>
          <w:rFonts w:hint="eastAsia" w:ascii="仿宋" w:hAnsi="仿宋" w:eastAsia="仿宋" w:cs="仿宋"/>
          <w:snapToGrid w:val="0"/>
          <w:color w:val="auto"/>
          <w:kern w:val="0"/>
          <w:sz w:val="24"/>
          <w:szCs w:val="24"/>
          <w:highlight w:val="none"/>
          <w:lang w:val="en-US" w:eastAsia="zh-CN"/>
        </w:rPr>
        <w:t>组成部分</w:t>
      </w:r>
      <w:r>
        <w:rPr>
          <w:rFonts w:hint="eastAsia" w:ascii="仿宋" w:hAnsi="仿宋" w:eastAsia="仿宋" w:cs="仿宋"/>
          <w:snapToGrid w:val="0"/>
          <w:color w:val="auto"/>
          <w:kern w:val="0"/>
          <w:sz w:val="24"/>
          <w:szCs w:val="24"/>
          <w:highlight w:val="none"/>
        </w:rPr>
        <w:t>包括：</w:t>
      </w:r>
      <w:r>
        <w:rPr>
          <w:rFonts w:hint="eastAsia" w:ascii="仿宋" w:hAnsi="仿宋" w:eastAsia="仿宋" w:cs="仿宋"/>
          <w:snapToGrid w:val="0"/>
          <w:color w:val="auto"/>
          <w:kern w:val="0"/>
          <w:sz w:val="24"/>
          <w:szCs w:val="24"/>
          <w:highlight w:val="none"/>
          <w:lang w:val="en-US" w:eastAsia="zh-CN"/>
        </w:rPr>
        <w:t>采购</w:t>
      </w:r>
      <w:r>
        <w:rPr>
          <w:rFonts w:hint="eastAsia" w:ascii="仿宋" w:hAnsi="仿宋" w:eastAsia="仿宋" w:cs="仿宋"/>
          <w:snapToGrid w:val="0"/>
          <w:color w:val="auto"/>
          <w:kern w:val="0"/>
          <w:sz w:val="24"/>
          <w:szCs w:val="24"/>
          <w:highlight w:val="none"/>
          <w:lang w:eastAsia="zh-CN"/>
        </w:rPr>
        <w:t>文件</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采购文件</w:t>
      </w:r>
      <w:r>
        <w:rPr>
          <w:rFonts w:hint="eastAsia" w:ascii="仿宋" w:hAnsi="仿宋" w:eastAsia="仿宋" w:cs="仿宋"/>
          <w:snapToGrid w:val="0"/>
          <w:color w:val="auto"/>
          <w:kern w:val="0"/>
          <w:sz w:val="24"/>
          <w:szCs w:val="24"/>
          <w:highlight w:val="none"/>
        </w:rPr>
        <w:t>补充文件（如有）、</w:t>
      </w:r>
      <w:r>
        <w:rPr>
          <w:rFonts w:hint="eastAsia" w:ascii="仿宋" w:hAnsi="仿宋" w:eastAsia="仿宋" w:cs="仿宋"/>
          <w:snapToGrid w:val="0"/>
          <w:color w:val="auto"/>
          <w:kern w:val="0"/>
          <w:sz w:val="24"/>
          <w:szCs w:val="24"/>
          <w:highlight w:val="none"/>
          <w:lang w:val="en-US" w:eastAsia="zh-CN"/>
        </w:rPr>
        <w:t>投标</w:t>
      </w:r>
      <w:r>
        <w:rPr>
          <w:rFonts w:hint="eastAsia" w:ascii="仿宋" w:hAnsi="仿宋" w:eastAsia="仿宋" w:cs="仿宋"/>
          <w:snapToGrid w:val="0"/>
          <w:color w:val="auto"/>
          <w:kern w:val="0"/>
          <w:sz w:val="24"/>
          <w:szCs w:val="24"/>
          <w:highlight w:val="none"/>
          <w:lang w:eastAsia="zh-CN"/>
        </w:rPr>
        <w:t>文件</w:t>
      </w:r>
      <w:r>
        <w:rPr>
          <w:rFonts w:hint="eastAsia" w:ascii="仿宋" w:hAnsi="仿宋" w:eastAsia="仿宋" w:cs="仿宋"/>
          <w:snapToGrid w:val="0"/>
          <w:color w:val="auto"/>
          <w:kern w:val="0"/>
          <w:sz w:val="24"/>
          <w:szCs w:val="24"/>
          <w:highlight w:val="none"/>
        </w:rPr>
        <w:t>、询标纪要及承诺（如有）、</w:t>
      </w:r>
      <w:r>
        <w:rPr>
          <w:rFonts w:hint="eastAsia" w:ascii="仿宋" w:hAnsi="仿宋" w:eastAsia="仿宋" w:cs="仿宋"/>
          <w:snapToGrid w:val="0"/>
          <w:color w:val="auto"/>
          <w:kern w:val="0"/>
          <w:sz w:val="24"/>
          <w:szCs w:val="24"/>
          <w:highlight w:val="none"/>
          <w:lang w:val="en-US" w:eastAsia="zh-CN"/>
        </w:rPr>
        <w:t>招标</w:t>
      </w:r>
      <w:r>
        <w:rPr>
          <w:rFonts w:hint="eastAsia" w:ascii="仿宋" w:hAnsi="仿宋" w:eastAsia="仿宋" w:cs="仿宋"/>
          <w:snapToGrid w:val="0"/>
          <w:color w:val="auto"/>
          <w:kern w:val="0"/>
          <w:sz w:val="24"/>
          <w:szCs w:val="24"/>
          <w:highlight w:val="none"/>
          <w:lang w:eastAsia="zh-CN"/>
        </w:rPr>
        <w:t>通知</w:t>
      </w:r>
      <w:r>
        <w:rPr>
          <w:rFonts w:hint="eastAsia" w:ascii="仿宋" w:hAnsi="仿宋" w:eastAsia="仿宋" w:cs="仿宋"/>
          <w:snapToGrid w:val="0"/>
          <w:color w:val="auto"/>
          <w:kern w:val="0"/>
          <w:sz w:val="24"/>
          <w:szCs w:val="24"/>
          <w:highlight w:val="none"/>
        </w:rPr>
        <w:t>书、</w:t>
      </w:r>
      <w:r>
        <w:rPr>
          <w:rFonts w:hint="eastAsia" w:ascii="仿宋" w:hAnsi="仿宋" w:eastAsia="仿宋" w:cs="仿宋"/>
          <w:snapToGrid w:val="0"/>
          <w:color w:val="auto"/>
          <w:kern w:val="0"/>
          <w:sz w:val="24"/>
          <w:szCs w:val="24"/>
          <w:highlight w:val="none"/>
          <w:lang w:val="en-US" w:eastAsia="zh-CN"/>
        </w:rPr>
        <w:t>合同</w:t>
      </w:r>
      <w:r>
        <w:rPr>
          <w:rFonts w:hint="eastAsia" w:ascii="仿宋" w:hAnsi="仿宋" w:eastAsia="仿宋" w:cs="仿宋"/>
          <w:snapToGrid w:val="0"/>
          <w:color w:val="auto"/>
          <w:kern w:val="0"/>
          <w:sz w:val="24"/>
          <w:szCs w:val="24"/>
          <w:highlight w:val="none"/>
        </w:rPr>
        <w:t>特定</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或补充</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条款等均作为本</w:t>
      </w:r>
      <w:r>
        <w:rPr>
          <w:rFonts w:hint="eastAsia" w:ascii="仿宋" w:hAnsi="仿宋" w:eastAsia="仿宋" w:cs="仿宋"/>
          <w:snapToGrid w:val="0"/>
          <w:color w:val="auto"/>
          <w:kern w:val="0"/>
          <w:sz w:val="24"/>
          <w:szCs w:val="24"/>
          <w:highlight w:val="none"/>
          <w:lang w:val="en-US" w:eastAsia="zh-CN"/>
        </w:rPr>
        <w:t>合同</w:t>
      </w:r>
      <w:r>
        <w:rPr>
          <w:rFonts w:hint="eastAsia" w:ascii="仿宋" w:hAnsi="仿宋" w:eastAsia="仿宋" w:cs="仿宋"/>
          <w:snapToGrid w:val="0"/>
          <w:color w:val="auto"/>
          <w:kern w:val="0"/>
          <w:sz w:val="24"/>
          <w:szCs w:val="24"/>
          <w:highlight w:val="none"/>
        </w:rPr>
        <w:t>的组成部分。附件是本</w:t>
      </w:r>
      <w:r>
        <w:rPr>
          <w:rFonts w:hint="eastAsia" w:ascii="仿宋" w:hAnsi="仿宋" w:eastAsia="仿宋" w:cs="仿宋"/>
          <w:snapToGrid w:val="0"/>
          <w:color w:val="auto"/>
          <w:kern w:val="0"/>
          <w:sz w:val="24"/>
          <w:szCs w:val="24"/>
          <w:highlight w:val="none"/>
          <w:lang w:val="en-US" w:eastAsia="zh-CN"/>
        </w:rPr>
        <w:t>合同</w:t>
      </w:r>
      <w:r>
        <w:rPr>
          <w:rFonts w:hint="eastAsia" w:ascii="仿宋" w:hAnsi="仿宋" w:eastAsia="仿宋" w:cs="仿宋"/>
          <w:snapToGrid w:val="0"/>
          <w:color w:val="auto"/>
          <w:kern w:val="0"/>
          <w:sz w:val="24"/>
          <w:szCs w:val="24"/>
          <w:highlight w:val="none"/>
        </w:rPr>
        <w:t>不可分割的组成部分，</w:t>
      </w:r>
      <w:r>
        <w:rPr>
          <w:rFonts w:hint="eastAsia" w:ascii="仿宋" w:hAnsi="仿宋" w:eastAsia="仿宋" w:cs="仿宋"/>
          <w:snapToGrid w:val="0"/>
          <w:color w:val="auto"/>
          <w:kern w:val="0"/>
          <w:sz w:val="24"/>
          <w:szCs w:val="24"/>
          <w:highlight w:val="none"/>
          <w:lang w:val="en-US" w:eastAsia="zh-CN"/>
        </w:rPr>
        <w:t>与合同条款具有同等法律效力</w:t>
      </w:r>
      <w:r>
        <w:rPr>
          <w:rFonts w:hint="eastAsia" w:ascii="仿宋" w:hAnsi="仿宋" w:eastAsia="仿宋" w:cs="仿宋"/>
          <w:snapToGrid w:val="0"/>
          <w:color w:val="auto"/>
          <w:kern w:val="0"/>
          <w:sz w:val="24"/>
          <w:szCs w:val="24"/>
          <w:highlight w:val="none"/>
          <w:lang w:val="en-US" w:eastAsia="zh-CN"/>
        </w:rPr>
        <w:t>，且</w:t>
      </w:r>
      <w:r>
        <w:rPr>
          <w:rFonts w:hint="eastAsia" w:ascii="仿宋" w:hAnsi="仿宋" w:eastAsia="仿宋" w:cs="仿宋"/>
          <w:snapToGrid w:val="0"/>
          <w:color w:val="auto"/>
          <w:kern w:val="0"/>
          <w:sz w:val="24"/>
          <w:szCs w:val="24"/>
          <w:highlight w:val="none"/>
        </w:rPr>
        <w:t>以签署时间在后的优先。</w:t>
      </w:r>
    </w:p>
    <w:p w14:paraId="10AFF04B">
      <w:pPr>
        <w:pStyle w:val="2"/>
        <w:rPr>
          <w:rFonts w:hint="eastAsia" w:ascii="仿宋" w:hAnsi="仿宋" w:eastAsia="仿宋" w:cs="仿宋"/>
          <w:bCs/>
          <w:kern w:val="0"/>
          <w:sz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以下无正文</w:t>
      </w:r>
      <w:r>
        <w:rPr>
          <w:rFonts w:hint="eastAsia" w:ascii="仿宋" w:hAnsi="仿宋" w:eastAsia="仿宋" w:cs="仿宋"/>
          <w:snapToGrid w:val="0"/>
          <w:color w:val="auto"/>
          <w:kern w:val="0"/>
          <w:sz w:val="24"/>
          <w:szCs w:val="24"/>
          <w:highlight w:val="none"/>
          <w:lang w:eastAsia="zh-CN"/>
        </w:rPr>
        <w:t>）</w:t>
      </w:r>
    </w:p>
    <w:p w14:paraId="24EEA704">
      <w:pPr>
        <w:keepNext/>
        <w:keepLines/>
        <w:pageBreakBefore w:val="0"/>
        <w:widowControl w:val="0"/>
        <w:kinsoku/>
        <w:wordWrap/>
        <w:overflowPunct/>
        <w:topLinePunct w:val="0"/>
        <w:autoSpaceDE/>
        <w:autoSpaceDN/>
        <w:bidi w:val="0"/>
        <w:adjustRightInd/>
        <w:snapToGrid/>
        <w:ind w:left="431" w:hanging="431"/>
        <w:textAlignment w:val="auto"/>
        <w:outlineLvl w:val="9"/>
        <w:rPr>
          <w:rFonts w:hint="eastAsia" w:ascii="仿宋" w:hAnsi="仿宋" w:eastAsia="仿宋" w:cs="仿宋"/>
          <w:highlight w:val="none"/>
        </w:rPr>
      </w:pPr>
    </w:p>
    <w:tbl>
      <w:tblPr>
        <w:tblStyle w:val="45"/>
        <w:tblW w:w="8799" w:type="dxa"/>
        <w:tblCellSpacing w:w="0" w:type="dxa"/>
        <w:tblInd w:w="0" w:type="dxa"/>
        <w:tblLayout w:type="fixed"/>
        <w:tblCellMar>
          <w:top w:w="0" w:type="dxa"/>
          <w:left w:w="0" w:type="dxa"/>
          <w:bottom w:w="0" w:type="dxa"/>
          <w:right w:w="0" w:type="dxa"/>
        </w:tblCellMar>
      </w:tblPr>
      <w:tblGrid>
        <w:gridCol w:w="5104"/>
        <w:gridCol w:w="3695"/>
      </w:tblGrid>
      <w:tr w14:paraId="31E0B1B2">
        <w:tblPrEx>
          <w:tblCellMar>
            <w:top w:w="0" w:type="dxa"/>
            <w:left w:w="0" w:type="dxa"/>
            <w:bottom w:w="0" w:type="dxa"/>
            <w:right w:w="0" w:type="dxa"/>
          </w:tblCellMar>
        </w:tblPrEx>
        <w:trPr>
          <w:trHeight w:val="542" w:hRule="atLeast"/>
          <w:tblCellSpacing w:w="0" w:type="dxa"/>
        </w:trPr>
        <w:tc>
          <w:tcPr>
            <w:tcW w:w="5104" w:type="dxa"/>
            <w:noWrap w:val="0"/>
            <w:vAlign w:val="center"/>
          </w:tcPr>
          <w:p w14:paraId="0003AE2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甲方（采购单位）（盖章）： </w:t>
            </w:r>
          </w:p>
        </w:tc>
        <w:tc>
          <w:tcPr>
            <w:tcW w:w="3695" w:type="dxa"/>
            <w:noWrap w:val="0"/>
            <w:vAlign w:val="center"/>
          </w:tcPr>
          <w:p w14:paraId="0DC5358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乙方（供应商）（盖章）： </w:t>
            </w:r>
          </w:p>
        </w:tc>
      </w:tr>
      <w:tr w14:paraId="76DC1ED9">
        <w:tblPrEx>
          <w:tblCellMar>
            <w:top w:w="0" w:type="dxa"/>
            <w:left w:w="0" w:type="dxa"/>
            <w:bottom w:w="0" w:type="dxa"/>
            <w:right w:w="0" w:type="dxa"/>
          </w:tblCellMar>
        </w:tblPrEx>
        <w:trPr>
          <w:trHeight w:val="637" w:hRule="atLeast"/>
          <w:tblCellSpacing w:w="0" w:type="dxa"/>
        </w:trPr>
        <w:tc>
          <w:tcPr>
            <w:tcW w:w="5104" w:type="dxa"/>
            <w:noWrap w:val="0"/>
            <w:vAlign w:val="center"/>
          </w:tcPr>
          <w:p w14:paraId="3612B9B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p>
          <w:p w14:paraId="022457B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或授权委托人（签字）： </w:t>
            </w:r>
          </w:p>
        </w:tc>
        <w:tc>
          <w:tcPr>
            <w:tcW w:w="3695" w:type="dxa"/>
            <w:noWrap w:val="0"/>
            <w:vAlign w:val="center"/>
          </w:tcPr>
          <w:p w14:paraId="2B43B5E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p>
          <w:p w14:paraId="2AC44C2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或授权委托人（签字）： </w:t>
            </w:r>
          </w:p>
        </w:tc>
      </w:tr>
      <w:tr w14:paraId="6FB9BF92">
        <w:tblPrEx>
          <w:tblCellMar>
            <w:top w:w="0" w:type="dxa"/>
            <w:left w:w="0" w:type="dxa"/>
            <w:bottom w:w="0" w:type="dxa"/>
            <w:right w:w="0" w:type="dxa"/>
          </w:tblCellMar>
        </w:tblPrEx>
        <w:trPr>
          <w:trHeight w:val="542" w:hRule="atLeast"/>
          <w:tblCellSpacing w:w="0" w:type="dxa"/>
        </w:trPr>
        <w:tc>
          <w:tcPr>
            <w:tcW w:w="5104" w:type="dxa"/>
            <w:noWrap w:val="0"/>
            <w:vAlign w:val="center"/>
          </w:tcPr>
          <w:p w14:paraId="7A36222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联系人（签字）： </w:t>
            </w:r>
          </w:p>
        </w:tc>
        <w:tc>
          <w:tcPr>
            <w:tcW w:w="3695" w:type="dxa"/>
            <w:noWrap w:val="0"/>
            <w:vAlign w:val="center"/>
          </w:tcPr>
          <w:p w14:paraId="4CF0DAB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联系人（签字）： </w:t>
            </w:r>
          </w:p>
        </w:tc>
      </w:tr>
      <w:tr w14:paraId="48DF5646">
        <w:tblPrEx>
          <w:tblCellMar>
            <w:top w:w="0" w:type="dxa"/>
            <w:left w:w="0" w:type="dxa"/>
            <w:bottom w:w="0" w:type="dxa"/>
            <w:right w:w="0" w:type="dxa"/>
          </w:tblCellMar>
        </w:tblPrEx>
        <w:trPr>
          <w:trHeight w:val="542" w:hRule="atLeast"/>
          <w:tblCellSpacing w:w="0" w:type="dxa"/>
        </w:trPr>
        <w:tc>
          <w:tcPr>
            <w:tcW w:w="5104" w:type="dxa"/>
            <w:noWrap w:val="0"/>
            <w:vAlign w:val="center"/>
          </w:tcPr>
          <w:p w14:paraId="55590CB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地址： </w:t>
            </w:r>
          </w:p>
        </w:tc>
        <w:tc>
          <w:tcPr>
            <w:tcW w:w="3695" w:type="dxa"/>
            <w:noWrap w:val="0"/>
            <w:vAlign w:val="center"/>
          </w:tcPr>
          <w:p w14:paraId="5983CED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地址： </w:t>
            </w:r>
          </w:p>
        </w:tc>
      </w:tr>
      <w:tr w14:paraId="509E4D93">
        <w:tblPrEx>
          <w:tblCellMar>
            <w:top w:w="0" w:type="dxa"/>
            <w:left w:w="0" w:type="dxa"/>
            <w:bottom w:w="0" w:type="dxa"/>
            <w:right w:w="0" w:type="dxa"/>
          </w:tblCellMar>
        </w:tblPrEx>
        <w:trPr>
          <w:trHeight w:val="542" w:hRule="atLeast"/>
          <w:tblCellSpacing w:w="0" w:type="dxa"/>
        </w:trPr>
        <w:tc>
          <w:tcPr>
            <w:tcW w:w="5104" w:type="dxa"/>
            <w:noWrap w:val="0"/>
            <w:vAlign w:val="center"/>
          </w:tcPr>
          <w:p w14:paraId="2B02B0D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邮编：</w:t>
            </w:r>
          </w:p>
        </w:tc>
        <w:tc>
          <w:tcPr>
            <w:tcW w:w="3695" w:type="dxa"/>
            <w:noWrap w:val="0"/>
            <w:vAlign w:val="center"/>
          </w:tcPr>
          <w:p w14:paraId="779990B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邮编： </w:t>
            </w:r>
          </w:p>
        </w:tc>
      </w:tr>
      <w:tr w14:paraId="4B2A6AF2">
        <w:tblPrEx>
          <w:tblCellMar>
            <w:top w:w="0" w:type="dxa"/>
            <w:left w:w="0" w:type="dxa"/>
            <w:bottom w:w="0" w:type="dxa"/>
            <w:right w:w="0" w:type="dxa"/>
          </w:tblCellMar>
        </w:tblPrEx>
        <w:trPr>
          <w:trHeight w:val="542" w:hRule="atLeast"/>
          <w:tblCellSpacing w:w="0" w:type="dxa"/>
        </w:trPr>
        <w:tc>
          <w:tcPr>
            <w:tcW w:w="5104" w:type="dxa"/>
            <w:noWrap w:val="0"/>
            <w:vAlign w:val="center"/>
          </w:tcPr>
          <w:p w14:paraId="19DC708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w:t>
            </w:r>
          </w:p>
        </w:tc>
        <w:tc>
          <w:tcPr>
            <w:tcW w:w="3695" w:type="dxa"/>
            <w:noWrap w:val="0"/>
            <w:vAlign w:val="center"/>
          </w:tcPr>
          <w:p w14:paraId="5AECCB3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电话： </w:t>
            </w:r>
          </w:p>
        </w:tc>
      </w:tr>
      <w:tr w14:paraId="315641A0">
        <w:tblPrEx>
          <w:tblCellMar>
            <w:top w:w="0" w:type="dxa"/>
            <w:left w:w="0" w:type="dxa"/>
            <w:bottom w:w="0" w:type="dxa"/>
            <w:right w:w="0" w:type="dxa"/>
          </w:tblCellMar>
        </w:tblPrEx>
        <w:trPr>
          <w:trHeight w:val="542" w:hRule="atLeast"/>
          <w:tblCellSpacing w:w="0" w:type="dxa"/>
        </w:trPr>
        <w:tc>
          <w:tcPr>
            <w:tcW w:w="5104" w:type="dxa"/>
            <w:noWrap w:val="0"/>
            <w:vAlign w:val="center"/>
          </w:tcPr>
          <w:p w14:paraId="55D1F03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传真： </w:t>
            </w:r>
          </w:p>
        </w:tc>
        <w:tc>
          <w:tcPr>
            <w:tcW w:w="3695" w:type="dxa"/>
            <w:noWrap w:val="0"/>
            <w:vAlign w:val="center"/>
          </w:tcPr>
          <w:p w14:paraId="1FFAB11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传真： </w:t>
            </w:r>
          </w:p>
        </w:tc>
      </w:tr>
      <w:tr w14:paraId="09732EA7">
        <w:tblPrEx>
          <w:tblCellMar>
            <w:top w:w="0" w:type="dxa"/>
            <w:left w:w="0" w:type="dxa"/>
            <w:bottom w:w="0" w:type="dxa"/>
            <w:right w:w="0" w:type="dxa"/>
          </w:tblCellMar>
        </w:tblPrEx>
        <w:trPr>
          <w:trHeight w:val="542" w:hRule="atLeast"/>
          <w:tblCellSpacing w:w="0" w:type="dxa"/>
        </w:trPr>
        <w:tc>
          <w:tcPr>
            <w:tcW w:w="5104" w:type="dxa"/>
            <w:noWrap w:val="0"/>
            <w:vAlign w:val="center"/>
          </w:tcPr>
          <w:p w14:paraId="7BB6902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开户银行： </w:t>
            </w:r>
          </w:p>
        </w:tc>
        <w:tc>
          <w:tcPr>
            <w:tcW w:w="3695" w:type="dxa"/>
            <w:noWrap w:val="0"/>
            <w:vAlign w:val="center"/>
          </w:tcPr>
          <w:p w14:paraId="775B54D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开户银行： </w:t>
            </w:r>
          </w:p>
        </w:tc>
      </w:tr>
      <w:tr w14:paraId="7A548A7F">
        <w:tblPrEx>
          <w:tblCellMar>
            <w:top w:w="0" w:type="dxa"/>
            <w:left w:w="0" w:type="dxa"/>
            <w:bottom w:w="0" w:type="dxa"/>
            <w:right w:w="0" w:type="dxa"/>
          </w:tblCellMar>
        </w:tblPrEx>
        <w:trPr>
          <w:trHeight w:val="542" w:hRule="atLeast"/>
          <w:tblCellSpacing w:w="0" w:type="dxa"/>
        </w:trPr>
        <w:tc>
          <w:tcPr>
            <w:tcW w:w="5104" w:type="dxa"/>
            <w:noWrap w:val="0"/>
            <w:vAlign w:val="center"/>
          </w:tcPr>
          <w:p w14:paraId="7DDAEAD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帐号 ： </w:t>
            </w:r>
          </w:p>
        </w:tc>
        <w:tc>
          <w:tcPr>
            <w:tcW w:w="3695" w:type="dxa"/>
            <w:noWrap w:val="0"/>
            <w:vAlign w:val="center"/>
          </w:tcPr>
          <w:p w14:paraId="412073D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帐号 ： </w:t>
            </w:r>
          </w:p>
        </w:tc>
      </w:tr>
    </w:tbl>
    <w:p w14:paraId="26F18965">
      <w:pPr>
        <w:pStyle w:val="18"/>
        <w:rPr>
          <w:rFonts w:hint="eastAsia" w:ascii="仿宋" w:hAnsi="仿宋" w:eastAsia="仿宋" w:cs="仿宋"/>
          <w:highlight w:val="none"/>
        </w:rPr>
      </w:pPr>
    </w:p>
    <w:p w14:paraId="139354A8">
      <w:pPr>
        <w:pStyle w:val="18"/>
        <w:rPr>
          <w:rFonts w:hint="eastAsia" w:ascii="仿宋" w:hAnsi="仿宋" w:eastAsia="仿宋" w:cs="仿宋"/>
          <w:highlight w:val="none"/>
        </w:rPr>
      </w:pPr>
    </w:p>
    <w:p w14:paraId="710D553C">
      <w:pPr>
        <w:rPr>
          <w:rFonts w:hint="eastAsia" w:ascii="仿宋" w:hAnsi="仿宋" w:eastAsia="仿宋" w:cs="仿宋"/>
          <w:bCs/>
          <w:kern w:val="0"/>
          <w:sz w:val="24"/>
          <w:highlight w:val="none"/>
        </w:rPr>
      </w:pPr>
      <w:r>
        <w:rPr>
          <w:rFonts w:hint="eastAsia" w:ascii="仿宋" w:hAnsi="仿宋" w:eastAsia="仿宋" w:cs="仿宋"/>
          <w:bCs/>
          <w:kern w:val="0"/>
          <w:sz w:val="24"/>
          <w:highlight w:val="none"/>
        </w:rPr>
        <w:br w:type="page"/>
      </w:r>
    </w:p>
    <w:p w14:paraId="6650A5A5">
      <w:pPr>
        <w:tabs>
          <w:tab w:val="left" w:pos="0"/>
        </w:tabs>
        <w:spacing w:line="360" w:lineRule="auto"/>
        <w:ind w:firstLine="480"/>
        <w:rPr>
          <w:rFonts w:hint="eastAsia" w:ascii="仿宋" w:hAnsi="仿宋" w:eastAsia="仿宋" w:cs="仿宋"/>
          <w:kern w:val="0"/>
          <w:sz w:val="24"/>
          <w:highlight w:val="none"/>
        </w:rPr>
        <w:sectPr>
          <w:footerReference r:id="rId8" w:type="first"/>
          <w:footerReference r:id="rId7" w:type="default"/>
          <w:pgSz w:w="11906" w:h="16838"/>
          <w:pgMar w:top="1276" w:right="1418" w:bottom="1247" w:left="1418" w:header="992" w:footer="992" w:gutter="0"/>
          <w:pgBorders>
            <w:top w:val="none" w:sz="0" w:space="0"/>
            <w:left w:val="none" w:sz="0" w:space="0"/>
            <w:bottom w:val="none" w:sz="0" w:space="0"/>
            <w:right w:val="none" w:sz="0" w:space="0"/>
          </w:pgBorders>
          <w:pgNumType w:fmt="decimal"/>
          <w:cols w:space="720" w:num="1"/>
          <w:titlePg/>
          <w:rtlGutter w:val="0"/>
          <w:docGrid w:linePitch="312" w:charSpace="0"/>
        </w:sectPr>
      </w:pPr>
    </w:p>
    <w:p w14:paraId="078D44CE">
      <w:pPr>
        <w:tabs>
          <w:tab w:val="left" w:pos="0"/>
        </w:tabs>
        <w:spacing w:line="360" w:lineRule="auto"/>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附件</w:t>
      </w:r>
      <w:r>
        <w:rPr>
          <w:rFonts w:hint="eastAsia" w:ascii="仿宋" w:hAnsi="仿宋" w:eastAsia="仿宋" w:cs="仿宋"/>
          <w:kern w:val="0"/>
          <w:sz w:val="24"/>
          <w:highlight w:val="none"/>
          <w:lang w:val="en-US" w:eastAsia="zh-CN"/>
        </w:rPr>
        <w:t>1：</w:t>
      </w:r>
    </w:p>
    <w:p w14:paraId="622527E3">
      <w:pPr>
        <w:tabs>
          <w:tab w:val="left" w:pos="0"/>
        </w:tabs>
        <w:spacing w:line="360" w:lineRule="auto"/>
        <w:jc w:val="center"/>
        <w:rPr>
          <w:rFonts w:hint="eastAsia" w:ascii="仿宋" w:hAnsi="仿宋" w:eastAsia="仿宋" w:cs="仿宋"/>
          <w:kern w:val="0"/>
          <w:sz w:val="24"/>
          <w:highlight w:val="none"/>
        </w:rPr>
      </w:pPr>
      <w:r>
        <w:rPr>
          <w:rFonts w:hint="eastAsia" w:ascii="仿宋" w:hAnsi="仿宋" w:eastAsia="仿宋" w:cs="仿宋"/>
          <w:b/>
          <w:bCs/>
          <w:kern w:val="0"/>
          <w:sz w:val="24"/>
          <w:highlight w:val="none"/>
        </w:rPr>
        <w:t>竣工财务决算审核咨询服务费计费标准</w:t>
      </w:r>
    </w:p>
    <w:p w14:paraId="35F84BB6">
      <w:pPr>
        <w:tabs>
          <w:tab w:val="left" w:pos="0"/>
        </w:tabs>
        <w:spacing w:line="360" w:lineRule="auto"/>
        <w:ind w:firstLine="480"/>
        <w:jc w:val="right"/>
        <w:rPr>
          <w:rFonts w:hint="eastAsia" w:ascii="仿宋" w:hAnsi="仿宋" w:eastAsia="仿宋" w:cs="仿宋"/>
          <w:kern w:val="0"/>
          <w:sz w:val="24"/>
          <w:highlight w:val="none"/>
        </w:rPr>
      </w:pPr>
      <w:r>
        <w:rPr>
          <w:rFonts w:hint="eastAsia" w:ascii="仿宋" w:hAnsi="仿宋" w:eastAsia="仿宋" w:cs="仿宋"/>
          <w:kern w:val="0"/>
          <w:sz w:val="24"/>
          <w:highlight w:val="none"/>
        </w:rPr>
        <w:t>费率：‰</w:t>
      </w:r>
    </w:p>
    <w:tbl>
      <w:tblPr>
        <w:tblStyle w:val="45"/>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2"/>
        <w:gridCol w:w="774"/>
        <w:gridCol w:w="718"/>
        <w:gridCol w:w="683"/>
        <w:gridCol w:w="686"/>
        <w:gridCol w:w="693"/>
        <w:gridCol w:w="656"/>
        <w:gridCol w:w="570"/>
        <w:gridCol w:w="760"/>
        <w:gridCol w:w="892"/>
        <w:gridCol w:w="1058"/>
        <w:gridCol w:w="854"/>
      </w:tblGrid>
      <w:tr w14:paraId="596C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452" w:type="dxa"/>
            <w:vMerge w:val="restart"/>
            <w:noWrap w:val="0"/>
            <w:vAlign w:val="center"/>
          </w:tcPr>
          <w:p w14:paraId="7ECE8530">
            <w:pPr>
              <w:adjustRightInd/>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74" w:type="dxa"/>
            <w:vMerge w:val="restart"/>
            <w:noWrap w:val="0"/>
            <w:vAlign w:val="center"/>
          </w:tcPr>
          <w:p w14:paraId="622D2DCE">
            <w:pPr>
              <w:adjustRightInd/>
              <w:jc w:val="center"/>
              <w:rPr>
                <w:rFonts w:hint="eastAsia" w:ascii="仿宋" w:hAnsi="仿宋" w:eastAsia="仿宋" w:cs="仿宋"/>
                <w:sz w:val="24"/>
                <w:highlight w:val="none"/>
              </w:rPr>
            </w:pPr>
            <w:r>
              <w:rPr>
                <w:rFonts w:hint="eastAsia" w:ascii="仿宋" w:hAnsi="仿宋" w:eastAsia="仿宋" w:cs="仿宋"/>
                <w:sz w:val="24"/>
                <w:highlight w:val="none"/>
              </w:rPr>
              <w:t>咨询项目</w:t>
            </w:r>
          </w:p>
        </w:tc>
        <w:tc>
          <w:tcPr>
            <w:tcW w:w="718" w:type="dxa"/>
            <w:vMerge w:val="restart"/>
            <w:noWrap w:val="0"/>
            <w:vAlign w:val="center"/>
          </w:tcPr>
          <w:p w14:paraId="5F8E0D76">
            <w:pPr>
              <w:adjustRightInd/>
              <w:jc w:val="center"/>
              <w:rPr>
                <w:rFonts w:hint="eastAsia" w:ascii="仿宋" w:hAnsi="仿宋" w:eastAsia="仿宋" w:cs="仿宋"/>
                <w:sz w:val="24"/>
                <w:highlight w:val="none"/>
              </w:rPr>
            </w:pPr>
            <w:r>
              <w:rPr>
                <w:rFonts w:hint="eastAsia" w:ascii="仿宋" w:hAnsi="仿宋" w:eastAsia="仿宋" w:cs="仿宋"/>
                <w:sz w:val="24"/>
                <w:highlight w:val="none"/>
              </w:rPr>
              <w:t>收费基数</w:t>
            </w:r>
          </w:p>
        </w:tc>
        <w:tc>
          <w:tcPr>
            <w:tcW w:w="4940" w:type="dxa"/>
            <w:gridSpan w:val="7"/>
            <w:noWrap w:val="0"/>
            <w:vAlign w:val="center"/>
          </w:tcPr>
          <w:p w14:paraId="2CDE2E88">
            <w:pPr>
              <w:adjustRightInd/>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分档累进计费标准</w:t>
            </w:r>
          </w:p>
        </w:tc>
        <w:tc>
          <w:tcPr>
            <w:tcW w:w="1058" w:type="dxa"/>
            <w:noWrap w:val="0"/>
            <w:vAlign w:val="center"/>
          </w:tcPr>
          <w:p w14:paraId="1D53AB81">
            <w:pPr>
              <w:adjustRightInd/>
              <w:ind w:firstLine="480" w:firstLineChars="200"/>
              <w:jc w:val="center"/>
              <w:rPr>
                <w:rFonts w:hint="eastAsia" w:ascii="仿宋" w:hAnsi="仿宋" w:eastAsia="仿宋" w:cs="仿宋"/>
                <w:sz w:val="24"/>
                <w:highlight w:val="none"/>
              </w:rPr>
            </w:pPr>
          </w:p>
        </w:tc>
        <w:tc>
          <w:tcPr>
            <w:tcW w:w="854" w:type="dxa"/>
            <w:noWrap w:val="0"/>
            <w:vAlign w:val="center"/>
          </w:tcPr>
          <w:p w14:paraId="3E27F0EC">
            <w:pPr>
              <w:adjustRightInd/>
              <w:ind w:firstLine="480" w:firstLineChars="200"/>
              <w:jc w:val="center"/>
              <w:rPr>
                <w:rFonts w:hint="eastAsia" w:ascii="仿宋" w:hAnsi="仿宋" w:eastAsia="仿宋" w:cs="仿宋"/>
                <w:sz w:val="24"/>
                <w:highlight w:val="none"/>
              </w:rPr>
            </w:pPr>
          </w:p>
        </w:tc>
      </w:tr>
      <w:tr w14:paraId="1CDE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452" w:type="dxa"/>
            <w:vMerge w:val="continue"/>
            <w:noWrap w:val="0"/>
            <w:vAlign w:val="center"/>
          </w:tcPr>
          <w:p w14:paraId="4E4A3022">
            <w:pPr>
              <w:adjustRightInd/>
              <w:ind w:firstLine="480" w:firstLineChars="200"/>
              <w:jc w:val="center"/>
              <w:rPr>
                <w:rFonts w:hint="eastAsia" w:ascii="仿宋" w:hAnsi="仿宋" w:eastAsia="仿宋" w:cs="仿宋"/>
                <w:sz w:val="24"/>
                <w:highlight w:val="none"/>
              </w:rPr>
            </w:pPr>
          </w:p>
        </w:tc>
        <w:tc>
          <w:tcPr>
            <w:tcW w:w="774" w:type="dxa"/>
            <w:vMerge w:val="continue"/>
            <w:noWrap w:val="0"/>
            <w:vAlign w:val="center"/>
          </w:tcPr>
          <w:p w14:paraId="79EF3C82">
            <w:pPr>
              <w:adjustRightInd/>
              <w:ind w:firstLine="480" w:firstLineChars="200"/>
              <w:jc w:val="center"/>
              <w:rPr>
                <w:rFonts w:hint="eastAsia" w:ascii="仿宋" w:hAnsi="仿宋" w:eastAsia="仿宋" w:cs="仿宋"/>
                <w:sz w:val="24"/>
                <w:highlight w:val="none"/>
              </w:rPr>
            </w:pPr>
          </w:p>
        </w:tc>
        <w:tc>
          <w:tcPr>
            <w:tcW w:w="718" w:type="dxa"/>
            <w:vMerge w:val="continue"/>
            <w:noWrap w:val="0"/>
            <w:vAlign w:val="center"/>
          </w:tcPr>
          <w:p w14:paraId="1F4DE844">
            <w:pPr>
              <w:adjustRightInd/>
              <w:ind w:firstLine="480" w:firstLineChars="200"/>
              <w:jc w:val="center"/>
              <w:rPr>
                <w:rFonts w:hint="eastAsia" w:ascii="仿宋" w:hAnsi="仿宋" w:eastAsia="仿宋" w:cs="仿宋"/>
                <w:sz w:val="24"/>
                <w:highlight w:val="none"/>
              </w:rPr>
            </w:pPr>
          </w:p>
        </w:tc>
        <w:tc>
          <w:tcPr>
            <w:tcW w:w="683" w:type="dxa"/>
            <w:noWrap w:val="0"/>
            <w:vAlign w:val="center"/>
          </w:tcPr>
          <w:p w14:paraId="3C2C19FD">
            <w:pPr>
              <w:adjustRightInd/>
              <w:jc w:val="center"/>
              <w:rPr>
                <w:rFonts w:hint="eastAsia" w:ascii="仿宋" w:hAnsi="仿宋" w:eastAsia="仿宋" w:cs="仿宋"/>
                <w:sz w:val="24"/>
                <w:highlight w:val="none"/>
              </w:rPr>
            </w:pPr>
            <w:r>
              <w:rPr>
                <w:rFonts w:hint="eastAsia" w:ascii="仿宋" w:hAnsi="仿宋" w:eastAsia="仿宋" w:cs="仿宋"/>
                <w:sz w:val="24"/>
                <w:highlight w:val="none"/>
              </w:rPr>
              <w:t>100</w:t>
            </w:r>
          </w:p>
          <w:p w14:paraId="24AEDD74">
            <w:pPr>
              <w:adjustRightInd/>
              <w:jc w:val="center"/>
              <w:rPr>
                <w:rFonts w:hint="eastAsia" w:ascii="仿宋" w:hAnsi="仿宋" w:eastAsia="仿宋" w:cs="仿宋"/>
                <w:sz w:val="24"/>
                <w:highlight w:val="none"/>
              </w:rPr>
            </w:pPr>
            <w:r>
              <w:rPr>
                <w:rFonts w:hint="eastAsia" w:ascii="仿宋" w:hAnsi="仿宋" w:eastAsia="仿宋" w:cs="仿宋"/>
                <w:sz w:val="24"/>
                <w:highlight w:val="none"/>
              </w:rPr>
              <w:t>万元以内</w:t>
            </w:r>
          </w:p>
        </w:tc>
        <w:tc>
          <w:tcPr>
            <w:tcW w:w="686" w:type="dxa"/>
            <w:noWrap w:val="0"/>
            <w:vAlign w:val="center"/>
          </w:tcPr>
          <w:p w14:paraId="3CD22F21">
            <w:pPr>
              <w:adjustRightInd/>
              <w:jc w:val="center"/>
              <w:rPr>
                <w:rFonts w:hint="eastAsia" w:ascii="仿宋" w:hAnsi="仿宋" w:eastAsia="仿宋" w:cs="仿宋"/>
                <w:sz w:val="24"/>
                <w:highlight w:val="none"/>
              </w:rPr>
            </w:pPr>
            <w:r>
              <w:rPr>
                <w:rFonts w:hint="eastAsia" w:ascii="仿宋" w:hAnsi="仿宋" w:eastAsia="仿宋" w:cs="仿宋"/>
                <w:sz w:val="24"/>
                <w:highlight w:val="none"/>
              </w:rPr>
              <w:t>101-500</w:t>
            </w:r>
          </w:p>
          <w:p w14:paraId="5B266B3B">
            <w:pPr>
              <w:adjustRightInd/>
              <w:jc w:val="center"/>
              <w:rPr>
                <w:rFonts w:hint="eastAsia" w:ascii="仿宋" w:hAnsi="仿宋" w:eastAsia="仿宋" w:cs="仿宋"/>
                <w:sz w:val="24"/>
                <w:highlight w:val="none"/>
              </w:rPr>
            </w:pPr>
            <w:r>
              <w:rPr>
                <w:rFonts w:hint="eastAsia" w:ascii="仿宋" w:hAnsi="仿宋" w:eastAsia="仿宋" w:cs="仿宋"/>
                <w:sz w:val="24"/>
                <w:highlight w:val="none"/>
              </w:rPr>
              <w:t>万元</w:t>
            </w:r>
          </w:p>
        </w:tc>
        <w:tc>
          <w:tcPr>
            <w:tcW w:w="693" w:type="dxa"/>
            <w:noWrap w:val="0"/>
            <w:vAlign w:val="center"/>
          </w:tcPr>
          <w:p w14:paraId="0DFA17E1">
            <w:pPr>
              <w:adjustRightInd/>
              <w:jc w:val="center"/>
              <w:rPr>
                <w:rFonts w:hint="eastAsia" w:ascii="仿宋" w:hAnsi="仿宋" w:eastAsia="仿宋" w:cs="仿宋"/>
                <w:sz w:val="24"/>
                <w:highlight w:val="none"/>
              </w:rPr>
            </w:pPr>
            <w:r>
              <w:rPr>
                <w:rFonts w:hint="eastAsia" w:ascii="仿宋" w:hAnsi="仿宋" w:eastAsia="仿宋" w:cs="仿宋"/>
                <w:sz w:val="24"/>
                <w:highlight w:val="none"/>
              </w:rPr>
              <w:t>501—1000万元</w:t>
            </w:r>
          </w:p>
        </w:tc>
        <w:tc>
          <w:tcPr>
            <w:tcW w:w="656" w:type="dxa"/>
            <w:noWrap w:val="0"/>
            <w:vAlign w:val="center"/>
          </w:tcPr>
          <w:p w14:paraId="51C46953">
            <w:pPr>
              <w:adjustRightInd/>
              <w:jc w:val="center"/>
              <w:rPr>
                <w:rFonts w:hint="eastAsia" w:ascii="仿宋" w:hAnsi="仿宋" w:eastAsia="仿宋" w:cs="仿宋"/>
                <w:sz w:val="24"/>
                <w:highlight w:val="none"/>
              </w:rPr>
            </w:pPr>
            <w:r>
              <w:rPr>
                <w:rFonts w:hint="eastAsia" w:ascii="仿宋" w:hAnsi="仿宋" w:eastAsia="仿宋" w:cs="仿宋"/>
                <w:sz w:val="24"/>
                <w:highlight w:val="none"/>
              </w:rPr>
              <w:t>1001—2000万元</w:t>
            </w:r>
          </w:p>
        </w:tc>
        <w:tc>
          <w:tcPr>
            <w:tcW w:w="570" w:type="dxa"/>
            <w:noWrap w:val="0"/>
            <w:vAlign w:val="center"/>
          </w:tcPr>
          <w:p w14:paraId="2961384C">
            <w:pPr>
              <w:adjustRightInd/>
              <w:jc w:val="center"/>
              <w:rPr>
                <w:rFonts w:hint="eastAsia" w:ascii="仿宋" w:hAnsi="仿宋" w:eastAsia="仿宋" w:cs="仿宋"/>
                <w:sz w:val="24"/>
                <w:highlight w:val="none"/>
              </w:rPr>
            </w:pPr>
            <w:r>
              <w:rPr>
                <w:rFonts w:hint="eastAsia" w:ascii="仿宋" w:hAnsi="仿宋" w:eastAsia="仿宋" w:cs="仿宋"/>
                <w:sz w:val="24"/>
                <w:highlight w:val="none"/>
              </w:rPr>
              <w:t>2001—5000万元</w:t>
            </w:r>
          </w:p>
        </w:tc>
        <w:tc>
          <w:tcPr>
            <w:tcW w:w="760" w:type="dxa"/>
            <w:noWrap w:val="0"/>
            <w:vAlign w:val="center"/>
          </w:tcPr>
          <w:p w14:paraId="4B8D4068">
            <w:pPr>
              <w:adjustRightInd/>
              <w:jc w:val="center"/>
              <w:rPr>
                <w:rFonts w:hint="eastAsia" w:ascii="仿宋" w:hAnsi="仿宋" w:eastAsia="仿宋" w:cs="仿宋"/>
                <w:sz w:val="24"/>
                <w:highlight w:val="none"/>
              </w:rPr>
            </w:pPr>
            <w:r>
              <w:rPr>
                <w:rFonts w:hint="eastAsia" w:ascii="仿宋" w:hAnsi="仿宋" w:eastAsia="仿宋" w:cs="仿宋"/>
                <w:sz w:val="24"/>
                <w:highlight w:val="none"/>
              </w:rPr>
              <w:t>5001- 10000万元</w:t>
            </w:r>
          </w:p>
        </w:tc>
        <w:tc>
          <w:tcPr>
            <w:tcW w:w="892" w:type="dxa"/>
            <w:noWrap w:val="0"/>
            <w:vAlign w:val="center"/>
          </w:tcPr>
          <w:p w14:paraId="5DEA95AD">
            <w:pPr>
              <w:adjustRightInd/>
              <w:jc w:val="center"/>
              <w:rPr>
                <w:rFonts w:hint="eastAsia" w:ascii="仿宋" w:hAnsi="仿宋" w:eastAsia="仿宋" w:cs="仿宋"/>
                <w:sz w:val="24"/>
                <w:highlight w:val="none"/>
              </w:rPr>
            </w:pPr>
            <w:r>
              <w:rPr>
                <w:rFonts w:hint="eastAsia" w:ascii="仿宋" w:hAnsi="仿宋" w:eastAsia="仿宋" w:cs="仿宋"/>
                <w:sz w:val="24"/>
                <w:highlight w:val="none"/>
              </w:rPr>
              <w:t>10001-50000</w:t>
            </w:r>
          </w:p>
          <w:p w14:paraId="30E72C14">
            <w:pPr>
              <w:adjustRightInd/>
              <w:jc w:val="center"/>
              <w:rPr>
                <w:rFonts w:hint="eastAsia" w:ascii="仿宋" w:hAnsi="仿宋" w:eastAsia="仿宋" w:cs="仿宋"/>
                <w:sz w:val="24"/>
                <w:highlight w:val="none"/>
              </w:rPr>
            </w:pPr>
            <w:r>
              <w:rPr>
                <w:rFonts w:hint="eastAsia" w:ascii="仿宋" w:hAnsi="仿宋" w:eastAsia="仿宋" w:cs="仿宋"/>
                <w:sz w:val="24"/>
                <w:highlight w:val="none"/>
              </w:rPr>
              <w:t>万元</w:t>
            </w:r>
          </w:p>
        </w:tc>
        <w:tc>
          <w:tcPr>
            <w:tcW w:w="1058" w:type="dxa"/>
            <w:noWrap w:val="0"/>
            <w:vAlign w:val="center"/>
          </w:tcPr>
          <w:p w14:paraId="42611BE1">
            <w:pPr>
              <w:adjustRightInd/>
              <w:jc w:val="center"/>
              <w:rPr>
                <w:rFonts w:hint="eastAsia" w:ascii="仿宋" w:hAnsi="仿宋" w:eastAsia="仿宋" w:cs="仿宋"/>
                <w:sz w:val="24"/>
                <w:highlight w:val="none"/>
              </w:rPr>
            </w:pPr>
            <w:r>
              <w:rPr>
                <w:rFonts w:hint="eastAsia" w:ascii="仿宋" w:hAnsi="仿宋" w:eastAsia="仿宋" w:cs="仿宋"/>
                <w:sz w:val="24"/>
                <w:highlight w:val="none"/>
              </w:rPr>
              <w:t>50001-100000万元</w:t>
            </w:r>
          </w:p>
        </w:tc>
        <w:tc>
          <w:tcPr>
            <w:tcW w:w="854" w:type="dxa"/>
            <w:noWrap w:val="0"/>
            <w:vAlign w:val="center"/>
          </w:tcPr>
          <w:p w14:paraId="4FA90F6C">
            <w:pPr>
              <w:adjustRightInd/>
              <w:jc w:val="center"/>
              <w:rPr>
                <w:rFonts w:hint="eastAsia" w:ascii="仿宋" w:hAnsi="仿宋" w:eastAsia="仿宋" w:cs="仿宋"/>
                <w:sz w:val="24"/>
                <w:highlight w:val="none"/>
              </w:rPr>
            </w:pPr>
            <w:r>
              <w:rPr>
                <w:rFonts w:hint="eastAsia" w:ascii="仿宋" w:hAnsi="仿宋" w:eastAsia="仿宋" w:cs="仿宋"/>
                <w:sz w:val="24"/>
                <w:highlight w:val="none"/>
              </w:rPr>
              <w:t>100000万元以上</w:t>
            </w:r>
          </w:p>
        </w:tc>
      </w:tr>
      <w:tr w14:paraId="76B6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9" w:hRule="atLeast"/>
          <w:jc w:val="center"/>
        </w:trPr>
        <w:tc>
          <w:tcPr>
            <w:tcW w:w="452" w:type="dxa"/>
            <w:noWrap w:val="0"/>
            <w:vAlign w:val="center"/>
          </w:tcPr>
          <w:p w14:paraId="3344A088">
            <w:pPr>
              <w:adjustRightInd/>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774" w:type="dxa"/>
            <w:noWrap w:val="0"/>
            <w:vAlign w:val="center"/>
          </w:tcPr>
          <w:p w14:paraId="0EDA161E">
            <w:pPr>
              <w:adjustRightInd/>
              <w:jc w:val="center"/>
              <w:rPr>
                <w:rFonts w:hint="eastAsia" w:ascii="仿宋" w:hAnsi="仿宋" w:eastAsia="仿宋" w:cs="仿宋"/>
                <w:sz w:val="24"/>
                <w:highlight w:val="none"/>
              </w:rPr>
            </w:pPr>
            <w:r>
              <w:rPr>
                <w:rFonts w:hint="eastAsia" w:ascii="仿宋" w:hAnsi="仿宋" w:eastAsia="仿宋" w:cs="仿宋"/>
                <w:sz w:val="24"/>
                <w:highlight w:val="none"/>
              </w:rPr>
              <w:t>工程财务决算审核</w:t>
            </w:r>
          </w:p>
        </w:tc>
        <w:tc>
          <w:tcPr>
            <w:tcW w:w="718" w:type="dxa"/>
            <w:noWrap w:val="0"/>
            <w:vAlign w:val="center"/>
          </w:tcPr>
          <w:p w14:paraId="4F6E4AEC">
            <w:pPr>
              <w:adjustRightInd/>
              <w:jc w:val="center"/>
              <w:rPr>
                <w:rFonts w:hint="eastAsia" w:ascii="仿宋" w:hAnsi="仿宋" w:eastAsia="仿宋" w:cs="仿宋"/>
                <w:sz w:val="24"/>
                <w:highlight w:val="none"/>
              </w:rPr>
            </w:pPr>
            <w:r>
              <w:rPr>
                <w:rFonts w:hint="eastAsia" w:ascii="仿宋" w:hAnsi="仿宋" w:eastAsia="仿宋" w:cs="仿宋"/>
                <w:sz w:val="24"/>
                <w:highlight w:val="none"/>
              </w:rPr>
              <w:t>建设项目总费用</w:t>
            </w:r>
          </w:p>
        </w:tc>
        <w:tc>
          <w:tcPr>
            <w:tcW w:w="683" w:type="dxa"/>
            <w:noWrap w:val="0"/>
            <w:vAlign w:val="center"/>
          </w:tcPr>
          <w:p w14:paraId="3214C07E">
            <w:pPr>
              <w:adjustRightInd/>
              <w:jc w:val="center"/>
              <w:rPr>
                <w:rFonts w:hint="eastAsia" w:ascii="仿宋" w:hAnsi="仿宋" w:eastAsia="仿宋" w:cs="仿宋"/>
                <w:sz w:val="24"/>
                <w:highlight w:val="none"/>
              </w:rPr>
            </w:pPr>
            <w:r>
              <w:rPr>
                <w:rFonts w:hint="eastAsia" w:ascii="仿宋" w:hAnsi="仿宋" w:eastAsia="仿宋" w:cs="仿宋"/>
                <w:sz w:val="24"/>
                <w:highlight w:val="none"/>
              </w:rPr>
              <w:t xml:space="preserve"> 2.0</w:t>
            </w:r>
          </w:p>
        </w:tc>
        <w:tc>
          <w:tcPr>
            <w:tcW w:w="686" w:type="dxa"/>
            <w:noWrap w:val="0"/>
            <w:vAlign w:val="center"/>
          </w:tcPr>
          <w:p w14:paraId="2F4D392D">
            <w:pPr>
              <w:adjustRightInd/>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693" w:type="dxa"/>
            <w:noWrap w:val="0"/>
            <w:vAlign w:val="center"/>
          </w:tcPr>
          <w:p w14:paraId="73D5FBF1">
            <w:pPr>
              <w:adjustRightInd/>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656" w:type="dxa"/>
            <w:noWrap w:val="0"/>
            <w:vAlign w:val="center"/>
          </w:tcPr>
          <w:p w14:paraId="0975C60F">
            <w:pPr>
              <w:adjustRightInd/>
              <w:jc w:val="center"/>
              <w:rPr>
                <w:rFonts w:hint="eastAsia" w:ascii="仿宋" w:hAnsi="仿宋" w:eastAsia="仿宋" w:cs="仿宋"/>
                <w:sz w:val="24"/>
                <w:highlight w:val="none"/>
              </w:rPr>
            </w:pPr>
            <w:r>
              <w:rPr>
                <w:rFonts w:hint="eastAsia" w:ascii="仿宋" w:hAnsi="仿宋" w:eastAsia="仿宋" w:cs="仿宋"/>
                <w:sz w:val="24"/>
                <w:highlight w:val="none"/>
              </w:rPr>
              <w:t>0.8</w:t>
            </w:r>
          </w:p>
        </w:tc>
        <w:tc>
          <w:tcPr>
            <w:tcW w:w="570" w:type="dxa"/>
            <w:noWrap w:val="0"/>
            <w:vAlign w:val="center"/>
          </w:tcPr>
          <w:p w14:paraId="5CF92735">
            <w:pPr>
              <w:adjustRightInd/>
              <w:jc w:val="center"/>
              <w:rPr>
                <w:rFonts w:hint="eastAsia" w:ascii="仿宋" w:hAnsi="仿宋" w:eastAsia="仿宋" w:cs="仿宋"/>
                <w:sz w:val="24"/>
                <w:highlight w:val="none"/>
              </w:rPr>
            </w:pPr>
            <w:r>
              <w:rPr>
                <w:rFonts w:hint="eastAsia" w:ascii="仿宋" w:hAnsi="仿宋" w:eastAsia="仿宋" w:cs="仿宋"/>
                <w:sz w:val="24"/>
                <w:highlight w:val="none"/>
              </w:rPr>
              <w:t>0.5</w:t>
            </w:r>
          </w:p>
        </w:tc>
        <w:tc>
          <w:tcPr>
            <w:tcW w:w="760" w:type="dxa"/>
            <w:noWrap w:val="0"/>
            <w:vAlign w:val="center"/>
          </w:tcPr>
          <w:p w14:paraId="69D14685">
            <w:pPr>
              <w:adjustRightInd/>
              <w:jc w:val="center"/>
              <w:rPr>
                <w:rFonts w:hint="eastAsia" w:ascii="仿宋" w:hAnsi="仿宋" w:eastAsia="仿宋" w:cs="仿宋"/>
                <w:sz w:val="24"/>
                <w:highlight w:val="none"/>
              </w:rPr>
            </w:pPr>
            <w:r>
              <w:rPr>
                <w:rFonts w:hint="eastAsia" w:ascii="仿宋" w:hAnsi="仿宋" w:eastAsia="仿宋" w:cs="仿宋"/>
                <w:sz w:val="24"/>
                <w:highlight w:val="none"/>
              </w:rPr>
              <w:t>0.3</w:t>
            </w:r>
          </w:p>
        </w:tc>
        <w:tc>
          <w:tcPr>
            <w:tcW w:w="892" w:type="dxa"/>
            <w:noWrap w:val="0"/>
            <w:vAlign w:val="center"/>
          </w:tcPr>
          <w:p w14:paraId="7B7D0810">
            <w:pPr>
              <w:adjustRightInd/>
              <w:jc w:val="center"/>
              <w:rPr>
                <w:rFonts w:hint="eastAsia" w:ascii="仿宋" w:hAnsi="仿宋" w:eastAsia="仿宋" w:cs="仿宋"/>
                <w:sz w:val="24"/>
                <w:highlight w:val="none"/>
              </w:rPr>
            </w:pPr>
            <w:r>
              <w:rPr>
                <w:rFonts w:hint="eastAsia" w:ascii="仿宋" w:hAnsi="仿宋" w:eastAsia="仿宋" w:cs="仿宋"/>
                <w:sz w:val="24"/>
                <w:highlight w:val="none"/>
              </w:rPr>
              <w:t>0.1</w:t>
            </w:r>
          </w:p>
        </w:tc>
        <w:tc>
          <w:tcPr>
            <w:tcW w:w="1058" w:type="dxa"/>
            <w:noWrap w:val="0"/>
            <w:vAlign w:val="center"/>
          </w:tcPr>
          <w:p w14:paraId="549D33AD">
            <w:pPr>
              <w:adjustRightInd/>
              <w:jc w:val="center"/>
              <w:rPr>
                <w:rFonts w:hint="eastAsia" w:ascii="仿宋" w:hAnsi="仿宋" w:eastAsia="仿宋" w:cs="仿宋"/>
                <w:sz w:val="24"/>
                <w:highlight w:val="none"/>
              </w:rPr>
            </w:pPr>
            <w:r>
              <w:rPr>
                <w:rFonts w:hint="eastAsia" w:ascii="仿宋" w:hAnsi="仿宋" w:eastAsia="仿宋" w:cs="仿宋"/>
                <w:sz w:val="24"/>
                <w:highlight w:val="none"/>
              </w:rPr>
              <w:t>0.07</w:t>
            </w:r>
          </w:p>
        </w:tc>
        <w:tc>
          <w:tcPr>
            <w:tcW w:w="854" w:type="dxa"/>
            <w:noWrap w:val="0"/>
            <w:vAlign w:val="center"/>
          </w:tcPr>
          <w:p w14:paraId="21D6D72D">
            <w:pPr>
              <w:adjustRightInd/>
              <w:jc w:val="center"/>
              <w:rPr>
                <w:rFonts w:hint="eastAsia" w:ascii="仿宋" w:hAnsi="仿宋" w:eastAsia="仿宋" w:cs="仿宋"/>
                <w:sz w:val="24"/>
                <w:highlight w:val="none"/>
              </w:rPr>
            </w:pPr>
            <w:r>
              <w:rPr>
                <w:rFonts w:hint="eastAsia" w:ascii="仿宋" w:hAnsi="仿宋" w:eastAsia="仿宋" w:cs="仿宋"/>
                <w:sz w:val="24"/>
                <w:highlight w:val="none"/>
              </w:rPr>
              <w:t>0.05</w:t>
            </w:r>
          </w:p>
        </w:tc>
      </w:tr>
      <w:tr w14:paraId="169C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452" w:type="dxa"/>
            <w:noWrap w:val="0"/>
            <w:vAlign w:val="center"/>
          </w:tcPr>
          <w:p w14:paraId="7D59FE62">
            <w:pPr>
              <w:adjustRightInd/>
              <w:jc w:val="center"/>
              <w:rPr>
                <w:rFonts w:hint="eastAsia" w:ascii="仿宋" w:hAnsi="仿宋" w:eastAsia="仿宋" w:cs="仿宋"/>
                <w:sz w:val="24"/>
                <w:highlight w:val="none"/>
              </w:rPr>
            </w:pPr>
            <w:r>
              <w:rPr>
                <w:rFonts w:hint="eastAsia" w:ascii="仿宋" w:hAnsi="仿宋" w:eastAsia="仿宋" w:cs="仿宋"/>
                <w:sz w:val="24"/>
                <w:highlight w:val="none"/>
              </w:rPr>
              <w:t>最高限价</w:t>
            </w:r>
          </w:p>
        </w:tc>
        <w:tc>
          <w:tcPr>
            <w:tcW w:w="8344" w:type="dxa"/>
            <w:gridSpan w:val="11"/>
            <w:noWrap w:val="0"/>
            <w:vAlign w:val="center"/>
          </w:tcPr>
          <w:p w14:paraId="7A389D8B">
            <w:pPr>
              <w:adjustRightInd/>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上述标准收费的</w:t>
            </w:r>
            <w:r>
              <w:rPr>
                <w:rFonts w:hint="eastAsia" w:ascii="仿宋" w:hAnsi="仿宋" w:eastAsia="仿宋" w:cs="仿宋"/>
                <w:sz w:val="24"/>
                <w:highlight w:val="none"/>
                <w:lang w:val="en-US" w:eastAsia="zh-CN"/>
              </w:rPr>
              <w:t>90</w:t>
            </w:r>
            <w:r>
              <w:rPr>
                <w:rFonts w:hint="eastAsia" w:ascii="仿宋" w:hAnsi="仿宋" w:eastAsia="仿宋" w:cs="仿宋"/>
                <w:sz w:val="24"/>
                <w:highlight w:val="none"/>
              </w:rPr>
              <w:t>%</w:t>
            </w:r>
          </w:p>
        </w:tc>
      </w:tr>
    </w:tbl>
    <w:p w14:paraId="097F5963">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备注：</w:t>
      </w:r>
    </w:p>
    <w:p w14:paraId="44516B34">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1、报价应是</w:t>
      </w:r>
      <w:r>
        <w:rPr>
          <w:rFonts w:hint="eastAsia" w:ascii="仿宋" w:hAnsi="仿宋" w:eastAsia="仿宋" w:cs="仿宋"/>
          <w:kern w:val="0"/>
          <w:sz w:val="24"/>
          <w:highlight w:val="none"/>
          <w:lang w:eastAsia="zh-CN"/>
        </w:rPr>
        <w:t>采购文件</w:t>
      </w:r>
      <w:r>
        <w:rPr>
          <w:rFonts w:hint="eastAsia" w:ascii="仿宋" w:hAnsi="仿宋" w:eastAsia="仿宋" w:cs="仿宋"/>
          <w:kern w:val="0"/>
          <w:sz w:val="24"/>
          <w:highlight w:val="none"/>
        </w:rPr>
        <w:t>所确定的招标范围内全部工作内容的价格表现。</w:t>
      </w:r>
    </w:p>
    <w:p w14:paraId="3967F706">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2、工程竣工财务决算以单个项目（以立项文件为准）为单位，对单个项目最终计算收费小于2000元的，按2000元计算。</w:t>
      </w:r>
    </w:p>
    <w:p w14:paraId="3F3BC27A">
      <w:pPr>
        <w:pStyle w:val="2"/>
        <w:rPr>
          <w:rFonts w:hint="eastAsia" w:ascii="仿宋" w:hAnsi="仿宋" w:eastAsia="仿宋" w:cs="仿宋"/>
          <w:highlight w:val="none"/>
        </w:rPr>
      </w:pPr>
    </w:p>
    <w:p w14:paraId="451C73D9">
      <w:pPr>
        <w:rPr>
          <w:rFonts w:hint="eastAsia" w:ascii="仿宋" w:hAnsi="仿宋" w:eastAsia="仿宋" w:cs="仿宋"/>
          <w:highlight w:val="none"/>
        </w:rPr>
      </w:pPr>
      <w:r>
        <w:rPr>
          <w:rFonts w:hint="eastAsia" w:ascii="仿宋" w:hAnsi="仿宋" w:eastAsia="仿宋" w:cs="仿宋"/>
          <w:highlight w:val="none"/>
        </w:rPr>
        <w:br w:type="page"/>
      </w:r>
    </w:p>
    <w:p w14:paraId="2208FC44">
      <w:pPr>
        <w:pStyle w:val="4"/>
        <w:keepNext/>
        <w:keepLines/>
        <w:pageBreakBefore w:val="0"/>
        <w:widowControl w:val="0"/>
        <w:tabs>
          <w:tab w:val="left" w:pos="432"/>
        </w:tabs>
        <w:kinsoku/>
        <w:wordWrap/>
        <w:overflowPunct/>
        <w:topLinePunct w:val="0"/>
        <w:autoSpaceDE/>
        <w:autoSpaceDN/>
        <w:bidi w:val="0"/>
        <w:adjustRightInd w:val="0"/>
        <w:snapToGrid w:val="0"/>
        <w:spacing w:line="360" w:lineRule="auto"/>
        <w:ind w:left="0" w:firstLine="0"/>
        <w:textAlignment w:val="auto"/>
        <w:rPr>
          <w:rFonts w:hint="eastAsia" w:ascii="仿宋" w:hAnsi="仿宋" w:eastAsia="仿宋" w:cs="仿宋"/>
          <w:sz w:val="24"/>
          <w:szCs w:val="24"/>
          <w:highlight w:val="none"/>
          <w:lang w:val="en-US" w:eastAsia="zh-CN"/>
        </w:rPr>
      </w:pPr>
      <w:bookmarkStart w:id="148" w:name="_Toc13232"/>
      <w:r>
        <w:rPr>
          <w:rFonts w:hint="eastAsia" w:ascii="仿宋" w:hAnsi="仿宋" w:eastAsia="仿宋" w:cs="仿宋"/>
          <w:sz w:val="24"/>
          <w:szCs w:val="24"/>
          <w:highlight w:val="none"/>
          <w:lang w:val="en-US" w:eastAsia="zh-CN"/>
        </w:rPr>
        <w:t>二、单个委托项目合同</w:t>
      </w:r>
      <w:bookmarkEnd w:id="148"/>
    </w:p>
    <w:p w14:paraId="77D0339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b/>
          <w:sz w:val="30"/>
          <w:szCs w:val="30"/>
          <w:highlight w:val="none"/>
        </w:rPr>
      </w:pPr>
      <w:r>
        <w:rPr>
          <w:rFonts w:hint="eastAsia" w:ascii="仿宋" w:hAnsi="仿宋" w:eastAsia="仿宋" w:cs="仿宋"/>
          <w:b/>
          <w:sz w:val="30"/>
          <w:szCs w:val="30"/>
          <w:highlight w:val="none"/>
        </w:rPr>
        <w:t>政府投资项目竣工财务决算委托评审协议书</w:t>
      </w:r>
    </w:p>
    <w:p w14:paraId="018B76E2">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u w:val="single"/>
        </w:rPr>
        <w:t>杭州</w:t>
      </w:r>
      <w:r>
        <w:rPr>
          <w:rFonts w:hint="eastAsia" w:ascii="仿宋" w:hAnsi="仿宋" w:eastAsia="仿宋" w:cs="仿宋"/>
          <w:color w:val="000000"/>
          <w:sz w:val="24"/>
          <w:szCs w:val="24"/>
          <w:highlight w:val="none"/>
          <w:u w:val="single"/>
          <w:lang w:eastAsia="zh-CN"/>
        </w:rPr>
        <w:t>市钱塘区政府投资项目评审服务中心</w:t>
      </w:r>
      <w:r>
        <w:rPr>
          <w:rFonts w:hint="eastAsia" w:ascii="仿宋" w:hAnsi="仿宋" w:eastAsia="仿宋" w:cs="仿宋"/>
          <w:color w:val="000000"/>
          <w:sz w:val="24"/>
          <w:szCs w:val="24"/>
          <w:highlight w:val="none"/>
        </w:rPr>
        <w:t>（委托人）</w:t>
      </w:r>
    </w:p>
    <w:p w14:paraId="2B22A49D">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联系地址：</w:t>
      </w:r>
    </w:p>
    <w:p w14:paraId="3C48D964">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联系人：</w:t>
      </w:r>
    </w:p>
    <w:p w14:paraId="616079B4">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lang w:val="en-US" w:eastAsia="zh-CN"/>
        </w:rPr>
        <w:t>联系电话：</w:t>
      </w:r>
    </w:p>
    <w:p w14:paraId="0246394C">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none"/>
          <w:lang w:val="en-US" w:eastAsia="zh-CN"/>
        </w:rPr>
        <w:t>乙方：</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rPr>
        <w:t>委托人</w:t>
      </w:r>
      <w:r>
        <w:rPr>
          <w:rFonts w:hint="eastAsia" w:ascii="仿宋" w:hAnsi="仿宋" w:eastAsia="仿宋" w:cs="仿宋"/>
          <w:color w:val="000000"/>
          <w:sz w:val="24"/>
          <w:szCs w:val="24"/>
          <w:highlight w:val="none"/>
        </w:rPr>
        <w:t>）</w:t>
      </w:r>
    </w:p>
    <w:p w14:paraId="13866133">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联系地址：</w:t>
      </w:r>
    </w:p>
    <w:p w14:paraId="3B7FE132">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联系人：</w:t>
      </w:r>
    </w:p>
    <w:p w14:paraId="3B69D0C5">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联系电话：</w:t>
      </w:r>
    </w:p>
    <w:p w14:paraId="25D4E047">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丙</w:t>
      </w:r>
      <w:r>
        <w:rPr>
          <w:rFonts w:hint="eastAsia" w:ascii="仿宋" w:hAnsi="仿宋" w:eastAsia="仿宋" w:cs="仿宋"/>
          <w:color w:val="000000"/>
          <w:sz w:val="24"/>
          <w:szCs w:val="24"/>
          <w:highlight w:val="none"/>
        </w:rPr>
        <w:t>方：</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（受委托人）</w:t>
      </w:r>
    </w:p>
    <w:p w14:paraId="563841C9">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联系地址：</w:t>
      </w:r>
    </w:p>
    <w:p w14:paraId="0E3F888D">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联系人：</w:t>
      </w:r>
    </w:p>
    <w:p w14:paraId="0E9E5086">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联系电话：</w:t>
      </w:r>
    </w:p>
    <w:p w14:paraId="007F1791">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rPr>
      </w:pPr>
    </w:p>
    <w:p w14:paraId="0751C540">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根据《中华人民共和国</w:t>
      </w:r>
      <w:r>
        <w:rPr>
          <w:rFonts w:hint="eastAsia" w:ascii="仿宋" w:hAnsi="仿宋" w:eastAsia="仿宋" w:cs="仿宋"/>
          <w:color w:val="000000"/>
          <w:sz w:val="24"/>
          <w:szCs w:val="24"/>
          <w:highlight w:val="none"/>
          <w:lang w:val="en-US" w:eastAsia="zh-CN"/>
        </w:rPr>
        <w:t>民</w:t>
      </w:r>
      <w:r>
        <w:rPr>
          <w:rFonts w:hint="eastAsia" w:ascii="仿宋" w:hAnsi="仿宋" w:eastAsia="仿宋" w:cs="仿宋"/>
          <w:color w:val="000000"/>
          <w:sz w:val="24"/>
          <w:szCs w:val="24"/>
          <w:highlight w:val="none"/>
        </w:rPr>
        <w:t>法</w:t>
      </w:r>
      <w:r>
        <w:rPr>
          <w:rFonts w:hint="eastAsia" w:ascii="仿宋" w:hAnsi="仿宋" w:eastAsia="仿宋" w:cs="仿宋"/>
          <w:color w:val="000000"/>
          <w:sz w:val="24"/>
          <w:szCs w:val="24"/>
          <w:highlight w:val="none"/>
          <w:lang w:val="en-US" w:eastAsia="zh-CN"/>
        </w:rPr>
        <w:t>典</w:t>
      </w:r>
      <w:r>
        <w:rPr>
          <w:rFonts w:hint="eastAsia" w:ascii="仿宋" w:hAnsi="仿宋" w:eastAsia="仿宋" w:cs="仿宋"/>
          <w:color w:val="000000"/>
          <w:sz w:val="24"/>
          <w:szCs w:val="24"/>
          <w:highlight w:val="none"/>
        </w:rPr>
        <w:t>》、《杭州市财政性投资项目委托审核业务费计费标准》</w:t>
      </w:r>
      <w:r>
        <w:rPr>
          <w:rFonts w:hint="eastAsia" w:ascii="仿宋" w:hAnsi="仿宋" w:eastAsia="仿宋" w:cs="仿宋"/>
          <w:color w:val="000000"/>
          <w:sz w:val="24"/>
          <w:szCs w:val="24"/>
          <w:highlight w:val="none"/>
          <w:lang w:eastAsia="zh-CN"/>
        </w:rPr>
        <w:t>、</w:t>
      </w:r>
      <w:r>
        <w:rPr>
          <w:rFonts w:hint="eastAsia" w:ascii="仿宋" w:hAnsi="仿宋" w:eastAsia="仿宋" w:cs="仿宋"/>
          <w:bCs w:val="0"/>
          <w:color w:val="000000"/>
          <w:kern w:val="0"/>
          <w:sz w:val="24"/>
          <w:szCs w:val="24"/>
          <w:highlight w:val="none"/>
          <w:lang w:val="en-US" w:eastAsia="zh-CN" w:bidi="ar"/>
        </w:rPr>
        <w:t>《杭州市钱塘区政府投资项目管理办法（试行）》</w:t>
      </w:r>
      <w:r>
        <w:rPr>
          <w:rFonts w:hint="eastAsia" w:ascii="仿宋" w:hAnsi="仿宋" w:eastAsia="仿宋" w:cs="仿宋"/>
          <w:color w:val="000000"/>
          <w:sz w:val="24"/>
          <w:szCs w:val="24"/>
          <w:highlight w:val="none"/>
        </w:rPr>
        <w:t>等法律法规，为明确</w:t>
      </w:r>
      <w:r>
        <w:rPr>
          <w:rFonts w:hint="eastAsia" w:ascii="仿宋" w:hAnsi="仿宋" w:eastAsia="仿宋" w:cs="仿宋"/>
          <w:color w:val="000000"/>
          <w:sz w:val="24"/>
          <w:szCs w:val="24"/>
          <w:highlight w:val="none"/>
          <w:lang w:eastAsia="zh-CN"/>
        </w:rPr>
        <w:t>三</w:t>
      </w:r>
      <w:r>
        <w:rPr>
          <w:rFonts w:hint="eastAsia" w:ascii="仿宋" w:hAnsi="仿宋" w:eastAsia="仿宋" w:cs="仿宋"/>
          <w:color w:val="000000"/>
          <w:sz w:val="24"/>
          <w:szCs w:val="24"/>
          <w:highlight w:val="none"/>
        </w:rPr>
        <w:t>方的权利义务，经协商，一致同意订立本协议，</w:t>
      </w:r>
      <w:r>
        <w:rPr>
          <w:rFonts w:hint="eastAsia" w:ascii="仿宋" w:hAnsi="仿宋" w:eastAsia="仿宋" w:cs="仿宋"/>
          <w:color w:val="000000"/>
          <w:sz w:val="24"/>
          <w:szCs w:val="24"/>
          <w:highlight w:val="none"/>
          <w:lang w:eastAsia="zh-CN"/>
        </w:rPr>
        <w:t>三</w:t>
      </w:r>
      <w:r>
        <w:rPr>
          <w:rFonts w:hint="eastAsia" w:ascii="仿宋" w:hAnsi="仿宋" w:eastAsia="仿宋" w:cs="仿宋"/>
          <w:color w:val="000000"/>
          <w:sz w:val="24"/>
          <w:szCs w:val="24"/>
          <w:highlight w:val="none"/>
        </w:rPr>
        <w:t>方共同遵守执行。</w:t>
      </w:r>
    </w:p>
    <w:p w14:paraId="4A01B8C0">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b/>
          <w:bCs/>
          <w:sz w:val="24"/>
          <w:szCs w:val="24"/>
          <w:highlight w:val="none"/>
        </w:rPr>
      </w:pPr>
      <w:r>
        <w:rPr>
          <w:rFonts w:hint="eastAsia" w:ascii="仿宋" w:hAnsi="仿宋" w:eastAsia="仿宋" w:cs="仿宋"/>
          <w:b/>
          <w:bCs/>
          <w:color w:val="000000"/>
          <w:sz w:val="24"/>
          <w:szCs w:val="24"/>
          <w:highlight w:val="none"/>
        </w:rPr>
        <w:t>一、委托事项</w:t>
      </w:r>
    </w:p>
    <w:p w14:paraId="5DDF68C7">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委托</w:t>
      </w:r>
      <w:r>
        <w:rPr>
          <w:rFonts w:hint="eastAsia" w:ascii="仿宋" w:hAnsi="仿宋" w:eastAsia="仿宋" w:cs="仿宋"/>
          <w:color w:val="000000"/>
          <w:sz w:val="24"/>
          <w:szCs w:val="24"/>
          <w:highlight w:val="none"/>
          <w:lang w:eastAsia="zh-CN"/>
        </w:rPr>
        <w:t>丙</w:t>
      </w:r>
      <w:r>
        <w:rPr>
          <w:rFonts w:hint="eastAsia" w:ascii="仿宋" w:hAnsi="仿宋" w:eastAsia="仿宋" w:cs="仿宋"/>
          <w:color w:val="000000"/>
          <w:sz w:val="24"/>
          <w:szCs w:val="24"/>
          <w:highlight w:val="none"/>
        </w:rPr>
        <w:t>方对下列工程进行财务决算审核，</w:t>
      </w:r>
      <w:r>
        <w:rPr>
          <w:rFonts w:hint="eastAsia" w:ascii="仿宋" w:hAnsi="仿宋" w:eastAsia="仿宋" w:cs="仿宋"/>
          <w:color w:val="000000"/>
          <w:sz w:val="24"/>
          <w:szCs w:val="24"/>
          <w:highlight w:val="none"/>
          <w:lang w:eastAsia="zh-CN"/>
        </w:rPr>
        <w:t>丙</w:t>
      </w:r>
      <w:r>
        <w:rPr>
          <w:rFonts w:hint="eastAsia" w:ascii="仿宋" w:hAnsi="仿宋" w:eastAsia="仿宋" w:cs="仿宋"/>
          <w:color w:val="000000"/>
          <w:sz w:val="24"/>
          <w:szCs w:val="24"/>
          <w:highlight w:val="none"/>
        </w:rPr>
        <w:t>方到</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进行实地评审，并出具财务竣工决算</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w:t>
      </w:r>
    </w:p>
    <w:p w14:paraId="281D3BB7">
      <w:pPr>
        <w:pageBreakBefore w:val="0"/>
        <w:widowControl w:val="0"/>
        <w:kinsoku/>
        <w:wordWrap/>
        <w:overflowPunct/>
        <w:topLinePunct w:val="0"/>
        <w:autoSpaceDE/>
        <w:autoSpaceDN/>
        <w:bidi w:val="0"/>
        <w:adjustRightInd w:val="0"/>
        <w:snapToGrid w:val="0"/>
        <w:spacing w:line="360" w:lineRule="auto"/>
        <w:ind w:left="0" w:leftChars="0" w:firstLine="600" w:firstLineChars="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工程名称：</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p>
    <w:p w14:paraId="6D1957D3">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b/>
          <w:bCs/>
          <w:sz w:val="24"/>
          <w:szCs w:val="24"/>
          <w:highlight w:val="none"/>
        </w:rPr>
      </w:pPr>
      <w:r>
        <w:rPr>
          <w:rFonts w:hint="eastAsia" w:ascii="仿宋" w:hAnsi="仿宋" w:eastAsia="仿宋" w:cs="仿宋"/>
          <w:b/>
          <w:bCs/>
          <w:color w:val="000000"/>
          <w:sz w:val="24"/>
          <w:szCs w:val="24"/>
          <w:highlight w:val="none"/>
        </w:rPr>
        <w:t>二、评审目的</w:t>
      </w:r>
    </w:p>
    <w:p w14:paraId="32C98CB7">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合理确定建设工程项目成本，确保工程各项支出真实、合法、合规、合理。</w:t>
      </w:r>
    </w:p>
    <w:p w14:paraId="73894515">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b/>
          <w:bCs/>
          <w:sz w:val="24"/>
          <w:szCs w:val="24"/>
          <w:highlight w:val="none"/>
        </w:rPr>
      </w:pPr>
      <w:r>
        <w:rPr>
          <w:rFonts w:hint="eastAsia" w:ascii="仿宋" w:hAnsi="仿宋" w:eastAsia="仿宋" w:cs="仿宋"/>
          <w:b/>
          <w:bCs/>
          <w:color w:val="000000"/>
          <w:sz w:val="24"/>
          <w:szCs w:val="24"/>
          <w:highlight w:val="none"/>
        </w:rPr>
        <w:t>三、甲方的权利和义务</w:t>
      </w:r>
    </w:p>
    <w:p w14:paraId="5F5C54B0">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1、甲方负责督促</w:t>
      </w:r>
      <w:r>
        <w:rPr>
          <w:rFonts w:hint="eastAsia" w:ascii="仿宋" w:hAnsi="仿宋" w:eastAsia="仿宋" w:cs="仿宋"/>
          <w:color w:val="000000"/>
          <w:sz w:val="24"/>
          <w:szCs w:val="24"/>
          <w:highlight w:val="none"/>
          <w:lang w:val="en-US" w:eastAsia="zh-CN"/>
        </w:rPr>
        <w:t>乙方将</w:t>
      </w:r>
      <w:r>
        <w:rPr>
          <w:rFonts w:hint="eastAsia" w:ascii="仿宋" w:hAnsi="仿宋" w:eastAsia="仿宋" w:cs="仿宋"/>
          <w:bCs w:val="0"/>
          <w:color w:val="000000"/>
          <w:kern w:val="0"/>
          <w:sz w:val="24"/>
          <w:szCs w:val="24"/>
          <w:highlight w:val="none"/>
          <w:lang w:val="en-US" w:eastAsia="zh-CN" w:bidi="ar"/>
        </w:rPr>
        <w:t>竣工财务决算所需</w:t>
      </w:r>
      <w:r>
        <w:rPr>
          <w:rFonts w:hint="eastAsia" w:ascii="仿宋" w:hAnsi="仿宋" w:eastAsia="仿宋" w:cs="仿宋"/>
          <w:color w:val="000000"/>
          <w:sz w:val="24"/>
          <w:szCs w:val="24"/>
          <w:highlight w:val="none"/>
        </w:rPr>
        <w:t>资料移交给</w:t>
      </w:r>
      <w:r>
        <w:rPr>
          <w:rFonts w:hint="eastAsia" w:ascii="仿宋" w:hAnsi="仿宋" w:eastAsia="仿宋" w:cs="仿宋"/>
          <w:color w:val="000000"/>
          <w:sz w:val="24"/>
          <w:szCs w:val="24"/>
          <w:highlight w:val="none"/>
          <w:lang w:eastAsia="zh-CN"/>
        </w:rPr>
        <w:t>丙</w:t>
      </w:r>
      <w:r>
        <w:rPr>
          <w:rFonts w:hint="eastAsia" w:ascii="仿宋" w:hAnsi="仿宋" w:eastAsia="仿宋" w:cs="仿宋"/>
          <w:color w:val="000000"/>
          <w:sz w:val="24"/>
          <w:szCs w:val="24"/>
          <w:highlight w:val="none"/>
        </w:rPr>
        <w:t>方。</w:t>
      </w:r>
    </w:p>
    <w:p w14:paraId="5CA9C8FF">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2、甲方负责对</w:t>
      </w:r>
      <w:r>
        <w:rPr>
          <w:rFonts w:hint="eastAsia" w:ascii="仿宋" w:hAnsi="仿宋" w:eastAsia="仿宋" w:cs="仿宋"/>
          <w:color w:val="000000"/>
          <w:sz w:val="24"/>
          <w:szCs w:val="24"/>
          <w:highlight w:val="none"/>
          <w:lang w:eastAsia="zh-CN"/>
        </w:rPr>
        <w:t>丙</w:t>
      </w:r>
      <w:r>
        <w:rPr>
          <w:rFonts w:hint="eastAsia" w:ascii="仿宋" w:hAnsi="仿宋" w:eastAsia="仿宋" w:cs="仿宋"/>
          <w:color w:val="000000"/>
          <w:sz w:val="24"/>
          <w:szCs w:val="24"/>
          <w:highlight w:val="none"/>
        </w:rPr>
        <w:t>方的审核质量、履约情况和现场工作进行监督管理。</w:t>
      </w:r>
    </w:p>
    <w:p w14:paraId="74ED70A9">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3、甲方应按照约定向</w:t>
      </w:r>
      <w:r>
        <w:rPr>
          <w:rFonts w:hint="eastAsia" w:ascii="仿宋" w:hAnsi="仿宋" w:eastAsia="仿宋" w:cs="仿宋"/>
          <w:color w:val="000000"/>
          <w:sz w:val="24"/>
          <w:szCs w:val="24"/>
          <w:highlight w:val="none"/>
          <w:lang w:eastAsia="zh-CN"/>
        </w:rPr>
        <w:t>丙</w:t>
      </w:r>
      <w:r>
        <w:rPr>
          <w:rFonts w:hint="eastAsia" w:ascii="仿宋" w:hAnsi="仿宋" w:eastAsia="仿宋" w:cs="仿宋"/>
          <w:color w:val="000000"/>
          <w:sz w:val="24"/>
          <w:szCs w:val="24"/>
          <w:highlight w:val="none"/>
        </w:rPr>
        <w:t>方支付审核费用。</w:t>
      </w:r>
    </w:p>
    <w:p w14:paraId="0435A3CC">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w:t>
      </w:r>
      <w:r>
        <w:rPr>
          <w:rFonts w:hint="eastAsia" w:ascii="仿宋" w:hAnsi="仿宋" w:eastAsia="仿宋" w:cs="仿宋"/>
          <w:b/>
          <w:bCs/>
          <w:color w:val="000000"/>
          <w:sz w:val="24"/>
          <w:szCs w:val="24"/>
          <w:highlight w:val="none"/>
          <w:lang w:eastAsia="zh-CN"/>
        </w:rPr>
        <w:t>乙</w:t>
      </w:r>
      <w:r>
        <w:rPr>
          <w:rFonts w:hint="eastAsia" w:ascii="仿宋" w:hAnsi="仿宋" w:eastAsia="仿宋" w:cs="仿宋"/>
          <w:b/>
          <w:bCs/>
          <w:color w:val="000000"/>
          <w:sz w:val="24"/>
          <w:szCs w:val="24"/>
          <w:highlight w:val="none"/>
        </w:rPr>
        <w:t>方的权利和义务</w:t>
      </w:r>
    </w:p>
    <w:p w14:paraId="59FC2A75">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应当认真做好各项清理工作，包括账目核对及账务调整、财产物资核实处理、债权实现和债务清偿、档案资料归集整理等</w:t>
      </w:r>
      <w:r>
        <w:rPr>
          <w:rFonts w:hint="eastAsia" w:ascii="仿宋" w:hAnsi="仿宋" w:eastAsia="仿宋" w:cs="仿宋"/>
          <w:color w:val="000000"/>
          <w:sz w:val="24"/>
          <w:szCs w:val="24"/>
          <w:highlight w:val="none"/>
          <w:lang w:eastAsia="zh-CN"/>
        </w:rPr>
        <w:t>。</w:t>
      </w:r>
    </w:p>
    <w:p w14:paraId="0E6F57AD">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2、按照国家和省有关规定编制竣工财务决算。</w:t>
      </w:r>
    </w:p>
    <w:p w14:paraId="0F7F72D3">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3、及时移交相关资料给丙方，</w:t>
      </w:r>
      <w:r>
        <w:rPr>
          <w:rFonts w:hint="eastAsia" w:ascii="仿宋" w:hAnsi="仿宋" w:eastAsia="仿宋" w:cs="仿宋"/>
          <w:bCs w:val="0"/>
          <w:color w:val="000000"/>
          <w:kern w:val="0"/>
          <w:sz w:val="24"/>
          <w:szCs w:val="24"/>
          <w:highlight w:val="none"/>
          <w:lang w:val="en-US" w:eastAsia="zh-CN" w:bidi="ar"/>
        </w:rPr>
        <w:t>对报审资料严格把关，确保报审资料的合法性、真实性、完整性,</w:t>
      </w:r>
      <w:r>
        <w:rPr>
          <w:rFonts w:hint="eastAsia" w:ascii="仿宋" w:hAnsi="仿宋" w:eastAsia="仿宋" w:cs="仿宋"/>
          <w:color w:val="000000"/>
          <w:sz w:val="24"/>
          <w:szCs w:val="24"/>
          <w:highlight w:val="none"/>
          <w:lang w:val="en-US" w:eastAsia="zh-CN"/>
        </w:rPr>
        <w:t>积极配合甲方和丙方的复核工作。</w:t>
      </w:r>
    </w:p>
    <w:p w14:paraId="3F2B9A52">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4、对丙方出具的待摊投资费用的复核结果予以确认，对甲方反馈的关于工程价款结算部分的复核结果予以认定并确定是否采纳，并</w:t>
      </w:r>
      <w:r>
        <w:rPr>
          <w:rFonts w:hint="eastAsia" w:ascii="仿宋" w:hAnsi="仿宋" w:eastAsia="仿宋" w:cs="仿宋"/>
          <w:bCs w:val="0"/>
          <w:color w:val="000000"/>
          <w:kern w:val="0"/>
          <w:sz w:val="24"/>
          <w:szCs w:val="24"/>
          <w:highlight w:val="none"/>
          <w:lang w:val="en-US" w:eastAsia="zh-CN" w:bidi="ar"/>
        </w:rPr>
        <w:t>应将有关情况及时反馈给甲方</w:t>
      </w:r>
      <w:r>
        <w:rPr>
          <w:rFonts w:hint="eastAsia" w:ascii="仿宋" w:hAnsi="仿宋" w:eastAsia="仿宋" w:cs="仿宋"/>
          <w:color w:val="000000"/>
          <w:sz w:val="24"/>
          <w:szCs w:val="24"/>
          <w:highlight w:val="none"/>
          <w:lang w:val="en-US" w:eastAsia="zh-CN"/>
        </w:rPr>
        <w:t>。</w:t>
      </w:r>
    </w:p>
    <w:p w14:paraId="343190E8">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b/>
          <w:bCs/>
          <w:sz w:val="24"/>
          <w:szCs w:val="24"/>
          <w:highlight w:val="none"/>
        </w:rPr>
      </w:pPr>
      <w:r>
        <w:rPr>
          <w:rFonts w:hint="eastAsia" w:ascii="仿宋" w:hAnsi="仿宋" w:eastAsia="仿宋" w:cs="仿宋"/>
          <w:b/>
          <w:bCs/>
          <w:color w:val="000000"/>
          <w:sz w:val="24"/>
          <w:szCs w:val="24"/>
          <w:highlight w:val="none"/>
          <w:lang w:eastAsia="zh-CN"/>
        </w:rPr>
        <w:t>五</w:t>
      </w: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eastAsia="zh-CN"/>
        </w:rPr>
        <w:t>丙</w:t>
      </w:r>
      <w:r>
        <w:rPr>
          <w:rFonts w:hint="eastAsia" w:ascii="仿宋" w:hAnsi="仿宋" w:eastAsia="仿宋" w:cs="仿宋"/>
          <w:b/>
          <w:bCs/>
          <w:color w:val="000000"/>
          <w:sz w:val="24"/>
          <w:szCs w:val="24"/>
          <w:highlight w:val="none"/>
        </w:rPr>
        <w:t>方的权利和义务</w:t>
      </w:r>
    </w:p>
    <w:p w14:paraId="21320638">
      <w:pPr>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丙</w:t>
      </w:r>
      <w:r>
        <w:rPr>
          <w:rFonts w:hint="eastAsia" w:ascii="仿宋" w:hAnsi="仿宋" w:eastAsia="仿宋" w:cs="仿宋"/>
          <w:color w:val="000000"/>
          <w:sz w:val="24"/>
          <w:szCs w:val="24"/>
          <w:highlight w:val="none"/>
        </w:rPr>
        <w:t>方审核人员在办理审核事项时，应当客观公正、实事求是、</w:t>
      </w:r>
      <w:r>
        <w:rPr>
          <w:rFonts w:hint="eastAsia" w:ascii="仿宋" w:hAnsi="仿宋" w:eastAsia="仿宋" w:cs="仿宋"/>
          <w:color w:val="000000"/>
          <w:sz w:val="24"/>
          <w:szCs w:val="24"/>
          <w:highlight w:val="none"/>
          <w:lang w:val="en-US" w:eastAsia="zh-CN"/>
        </w:rPr>
        <w:t>合理合法、</w:t>
      </w:r>
      <w:r>
        <w:rPr>
          <w:rFonts w:hint="eastAsia" w:ascii="仿宋" w:hAnsi="仿宋" w:eastAsia="仿宋" w:cs="仿宋"/>
          <w:color w:val="000000"/>
          <w:sz w:val="24"/>
          <w:szCs w:val="24"/>
          <w:highlight w:val="none"/>
        </w:rPr>
        <w:t>廉洁奉公，并保持严谨、稳健、负责的职业态度。在执行审核任务时，应真实反映审核结果，客观评价审核事项。</w:t>
      </w:r>
    </w:p>
    <w:p w14:paraId="2F0ED6F5">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丙</w:t>
      </w:r>
      <w:r>
        <w:rPr>
          <w:rFonts w:hint="eastAsia" w:ascii="仿宋" w:hAnsi="仿宋" w:eastAsia="仿宋" w:cs="仿宋"/>
          <w:color w:val="000000"/>
          <w:sz w:val="24"/>
          <w:szCs w:val="24"/>
          <w:highlight w:val="none"/>
        </w:rPr>
        <w:t>方应</w:t>
      </w:r>
      <w:r>
        <w:rPr>
          <w:rFonts w:hint="eastAsia" w:ascii="仿宋" w:hAnsi="仿宋" w:eastAsia="仿宋" w:cs="仿宋"/>
          <w:color w:val="000000"/>
          <w:sz w:val="24"/>
          <w:szCs w:val="24"/>
          <w:highlight w:val="none"/>
          <w:lang w:val="en-US" w:eastAsia="zh-CN"/>
        </w:rPr>
        <w:t>在（）天内</w:t>
      </w:r>
      <w:r>
        <w:rPr>
          <w:rFonts w:hint="eastAsia" w:ascii="仿宋" w:hAnsi="仿宋" w:eastAsia="仿宋" w:cs="仿宋"/>
          <w:color w:val="000000"/>
          <w:sz w:val="24"/>
          <w:szCs w:val="24"/>
          <w:highlight w:val="none"/>
        </w:rPr>
        <w:t>完成审核任务</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并向甲方提交电子版评审报告及书面评审报告一式</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份</w:t>
      </w:r>
      <w:r>
        <w:rPr>
          <w:rFonts w:hint="eastAsia" w:ascii="仿宋" w:hAnsi="仿宋" w:eastAsia="仿宋" w:cs="仿宋"/>
          <w:color w:val="000000"/>
          <w:sz w:val="24"/>
          <w:szCs w:val="24"/>
          <w:highlight w:val="none"/>
        </w:rPr>
        <w:t>。</w:t>
      </w:r>
    </w:p>
    <w:p w14:paraId="6DB20C19">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3、对在执行业务过程中知悉的甲方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丙方</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保密信息、</w:t>
      </w:r>
      <w:r>
        <w:rPr>
          <w:rFonts w:hint="eastAsia" w:ascii="仿宋" w:hAnsi="仿宋" w:eastAsia="仿宋" w:cs="仿宋"/>
          <w:color w:val="000000"/>
          <w:sz w:val="24"/>
          <w:szCs w:val="24"/>
          <w:highlight w:val="none"/>
        </w:rPr>
        <w:t>商业秘密、其他企业信息及工程项目资料等保密。</w:t>
      </w:r>
    </w:p>
    <w:p w14:paraId="5DC8BF43">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丙</w:t>
      </w:r>
      <w:r>
        <w:rPr>
          <w:rFonts w:hint="eastAsia" w:ascii="仿宋" w:hAnsi="仿宋" w:eastAsia="仿宋" w:cs="仿宋"/>
          <w:color w:val="000000"/>
          <w:sz w:val="24"/>
          <w:szCs w:val="24"/>
          <w:highlight w:val="none"/>
        </w:rPr>
        <w:t>方不得将</w:t>
      </w:r>
      <w:r>
        <w:rPr>
          <w:rFonts w:hint="eastAsia" w:ascii="仿宋" w:hAnsi="仿宋" w:eastAsia="仿宋" w:cs="仿宋"/>
          <w:color w:val="000000"/>
          <w:sz w:val="24"/>
          <w:szCs w:val="24"/>
          <w:highlight w:val="none"/>
          <w:lang w:val="en-US"/>
        </w:rPr>
        <w:t>甲</w:t>
      </w:r>
      <w:r>
        <w:rPr>
          <w:rFonts w:hint="eastAsia" w:ascii="仿宋" w:hAnsi="仿宋" w:eastAsia="仿宋" w:cs="仿宋"/>
          <w:color w:val="000000"/>
          <w:sz w:val="24"/>
          <w:szCs w:val="24"/>
          <w:highlight w:val="none"/>
          <w:lang w:val="en-US" w:eastAsia="zh-CN"/>
        </w:rPr>
        <w:t>乙双</w:t>
      </w:r>
      <w:r>
        <w:rPr>
          <w:rFonts w:hint="eastAsia" w:ascii="仿宋" w:hAnsi="仿宋" w:eastAsia="仿宋" w:cs="仿宋"/>
          <w:color w:val="000000"/>
          <w:sz w:val="24"/>
          <w:szCs w:val="24"/>
          <w:highlight w:val="none"/>
          <w:lang w:val="en-US"/>
        </w:rPr>
        <w:t>方</w:t>
      </w:r>
      <w:r>
        <w:rPr>
          <w:rFonts w:hint="eastAsia" w:ascii="仿宋" w:hAnsi="仿宋" w:eastAsia="仿宋" w:cs="仿宋"/>
          <w:color w:val="000000"/>
          <w:sz w:val="24"/>
          <w:szCs w:val="24"/>
          <w:highlight w:val="none"/>
          <w:lang w:val="en-US" w:eastAsia="zh-CN"/>
        </w:rPr>
        <w:t>受托</w:t>
      </w:r>
      <w:r>
        <w:rPr>
          <w:rFonts w:hint="eastAsia" w:ascii="仿宋" w:hAnsi="仿宋" w:eastAsia="仿宋" w:cs="仿宋"/>
          <w:color w:val="000000"/>
          <w:sz w:val="24"/>
          <w:szCs w:val="24"/>
          <w:highlight w:val="none"/>
        </w:rPr>
        <w:t>委托的审核业务转包或分包给其他单位或个人。</w:t>
      </w:r>
    </w:p>
    <w:p w14:paraId="0B15148D">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5、</w:t>
      </w:r>
      <w:r>
        <w:rPr>
          <w:rFonts w:hint="eastAsia" w:ascii="仿宋" w:hAnsi="仿宋" w:eastAsia="仿宋" w:cs="仿宋"/>
          <w:color w:val="000000"/>
          <w:sz w:val="24"/>
          <w:szCs w:val="24"/>
          <w:highlight w:val="none"/>
          <w:lang w:eastAsia="zh-CN"/>
        </w:rPr>
        <w:t>丙</w:t>
      </w:r>
      <w:r>
        <w:rPr>
          <w:rFonts w:hint="eastAsia" w:ascii="仿宋" w:hAnsi="仿宋" w:eastAsia="仿宋" w:cs="仿宋"/>
          <w:color w:val="000000"/>
          <w:sz w:val="24"/>
          <w:szCs w:val="24"/>
          <w:highlight w:val="none"/>
        </w:rPr>
        <w:t>方保证在开展审核业务时，严格</w:t>
      </w:r>
      <w:r>
        <w:rPr>
          <w:rFonts w:hint="eastAsia" w:ascii="仿宋" w:hAnsi="仿宋" w:eastAsia="仿宋" w:cs="仿宋"/>
          <w:bCs w:val="0"/>
          <w:color w:val="000000"/>
          <w:kern w:val="0"/>
          <w:sz w:val="24"/>
          <w:szCs w:val="24"/>
          <w:highlight w:val="none"/>
          <w:lang w:val="en-US" w:eastAsia="zh-CN" w:bidi="ar"/>
        </w:rPr>
        <w:t>按照现行相关标准与规范及</w:t>
      </w:r>
      <w:r>
        <w:rPr>
          <w:rFonts w:hint="eastAsia" w:ascii="仿宋" w:hAnsi="仿宋" w:eastAsia="仿宋" w:cs="仿宋"/>
          <w:color w:val="000000"/>
          <w:sz w:val="24"/>
          <w:szCs w:val="24"/>
          <w:highlight w:val="none"/>
        </w:rPr>
        <w:t>按照工作程序</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并按照</w:t>
      </w:r>
      <w:r>
        <w:rPr>
          <w:rFonts w:hint="eastAsia" w:ascii="仿宋" w:hAnsi="仿宋" w:eastAsia="仿宋" w:cs="仿宋"/>
          <w:color w:val="000000"/>
          <w:sz w:val="24"/>
          <w:szCs w:val="24"/>
          <w:highlight w:val="none"/>
        </w:rPr>
        <w:t>和甲方统一表格进行审核，接受甲方的业务指导和监督，出具工程竣工财务决算评审报告。</w:t>
      </w:r>
    </w:p>
    <w:p w14:paraId="04BE838C">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b/>
          <w:bCs/>
          <w:sz w:val="24"/>
          <w:szCs w:val="24"/>
          <w:highlight w:val="none"/>
        </w:rPr>
      </w:pPr>
      <w:r>
        <w:rPr>
          <w:rFonts w:hint="eastAsia" w:ascii="仿宋" w:hAnsi="仿宋" w:eastAsia="仿宋" w:cs="仿宋"/>
          <w:b/>
          <w:bCs/>
          <w:color w:val="000000"/>
          <w:sz w:val="24"/>
          <w:szCs w:val="24"/>
          <w:highlight w:val="none"/>
          <w:lang w:eastAsia="zh-CN"/>
        </w:rPr>
        <w:t>六</w:t>
      </w: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val="en-US" w:eastAsia="zh-CN"/>
        </w:rPr>
        <w:t>评</w:t>
      </w:r>
      <w:r>
        <w:rPr>
          <w:rFonts w:hint="eastAsia" w:ascii="仿宋" w:hAnsi="仿宋" w:eastAsia="仿宋" w:cs="仿宋"/>
          <w:b/>
          <w:bCs/>
          <w:color w:val="000000"/>
          <w:sz w:val="24"/>
          <w:szCs w:val="24"/>
          <w:highlight w:val="none"/>
        </w:rPr>
        <w:t>费用及支付方式</w:t>
      </w:r>
    </w:p>
    <w:p w14:paraId="1E5C614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1、评</w:t>
      </w:r>
      <w:r>
        <w:rPr>
          <w:rFonts w:hint="eastAsia" w:ascii="仿宋" w:hAnsi="仿宋" w:eastAsia="仿宋" w:cs="仿宋"/>
          <w:color w:val="000000"/>
          <w:sz w:val="24"/>
          <w:szCs w:val="24"/>
          <w:highlight w:val="none"/>
        </w:rPr>
        <w:t>审费用按《</w:t>
      </w:r>
      <w:r>
        <w:rPr>
          <w:rFonts w:hint="eastAsia" w:ascii="仿宋" w:hAnsi="仿宋" w:eastAsia="仿宋" w:cs="仿宋"/>
          <w:b/>
          <w:bCs/>
          <w:kern w:val="0"/>
          <w:sz w:val="24"/>
          <w:highlight w:val="none"/>
        </w:rPr>
        <w:t>竣工财务决算审核咨询服务费计费标准</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％计算审查费用，</w:t>
      </w:r>
      <w:r>
        <w:rPr>
          <w:rFonts w:hint="eastAsia" w:ascii="仿宋" w:hAnsi="仿宋" w:eastAsia="仿宋" w:cs="仿宋"/>
          <w:color w:val="000000"/>
          <w:sz w:val="24"/>
          <w:szCs w:val="24"/>
          <w:highlight w:val="none"/>
          <w:lang w:val="en-US"/>
        </w:rPr>
        <w:t>审计费用为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元，最终按审定额据实结算，但最终结算费用以</w:t>
      </w:r>
      <w:r>
        <w:rPr>
          <w:rFonts w:hint="eastAsia" w:ascii="仿宋" w:hAnsi="仿宋" w:eastAsia="仿宋" w:cs="仿宋"/>
          <w:color w:val="000000"/>
          <w:sz w:val="24"/>
          <w:szCs w:val="24"/>
          <w:highlight w:val="none"/>
          <w:u w:val="single"/>
          <w:lang w:val="en-US"/>
        </w:rPr>
        <w:t>合同金额</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为上限。</w:t>
      </w:r>
    </w:p>
    <w:p w14:paraId="7C08C5E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US"/>
        </w:rPr>
        <w:t>甲方应于</w:t>
      </w:r>
      <w:r>
        <w:rPr>
          <w:rFonts w:hint="eastAsia" w:ascii="仿宋" w:hAnsi="仿宋" w:eastAsia="仿宋" w:cs="仿宋"/>
          <w:color w:val="000000"/>
          <w:sz w:val="24"/>
          <w:szCs w:val="24"/>
          <w:highlight w:val="none"/>
          <w:lang w:val="en-US" w:eastAsia="zh-CN"/>
        </w:rPr>
        <w:t>丙</w:t>
      </w:r>
      <w:r>
        <w:rPr>
          <w:rFonts w:hint="eastAsia" w:ascii="仿宋" w:hAnsi="仿宋" w:eastAsia="仿宋" w:cs="仿宋"/>
          <w:color w:val="000000"/>
          <w:sz w:val="24"/>
          <w:szCs w:val="24"/>
          <w:highlight w:val="none"/>
          <w:lang w:val="en-US"/>
        </w:rPr>
        <w:t>方</w:t>
      </w:r>
      <w:r>
        <w:rPr>
          <w:rFonts w:hint="eastAsia" w:ascii="仿宋" w:hAnsi="仿宋" w:eastAsia="仿宋" w:cs="仿宋"/>
          <w:color w:val="000000"/>
          <w:sz w:val="24"/>
          <w:szCs w:val="24"/>
          <w:highlight w:val="none"/>
          <w:lang w:val="en-US" w:eastAsia="zh-CN"/>
        </w:rPr>
        <w:t>按约定</w:t>
      </w:r>
      <w:r>
        <w:rPr>
          <w:rFonts w:hint="eastAsia" w:ascii="仿宋" w:hAnsi="仿宋" w:eastAsia="仿宋" w:cs="仿宋"/>
          <w:color w:val="000000"/>
          <w:sz w:val="24"/>
          <w:szCs w:val="24"/>
          <w:highlight w:val="none"/>
          <w:lang w:val="en-US"/>
        </w:rPr>
        <w:t>提交评审报告</w:t>
      </w:r>
      <w:r>
        <w:rPr>
          <w:rFonts w:hint="eastAsia" w:ascii="仿宋" w:hAnsi="仿宋" w:eastAsia="仿宋" w:cs="仿宋"/>
          <w:color w:val="000000"/>
          <w:sz w:val="24"/>
          <w:szCs w:val="24"/>
          <w:highlight w:val="none"/>
          <w:lang w:val="en-US" w:eastAsia="zh-CN"/>
        </w:rPr>
        <w:t>及符合税务要求的</w:t>
      </w:r>
      <w:r>
        <w:rPr>
          <w:rFonts w:hint="eastAsia" w:ascii="仿宋" w:hAnsi="仿宋" w:eastAsia="仿宋" w:cs="仿宋"/>
          <w:color w:val="000000"/>
          <w:sz w:val="24"/>
          <w:szCs w:val="24"/>
          <w:highlight w:val="none"/>
          <w:lang w:val="en-US"/>
        </w:rPr>
        <w:t>且全额开具发票后</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日内</w:t>
      </w:r>
      <w:r>
        <w:rPr>
          <w:rFonts w:hint="eastAsia" w:ascii="仿宋" w:hAnsi="仿宋" w:eastAsia="仿宋" w:cs="仿宋"/>
          <w:color w:val="000000"/>
          <w:sz w:val="24"/>
          <w:szCs w:val="24"/>
          <w:highlight w:val="none"/>
          <w:lang w:val="en-US"/>
        </w:rPr>
        <w:t>，支付评审费用。</w:t>
      </w:r>
    </w:p>
    <w:p w14:paraId="67E15DC2">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b/>
          <w:bCs/>
          <w:sz w:val="24"/>
          <w:szCs w:val="24"/>
          <w:highlight w:val="none"/>
        </w:rPr>
      </w:pPr>
      <w:r>
        <w:rPr>
          <w:rFonts w:hint="eastAsia" w:ascii="仿宋" w:hAnsi="仿宋" w:eastAsia="仿宋" w:cs="仿宋"/>
          <w:b/>
          <w:bCs/>
          <w:color w:val="000000"/>
          <w:sz w:val="24"/>
          <w:szCs w:val="24"/>
          <w:highlight w:val="none"/>
          <w:lang w:eastAsia="zh-CN"/>
        </w:rPr>
        <w:t>七</w:t>
      </w:r>
      <w:r>
        <w:rPr>
          <w:rFonts w:hint="eastAsia" w:ascii="仿宋" w:hAnsi="仿宋" w:eastAsia="仿宋" w:cs="仿宋"/>
          <w:b/>
          <w:bCs/>
          <w:color w:val="000000"/>
          <w:sz w:val="24"/>
          <w:szCs w:val="24"/>
          <w:highlight w:val="none"/>
        </w:rPr>
        <w:t>、违约责任</w:t>
      </w:r>
    </w:p>
    <w:p w14:paraId="59216A7C">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1、因</w:t>
      </w:r>
      <w:r>
        <w:rPr>
          <w:rFonts w:hint="eastAsia" w:ascii="仿宋" w:hAnsi="仿宋" w:eastAsia="仿宋" w:cs="仿宋"/>
          <w:color w:val="000000"/>
          <w:sz w:val="24"/>
          <w:szCs w:val="24"/>
          <w:highlight w:val="none"/>
          <w:lang w:eastAsia="zh-CN"/>
        </w:rPr>
        <w:t>丙</w:t>
      </w:r>
      <w:r>
        <w:rPr>
          <w:rFonts w:hint="eastAsia" w:ascii="仿宋" w:hAnsi="仿宋" w:eastAsia="仿宋" w:cs="仿宋"/>
          <w:color w:val="000000"/>
          <w:sz w:val="24"/>
          <w:szCs w:val="24"/>
          <w:highlight w:val="none"/>
        </w:rPr>
        <w:t>方原因导致</w:t>
      </w:r>
      <w:r>
        <w:rPr>
          <w:rFonts w:hint="eastAsia" w:ascii="仿宋" w:hAnsi="仿宋" w:eastAsia="仿宋" w:cs="仿宋"/>
          <w:color w:val="000000"/>
          <w:sz w:val="24"/>
          <w:szCs w:val="24"/>
          <w:highlight w:val="none"/>
          <w:lang w:val="en-US" w:eastAsia="zh-CN"/>
        </w:rPr>
        <w:t>评</w:t>
      </w:r>
      <w:r>
        <w:rPr>
          <w:rFonts w:hint="eastAsia" w:ascii="仿宋" w:hAnsi="仿宋" w:eastAsia="仿宋" w:cs="仿宋"/>
          <w:color w:val="000000"/>
          <w:sz w:val="24"/>
          <w:szCs w:val="24"/>
          <w:highlight w:val="none"/>
        </w:rPr>
        <w:t>审查结果有严重错误</w:t>
      </w:r>
      <w:r>
        <w:rPr>
          <w:rFonts w:hint="eastAsia" w:ascii="仿宋" w:hAnsi="仿宋" w:eastAsia="仿宋" w:cs="仿宋"/>
          <w:color w:val="000000"/>
          <w:sz w:val="24"/>
          <w:szCs w:val="24"/>
          <w:highlight w:val="none"/>
          <w:lang w:val="en-US" w:eastAsia="zh-CN"/>
        </w:rPr>
        <w:t>或评审不符合约定要求</w:t>
      </w:r>
      <w:r>
        <w:rPr>
          <w:rFonts w:hint="eastAsia" w:ascii="仿宋" w:hAnsi="仿宋" w:eastAsia="仿宋" w:cs="仿宋"/>
          <w:color w:val="000000"/>
          <w:sz w:val="24"/>
          <w:szCs w:val="24"/>
          <w:highlight w:val="none"/>
        </w:rPr>
        <w:t>，并造成甲方经济损失的，</w:t>
      </w:r>
      <w:r>
        <w:rPr>
          <w:rFonts w:hint="eastAsia" w:ascii="仿宋" w:hAnsi="仿宋" w:eastAsia="仿宋" w:cs="仿宋"/>
          <w:color w:val="000000"/>
          <w:sz w:val="24"/>
          <w:szCs w:val="24"/>
          <w:highlight w:val="none"/>
          <w:lang w:eastAsia="zh-CN"/>
        </w:rPr>
        <w:t>丙</w:t>
      </w:r>
      <w:r>
        <w:rPr>
          <w:rFonts w:hint="eastAsia" w:ascii="仿宋" w:hAnsi="仿宋" w:eastAsia="仿宋" w:cs="仿宋"/>
          <w:color w:val="000000"/>
          <w:sz w:val="24"/>
          <w:szCs w:val="24"/>
          <w:highlight w:val="none"/>
        </w:rPr>
        <w:t>方应承担相应的</w:t>
      </w:r>
      <w:r>
        <w:rPr>
          <w:rFonts w:hint="eastAsia" w:ascii="仿宋" w:hAnsi="仿宋" w:eastAsia="仿宋" w:cs="仿宋"/>
          <w:color w:val="000000"/>
          <w:sz w:val="24"/>
          <w:szCs w:val="24"/>
          <w:highlight w:val="none"/>
          <w:lang w:val="en-US"/>
        </w:rPr>
        <w:t>经济损失</w:t>
      </w:r>
      <w:r>
        <w:rPr>
          <w:rFonts w:hint="eastAsia" w:ascii="仿宋" w:hAnsi="仿宋" w:eastAsia="仿宋" w:cs="仿宋"/>
          <w:color w:val="000000"/>
          <w:sz w:val="24"/>
          <w:szCs w:val="24"/>
          <w:highlight w:val="none"/>
          <w:lang w:val="en-US" w:eastAsia="zh-CN"/>
        </w:rPr>
        <w:t>赔偿责任</w:t>
      </w:r>
      <w:r>
        <w:rPr>
          <w:rFonts w:hint="eastAsia" w:ascii="仿宋" w:hAnsi="仿宋" w:eastAsia="仿宋" w:cs="仿宋"/>
          <w:color w:val="000000"/>
          <w:sz w:val="24"/>
          <w:szCs w:val="24"/>
          <w:highlight w:val="none"/>
        </w:rPr>
        <w:t>。</w:t>
      </w:r>
    </w:p>
    <w:p w14:paraId="2219DAA3">
      <w:pPr>
        <w:pageBreakBefore w:val="0"/>
        <w:widowControl w:val="0"/>
        <w:kinsoku/>
        <w:wordWrap/>
        <w:overflowPunct/>
        <w:topLinePunct w:val="0"/>
        <w:autoSpaceDE/>
        <w:autoSpaceDN/>
        <w:bidi w:val="0"/>
        <w:adjustRightInd w:val="0"/>
        <w:snapToGrid w:val="0"/>
        <w:spacing w:line="360" w:lineRule="auto"/>
        <w:ind w:left="0" w:leftChars="0" w:firstLine="6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2、因丙方原因，丙方</w:t>
      </w:r>
      <w:r>
        <w:rPr>
          <w:rFonts w:hint="eastAsia" w:ascii="仿宋" w:hAnsi="仿宋" w:eastAsia="仿宋" w:cs="仿宋"/>
          <w:color w:val="000000"/>
          <w:sz w:val="24"/>
          <w:szCs w:val="24"/>
          <w:highlight w:val="none"/>
          <w:lang w:val="en-US" w:eastAsia="zh-CN"/>
        </w:rPr>
        <w:t>逾期提交符合要求的评审报告的，</w:t>
      </w:r>
      <w:r>
        <w:rPr>
          <w:rFonts w:hint="eastAsia" w:ascii="仿宋" w:hAnsi="仿宋" w:eastAsia="仿宋" w:cs="仿宋"/>
          <w:color w:val="000000"/>
          <w:sz w:val="24"/>
          <w:szCs w:val="24"/>
          <w:highlight w:val="none"/>
          <w:u w:val="none"/>
        </w:rPr>
        <w:t>每逾期一日，应按审计费的万分之五/每日支付违约金，逾期超过30日的，甲方、乙方有权解除本合同，丙方应承担由此导致全部损失。</w:t>
      </w:r>
    </w:p>
    <w:p w14:paraId="00C2FCF0">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丙</w:t>
      </w:r>
      <w:r>
        <w:rPr>
          <w:rFonts w:hint="eastAsia" w:ascii="仿宋" w:hAnsi="仿宋" w:eastAsia="仿宋" w:cs="仿宋"/>
          <w:color w:val="000000"/>
          <w:sz w:val="24"/>
          <w:szCs w:val="24"/>
          <w:highlight w:val="none"/>
        </w:rPr>
        <w:t>方</w:t>
      </w:r>
      <w:r>
        <w:rPr>
          <w:rFonts w:hint="eastAsia" w:ascii="仿宋" w:hAnsi="仿宋" w:eastAsia="仿宋" w:cs="仿宋"/>
          <w:color w:val="000000"/>
          <w:sz w:val="24"/>
          <w:szCs w:val="24"/>
          <w:highlight w:val="none"/>
          <w:lang w:val="en-US"/>
        </w:rPr>
        <w:t>如擅自毁约</w:t>
      </w:r>
      <w:r>
        <w:rPr>
          <w:rFonts w:hint="eastAsia" w:ascii="仿宋" w:hAnsi="仿宋" w:eastAsia="仿宋" w:cs="仿宋"/>
          <w:color w:val="000000"/>
          <w:sz w:val="24"/>
          <w:szCs w:val="24"/>
          <w:highlight w:val="none"/>
          <w:lang w:val="en-US" w:eastAsia="zh-CN"/>
        </w:rPr>
        <w:t>违反合同义务或擅自解除合同的</w:t>
      </w:r>
      <w:r>
        <w:rPr>
          <w:rFonts w:hint="eastAsia" w:ascii="仿宋" w:hAnsi="仿宋" w:eastAsia="仿宋" w:cs="仿宋"/>
          <w:color w:val="000000"/>
          <w:sz w:val="24"/>
          <w:szCs w:val="24"/>
          <w:highlight w:val="none"/>
        </w:rPr>
        <w:t>，甲方将视情况取消其承接钱塘区审查业务的资格及</w:t>
      </w:r>
      <w:r>
        <w:rPr>
          <w:rFonts w:hint="eastAsia" w:ascii="仿宋" w:hAnsi="仿宋" w:eastAsia="仿宋" w:cs="仿宋"/>
          <w:color w:val="000000"/>
          <w:sz w:val="24"/>
          <w:szCs w:val="24"/>
          <w:highlight w:val="none"/>
          <w:lang w:val="en-US" w:eastAsia="zh-CN"/>
        </w:rPr>
        <w:t>采取</w:t>
      </w:r>
      <w:r>
        <w:rPr>
          <w:rFonts w:hint="eastAsia" w:ascii="仿宋" w:hAnsi="仿宋" w:eastAsia="仿宋" w:cs="仿宋"/>
          <w:color w:val="000000"/>
          <w:sz w:val="24"/>
          <w:szCs w:val="24"/>
          <w:highlight w:val="none"/>
        </w:rPr>
        <w:t>追究</w:t>
      </w:r>
      <w:r>
        <w:rPr>
          <w:rFonts w:hint="eastAsia" w:ascii="仿宋" w:hAnsi="仿宋" w:eastAsia="仿宋" w:cs="仿宋"/>
          <w:color w:val="000000"/>
          <w:sz w:val="24"/>
          <w:szCs w:val="24"/>
          <w:highlight w:val="none"/>
          <w:lang w:val="en-US" w:eastAsia="zh-CN"/>
        </w:rPr>
        <w:t>其</w:t>
      </w:r>
      <w:r>
        <w:rPr>
          <w:rFonts w:hint="eastAsia" w:ascii="仿宋" w:hAnsi="仿宋" w:eastAsia="仿宋" w:cs="仿宋"/>
          <w:color w:val="000000"/>
          <w:sz w:val="24"/>
          <w:szCs w:val="24"/>
          <w:highlight w:val="none"/>
        </w:rPr>
        <w:t>其他经济责任等处罚措施。</w:t>
      </w:r>
    </w:p>
    <w:p w14:paraId="4FEB4BB1">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丙</w:t>
      </w:r>
      <w:r>
        <w:rPr>
          <w:rFonts w:hint="eastAsia" w:ascii="仿宋" w:hAnsi="仿宋" w:eastAsia="仿宋" w:cs="仿宋"/>
          <w:color w:val="000000"/>
          <w:sz w:val="24"/>
          <w:szCs w:val="24"/>
          <w:highlight w:val="none"/>
        </w:rPr>
        <w:t>方审查人员滥用职权、徇私舞弊、玩忽职守，尚不构成犯罪但造成损失的，甲方将依法追究</w:t>
      </w:r>
      <w:r>
        <w:rPr>
          <w:rFonts w:hint="eastAsia" w:ascii="仿宋" w:hAnsi="仿宋" w:eastAsia="仿宋" w:cs="仿宋"/>
          <w:color w:val="000000"/>
          <w:sz w:val="24"/>
          <w:szCs w:val="24"/>
          <w:highlight w:val="none"/>
          <w:lang w:eastAsia="zh-CN"/>
        </w:rPr>
        <w:t>丙</w:t>
      </w:r>
      <w:r>
        <w:rPr>
          <w:rFonts w:hint="eastAsia" w:ascii="仿宋" w:hAnsi="仿宋" w:eastAsia="仿宋" w:cs="仿宋"/>
          <w:color w:val="000000"/>
          <w:sz w:val="24"/>
          <w:szCs w:val="24"/>
          <w:highlight w:val="none"/>
        </w:rPr>
        <w:t>方的经济责任；如构成犯罪的，甲方将依法移送司法部门处理。</w:t>
      </w:r>
    </w:p>
    <w:p w14:paraId="7D936E49">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5、丙方违反保密义务的，应承担审</w:t>
      </w:r>
      <w:r>
        <w:rPr>
          <w:rFonts w:hint="eastAsia" w:ascii="仿宋" w:hAnsi="仿宋" w:eastAsia="仿宋" w:cs="仿宋"/>
          <w:color w:val="000000"/>
          <w:sz w:val="24"/>
          <w:szCs w:val="24"/>
          <w:highlight w:val="none"/>
          <w:u w:val="none"/>
        </w:rPr>
        <w:t>计费的</w:t>
      </w:r>
      <w:r>
        <w:rPr>
          <w:rFonts w:hint="eastAsia" w:ascii="仿宋" w:hAnsi="仿宋" w:eastAsia="仿宋" w:cs="仿宋"/>
          <w:color w:val="000000"/>
          <w:sz w:val="24"/>
          <w:szCs w:val="24"/>
          <w:highlight w:val="none"/>
          <w:u w:val="none"/>
          <w:lang w:eastAsia="zh-CN"/>
        </w:rPr>
        <w:t>百</w:t>
      </w:r>
      <w:r>
        <w:rPr>
          <w:rFonts w:hint="eastAsia" w:ascii="仿宋" w:hAnsi="仿宋" w:eastAsia="仿宋" w:cs="仿宋"/>
          <w:color w:val="000000"/>
          <w:sz w:val="24"/>
          <w:szCs w:val="24"/>
          <w:highlight w:val="none"/>
          <w:u w:val="none"/>
        </w:rPr>
        <w:t>分之</w:t>
      </w:r>
      <w:r>
        <w:rPr>
          <w:rFonts w:hint="eastAsia" w:ascii="仿宋" w:hAnsi="仿宋" w:eastAsia="仿宋" w:cs="仿宋"/>
          <w:color w:val="000000"/>
          <w:sz w:val="24"/>
          <w:szCs w:val="24"/>
          <w:highlight w:val="none"/>
          <w:u w:val="none"/>
          <w:lang w:eastAsia="zh-CN"/>
        </w:rPr>
        <w:t>二十作为</w:t>
      </w:r>
      <w:r>
        <w:rPr>
          <w:rFonts w:hint="eastAsia" w:ascii="仿宋" w:hAnsi="仿宋" w:eastAsia="仿宋" w:cs="仿宋"/>
          <w:color w:val="000000"/>
          <w:sz w:val="24"/>
          <w:szCs w:val="24"/>
          <w:highlight w:val="none"/>
          <w:lang w:val="en-US" w:eastAsia="zh-CN"/>
        </w:rPr>
        <w:t>违约金，违约金</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元，违约金不足以弥补损失的，还应当予以赔偿补足。</w:t>
      </w:r>
    </w:p>
    <w:p w14:paraId="03ADD454">
      <w:pPr>
        <w:pageBreakBefore w:val="0"/>
        <w:widowControl w:val="0"/>
        <w:kinsoku/>
        <w:wordWrap/>
        <w:overflowPunct/>
        <w:topLinePunct w:val="0"/>
        <w:autoSpaceDE/>
        <w:autoSpaceDN/>
        <w:bidi w:val="0"/>
        <w:adjustRightInd w:val="0"/>
        <w:snapToGrid w:val="0"/>
        <w:spacing w:line="360" w:lineRule="auto"/>
        <w:ind w:left="0" w:leftChars="0" w:firstLine="600"/>
        <w:jc w:val="both"/>
        <w:textAlignment w:val="auto"/>
        <w:outlineLvl w:val="9"/>
        <w:rPr>
          <w:rFonts w:hint="eastAsia" w:ascii="仿宋" w:hAnsi="仿宋" w:eastAsia="仿宋" w:cs="仿宋"/>
          <w:b/>
          <w:bCs/>
          <w:sz w:val="24"/>
          <w:szCs w:val="24"/>
          <w:highlight w:val="none"/>
          <w:lang w:eastAsia="zh-CN"/>
        </w:rPr>
      </w:pPr>
      <w:r>
        <w:rPr>
          <w:rFonts w:hint="eastAsia" w:ascii="仿宋" w:hAnsi="仿宋" w:eastAsia="仿宋" w:cs="仿宋"/>
          <w:b/>
          <w:bCs/>
          <w:color w:val="000000"/>
          <w:sz w:val="24"/>
          <w:szCs w:val="24"/>
          <w:highlight w:val="none"/>
          <w:lang w:eastAsia="zh-CN"/>
        </w:rPr>
        <w:t>八</w:t>
      </w: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val="en-US"/>
        </w:rPr>
        <w:t>协议的文本及生效</w:t>
      </w:r>
      <w:r>
        <w:rPr>
          <w:rFonts w:hint="eastAsia" w:ascii="仿宋" w:hAnsi="仿宋" w:eastAsia="仿宋" w:cs="仿宋"/>
          <w:b/>
          <w:bCs/>
          <w:color w:val="000000"/>
          <w:sz w:val="24"/>
          <w:szCs w:val="24"/>
          <w:highlight w:val="none"/>
          <w:lang w:val="en-US" w:eastAsia="zh-CN"/>
        </w:rPr>
        <w:t>其他</w:t>
      </w:r>
    </w:p>
    <w:p w14:paraId="2B09E943">
      <w:pPr>
        <w:pageBreakBefore w:val="0"/>
        <w:widowControl w:val="0"/>
        <w:kinsoku/>
        <w:wordWrap/>
        <w:overflowPunct/>
        <w:topLinePunct w:val="0"/>
        <w:autoSpaceDE/>
        <w:autoSpaceDN/>
        <w:bidi w:val="0"/>
        <w:adjustRightInd w:val="0"/>
        <w:snapToGrid w:val="0"/>
        <w:spacing w:line="360" w:lineRule="auto"/>
        <w:ind w:left="0" w:leftChars="0" w:firstLine="56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1、本协议一式</w:t>
      </w:r>
      <w:r>
        <w:rPr>
          <w:rFonts w:hint="eastAsia" w:ascii="仿宋" w:hAnsi="仿宋" w:eastAsia="仿宋" w:cs="仿宋"/>
          <w:color w:val="000000"/>
          <w:sz w:val="24"/>
          <w:szCs w:val="24"/>
          <w:highlight w:val="none"/>
          <w:lang w:eastAsia="zh-CN"/>
        </w:rPr>
        <w:t>六</w:t>
      </w:r>
      <w:r>
        <w:rPr>
          <w:rFonts w:hint="eastAsia" w:ascii="仿宋" w:hAnsi="仿宋" w:eastAsia="仿宋" w:cs="仿宋"/>
          <w:color w:val="000000"/>
          <w:sz w:val="24"/>
          <w:szCs w:val="24"/>
          <w:highlight w:val="none"/>
        </w:rPr>
        <w:t>份，甲乙</w:t>
      </w:r>
      <w:r>
        <w:rPr>
          <w:rFonts w:hint="eastAsia" w:ascii="仿宋" w:hAnsi="仿宋" w:eastAsia="仿宋" w:cs="仿宋"/>
          <w:color w:val="000000"/>
          <w:sz w:val="24"/>
          <w:szCs w:val="24"/>
          <w:highlight w:val="none"/>
          <w:lang w:eastAsia="zh-CN"/>
        </w:rPr>
        <w:t>丙各</w:t>
      </w:r>
      <w:r>
        <w:rPr>
          <w:rFonts w:hint="eastAsia" w:ascii="仿宋" w:hAnsi="仿宋" w:eastAsia="仿宋" w:cs="仿宋"/>
          <w:color w:val="000000"/>
          <w:sz w:val="24"/>
          <w:szCs w:val="24"/>
          <w:highlight w:val="none"/>
        </w:rPr>
        <w:t>方各执两份。</w:t>
      </w:r>
    </w:p>
    <w:p w14:paraId="3BCA5F25">
      <w:pPr>
        <w:pageBreakBefore w:val="0"/>
        <w:widowControl w:val="0"/>
        <w:kinsoku/>
        <w:wordWrap/>
        <w:overflowPunct/>
        <w:topLinePunct w:val="0"/>
        <w:autoSpaceDE/>
        <w:autoSpaceDN/>
        <w:bidi w:val="0"/>
        <w:adjustRightInd w:val="0"/>
        <w:snapToGrid w:val="0"/>
        <w:spacing w:line="360" w:lineRule="auto"/>
        <w:ind w:left="0" w:leftChars="0" w:firstLine="560"/>
        <w:jc w:val="both"/>
        <w:textAlignment w:val="auto"/>
        <w:outlineLvl w:val="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2、本协议经甲乙</w:t>
      </w:r>
      <w:r>
        <w:rPr>
          <w:rFonts w:hint="eastAsia" w:ascii="仿宋" w:hAnsi="仿宋" w:eastAsia="仿宋" w:cs="仿宋"/>
          <w:color w:val="000000"/>
          <w:sz w:val="24"/>
          <w:szCs w:val="24"/>
          <w:highlight w:val="none"/>
          <w:lang w:eastAsia="zh-CN"/>
        </w:rPr>
        <w:t>丙三</w:t>
      </w:r>
      <w:r>
        <w:rPr>
          <w:rFonts w:hint="eastAsia" w:ascii="仿宋" w:hAnsi="仿宋" w:eastAsia="仿宋" w:cs="仿宋"/>
          <w:color w:val="000000"/>
          <w:sz w:val="24"/>
          <w:szCs w:val="24"/>
          <w:highlight w:val="none"/>
        </w:rPr>
        <w:t>方法定代表人或授权代理人签字并加盖公章后即生效。</w:t>
      </w:r>
    </w:p>
    <w:p w14:paraId="2DDAABB3">
      <w:pPr>
        <w:pageBreakBefore w:val="0"/>
        <w:widowControl w:val="0"/>
        <w:kinsoku/>
        <w:wordWrap/>
        <w:overflowPunct/>
        <w:topLinePunct w:val="0"/>
        <w:autoSpaceDE/>
        <w:autoSpaceDN/>
        <w:bidi w:val="0"/>
        <w:adjustRightInd w:val="0"/>
        <w:snapToGrid w:val="0"/>
        <w:spacing w:line="360" w:lineRule="auto"/>
        <w:ind w:left="0" w:leftChars="0" w:firstLine="56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3、本协议未尽事宜，经</w:t>
      </w:r>
      <w:r>
        <w:rPr>
          <w:rFonts w:hint="eastAsia" w:ascii="仿宋" w:hAnsi="仿宋" w:eastAsia="仿宋" w:cs="仿宋"/>
          <w:color w:val="000000"/>
          <w:sz w:val="24"/>
          <w:szCs w:val="24"/>
          <w:highlight w:val="none"/>
          <w:lang w:eastAsia="zh-CN"/>
        </w:rPr>
        <w:t>三</w:t>
      </w:r>
      <w:r>
        <w:rPr>
          <w:rFonts w:hint="eastAsia" w:ascii="仿宋" w:hAnsi="仿宋" w:eastAsia="仿宋" w:cs="仿宋"/>
          <w:color w:val="000000"/>
          <w:sz w:val="24"/>
          <w:szCs w:val="24"/>
          <w:highlight w:val="none"/>
        </w:rPr>
        <w:t>方商议可续签补充协议，该补充协议与本协议具有相同法律效力，但该补充协议的内容不能实质性修改本协议的主要条款。</w:t>
      </w:r>
    </w:p>
    <w:p w14:paraId="4C9F5D18">
      <w:pPr>
        <w:pageBreakBefore w:val="0"/>
        <w:widowControl w:val="0"/>
        <w:kinsoku/>
        <w:wordWrap/>
        <w:overflowPunct/>
        <w:topLinePunct w:val="0"/>
        <w:autoSpaceDE/>
        <w:autoSpaceDN/>
        <w:bidi w:val="0"/>
        <w:adjustRightInd w:val="0"/>
        <w:snapToGrid w:val="0"/>
        <w:spacing w:line="360" w:lineRule="auto"/>
        <w:ind w:left="0" w:leftChars="0" w:firstLine="56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4、因本协议发生的争议，各方应友好协商解决；协商不成，提交杭州市钱塘区人民法院诉讼解决。</w:t>
      </w:r>
    </w:p>
    <w:p w14:paraId="62FFBBC5">
      <w:pPr>
        <w:pageBreakBefore w:val="0"/>
        <w:widowControl w:val="0"/>
        <w:kinsoku/>
        <w:wordWrap/>
        <w:overflowPunct/>
        <w:topLinePunct w:val="0"/>
        <w:autoSpaceDE/>
        <w:autoSpaceDN/>
        <w:bidi w:val="0"/>
        <w:adjustRightInd w:val="0"/>
        <w:snapToGrid w:val="0"/>
        <w:spacing w:line="360" w:lineRule="auto"/>
        <w:ind w:left="0" w:leftChars="0" w:firstLine="560"/>
        <w:jc w:val="both"/>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以下无正文</w:t>
      </w:r>
      <w:r>
        <w:rPr>
          <w:rFonts w:hint="eastAsia" w:ascii="仿宋" w:hAnsi="仿宋" w:eastAsia="仿宋" w:cs="仿宋"/>
          <w:color w:val="000000"/>
          <w:sz w:val="24"/>
          <w:szCs w:val="24"/>
          <w:highlight w:val="none"/>
          <w:lang w:eastAsia="zh-CN"/>
        </w:rPr>
        <w:t>）</w:t>
      </w:r>
    </w:p>
    <w:p w14:paraId="608EFAA0">
      <w:pPr>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乙方：</w:t>
      </w:r>
    </w:p>
    <w:p w14:paraId="4C9E5402">
      <w:pPr>
        <w:pageBreakBefore w:val="0"/>
        <w:widowControl w:val="0"/>
        <w:kinsoku/>
        <w:wordWrap/>
        <w:overflowPunct/>
        <w:topLinePunct w:val="0"/>
        <w:autoSpaceDE/>
        <w:autoSpaceDN/>
        <w:bidi w:val="0"/>
        <w:adjustRightInd w:val="0"/>
        <w:snapToGrid w:val="0"/>
        <w:spacing w:line="360" w:lineRule="auto"/>
        <w:ind w:left="0" w:leftChars="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法定代表人或授权代表（签字）   法定代表人或授权代表（签字）</w:t>
      </w:r>
    </w:p>
    <w:p w14:paraId="350C4B08">
      <w:pPr>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 xml:space="preserve">经办人：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经办人：</w:t>
      </w:r>
      <w:r>
        <w:rPr>
          <w:rFonts w:hint="eastAsia" w:ascii="仿宋" w:hAnsi="仿宋" w:eastAsia="仿宋" w:cs="仿宋"/>
          <w:color w:val="000000"/>
          <w:sz w:val="24"/>
          <w:szCs w:val="24"/>
          <w:highlight w:val="none"/>
          <w:lang w:val="en-US" w:eastAsia="zh-CN"/>
        </w:rPr>
        <w:t xml:space="preserve"> </w:t>
      </w:r>
    </w:p>
    <w:p w14:paraId="46DD88DA">
      <w:pPr>
        <w:pageBreakBefore w:val="0"/>
        <w:widowControl w:val="0"/>
        <w:kinsoku/>
        <w:wordWrap/>
        <w:overflowPunct/>
        <w:topLinePunct w:val="0"/>
        <w:autoSpaceDE/>
        <w:autoSpaceDN/>
        <w:bidi w:val="0"/>
        <w:adjustRightInd w:val="0"/>
        <w:snapToGrid w:val="0"/>
        <w:spacing w:line="360" w:lineRule="auto"/>
        <w:ind w:left="4560" w:leftChars="0" w:hanging="4560" w:hangingChars="19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联系电话：</w:t>
      </w:r>
      <w:r>
        <w:rPr>
          <w:rFonts w:hint="eastAsia" w:ascii="仿宋" w:hAnsi="仿宋" w:eastAsia="仿宋" w:cs="仿宋"/>
          <w:color w:val="000000"/>
          <w:sz w:val="24"/>
          <w:szCs w:val="24"/>
          <w:highlight w:val="none"/>
          <w:lang w:val="en-US" w:eastAsia="zh-CN"/>
        </w:rPr>
        <w:t xml:space="preserve">                      联系电话：</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p>
    <w:p w14:paraId="27D7D616">
      <w:pPr>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outlineLvl w:val="9"/>
        <w:rPr>
          <w:rFonts w:hint="eastAsia" w:ascii="仿宋" w:hAnsi="仿宋" w:eastAsia="仿宋" w:cs="仿宋"/>
          <w:color w:val="000000"/>
          <w:sz w:val="24"/>
          <w:szCs w:val="24"/>
          <w:highlight w:val="none"/>
        </w:rPr>
      </w:pPr>
    </w:p>
    <w:p w14:paraId="4482B38E">
      <w:pPr>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签约日期：</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签约日期：</w:t>
      </w:r>
    </w:p>
    <w:p w14:paraId="1F8B0929">
      <w:pPr>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outlineLvl w:val="9"/>
        <w:rPr>
          <w:rFonts w:hint="eastAsia" w:ascii="仿宋" w:hAnsi="仿宋" w:eastAsia="仿宋" w:cs="仿宋"/>
          <w:color w:val="000000"/>
          <w:sz w:val="24"/>
          <w:szCs w:val="24"/>
          <w:highlight w:val="none"/>
        </w:rPr>
      </w:pPr>
    </w:p>
    <w:p w14:paraId="501B6917">
      <w:pPr>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丙方：</w:t>
      </w:r>
    </w:p>
    <w:p w14:paraId="3F1D3FE7">
      <w:pPr>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法定代表人或授权代表（签字</w:t>
      </w:r>
      <w:r>
        <w:rPr>
          <w:rFonts w:hint="eastAsia" w:ascii="仿宋" w:hAnsi="仿宋" w:eastAsia="仿宋" w:cs="仿宋"/>
          <w:color w:val="000000"/>
          <w:sz w:val="24"/>
          <w:szCs w:val="24"/>
          <w:highlight w:val="none"/>
          <w:lang w:eastAsia="zh-CN"/>
        </w:rPr>
        <w:t>）</w:t>
      </w:r>
    </w:p>
    <w:p w14:paraId="28457801">
      <w:pPr>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经办人：</w:t>
      </w:r>
    </w:p>
    <w:p w14:paraId="09F913F7">
      <w:pPr>
        <w:pStyle w:val="2"/>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联系电话：</w:t>
      </w:r>
    </w:p>
    <w:p w14:paraId="7FFF1F4B">
      <w:pPr>
        <w:rPr>
          <w:rFonts w:hint="eastAsia" w:ascii="仿宋" w:hAnsi="仿宋" w:eastAsia="仿宋" w:cs="仿宋"/>
          <w:highlight w:val="none"/>
        </w:rPr>
        <w:sectPr>
          <w:pgSz w:w="11906" w:h="16838"/>
          <w:pgMar w:top="1276" w:right="1418" w:bottom="1247" w:left="1418" w:header="992" w:footer="992" w:gutter="0"/>
          <w:pgBorders>
            <w:top w:val="none" w:sz="0" w:space="0"/>
            <w:left w:val="none" w:sz="0" w:space="0"/>
            <w:bottom w:val="none" w:sz="0" w:space="0"/>
            <w:right w:val="none" w:sz="0" w:space="0"/>
          </w:pgBorders>
          <w:pgNumType w:fmt="decimal"/>
          <w:cols w:space="720" w:num="1"/>
          <w:titlePg/>
          <w:rtlGutter w:val="0"/>
          <w:docGrid w:linePitch="312" w:charSpace="0"/>
        </w:sectPr>
      </w:pPr>
    </w:p>
    <w:p w14:paraId="3B261619">
      <w:pPr>
        <w:rPr>
          <w:rFonts w:hint="eastAsia" w:ascii="仿宋" w:hAnsi="仿宋" w:eastAsia="仿宋" w:cs="仿宋"/>
          <w:bCs/>
          <w:kern w:val="0"/>
          <w:sz w:val="24"/>
          <w:highlight w:val="none"/>
          <w:lang w:bidi="zh-CN"/>
        </w:rPr>
      </w:pPr>
    </w:p>
    <w:bookmarkEnd w:id="141"/>
    <w:bookmarkEnd w:id="142"/>
    <w:bookmarkEnd w:id="143"/>
    <w:bookmarkEnd w:id="144"/>
    <w:bookmarkEnd w:id="145"/>
    <w:p w14:paraId="16533C93">
      <w:pPr>
        <w:adjustRightInd w:val="0"/>
        <w:snapToGrid w:val="0"/>
        <w:spacing w:before="120" w:beforeLines="50" w:after="120" w:afterLines="50" w:line="360" w:lineRule="auto"/>
        <w:jc w:val="center"/>
        <w:outlineLvl w:val="0"/>
        <w:rPr>
          <w:rFonts w:hint="eastAsia" w:ascii="仿宋" w:hAnsi="仿宋" w:eastAsia="仿宋" w:cs="仿宋"/>
          <w:b/>
          <w:bCs/>
          <w:sz w:val="32"/>
          <w:szCs w:val="32"/>
          <w:highlight w:val="none"/>
        </w:rPr>
      </w:pPr>
      <w:bookmarkStart w:id="149" w:name="_Toc1306"/>
      <w:bookmarkStart w:id="150" w:name="_Toc251566668"/>
      <w:bookmarkStart w:id="151" w:name="_Toc234764855"/>
      <w:bookmarkStart w:id="152" w:name="_Toc249760797"/>
      <w:bookmarkStart w:id="153" w:name="_Toc21370"/>
      <w:r>
        <w:rPr>
          <w:rFonts w:hint="eastAsia" w:ascii="仿宋" w:hAnsi="仿宋" w:eastAsia="仿宋" w:cs="仿宋"/>
          <w:b/>
          <w:sz w:val="30"/>
          <w:szCs w:val="30"/>
          <w:highlight w:val="none"/>
        </w:rPr>
        <w:t>第六部分  投标文件格式</w:t>
      </w:r>
      <w:bookmarkEnd w:id="149"/>
      <w:bookmarkEnd w:id="150"/>
      <w:bookmarkEnd w:id="151"/>
      <w:bookmarkEnd w:id="152"/>
      <w:bookmarkEnd w:id="153"/>
    </w:p>
    <w:p w14:paraId="50FF9568">
      <w:pPr>
        <w:autoSpaceDE w:val="0"/>
        <w:autoSpaceDN w:val="0"/>
        <w:adjustRightInd w:val="0"/>
        <w:spacing w:line="360" w:lineRule="auto"/>
        <w:ind w:firstLine="480"/>
        <w:rPr>
          <w:rFonts w:hint="eastAsia" w:ascii="仿宋" w:hAnsi="仿宋" w:eastAsia="仿宋" w:cs="仿宋"/>
          <w:sz w:val="24"/>
          <w:highlight w:val="none"/>
        </w:rPr>
      </w:pPr>
    </w:p>
    <w:p w14:paraId="553CCBC2">
      <w:pPr>
        <w:spacing w:line="360" w:lineRule="auto"/>
        <w:jc w:val="center"/>
        <w:outlineLvl w:val="1"/>
        <w:rPr>
          <w:rFonts w:hint="eastAsia" w:ascii="仿宋" w:hAnsi="仿宋" w:eastAsia="仿宋" w:cs="仿宋"/>
          <w:b/>
          <w:kern w:val="0"/>
          <w:sz w:val="36"/>
          <w:szCs w:val="36"/>
          <w:highlight w:val="none"/>
        </w:rPr>
      </w:pPr>
      <w:bookmarkStart w:id="154" w:name="_Toc25507"/>
      <w:bookmarkStart w:id="155" w:name="_Toc23772"/>
      <w:bookmarkStart w:id="156" w:name="_Toc23013"/>
      <w:bookmarkStart w:id="157" w:name="_Toc18065"/>
      <w:r>
        <w:rPr>
          <w:rFonts w:hint="eastAsia" w:ascii="仿宋" w:hAnsi="仿宋" w:eastAsia="仿宋" w:cs="仿宋"/>
          <w:b/>
          <w:kern w:val="0"/>
          <w:sz w:val="36"/>
          <w:szCs w:val="36"/>
          <w:highlight w:val="none"/>
        </w:rPr>
        <w:t>资格文件部分</w:t>
      </w:r>
      <w:bookmarkEnd w:id="154"/>
      <w:bookmarkEnd w:id="155"/>
      <w:bookmarkEnd w:id="156"/>
      <w:bookmarkEnd w:id="157"/>
    </w:p>
    <w:p w14:paraId="5C8608E4">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71ED666E">
      <w:pPr>
        <w:spacing w:line="360" w:lineRule="auto"/>
        <w:jc w:val="center"/>
        <w:rPr>
          <w:rFonts w:hint="eastAsia" w:ascii="仿宋" w:hAnsi="仿宋" w:eastAsia="仿宋" w:cs="仿宋"/>
          <w:b/>
          <w:kern w:val="0"/>
          <w:sz w:val="36"/>
          <w:szCs w:val="36"/>
          <w:highlight w:val="none"/>
        </w:rPr>
      </w:pPr>
    </w:p>
    <w:p w14:paraId="2A8BD8D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64FA55A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（2）联合协议………………………………………………………………（页码）</w:t>
      </w:r>
    </w:p>
    <w:p w14:paraId="4204FBA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（3）落实政府采购政策需满足的资格要求………………………………（页码）</w:t>
      </w:r>
    </w:p>
    <w:p w14:paraId="311B31A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（4）本项目的特定资格要求………………………………………………（页码）</w:t>
      </w:r>
    </w:p>
    <w:p w14:paraId="70AB1788">
      <w:pPr>
        <w:snapToGrid w:val="0"/>
        <w:spacing w:line="360" w:lineRule="auto"/>
        <w:ind w:firstLine="480" w:firstLineChars="200"/>
        <w:rPr>
          <w:rFonts w:hint="eastAsia" w:ascii="仿宋" w:hAnsi="仿宋" w:eastAsia="仿宋" w:cs="仿宋"/>
          <w:sz w:val="24"/>
          <w:highlight w:val="none"/>
        </w:rPr>
      </w:pPr>
    </w:p>
    <w:p w14:paraId="27BAC772">
      <w:pPr>
        <w:spacing w:line="360" w:lineRule="auto"/>
        <w:ind w:firstLine="480" w:firstLineChars="200"/>
        <w:rPr>
          <w:rFonts w:hint="eastAsia" w:ascii="仿宋" w:hAnsi="仿宋" w:eastAsia="仿宋" w:cs="仿宋"/>
          <w:sz w:val="24"/>
          <w:highlight w:val="none"/>
        </w:rPr>
      </w:pPr>
    </w:p>
    <w:p w14:paraId="010C44D1">
      <w:pPr>
        <w:snapToGrid w:val="0"/>
        <w:spacing w:line="360" w:lineRule="auto"/>
        <w:ind w:right="480"/>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一、 符合参加政府采购活动应当具备的一般条件的承诺函</w:t>
      </w:r>
    </w:p>
    <w:p w14:paraId="0734B10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51C9C3DD">
      <w:pPr>
        <w:snapToGri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u w:val="single"/>
        </w:rPr>
        <w:t>（项目名称）</w:t>
      </w:r>
      <w:r>
        <w:rPr>
          <w:rFonts w:hint="eastAsia" w:ascii="仿宋" w:hAnsi="仿宋" w:eastAsia="仿宋" w:cs="仿宋"/>
          <w:sz w:val="24"/>
          <w:highlight w:val="none"/>
        </w:rPr>
        <w:t>【招标编号：</w:t>
      </w:r>
      <w:r>
        <w:rPr>
          <w:rFonts w:hint="eastAsia" w:ascii="仿宋" w:hAnsi="仿宋" w:eastAsia="仿宋" w:cs="仿宋"/>
          <w:sz w:val="24"/>
          <w:highlight w:val="none"/>
          <w:u w:val="single"/>
        </w:rPr>
        <w:t>（采购编号）</w:t>
      </w:r>
      <w:r>
        <w:rPr>
          <w:rFonts w:hint="eastAsia" w:ascii="仿宋" w:hAnsi="仿宋" w:eastAsia="仿宋" w:cs="仿宋"/>
          <w:sz w:val="24"/>
          <w:highlight w:val="none"/>
        </w:rPr>
        <w:t>】政府采购活动，郑重承诺：</w:t>
      </w:r>
    </w:p>
    <w:p w14:paraId="6DB259E3">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2CD902B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7937571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74E5303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7D69DF9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4F14A77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6D50C40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4A0C501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1646821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0AA79D6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0884253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0808A0BA">
      <w:pPr>
        <w:pStyle w:val="2"/>
        <w:rPr>
          <w:rFonts w:hint="eastAsia" w:ascii="仿宋" w:hAnsi="仿宋" w:eastAsia="仿宋" w:cs="仿宋"/>
          <w:highlight w:val="none"/>
        </w:rPr>
      </w:pPr>
    </w:p>
    <w:p w14:paraId="1C163FAB">
      <w:pPr>
        <w:rPr>
          <w:rFonts w:hint="eastAsia" w:ascii="仿宋" w:hAnsi="仿宋" w:eastAsia="仿宋" w:cs="仿宋"/>
          <w:highlight w:val="none"/>
        </w:rPr>
      </w:pPr>
    </w:p>
    <w:p w14:paraId="3AE076A6">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6D5D6081">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w:t>
      </w:r>
    </w:p>
    <w:p w14:paraId="72C0354D">
      <w:pPr>
        <w:snapToGrid w:val="0"/>
        <w:spacing w:line="360" w:lineRule="auto"/>
        <w:ind w:right="480"/>
        <w:jc w:val="center"/>
        <w:rPr>
          <w:rFonts w:hint="eastAsia" w:ascii="仿宋" w:hAnsi="仿宋" w:eastAsia="仿宋" w:cs="仿宋"/>
          <w:b/>
          <w:kern w:val="0"/>
          <w:sz w:val="32"/>
          <w:szCs w:val="32"/>
          <w:highlight w:val="none"/>
        </w:rPr>
      </w:pPr>
    </w:p>
    <w:p w14:paraId="10EBC70F">
      <w:pPr>
        <w:snapToGrid w:val="0"/>
        <w:spacing w:line="360" w:lineRule="auto"/>
        <w:ind w:right="480"/>
        <w:jc w:val="center"/>
        <w:rPr>
          <w:rFonts w:hint="eastAsia" w:ascii="仿宋" w:hAnsi="仿宋" w:eastAsia="仿宋" w:cs="仿宋"/>
          <w:b/>
          <w:kern w:val="0"/>
          <w:sz w:val="32"/>
          <w:szCs w:val="32"/>
          <w:highlight w:val="none"/>
        </w:rPr>
      </w:pPr>
    </w:p>
    <w:p w14:paraId="5965768E">
      <w:pPr>
        <w:rPr>
          <w:rFonts w:hint="eastAsia" w:ascii="仿宋" w:hAnsi="仿宋" w:eastAsia="仿宋" w:cs="仿宋"/>
          <w:highlight w:val="none"/>
        </w:rPr>
      </w:pPr>
    </w:p>
    <w:p w14:paraId="17135394">
      <w:pPr>
        <w:snapToGrid w:val="0"/>
        <w:spacing w:line="360" w:lineRule="auto"/>
        <w:ind w:right="480"/>
        <w:jc w:val="center"/>
        <w:rPr>
          <w:rFonts w:hint="eastAsia" w:ascii="仿宋" w:hAnsi="仿宋" w:eastAsia="仿宋" w:cs="仿宋"/>
          <w:b/>
          <w:kern w:val="0"/>
          <w:sz w:val="32"/>
          <w:szCs w:val="32"/>
          <w:highlight w:val="none"/>
        </w:rPr>
      </w:pPr>
    </w:p>
    <w:p w14:paraId="5B1660DF">
      <w:pPr>
        <w:snapToGrid w:val="0"/>
        <w:spacing w:line="360" w:lineRule="auto"/>
        <w:ind w:right="480"/>
        <w:jc w:val="center"/>
        <w:rPr>
          <w:rFonts w:hint="eastAsia" w:ascii="仿宋" w:hAnsi="仿宋" w:eastAsia="仿宋" w:cs="仿宋"/>
          <w:b/>
          <w:kern w:val="0"/>
          <w:sz w:val="32"/>
          <w:szCs w:val="32"/>
          <w:highlight w:val="none"/>
        </w:rPr>
      </w:pPr>
    </w:p>
    <w:p w14:paraId="0D3FB617">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6DC6BA62">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二、联合协议（如果有）</w:t>
      </w:r>
    </w:p>
    <w:p w14:paraId="600A0B1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[以联合体形式投标的，提供联合协议（附件5）；本项目不接受联合体投标或者投标人不以联合体形式投标的，则不需要提供）]</w:t>
      </w:r>
    </w:p>
    <w:p w14:paraId="7E6819D8">
      <w:pPr>
        <w:snapToGrid w:val="0"/>
        <w:spacing w:line="360" w:lineRule="auto"/>
        <w:ind w:right="480"/>
        <w:jc w:val="center"/>
        <w:rPr>
          <w:rFonts w:hint="eastAsia" w:ascii="仿宋" w:hAnsi="仿宋" w:eastAsia="仿宋" w:cs="仿宋"/>
          <w:b/>
          <w:kern w:val="0"/>
          <w:sz w:val="32"/>
          <w:szCs w:val="32"/>
          <w:highlight w:val="none"/>
        </w:rPr>
      </w:pPr>
    </w:p>
    <w:p w14:paraId="375FB14C">
      <w:pPr>
        <w:snapToGrid w:val="0"/>
        <w:spacing w:line="360" w:lineRule="auto"/>
        <w:ind w:right="480"/>
        <w:jc w:val="center"/>
        <w:rPr>
          <w:rFonts w:hint="eastAsia" w:ascii="仿宋" w:hAnsi="仿宋" w:eastAsia="仿宋" w:cs="仿宋"/>
          <w:b/>
          <w:kern w:val="0"/>
          <w:sz w:val="32"/>
          <w:szCs w:val="32"/>
          <w:highlight w:val="none"/>
        </w:rPr>
      </w:pPr>
    </w:p>
    <w:p w14:paraId="4D548545">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14:paraId="7B96F01B">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1FB56142">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.专门面向中小企业，服务全部由符合政策要求的中小企业（或小微企业）承接的，提供相应的中小企业声明函（附件7）。 </w:t>
      </w:r>
    </w:p>
    <w:p w14:paraId="10FD78FC">
      <w:pPr>
        <w:widowControl/>
        <w:spacing w:line="360" w:lineRule="auto"/>
        <w:ind w:firstLine="480"/>
        <w:jc w:val="left"/>
        <w:rPr>
          <w:rFonts w:hint="eastAsia" w:ascii="仿宋" w:hAnsi="仿宋" w:eastAsia="仿宋" w:cs="仿宋"/>
          <w:sz w:val="24"/>
          <w:highlight w:val="none"/>
        </w:rPr>
      </w:pPr>
    </w:p>
    <w:p w14:paraId="5E4285A0">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视同符合了资格条件，无需再与其他中小企业组成联合体参加政府采购活动，无需提供联合协议。</w:t>
      </w:r>
    </w:p>
    <w:p w14:paraId="5788C294">
      <w:pPr>
        <w:snapToGrid w:val="0"/>
        <w:spacing w:before="50" w:after="50" w:line="360" w:lineRule="auto"/>
        <w:jc w:val="center"/>
        <w:rPr>
          <w:rFonts w:hint="eastAsia" w:ascii="仿宋" w:hAnsi="仿宋" w:eastAsia="仿宋" w:cs="仿宋"/>
          <w:sz w:val="24"/>
          <w:highlight w:val="none"/>
        </w:rPr>
      </w:pPr>
      <w:r>
        <w:rPr>
          <w:rFonts w:hint="eastAsia" w:ascii="仿宋" w:hAnsi="仿宋" w:eastAsia="仿宋" w:cs="仿宋"/>
          <w:b/>
          <w:sz w:val="24"/>
          <w:highlight w:val="none"/>
        </w:rPr>
        <w:t xml:space="preserve">    </w:t>
      </w:r>
    </w:p>
    <w:p w14:paraId="0920F998">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视同符合了资格条件，无需再向中小企业分包，无需提供分包意向协议。</w:t>
      </w:r>
    </w:p>
    <w:p w14:paraId="679F5DBC">
      <w:pPr>
        <w:rPr>
          <w:rFonts w:hint="eastAsia" w:ascii="仿宋" w:hAnsi="仿宋" w:eastAsia="仿宋" w:cs="仿宋"/>
          <w:highlight w:val="none"/>
          <w:lang w:val="zh-CN"/>
        </w:rPr>
      </w:pPr>
      <w:r>
        <w:rPr>
          <w:rFonts w:hint="eastAsia" w:ascii="仿宋" w:hAnsi="仿宋" w:eastAsia="仿宋" w:cs="仿宋"/>
          <w:highlight w:val="none"/>
          <w:lang w:val="zh-CN"/>
        </w:rPr>
        <w:br w:type="page"/>
      </w:r>
    </w:p>
    <w:p w14:paraId="5ED4E353">
      <w:pPr>
        <w:keepNext/>
        <w:keepLines/>
        <w:adjustRightInd w:val="0"/>
        <w:spacing w:line="416" w:lineRule="auto"/>
        <w:rPr>
          <w:rFonts w:hint="eastAsia" w:ascii="仿宋" w:hAnsi="仿宋" w:eastAsia="仿宋" w:cs="仿宋"/>
          <w:highlight w:val="none"/>
          <w:lang w:val="zh-CN"/>
        </w:rPr>
      </w:pPr>
    </w:p>
    <w:p w14:paraId="5AB9606A">
      <w:pPr>
        <w:rPr>
          <w:rFonts w:hint="eastAsia" w:ascii="仿宋" w:hAnsi="仿宋" w:eastAsia="仿宋" w:cs="仿宋"/>
          <w:color w:val="FF0000"/>
          <w:kern w:val="0"/>
          <w:sz w:val="24"/>
          <w:highlight w:val="none"/>
        </w:rPr>
      </w:pPr>
      <w:r>
        <w:rPr>
          <w:rFonts w:hint="eastAsia" w:ascii="仿宋" w:hAnsi="仿宋" w:eastAsia="仿宋" w:cs="仿宋"/>
          <w:color w:val="FF0000"/>
          <w:kern w:val="0"/>
          <w:sz w:val="24"/>
          <w:highlight w:val="none"/>
        </w:rPr>
        <w:t>本项目专门面向中小企业，中小企业声明函示范格式如下：</w:t>
      </w:r>
    </w:p>
    <w:p w14:paraId="56D9CC1E">
      <w:pPr>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14:paraId="460DE770">
      <w:pPr>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highlight w:val="none"/>
        </w:rPr>
      </w:pPr>
    </w:p>
    <w:p w14:paraId="48579D7D">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lang w:eastAsia="zh-CN"/>
        </w:rPr>
        <w:t>杭州市钱塘区政府投资项目评审服务中心</w:t>
      </w:r>
      <w:r>
        <w:rPr>
          <w:rFonts w:hint="eastAsia" w:ascii="仿宋" w:hAnsi="仿宋" w:eastAsia="仿宋" w:cs="仿宋"/>
          <w:color w:val="FF0000"/>
          <w:sz w:val="24"/>
          <w:highlight w:val="none"/>
          <w:u w:val="single"/>
        </w:rPr>
        <w:t xml:space="preserve"> </w:t>
      </w:r>
      <w:r>
        <w:rPr>
          <w:rFonts w:hint="eastAsia" w:ascii="仿宋" w:hAnsi="仿宋" w:eastAsia="仿宋" w:cs="仿宋"/>
          <w:color w:val="FF0000"/>
          <w:sz w:val="24"/>
          <w:highlight w:val="none"/>
        </w:rPr>
        <w:t>的</w:t>
      </w:r>
      <w:r>
        <w:rPr>
          <w:rFonts w:hint="eastAsia" w:ascii="仿宋" w:hAnsi="仿宋" w:eastAsia="仿宋" w:cs="仿宋"/>
          <w:color w:val="FF0000"/>
          <w:sz w:val="24"/>
          <w:highlight w:val="none"/>
          <w:u w:val="single"/>
        </w:rPr>
        <w:t xml:space="preserve"> </w:t>
      </w:r>
      <w:r>
        <w:rPr>
          <w:rFonts w:hint="eastAsia" w:ascii="仿宋" w:hAnsi="仿宋" w:eastAsia="仿宋" w:cs="仿宋"/>
          <w:color w:val="FF0000"/>
          <w:sz w:val="24"/>
          <w:highlight w:val="none"/>
          <w:u w:val="single"/>
          <w:lang w:eastAsia="zh-CN"/>
        </w:rPr>
        <w:t>202</w:t>
      </w:r>
      <w:r>
        <w:rPr>
          <w:rFonts w:hint="eastAsia" w:ascii="仿宋" w:hAnsi="仿宋" w:eastAsia="仿宋" w:cs="仿宋"/>
          <w:color w:val="FF0000"/>
          <w:sz w:val="24"/>
          <w:highlight w:val="none"/>
          <w:u w:val="single"/>
          <w:lang w:val="en-US" w:eastAsia="zh-CN"/>
        </w:rPr>
        <w:t>5</w:t>
      </w:r>
      <w:r>
        <w:rPr>
          <w:rFonts w:hint="eastAsia" w:ascii="仿宋" w:hAnsi="仿宋" w:eastAsia="仿宋" w:cs="仿宋"/>
          <w:color w:val="FF0000"/>
          <w:sz w:val="24"/>
          <w:highlight w:val="none"/>
          <w:u w:val="single"/>
          <w:lang w:eastAsia="zh-CN"/>
        </w:rPr>
        <w:t>年度杭州市钱塘区政府投资项目工程竣工财务决算审核服务</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sz w:val="24"/>
          <w:highlight w:val="none"/>
        </w:rPr>
        <w:t>采购活动，服务全部由符合政策要求的中小企业承接。相关企业（含联合体中的中小企业、签订分包意向协议的中小企业）的具体情况如下：</w:t>
      </w:r>
    </w:p>
    <w:p w14:paraId="370A900A">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sz w:val="24"/>
          <w:highlight w:val="none"/>
        </w:rPr>
      </w:pPr>
      <w:r>
        <w:rPr>
          <w:rFonts w:hint="eastAsia" w:ascii="仿宋" w:hAnsi="仿宋" w:eastAsia="仿宋" w:cs="仿宋"/>
          <w:b w:val="0"/>
          <w:bCs w:val="0"/>
          <w:color w:val="FF0000"/>
          <w:sz w:val="24"/>
          <w:highlight w:val="none"/>
          <w:u w:val="single"/>
          <w:lang w:val="en-US" w:eastAsia="zh-CN"/>
        </w:rPr>
        <w:t xml:space="preserve"> </w:t>
      </w:r>
      <w:r>
        <w:rPr>
          <w:rFonts w:hint="eastAsia" w:ascii="仿宋" w:hAnsi="仿宋" w:eastAsia="仿宋" w:cs="仿宋"/>
          <w:color w:val="FF0000"/>
          <w:sz w:val="24"/>
          <w:highlight w:val="none"/>
          <w:u w:val="single"/>
          <w:lang w:eastAsia="zh-CN"/>
        </w:rPr>
        <w:t>202</w:t>
      </w:r>
      <w:r>
        <w:rPr>
          <w:rFonts w:hint="eastAsia" w:ascii="仿宋" w:hAnsi="仿宋" w:eastAsia="仿宋" w:cs="仿宋"/>
          <w:color w:val="FF0000"/>
          <w:sz w:val="24"/>
          <w:highlight w:val="none"/>
          <w:u w:val="single"/>
          <w:lang w:val="en-US" w:eastAsia="zh-CN"/>
        </w:rPr>
        <w:t>5</w:t>
      </w:r>
      <w:r>
        <w:rPr>
          <w:rFonts w:hint="eastAsia" w:ascii="仿宋" w:hAnsi="仿宋" w:eastAsia="仿宋" w:cs="仿宋"/>
          <w:color w:val="FF0000"/>
          <w:sz w:val="24"/>
          <w:highlight w:val="none"/>
          <w:u w:val="single"/>
          <w:lang w:eastAsia="zh-CN"/>
        </w:rPr>
        <w:t>年度杭州市钱塘区政府投资项目工程竣工财务决算审核服务</w:t>
      </w:r>
      <w:r>
        <w:rPr>
          <w:rFonts w:hint="eastAsia" w:ascii="仿宋" w:hAnsi="仿宋" w:eastAsia="仿宋" w:cs="仿宋"/>
          <w:b w:val="0"/>
          <w:bCs w:val="0"/>
          <w:color w:val="FF0000"/>
          <w:sz w:val="24"/>
          <w:highlight w:val="none"/>
          <w:u w:val="single"/>
          <w:lang w:val="en-US" w:eastAsia="zh-CN"/>
        </w:rPr>
        <w:t xml:space="preserve"> </w:t>
      </w:r>
      <w:r>
        <w:rPr>
          <w:rFonts w:hint="eastAsia" w:ascii="仿宋" w:hAnsi="仿宋" w:eastAsia="仿宋" w:cs="仿宋"/>
          <w:sz w:val="24"/>
          <w:highlight w:val="none"/>
        </w:rPr>
        <w:t>，属于</w:t>
      </w:r>
      <w:r>
        <w:rPr>
          <w:rFonts w:hint="eastAsia" w:ascii="仿宋" w:hAnsi="仿宋" w:eastAsia="仿宋" w:cs="仿宋"/>
          <w:color w:val="FF0000"/>
          <w:sz w:val="24"/>
          <w:highlight w:val="none"/>
          <w:u w:val="single"/>
        </w:rPr>
        <w:t xml:space="preserve"> </w:t>
      </w:r>
      <w:r>
        <w:rPr>
          <w:rFonts w:hint="eastAsia" w:ascii="仿宋" w:hAnsi="仿宋" w:eastAsia="仿宋" w:cs="仿宋"/>
          <w:color w:val="FF0000"/>
          <w:sz w:val="24"/>
          <w:highlight w:val="none"/>
          <w:u w:val="single"/>
          <w:lang w:val="en-US" w:eastAsia="zh-CN"/>
        </w:rPr>
        <w:t xml:space="preserve">租赁和商务服务业 </w:t>
      </w:r>
      <w:r>
        <w:rPr>
          <w:rFonts w:hint="eastAsia" w:ascii="仿宋" w:hAnsi="仿宋" w:eastAsia="仿宋" w:cs="仿宋"/>
          <w:sz w:val="24"/>
          <w:highlight w:val="none"/>
        </w:rPr>
        <w:t>；承接企业为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w:t>
      </w:r>
      <w:r>
        <w:rPr>
          <w:rFonts w:hint="eastAsia" w:ascii="仿宋" w:hAnsi="仿宋" w:eastAsia="仿宋" w:cs="仿宋"/>
          <w:sz w:val="24"/>
          <w:highlight w:val="none"/>
          <w:lang w:eastAsia="zh-CN"/>
        </w:rPr>
        <w:t>，</w:t>
      </w:r>
      <w:r>
        <w:rPr>
          <w:rFonts w:hint="eastAsia" w:ascii="仿宋" w:hAnsi="仿宋" w:eastAsia="仿宋" w:cs="仿宋"/>
          <w:sz w:val="24"/>
          <w:highlight w:val="none"/>
        </w:rPr>
        <w:t>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填写</w:t>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lang w:val="en-US" w:eastAsia="zh-CN"/>
        </w:rPr>
        <w:t>或</w:t>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lang w:val="en-US" w:eastAsia="zh-CN"/>
        </w:rPr>
        <w:t>或</w:t>
      </w:r>
      <w:r>
        <w:rPr>
          <w:rFonts w:hint="eastAsia" w:ascii="仿宋" w:hAnsi="仿宋" w:eastAsia="仿宋" w:cs="仿宋"/>
          <w:sz w:val="24"/>
          <w:highlight w:val="none"/>
          <w:u w:val="single"/>
        </w:rPr>
        <w:t>微型企业</w:t>
      </w:r>
      <w:r>
        <w:rPr>
          <w:rFonts w:hint="eastAsia" w:ascii="仿宋" w:hAnsi="仿宋" w:eastAsia="仿宋" w:cs="仿宋"/>
          <w:sz w:val="24"/>
          <w:highlight w:val="none"/>
          <w:u w:val="single"/>
          <w:lang w:val="en-US" w:eastAsia="zh-CN"/>
        </w:rPr>
        <w:t>的一种</w:t>
      </w:r>
      <w:r>
        <w:rPr>
          <w:rFonts w:hint="eastAsia" w:ascii="仿宋" w:hAnsi="仿宋" w:eastAsia="仿宋" w:cs="仿宋"/>
          <w:sz w:val="24"/>
          <w:highlight w:val="none"/>
          <w:u w:val="single"/>
        </w:rPr>
        <w:t xml:space="preserve">） </w:t>
      </w:r>
    </w:p>
    <w:p w14:paraId="2D079CFB">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sz w:val="24"/>
          <w:highlight w:val="none"/>
        </w:rPr>
      </w:pPr>
    </w:p>
    <w:p w14:paraId="17157A9A">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w:t>
      </w:r>
    </w:p>
    <w:p w14:paraId="762D13A6">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59A95028">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76C40A8F">
      <w:pPr>
        <w:pageBreakBefore w:val="0"/>
        <w:widowControl w:val="0"/>
        <w:kinsoku/>
        <w:wordWrap/>
        <w:overflowPunct/>
        <w:topLinePunct w:val="0"/>
        <w:autoSpaceDE/>
        <w:autoSpaceDN/>
        <w:bidi w:val="0"/>
        <w:adjustRightInd w:val="0"/>
        <w:snapToGrid w:val="0"/>
        <w:spacing w:line="360" w:lineRule="auto"/>
        <w:ind w:right="0"/>
        <w:jc w:val="right"/>
        <w:textAlignment w:val="auto"/>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14:paraId="13B27E65">
      <w:pPr>
        <w:keepNext/>
        <w:keepLines/>
        <w:pageBreakBefore w:val="0"/>
        <w:widowControl w:val="0"/>
        <w:kinsoku/>
        <w:wordWrap/>
        <w:overflowPunct/>
        <w:topLinePunct w:val="0"/>
        <w:autoSpaceDE/>
        <w:autoSpaceDN/>
        <w:bidi w:val="0"/>
        <w:adjustRightInd w:val="0"/>
        <w:snapToGrid w:val="0"/>
        <w:spacing w:line="360" w:lineRule="auto"/>
        <w:ind w:right="0" w:firstLine="6240" w:firstLineChars="26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日 期：</w:t>
      </w:r>
    </w:p>
    <w:p w14:paraId="5C0F71CD">
      <w:pPr>
        <w:keepNext/>
        <w:keepLines/>
        <w:adjustRightInd w:val="0"/>
        <w:snapToGrid w:val="0"/>
        <w:spacing w:line="360" w:lineRule="auto"/>
        <w:ind w:firstLine="6240" w:firstLineChars="2600"/>
        <w:rPr>
          <w:rFonts w:hint="eastAsia" w:ascii="仿宋" w:hAnsi="仿宋" w:eastAsia="仿宋" w:cs="仿宋"/>
          <w:sz w:val="24"/>
          <w:highlight w:val="none"/>
        </w:rPr>
      </w:pPr>
    </w:p>
    <w:p w14:paraId="5FB5039A">
      <w:pPr>
        <w:keepNext/>
        <w:keepLines/>
        <w:adjustRightInd w:val="0"/>
        <w:spacing w:line="416" w:lineRule="auto"/>
        <w:rPr>
          <w:rFonts w:hint="eastAsia" w:ascii="仿宋" w:hAnsi="仿宋" w:eastAsia="仿宋" w:cs="仿宋"/>
          <w:highlight w:val="none"/>
          <w:lang w:val="zh-CN"/>
        </w:rPr>
      </w:pPr>
    </w:p>
    <w:p w14:paraId="01FC18A1">
      <w:pPr>
        <w:keepNext/>
        <w:keepLines/>
        <w:adjustRightInd w:val="0"/>
        <w:spacing w:line="416" w:lineRule="auto"/>
        <w:rPr>
          <w:rFonts w:hint="eastAsia" w:ascii="仿宋" w:hAnsi="仿宋" w:eastAsia="仿宋" w:cs="仿宋"/>
          <w:b/>
          <w:bCs/>
          <w:color w:val="FF0000"/>
          <w:szCs w:val="21"/>
          <w:highlight w:val="none"/>
        </w:rPr>
      </w:pPr>
    </w:p>
    <w:p w14:paraId="68C85F53">
      <w:pPr>
        <w:keepNext/>
        <w:keepLines/>
        <w:adjustRightInd w:val="0"/>
        <w:spacing w:line="416" w:lineRule="auto"/>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注</w:t>
      </w:r>
      <w:r>
        <w:rPr>
          <w:rFonts w:hint="eastAsia" w:ascii="仿宋" w:hAnsi="仿宋" w:eastAsia="仿宋" w:cs="仿宋"/>
          <w:color w:val="000000" w:themeColor="text1"/>
          <w:szCs w:val="21"/>
          <w:highlight w:val="none"/>
          <w:lang w:val="zh-CN" w:eastAsia="zh-CN"/>
          <w14:textFill>
            <w14:solidFill>
              <w14:schemeClr w14:val="tx1"/>
            </w14:solidFill>
          </w14:textFill>
        </w:rPr>
        <w:t>：①</w:t>
      </w:r>
      <w:r>
        <w:rPr>
          <w:rFonts w:hint="eastAsia" w:ascii="仿宋" w:hAnsi="仿宋" w:eastAsia="仿宋" w:cs="仿宋"/>
          <w:color w:val="000000" w:themeColor="text1"/>
          <w:szCs w:val="21"/>
          <w:highlight w:val="none"/>
          <w:lang w:val="zh-CN"/>
          <w14:textFill>
            <w14:solidFill>
              <w14:schemeClr w14:val="tx1"/>
            </w14:solidFill>
          </w14:textFill>
        </w:rPr>
        <w:t>从业人员、营业收入、资产总额填报上一年度数据，无上一年度数据的新成立企业可不填报</w:t>
      </w:r>
      <w:r>
        <w:rPr>
          <w:rFonts w:hint="eastAsia" w:ascii="仿宋" w:hAnsi="仿宋" w:eastAsia="仿宋" w:cs="仿宋"/>
          <w:color w:val="000000" w:themeColor="text1"/>
          <w:szCs w:val="21"/>
          <w:highlight w:val="none"/>
          <w:lang w:val="zh-CN" w:eastAsia="zh-CN"/>
          <w14:textFill>
            <w14:solidFill>
              <w14:schemeClr w14:val="tx1"/>
            </w14:solidFill>
          </w14:textFill>
        </w:rPr>
        <w:t>。②</w:t>
      </w:r>
      <w:r>
        <w:rPr>
          <w:rFonts w:hint="eastAsia" w:ascii="仿宋" w:hAnsi="仿宋" w:eastAsia="仿宋" w:cs="仿宋"/>
          <w:color w:val="000000" w:themeColor="text1"/>
          <w:szCs w:val="21"/>
          <w:highlight w:val="none"/>
          <w:lang w:val="zh-CN"/>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p w14:paraId="6EDB2882">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6FBB7C8E">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14:paraId="51C428E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4A829A8C">
      <w:pPr>
        <w:spacing w:line="360" w:lineRule="auto"/>
        <w:jc w:val="center"/>
        <w:rPr>
          <w:rFonts w:hint="eastAsia" w:ascii="仿宋" w:hAnsi="仿宋" w:eastAsia="仿宋" w:cs="仿宋"/>
          <w:sz w:val="24"/>
          <w:highlight w:val="none"/>
        </w:rPr>
      </w:pPr>
    </w:p>
    <w:p w14:paraId="416F1037">
      <w:pPr>
        <w:spacing w:line="360" w:lineRule="auto"/>
        <w:jc w:val="center"/>
        <w:rPr>
          <w:rFonts w:hint="eastAsia" w:ascii="仿宋" w:hAnsi="仿宋" w:eastAsia="仿宋" w:cs="仿宋"/>
          <w:sz w:val="24"/>
          <w:highlight w:val="none"/>
        </w:rPr>
      </w:pPr>
    </w:p>
    <w:p w14:paraId="56648B28">
      <w:pPr>
        <w:spacing w:line="360" w:lineRule="auto"/>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lang w:val="en-US" w:eastAsia="zh-CN"/>
        </w:rPr>
        <w:t>提供</w:t>
      </w:r>
      <w:r>
        <w:rPr>
          <w:rFonts w:hint="eastAsia" w:ascii="仿宋" w:hAnsi="仿宋" w:eastAsia="仿宋" w:cs="仿宋"/>
          <w:snapToGrid w:val="0"/>
          <w:color w:val="FF0000"/>
          <w:kern w:val="28"/>
          <w:sz w:val="24"/>
          <w:szCs w:val="20"/>
          <w:highlight w:val="none"/>
          <w:lang w:val="en-US" w:eastAsia="zh-CN"/>
        </w:rPr>
        <w:t>有效的、财政部门颁发的会计师事务所执业证书</w:t>
      </w:r>
      <w:r>
        <w:rPr>
          <w:rFonts w:hint="eastAsia" w:ascii="仿宋" w:hAnsi="仿宋" w:eastAsia="仿宋" w:cs="仿宋"/>
          <w:b w:val="0"/>
          <w:bCs/>
          <w:color w:val="FF0000"/>
          <w:sz w:val="24"/>
          <w:highlight w:val="none"/>
          <w:lang w:val="en-US" w:eastAsia="zh-CN"/>
        </w:rPr>
        <w:t>的复印件或扫描件</w:t>
      </w:r>
      <w:r>
        <w:rPr>
          <w:rFonts w:hint="eastAsia" w:ascii="仿宋" w:hAnsi="仿宋" w:eastAsia="仿宋" w:cs="仿宋"/>
          <w:color w:val="FF0000"/>
          <w:sz w:val="24"/>
          <w:highlight w:val="none"/>
        </w:rPr>
        <w:br w:type="page"/>
      </w:r>
    </w:p>
    <w:p w14:paraId="66B26609">
      <w:pPr>
        <w:spacing w:line="360" w:lineRule="auto"/>
        <w:ind w:right="420"/>
        <w:jc w:val="center"/>
        <w:outlineLvl w:val="1"/>
        <w:rPr>
          <w:rFonts w:hint="eastAsia" w:ascii="仿宋" w:hAnsi="仿宋" w:eastAsia="仿宋" w:cs="仿宋"/>
          <w:b/>
          <w:kern w:val="0"/>
          <w:sz w:val="36"/>
          <w:szCs w:val="36"/>
          <w:highlight w:val="none"/>
        </w:rPr>
      </w:pPr>
      <w:bookmarkStart w:id="158" w:name="_Toc23502"/>
      <w:bookmarkStart w:id="159" w:name="_Toc3036"/>
      <w:bookmarkStart w:id="160" w:name="_Toc28076"/>
      <w:bookmarkStart w:id="161" w:name="_Toc4272"/>
      <w:r>
        <w:rPr>
          <w:rFonts w:hint="eastAsia" w:ascii="仿宋" w:hAnsi="仿宋" w:eastAsia="仿宋" w:cs="仿宋"/>
          <w:b/>
          <w:kern w:val="0"/>
          <w:sz w:val="36"/>
          <w:szCs w:val="36"/>
          <w:highlight w:val="none"/>
        </w:rPr>
        <w:t>商务技术文件部分</w:t>
      </w:r>
      <w:bookmarkEnd w:id="158"/>
      <w:bookmarkEnd w:id="159"/>
      <w:bookmarkEnd w:id="160"/>
      <w:bookmarkEnd w:id="161"/>
    </w:p>
    <w:p w14:paraId="3BD1A6CE">
      <w:pPr>
        <w:spacing w:line="360" w:lineRule="auto"/>
        <w:jc w:val="center"/>
        <w:rPr>
          <w:rFonts w:hint="eastAsia" w:ascii="仿宋" w:hAnsi="仿宋" w:eastAsia="仿宋" w:cs="仿宋"/>
          <w:b/>
          <w:kern w:val="0"/>
          <w:sz w:val="24"/>
          <w:highlight w:val="none"/>
        </w:rPr>
      </w:pPr>
    </w:p>
    <w:p w14:paraId="7ECB2B0B">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目录</w:t>
      </w:r>
    </w:p>
    <w:p w14:paraId="076AB058">
      <w:pPr>
        <w:numPr>
          <w:ilvl w:val="0"/>
          <w:numId w:val="13"/>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投标函…………………………………………………………………………（页码）</w:t>
      </w:r>
    </w:p>
    <w:p w14:paraId="1C438FEE">
      <w:pPr>
        <w:numPr>
          <w:ilvl w:val="0"/>
          <w:numId w:val="13"/>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授权委托书或法定代表人（单位负责人、自然人本人）身份证明………（页码）</w:t>
      </w:r>
    </w:p>
    <w:p w14:paraId="70B9FA3F">
      <w:pPr>
        <w:numPr>
          <w:ilvl w:val="0"/>
          <w:numId w:val="13"/>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分包意向协议…………………………………………………………………（页码）</w:t>
      </w:r>
    </w:p>
    <w:p w14:paraId="5E6D059D">
      <w:pPr>
        <w:numPr>
          <w:ilvl w:val="0"/>
          <w:numId w:val="13"/>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符合性审查资料………………………………………………………………（页码）</w:t>
      </w:r>
    </w:p>
    <w:p w14:paraId="22D546CE">
      <w:pPr>
        <w:numPr>
          <w:ilvl w:val="0"/>
          <w:numId w:val="13"/>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评标标准相应的商务技术资料………………………………………………（页码）</w:t>
      </w:r>
    </w:p>
    <w:p w14:paraId="28741CE1">
      <w:pPr>
        <w:numPr>
          <w:ilvl w:val="0"/>
          <w:numId w:val="13"/>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投标标的清单…………………………………………………………………（页码）</w:t>
      </w:r>
    </w:p>
    <w:p w14:paraId="2E7FAE37">
      <w:pPr>
        <w:numPr>
          <w:ilvl w:val="0"/>
          <w:numId w:val="13"/>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商务技术偏离表………………………………………………………………（页码）</w:t>
      </w:r>
    </w:p>
    <w:p w14:paraId="5FDF4A2B">
      <w:pPr>
        <w:numPr>
          <w:ilvl w:val="0"/>
          <w:numId w:val="13"/>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14:paraId="58418BDD">
      <w:pPr>
        <w:rPr>
          <w:rFonts w:hint="eastAsia" w:ascii="仿宋" w:hAnsi="仿宋" w:eastAsia="仿宋" w:cs="仿宋"/>
          <w:highlight w:val="none"/>
          <w:lang w:val="zh-CN"/>
        </w:rPr>
      </w:pPr>
    </w:p>
    <w:p w14:paraId="555C5884">
      <w:pPr>
        <w:rPr>
          <w:rFonts w:hint="eastAsia" w:ascii="仿宋" w:hAnsi="仿宋" w:eastAsia="仿宋" w:cs="仿宋"/>
          <w:highlight w:val="none"/>
          <w:lang w:val="zh-CN"/>
        </w:rPr>
      </w:pPr>
    </w:p>
    <w:p w14:paraId="5F844E7C">
      <w:pPr>
        <w:rPr>
          <w:rFonts w:hint="eastAsia" w:ascii="仿宋" w:hAnsi="仿宋" w:eastAsia="仿宋" w:cs="仿宋"/>
          <w:highlight w:val="none"/>
          <w:lang w:val="zh-CN"/>
        </w:rPr>
      </w:pPr>
    </w:p>
    <w:p w14:paraId="53363986">
      <w:pPr>
        <w:rPr>
          <w:rFonts w:hint="eastAsia" w:ascii="仿宋" w:hAnsi="仿宋" w:eastAsia="仿宋" w:cs="仿宋"/>
          <w:highlight w:val="none"/>
          <w:lang w:val="zh-CN"/>
        </w:rPr>
      </w:pPr>
    </w:p>
    <w:p w14:paraId="0996D32C">
      <w:pPr>
        <w:rPr>
          <w:rFonts w:hint="eastAsia" w:ascii="仿宋" w:hAnsi="仿宋" w:eastAsia="仿宋" w:cs="仿宋"/>
          <w:highlight w:val="none"/>
          <w:lang w:val="zh-CN"/>
        </w:rPr>
      </w:pPr>
    </w:p>
    <w:p w14:paraId="23A5B4C4">
      <w:pPr>
        <w:rPr>
          <w:rFonts w:hint="eastAsia" w:ascii="仿宋" w:hAnsi="仿宋" w:eastAsia="仿宋" w:cs="仿宋"/>
          <w:highlight w:val="none"/>
        </w:rPr>
      </w:pPr>
    </w:p>
    <w:p w14:paraId="7E481EA1">
      <w:pPr>
        <w:rPr>
          <w:rFonts w:hint="eastAsia" w:ascii="仿宋" w:hAnsi="仿宋" w:eastAsia="仿宋" w:cs="仿宋"/>
          <w:highlight w:val="none"/>
        </w:rPr>
      </w:pPr>
    </w:p>
    <w:p w14:paraId="7E59EF5F">
      <w:pPr>
        <w:rPr>
          <w:rFonts w:hint="eastAsia" w:ascii="仿宋" w:hAnsi="仿宋" w:eastAsia="仿宋" w:cs="仿宋"/>
          <w:highlight w:val="none"/>
        </w:rPr>
      </w:pPr>
    </w:p>
    <w:p w14:paraId="79436701">
      <w:pPr>
        <w:rPr>
          <w:rFonts w:hint="eastAsia" w:ascii="仿宋" w:hAnsi="仿宋" w:eastAsia="仿宋" w:cs="仿宋"/>
          <w:highlight w:val="none"/>
        </w:rPr>
      </w:pPr>
    </w:p>
    <w:p w14:paraId="4CBD8119">
      <w:pPr>
        <w:rPr>
          <w:rFonts w:hint="eastAsia" w:ascii="仿宋" w:hAnsi="仿宋" w:eastAsia="仿宋" w:cs="仿宋"/>
          <w:highlight w:val="none"/>
        </w:rPr>
      </w:pPr>
    </w:p>
    <w:p w14:paraId="06846CD9">
      <w:pPr>
        <w:rPr>
          <w:rFonts w:hint="eastAsia" w:ascii="仿宋" w:hAnsi="仿宋" w:eastAsia="仿宋" w:cs="仿宋"/>
          <w:highlight w:val="none"/>
        </w:rPr>
      </w:pPr>
    </w:p>
    <w:p w14:paraId="1404632E">
      <w:pPr>
        <w:rPr>
          <w:rFonts w:hint="eastAsia" w:ascii="仿宋" w:hAnsi="仿宋" w:eastAsia="仿宋" w:cs="仿宋"/>
          <w:highlight w:val="none"/>
        </w:rPr>
      </w:pPr>
    </w:p>
    <w:p w14:paraId="48DA4B8F">
      <w:pPr>
        <w:rPr>
          <w:rFonts w:hint="eastAsia" w:ascii="仿宋" w:hAnsi="仿宋" w:eastAsia="仿宋" w:cs="仿宋"/>
          <w:highlight w:val="none"/>
        </w:rPr>
      </w:pPr>
    </w:p>
    <w:p w14:paraId="02CEF89B">
      <w:pPr>
        <w:rPr>
          <w:rFonts w:hint="eastAsia" w:ascii="仿宋" w:hAnsi="仿宋" w:eastAsia="仿宋" w:cs="仿宋"/>
          <w:highlight w:val="none"/>
        </w:rPr>
      </w:pPr>
    </w:p>
    <w:p w14:paraId="084C0FB7">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ACF7B33">
      <w:pPr>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3C9AA658">
      <w:pPr>
        <w:adjustRightInd w:val="0"/>
        <w:snapToGrid w:val="0"/>
        <w:spacing w:line="360" w:lineRule="exact"/>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558B5AB0">
      <w:pPr>
        <w:adjustRightInd w:val="0"/>
        <w:snapToGrid w:val="0"/>
        <w:spacing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我方参加你方组织的（项目名称）【招标编号：（采购编号）】招标的有关活动，并对此项目进行投标。为此：</w:t>
      </w:r>
    </w:p>
    <w:p w14:paraId="5578B096">
      <w:pPr>
        <w:adjustRightInd w:val="0"/>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2B9246DD">
      <w:pPr>
        <w:adjustRightInd w:val="0"/>
        <w:snapToGrid w:val="0"/>
        <w:spacing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14:paraId="3C66C98B">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79017AF3">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2.1.1符合参加政府采购活动应当具备的一般条件的承诺函；</w:t>
      </w:r>
    </w:p>
    <w:p w14:paraId="0D5B04B0">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2.1.2联合协议；（如果有)</w:t>
      </w:r>
    </w:p>
    <w:p w14:paraId="39F2DC09">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2.1.3落实政府采购政策需满足的资格要求</w:t>
      </w:r>
      <w:r>
        <w:rPr>
          <w:rFonts w:hint="eastAsia" w:ascii="仿宋" w:hAnsi="仿宋" w:eastAsia="仿宋" w:cs="仿宋"/>
          <w:bCs/>
          <w:sz w:val="24"/>
          <w:highlight w:val="none"/>
        </w:rPr>
        <w:t>；（提供中小企业声明函）</w:t>
      </w:r>
    </w:p>
    <w:p w14:paraId="2177EFEC">
      <w:pPr>
        <w:adjustRightInd w:val="0"/>
        <w:snapToGrid w:val="0"/>
        <w:spacing w:line="360" w:lineRule="exact"/>
        <w:ind w:left="420" w:leftChars="200" w:firstLine="480" w:firstLineChars="200"/>
        <w:rPr>
          <w:rFonts w:hint="eastAsia" w:ascii="仿宋" w:hAnsi="仿宋" w:eastAsia="仿宋" w:cs="仿宋"/>
          <w:bCs/>
          <w:sz w:val="24"/>
          <w:highlight w:val="none"/>
          <w:lang w:eastAsia="zh-CN"/>
        </w:rPr>
      </w:pPr>
      <w:r>
        <w:rPr>
          <w:rFonts w:hint="eastAsia" w:ascii="仿宋" w:hAnsi="仿宋" w:eastAsia="仿宋" w:cs="仿宋"/>
          <w:sz w:val="24"/>
          <w:highlight w:val="none"/>
        </w:rPr>
        <w:t>2.1.4本项目的特定资格要求</w:t>
      </w:r>
      <w:r>
        <w:rPr>
          <w:rFonts w:hint="eastAsia" w:ascii="仿宋" w:hAnsi="仿宋" w:eastAsia="仿宋" w:cs="仿宋"/>
          <w:bCs/>
          <w:sz w:val="24"/>
          <w:highlight w:val="none"/>
        </w:rPr>
        <w:t>。</w:t>
      </w:r>
      <w:r>
        <w:rPr>
          <w:rFonts w:hint="eastAsia" w:ascii="仿宋" w:hAnsi="仿宋" w:eastAsia="仿宋" w:cs="仿宋"/>
          <w:bCs/>
          <w:sz w:val="24"/>
          <w:highlight w:val="none"/>
          <w:lang w:eastAsia="zh-CN"/>
        </w:rPr>
        <w:t>（</w:t>
      </w:r>
      <w:r>
        <w:rPr>
          <w:rFonts w:hint="eastAsia" w:ascii="仿宋" w:hAnsi="仿宋" w:eastAsia="仿宋" w:cs="仿宋"/>
          <w:color w:val="auto"/>
          <w:sz w:val="24"/>
          <w:highlight w:val="none"/>
          <w:lang w:val="en-US" w:eastAsia="zh-CN"/>
        </w:rPr>
        <w:t>提供</w:t>
      </w:r>
      <w:r>
        <w:rPr>
          <w:rFonts w:hint="eastAsia" w:ascii="仿宋" w:hAnsi="仿宋" w:eastAsia="仿宋" w:cs="仿宋"/>
          <w:snapToGrid w:val="0"/>
          <w:color w:val="auto"/>
          <w:kern w:val="28"/>
          <w:sz w:val="24"/>
          <w:szCs w:val="20"/>
          <w:highlight w:val="none"/>
          <w:lang w:val="en-US" w:eastAsia="zh-CN"/>
        </w:rPr>
        <w:t>有效的、财政部门颁发的会计师事务所执业证书</w:t>
      </w:r>
      <w:r>
        <w:rPr>
          <w:rFonts w:hint="eastAsia" w:ascii="仿宋" w:hAnsi="仿宋" w:eastAsia="仿宋" w:cs="仿宋"/>
          <w:b w:val="0"/>
          <w:bCs/>
          <w:color w:val="auto"/>
          <w:sz w:val="24"/>
          <w:highlight w:val="none"/>
          <w:lang w:val="en-US" w:eastAsia="zh-CN"/>
        </w:rPr>
        <w:t>的复印件或扫描件</w:t>
      </w:r>
      <w:r>
        <w:rPr>
          <w:rFonts w:hint="eastAsia" w:ascii="仿宋" w:hAnsi="仿宋" w:eastAsia="仿宋" w:cs="仿宋"/>
          <w:bCs/>
          <w:sz w:val="24"/>
          <w:highlight w:val="none"/>
          <w:lang w:eastAsia="zh-CN"/>
        </w:rPr>
        <w:t>）</w:t>
      </w:r>
    </w:p>
    <w:p w14:paraId="2DBE72A3">
      <w:pPr>
        <w:adjustRightInd w:val="0"/>
        <w:snapToGrid w:val="0"/>
        <w:spacing w:line="360" w:lineRule="exact"/>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53649592">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76F5BDD7">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r>
        <w:rPr>
          <w:rFonts w:hint="eastAsia" w:ascii="仿宋" w:hAnsi="仿宋" w:eastAsia="仿宋" w:cs="仿宋"/>
          <w:bCs/>
          <w:sz w:val="24"/>
          <w:highlight w:val="none"/>
        </w:rPr>
        <w:t>以及为授权代表缴纳、距投标截止时间3个月内任意时间出具的社保证明材料</w:t>
      </w:r>
      <w:r>
        <w:rPr>
          <w:rFonts w:hint="eastAsia" w:ascii="仿宋" w:hAnsi="仿宋" w:eastAsia="仿宋" w:cs="仿宋"/>
          <w:sz w:val="24"/>
          <w:highlight w:val="none"/>
        </w:rPr>
        <w:t>；</w:t>
      </w:r>
    </w:p>
    <w:p w14:paraId="20C5EE3A">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w:t>
      </w:r>
      <w:r>
        <w:rPr>
          <w:rFonts w:hint="eastAsia" w:ascii="仿宋" w:hAnsi="仿宋" w:eastAsia="仿宋" w:cs="仿宋"/>
          <w:bCs/>
          <w:sz w:val="24"/>
          <w:highlight w:val="none"/>
        </w:rPr>
        <w:t>如果有</w:t>
      </w:r>
      <w:r>
        <w:rPr>
          <w:rFonts w:hint="eastAsia" w:ascii="仿宋" w:hAnsi="仿宋" w:eastAsia="仿宋" w:cs="仿宋"/>
          <w:sz w:val="24"/>
          <w:highlight w:val="none"/>
        </w:rPr>
        <w:t>）</w:t>
      </w:r>
    </w:p>
    <w:p w14:paraId="799B20DF">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15B33E46">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14:paraId="70CA9F58">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2.2.6投标标的清单；</w:t>
      </w:r>
    </w:p>
    <w:p w14:paraId="50F65866">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2.2.7商务技术偏离表；</w:t>
      </w:r>
    </w:p>
    <w:p w14:paraId="434AA5AB">
      <w:pPr>
        <w:adjustRightInd w:val="0"/>
        <w:snapToGrid w:val="0"/>
        <w:spacing w:line="360" w:lineRule="exact"/>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260CFE4F">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784AE885">
      <w:pPr>
        <w:adjustRightInd w:val="0"/>
        <w:snapToGrid w:val="0"/>
        <w:spacing w:line="40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52D2E822">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2.3.2报价明细表。（自拟）</w:t>
      </w:r>
    </w:p>
    <w:p w14:paraId="580FF502">
      <w:pPr>
        <w:adjustRightInd w:val="0"/>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14:paraId="02976138">
      <w:pPr>
        <w:adjustRightInd w:val="0"/>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14:paraId="63235849">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0436F430">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3BB83D30">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14:paraId="2F913B04">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2D3339CE">
      <w:pPr>
        <w:adjustRightInd w:val="0"/>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9640A98">
      <w:pPr>
        <w:adjustRightInd w:val="0"/>
        <w:snapToGrid w:val="0"/>
        <w:spacing w:line="360" w:lineRule="exact"/>
        <w:ind w:firstLine="3600" w:firstLineChars="1500"/>
        <w:rPr>
          <w:rFonts w:hint="eastAsia" w:ascii="仿宋" w:hAnsi="仿宋" w:eastAsia="仿宋" w:cs="仿宋"/>
          <w:sz w:val="24"/>
          <w:highlight w:val="none"/>
        </w:rPr>
      </w:pPr>
    </w:p>
    <w:p w14:paraId="26D6C6D5">
      <w:pPr>
        <w:adjustRightInd w:val="0"/>
        <w:snapToGrid w:val="0"/>
        <w:spacing w:line="360" w:lineRule="exact"/>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投标人名称（电子签名）：                          </w:t>
      </w:r>
    </w:p>
    <w:p w14:paraId="057797EA">
      <w:pPr>
        <w:adjustRightInd w:val="0"/>
        <w:snapToGrid w:val="0"/>
        <w:spacing w:line="360" w:lineRule="exact"/>
        <w:jc w:val="center"/>
        <w:rPr>
          <w:rFonts w:hint="eastAsia" w:ascii="仿宋" w:hAnsi="仿宋" w:eastAsia="仿宋" w:cs="仿宋"/>
          <w:kern w:val="0"/>
          <w:sz w:val="24"/>
          <w:highlight w:val="none"/>
          <w:u w:val="single"/>
          <w:lang w:val="zh-CN"/>
        </w:rPr>
      </w:pPr>
      <w:r>
        <w:rPr>
          <w:rFonts w:hint="eastAsia" w:ascii="仿宋" w:hAnsi="仿宋" w:eastAsia="仿宋" w:cs="仿宋"/>
          <w:sz w:val="24"/>
          <w:highlight w:val="none"/>
        </w:rPr>
        <w:t xml:space="preserve">     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5749D4B0">
      <w:pPr>
        <w:spacing w:line="360" w:lineRule="auto"/>
        <w:ind w:right="420"/>
        <w:rPr>
          <w:rFonts w:hint="eastAsia" w:ascii="仿宋" w:hAnsi="仿宋" w:eastAsia="仿宋" w:cs="仿宋"/>
          <w:sz w:val="24"/>
          <w:highlight w:val="none"/>
        </w:rPr>
      </w:pPr>
    </w:p>
    <w:p w14:paraId="1914B06E">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83002DC">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02B0A9A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7BB206C8">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14:paraId="0FF47C75">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52C1A98E">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14:paraId="3CBFFA90">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139BDED3">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05C458C5">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14:paraId="687CDD97">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7E76C031">
      <w:pPr>
        <w:snapToGrid w:val="0"/>
        <w:spacing w:line="360" w:lineRule="auto"/>
        <w:rPr>
          <w:rFonts w:hint="eastAsia" w:ascii="仿宋" w:hAnsi="仿宋" w:eastAsia="仿宋" w:cs="仿宋"/>
          <w:sz w:val="24"/>
          <w:highlight w:val="none"/>
        </w:rPr>
      </w:pPr>
    </w:p>
    <w:p w14:paraId="0F5FC3CF">
      <w:pPr>
        <w:snapToGrid w:val="0"/>
        <w:spacing w:line="360" w:lineRule="auto"/>
        <w:rPr>
          <w:rFonts w:hint="eastAsia" w:ascii="仿宋" w:hAnsi="仿宋" w:eastAsia="仿宋" w:cs="仿宋"/>
          <w:sz w:val="24"/>
          <w:highlight w:val="none"/>
        </w:rPr>
      </w:pPr>
    </w:p>
    <w:p w14:paraId="0903928D">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 xml:space="preserve">      </w:t>
      </w:r>
      <w:r>
        <w:rPr>
          <w:rFonts w:hint="eastAsia" w:ascii="仿宋" w:hAnsi="仿宋" w:eastAsia="仿宋" w:cs="仿宋"/>
          <w:b/>
          <w:kern w:val="0"/>
          <w:sz w:val="32"/>
          <w:szCs w:val="32"/>
          <w:highlight w:val="none"/>
        </w:rPr>
        <w:t xml:space="preserve"> </w:t>
      </w:r>
      <w:r>
        <w:rPr>
          <w:rFonts w:hint="eastAsia" w:ascii="仿宋" w:hAnsi="仿宋" w:eastAsia="仿宋" w:cs="仿宋"/>
          <w:b/>
          <w:kern w:val="0"/>
          <w:sz w:val="32"/>
          <w:szCs w:val="32"/>
          <w:highlight w:val="none"/>
          <w:lang w:val="zh-CN"/>
        </w:rPr>
        <w:t>授权委托书（适用于联合体投标）</w:t>
      </w:r>
    </w:p>
    <w:p w14:paraId="79A64F82">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01306D0B">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14:paraId="6BBC9426">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委托期限：</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5764067A">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54047BE6">
      <w:pPr>
        <w:jc w:val="center"/>
        <w:rPr>
          <w:rFonts w:hint="eastAsia" w:ascii="仿宋" w:hAnsi="仿宋" w:eastAsia="仿宋" w:cs="仿宋"/>
          <w:b/>
          <w:kern w:val="0"/>
          <w:sz w:val="32"/>
          <w:szCs w:val="32"/>
          <w:highlight w:val="none"/>
        </w:rPr>
      </w:pPr>
    </w:p>
    <w:p w14:paraId="5E77C097">
      <w:pPr>
        <w:jc w:val="center"/>
        <w:rPr>
          <w:rFonts w:hint="eastAsia" w:ascii="仿宋" w:hAnsi="仿宋" w:eastAsia="仿宋" w:cs="仿宋"/>
          <w:b/>
          <w:kern w:val="0"/>
          <w:sz w:val="32"/>
          <w:szCs w:val="32"/>
          <w:highlight w:val="none"/>
        </w:rPr>
      </w:pPr>
    </w:p>
    <w:p w14:paraId="22DF66B9">
      <w:pPr>
        <w:rPr>
          <w:rFonts w:hint="eastAsia" w:ascii="仿宋" w:hAnsi="仿宋" w:eastAsia="仿宋" w:cs="仿宋"/>
          <w:highlight w:val="none"/>
        </w:rPr>
      </w:pPr>
    </w:p>
    <w:p w14:paraId="5CAD2562">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47336938">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4A9C4A9F">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6CDC0918">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4F4450C4">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BC30318">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0ACD3281">
      <w:pPr>
        <w:pStyle w:val="197"/>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90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9207" w:type="dxa"/>
          </w:tcPr>
          <w:p w14:paraId="30ACEF16">
            <w:pPr>
              <w:pStyle w:val="197"/>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37AC93F5">
            <w:pPr>
              <w:pStyle w:val="197"/>
              <w:adjustRightInd w:val="0"/>
              <w:spacing w:line="360" w:lineRule="auto"/>
              <w:rPr>
                <w:rFonts w:hint="eastAsia" w:ascii="仿宋" w:hAnsi="仿宋" w:eastAsia="仿宋" w:cs="仿宋"/>
                <w:bCs/>
                <w:sz w:val="24"/>
                <w:highlight w:val="none"/>
              </w:rPr>
            </w:pPr>
          </w:p>
        </w:tc>
      </w:tr>
    </w:tbl>
    <w:p w14:paraId="54631A27">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12B39704">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投标人为授权代表缴纳的、距投标截止时间3个月内任意时间出具的社保证明材料</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DEC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207" w:type="dxa"/>
          </w:tcPr>
          <w:p w14:paraId="20C81090">
            <w:pPr>
              <w:pStyle w:val="197"/>
              <w:adjustRightInd w:val="0"/>
              <w:spacing w:line="360" w:lineRule="auto"/>
              <w:rPr>
                <w:rFonts w:hint="eastAsia" w:ascii="仿宋" w:hAnsi="仿宋" w:eastAsia="仿宋" w:cs="仿宋"/>
                <w:bCs/>
                <w:sz w:val="24"/>
                <w:highlight w:val="none"/>
              </w:rPr>
            </w:pPr>
          </w:p>
        </w:tc>
      </w:tr>
    </w:tbl>
    <w:p w14:paraId="01DAAB7E">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0C98FE49">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14:paraId="0EA1B87C">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795C3B54">
      <w:pPr>
        <w:jc w:val="center"/>
        <w:rPr>
          <w:rFonts w:hint="eastAsia" w:ascii="仿宋" w:hAnsi="仿宋" w:eastAsia="仿宋" w:cs="仿宋"/>
          <w:b/>
          <w:kern w:val="0"/>
          <w:sz w:val="32"/>
          <w:szCs w:val="32"/>
          <w:highlight w:val="none"/>
        </w:rPr>
      </w:pPr>
    </w:p>
    <w:p w14:paraId="53B1197E">
      <w:pPr>
        <w:jc w:val="center"/>
        <w:rPr>
          <w:rFonts w:hint="eastAsia" w:ascii="仿宋" w:hAnsi="仿宋" w:eastAsia="仿宋" w:cs="仿宋"/>
          <w:b/>
          <w:kern w:val="0"/>
          <w:sz w:val="32"/>
          <w:szCs w:val="32"/>
          <w:highlight w:val="none"/>
        </w:rPr>
      </w:pPr>
    </w:p>
    <w:p w14:paraId="43D9040A">
      <w:pPr>
        <w:jc w:val="center"/>
        <w:rPr>
          <w:rFonts w:hint="eastAsia" w:ascii="仿宋" w:hAnsi="仿宋" w:eastAsia="仿宋" w:cs="仿宋"/>
          <w:b/>
          <w:kern w:val="0"/>
          <w:sz w:val="32"/>
          <w:szCs w:val="32"/>
          <w:highlight w:val="none"/>
        </w:rPr>
      </w:pPr>
    </w:p>
    <w:p w14:paraId="43EC6330">
      <w:pPr>
        <w:jc w:val="center"/>
        <w:rPr>
          <w:rFonts w:hint="eastAsia" w:ascii="仿宋" w:hAnsi="仿宋" w:eastAsia="仿宋" w:cs="仿宋"/>
          <w:b/>
          <w:kern w:val="0"/>
          <w:sz w:val="32"/>
          <w:szCs w:val="32"/>
          <w:highlight w:val="none"/>
        </w:rPr>
      </w:pPr>
    </w:p>
    <w:p w14:paraId="03761B19">
      <w:pPr>
        <w:jc w:val="center"/>
        <w:rPr>
          <w:rFonts w:hint="eastAsia" w:ascii="仿宋" w:hAnsi="仿宋" w:eastAsia="仿宋" w:cs="仿宋"/>
          <w:b/>
          <w:kern w:val="0"/>
          <w:sz w:val="32"/>
          <w:szCs w:val="32"/>
          <w:highlight w:val="none"/>
        </w:rPr>
      </w:pPr>
    </w:p>
    <w:p w14:paraId="57743412">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三、分包意向协议（如果有）</w:t>
      </w:r>
    </w:p>
    <w:p w14:paraId="3EAB7C20">
      <w:pPr>
        <w:widowControl/>
        <w:spacing w:line="360" w:lineRule="auto"/>
        <w:ind w:firstLine="482" w:firstLineChars="200"/>
        <w:jc w:val="left"/>
        <w:rPr>
          <w:rFonts w:hint="eastAsia" w:ascii="仿宋" w:hAnsi="仿宋" w:eastAsia="仿宋" w:cs="仿宋"/>
          <w:sz w:val="24"/>
          <w:highlight w:val="none"/>
        </w:rPr>
      </w:pPr>
      <w:r>
        <w:rPr>
          <w:rFonts w:hint="eastAsia" w:ascii="仿宋" w:hAnsi="仿宋" w:eastAsia="仿宋" w:cs="仿宋"/>
          <w:b/>
          <w:sz w:val="24"/>
          <w:highlight w:val="none"/>
        </w:rPr>
        <w:t>[中标后以分包方式履行合同的，提供分包意向协议(附件6)；采购人不同意分包或者投标人中标后不以分包方式履行合同的，则不需要提供。]</w:t>
      </w:r>
    </w:p>
    <w:p w14:paraId="7C48BAD5">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5F0A4EEC">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四、符合性审查资料</w:t>
      </w:r>
    </w:p>
    <w:p w14:paraId="17830CF1">
      <w:pPr>
        <w:jc w:val="center"/>
        <w:rPr>
          <w:rFonts w:hint="eastAsia" w:ascii="仿宋" w:hAnsi="仿宋" w:eastAsia="仿宋" w:cs="仿宋"/>
          <w:b/>
          <w:kern w:val="0"/>
          <w:sz w:val="32"/>
          <w:szCs w:val="32"/>
          <w:highlight w:val="none"/>
        </w:rPr>
      </w:pPr>
    </w:p>
    <w:tbl>
      <w:tblPr>
        <w:tblStyle w:val="4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6C46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943DCA1">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245" w:type="dxa"/>
            <w:vAlign w:val="center"/>
          </w:tcPr>
          <w:p w14:paraId="78D89D4A">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0BBBC708">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672" w:type="dxa"/>
            <w:vAlign w:val="center"/>
          </w:tcPr>
          <w:p w14:paraId="6060A8F6">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投标文件中的页码位置</w:t>
            </w:r>
          </w:p>
        </w:tc>
      </w:tr>
      <w:tr w14:paraId="354B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C6C72E">
            <w:pPr>
              <w:adjustRightInd w:val="0"/>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4245" w:type="dxa"/>
            <w:vAlign w:val="center"/>
          </w:tcPr>
          <w:p w14:paraId="41DFCA36">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vAlign w:val="center"/>
          </w:tcPr>
          <w:p w14:paraId="1A36679B">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672" w:type="dxa"/>
            <w:vAlign w:val="center"/>
          </w:tcPr>
          <w:p w14:paraId="1417B440">
            <w:pPr>
              <w:adjustRightInd w:val="0"/>
              <w:snapToGrid w:val="0"/>
              <w:spacing w:line="400" w:lineRule="exact"/>
              <w:rPr>
                <w:rFonts w:hint="eastAsia" w:ascii="仿宋" w:hAnsi="仿宋" w:eastAsia="仿宋" w:cs="仿宋"/>
                <w:sz w:val="24"/>
                <w:highlight w:val="none"/>
              </w:rPr>
            </w:pPr>
          </w:p>
          <w:p w14:paraId="2C4B3311">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见投标文件</w:t>
            </w:r>
          </w:p>
          <w:p w14:paraId="69B4D945">
            <w:pPr>
              <w:adjustRightInd w:val="0"/>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6781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54360A">
            <w:pPr>
              <w:adjustRightInd w:val="0"/>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2</w:t>
            </w:r>
          </w:p>
        </w:tc>
        <w:tc>
          <w:tcPr>
            <w:tcW w:w="4245" w:type="dxa"/>
            <w:vAlign w:val="center"/>
          </w:tcPr>
          <w:p w14:paraId="1C30C81B">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vAlign w:val="center"/>
          </w:tcPr>
          <w:p w14:paraId="5615E8AC">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投标函</w:t>
            </w:r>
          </w:p>
        </w:tc>
        <w:tc>
          <w:tcPr>
            <w:tcW w:w="1672" w:type="dxa"/>
            <w:vAlign w:val="center"/>
          </w:tcPr>
          <w:p w14:paraId="0AA87C76">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见投标文件</w:t>
            </w:r>
          </w:p>
          <w:p w14:paraId="75C689E2">
            <w:pPr>
              <w:adjustRightInd w:val="0"/>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42A9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15EFC7">
            <w:pPr>
              <w:adjustRightInd w:val="0"/>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3</w:t>
            </w:r>
          </w:p>
        </w:tc>
        <w:tc>
          <w:tcPr>
            <w:tcW w:w="4245" w:type="dxa"/>
            <w:vAlign w:val="center"/>
          </w:tcPr>
          <w:p w14:paraId="495A1073">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vAlign w:val="center"/>
          </w:tcPr>
          <w:p w14:paraId="6661A501">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672" w:type="dxa"/>
            <w:vAlign w:val="center"/>
          </w:tcPr>
          <w:p w14:paraId="2F6A6C54">
            <w:pPr>
              <w:adjustRightInd w:val="0"/>
              <w:snapToGrid w:val="0"/>
              <w:spacing w:line="400" w:lineRule="exact"/>
              <w:rPr>
                <w:rFonts w:hint="eastAsia" w:ascii="仿宋" w:hAnsi="仿宋" w:eastAsia="仿宋" w:cs="仿宋"/>
                <w:highlight w:val="none"/>
              </w:rPr>
            </w:pPr>
          </w:p>
        </w:tc>
      </w:tr>
      <w:tr w14:paraId="7FE3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A2BE57">
            <w:pPr>
              <w:adjustRightInd w:val="0"/>
              <w:snapToGrid w:val="0"/>
              <w:spacing w:line="400" w:lineRule="exact"/>
              <w:jc w:val="center"/>
              <w:rPr>
                <w:rFonts w:hint="eastAsia" w:ascii="仿宋" w:hAnsi="仿宋" w:eastAsia="仿宋" w:cs="仿宋"/>
                <w:bCs/>
                <w:sz w:val="24"/>
                <w:highlight w:val="none"/>
              </w:rPr>
            </w:pPr>
          </w:p>
        </w:tc>
        <w:tc>
          <w:tcPr>
            <w:tcW w:w="6796" w:type="dxa"/>
            <w:gridSpan w:val="2"/>
            <w:vAlign w:val="center"/>
          </w:tcPr>
          <w:p w14:paraId="7F5E722C">
            <w:pPr>
              <w:pStyle w:val="18"/>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color w:val="000000"/>
                <w:kern w:val="2"/>
                <w:sz w:val="24"/>
                <w:highlight w:val="none"/>
                <w:lang w:val="en-US" w:eastAsia="zh-CN"/>
              </w:rPr>
              <w:t>▲项目组团队中</w:t>
            </w:r>
            <w:r>
              <w:rPr>
                <w:rFonts w:hint="eastAsia" w:ascii="仿宋" w:hAnsi="仿宋" w:eastAsia="仿宋" w:cs="仿宋"/>
                <w:color w:val="000000"/>
                <w:kern w:val="2"/>
                <w:sz w:val="24"/>
                <w:highlight w:val="none"/>
              </w:rPr>
              <w:t>应包括项目负责人1名，</w:t>
            </w:r>
            <w:r>
              <w:rPr>
                <w:rFonts w:hint="eastAsia" w:ascii="仿宋" w:hAnsi="仿宋" w:eastAsia="仿宋" w:cs="仿宋"/>
                <w:color w:val="000000"/>
                <w:kern w:val="2"/>
                <w:sz w:val="24"/>
                <w:highlight w:val="none"/>
                <w:u w:val="none"/>
                <w:lang w:val="en-US" w:eastAsia="zh-CN"/>
              </w:rPr>
              <w:t>项目主管人员5名，均须</w:t>
            </w:r>
            <w:r>
              <w:rPr>
                <w:rFonts w:hint="eastAsia" w:ascii="仿宋" w:hAnsi="仿宋" w:eastAsia="仿宋" w:cs="仿宋"/>
                <w:color w:val="000000"/>
                <w:kern w:val="2"/>
                <w:sz w:val="24"/>
                <w:highlight w:val="none"/>
                <w:u w:val="none"/>
              </w:rPr>
              <w:t>具有注册会计师资格证书</w:t>
            </w:r>
          </w:p>
        </w:tc>
        <w:tc>
          <w:tcPr>
            <w:tcW w:w="1672" w:type="dxa"/>
            <w:vAlign w:val="center"/>
          </w:tcPr>
          <w:p w14:paraId="1BEE424B">
            <w:pPr>
              <w:adjustRightInd w:val="0"/>
              <w:snapToGrid w:val="0"/>
              <w:spacing w:line="4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商务技术文件的</w:t>
            </w: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0D4F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F58E3C">
            <w:pPr>
              <w:adjustRightInd w:val="0"/>
              <w:snapToGrid w:val="0"/>
              <w:spacing w:line="400" w:lineRule="exact"/>
              <w:jc w:val="center"/>
              <w:rPr>
                <w:rFonts w:hint="eastAsia" w:ascii="仿宋" w:hAnsi="仿宋" w:eastAsia="仿宋" w:cs="仿宋"/>
                <w:bCs/>
                <w:sz w:val="24"/>
                <w:highlight w:val="none"/>
              </w:rPr>
            </w:pPr>
          </w:p>
        </w:tc>
        <w:tc>
          <w:tcPr>
            <w:tcW w:w="6796" w:type="dxa"/>
            <w:gridSpan w:val="2"/>
            <w:vAlign w:val="center"/>
          </w:tcPr>
          <w:p w14:paraId="31A50FB8">
            <w:pPr>
              <w:adjustRightInd w:val="0"/>
              <w:snapToGrid w:val="0"/>
              <w:spacing w:line="400" w:lineRule="exact"/>
              <w:rPr>
                <w:rFonts w:hint="eastAsia" w:ascii="仿宋" w:hAnsi="仿宋" w:eastAsia="仿宋" w:cs="仿宋"/>
                <w:snapToGrid w:val="0"/>
                <w:kern w:val="0"/>
                <w:sz w:val="24"/>
                <w:highlight w:val="none"/>
              </w:rPr>
            </w:pPr>
            <w:r>
              <w:rPr>
                <w:rFonts w:hint="eastAsia" w:ascii="仿宋" w:hAnsi="仿宋" w:eastAsia="仿宋" w:cs="仿宋"/>
                <w:color w:val="000000"/>
                <w:kern w:val="2"/>
                <w:sz w:val="24"/>
                <w:highlight w:val="none"/>
                <w:lang w:val="en-US" w:eastAsia="zh-CN"/>
              </w:rPr>
              <w:t>▲</w:t>
            </w:r>
            <w:r>
              <w:rPr>
                <w:rFonts w:hint="eastAsia" w:ascii="仿宋" w:hAnsi="仿宋" w:eastAsia="仿宋" w:cs="仿宋"/>
                <w:b w:val="0"/>
                <w:bCs w:val="0"/>
                <w:color w:val="000000"/>
                <w:sz w:val="24"/>
                <w:highlight w:val="none"/>
                <w:u w:val="none"/>
                <w:lang w:val="en-US" w:eastAsia="zh-CN"/>
              </w:rPr>
              <w:t>投标人在投标文件中必须提供廉洁承诺书（格式见采购文件第六部分“投标文件格式”，“商务技术文件部分”，“（8）</w:t>
            </w:r>
            <w:r>
              <w:rPr>
                <w:rFonts w:hint="eastAsia" w:ascii="仿宋" w:hAnsi="仿宋" w:eastAsia="仿宋" w:cs="仿宋"/>
                <w:sz w:val="24"/>
                <w:szCs w:val="24"/>
                <w:highlight w:val="none"/>
                <w:lang w:val="zh-CN"/>
              </w:rPr>
              <w:t>政府采购供应商廉洁自律承诺书</w:t>
            </w:r>
            <w:r>
              <w:rPr>
                <w:rFonts w:hint="eastAsia" w:ascii="仿宋" w:hAnsi="仿宋" w:eastAsia="仿宋" w:cs="仿宋"/>
                <w:b w:val="0"/>
                <w:bCs w:val="0"/>
                <w:color w:val="000000"/>
                <w:sz w:val="24"/>
                <w:highlight w:val="none"/>
                <w:u w:val="none"/>
                <w:lang w:val="en-US" w:eastAsia="zh-CN"/>
              </w:rPr>
              <w:t>”），否则作无效标处理</w:t>
            </w:r>
          </w:p>
        </w:tc>
        <w:tc>
          <w:tcPr>
            <w:tcW w:w="1672" w:type="dxa"/>
            <w:vAlign w:val="center"/>
          </w:tcPr>
          <w:p w14:paraId="7BB01AC9">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商务技术文件的</w:t>
            </w: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77F1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31452D">
            <w:pPr>
              <w:adjustRightInd w:val="0"/>
              <w:snapToGrid w:val="0"/>
              <w:spacing w:line="400" w:lineRule="exact"/>
              <w:jc w:val="center"/>
              <w:rPr>
                <w:rFonts w:hint="eastAsia" w:ascii="仿宋" w:hAnsi="仿宋" w:eastAsia="仿宋" w:cs="仿宋"/>
                <w:bCs/>
                <w:sz w:val="24"/>
                <w:highlight w:val="none"/>
              </w:rPr>
            </w:pPr>
          </w:p>
        </w:tc>
        <w:tc>
          <w:tcPr>
            <w:tcW w:w="6796" w:type="dxa"/>
            <w:gridSpan w:val="2"/>
            <w:vAlign w:val="center"/>
          </w:tcPr>
          <w:p w14:paraId="67DE8A5E">
            <w:pPr>
              <w:adjustRightInd w:val="0"/>
              <w:snapToGrid w:val="0"/>
              <w:spacing w:line="400" w:lineRule="exact"/>
              <w:rPr>
                <w:rFonts w:hint="eastAsia" w:ascii="仿宋" w:hAnsi="仿宋" w:eastAsia="仿宋" w:cs="仿宋"/>
                <w:color w:val="000000"/>
                <w:kern w:val="2"/>
                <w:sz w:val="24"/>
                <w:highlight w:val="none"/>
                <w:lang w:val="en-US" w:eastAsia="zh-CN"/>
              </w:rPr>
            </w:pPr>
            <w:r>
              <w:rPr>
                <w:rFonts w:hint="eastAsia" w:ascii="仿宋" w:hAnsi="仿宋" w:eastAsia="仿宋" w:cs="仿宋"/>
                <w:color w:val="000000"/>
                <w:kern w:val="2"/>
                <w:sz w:val="24"/>
                <w:highlight w:val="none"/>
                <w:lang w:val="en-US" w:eastAsia="zh-CN"/>
              </w:rPr>
              <w:t>▲最高限价为</w:t>
            </w:r>
            <w:r>
              <w:rPr>
                <w:rFonts w:hint="eastAsia" w:ascii="仿宋" w:hAnsi="仿宋" w:eastAsia="仿宋" w:cs="仿宋"/>
                <w:sz w:val="24"/>
                <w:highlight w:val="none"/>
                <w:lang w:val="en-US" w:eastAsia="zh-CN"/>
              </w:rPr>
              <w:t>“</w:t>
            </w:r>
            <w:r>
              <w:rPr>
                <w:rFonts w:hint="eastAsia" w:ascii="仿宋" w:hAnsi="仿宋" w:eastAsia="仿宋" w:cs="仿宋"/>
                <w:kern w:val="0"/>
                <w:sz w:val="24"/>
                <w:highlight w:val="none"/>
              </w:rPr>
              <w:t>竣工财务决算审核咨询服务费计费标准</w:t>
            </w:r>
            <w:r>
              <w:rPr>
                <w:rFonts w:hint="eastAsia" w:ascii="仿宋" w:hAnsi="仿宋" w:eastAsia="仿宋" w:cs="仿宋"/>
                <w:sz w:val="24"/>
                <w:highlight w:val="none"/>
                <w:lang w:val="en-US" w:eastAsia="zh-CN"/>
              </w:rPr>
              <w:t>”</w:t>
            </w:r>
            <w:r>
              <w:rPr>
                <w:rFonts w:hint="eastAsia" w:ascii="仿宋" w:hAnsi="仿宋" w:eastAsia="仿宋" w:cs="仿宋"/>
                <w:color w:val="000000"/>
                <w:kern w:val="2"/>
                <w:sz w:val="24"/>
                <w:highlight w:val="none"/>
                <w:lang w:val="en-US" w:eastAsia="zh-CN"/>
              </w:rPr>
              <w:t>的90%。报价费率大于（不含）90%的，投标无效</w:t>
            </w:r>
          </w:p>
        </w:tc>
        <w:tc>
          <w:tcPr>
            <w:tcW w:w="1672" w:type="dxa"/>
            <w:vAlign w:val="center"/>
          </w:tcPr>
          <w:p w14:paraId="26660D7A">
            <w:pPr>
              <w:adjustRightInd w:val="0"/>
              <w:snapToGrid w:val="0"/>
              <w:spacing w:line="4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报价文件</w:t>
            </w:r>
          </w:p>
          <w:p w14:paraId="7538CD22">
            <w:pPr>
              <w:adjustRightInd w:val="0"/>
              <w:snapToGrid w:val="0"/>
              <w:spacing w:line="4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的</w:t>
            </w: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2C728499">
      <w:pPr>
        <w:spacing w:line="360" w:lineRule="auto"/>
        <w:ind w:right="420"/>
        <w:rPr>
          <w:rFonts w:hint="eastAsia" w:ascii="仿宋" w:hAnsi="仿宋" w:eastAsia="仿宋" w:cs="仿宋"/>
          <w:sz w:val="24"/>
          <w:highlight w:val="none"/>
        </w:rPr>
      </w:pPr>
    </w:p>
    <w:p w14:paraId="13EF17C1">
      <w:pPr>
        <w:jc w:val="center"/>
        <w:rPr>
          <w:rFonts w:hint="eastAsia" w:ascii="仿宋" w:hAnsi="仿宋" w:eastAsia="仿宋" w:cs="仿宋"/>
          <w:b/>
          <w:kern w:val="0"/>
          <w:sz w:val="32"/>
          <w:szCs w:val="32"/>
          <w:highlight w:val="none"/>
        </w:rPr>
      </w:pPr>
    </w:p>
    <w:p w14:paraId="2A09A275">
      <w:pPr>
        <w:rPr>
          <w:rFonts w:hint="eastAsia" w:ascii="仿宋" w:hAnsi="仿宋" w:eastAsia="仿宋" w:cs="仿宋"/>
          <w:b/>
          <w:kern w:val="0"/>
          <w:sz w:val="32"/>
          <w:szCs w:val="32"/>
          <w:highlight w:val="none"/>
        </w:rPr>
      </w:pPr>
    </w:p>
    <w:p w14:paraId="1ACD1140">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五、评标标准相应的商务技术资料</w:t>
      </w:r>
    </w:p>
    <w:p w14:paraId="787C13F1">
      <w:pPr>
        <w:snapToGrid w:val="0"/>
        <w:spacing w:line="360" w:lineRule="auto"/>
        <w:jc w:val="left"/>
        <w:rPr>
          <w:rFonts w:hint="eastAsia" w:ascii="仿宋" w:hAnsi="仿宋" w:eastAsia="仿宋" w:cs="仿宋"/>
          <w:b/>
          <w:sz w:val="24"/>
          <w:highlight w:val="none"/>
        </w:rPr>
      </w:pPr>
    </w:p>
    <w:p w14:paraId="3861F4E1">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14:paraId="569D18B1">
      <w:pPr>
        <w:jc w:val="center"/>
        <w:rPr>
          <w:rFonts w:hint="eastAsia" w:ascii="仿宋" w:hAnsi="仿宋" w:eastAsia="仿宋" w:cs="仿宋"/>
          <w:b/>
          <w:kern w:val="0"/>
          <w:sz w:val="32"/>
          <w:szCs w:val="32"/>
          <w:highlight w:val="none"/>
        </w:rPr>
      </w:pPr>
    </w:p>
    <w:p w14:paraId="69B3CDBA">
      <w:pPr>
        <w:jc w:val="center"/>
        <w:rPr>
          <w:rFonts w:hint="eastAsia" w:ascii="仿宋" w:hAnsi="仿宋" w:eastAsia="仿宋" w:cs="仿宋"/>
          <w:b/>
          <w:kern w:val="0"/>
          <w:sz w:val="32"/>
          <w:szCs w:val="32"/>
          <w:highlight w:val="none"/>
        </w:rPr>
      </w:pPr>
    </w:p>
    <w:p w14:paraId="1277C3DC">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74E70831">
      <w:pPr>
        <w:pStyle w:val="32"/>
        <w:rPr>
          <w:rFonts w:hint="eastAsia" w:ascii="仿宋" w:hAnsi="仿宋" w:eastAsia="仿宋" w:cs="仿宋"/>
          <w:highlight w:val="none"/>
        </w:rPr>
      </w:pPr>
    </w:p>
    <w:p w14:paraId="62158707">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六、投标标的清单</w:t>
      </w:r>
    </w:p>
    <w:tbl>
      <w:tblPr>
        <w:tblStyle w:val="4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2E0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5F9DD0">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BECE4AF">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04D692A">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B14F15D">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1520371">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163A319">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4BC69BD">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tc>
      </w:tr>
      <w:tr w14:paraId="32F4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7B5A31">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4F5D08">
            <w:pPr>
              <w:adjustRightInd w:val="0"/>
              <w:snapToGrid w:val="0"/>
              <w:spacing w:line="40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2025年度杭州市钱塘区政府投资项目工程竣工财务决算审核服务</w:t>
            </w:r>
          </w:p>
        </w:tc>
        <w:tc>
          <w:tcPr>
            <w:tcW w:w="1114" w:type="dxa"/>
            <w:tcBorders>
              <w:top w:val="single" w:color="auto" w:sz="4" w:space="0"/>
              <w:left w:val="single" w:color="auto" w:sz="4" w:space="0"/>
              <w:bottom w:val="single" w:color="auto" w:sz="4" w:space="0"/>
              <w:right w:val="single" w:color="auto" w:sz="4" w:space="0"/>
            </w:tcBorders>
            <w:vAlign w:val="center"/>
          </w:tcPr>
          <w:p w14:paraId="379F37E9">
            <w:pPr>
              <w:adjustRightInd w:val="0"/>
              <w:snapToGrid w:val="0"/>
              <w:spacing w:line="400" w:lineRule="exact"/>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9ED526">
            <w:pPr>
              <w:adjustRightInd w:val="0"/>
              <w:snapToGrid w:val="0"/>
              <w:spacing w:line="400" w:lineRule="exact"/>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1A7578E">
            <w:pPr>
              <w:adjustRightInd w:val="0"/>
              <w:snapToGrid w:val="0"/>
              <w:spacing w:line="400" w:lineRule="exact"/>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235E2B8">
            <w:pPr>
              <w:adjustRightInd w:val="0"/>
              <w:snapToGrid w:val="0"/>
              <w:spacing w:line="400" w:lineRule="exact"/>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7D8F752">
            <w:pPr>
              <w:adjustRightInd w:val="0"/>
              <w:snapToGrid w:val="0"/>
              <w:spacing w:line="400" w:lineRule="exact"/>
              <w:jc w:val="center"/>
              <w:rPr>
                <w:rFonts w:hint="eastAsia" w:ascii="仿宋" w:hAnsi="仿宋" w:eastAsia="仿宋" w:cs="仿宋"/>
                <w:sz w:val="24"/>
                <w:highlight w:val="none"/>
              </w:rPr>
            </w:pPr>
          </w:p>
        </w:tc>
      </w:tr>
    </w:tbl>
    <w:p w14:paraId="33326853">
      <w:pPr>
        <w:spacing w:line="360" w:lineRule="auto"/>
        <w:ind w:right="420"/>
        <w:rPr>
          <w:rFonts w:hint="eastAsia" w:ascii="仿宋" w:hAnsi="仿宋" w:eastAsia="仿宋" w:cs="仿宋"/>
          <w:sz w:val="24"/>
          <w:highlight w:val="none"/>
        </w:rPr>
      </w:pPr>
    </w:p>
    <w:p w14:paraId="6E84B425">
      <w:pPr>
        <w:rPr>
          <w:rFonts w:hint="eastAsia" w:ascii="仿宋" w:hAnsi="仿宋" w:eastAsia="仿宋" w:cs="仿宋"/>
          <w:highlight w:val="none"/>
          <w:lang w:val="zh-CN"/>
        </w:rPr>
      </w:pPr>
    </w:p>
    <w:p w14:paraId="052A6E8D">
      <w:pPr>
        <w:rPr>
          <w:rFonts w:hint="eastAsia" w:ascii="仿宋" w:hAnsi="仿宋" w:eastAsia="仿宋" w:cs="仿宋"/>
          <w:highlight w:val="none"/>
          <w:lang w:val="zh-CN"/>
        </w:rPr>
      </w:pPr>
    </w:p>
    <w:p w14:paraId="20CD5EB6">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七、商务技术偏离表</w:t>
      </w:r>
    </w:p>
    <w:p w14:paraId="6B2E0E0E">
      <w:pPr>
        <w:jc w:val="center"/>
        <w:rPr>
          <w:rFonts w:hint="eastAsia" w:ascii="仿宋" w:hAnsi="仿宋" w:eastAsia="仿宋" w:cs="仿宋"/>
          <w:b/>
          <w:bCs/>
          <w:sz w:val="24"/>
          <w:highlight w:val="none"/>
        </w:rPr>
      </w:pP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1BE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59BADCD">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14:paraId="504805CE">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center"/>
          </w:tcPr>
          <w:p w14:paraId="41FAE86C">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center"/>
          </w:tcPr>
          <w:p w14:paraId="04DB5A82">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4139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E9200BA">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14:paraId="15ADA468">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7F9E8363">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3685294C">
            <w:pPr>
              <w:adjustRightInd w:val="0"/>
              <w:snapToGrid w:val="0"/>
              <w:spacing w:line="400" w:lineRule="exact"/>
              <w:jc w:val="center"/>
              <w:rPr>
                <w:rFonts w:hint="eastAsia" w:ascii="仿宋" w:hAnsi="仿宋" w:eastAsia="仿宋" w:cs="仿宋"/>
                <w:b/>
                <w:kern w:val="0"/>
                <w:sz w:val="32"/>
                <w:szCs w:val="32"/>
                <w:highlight w:val="none"/>
              </w:rPr>
            </w:pPr>
          </w:p>
        </w:tc>
      </w:tr>
      <w:tr w14:paraId="730C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FE85D21">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14:paraId="437D2638">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2E1DDD81">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5B0C8C06">
            <w:pPr>
              <w:adjustRightInd w:val="0"/>
              <w:snapToGrid w:val="0"/>
              <w:spacing w:line="400" w:lineRule="exact"/>
              <w:jc w:val="center"/>
              <w:rPr>
                <w:rFonts w:hint="eastAsia" w:ascii="仿宋" w:hAnsi="仿宋" w:eastAsia="仿宋" w:cs="仿宋"/>
                <w:b/>
                <w:kern w:val="0"/>
                <w:sz w:val="32"/>
                <w:szCs w:val="32"/>
                <w:highlight w:val="none"/>
              </w:rPr>
            </w:pPr>
          </w:p>
        </w:tc>
      </w:tr>
      <w:tr w14:paraId="146E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02A135F">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14:paraId="0B8C2958">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3427507F">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4A2D5BF6">
            <w:pPr>
              <w:adjustRightInd w:val="0"/>
              <w:snapToGrid w:val="0"/>
              <w:spacing w:line="400" w:lineRule="exact"/>
              <w:jc w:val="center"/>
              <w:rPr>
                <w:rFonts w:hint="eastAsia" w:ascii="仿宋" w:hAnsi="仿宋" w:eastAsia="仿宋" w:cs="仿宋"/>
                <w:b/>
                <w:kern w:val="0"/>
                <w:sz w:val="32"/>
                <w:szCs w:val="32"/>
                <w:highlight w:val="none"/>
              </w:rPr>
            </w:pPr>
          </w:p>
        </w:tc>
      </w:tr>
    </w:tbl>
    <w:p w14:paraId="51D3F3F8">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28120F1F">
      <w:pPr>
        <w:jc w:val="center"/>
        <w:rPr>
          <w:rFonts w:hint="eastAsia" w:ascii="仿宋" w:hAnsi="仿宋" w:eastAsia="仿宋" w:cs="仿宋"/>
          <w:b/>
          <w:kern w:val="0"/>
          <w:sz w:val="32"/>
          <w:szCs w:val="32"/>
          <w:highlight w:val="none"/>
        </w:rPr>
      </w:pPr>
    </w:p>
    <w:p w14:paraId="20C9886B">
      <w:pPr>
        <w:spacing w:line="360" w:lineRule="auto"/>
        <w:ind w:right="420"/>
        <w:rPr>
          <w:rFonts w:hint="eastAsia" w:ascii="仿宋" w:hAnsi="仿宋" w:eastAsia="仿宋" w:cs="仿宋"/>
          <w:sz w:val="24"/>
          <w:highlight w:val="none"/>
        </w:rPr>
      </w:pPr>
    </w:p>
    <w:p w14:paraId="6E6EAD32">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B6127C4">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八、政府采购供应商廉洁自律承诺书</w:t>
      </w:r>
    </w:p>
    <w:p w14:paraId="1E800B2E">
      <w:pPr>
        <w:snapToGrid w:val="0"/>
        <w:spacing w:line="360" w:lineRule="auto"/>
        <w:rPr>
          <w:rFonts w:hint="eastAsia" w:ascii="仿宋" w:hAnsi="仿宋" w:eastAsia="仿宋" w:cs="仿宋"/>
          <w:sz w:val="24"/>
          <w:highlight w:val="none"/>
        </w:rPr>
      </w:pPr>
    </w:p>
    <w:p w14:paraId="4B328F4B">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03CBB06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4EC62ECA">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7DDE0E15">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2222C558">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24DACA28">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3E8A2C0D">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五、不为项目有关人员个人装修住房、婚丧嫁娶、配偶子女工作安排等提供好处；</w:t>
      </w:r>
    </w:p>
    <w:p w14:paraId="5CE581CC">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225B18C6">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w:t>
      </w:r>
      <w:r>
        <w:rPr>
          <w:rFonts w:hint="eastAsia" w:ascii="仿宋" w:hAnsi="仿宋" w:eastAsia="仿宋" w:cs="仿宋"/>
          <w:kern w:val="0"/>
          <w:sz w:val="24"/>
          <w:highlight w:val="none"/>
        </w:rPr>
        <w:t>监管部门</w:t>
      </w:r>
      <w:r>
        <w:rPr>
          <w:rFonts w:hint="eastAsia" w:ascii="仿宋" w:hAnsi="仿宋" w:eastAsia="仿宋" w:cs="仿宋"/>
          <w:kern w:val="0"/>
          <w:sz w:val="24"/>
          <w:highlight w:val="none"/>
          <w:lang w:val="zh-CN"/>
        </w:rPr>
        <w:t>。由此引起的相应损失均由我单位承担。</w:t>
      </w:r>
    </w:p>
    <w:p w14:paraId="483B6D0E">
      <w:pPr>
        <w:autoSpaceDE w:val="0"/>
        <w:autoSpaceDN w:val="0"/>
        <w:spacing w:line="360" w:lineRule="auto"/>
        <w:ind w:left="2"/>
        <w:jc w:val="left"/>
        <w:rPr>
          <w:rFonts w:hint="eastAsia" w:ascii="仿宋" w:hAnsi="仿宋" w:eastAsia="仿宋" w:cs="仿宋"/>
          <w:kern w:val="0"/>
          <w:sz w:val="24"/>
          <w:highlight w:val="none"/>
          <w:lang w:val="zh-CN"/>
        </w:rPr>
      </w:pPr>
    </w:p>
    <w:p w14:paraId="21151F4E">
      <w:pPr>
        <w:autoSpaceDE w:val="0"/>
        <w:autoSpaceDN w:val="0"/>
        <w:spacing w:line="360" w:lineRule="auto"/>
        <w:ind w:left="2"/>
        <w:jc w:val="left"/>
        <w:rPr>
          <w:rFonts w:hint="eastAsia" w:ascii="仿宋" w:hAnsi="仿宋" w:eastAsia="仿宋" w:cs="仿宋"/>
          <w:kern w:val="0"/>
          <w:sz w:val="24"/>
          <w:highlight w:val="none"/>
          <w:lang w:val="zh-CN"/>
        </w:rPr>
      </w:pPr>
    </w:p>
    <w:p w14:paraId="4AD83E07">
      <w:pPr>
        <w:autoSpaceDE w:val="0"/>
        <w:autoSpaceDN w:val="0"/>
        <w:spacing w:line="360" w:lineRule="auto"/>
        <w:ind w:left="2"/>
        <w:jc w:val="left"/>
        <w:rPr>
          <w:rFonts w:hint="eastAsia" w:ascii="仿宋" w:hAnsi="仿宋" w:eastAsia="仿宋" w:cs="仿宋"/>
          <w:kern w:val="0"/>
          <w:sz w:val="24"/>
          <w:highlight w:val="none"/>
          <w:lang w:val="zh-CN"/>
        </w:rPr>
      </w:pPr>
    </w:p>
    <w:p w14:paraId="556B7429">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490C33FA">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405520C8">
      <w:pPr>
        <w:spacing w:line="360" w:lineRule="auto"/>
        <w:rPr>
          <w:rFonts w:hint="eastAsia" w:ascii="仿宋" w:hAnsi="仿宋" w:eastAsia="仿宋" w:cs="仿宋"/>
          <w:sz w:val="24"/>
          <w:highlight w:val="none"/>
        </w:rPr>
      </w:pPr>
    </w:p>
    <w:p w14:paraId="50E26936">
      <w:pP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3F437796">
      <w:pPr>
        <w:spacing w:line="360" w:lineRule="auto"/>
        <w:jc w:val="center"/>
        <w:outlineLvl w:val="1"/>
        <w:rPr>
          <w:rFonts w:hint="eastAsia" w:ascii="仿宋" w:hAnsi="仿宋" w:eastAsia="仿宋" w:cs="仿宋"/>
          <w:b/>
          <w:kern w:val="0"/>
          <w:sz w:val="36"/>
          <w:szCs w:val="36"/>
          <w:highlight w:val="none"/>
        </w:rPr>
      </w:pPr>
      <w:bookmarkStart w:id="162" w:name="_Toc3363"/>
      <w:bookmarkStart w:id="163" w:name="_Toc5590"/>
      <w:bookmarkStart w:id="164" w:name="_Toc29208"/>
      <w:bookmarkStart w:id="165" w:name="_Toc3114"/>
      <w:r>
        <w:rPr>
          <w:rFonts w:hint="eastAsia" w:ascii="仿宋" w:hAnsi="仿宋" w:eastAsia="仿宋" w:cs="仿宋"/>
          <w:b/>
          <w:kern w:val="0"/>
          <w:sz w:val="36"/>
          <w:szCs w:val="36"/>
          <w:highlight w:val="none"/>
        </w:rPr>
        <w:t>报价文件部分</w:t>
      </w:r>
      <w:bookmarkEnd w:id="162"/>
      <w:bookmarkEnd w:id="163"/>
      <w:bookmarkEnd w:id="164"/>
      <w:bookmarkEnd w:id="165"/>
    </w:p>
    <w:p w14:paraId="4EEC189D">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66C71D82">
      <w:pPr>
        <w:spacing w:line="360" w:lineRule="auto"/>
        <w:jc w:val="center"/>
        <w:rPr>
          <w:rFonts w:hint="eastAsia" w:ascii="仿宋" w:hAnsi="仿宋" w:eastAsia="仿宋" w:cs="仿宋"/>
          <w:b/>
          <w:kern w:val="0"/>
          <w:sz w:val="36"/>
          <w:szCs w:val="36"/>
          <w:highlight w:val="none"/>
        </w:rPr>
      </w:pPr>
    </w:p>
    <w:p w14:paraId="3AC30F8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5184DBB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（2）报价明细表……………………………………………………………………（页码）</w:t>
      </w:r>
    </w:p>
    <w:p w14:paraId="6B53C163">
      <w:pPr>
        <w:snapToGrid w:val="0"/>
        <w:spacing w:line="360" w:lineRule="auto"/>
        <w:ind w:right="480"/>
        <w:jc w:val="center"/>
        <w:rPr>
          <w:rFonts w:hint="eastAsia" w:ascii="仿宋" w:hAnsi="仿宋" w:eastAsia="仿宋" w:cs="仿宋"/>
          <w:b/>
          <w:kern w:val="0"/>
          <w:sz w:val="32"/>
          <w:szCs w:val="32"/>
          <w:highlight w:val="none"/>
        </w:rPr>
      </w:pPr>
    </w:p>
    <w:p w14:paraId="664C5F54">
      <w:pPr>
        <w:snapToGrid w:val="0"/>
        <w:spacing w:line="360" w:lineRule="auto"/>
        <w:ind w:right="480"/>
        <w:jc w:val="center"/>
        <w:rPr>
          <w:rFonts w:hint="eastAsia" w:ascii="仿宋" w:hAnsi="仿宋" w:eastAsia="仿宋" w:cs="仿宋"/>
          <w:b/>
          <w:kern w:val="0"/>
          <w:sz w:val="32"/>
          <w:szCs w:val="32"/>
          <w:highlight w:val="none"/>
        </w:rPr>
      </w:pPr>
    </w:p>
    <w:p w14:paraId="5F3E1D26">
      <w:pPr>
        <w:snapToGrid w:val="0"/>
        <w:spacing w:line="360" w:lineRule="auto"/>
        <w:ind w:right="480"/>
        <w:jc w:val="center"/>
        <w:rPr>
          <w:rFonts w:hint="eastAsia" w:ascii="仿宋" w:hAnsi="仿宋" w:eastAsia="仿宋" w:cs="仿宋"/>
          <w:b/>
          <w:kern w:val="0"/>
          <w:sz w:val="32"/>
          <w:szCs w:val="32"/>
          <w:highlight w:val="none"/>
        </w:rPr>
      </w:pPr>
    </w:p>
    <w:p w14:paraId="41211337">
      <w:pPr>
        <w:snapToGrid w:val="0"/>
        <w:spacing w:line="360" w:lineRule="auto"/>
        <w:ind w:right="480"/>
        <w:jc w:val="center"/>
        <w:rPr>
          <w:rFonts w:hint="eastAsia" w:ascii="仿宋" w:hAnsi="仿宋" w:eastAsia="仿宋" w:cs="仿宋"/>
          <w:b/>
          <w:kern w:val="0"/>
          <w:sz w:val="32"/>
          <w:szCs w:val="32"/>
          <w:highlight w:val="none"/>
        </w:rPr>
      </w:pPr>
    </w:p>
    <w:p w14:paraId="08CB5BAD">
      <w:pPr>
        <w:snapToGrid w:val="0"/>
        <w:spacing w:line="360" w:lineRule="auto"/>
        <w:ind w:right="480"/>
        <w:jc w:val="center"/>
        <w:rPr>
          <w:rFonts w:hint="eastAsia" w:ascii="仿宋" w:hAnsi="仿宋" w:eastAsia="仿宋" w:cs="仿宋"/>
          <w:b/>
          <w:kern w:val="0"/>
          <w:sz w:val="32"/>
          <w:szCs w:val="32"/>
          <w:highlight w:val="none"/>
        </w:rPr>
      </w:pPr>
    </w:p>
    <w:p w14:paraId="44B25E8A">
      <w:pPr>
        <w:snapToGrid w:val="0"/>
        <w:spacing w:line="360" w:lineRule="auto"/>
        <w:ind w:right="480"/>
        <w:jc w:val="center"/>
        <w:rPr>
          <w:rFonts w:hint="eastAsia" w:ascii="仿宋" w:hAnsi="仿宋" w:eastAsia="仿宋" w:cs="仿宋"/>
          <w:b/>
          <w:kern w:val="0"/>
          <w:sz w:val="32"/>
          <w:szCs w:val="32"/>
          <w:highlight w:val="none"/>
        </w:rPr>
      </w:pPr>
    </w:p>
    <w:p w14:paraId="5B7E8702">
      <w:pPr>
        <w:snapToGrid w:val="0"/>
        <w:spacing w:line="360" w:lineRule="auto"/>
        <w:ind w:right="480"/>
        <w:jc w:val="center"/>
        <w:rPr>
          <w:rFonts w:hint="eastAsia" w:ascii="仿宋" w:hAnsi="仿宋" w:eastAsia="仿宋" w:cs="仿宋"/>
          <w:b/>
          <w:kern w:val="0"/>
          <w:sz w:val="32"/>
          <w:szCs w:val="32"/>
          <w:highlight w:val="none"/>
        </w:rPr>
      </w:pPr>
    </w:p>
    <w:p w14:paraId="07730993">
      <w:pPr>
        <w:snapToGrid w:val="0"/>
        <w:spacing w:line="360" w:lineRule="auto"/>
        <w:ind w:right="480"/>
        <w:jc w:val="center"/>
        <w:rPr>
          <w:rFonts w:hint="eastAsia" w:ascii="仿宋" w:hAnsi="仿宋" w:eastAsia="仿宋" w:cs="仿宋"/>
          <w:b/>
          <w:kern w:val="0"/>
          <w:sz w:val="32"/>
          <w:szCs w:val="32"/>
          <w:highlight w:val="none"/>
        </w:rPr>
      </w:pPr>
    </w:p>
    <w:p w14:paraId="7020E0F1">
      <w:pPr>
        <w:snapToGrid w:val="0"/>
        <w:spacing w:line="360" w:lineRule="auto"/>
        <w:ind w:right="480"/>
        <w:jc w:val="center"/>
        <w:rPr>
          <w:rFonts w:hint="eastAsia" w:ascii="仿宋" w:hAnsi="仿宋" w:eastAsia="仿宋" w:cs="仿宋"/>
          <w:b/>
          <w:kern w:val="0"/>
          <w:sz w:val="32"/>
          <w:szCs w:val="32"/>
          <w:highlight w:val="none"/>
        </w:rPr>
      </w:pPr>
    </w:p>
    <w:p w14:paraId="024385E0">
      <w:pPr>
        <w:snapToGrid w:val="0"/>
        <w:spacing w:line="360" w:lineRule="auto"/>
        <w:ind w:right="480"/>
        <w:jc w:val="center"/>
        <w:rPr>
          <w:rFonts w:hint="eastAsia" w:ascii="仿宋" w:hAnsi="仿宋" w:eastAsia="仿宋" w:cs="仿宋"/>
          <w:b/>
          <w:kern w:val="0"/>
          <w:sz w:val="32"/>
          <w:szCs w:val="32"/>
          <w:highlight w:val="none"/>
        </w:rPr>
      </w:pPr>
    </w:p>
    <w:p w14:paraId="333D0C0E">
      <w:pPr>
        <w:snapToGrid w:val="0"/>
        <w:spacing w:line="360" w:lineRule="auto"/>
        <w:ind w:right="480"/>
        <w:jc w:val="center"/>
        <w:rPr>
          <w:rFonts w:hint="eastAsia" w:ascii="仿宋" w:hAnsi="仿宋" w:eastAsia="仿宋" w:cs="仿宋"/>
          <w:b/>
          <w:kern w:val="0"/>
          <w:sz w:val="32"/>
          <w:szCs w:val="32"/>
          <w:highlight w:val="none"/>
        </w:rPr>
      </w:pPr>
    </w:p>
    <w:p w14:paraId="60C19E37">
      <w:pPr>
        <w:snapToGrid w:val="0"/>
        <w:spacing w:line="360" w:lineRule="auto"/>
        <w:ind w:right="480"/>
        <w:jc w:val="center"/>
        <w:rPr>
          <w:rFonts w:hint="eastAsia" w:ascii="仿宋" w:hAnsi="仿宋" w:eastAsia="仿宋" w:cs="仿宋"/>
          <w:b/>
          <w:kern w:val="0"/>
          <w:sz w:val="32"/>
          <w:szCs w:val="32"/>
          <w:highlight w:val="none"/>
        </w:rPr>
      </w:pPr>
    </w:p>
    <w:p w14:paraId="60FCA882">
      <w:pPr>
        <w:snapToGrid w:val="0"/>
        <w:spacing w:line="360" w:lineRule="auto"/>
        <w:ind w:right="480"/>
        <w:jc w:val="center"/>
        <w:rPr>
          <w:rFonts w:hint="eastAsia" w:ascii="仿宋" w:hAnsi="仿宋" w:eastAsia="仿宋" w:cs="仿宋"/>
          <w:b/>
          <w:kern w:val="0"/>
          <w:sz w:val="32"/>
          <w:szCs w:val="32"/>
          <w:highlight w:val="none"/>
        </w:rPr>
      </w:pPr>
    </w:p>
    <w:p w14:paraId="5C30909D">
      <w:pPr>
        <w:snapToGrid w:val="0"/>
        <w:spacing w:line="360" w:lineRule="auto"/>
        <w:ind w:right="480"/>
        <w:jc w:val="center"/>
        <w:rPr>
          <w:rFonts w:hint="eastAsia" w:ascii="仿宋" w:hAnsi="仿宋" w:eastAsia="仿宋" w:cs="仿宋"/>
          <w:b/>
          <w:kern w:val="0"/>
          <w:sz w:val="32"/>
          <w:szCs w:val="32"/>
          <w:highlight w:val="none"/>
        </w:rPr>
      </w:pPr>
    </w:p>
    <w:p w14:paraId="784649EB">
      <w:pPr>
        <w:snapToGrid w:val="0"/>
        <w:spacing w:line="360" w:lineRule="auto"/>
        <w:ind w:right="480"/>
        <w:jc w:val="center"/>
        <w:rPr>
          <w:rFonts w:hint="eastAsia" w:ascii="仿宋" w:hAnsi="仿宋" w:eastAsia="仿宋" w:cs="仿宋"/>
          <w:b/>
          <w:kern w:val="0"/>
          <w:sz w:val="32"/>
          <w:szCs w:val="32"/>
          <w:highlight w:val="none"/>
        </w:rPr>
      </w:pPr>
    </w:p>
    <w:p w14:paraId="101A1E70">
      <w:pPr>
        <w:pStyle w:val="177"/>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52FD4FDD">
      <w:pPr>
        <w:pStyle w:val="177"/>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bookmarkStart w:id="166" w:name="_Toc15988"/>
      <w:bookmarkStart w:id="167" w:name="_Toc11262"/>
      <w:bookmarkStart w:id="168" w:name="_Toc366"/>
      <w:bookmarkStart w:id="169" w:name="_Toc21682"/>
      <w:bookmarkStart w:id="170" w:name="_Toc8039"/>
      <w:bookmarkStart w:id="171" w:name="_Toc5399"/>
      <w:bookmarkStart w:id="172" w:name="_Toc9655"/>
      <w:bookmarkStart w:id="173" w:name="_Toc12875"/>
      <w:bookmarkStart w:id="174" w:name="_Toc19569"/>
      <w:bookmarkStart w:id="175" w:name="_Toc11024"/>
      <w:bookmarkStart w:id="176" w:name="_Toc11552"/>
      <w:bookmarkStart w:id="177" w:name="_Toc21526"/>
      <w:bookmarkStart w:id="178" w:name="_Toc5294"/>
      <w:bookmarkStart w:id="179" w:name="_Toc30323"/>
      <w:bookmarkStart w:id="180" w:name="_Toc26125"/>
      <w:bookmarkStart w:id="181" w:name="_Toc17498"/>
      <w:bookmarkStart w:id="182" w:name="_Toc25033"/>
      <w:bookmarkStart w:id="183" w:name="_Toc13843"/>
      <w:bookmarkStart w:id="184" w:name="_Toc16414"/>
      <w:r>
        <w:rPr>
          <w:rFonts w:hint="eastAsia" w:ascii="仿宋" w:hAnsi="仿宋" w:eastAsia="仿宋" w:cs="仿宋"/>
          <w:kern w:val="2"/>
          <w:sz w:val="32"/>
          <w:szCs w:val="32"/>
          <w:highlight w:val="none"/>
        </w:rPr>
        <w:t>一、开标一览表（报价表）</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1A38B60B">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08ED4E3C">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（项目名称）</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rPr>
        <w:t>（采购编号）】的实施</w:t>
      </w:r>
      <w:r>
        <w:rPr>
          <w:rFonts w:hint="eastAsia" w:ascii="仿宋" w:hAnsi="仿宋" w:eastAsia="仿宋" w:cs="仿宋"/>
          <w:kern w:val="0"/>
          <w:sz w:val="24"/>
          <w:highlight w:val="none"/>
          <w:lang w:val="zh-CN"/>
        </w:rPr>
        <w:t>。</w:t>
      </w:r>
    </w:p>
    <w:p w14:paraId="7342E119">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w:t>
      </w:r>
    </w:p>
    <w:tbl>
      <w:tblPr>
        <w:tblStyle w:val="45"/>
        <w:tblW w:w="10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3177"/>
        <w:gridCol w:w="4932"/>
        <w:gridCol w:w="1521"/>
      </w:tblGrid>
      <w:tr w14:paraId="554D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903" w:type="dxa"/>
            <w:vAlign w:val="center"/>
          </w:tcPr>
          <w:p w14:paraId="730D054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3177" w:type="dxa"/>
            <w:vAlign w:val="center"/>
          </w:tcPr>
          <w:p w14:paraId="4D4F079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服务内容</w:t>
            </w:r>
          </w:p>
        </w:tc>
        <w:tc>
          <w:tcPr>
            <w:tcW w:w="4932" w:type="dxa"/>
            <w:vAlign w:val="center"/>
          </w:tcPr>
          <w:p w14:paraId="4AC496D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w:t>
            </w:r>
            <w:r>
              <w:rPr>
                <w:rFonts w:hint="eastAsia" w:ascii="仿宋" w:hAnsi="仿宋" w:eastAsia="仿宋" w:cs="仿宋"/>
                <w:b/>
                <w:sz w:val="24"/>
                <w:highlight w:val="none"/>
                <w:lang w:val="en-US" w:eastAsia="zh-CN"/>
              </w:rPr>
              <w:t>费率</w:t>
            </w:r>
            <w:r>
              <w:rPr>
                <w:rFonts w:hint="eastAsia" w:ascii="仿宋" w:hAnsi="仿宋" w:eastAsia="仿宋" w:cs="仿宋"/>
                <w:b/>
                <w:sz w:val="24"/>
                <w:highlight w:val="none"/>
              </w:rPr>
              <w:t>）</w:t>
            </w:r>
          </w:p>
        </w:tc>
        <w:tc>
          <w:tcPr>
            <w:tcW w:w="1521" w:type="dxa"/>
            <w:vAlign w:val="center"/>
          </w:tcPr>
          <w:p w14:paraId="7176EE8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14:paraId="4162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03" w:type="dxa"/>
            <w:vAlign w:val="center"/>
          </w:tcPr>
          <w:p w14:paraId="0349D67B">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1</w:t>
            </w:r>
          </w:p>
        </w:tc>
        <w:tc>
          <w:tcPr>
            <w:tcW w:w="3177" w:type="dxa"/>
            <w:vAlign w:val="center"/>
          </w:tcPr>
          <w:p w14:paraId="587FEE64">
            <w:pPr>
              <w:widowControl/>
              <w:spacing w:line="360" w:lineRule="auto"/>
              <w:jc w:val="center"/>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年度杭州市钱塘区政府投资项目工程竣工财务决算审核服务</w:t>
            </w:r>
          </w:p>
        </w:tc>
        <w:tc>
          <w:tcPr>
            <w:tcW w:w="4932" w:type="dxa"/>
            <w:vAlign w:val="center"/>
          </w:tcPr>
          <w:p w14:paraId="447B4EDD">
            <w:pPr>
              <w:tabs>
                <w:tab w:val="left" w:pos="0"/>
              </w:tabs>
              <w:spacing w:line="360" w:lineRule="auto"/>
              <w:rPr>
                <w:rFonts w:hint="eastAsia" w:ascii="仿宋" w:hAnsi="仿宋" w:eastAsia="仿宋" w:cs="仿宋"/>
                <w:sz w:val="24"/>
                <w:highlight w:val="none"/>
              </w:rPr>
            </w:pPr>
            <w:r>
              <w:rPr>
                <w:rFonts w:hint="eastAsia" w:ascii="仿宋" w:hAnsi="仿宋" w:eastAsia="仿宋" w:cs="仿宋"/>
                <w:kern w:val="0"/>
                <w:sz w:val="24"/>
                <w:highlight w:val="none"/>
                <w:lang w:val="en-US" w:eastAsia="zh-CN"/>
              </w:rPr>
              <w:t>以</w:t>
            </w:r>
            <w:r>
              <w:rPr>
                <w:rFonts w:hint="eastAsia" w:ascii="仿宋" w:hAnsi="仿宋" w:eastAsia="仿宋" w:cs="仿宋"/>
                <w:kern w:val="0"/>
                <w:sz w:val="24"/>
                <w:highlight w:val="none"/>
              </w:rPr>
              <w:t>单个建设项目总费用为收费基数，投标报价为《竣</w:t>
            </w:r>
            <w:r>
              <w:rPr>
                <w:rFonts w:hint="eastAsia" w:ascii="仿宋" w:hAnsi="仿宋" w:eastAsia="仿宋" w:cs="仿宋"/>
                <w:color w:val="auto"/>
                <w:kern w:val="0"/>
                <w:sz w:val="24"/>
                <w:highlight w:val="none"/>
              </w:rPr>
              <w:t>工财务决算审核咨询服务费计费标准》标准收费的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tc>
        <w:tc>
          <w:tcPr>
            <w:tcW w:w="1521" w:type="dxa"/>
            <w:vAlign w:val="center"/>
          </w:tcPr>
          <w:p w14:paraId="4BA81156">
            <w:pPr>
              <w:spacing w:line="360" w:lineRule="auto"/>
              <w:jc w:val="center"/>
              <w:rPr>
                <w:rFonts w:hint="eastAsia" w:ascii="仿宋" w:hAnsi="仿宋" w:eastAsia="仿宋" w:cs="仿宋"/>
                <w:sz w:val="24"/>
                <w:highlight w:val="none"/>
              </w:rPr>
            </w:pPr>
          </w:p>
        </w:tc>
      </w:tr>
    </w:tbl>
    <w:p w14:paraId="5D941F90">
      <w:pPr>
        <w:pStyle w:val="2"/>
        <w:rPr>
          <w:rFonts w:hint="eastAsia" w:ascii="仿宋" w:hAnsi="仿宋" w:eastAsia="仿宋" w:cs="仿宋"/>
          <w:b/>
          <w:kern w:val="0"/>
          <w:sz w:val="24"/>
          <w:highlight w:val="none"/>
          <w:lang w:val="zh-CN"/>
        </w:rPr>
      </w:pPr>
    </w:p>
    <w:p w14:paraId="3D273594">
      <w:pPr>
        <w:rPr>
          <w:rFonts w:hint="eastAsia" w:ascii="仿宋" w:hAnsi="仿宋" w:eastAsia="仿宋" w:cs="仿宋"/>
          <w:highlight w:val="none"/>
          <w:lang w:val="zh-CN"/>
        </w:rPr>
      </w:pPr>
    </w:p>
    <w:p w14:paraId="5A036EB2">
      <w:pPr>
        <w:adjustRightInd w:val="0"/>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279CCCAD">
      <w:pPr>
        <w:adjustRightInd w:val="0"/>
        <w:snapToGrid w:val="0"/>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1、投标人需按本表格式填写，不得自行更改。</w:t>
      </w:r>
    </w:p>
    <w:p w14:paraId="4BF542A3">
      <w:pPr>
        <w:adjustRightInd w:val="0"/>
        <w:snapToGrid w:val="0"/>
        <w:spacing w:line="360" w:lineRule="auto"/>
        <w:ind w:firstLine="480" w:firstLineChars="200"/>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投标文件含有采购人不能接受的附加条件的，投标无效</w:t>
      </w:r>
      <w:r>
        <w:rPr>
          <w:rFonts w:hint="eastAsia" w:ascii="仿宋" w:hAnsi="仿宋" w:eastAsia="仿宋" w:cs="仿宋"/>
          <w:b/>
          <w:kern w:val="0"/>
          <w:sz w:val="24"/>
          <w:highlight w:val="none"/>
          <w:lang w:val="zh-CN"/>
        </w:rPr>
        <w:t>。</w:t>
      </w:r>
    </w:p>
    <w:p w14:paraId="5C0C4D28">
      <w:pPr>
        <w:adjustRightInd w:val="0"/>
        <w:snapToGrid w:val="0"/>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特别说明：</w:t>
      </w:r>
      <w:r>
        <w:rPr>
          <w:rFonts w:hint="eastAsia" w:ascii="仿宋" w:hAnsi="仿宋" w:eastAsia="仿宋" w:cs="仿宋"/>
          <w:sz w:val="24"/>
          <w:highlight w:val="none"/>
        </w:rPr>
        <w:t>报价低于</w:t>
      </w:r>
      <w:r>
        <w:rPr>
          <w:rFonts w:hint="eastAsia" w:ascii="仿宋" w:hAnsi="仿宋" w:eastAsia="仿宋" w:cs="仿宋"/>
          <w:kern w:val="0"/>
          <w:sz w:val="24"/>
          <w:highlight w:val="none"/>
        </w:rPr>
        <w:t>《竣</w:t>
      </w:r>
      <w:r>
        <w:rPr>
          <w:rFonts w:hint="eastAsia" w:ascii="仿宋" w:hAnsi="仿宋" w:eastAsia="仿宋" w:cs="仿宋"/>
          <w:color w:val="auto"/>
          <w:kern w:val="0"/>
          <w:sz w:val="24"/>
          <w:highlight w:val="none"/>
        </w:rPr>
        <w:t>工财务决算审核咨询服务费计费标准》</w:t>
      </w:r>
      <w:r>
        <w:rPr>
          <w:rFonts w:hint="eastAsia" w:ascii="仿宋" w:hAnsi="仿宋" w:eastAsia="仿宋" w:cs="仿宋"/>
          <w:sz w:val="24"/>
          <w:highlight w:val="none"/>
        </w:rPr>
        <w:t>50%（不含）的，</w:t>
      </w:r>
      <w:r>
        <w:rPr>
          <w:rFonts w:hint="eastAsia" w:ascii="仿宋" w:hAnsi="仿宋" w:eastAsia="仿宋" w:cs="仿宋"/>
          <w:sz w:val="24"/>
          <w:highlight w:val="none"/>
          <w:lang w:val="zh-CN"/>
        </w:rPr>
        <w:t>应当在报价文件中出具《报价情况说明》，</w:t>
      </w:r>
      <w:r>
        <w:rPr>
          <w:rFonts w:hint="eastAsia" w:ascii="仿宋" w:hAnsi="仿宋" w:eastAsia="仿宋" w:cs="仿宋"/>
          <w:sz w:val="24"/>
          <w:highlight w:val="none"/>
        </w:rPr>
        <w:t>针对采购需求列出的工作项目内容提供该报价的原因，</w:t>
      </w:r>
      <w:r>
        <w:rPr>
          <w:rFonts w:hint="eastAsia" w:ascii="仿宋" w:hAnsi="仿宋" w:eastAsia="仿宋" w:cs="仿宋"/>
          <w:sz w:val="24"/>
          <w:highlight w:val="none"/>
          <w:lang w:val="zh-CN"/>
        </w:rPr>
        <w:t>详细阐述不影响服务质量或者诚信履约的具体理由及依据。</w:t>
      </w:r>
    </w:p>
    <w:p w14:paraId="646D5E2F">
      <w:pPr>
        <w:keepNext/>
        <w:keepLines/>
        <w:adjustRightInd w:val="0"/>
        <w:spacing w:line="416" w:lineRule="auto"/>
        <w:rPr>
          <w:rFonts w:hint="eastAsia" w:ascii="仿宋" w:hAnsi="仿宋" w:eastAsia="仿宋" w:cs="仿宋"/>
          <w:highlight w:val="none"/>
        </w:rPr>
      </w:pPr>
    </w:p>
    <w:p w14:paraId="1ED3078F">
      <w:pPr>
        <w:snapToGrid w:val="0"/>
        <w:spacing w:line="360" w:lineRule="auto"/>
        <w:ind w:firstLine="576"/>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投标人名称(电子签名)：                              </w:t>
      </w:r>
    </w:p>
    <w:p w14:paraId="49BDD062">
      <w:pPr>
        <w:adjustRightInd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1D23A9B2">
      <w:pPr>
        <w:rPr>
          <w:rFonts w:hint="eastAsia" w:ascii="仿宋" w:hAnsi="仿宋" w:eastAsia="仿宋" w:cs="仿宋"/>
          <w:b/>
          <w:kern w:val="0"/>
          <w:sz w:val="24"/>
          <w:highlight w:val="none"/>
        </w:rPr>
      </w:pPr>
      <w:r>
        <w:rPr>
          <w:rFonts w:hint="eastAsia" w:ascii="仿宋" w:hAnsi="仿宋" w:eastAsia="仿宋" w:cs="仿宋"/>
          <w:b/>
          <w:kern w:val="0"/>
          <w:sz w:val="24"/>
          <w:highlight w:val="none"/>
        </w:rPr>
        <w:br w:type="page"/>
      </w:r>
    </w:p>
    <w:p w14:paraId="711735E1">
      <w:pPr>
        <w:pStyle w:val="5"/>
        <w:rPr>
          <w:rFonts w:hint="eastAsia" w:ascii="仿宋" w:hAnsi="仿宋" w:eastAsia="仿宋" w:cs="仿宋"/>
          <w:highlight w:val="none"/>
        </w:rPr>
      </w:pPr>
    </w:p>
    <w:p w14:paraId="7D5ED6CA">
      <w:pPr>
        <w:pStyle w:val="2"/>
        <w:spacing w:line="600" w:lineRule="exact"/>
        <w:ind w:firstLine="0"/>
        <w:jc w:val="center"/>
        <w:rPr>
          <w:rFonts w:hint="eastAsia" w:ascii="仿宋" w:hAnsi="仿宋" w:eastAsia="仿宋" w:cs="仿宋"/>
          <w:b/>
          <w:bCs/>
          <w:snapToGrid w:val="0"/>
          <w:kern w:val="0"/>
          <w:sz w:val="28"/>
          <w:szCs w:val="28"/>
          <w:highlight w:val="none"/>
        </w:rPr>
      </w:pPr>
      <w:r>
        <w:rPr>
          <w:rFonts w:hint="eastAsia" w:ascii="仿宋" w:hAnsi="仿宋" w:eastAsia="仿宋" w:cs="仿宋"/>
          <w:b/>
          <w:bCs/>
          <w:snapToGrid w:val="0"/>
          <w:kern w:val="0"/>
          <w:sz w:val="28"/>
          <w:szCs w:val="28"/>
          <w:highlight w:val="none"/>
        </w:rPr>
        <w:t>二、</w:t>
      </w:r>
      <w:r>
        <w:rPr>
          <w:rFonts w:hint="eastAsia" w:ascii="仿宋" w:hAnsi="仿宋" w:eastAsia="仿宋" w:cs="仿宋"/>
          <w:b/>
          <w:bCs/>
          <w:snapToGrid w:val="0"/>
          <w:kern w:val="0"/>
          <w:sz w:val="28"/>
          <w:szCs w:val="28"/>
          <w:highlight w:val="none"/>
          <w:lang w:val="en-US" w:eastAsia="zh-CN"/>
        </w:rPr>
        <w:t>成本分析或报价合理性说明（如有）</w:t>
      </w:r>
    </w:p>
    <w:p w14:paraId="53B6B15B">
      <w:pPr>
        <w:adjustRightInd w:val="0"/>
        <w:spacing w:line="360" w:lineRule="auto"/>
        <w:jc w:val="left"/>
        <w:rPr>
          <w:rFonts w:hint="eastAsia" w:ascii="仿宋" w:hAnsi="仿宋" w:eastAsia="仿宋" w:cs="仿宋"/>
          <w:szCs w:val="21"/>
          <w:highlight w:val="none"/>
        </w:rPr>
      </w:pPr>
    </w:p>
    <w:p w14:paraId="01631F58">
      <w:pPr>
        <w:adjustRightInd w:val="0"/>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2025年度杭州市钱塘区政府投资项目工程竣工财务决算审核服务</w:t>
      </w:r>
    </w:p>
    <w:p w14:paraId="6BD7870D">
      <w:pPr>
        <w:pStyle w:val="18"/>
        <w:rPr>
          <w:rFonts w:hint="eastAsia" w:ascii="仿宋" w:hAnsi="仿宋" w:eastAsia="仿宋" w:cs="仿宋"/>
          <w:szCs w:val="21"/>
          <w:highlight w:val="none"/>
          <w:lang w:eastAsia="zh-CN"/>
        </w:rPr>
      </w:pPr>
      <w:r>
        <w:rPr>
          <w:rFonts w:hint="eastAsia" w:ascii="仿宋" w:hAnsi="仿宋" w:eastAsia="仿宋" w:cs="仿宋"/>
          <w:szCs w:val="21"/>
          <w:highlight w:val="none"/>
        </w:rPr>
        <w:t>采购编号：</w:t>
      </w:r>
      <w:r>
        <w:rPr>
          <w:rFonts w:hint="eastAsia" w:ascii="仿宋" w:hAnsi="仿宋" w:eastAsia="仿宋" w:cs="仿宋"/>
          <w:szCs w:val="21"/>
          <w:highlight w:val="none"/>
          <w:lang w:eastAsia="zh-CN"/>
        </w:rPr>
        <w:t>QTCG-GK-2025-091</w:t>
      </w:r>
    </w:p>
    <w:p w14:paraId="028462F5">
      <w:pPr>
        <w:pStyle w:val="32"/>
        <w:rPr>
          <w:rFonts w:hint="eastAsia" w:ascii="仿宋" w:hAnsi="仿宋" w:eastAsia="仿宋" w:cs="仿宋"/>
          <w:szCs w:val="21"/>
          <w:highlight w:val="none"/>
        </w:rPr>
      </w:pPr>
    </w:p>
    <w:p w14:paraId="18D26176">
      <w:pPr>
        <w:pStyle w:val="32"/>
        <w:rPr>
          <w:rFonts w:hint="eastAsia" w:ascii="仿宋" w:hAnsi="仿宋" w:eastAsia="仿宋" w:cs="仿宋"/>
          <w:szCs w:val="21"/>
          <w:highlight w:val="none"/>
        </w:rPr>
      </w:pPr>
    </w:p>
    <w:p w14:paraId="250CD266">
      <w:pPr>
        <w:pStyle w:val="32"/>
        <w:rPr>
          <w:rFonts w:hint="eastAsia" w:ascii="仿宋" w:hAnsi="仿宋" w:eastAsia="仿宋" w:cs="仿宋"/>
          <w:szCs w:val="21"/>
          <w:highlight w:val="none"/>
        </w:rPr>
      </w:pPr>
      <w:r>
        <w:rPr>
          <w:rFonts w:hint="eastAsia" w:ascii="仿宋" w:hAnsi="仿宋" w:eastAsia="仿宋" w:cs="仿宋"/>
          <w:szCs w:val="21"/>
          <w:highlight w:val="none"/>
        </w:rPr>
        <w:t>（自拟）</w:t>
      </w:r>
    </w:p>
    <w:p w14:paraId="2CB0D66A">
      <w:pPr>
        <w:spacing w:line="360" w:lineRule="auto"/>
        <w:rPr>
          <w:rFonts w:hint="eastAsia" w:ascii="仿宋" w:hAnsi="仿宋" w:eastAsia="仿宋" w:cs="仿宋"/>
          <w:highlight w:val="none"/>
        </w:rPr>
      </w:pPr>
    </w:p>
    <w:p w14:paraId="686E1F0B">
      <w:pPr>
        <w:spacing w:line="360" w:lineRule="auto"/>
        <w:rPr>
          <w:rFonts w:hint="eastAsia" w:ascii="仿宋" w:hAnsi="仿宋" w:eastAsia="仿宋" w:cs="仿宋"/>
          <w:highlight w:val="none"/>
        </w:rPr>
      </w:pPr>
    </w:p>
    <w:p w14:paraId="47E399DB">
      <w:pPr>
        <w:adjustRightInd w:val="0"/>
        <w:spacing w:line="360" w:lineRule="auto"/>
        <w:ind w:firstLine="4515" w:firstLineChars="2150"/>
        <w:rPr>
          <w:rFonts w:hint="eastAsia" w:ascii="仿宋" w:hAnsi="仿宋" w:eastAsia="仿宋" w:cs="仿宋"/>
          <w:szCs w:val="21"/>
          <w:highlight w:val="none"/>
        </w:rPr>
      </w:pPr>
    </w:p>
    <w:p w14:paraId="5E0AD7FD">
      <w:pPr>
        <w:snapToGrid w:val="0"/>
        <w:spacing w:line="360" w:lineRule="auto"/>
        <w:ind w:firstLine="576"/>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投标人名称(电子签名)：                              </w:t>
      </w:r>
    </w:p>
    <w:p w14:paraId="25A52574">
      <w:pPr>
        <w:adjustRightInd w:val="0"/>
        <w:ind w:firstLine="720" w:firstLineChars="300"/>
        <w:rPr>
          <w:rFonts w:hint="eastAsia" w:ascii="仿宋" w:hAnsi="仿宋" w:eastAsia="仿宋" w:cs="仿宋"/>
          <w:szCs w:val="21"/>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087BD69C">
      <w:pPr>
        <w:pStyle w:val="177"/>
        <w:keepNext w:val="0"/>
        <w:pageBreakBefore w:val="0"/>
        <w:tabs>
          <w:tab w:val="clear" w:pos="720"/>
        </w:tabs>
        <w:snapToGrid w:val="0"/>
        <w:spacing w:before="120" w:after="120"/>
        <w:ind w:firstLine="643"/>
        <w:outlineLvl w:val="9"/>
        <w:rPr>
          <w:rFonts w:hint="eastAsia" w:ascii="仿宋" w:hAnsi="仿宋" w:eastAsia="仿宋" w:cs="仿宋"/>
          <w:highlight w:val="none"/>
        </w:rPr>
        <w:sectPr>
          <w:pgSz w:w="11906" w:h="16838"/>
          <w:pgMar w:top="1247" w:right="1418" w:bottom="1276" w:left="1418" w:header="851" w:footer="992" w:gutter="0"/>
          <w:cols w:space="720" w:num="1"/>
          <w:titlePg/>
          <w:docGrid w:linePitch="312" w:charSpace="0"/>
        </w:sectPr>
      </w:pPr>
    </w:p>
    <w:p w14:paraId="461D216F">
      <w:pPr>
        <w:rPr>
          <w:rFonts w:hint="eastAsia" w:ascii="仿宋" w:hAnsi="仿宋" w:eastAsia="仿宋" w:cs="仿宋"/>
          <w:highlight w:val="none"/>
        </w:rPr>
      </w:pPr>
    </w:p>
    <w:p w14:paraId="19669EFA">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112DBDED">
      <w:pPr>
        <w:spacing w:line="360" w:lineRule="auto"/>
        <w:jc w:val="center"/>
        <w:rPr>
          <w:rFonts w:hint="eastAsia" w:ascii="仿宋" w:hAnsi="仿宋" w:eastAsia="仿宋" w:cs="仿宋"/>
          <w:b/>
          <w:spacing w:val="6"/>
          <w:sz w:val="32"/>
          <w:szCs w:val="32"/>
          <w:highlight w:val="none"/>
        </w:rPr>
      </w:pPr>
      <w:bookmarkStart w:id="185" w:name="OLE_LINK13"/>
      <w:bookmarkStart w:id="186" w:name="OLE_LINK14"/>
      <w:r>
        <w:rPr>
          <w:rFonts w:hint="eastAsia" w:ascii="仿宋" w:hAnsi="仿宋" w:eastAsia="仿宋" w:cs="仿宋"/>
          <w:b/>
          <w:spacing w:val="6"/>
          <w:sz w:val="32"/>
          <w:szCs w:val="32"/>
          <w:highlight w:val="none"/>
        </w:rPr>
        <w:t>残疾人福利性单位声明函</w:t>
      </w:r>
    </w:p>
    <w:bookmarkEnd w:id="185"/>
    <w:bookmarkEnd w:id="186"/>
    <w:p w14:paraId="3D6DD94F">
      <w:pPr>
        <w:spacing w:line="360" w:lineRule="auto"/>
        <w:rPr>
          <w:rFonts w:hint="eastAsia" w:ascii="仿宋" w:hAnsi="仿宋" w:eastAsia="仿宋" w:cs="仿宋"/>
          <w:b/>
          <w:spacing w:val="6"/>
          <w:sz w:val="30"/>
          <w:szCs w:val="30"/>
          <w:highlight w:val="none"/>
        </w:rPr>
      </w:pPr>
    </w:p>
    <w:p w14:paraId="0FE6456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4FDBD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46136F05">
      <w:pPr>
        <w:spacing w:line="360" w:lineRule="auto"/>
        <w:ind w:firstLine="480" w:firstLineChars="200"/>
        <w:rPr>
          <w:rFonts w:hint="eastAsia" w:ascii="仿宋" w:hAnsi="仿宋" w:eastAsia="仿宋" w:cs="仿宋"/>
          <w:sz w:val="24"/>
          <w:highlight w:val="none"/>
        </w:rPr>
      </w:pPr>
    </w:p>
    <w:p w14:paraId="3EE4FF73">
      <w:pPr>
        <w:spacing w:line="360" w:lineRule="auto"/>
        <w:ind w:firstLine="480" w:firstLineChars="200"/>
        <w:rPr>
          <w:rFonts w:hint="eastAsia" w:ascii="仿宋" w:hAnsi="仿宋" w:eastAsia="仿宋" w:cs="仿宋"/>
          <w:sz w:val="24"/>
          <w:highlight w:val="none"/>
        </w:rPr>
      </w:pPr>
    </w:p>
    <w:p w14:paraId="45E41EB6">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38AA7C1E">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4DF35171">
      <w:pPr>
        <w:spacing w:line="360" w:lineRule="auto"/>
        <w:ind w:firstLine="480" w:firstLineChars="200"/>
        <w:rPr>
          <w:rFonts w:hint="eastAsia" w:ascii="仿宋" w:hAnsi="仿宋" w:eastAsia="仿宋" w:cs="仿宋"/>
          <w:sz w:val="24"/>
          <w:highlight w:val="none"/>
        </w:rPr>
      </w:pPr>
    </w:p>
    <w:p w14:paraId="78DFAA6B">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2DF27D56">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282501A1">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1F653779">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1C6F091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p>
    <w:p w14:paraId="6E7A448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地址：邮编：</w:t>
      </w:r>
    </w:p>
    <w:p w14:paraId="2847E69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联系人：联系电话：</w:t>
      </w:r>
    </w:p>
    <w:p w14:paraId="7315D85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p>
    <w:p w14:paraId="740C2BC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p>
    <w:p w14:paraId="7A0E254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 邮编：</w:t>
      </w:r>
    </w:p>
    <w:p w14:paraId="66F0AA5B">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2B99361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p>
    <w:p w14:paraId="1DB6D7B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质疑项目的编号：包号：</w:t>
      </w:r>
    </w:p>
    <w:p w14:paraId="332C9BCE">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p>
    <w:p w14:paraId="0E09176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p>
    <w:p w14:paraId="52C13A9E">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7AB51EF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p>
    <w:p w14:paraId="7F7A11E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p>
    <w:p w14:paraId="2FBB9028">
      <w:pPr>
        <w:snapToGrid w:val="0"/>
        <w:spacing w:line="360" w:lineRule="auto"/>
        <w:rPr>
          <w:rFonts w:hint="eastAsia" w:ascii="仿宋" w:hAnsi="仿宋" w:eastAsia="仿宋" w:cs="仿宋"/>
          <w:sz w:val="24"/>
          <w:highlight w:val="none"/>
        </w:rPr>
      </w:pPr>
    </w:p>
    <w:p w14:paraId="014F7BA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p>
    <w:p w14:paraId="1440AC66">
      <w:pPr>
        <w:snapToGrid w:val="0"/>
        <w:spacing w:line="360" w:lineRule="auto"/>
        <w:rPr>
          <w:rFonts w:hint="eastAsia" w:ascii="仿宋" w:hAnsi="仿宋" w:eastAsia="仿宋" w:cs="仿宋"/>
          <w:sz w:val="24"/>
          <w:highlight w:val="none"/>
          <w:u w:val="dotted"/>
        </w:rPr>
      </w:pPr>
    </w:p>
    <w:p w14:paraId="6977E93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4DF41DA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07410F21">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0E92A99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p>
    <w:p w14:paraId="219F95A2">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4C65DE51">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30B9EC3F">
      <w:pPr>
        <w:spacing w:line="360" w:lineRule="auto"/>
        <w:jc w:val="center"/>
        <w:rPr>
          <w:rFonts w:hint="eastAsia" w:ascii="仿宋" w:hAnsi="仿宋" w:eastAsia="仿宋" w:cs="仿宋"/>
          <w:b/>
          <w:bCs/>
          <w:sz w:val="24"/>
          <w:highlight w:val="none"/>
        </w:rPr>
      </w:pPr>
    </w:p>
    <w:p w14:paraId="33E142AD">
      <w:pPr>
        <w:spacing w:line="360" w:lineRule="auto"/>
        <w:rPr>
          <w:rFonts w:hint="eastAsia" w:ascii="仿宋" w:hAnsi="仿宋" w:eastAsia="仿宋" w:cs="仿宋"/>
          <w:b/>
          <w:sz w:val="24"/>
          <w:highlight w:val="none"/>
        </w:rPr>
      </w:pPr>
    </w:p>
    <w:p w14:paraId="4E9151EB">
      <w:pPr>
        <w:spacing w:line="360" w:lineRule="auto"/>
        <w:rPr>
          <w:rFonts w:hint="eastAsia" w:ascii="仿宋" w:hAnsi="仿宋" w:eastAsia="仿宋" w:cs="仿宋"/>
          <w:b/>
          <w:sz w:val="24"/>
          <w:highlight w:val="none"/>
        </w:rPr>
      </w:pPr>
    </w:p>
    <w:p w14:paraId="3C7A9745">
      <w:pPr>
        <w:spacing w:line="360" w:lineRule="auto"/>
        <w:rPr>
          <w:rFonts w:hint="eastAsia" w:ascii="仿宋" w:hAnsi="仿宋" w:eastAsia="仿宋" w:cs="仿宋"/>
          <w:b/>
          <w:sz w:val="24"/>
          <w:highlight w:val="none"/>
        </w:rPr>
      </w:pPr>
    </w:p>
    <w:p w14:paraId="147550C3">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669561F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6E6BB86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4D7072CC">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356049F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09E06DA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362641C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10F06033">
      <w:pPr>
        <w:widowControl/>
        <w:spacing w:line="360" w:lineRule="auto"/>
        <w:ind w:firstLine="600" w:firstLineChars="200"/>
        <w:jc w:val="left"/>
        <w:rPr>
          <w:rFonts w:hint="eastAsia" w:ascii="仿宋" w:hAnsi="仿宋" w:eastAsia="仿宋" w:cs="仿宋"/>
          <w:sz w:val="30"/>
          <w:szCs w:val="30"/>
          <w:highlight w:val="none"/>
        </w:rPr>
      </w:pPr>
    </w:p>
    <w:p w14:paraId="36CD8E31">
      <w:pPr>
        <w:spacing w:line="360" w:lineRule="auto"/>
        <w:jc w:val="center"/>
        <w:rPr>
          <w:rFonts w:hint="eastAsia" w:ascii="仿宋" w:hAnsi="仿宋" w:eastAsia="仿宋" w:cs="仿宋"/>
          <w:b/>
          <w:spacing w:val="6"/>
          <w:sz w:val="32"/>
          <w:szCs w:val="32"/>
          <w:highlight w:val="none"/>
        </w:rPr>
      </w:pPr>
    </w:p>
    <w:p w14:paraId="2338865B">
      <w:pPr>
        <w:spacing w:line="360" w:lineRule="auto"/>
        <w:jc w:val="center"/>
        <w:rPr>
          <w:rFonts w:hint="eastAsia" w:ascii="仿宋" w:hAnsi="仿宋" w:eastAsia="仿宋" w:cs="仿宋"/>
          <w:b/>
          <w:spacing w:val="6"/>
          <w:sz w:val="32"/>
          <w:szCs w:val="32"/>
          <w:highlight w:val="none"/>
        </w:rPr>
      </w:pPr>
    </w:p>
    <w:p w14:paraId="5FC6D92F">
      <w:pPr>
        <w:spacing w:line="360" w:lineRule="auto"/>
        <w:jc w:val="center"/>
        <w:rPr>
          <w:rFonts w:hint="eastAsia" w:ascii="仿宋" w:hAnsi="仿宋" w:eastAsia="仿宋" w:cs="仿宋"/>
          <w:b/>
          <w:spacing w:val="6"/>
          <w:sz w:val="32"/>
          <w:szCs w:val="32"/>
          <w:highlight w:val="none"/>
        </w:rPr>
      </w:pPr>
    </w:p>
    <w:p w14:paraId="47652980">
      <w:pPr>
        <w:spacing w:line="360" w:lineRule="auto"/>
        <w:jc w:val="center"/>
        <w:rPr>
          <w:rFonts w:hint="eastAsia" w:ascii="仿宋" w:hAnsi="仿宋" w:eastAsia="仿宋" w:cs="仿宋"/>
          <w:b/>
          <w:spacing w:val="6"/>
          <w:sz w:val="32"/>
          <w:szCs w:val="32"/>
          <w:highlight w:val="none"/>
        </w:rPr>
      </w:pPr>
    </w:p>
    <w:p w14:paraId="3A9C55D8">
      <w:pPr>
        <w:spacing w:line="360" w:lineRule="auto"/>
        <w:jc w:val="center"/>
        <w:rPr>
          <w:rFonts w:hint="eastAsia" w:ascii="仿宋" w:hAnsi="仿宋" w:eastAsia="仿宋" w:cs="仿宋"/>
          <w:b/>
          <w:spacing w:val="6"/>
          <w:sz w:val="32"/>
          <w:szCs w:val="32"/>
          <w:highlight w:val="none"/>
        </w:rPr>
      </w:pPr>
    </w:p>
    <w:p w14:paraId="0802CED3">
      <w:pPr>
        <w:spacing w:line="360" w:lineRule="auto"/>
        <w:jc w:val="center"/>
        <w:rPr>
          <w:rFonts w:hint="eastAsia" w:ascii="仿宋" w:hAnsi="仿宋" w:eastAsia="仿宋" w:cs="仿宋"/>
          <w:b/>
          <w:spacing w:val="6"/>
          <w:sz w:val="32"/>
          <w:szCs w:val="32"/>
          <w:highlight w:val="none"/>
        </w:rPr>
      </w:pPr>
    </w:p>
    <w:p w14:paraId="729B3B0A">
      <w:pPr>
        <w:spacing w:line="360" w:lineRule="auto"/>
        <w:jc w:val="center"/>
        <w:rPr>
          <w:rFonts w:hint="eastAsia" w:ascii="仿宋" w:hAnsi="仿宋" w:eastAsia="仿宋" w:cs="仿宋"/>
          <w:b/>
          <w:spacing w:val="6"/>
          <w:sz w:val="32"/>
          <w:szCs w:val="32"/>
          <w:highlight w:val="none"/>
        </w:rPr>
      </w:pPr>
    </w:p>
    <w:p w14:paraId="4470226A">
      <w:pPr>
        <w:spacing w:line="360" w:lineRule="auto"/>
        <w:jc w:val="center"/>
        <w:rPr>
          <w:rFonts w:hint="eastAsia" w:ascii="仿宋" w:hAnsi="仿宋" w:eastAsia="仿宋" w:cs="仿宋"/>
          <w:b/>
          <w:spacing w:val="6"/>
          <w:sz w:val="32"/>
          <w:szCs w:val="32"/>
          <w:highlight w:val="none"/>
        </w:rPr>
      </w:pPr>
    </w:p>
    <w:p w14:paraId="093C60B4">
      <w:pPr>
        <w:spacing w:line="360" w:lineRule="auto"/>
        <w:jc w:val="center"/>
        <w:rPr>
          <w:rFonts w:hint="eastAsia" w:ascii="仿宋" w:hAnsi="仿宋" w:eastAsia="仿宋" w:cs="仿宋"/>
          <w:b/>
          <w:spacing w:val="6"/>
          <w:sz w:val="32"/>
          <w:szCs w:val="32"/>
          <w:highlight w:val="none"/>
        </w:rPr>
      </w:pPr>
    </w:p>
    <w:p w14:paraId="6BC66524">
      <w:pPr>
        <w:spacing w:line="360" w:lineRule="auto"/>
        <w:jc w:val="center"/>
        <w:rPr>
          <w:rFonts w:hint="eastAsia" w:ascii="仿宋" w:hAnsi="仿宋" w:eastAsia="仿宋" w:cs="仿宋"/>
          <w:b/>
          <w:spacing w:val="6"/>
          <w:sz w:val="32"/>
          <w:szCs w:val="32"/>
          <w:highlight w:val="none"/>
        </w:rPr>
      </w:pPr>
    </w:p>
    <w:p w14:paraId="57E5C08C">
      <w:pPr>
        <w:spacing w:line="360" w:lineRule="auto"/>
        <w:jc w:val="center"/>
        <w:rPr>
          <w:rFonts w:hint="eastAsia" w:ascii="仿宋" w:hAnsi="仿宋" w:eastAsia="仿宋" w:cs="仿宋"/>
          <w:b/>
          <w:spacing w:val="6"/>
          <w:sz w:val="32"/>
          <w:szCs w:val="32"/>
          <w:highlight w:val="none"/>
        </w:rPr>
      </w:pPr>
    </w:p>
    <w:p w14:paraId="05EF58BF">
      <w:pPr>
        <w:spacing w:line="360" w:lineRule="auto"/>
        <w:jc w:val="center"/>
        <w:rPr>
          <w:rFonts w:hint="eastAsia" w:ascii="仿宋" w:hAnsi="仿宋" w:eastAsia="仿宋" w:cs="仿宋"/>
          <w:b/>
          <w:spacing w:val="6"/>
          <w:sz w:val="32"/>
          <w:szCs w:val="32"/>
          <w:highlight w:val="none"/>
        </w:rPr>
      </w:pPr>
    </w:p>
    <w:p w14:paraId="25EF8D60">
      <w:pPr>
        <w:spacing w:line="360" w:lineRule="auto"/>
        <w:jc w:val="left"/>
        <w:rPr>
          <w:rFonts w:hint="eastAsia" w:ascii="仿宋" w:hAnsi="仿宋" w:eastAsia="仿宋" w:cs="仿宋"/>
          <w:b/>
          <w:spacing w:val="6"/>
          <w:sz w:val="32"/>
          <w:szCs w:val="32"/>
          <w:highlight w:val="none"/>
        </w:rPr>
      </w:pPr>
    </w:p>
    <w:p w14:paraId="7ACCB252">
      <w:pPr>
        <w:spacing w:line="360" w:lineRule="auto"/>
        <w:jc w:val="left"/>
        <w:rPr>
          <w:rFonts w:hint="eastAsia" w:ascii="仿宋" w:hAnsi="仿宋" w:eastAsia="仿宋" w:cs="仿宋"/>
          <w:b/>
          <w:spacing w:val="6"/>
          <w:sz w:val="32"/>
          <w:szCs w:val="32"/>
          <w:highlight w:val="none"/>
        </w:rPr>
      </w:pPr>
    </w:p>
    <w:p w14:paraId="01A50BFB">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5F33FCA0">
      <w:pPr>
        <w:spacing w:line="360" w:lineRule="auto"/>
        <w:jc w:val="center"/>
        <w:rPr>
          <w:rFonts w:hint="eastAsia" w:ascii="仿宋" w:hAnsi="仿宋" w:eastAsia="仿宋" w:cs="仿宋"/>
          <w:b/>
          <w:sz w:val="24"/>
          <w:highlight w:val="none"/>
        </w:rPr>
      </w:pPr>
    </w:p>
    <w:p w14:paraId="02022C6E">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36A8F11A">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6F71E1F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p>
    <w:p w14:paraId="3B07493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14:paraId="633D31CE">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p>
    <w:p w14:paraId="4273967C">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p>
    <w:p w14:paraId="4A992C3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授权代表：联系电话</w:t>
      </w:r>
      <w:r>
        <w:rPr>
          <w:rFonts w:hint="eastAsia" w:ascii="仿宋" w:hAnsi="仿宋" w:eastAsia="仿宋" w:cs="仿宋"/>
          <w:sz w:val="24"/>
          <w:highlight w:val="none"/>
          <w:u w:val="dotted"/>
        </w:rPr>
        <w:t xml:space="preserve">：                  </w:t>
      </w:r>
    </w:p>
    <w:p w14:paraId="468AEC7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址：邮编：</w:t>
      </w:r>
    </w:p>
    <w:p w14:paraId="54D5A63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p>
    <w:p w14:paraId="775327F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14:paraId="6E68162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联系人：联系电话：</w:t>
      </w:r>
    </w:p>
    <w:p w14:paraId="6FD8EC41">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247533D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5A34377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p>
    <w:p w14:paraId="327D497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14:paraId="7640C02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联系人：联系电话：</w:t>
      </w:r>
    </w:p>
    <w:p w14:paraId="7F684F81">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11BF8C3F">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p>
    <w:p w14:paraId="0E7AC7C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采购项目编号：包号：</w:t>
      </w:r>
    </w:p>
    <w:p w14:paraId="32D70A48">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p>
    <w:p w14:paraId="586A2B6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p>
    <w:p w14:paraId="13D8B2F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4036932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1D1B8B8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1AE85A81">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提出质疑，质疑事项为：</w:t>
      </w:r>
    </w:p>
    <w:p w14:paraId="50E14718">
      <w:pPr>
        <w:spacing w:line="360" w:lineRule="auto"/>
        <w:rPr>
          <w:rFonts w:hint="eastAsia" w:ascii="仿宋" w:hAnsi="仿宋" w:eastAsia="仿宋" w:cs="仿宋"/>
          <w:sz w:val="24"/>
          <w:highlight w:val="none"/>
          <w:u w:val="dotted"/>
        </w:rPr>
      </w:pPr>
    </w:p>
    <w:p w14:paraId="02562E9F">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于年月日,就质疑事项作出了答复/没有在法定期限内作出答复。</w:t>
      </w:r>
    </w:p>
    <w:p w14:paraId="0930F5AD">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1DB1064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p>
    <w:p w14:paraId="705FFAFF">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p>
    <w:p w14:paraId="473FAD29">
      <w:pPr>
        <w:spacing w:line="360" w:lineRule="auto"/>
        <w:rPr>
          <w:rFonts w:hint="eastAsia" w:ascii="仿宋" w:hAnsi="仿宋" w:eastAsia="仿宋" w:cs="仿宋"/>
          <w:sz w:val="24"/>
          <w:highlight w:val="none"/>
          <w:u w:val="dotted"/>
        </w:rPr>
      </w:pPr>
    </w:p>
    <w:p w14:paraId="01407A8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p>
    <w:p w14:paraId="08DD335A">
      <w:pPr>
        <w:spacing w:line="360" w:lineRule="auto"/>
        <w:rPr>
          <w:rFonts w:hint="eastAsia" w:ascii="仿宋" w:hAnsi="仿宋" w:eastAsia="仿宋" w:cs="仿宋"/>
          <w:sz w:val="24"/>
          <w:highlight w:val="none"/>
          <w:u w:val="dotted"/>
        </w:rPr>
      </w:pPr>
    </w:p>
    <w:p w14:paraId="315A731F">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252CFE9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75C252E8">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26EC3670">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p>
    <w:p w14:paraId="5D23E784">
      <w:pPr>
        <w:spacing w:line="360" w:lineRule="auto"/>
        <w:rPr>
          <w:rFonts w:hint="eastAsia" w:ascii="仿宋" w:hAnsi="仿宋" w:eastAsia="仿宋" w:cs="仿宋"/>
          <w:sz w:val="24"/>
          <w:highlight w:val="none"/>
          <w:u w:val="single"/>
        </w:rPr>
      </w:pPr>
    </w:p>
    <w:p w14:paraId="2289127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2E583DE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7F305E60">
      <w:pPr>
        <w:spacing w:line="360" w:lineRule="auto"/>
        <w:rPr>
          <w:rFonts w:hint="eastAsia" w:ascii="仿宋" w:hAnsi="仿宋" w:eastAsia="仿宋" w:cs="仿宋"/>
          <w:b/>
          <w:sz w:val="24"/>
          <w:highlight w:val="none"/>
        </w:rPr>
      </w:pPr>
    </w:p>
    <w:p w14:paraId="5A3BC117">
      <w:pPr>
        <w:spacing w:line="360" w:lineRule="auto"/>
        <w:rPr>
          <w:rFonts w:hint="eastAsia" w:ascii="仿宋" w:hAnsi="仿宋" w:eastAsia="仿宋" w:cs="仿宋"/>
          <w:b/>
          <w:sz w:val="24"/>
          <w:highlight w:val="none"/>
        </w:rPr>
      </w:pPr>
    </w:p>
    <w:p w14:paraId="1ABB41C2">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2C3424B3">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64A68217">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2C46A7A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49601BF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6F1A8AC8">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463F565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7C844FE9">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281CFFF6">
      <w:pPr>
        <w:spacing w:line="360" w:lineRule="auto"/>
        <w:rPr>
          <w:rFonts w:hint="eastAsia" w:ascii="仿宋" w:hAnsi="仿宋" w:eastAsia="仿宋" w:cs="仿宋"/>
          <w:b/>
          <w:sz w:val="24"/>
          <w:highlight w:val="none"/>
        </w:rPr>
      </w:pPr>
    </w:p>
    <w:p w14:paraId="01A6D216">
      <w:pPr>
        <w:autoSpaceDE w:val="0"/>
        <w:autoSpaceDN w:val="0"/>
        <w:jc w:val="center"/>
        <w:rPr>
          <w:rFonts w:hint="eastAsia" w:ascii="仿宋" w:hAnsi="仿宋" w:eastAsia="仿宋" w:cs="仿宋"/>
          <w:b/>
          <w:spacing w:val="6"/>
          <w:sz w:val="32"/>
          <w:szCs w:val="32"/>
          <w:highlight w:val="none"/>
        </w:rPr>
      </w:pPr>
    </w:p>
    <w:p w14:paraId="3A53C24A">
      <w:pPr>
        <w:autoSpaceDE w:val="0"/>
        <w:autoSpaceDN w:val="0"/>
        <w:jc w:val="center"/>
        <w:rPr>
          <w:rFonts w:hint="eastAsia" w:ascii="仿宋" w:hAnsi="仿宋" w:eastAsia="仿宋" w:cs="仿宋"/>
          <w:b/>
          <w:spacing w:val="6"/>
          <w:sz w:val="32"/>
          <w:szCs w:val="32"/>
          <w:highlight w:val="none"/>
        </w:rPr>
      </w:pPr>
    </w:p>
    <w:p w14:paraId="4D32F280">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7F35513D">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4729278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你方组织的（项目名称）项目【招标编号：（采购编号）】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662971F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BCC6D49">
      <w:pPr>
        <w:spacing w:line="360" w:lineRule="auto"/>
        <w:ind w:firstLine="494"/>
        <w:rPr>
          <w:rFonts w:hint="eastAsia" w:ascii="仿宋" w:hAnsi="仿宋" w:eastAsia="仿宋" w:cs="仿宋"/>
          <w:sz w:val="24"/>
          <w:highlight w:val="none"/>
        </w:rPr>
      </w:pPr>
    </w:p>
    <w:p w14:paraId="17DBE3CF">
      <w:pPr>
        <w:spacing w:line="360" w:lineRule="auto"/>
        <w:ind w:firstLine="494"/>
        <w:rPr>
          <w:rFonts w:hint="eastAsia" w:ascii="仿宋" w:hAnsi="仿宋" w:eastAsia="仿宋" w:cs="仿宋"/>
          <w:sz w:val="24"/>
          <w:highlight w:val="none"/>
        </w:rPr>
      </w:pPr>
    </w:p>
    <w:p w14:paraId="08EC047D">
      <w:pPr>
        <w:spacing w:line="360" w:lineRule="auto"/>
        <w:ind w:firstLine="494"/>
        <w:rPr>
          <w:rFonts w:hint="eastAsia" w:ascii="仿宋" w:hAnsi="仿宋" w:eastAsia="仿宋" w:cs="仿宋"/>
          <w:sz w:val="24"/>
          <w:highlight w:val="none"/>
        </w:rPr>
      </w:pPr>
    </w:p>
    <w:p w14:paraId="29CA744A">
      <w:pPr>
        <w:spacing w:line="360" w:lineRule="auto"/>
        <w:ind w:firstLine="494"/>
        <w:rPr>
          <w:rFonts w:hint="eastAsia" w:ascii="仿宋" w:hAnsi="仿宋" w:eastAsia="仿宋" w:cs="仿宋"/>
          <w:sz w:val="24"/>
          <w:highlight w:val="none"/>
        </w:rPr>
      </w:pPr>
    </w:p>
    <w:p w14:paraId="78FED1F2">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23B82CFE">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60A31163">
      <w:pPr>
        <w:rPr>
          <w:rFonts w:hint="eastAsia" w:ascii="仿宋" w:hAnsi="仿宋" w:eastAsia="仿宋" w:cs="仿宋"/>
          <w:sz w:val="24"/>
          <w:highlight w:val="none"/>
        </w:rPr>
      </w:pPr>
      <w:r>
        <w:rPr>
          <w:rFonts w:hint="eastAsia" w:ascii="仿宋" w:hAnsi="仿宋" w:eastAsia="仿宋" w:cs="仿宋"/>
          <w:b/>
          <w:bCs/>
          <w:sz w:val="24"/>
          <w:highlight w:val="none"/>
        </w:rPr>
        <w:t>附：</w:t>
      </w:r>
    </w:p>
    <w:p w14:paraId="6070AEB4">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19D76F13">
      <w:pPr>
        <w:autoSpaceDE w:val="0"/>
        <w:autoSpaceDN w:val="0"/>
        <w:jc w:val="center"/>
        <w:rPr>
          <w:rFonts w:hint="eastAsia" w:ascii="仿宋" w:hAnsi="仿宋" w:eastAsia="仿宋" w:cs="仿宋"/>
          <w:b/>
          <w:spacing w:val="6"/>
          <w:sz w:val="32"/>
          <w:szCs w:val="32"/>
          <w:highlight w:val="none"/>
        </w:rPr>
      </w:pPr>
    </w:p>
    <w:p w14:paraId="4E5D63EA">
      <w:pPr>
        <w:autoSpaceDE w:val="0"/>
        <w:autoSpaceDN w:val="0"/>
        <w:jc w:val="center"/>
        <w:rPr>
          <w:rFonts w:hint="eastAsia" w:ascii="仿宋" w:hAnsi="仿宋" w:eastAsia="仿宋" w:cs="仿宋"/>
          <w:b/>
          <w:spacing w:val="6"/>
          <w:sz w:val="32"/>
          <w:szCs w:val="32"/>
          <w:highlight w:val="none"/>
        </w:rPr>
      </w:pPr>
    </w:p>
    <w:p w14:paraId="4B31FA3D">
      <w:pPr>
        <w:autoSpaceDE w:val="0"/>
        <w:autoSpaceDN w:val="0"/>
        <w:jc w:val="center"/>
        <w:rPr>
          <w:rFonts w:hint="eastAsia" w:ascii="仿宋" w:hAnsi="仿宋" w:eastAsia="仿宋" w:cs="仿宋"/>
          <w:b/>
          <w:spacing w:val="6"/>
          <w:sz w:val="32"/>
          <w:szCs w:val="32"/>
          <w:highlight w:val="none"/>
        </w:rPr>
      </w:pPr>
    </w:p>
    <w:p w14:paraId="1926680A">
      <w:pPr>
        <w:autoSpaceDE w:val="0"/>
        <w:autoSpaceDN w:val="0"/>
        <w:jc w:val="center"/>
        <w:rPr>
          <w:rFonts w:hint="eastAsia" w:ascii="仿宋" w:hAnsi="仿宋" w:eastAsia="仿宋" w:cs="仿宋"/>
          <w:b/>
          <w:spacing w:val="6"/>
          <w:sz w:val="32"/>
          <w:szCs w:val="32"/>
          <w:highlight w:val="none"/>
        </w:rPr>
      </w:pPr>
    </w:p>
    <w:p w14:paraId="5E069FA6">
      <w:pPr>
        <w:autoSpaceDE w:val="0"/>
        <w:autoSpaceDN w:val="0"/>
        <w:jc w:val="center"/>
        <w:rPr>
          <w:rFonts w:hint="eastAsia" w:ascii="仿宋" w:hAnsi="仿宋" w:eastAsia="仿宋" w:cs="仿宋"/>
          <w:b/>
          <w:spacing w:val="6"/>
          <w:sz w:val="32"/>
          <w:szCs w:val="32"/>
          <w:highlight w:val="none"/>
        </w:rPr>
      </w:pPr>
    </w:p>
    <w:p w14:paraId="36408794">
      <w:pPr>
        <w:autoSpaceDE w:val="0"/>
        <w:autoSpaceDN w:val="0"/>
        <w:jc w:val="center"/>
        <w:rPr>
          <w:rFonts w:hint="eastAsia" w:ascii="仿宋" w:hAnsi="仿宋" w:eastAsia="仿宋" w:cs="仿宋"/>
          <w:b/>
          <w:spacing w:val="6"/>
          <w:sz w:val="32"/>
          <w:szCs w:val="32"/>
          <w:highlight w:val="none"/>
        </w:rPr>
      </w:pPr>
    </w:p>
    <w:p w14:paraId="7899DE45">
      <w:pPr>
        <w:autoSpaceDE w:val="0"/>
        <w:autoSpaceDN w:val="0"/>
        <w:jc w:val="center"/>
        <w:rPr>
          <w:rFonts w:hint="eastAsia" w:ascii="仿宋" w:hAnsi="仿宋" w:eastAsia="仿宋" w:cs="仿宋"/>
          <w:b/>
          <w:spacing w:val="6"/>
          <w:sz w:val="32"/>
          <w:szCs w:val="32"/>
          <w:highlight w:val="none"/>
        </w:rPr>
      </w:pPr>
    </w:p>
    <w:p w14:paraId="156C5FAA">
      <w:pPr>
        <w:autoSpaceDE w:val="0"/>
        <w:autoSpaceDN w:val="0"/>
        <w:jc w:val="center"/>
        <w:rPr>
          <w:rFonts w:hint="eastAsia" w:ascii="仿宋" w:hAnsi="仿宋" w:eastAsia="仿宋" w:cs="仿宋"/>
          <w:b/>
          <w:spacing w:val="6"/>
          <w:sz w:val="32"/>
          <w:szCs w:val="32"/>
          <w:highlight w:val="none"/>
        </w:rPr>
      </w:pPr>
    </w:p>
    <w:p w14:paraId="019B6794">
      <w:pPr>
        <w:autoSpaceDE w:val="0"/>
        <w:autoSpaceDN w:val="0"/>
        <w:jc w:val="center"/>
        <w:rPr>
          <w:rFonts w:hint="eastAsia" w:ascii="仿宋" w:hAnsi="仿宋" w:eastAsia="仿宋" w:cs="仿宋"/>
          <w:b/>
          <w:spacing w:val="6"/>
          <w:sz w:val="32"/>
          <w:szCs w:val="32"/>
          <w:highlight w:val="none"/>
        </w:rPr>
      </w:pPr>
    </w:p>
    <w:p w14:paraId="18DE2258">
      <w:pPr>
        <w:autoSpaceDE w:val="0"/>
        <w:autoSpaceDN w:val="0"/>
        <w:jc w:val="center"/>
        <w:rPr>
          <w:rFonts w:hint="eastAsia" w:ascii="仿宋" w:hAnsi="仿宋" w:eastAsia="仿宋" w:cs="仿宋"/>
          <w:b/>
          <w:spacing w:val="6"/>
          <w:sz w:val="32"/>
          <w:szCs w:val="32"/>
          <w:highlight w:val="none"/>
        </w:rPr>
      </w:pPr>
    </w:p>
    <w:p w14:paraId="7747BEAD">
      <w:pPr>
        <w:autoSpaceDE w:val="0"/>
        <w:autoSpaceDN w:val="0"/>
        <w:jc w:val="center"/>
        <w:rPr>
          <w:rFonts w:hint="eastAsia" w:ascii="仿宋" w:hAnsi="仿宋" w:eastAsia="仿宋" w:cs="仿宋"/>
          <w:b/>
          <w:spacing w:val="6"/>
          <w:sz w:val="32"/>
          <w:szCs w:val="32"/>
          <w:highlight w:val="none"/>
        </w:rPr>
      </w:pPr>
    </w:p>
    <w:p w14:paraId="7D006E79">
      <w:pPr>
        <w:autoSpaceDE w:val="0"/>
        <w:autoSpaceDN w:val="0"/>
        <w:jc w:val="center"/>
        <w:rPr>
          <w:rFonts w:hint="eastAsia" w:ascii="仿宋" w:hAnsi="仿宋" w:eastAsia="仿宋" w:cs="仿宋"/>
          <w:b/>
          <w:spacing w:val="6"/>
          <w:sz w:val="32"/>
          <w:szCs w:val="32"/>
          <w:highlight w:val="none"/>
        </w:rPr>
      </w:pPr>
    </w:p>
    <w:p w14:paraId="2E8039A7">
      <w:pPr>
        <w:autoSpaceDE w:val="0"/>
        <w:autoSpaceDN w:val="0"/>
        <w:jc w:val="center"/>
        <w:rPr>
          <w:rFonts w:hint="eastAsia" w:ascii="仿宋" w:hAnsi="仿宋" w:eastAsia="仿宋" w:cs="仿宋"/>
          <w:b/>
          <w:spacing w:val="6"/>
          <w:sz w:val="32"/>
          <w:szCs w:val="32"/>
          <w:highlight w:val="none"/>
        </w:rPr>
      </w:pPr>
    </w:p>
    <w:p w14:paraId="110F9D10">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258CCEE2">
      <w:pPr>
        <w:autoSpaceDE w:val="0"/>
        <w:autoSpaceDN w:val="0"/>
        <w:jc w:val="center"/>
        <w:rPr>
          <w:rFonts w:hint="eastAsia" w:ascii="仿宋" w:hAnsi="仿宋" w:eastAsia="仿宋" w:cs="仿宋"/>
          <w:b/>
          <w:kern w:val="0"/>
          <w:sz w:val="32"/>
          <w:szCs w:val="32"/>
          <w:highlight w:val="none"/>
          <w:lang w:val="zh-CN"/>
        </w:rPr>
      </w:pPr>
      <w:r>
        <w:rPr>
          <w:rFonts w:hint="eastAsia" w:ascii="仿宋" w:hAnsi="仿宋" w:eastAsia="仿宋" w:cs="仿宋"/>
          <w:b/>
          <w:bCs/>
          <w:sz w:val="32"/>
          <w:szCs w:val="32"/>
          <w:highlight w:val="none"/>
        </w:rPr>
        <w:t>附件5：</w:t>
      </w:r>
      <w:r>
        <w:rPr>
          <w:rFonts w:hint="eastAsia" w:ascii="仿宋" w:hAnsi="仿宋" w:eastAsia="仿宋" w:cs="仿宋"/>
          <w:b/>
          <w:bCs/>
          <w:sz w:val="32"/>
          <w:szCs w:val="32"/>
          <w:highlight w:val="none"/>
          <w:lang w:val="zh-CN"/>
        </w:rPr>
        <w:t>联合协议</w:t>
      </w:r>
    </w:p>
    <w:p w14:paraId="488D1A4C">
      <w:pPr>
        <w:widowControl/>
        <w:spacing w:line="360" w:lineRule="auto"/>
        <w:ind w:firstLine="482" w:firstLineChars="200"/>
        <w:jc w:val="left"/>
        <w:rPr>
          <w:rFonts w:hint="eastAsia" w:ascii="仿宋" w:hAnsi="仿宋" w:eastAsia="仿宋" w:cs="仿宋"/>
          <w:b/>
          <w:sz w:val="24"/>
          <w:highlight w:val="none"/>
        </w:rPr>
      </w:pPr>
    </w:p>
    <w:p w14:paraId="3ED76F36">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280138D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14:paraId="4FB8B5F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629F220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授权代表根据招标文件规定及投标内容而对采购人、采购代理机构所作的任何合法承诺，包括书面澄清及响应等均对联合投标各方产生约束力。</w:t>
      </w:r>
    </w:p>
    <w:p w14:paraId="2376EF8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14:paraId="137BDF0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256571B5">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45848FC1">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14:paraId="47CC2FD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14:paraId="392274AE">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187" w:name="_Hlk101131882"/>
      <w:r>
        <w:rPr>
          <w:rFonts w:hint="eastAsia" w:ascii="仿宋" w:hAnsi="仿宋" w:eastAsia="仿宋" w:cs="仿宋"/>
          <w:kern w:val="0"/>
          <w:sz w:val="24"/>
          <w:highlight w:val="none"/>
          <w:u w:val="single"/>
        </w:rPr>
        <w:t>联合体成员X,……</w:t>
      </w:r>
      <w:bookmarkEnd w:id="187"/>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188" w:name="_Hlk101133598"/>
      <w:r>
        <w:rPr>
          <w:rFonts w:hint="eastAsia" w:ascii="仿宋" w:hAnsi="仿宋" w:eastAsia="仿宋" w:cs="仿宋"/>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188"/>
      <w:r>
        <w:rPr>
          <w:rFonts w:hint="eastAsia" w:ascii="仿宋" w:hAnsi="仿宋" w:eastAsia="仿宋" w:cs="仿宋"/>
          <w:b/>
          <w:kern w:val="0"/>
          <w:sz w:val="24"/>
          <w:highlight w:val="none"/>
          <w:lang w:val="zh-CN"/>
        </w:rPr>
        <w:t>）</w:t>
      </w:r>
    </w:p>
    <w:p w14:paraId="60771AC0">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189"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189"/>
    </w:p>
    <w:p w14:paraId="4C70C48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423E4F11">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52DB1FB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03DC01F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2242396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578423D3">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DB66342">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06B20C86">
      <w:pPr>
        <w:snapToGrid w:val="0"/>
        <w:spacing w:line="360" w:lineRule="auto"/>
        <w:ind w:right="960"/>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40798193">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1BEC8265">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5045F330">
      <w:pPr>
        <w:autoSpaceDE w:val="0"/>
        <w:autoSpaceDN w:val="0"/>
        <w:jc w:val="center"/>
        <w:rPr>
          <w:rFonts w:hint="eastAsia" w:ascii="仿宋" w:hAnsi="仿宋" w:eastAsia="仿宋" w:cs="仿宋"/>
          <w:b/>
          <w:spacing w:val="6"/>
          <w:sz w:val="32"/>
          <w:szCs w:val="32"/>
          <w:highlight w:val="none"/>
        </w:rPr>
      </w:pPr>
    </w:p>
    <w:p w14:paraId="12F8A0F2">
      <w:pPr>
        <w:autoSpaceDE w:val="0"/>
        <w:autoSpaceDN w:val="0"/>
        <w:jc w:val="center"/>
        <w:rPr>
          <w:rFonts w:hint="eastAsia" w:ascii="仿宋" w:hAnsi="仿宋" w:eastAsia="仿宋" w:cs="仿宋"/>
          <w:b/>
          <w:spacing w:val="6"/>
          <w:sz w:val="32"/>
          <w:szCs w:val="32"/>
          <w:highlight w:val="none"/>
        </w:rPr>
      </w:pPr>
    </w:p>
    <w:p w14:paraId="777FD601">
      <w:pPr>
        <w:widowControl/>
        <w:jc w:val="left"/>
        <w:rPr>
          <w:rFonts w:hint="eastAsia" w:ascii="仿宋" w:hAnsi="仿宋" w:eastAsia="仿宋" w:cs="仿宋"/>
          <w:b/>
          <w:spacing w:val="6"/>
          <w:sz w:val="32"/>
          <w:szCs w:val="32"/>
          <w:highlight w:val="none"/>
        </w:rPr>
      </w:pPr>
    </w:p>
    <w:p w14:paraId="3E46D6D2">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512F6A77">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spacing w:val="6"/>
          <w:sz w:val="32"/>
          <w:szCs w:val="32"/>
          <w:highlight w:val="none"/>
        </w:rPr>
        <w:t>附件6：</w:t>
      </w:r>
      <w:r>
        <w:rPr>
          <w:rFonts w:hint="eastAsia" w:ascii="仿宋" w:hAnsi="仿宋" w:eastAsia="仿宋" w:cs="仿宋"/>
          <w:b/>
          <w:kern w:val="0"/>
          <w:sz w:val="32"/>
          <w:szCs w:val="32"/>
          <w:highlight w:val="none"/>
        </w:rPr>
        <w:t>分包意向协议</w:t>
      </w:r>
    </w:p>
    <w:p w14:paraId="32100319">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57FC74B5">
      <w:pPr>
        <w:tabs>
          <w:tab w:val="left" w:pos="432"/>
        </w:tabs>
        <w:rPr>
          <w:rFonts w:hint="eastAsia" w:ascii="仿宋" w:hAnsi="仿宋" w:eastAsia="仿宋" w:cs="仿宋"/>
          <w:highlight w:val="none"/>
        </w:rPr>
      </w:pPr>
    </w:p>
    <w:p w14:paraId="532D468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40C2498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0D8708C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653D3EF2">
      <w:pPr>
        <w:tabs>
          <w:tab w:val="left" w:pos="432"/>
        </w:tabs>
        <w:ind w:left="664" w:leftChars="316" w:firstLine="228" w:firstLineChars="95"/>
        <w:rPr>
          <w:rFonts w:hint="eastAsia" w:ascii="仿宋" w:hAnsi="仿宋" w:eastAsia="仿宋" w:cs="仿宋"/>
          <w:kern w:val="0"/>
          <w:sz w:val="24"/>
          <w:highlight w:val="none"/>
        </w:rPr>
      </w:pPr>
      <w:r>
        <w:rPr>
          <w:rFonts w:hint="eastAsia" w:ascii="仿宋" w:hAnsi="仿宋" w:eastAsia="仿宋" w:cs="仿宋"/>
          <w:kern w:val="0"/>
          <w:sz w:val="24"/>
          <w:highlight w:val="none"/>
        </w:rPr>
        <w:t>……</w:t>
      </w:r>
    </w:p>
    <w:p w14:paraId="3F00219D">
      <w:pPr>
        <w:rPr>
          <w:rFonts w:hint="eastAsia" w:ascii="仿宋" w:hAnsi="仿宋" w:eastAsia="仿宋" w:cs="仿宋"/>
          <w:highlight w:val="none"/>
        </w:rPr>
      </w:pPr>
      <w:r>
        <w:rPr>
          <w:rFonts w:hint="eastAsia" w:ascii="仿宋" w:hAnsi="仿宋" w:eastAsia="仿宋" w:cs="仿宋"/>
          <w:highlight w:val="none"/>
          <w:lang w:val="zh-CN"/>
        </w:rPr>
        <w:t xml:space="preserve"> </w:t>
      </w:r>
    </w:p>
    <w:p w14:paraId="3B7D10E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14:paraId="55A9F174">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14:paraId="64EEF5E1">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14:paraId="7388661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14:paraId="11208E80">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31845FA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14:paraId="0C20A77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3950A5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14:paraId="57F1FD05">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6B6D2B35">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14:paraId="60692A9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327CA65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14:paraId="49FA4ED5">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2CEA59E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14:paraId="22D2F3C1">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                                           投标人名称(电子签名)：</w:t>
      </w:r>
    </w:p>
    <w:p w14:paraId="0B3D76FF">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14:paraId="6BA3008C">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1185E45E">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3650F3AB">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42293111">
      <w:pPr>
        <w:rPr>
          <w:rFonts w:hint="eastAsia" w:ascii="仿宋" w:hAnsi="仿宋" w:eastAsia="仿宋" w:cs="仿宋"/>
          <w:b/>
          <w:spacing w:val="6"/>
          <w:sz w:val="32"/>
          <w:szCs w:val="32"/>
          <w:highlight w:val="none"/>
        </w:rPr>
      </w:pPr>
    </w:p>
    <w:p w14:paraId="486B5BD2">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281AB406">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附件7：</w:t>
      </w:r>
      <w:r>
        <w:rPr>
          <w:rFonts w:hint="eastAsia" w:ascii="仿宋" w:hAnsi="仿宋" w:eastAsia="仿宋" w:cs="仿宋"/>
          <w:b/>
          <w:sz w:val="32"/>
          <w:szCs w:val="32"/>
          <w:highlight w:val="none"/>
        </w:rPr>
        <w:t>中小企业声明函</w:t>
      </w:r>
    </w:p>
    <w:p w14:paraId="71B90069">
      <w:pPr>
        <w:spacing w:line="360" w:lineRule="auto"/>
        <w:jc w:val="center"/>
        <w:rPr>
          <w:rFonts w:hint="eastAsia" w:ascii="仿宋" w:hAnsi="仿宋" w:eastAsia="仿宋" w:cs="仿宋"/>
          <w:sz w:val="24"/>
          <w:highlight w:val="none"/>
          <w:u w:val="single"/>
        </w:rPr>
      </w:pPr>
    </w:p>
    <w:p w14:paraId="089D36ED">
      <w:pPr>
        <w:rPr>
          <w:rFonts w:hint="eastAsia" w:ascii="仿宋" w:hAnsi="仿宋" w:eastAsia="仿宋" w:cs="仿宋"/>
          <w:bCs/>
          <w:sz w:val="24"/>
          <w:highlight w:val="none"/>
        </w:rPr>
      </w:pPr>
      <w:r>
        <w:rPr>
          <w:rFonts w:hint="eastAsia" w:ascii="仿宋" w:hAnsi="仿宋" w:eastAsia="仿宋" w:cs="仿宋"/>
          <w:bCs/>
          <w:sz w:val="24"/>
          <w:highlight w:val="none"/>
        </w:rPr>
        <w:t>（资格文件部分有示范格式）</w:t>
      </w:r>
    </w:p>
    <w:p w14:paraId="11F2FC52">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14:paraId="14A48F46">
      <w:pPr>
        <w:spacing w:line="360" w:lineRule="auto"/>
        <w:rPr>
          <w:rFonts w:hint="eastAsia" w:ascii="仿宋" w:hAnsi="仿宋" w:eastAsia="仿宋" w:cs="仿宋"/>
          <w:highlight w:val="none"/>
        </w:rPr>
      </w:pPr>
    </w:p>
    <w:p w14:paraId="4E9BD218">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rPr>
        <w:t xml:space="preserve">的 </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采购活动，服务全部由符合政策要求的中小企业承接。相关企业（含联合体中的中小企业、签订分包意向协议的中小企业）的具体情况如下：</w:t>
      </w:r>
    </w:p>
    <w:p w14:paraId="678B0539">
      <w:pPr>
        <w:numPr>
          <w:ilvl w:val="0"/>
          <w:numId w:val="14"/>
        </w:num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（标的）</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 xml:space="preserve">    （行业）</w:t>
      </w:r>
      <w:r>
        <w:rPr>
          <w:rFonts w:hint="eastAsia" w:ascii="仿宋" w:hAnsi="仿宋" w:eastAsia="仿宋" w:cs="仿宋"/>
          <w:sz w:val="24"/>
          <w:highlight w:val="none"/>
        </w:rPr>
        <w:t xml:space="preserve"> ；承接企业为 </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（填写中型企业、或者小型企业、或者微型企业的一种） </w:t>
      </w:r>
    </w:p>
    <w:p w14:paraId="1C32C54D">
      <w:pPr>
        <w:numPr>
          <w:ilvl w:val="0"/>
          <w:numId w:val="14"/>
        </w:num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u w:val="single"/>
        </w:rPr>
        <w:t xml:space="preserve">           （标的）</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 xml:space="preserve">    （行业）</w:t>
      </w:r>
      <w:r>
        <w:rPr>
          <w:rFonts w:hint="eastAsia" w:ascii="仿宋" w:hAnsi="仿宋" w:eastAsia="仿宋" w:cs="仿宋"/>
          <w:sz w:val="24"/>
          <w:highlight w:val="none"/>
        </w:rPr>
        <w:t xml:space="preserve"> ；承接企业为 </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（填写中型企业、或者小型企业、或者微型企业的一种） </w:t>
      </w:r>
    </w:p>
    <w:p w14:paraId="3954E962">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14:paraId="1711F72F">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783C97C8">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2991AA22">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14:paraId="5A7D4FF0">
      <w:pPr>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14:paraId="20B8AD58">
      <w:pPr>
        <w:spacing w:line="360" w:lineRule="auto"/>
        <w:ind w:firstLine="310" w:firstLineChars="147"/>
        <w:jc w:val="left"/>
        <w:rPr>
          <w:rFonts w:hint="eastAsia" w:ascii="仿宋" w:hAnsi="仿宋" w:eastAsia="仿宋" w:cs="仿宋"/>
          <w:b/>
          <w:szCs w:val="21"/>
          <w:highlight w:val="none"/>
        </w:rPr>
      </w:pPr>
    </w:p>
    <w:p w14:paraId="3CA2D01D">
      <w:pPr>
        <w:spacing w:line="360" w:lineRule="auto"/>
        <w:ind w:right="420"/>
        <w:rPr>
          <w:rFonts w:hint="eastAsia" w:ascii="仿宋" w:hAnsi="仿宋" w:eastAsia="仿宋" w:cs="仿宋"/>
          <w:sz w:val="24"/>
          <w:highlight w:val="none"/>
        </w:rPr>
      </w:pPr>
    </w:p>
    <w:p w14:paraId="3232CF6E">
      <w:pPr>
        <w:spacing w:line="360" w:lineRule="auto"/>
        <w:ind w:right="420"/>
        <w:rPr>
          <w:rFonts w:hint="eastAsia" w:ascii="仿宋" w:hAnsi="仿宋" w:eastAsia="仿宋" w:cs="仿宋"/>
          <w:highlight w:val="none"/>
        </w:rPr>
      </w:pPr>
      <w:r>
        <w:rPr>
          <w:rFonts w:hint="eastAsia" w:ascii="仿宋" w:hAnsi="仿宋" w:eastAsia="仿宋" w:cs="仿宋"/>
          <w:sz w:val="24"/>
          <w:highlight w:val="none"/>
        </w:rPr>
        <w:t xml:space="preserve">   注：</w:t>
      </w:r>
      <w:r>
        <w:rPr>
          <w:rFonts w:hint="eastAsia" w:ascii="仿宋" w:hAnsi="仿宋" w:eastAsia="仿宋" w:cs="仿宋"/>
          <w:sz w:val="24"/>
          <w:highlight w:val="none"/>
          <w:lang w:eastAsia="zh-CN"/>
        </w:rPr>
        <w:t>①</w:t>
      </w:r>
      <w:r>
        <w:rPr>
          <w:rFonts w:hint="eastAsia" w:ascii="仿宋" w:hAnsi="仿宋" w:eastAsia="仿宋" w:cs="仿宋"/>
          <w:sz w:val="24"/>
          <w:highlight w:val="none"/>
        </w:rPr>
        <w:t>从业人员、营业收入、资产总额填报上一年度数据，无上一年度数据的新成立企业可不填报</w:t>
      </w:r>
      <w:r>
        <w:rPr>
          <w:rFonts w:hint="eastAsia" w:ascii="仿宋" w:hAnsi="仿宋" w:eastAsia="仿宋" w:cs="仿宋"/>
          <w:sz w:val="24"/>
          <w:highlight w:val="none"/>
          <w:lang w:eastAsia="zh-CN"/>
        </w:rPr>
        <w:t>。②</w:t>
      </w:r>
      <w:r>
        <w:rPr>
          <w:rFonts w:hint="eastAsia" w:ascii="仿宋" w:hAnsi="仿宋" w:eastAsia="仿宋" w:cs="仿宋"/>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4C5BF4DC">
      <w:pPr>
        <w:spacing w:line="360" w:lineRule="auto"/>
        <w:ind w:right="420"/>
        <w:rPr>
          <w:rFonts w:hint="eastAsia" w:ascii="仿宋" w:hAnsi="仿宋" w:eastAsia="仿宋" w:cs="仿宋"/>
          <w:highlight w:val="none"/>
        </w:rPr>
      </w:pPr>
    </w:p>
    <w:p w14:paraId="6D26B91E">
      <w:pPr>
        <w:pStyle w:val="187"/>
        <w:widowControl w:val="0"/>
        <w:adjustRightInd w:val="0"/>
        <w:snapToGrid w:val="0"/>
        <w:spacing w:line="360" w:lineRule="auto"/>
        <w:jc w:val="both"/>
        <w:rPr>
          <w:rFonts w:hint="eastAsia" w:ascii="仿宋" w:hAnsi="仿宋" w:eastAsia="仿宋" w:cs="仿宋"/>
          <w:b/>
          <w:sz w:val="30"/>
          <w:szCs w:val="30"/>
          <w:highlight w:val="none"/>
        </w:rPr>
        <w:sectPr>
          <w:headerReference r:id="rId13" w:type="default"/>
          <w:footerReference r:id="rId14" w:type="default"/>
          <w:pgSz w:w="11906" w:h="16838"/>
          <w:pgMar w:top="1247" w:right="1588" w:bottom="1089" w:left="1588" w:header="851" w:footer="992" w:gutter="0"/>
          <w:cols w:space="720" w:num="1"/>
          <w:docGrid w:linePitch="312" w:charSpace="0"/>
        </w:sectPr>
      </w:pPr>
    </w:p>
    <w:p w14:paraId="1206A234">
      <w:pPr>
        <w:autoSpaceDE w:val="0"/>
        <w:autoSpaceDN w:val="0"/>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其他</w:t>
      </w:r>
    </w:p>
    <w:p w14:paraId="2B8DDD6E">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关于钱塘区政府采购支持中小企业信用融资相关事项通知</w:t>
      </w:r>
    </w:p>
    <w:p w14:paraId="11D276D5">
      <w:pPr>
        <w:spacing w:line="360" w:lineRule="auto"/>
        <w:jc w:val="center"/>
        <w:rPr>
          <w:rFonts w:hint="eastAsia" w:ascii="仿宋" w:hAnsi="仿宋" w:eastAsia="仿宋" w:cs="仿宋"/>
          <w:b/>
          <w:sz w:val="10"/>
          <w:szCs w:val="10"/>
          <w:highlight w:val="none"/>
        </w:rPr>
      </w:pPr>
    </w:p>
    <w:p w14:paraId="75282379">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14:paraId="3FDF65AA">
      <w:pPr>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一、适用对象</w:t>
      </w:r>
    </w:p>
    <w:p w14:paraId="41728512">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在浙江“政采云”平台注册入库，并取得钱塘区政府采购合同的中小企业供应商。</w:t>
      </w:r>
    </w:p>
    <w:p w14:paraId="48F74AFB">
      <w:pPr>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二、相关信息获取方式</w:t>
      </w:r>
    </w:p>
    <w:p w14:paraId="5B8DB4B4">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请登陆杭州钱塘区管理委员会官网（http://qt.hangzhou.gov.cn） “公告公示”专栏，查看信用融资政策文件及各相关银行服务方案。</w:t>
      </w:r>
    </w:p>
    <w:p w14:paraId="1BD971E2">
      <w:pPr>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三、申请方式和步骤</w:t>
      </w:r>
    </w:p>
    <w:p w14:paraId="3B421B69">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1、供应商若有融资意向，需先与钱塘区财政金融局合作的银行对接，办理相关融资前期手续；</w:t>
      </w:r>
    </w:p>
    <w:p w14:paraId="23ABD273">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2、中标后，供应商应与采购单位或者采购代理机构及时联系，告知融资需求；</w:t>
      </w:r>
    </w:p>
    <w:p w14:paraId="7120C052">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3、相关合作银行联系并审核供应商及相关中标信息，办理相关融资事宜；</w:t>
      </w:r>
    </w:p>
    <w:p w14:paraId="0D5926FE">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4、采购单位或者采购代理机构在政府采购信息系统录入中标合同信息时，须标注合同为信用融资合同，并选择相应的信用融资合作银行，录入账号信息；</w:t>
      </w:r>
    </w:p>
    <w:p w14:paraId="0075476C">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5、采购人应及时将信用融资合同提交财政金融局备案。</w:t>
      </w:r>
    </w:p>
    <w:p w14:paraId="077F5973">
      <w:pPr>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四、注意事项</w:t>
      </w:r>
    </w:p>
    <w:p w14:paraId="1E588C38">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请各采购单位和采购代理机构积极支持和配合政府采购信用融资工作，在合同备案环节务必请仔细核对收款银行、账号信息等内容，一旦录入将无法修改。</w:t>
      </w:r>
    </w:p>
    <w:p w14:paraId="630AE15C">
      <w:pPr>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五、合作银行及联系方式</w:t>
      </w:r>
    </w:p>
    <w:tbl>
      <w:tblPr>
        <w:tblStyle w:val="45"/>
        <w:tblW w:w="8740" w:type="dxa"/>
        <w:tblInd w:w="95" w:type="dxa"/>
        <w:tblLayout w:type="fixed"/>
        <w:tblCellMar>
          <w:top w:w="0" w:type="dxa"/>
          <w:left w:w="108" w:type="dxa"/>
          <w:bottom w:w="0" w:type="dxa"/>
          <w:right w:w="108" w:type="dxa"/>
        </w:tblCellMar>
      </w:tblPr>
      <w:tblGrid>
        <w:gridCol w:w="1080"/>
        <w:gridCol w:w="3020"/>
        <w:gridCol w:w="1420"/>
        <w:gridCol w:w="3220"/>
      </w:tblGrid>
      <w:tr w14:paraId="05C56C33">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4F9D154D">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00FDDD42">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0200F776">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140A4B94">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电话</w:t>
            </w:r>
          </w:p>
        </w:tc>
      </w:tr>
      <w:tr w14:paraId="50ACCD5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0AB2066">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1</w:t>
            </w:r>
          </w:p>
        </w:tc>
        <w:tc>
          <w:tcPr>
            <w:tcW w:w="3020" w:type="dxa"/>
            <w:tcBorders>
              <w:top w:val="nil"/>
              <w:left w:val="nil"/>
              <w:bottom w:val="single" w:color="auto" w:sz="4" w:space="0"/>
              <w:right w:val="single" w:color="auto" w:sz="4" w:space="0"/>
            </w:tcBorders>
            <w:noWrap/>
            <w:vAlign w:val="center"/>
          </w:tcPr>
          <w:p w14:paraId="297379E8">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建行开发区支行</w:t>
            </w:r>
          </w:p>
        </w:tc>
        <w:tc>
          <w:tcPr>
            <w:tcW w:w="1420" w:type="dxa"/>
            <w:tcBorders>
              <w:top w:val="nil"/>
              <w:left w:val="nil"/>
              <w:bottom w:val="single" w:color="auto" w:sz="4" w:space="0"/>
              <w:right w:val="single" w:color="auto" w:sz="4" w:space="0"/>
            </w:tcBorders>
            <w:noWrap/>
            <w:vAlign w:val="center"/>
          </w:tcPr>
          <w:p w14:paraId="389EB50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罗兴、王强</w:t>
            </w:r>
          </w:p>
        </w:tc>
        <w:tc>
          <w:tcPr>
            <w:tcW w:w="3220" w:type="dxa"/>
            <w:tcBorders>
              <w:top w:val="nil"/>
              <w:left w:val="nil"/>
              <w:bottom w:val="single" w:color="auto" w:sz="4" w:space="0"/>
              <w:right w:val="single" w:color="auto" w:sz="4" w:space="0"/>
            </w:tcBorders>
            <w:noWrap/>
            <w:vAlign w:val="center"/>
          </w:tcPr>
          <w:p w14:paraId="3261E35A">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86910319，13588718187</w:t>
            </w:r>
          </w:p>
        </w:tc>
      </w:tr>
      <w:tr w14:paraId="447441C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B8165AD">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2</w:t>
            </w:r>
          </w:p>
        </w:tc>
        <w:tc>
          <w:tcPr>
            <w:tcW w:w="3020" w:type="dxa"/>
            <w:tcBorders>
              <w:top w:val="nil"/>
              <w:left w:val="nil"/>
              <w:bottom w:val="single" w:color="auto" w:sz="4" w:space="0"/>
              <w:right w:val="single" w:color="auto" w:sz="4" w:space="0"/>
            </w:tcBorders>
            <w:noWrap/>
            <w:vAlign w:val="center"/>
          </w:tcPr>
          <w:p w14:paraId="18DA8E3B">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中信银行开发支行</w:t>
            </w:r>
          </w:p>
        </w:tc>
        <w:tc>
          <w:tcPr>
            <w:tcW w:w="1420" w:type="dxa"/>
            <w:tcBorders>
              <w:top w:val="nil"/>
              <w:left w:val="nil"/>
              <w:bottom w:val="single" w:color="auto" w:sz="4" w:space="0"/>
              <w:right w:val="single" w:color="auto" w:sz="4" w:space="0"/>
            </w:tcBorders>
            <w:noWrap/>
            <w:vAlign w:val="center"/>
          </w:tcPr>
          <w:p w14:paraId="319EA49D">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左劼</w:t>
            </w:r>
          </w:p>
        </w:tc>
        <w:tc>
          <w:tcPr>
            <w:tcW w:w="3220" w:type="dxa"/>
            <w:tcBorders>
              <w:top w:val="nil"/>
              <w:left w:val="nil"/>
              <w:bottom w:val="single" w:color="auto" w:sz="4" w:space="0"/>
              <w:right w:val="single" w:color="auto" w:sz="4" w:space="0"/>
            </w:tcBorders>
            <w:noWrap/>
            <w:vAlign w:val="center"/>
          </w:tcPr>
          <w:p w14:paraId="3377AD10">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13777889798</w:t>
            </w:r>
          </w:p>
        </w:tc>
      </w:tr>
      <w:tr w14:paraId="45272B1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9BA8EFF">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3</w:t>
            </w:r>
          </w:p>
        </w:tc>
        <w:tc>
          <w:tcPr>
            <w:tcW w:w="3020" w:type="dxa"/>
            <w:tcBorders>
              <w:top w:val="nil"/>
              <w:left w:val="nil"/>
              <w:bottom w:val="single" w:color="auto" w:sz="4" w:space="0"/>
              <w:right w:val="single" w:color="auto" w:sz="4" w:space="0"/>
            </w:tcBorders>
            <w:noWrap/>
            <w:vAlign w:val="center"/>
          </w:tcPr>
          <w:p w14:paraId="51BA976B">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民生银行下沙支行</w:t>
            </w:r>
          </w:p>
        </w:tc>
        <w:tc>
          <w:tcPr>
            <w:tcW w:w="1420" w:type="dxa"/>
            <w:tcBorders>
              <w:top w:val="nil"/>
              <w:left w:val="nil"/>
              <w:bottom w:val="single" w:color="auto" w:sz="4" w:space="0"/>
              <w:right w:val="single" w:color="auto" w:sz="4" w:space="0"/>
            </w:tcBorders>
            <w:noWrap/>
            <w:vAlign w:val="center"/>
          </w:tcPr>
          <w:p w14:paraId="1326A480">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吕刚</w:t>
            </w:r>
          </w:p>
        </w:tc>
        <w:tc>
          <w:tcPr>
            <w:tcW w:w="3220" w:type="dxa"/>
            <w:tcBorders>
              <w:top w:val="nil"/>
              <w:left w:val="nil"/>
              <w:bottom w:val="single" w:color="auto" w:sz="4" w:space="0"/>
              <w:right w:val="single" w:color="auto" w:sz="4" w:space="0"/>
            </w:tcBorders>
            <w:noWrap/>
            <w:vAlign w:val="center"/>
          </w:tcPr>
          <w:p w14:paraId="499BCA8F">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13906811832</w:t>
            </w:r>
          </w:p>
        </w:tc>
      </w:tr>
      <w:tr w14:paraId="1761FF9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12714700">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4</w:t>
            </w:r>
          </w:p>
        </w:tc>
        <w:tc>
          <w:tcPr>
            <w:tcW w:w="3020" w:type="dxa"/>
            <w:tcBorders>
              <w:top w:val="nil"/>
              <w:left w:val="nil"/>
              <w:bottom w:val="single" w:color="auto" w:sz="4" w:space="0"/>
              <w:right w:val="single" w:color="auto" w:sz="4" w:space="0"/>
            </w:tcBorders>
            <w:noWrap/>
            <w:vAlign w:val="center"/>
          </w:tcPr>
          <w:p w14:paraId="61D36CFC">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杭州银行下沙开发区支行</w:t>
            </w:r>
          </w:p>
        </w:tc>
        <w:tc>
          <w:tcPr>
            <w:tcW w:w="1420" w:type="dxa"/>
            <w:tcBorders>
              <w:top w:val="nil"/>
              <w:left w:val="nil"/>
              <w:bottom w:val="single" w:color="auto" w:sz="4" w:space="0"/>
              <w:right w:val="single" w:color="auto" w:sz="4" w:space="0"/>
            </w:tcBorders>
            <w:noWrap/>
            <w:vAlign w:val="center"/>
          </w:tcPr>
          <w:p w14:paraId="3E7DCD1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费莎</w:t>
            </w:r>
          </w:p>
        </w:tc>
        <w:tc>
          <w:tcPr>
            <w:tcW w:w="3220" w:type="dxa"/>
            <w:tcBorders>
              <w:top w:val="nil"/>
              <w:left w:val="nil"/>
              <w:bottom w:val="single" w:color="auto" w:sz="4" w:space="0"/>
              <w:right w:val="single" w:color="auto" w:sz="4" w:space="0"/>
            </w:tcBorders>
            <w:noWrap/>
            <w:vAlign w:val="center"/>
          </w:tcPr>
          <w:p w14:paraId="73C604B8">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13388617781</w:t>
            </w:r>
          </w:p>
        </w:tc>
      </w:tr>
      <w:tr w14:paraId="188B317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138F8850">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5</w:t>
            </w:r>
          </w:p>
        </w:tc>
        <w:tc>
          <w:tcPr>
            <w:tcW w:w="3020" w:type="dxa"/>
            <w:tcBorders>
              <w:top w:val="nil"/>
              <w:left w:val="nil"/>
              <w:bottom w:val="single" w:color="auto" w:sz="4" w:space="0"/>
              <w:right w:val="single" w:color="auto" w:sz="4" w:space="0"/>
            </w:tcBorders>
            <w:noWrap/>
            <w:vAlign w:val="center"/>
          </w:tcPr>
          <w:p w14:paraId="113AEF0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兴业银行开发区支行</w:t>
            </w:r>
          </w:p>
        </w:tc>
        <w:tc>
          <w:tcPr>
            <w:tcW w:w="1420" w:type="dxa"/>
            <w:tcBorders>
              <w:top w:val="nil"/>
              <w:left w:val="nil"/>
              <w:bottom w:val="single" w:color="auto" w:sz="4" w:space="0"/>
              <w:right w:val="single" w:color="auto" w:sz="4" w:space="0"/>
            </w:tcBorders>
            <w:noWrap/>
            <w:vAlign w:val="center"/>
          </w:tcPr>
          <w:p w14:paraId="543AFC7C">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丁萍</w:t>
            </w:r>
          </w:p>
        </w:tc>
        <w:tc>
          <w:tcPr>
            <w:tcW w:w="3220" w:type="dxa"/>
            <w:tcBorders>
              <w:top w:val="nil"/>
              <w:left w:val="nil"/>
              <w:bottom w:val="single" w:color="auto" w:sz="4" w:space="0"/>
              <w:right w:val="single" w:color="auto" w:sz="4" w:space="0"/>
            </w:tcBorders>
            <w:noWrap/>
            <w:vAlign w:val="center"/>
          </w:tcPr>
          <w:p w14:paraId="130D5E6F">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13777421564</w:t>
            </w:r>
          </w:p>
        </w:tc>
      </w:tr>
      <w:tr w14:paraId="562D481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31E2C22">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6</w:t>
            </w:r>
          </w:p>
        </w:tc>
        <w:tc>
          <w:tcPr>
            <w:tcW w:w="3020" w:type="dxa"/>
            <w:tcBorders>
              <w:top w:val="nil"/>
              <w:left w:val="nil"/>
              <w:bottom w:val="single" w:color="auto" w:sz="4" w:space="0"/>
              <w:right w:val="single" w:color="auto" w:sz="4" w:space="0"/>
            </w:tcBorders>
            <w:noWrap/>
            <w:vAlign w:val="center"/>
          </w:tcPr>
          <w:p w14:paraId="53C6637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中国银行钱塘支行</w:t>
            </w:r>
          </w:p>
        </w:tc>
        <w:tc>
          <w:tcPr>
            <w:tcW w:w="1420" w:type="dxa"/>
            <w:tcBorders>
              <w:top w:val="nil"/>
              <w:left w:val="nil"/>
              <w:bottom w:val="single" w:color="auto" w:sz="4" w:space="0"/>
              <w:right w:val="single" w:color="auto" w:sz="4" w:space="0"/>
            </w:tcBorders>
            <w:noWrap/>
            <w:vAlign w:val="center"/>
          </w:tcPr>
          <w:p w14:paraId="71374F6B">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高飞</w:t>
            </w:r>
          </w:p>
        </w:tc>
        <w:tc>
          <w:tcPr>
            <w:tcW w:w="3220" w:type="dxa"/>
            <w:tcBorders>
              <w:top w:val="nil"/>
              <w:left w:val="nil"/>
              <w:bottom w:val="single" w:color="auto" w:sz="4" w:space="0"/>
              <w:right w:val="single" w:color="auto" w:sz="4" w:space="0"/>
            </w:tcBorders>
            <w:noWrap/>
            <w:vAlign w:val="center"/>
          </w:tcPr>
          <w:p w14:paraId="45727C77">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86722499</w:t>
            </w:r>
          </w:p>
        </w:tc>
      </w:tr>
      <w:tr w14:paraId="45E1CC7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26A40C1B">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7</w:t>
            </w:r>
          </w:p>
        </w:tc>
        <w:tc>
          <w:tcPr>
            <w:tcW w:w="3020" w:type="dxa"/>
            <w:tcBorders>
              <w:top w:val="nil"/>
              <w:left w:val="nil"/>
              <w:bottom w:val="single" w:color="auto" w:sz="4" w:space="0"/>
              <w:right w:val="single" w:color="auto" w:sz="4" w:space="0"/>
            </w:tcBorders>
            <w:noWrap/>
            <w:vAlign w:val="center"/>
          </w:tcPr>
          <w:p w14:paraId="685CE285">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工行开发区支行</w:t>
            </w:r>
          </w:p>
        </w:tc>
        <w:tc>
          <w:tcPr>
            <w:tcW w:w="1420" w:type="dxa"/>
            <w:tcBorders>
              <w:top w:val="nil"/>
              <w:left w:val="nil"/>
              <w:bottom w:val="single" w:color="auto" w:sz="4" w:space="0"/>
              <w:right w:val="single" w:color="auto" w:sz="4" w:space="0"/>
            </w:tcBorders>
            <w:noWrap/>
            <w:vAlign w:val="center"/>
          </w:tcPr>
          <w:p w14:paraId="0D49F578">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吴建恩</w:t>
            </w:r>
          </w:p>
        </w:tc>
        <w:tc>
          <w:tcPr>
            <w:tcW w:w="3220" w:type="dxa"/>
            <w:tcBorders>
              <w:top w:val="nil"/>
              <w:left w:val="nil"/>
              <w:bottom w:val="single" w:color="auto" w:sz="4" w:space="0"/>
              <w:right w:val="single" w:color="auto" w:sz="4" w:space="0"/>
            </w:tcBorders>
            <w:noWrap/>
            <w:vAlign w:val="center"/>
          </w:tcPr>
          <w:p w14:paraId="1C80BBAD">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13646861493</w:t>
            </w:r>
          </w:p>
        </w:tc>
      </w:tr>
      <w:tr w14:paraId="1CABF872">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296156D4">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8</w:t>
            </w:r>
          </w:p>
        </w:tc>
        <w:tc>
          <w:tcPr>
            <w:tcW w:w="3020" w:type="dxa"/>
            <w:tcBorders>
              <w:top w:val="nil"/>
              <w:left w:val="nil"/>
              <w:bottom w:val="single" w:color="auto" w:sz="4" w:space="0"/>
              <w:right w:val="single" w:color="auto" w:sz="4" w:space="0"/>
            </w:tcBorders>
            <w:noWrap/>
            <w:vAlign w:val="center"/>
          </w:tcPr>
          <w:p w14:paraId="076A25B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宁波银行开发区支行</w:t>
            </w:r>
          </w:p>
        </w:tc>
        <w:tc>
          <w:tcPr>
            <w:tcW w:w="1420" w:type="dxa"/>
            <w:tcBorders>
              <w:top w:val="nil"/>
              <w:left w:val="nil"/>
              <w:bottom w:val="single" w:color="auto" w:sz="4" w:space="0"/>
              <w:right w:val="single" w:color="auto" w:sz="4" w:space="0"/>
            </w:tcBorders>
            <w:noWrap/>
            <w:vAlign w:val="center"/>
          </w:tcPr>
          <w:p w14:paraId="6FB46878">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贾磊</w:t>
            </w:r>
          </w:p>
        </w:tc>
        <w:tc>
          <w:tcPr>
            <w:tcW w:w="3220" w:type="dxa"/>
            <w:tcBorders>
              <w:top w:val="nil"/>
              <w:left w:val="nil"/>
              <w:bottom w:val="single" w:color="auto" w:sz="4" w:space="0"/>
              <w:right w:val="single" w:color="auto" w:sz="4" w:space="0"/>
            </w:tcBorders>
            <w:noWrap/>
            <w:vAlign w:val="center"/>
          </w:tcPr>
          <w:p w14:paraId="7A3D5645">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13575745232</w:t>
            </w:r>
          </w:p>
        </w:tc>
      </w:tr>
      <w:tr w14:paraId="6C1DAAD2">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2EDF3AD2">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9</w:t>
            </w:r>
          </w:p>
        </w:tc>
        <w:tc>
          <w:tcPr>
            <w:tcW w:w="3020" w:type="dxa"/>
            <w:tcBorders>
              <w:top w:val="nil"/>
              <w:left w:val="nil"/>
              <w:bottom w:val="single" w:color="auto" w:sz="4" w:space="0"/>
              <w:right w:val="single" w:color="auto" w:sz="4" w:space="0"/>
            </w:tcBorders>
            <w:noWrap/>
            <w:vAlign w:val="center"/>
          </w:tcPr>
          <w:p w14:paraId="125A88C1">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6138B5D4">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王宁</w:t>
            </w:r>
          </w:p>
        </w:tc>
        <w:tc>
          <w:tcPr>
            <w:tcW w:w="3220" w:type="dxa"/>
            <w:tcBorders>
              <w:top w:val="nil"/>
              <w:left w:val="nil"/>
              <w:bottom w:val="single" w:color="auto" w:sz="4" w:space="0"/>
              <w:right w:val="single" w:color="auto" w:sz="4" w:space="0"/>
            </w:tcBorders>
            <w:noWrap/>
            <w:vAlign w:val="center"/>
          </w:tcPr>
          <w:p w14:paraId="4E068E20">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18906520030</w:t>
            </w:r>
          </w:p>
        </w:tc>
      </w:tr>
      <w:tr w14:paraId="37D83518">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4BB63C6F">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10</w:t>
            </w:r>
          </w:p>
        </w:tc>
        <w:tc>
          <w:tcPr>
            <w:tcW w:w="3020" w:type="dxa"/>
            <w:tcBorders>
              <w:top w:val="nil"/>
              <w:left w:val="nil"/>
              <w:bottom w:val="single" w:color="auto" w:sz="4" w:space="0"/>
              <w:right w:val="single" w:color="auto" w:sz="4" w:space="0"/>
            </w:tcBorders>
            <w:noWrap/>
            <w:vAlign w:val="center"/>
          </w:tcPr>
          <w:p w14:paraId="44BA20B4">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农业银行杭州下沙支行</w:t>
            </w:r>
          </w:p>
        </w:tc>
        <w:tc>
          <w:tcPr>
            <w:tcW w:w="1420" w:type="dxa"/>
            <w:tcBorders>
              <w:top w:val="nil"/>
              <w:left w:val="nil"/>
              <w:bottom w:val="single" w:color="auto" w:sz="4" w:space="0"/>
              <w:right w:val="single" w:color="auto" w:sz="4" w:space="0"/>
            </w:tcBorders>
            <w:noWrap/>
            <w:vAlign w:val="center"/>
          </w:tcPr>
          <w:p w14:paraId="0FB946C3">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施伟东</w:t>
            </w:r>
          </w:p>
        </w:tc>
        <w:tc>
          <w:tcPr>
            <w:tcW w:w="3220" w:type="dxa"/>
            <w:tcBorders>
              <w:top w:val="nil"/>
              <w:left w:val="nil"/>
              <w:bottom w:val="single" w:color="auto" w:sz="4" w:space="0"/>
              <w:right w:val="single" w:color="auto" w:sz="4" w:space="0"/>
            </w:tcBorders>
            <w:noWrap/>
            <w:vAlign w:val="center"/>
          </w:tcPr>
          <w:p w14:paraId="0E7542E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86912948,15988106601</w:t>
            </w:r>
          </w:p>
        </w:tc>
      </w:tr>
      <w:tr w14:paraId="3D01C09D">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0E0CC0EA">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11</w:t>
            </w:r>
          </w:p>
        </w:tc>
        <w:tc>
          <w:tcPr>
            <w:tcW w:w="3020" w:type="dxa"/>
            <w:tcBorders>
              <w:top w:val="nil"/>
              <w:left w:val="nil"/>
              <w:bottom w:val="single" w:color="auto" w:sz="4" w:space="0"/>
              <w:right w:val="single" w:color="auto" w:sz="4" w:space="0"/>
            </w:tcBorders>
            <w:noWrap/>
            <w:vAlign w:val="center"/>
          </w:tcPr>
          <w:p w14:paraId="21CFCBCF">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建行杭州大江东支行</w:t>
            </w:r>
          </w:p>
        </w:tc>
        <w:tc>
          <w:tcPr>
            <w:tcW w:w="1420" w:type="dxa"/>
            <w:tcBorders>
              <w:top w:val="nil"/>
              <w:left w:val="nil"/>
              <w:bottom w:val="single" w:color="auto" w:sz="4" w:space="0"/>
              <w:right w:val="single" w:color="auto" w:sz="4" w:space="0"/>
            </w:tcBorders>
            <w:noWrap/>
            <w:vAlign w:val="center"/>
          </w:tcPr>
          <w:p w14:paraId="3CE2D6CB">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朱丽丹</w:t>
            </w:r>
          </w:p>
        </w:tc>
        <w:tc>
          <w:tcPr>
            <w:tcW w:w="3220" w:type="dxa"/>
            <w:tcBorders>
              <w:top w:val="nil"/>
              <w:left w:val="nil"/>
              <w:bottom w:val="single" w:color="auto" w:sz="4" w:space="0"/>
              <w:right w:val="single" w:color="auto" w:sz="4" w:space="0"/>
            </w:tcBorders>
            <w:noWrap/>
            <w:vAlign w:val="center"/>
          </w:tcPr>
          <w:p w14:paraId="72AF4391">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13732249271</w:t>
            </w:r>
          </w:p>
        </w:tc>
      </w:tr>
      <w:tr w14:paraId="4269DF3C">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1F6CC77E">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12</w:t>
            </w:r>
          </w:p>
        </w:tc>
        <w:tc>
          <w:tcPr>
            <w:tcW w:w="3020" w:type="dxa"/>
            <w:tcBorders>
              <w:top w:val="nil"/>
              <w:left w:val="nil"/>
              <w:bottom w:val="single" w:color="auto" w:sz="4" w:space="0"/>
              <w:right w:val="single" w:color="auto" w:sz="4" w:space="0"/>
            </w:tcBorders>
            <w:noWrap/>
            <w:vAlign w:val="center"/>
          </w:tcPr>
          <w:p w14:paraId="1E529150">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农业银行临江支行</w:t>
            </w:r>
          </w:p>
        </w:tc>
        <w:tc>
          <w:tcPr>
            <w:tcW w:w="1420" w:type="dxa"/>
            <w:tcBorders>
              <w:top w:val="nil"/>
              <w:left w:val="nil"/>
              <w:bottom w:val="single" w:color="auto" w:sz="4" w:space="0"/>
              <w:right w:val="single" w:color="auto" w:sz="4" w:space="0"/>
            </w:tcBorders>
            <w:noWrap/>
            <w:vAlign w:val="center"/>
          </w:tcPr>
          <w:p w14:paraId="568425B3">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张学民</w:t>
            </w:r>
          </w:p>
        </w:tc>
        <w:tc>
          <w:tcPr>
            <w:tcW w:w="3220" w:type="dxa"/>
            <w:tcBorders>
              <w:top w:val="nil"/>
              <w:left w:val="nil"/>
              <w:bottom w:val="single" w:color="auto" w:sz="4" w:space="0"/>
              <w:right w:val="single" w:color="auto" w:sz="4" w:space="0"/>
            </w:tcBorders>
            <w:noWrap/>
            <w:vAlign w:val="center"/>
          </w:tcPr>
          <w:p w14:paraId="0AF15D0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82198699，13867197838</w:t>
            </w:r>
          </w:p>
        </w:tc>
      </w:tr>
    </w:tbl>
    <w:p w14:paraId="1CB4104C">
      <w:pPr>
        <w:pStyle w:val="187"/>
        <w:widowControl w:val="0"/>
        <w:adjustRightInd w:val="0"/>
        <w:snapToGrid w:val="0"/>
        <w:spacing w:line="360" w:lineRule="auto"/>
        <w:jc w:val="both"/>
        <w:rPr>
          <w:rFonts w:hint="eastAsia" w:ascii="仿宋" w:hAnsi="仿宋" w:eastAsia="仿宋" w:cs="仿宋"/>
          <w:b/>
          <w:sz w:val="30"/>
          <w:szCs w:val="30"/>
          <w:highlight w:val="none"/>
        </w:rPr>
        <w:sectPr>
          <w:pgSz w:w="11906" w:h="16838"/>
          <w:pgMar w:top="1247" w:right="1588" w:bottom="1089" w:left="1588" w:header="851" w:footer="992" w:gutter="0"/>
          <w:cols w:space="720" w:num="1"/>
          <w:docGrid w:linePitch="312" w:charSpace="0"/>
        </w:sectPr>
      </w:pPr>
    </w:p>
    <w:p w14:paraId="2BA43524">
      <w:pPr>
        <w:pStyle w:val="187"/>
        <w:widowControl w:val="0"/>
        <w:snapToGrid w:val="0"/>
        <w:spacing w:line="500" w:lineRule="exact"/>
        <w:rPr>
          <w:rFonts w:hint="eastAsia" w:ascii="仿宋" w:hAnsi="仿宋" w:eastAsia="仿宋" w:cs="仿宋"/>
          <w:b/>
          <w:i w:val="0"/>
          <w:iCs w:val="0"/>
          <w:sz w:val="28"/>
          <w:szCs w:val="28"/>
          <w:highlight w:val="none"/>
        </w:rPr>
      </w:pPr>
      <w:r>
        <w:rPr>
          <w:rFonts w:hint="eastAsia" w:ascii="仿宋" w:hAnsi="仿宋" w:eastAsia="仿宋" w:cs="仿宋"/>
          <w:i w:val="0"/>
          <w:iCs w:val="0"/>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907A8C6">
      <w:pPr>
        <w:pStyle w:val="187"/>
        <w:widowControl w:val="0"/>
        <w:snapToGrid w:val="0"/>
        <w:spacing w:line="500" w:lineRule="exact"/>
        <w:jc w:val="center"/>
        <w:rPr>
          <w:rFonts w:hint="eastAsia" w:ascii="仿宋" w:hAnsi="仿宋" w:eastAsia="仿宋" w:cs="仿宋"/>
          <w:b/>
          <w:i w:val="0"/>
          <w:iCs w:val="0"/>
          <w:sz w:val="28"/>
          <w:szCs w:val="28"/>
          <w:highlight w:val="none"/>
        </w:rPr>
      </w:pPr>
      <w:r>
        <w:rPr>
          <w:rFonts w:hint="eastAsia" w:ascii="仿宋" w:hAnsi="仿宋" w:eastAsia="仿宋" w:cs="仿宋"/>
          <w:b/>
          <w:i w:val="0"/>
          <w:iCs w:val="0"/>
          <w:sz w:val="28"/>
          <w:szCs w:val="28"/>
          <w:highlight w:val="none"/>
        </w:rPr>
        <w:t>中小企业划型标准规定</w:t>
      </w:r>
    </w:p>
    <w:p w14:paraId="6C296414">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p>
    <w:p w14:paraId="70D5331A">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一、根据《中华人民共和国中小企业促进法》和《</w:t>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HYPERLINK "https://www.shui5.cn/article/47/26142.html" </w:instrText>
      </w:r>
      <w:r>
        <w:rPr>
          <w:rFonts w:hint="eastAsia" w:ascii="仿宋" w:hAnsi="仿宋" w:eastAsia="仿宋" w:cs="仿宋"/>
          <w:i w:val="0"/>
          <w:iCs w:val="0"/>
          <w:highlight w:val="none"/>
        </w:rPr>
        <w:fldChar w:fldCharType="separate"/>
      </w:r>
      <w:r>
        <w:rPr>
          <w:rFonts w:hint="eastAsia" w:ascii="仿宋" w:hAnsi="仿宋" w:eastAsia="仿宋" w:cs="仿宋"/>
          <w:i w:val="0"/>
          <w:iCs w:val="0"/>
          <w:spacing w:val="6"/>
          <w:szCs w:val="21"/>
          <w:highlight w:val="none"/>
        </w:rPr>
        <w:t>国务院关于进一步促进中小企业发展的若干意见</w:t>
      </w:r>
      <w:r>
        <w:rPr>
          <w:rFonts w:hint="eastAsia" w:ascii="仿宋" w:hAnsi="仿宋" w:eastAsia="仿宋" w:cs="仿宋"/>
          <w:i w:val="0"/>
          <w:iCs w:val="0"/>
          <w:spacing w:val="6"/>
          <w:szCs w:val="21"/>
          <w:highlight w:val="none"/>
        </w:rPr>
        <w:fldChar w:fldCharType="end"/>
      </w:r>
      <w:r>
        <w:rPr>
          <w:rFonts w:hint="eastAsia" w:ascii="仿宋" w:hAnsi="仿宋" w:eastAsia="仿宋" w:cs="仿宋"/>
          <w:i w:val="0"/>
          <w:iCs w:val="0"/>
          <w:spacing w:val="6"/>
          <w:szCs w:val="21"/>
          <w:highlight w:val="none"/>
        </w:rPr>
        <w:t>》（</w:t>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HYPERLINK "https://www.shui5.cn/article/47/26142.html" </w:instrText>
      </w:r>
      <w:r>
        <w:rPr>
          <w:rFonts w:hint="eastAsia" w:ascii="仿宋" w:hAnsi="仿宋" w:eastAsia="仿宋" w:cs="仿宋"/>
          <w:i w:val="0"/>
          <w:iCs w:val="0"/>
          <w:highlight w:val="none"/>
        </w:rPr>
        <w:fldChar w:fldCharType="separate"/>
      </w:r>
      <w:r>
        <w:rPr>
          <w:rFonts w:hint="eastAsia" w:ascii="仿宋" w:hAnsi="仿宋" w:eastAsia="仿宋" w:cs="仿宋"/>
          <w:i w:val="0"/>
          <w:iCs w:val="0"/>
          <w:spacing w:val="6"/>
          <w:szCs w:val="21"/>
          <w:highlight w:val="none"/>
        </w:rPr>
        <w:t>国发〔2009〕36号</w:t>
      </w:r>
      <w:r>
        <w:rPr>
          <w:rFonts w:hint="eastAsia" w:ascii="仿宋" w:hAnsi="仿宋" w:eastAsia="仿宋" w:cs="仿宋"/>
          <w:i w:val="0"/>
          <w:iCs w:val="0"/>
          <w:spacing w:val="6"/>
          <w:szCs w:val="21"/>
          <w:highlight w:val="none"/>
        </w:rPr>
        <w:fldChar w:fldCharType="end"/>
      </w:r>
      <w:r>
        <w:rPr>
          <w:rFonts w:hint="eastAsia" w:ascii="仿宋" w:hAnsi="仿宋" w:eastAsia="仿宋" w:cs="仿宋"/>
          <w:i w:val="0"/>
          <w:iCs w:val="0"/>
          <w:spacing w:val="6"/>
          <w:szCs w:val="21"/>
          <w:highlight w:val="none"/>
        </w:rPr>
        <w:t>)，制定本规定。</w:t>
      </w:r>
    </w:p>
    <w:p w14:paraId="79AF16B5">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二、中小企业划分为中型、小型、微型三种类型，具体标准根据企业从业人员、营业收入、资产总额等指标，结合行业特点制定。</w:t>
      </w:r>
    </w:p>
    <w:p w14:paraId="4921A888">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5D58F20">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四、各行业划型标准为：</w:t>
      </w:r>
    </w:p>
    <w:p w14:paraId="110E0600">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1285C406">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54C094C">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551974">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A26B62A">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51B5114">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AEE6B8">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04A060">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A7EAB57">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3AE9667">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8FD57F">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B03192B">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EFDC358">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EF47E7">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CBFC487">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81A02F7">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95D9CF5">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五、企业类型的划分以统计部门的统计数据为依据。</w:t>
      </w:r>
    </w:p>
    <w:p w14:paraId="333AAD8C">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六、本规定适用于在中华人民共和国境内依法设立的各类所有制和各种组织形式的企业。个体工商户和本规定以外的行业，参照本规定进行划型。</w:t>
      </w:r>
    </w:p>
    <w:p w14:paraId="62E0ECE3">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0EA0417">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八、本规定由工业和信息化部、国家统计局会同有关部门根据《国民经济行业分类》修订情况和企业发展变化情况适时修订。</w:t>
      </w:r>
    </w:p>
    <w:p w14:paraId="5D5DE9B4">
      <w:pPr>
        <w:pStyle w:val="187"/>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九、本规定由工业和信息化部、国家统计局会同有关部门负责解释。</w:t>
      </w:r>
    </w:p>
    <w:p w14:paraId="5FD260BD">
      <w:pPr>
        <w:pStyle w:val="187"/>
        <w:widowControl w:val="0"/>
        <w:adjustRightInd w:val="0"/>
        <w:snapToGrid w:val="0"/>
        <w:spacing w:line="360" w:lineRule="auto"/>
        <w:ind w:firstLine="444" w:firstLineChars="200"/>
        <w:jc w:val="both"/>
        <w:rPr>
          <w:rFonts w:hint="eastAsia" w:ascii="仿宋" w:hAnsi="仿宋" w:eastAsia="仿宋" w:cs="仿宋"/>
          <w:highlight w:val="none"/>
        </w:rPr>
      </w:pPr>
      <w:r>
        <w:rPr>
          <w:rFonts w:hint="eastAsia" w:ascii="仿宋" w:hAnsi="仿宋" w:eastAsia="仿宋" w:cs="仿宋"/>
          <w:i w:val="0"/>
          <w:iCs w:val="0"/>
          <w:spacing w:val="6"/>
          <w:szCs w:val="21"/>
          <w:highlight w:val="none"/>
        </w:rPr>
        <w:t>十、本规定自发布之日起执行，原国家经贸委、原国家计委、财政部和国家统计局2003年颁布的《</w:t>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HYPERLINK "https://www.shui5.cn/article/df/24263.html" </w:instrText>
      </w:r>
      <w:r>
        <w:rPr>
          <w:rFonts w:hint="eastAsia" w:ascii="仿宋" w:hAnsi="仿宋" w:eastAsia="仿宋" w:cs="仿宋"/>
          <w:i w:val="0"/>
          <w:iCs w:val="0"/>
          <w:highlight w:val="none"/>
        </w:rPr>
        <w:fldChar w:fldCharType="separate"/>
      </w:r>
      <w:r>
        <w:rPr>
          <w:rFonts w:hint="eastAsia" w:ascii="仿宋" w:hAnsi="仿宋" w:eastAsia="仿宋" w:cs="仿宋"/>
          <w:i w:val="0"/>
          <w:iCs w:val="0"/>
          <w:spacing w:val="6"/>
          <w:szCs w:val="21"/>
          <w:highlight w:val="none"/>
        </w:rPr>
        <w:t>中小企业标准暂行规定</w:t>
      </w:r>
      <w:r>
        <w:rPr>
          <w:rFonts w:hint="eastAsia" w:ascii="仿宋" w:hAnsi="仿宋" w:eastAsia="仿宋" w:cs="仿宋"/>
          <w:i w:val="0"/>
          <w:iCs w:val="0"/>
          <w:spacing w:val="6"/>
          <w:szCs w:val="21"/>
          <w:highlight w:val="none"/>
        </w:rPr>
        <w:fldChar w:fldCharType="end"/>
      </w:r>
      <w:r>
        <w:rPr>
          <w:rFonts w:hint="eastAsia" w:ascii="仿宋" w:hAnsi="仿宋" w:eastAsia="仿宋" w:cs="仿宋"/>
          <w:i w:val="0"/>
          <w:iCs w:val="0"/>
          <w:spacing w:val="6"/>
          <w:szCs w:val="21"/>
          <w:highlight w:val="none"/>
        </w:rPr>
        <w:t>》</w:t>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HYPERLINK "https://www.shui5.cn/article/df/24263.html" </w:instrText>
      </w:r>
      <w:r>
        <w:rPr>
          <w:rFonts w:hint="eastAsia" w:ascii="仿宋" w:hAnsi="仿宋" w:eastAsia="仿宋" w:cs="仿宋"/>
          <w:i w:val="0"/>
          <w:iCs w:val="0"/>
          <w:highlight w:val="none"/>
        </w:rPr>
        <w:fldChar w:fldCharType="separate"/>
      </w:r>
      <w:r>
        <w:rPr>
          <w:rFonts w:hint="eastAsia" w:ascii="仿宋" w:hAnsi="仿宋" w:eastAsia="仿宋" w:cs="仿宋"/>
          <w:i w:val="0"/>
          <w:iCs w:val="0"/>
          <w:spacing w:val="6"/>
          <w:szCs w:val="21"/>
          <w:highlight w:val="none"/>
        </w:rPr>
        <w:t>国经贸中小企〔2003〕143号</w:t>
      </w:r>
      <w:r>
        <w:rPr>
          <w:rFonts w:hint="eastAsia" w:ascii="仿宋" w:hAnsi="仿宋" w:eastAsia="仿宋" w:cs="仿宋"/>
          <w:i w:val="0"/>
          <w:iCs w:val="0"/>
          <w:spacing w:val="6"/>
          <w:szCs w:val="21"/>
          <w:highlight w:val="none"/>
        </w:rPr>
        <w:fldChar w:fldCharType="end"/>
      </w:r>
      <w:r>
        <w:rPr>
          <w:rFonts w:hint="eastAsia" w:ascii="仿宋" w:hAnsi="仿宋" w:eastAsia="仿宋" w:cs="仿宋"/>
          <w:i w:val="0"/>
          <w:iCs w:val="0"/>
          <w:spacing w:val="6"/>
          <w:szCs w:val="21"/>
          <w:highlight w:val="none"/>
        </w:rPr>
        <w:t>同时废止。</w:t>
      </w:r>
    </w:p>
    <w:sectPr>
      <w:pgSz w:w="11906" w:h="16838"/>
      <w:pgMar w:top="1247" w:right="1588" w:bottom="1089"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华文楷体">
    <w:altName w:val="宋体"/>
    <w:panose1 w:val="02010600040101010101"/>
    <w:charset w:val="86"/>
    <w:family w:val="auto"/>
    <w:pitch w:val="default"/>
    <w:sig w:usb0="00000000" w:usb1="00000000" w:usb2="00000000" w:usb3="00000000" w:csb0="0004009F" w:csb1="DFD7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DokChampa">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MicrosoftYaHei">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18416">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58B4B89">
                          <w:pPr>
                            <w:pStyle w:val="29"/>
                            <w:rPr>
                              <w:rFonts w:eastAsia="宋体"/>
                            </w:rP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PLkK7vQAQAApQMAAA4AAAAAAAAAAQAgAAAAIgEA&#10;AGRycy9lMm9Eb2MueG1sUEsFBgAAAAAGAAYAWQEAAGQFAAAAAA==&#10;">
              <v:fill on="f" focussize="0,0"/>
              <v:stroke on="f" weight="1.25pt"/>
              <v:imagedata o:title=""/>
              <o:lock v:ext="edit" aspectratio="f"/>
              <v:textbox inset="0mm,0mm,0mm,0mm" style="mso-fit-shape-to-text:t;">
                <w:txbxContent>
                  <w:p w14:paraId="358B4B89">
                    <w:pPr>
                      <w:pStyle w:val="29"/>
                      <w:rPr>
                        <w:rFonts w:eastAsia="宋体"/>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DAF92">
    <w:pPr>
      <w:pStyle w:val="29"/>
      <w:tabs>
        <w:tab w:val="left" w:pos="900"/>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6E2CDD5">
                          <w:pPr>
                            <w:pStyle w:val="29"/>
                            <w:rPr>
                              <w:rFonts w:eastAsia="宋体"/>
                            </w:rPr>
                          </w:pPr>
                          <w:r>
                            <w:fldChar w:fldCharType="begin"/>
                          </w:r>
                          <w:r>
                            <w:instrText xml:space="preserve"> PAGE  \* MERGEFORMAT </w:instrText>
                          </w:r>
                          <w:r>
                            <w:fldChar w:fldCharType="separate"/>
                          </w:r>
                          <w:r>
                            <w:t>38</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lGAj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yyT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glGAjQAQAApQMAAA4AAAAAAAAAAQAgAAAAIgEA&#10;AGRycy9lMm9Eb2MueG1sUEsFBgAAAAAGAAYAWQEAAGQFAAAAAA==&#10;">
              <v:fill on="f" focussize="0,0"/>
              <v:stroke on="f" weight="1.25pt"/>
              <v:imagedata o:title=""/>
              <o:lock v:ext="edit" aspectratio="f"/>
              <v:textbox inset="0mm,0mm,0mm,0mm" style="mso-fit-shape-to-text:t;">
                <w:txbxContent>
                  <w:p w14:paraId="06E2CDD5">
                    <w:pPr>
                      <w:pStyle w:val="29"/>
                      <w:rPr>
                        <w:rFonts w:eastAsia="宋体"/>
                      </w:rPr>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31A48">
    <w:pPr>
      <w:pStyle w:val="2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122340">
                          <w:pPr>
                            <w:pStyle w:val="29"/>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47122340">
                    <w:pPr>
                      <w:pStyle w:val="2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1C263">
    <w:pPr>
      <w:pStyle w:val="2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493ED1">
                          <w:pPr>
                            <w:pStyle w:val="29"/>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35493ED1">
                    <w:pPr>
                      <w:pStyle w:val="2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EAC55">
    <w:pPr>
      <w:pStyle w:val="2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5635B55">
                          <w:pPr>
                            <w:pStyle w:val="29"/>
                            <w:rPr>
                              <w:rFonts w:eastAsia="宋体"/>
                            </w:rPr>
                          </w:pPr>
                          <w:r>
                            <w:fldChar w:fldCharType="begin"/>
                          </w:r>
                          <w:r>
                            <w:instrText xml:space="preserve"> PAGE  \* MERGEFORMAT </w:instrText>
                          </w:r>
                          <w:r>
                            <w:fldChar w:fldCharType="separate"/>
                          </w:r>
                          <w:r>
                            <w:t>68</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yjzRAQAApQMAAA4AAABkcnMvZTJvRG9jLnhtbK1TS27bMBDd&#10;F8gdCO5jKQ6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3lJimcGBn358P/38&#10;ffr1jVwn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gso80QEAAKUDAAAOAAAAAAAAAAEAIAAAACIB&#10;AABkcnMvZTJvRG9jLnhtbFBLBQYAAAAABgAGAFkBAABlBQAAAAA=&#10;">
              <v:fill on="f" focussize="0,0"/>
              <v:stroke on="f" weight="1.25pt"/>
              <v:imagedata o:title=""/>
              <o:lock v:ext="edit" aspectratio="f"/>
              <v:textbox inset="0mm,0mm,0mm,0mm" style="mso-fit-shape-to-text:t;">
                <w:txbxContent>
                  <w:p w14:paraId="65635B55">
                    <w:pPr>
                      <w:pStyle w:val="29"/>
                      <w:rPr>
                        <w:rFonts w:eastAsia="宋体"/>
                      </w:rPr>
                    </w:pPr>
                    <w:r>
                      <w:fldChar w:fldCharType="begin"/>
                    </w:r>
                    <w:r>
                      <w:instrText xml:space="preserve"> PAGE  \* MERGEFORMAT </w:instrText>
                    </w:r>
                    <w:r>
                      <w:fldChar w:fldCharType="separate"/>
                    </w:r>
                    <w:r>
                      <w:t>68</w:t>
                    </w:r>
                    <w:r>
                      <w:fldChar w:fldCharType="end"/>
                    </w:r>
                  </w:p>
                </w:txbxContent>
              </v:textbox>
            </v:shape>
          </w:pict>
        </mc:Fallback>
      </mc:AlternateContent>
    </w:r>
  </w:p>
  <w:p w14:paraId="1D4B3C2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04DD8">
    <w:pPr>
      <w:pStyle w:val="2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66B8358">
                          <w:pPr>
                            <w:pStyle w:val="29"/>
                            <w:rPr>
                              <w:rFonts w:eastAsia="宋体"/>
                            </w:rPr>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UWwW90QEAAKUDAAAOAAAAAAAAAAEAIAAAACIB&#10;AABkcnMvZTJvRG9jLnhtbFBLBQYAAAAABgAGAFkBAABlBQAAAAA=&#10;">
              <v:fill on="f" focussize="0,0"/>
              <v:stroke on="f" weight="1.25pt"/>
              <v:imagedata o:title=""/>
              <o:lock v:ext="edit" aspectratio="f"/>
              <v:textbox inset="0mm,0mm,0mm,0mm" style="mso-fit-shape-to-text:t;">
                <w:txbxContent>
                  <w:p w14:paraId="466B8358">
                    <w:pPr>
                      <w:pStyle w:val="29"/>
                      <w:rPr>
                        <w:rFonts w:eastAsia="宋体"/>
                      </w:rPr>
                    </w:pPr>
                    <w:r>
                      <w:fldChar w:fldCharType="begin"/>
                    </w:r>
                    <w:r>
                      <w:instrText xml:space="preserve"> PAGE  \* MERGEFORMAT </w:instrText>
                    </w:r>
                    <w:r>
                      <w:fldChar w:fldCharType="separate"/>
                    </w:r>
                    <w:r>
                      <w:t>70</w:t>
                    </w:r>
                    <w:r>
                      <w:fldChar w:fldCharType="end"/>
                    </w:r>
                  </w:p>
                </w:txbxContent>
              </v:textbox>
            </v:shape>
          </w:pict>
        </mc:Fallback>
      </mc:AlternateContent>
    </w:r>
  </w:p>
  <w:p w14:paraId="060180B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A56AF">
    <w:pPr>
      <w:pStyle w:val="29"/>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634B535">
                          <w:pPr>
                            <w:pStyle w:val="29"/>
                            <w:rPr>
                              <w:rFonts w:eastAsia="宋体"/>
                            </w:rPr>
                          </w:pPr>
                          <w:r>
                            <w:fldChar w:fldCharType="begin"/>
                          </w:r>
                          <w:r>
                            <w:instrText xml:space="preserve"> PAGE  \* MERGEFORMAT </w:instrText>
                          </w:r>
                          <w:r>
                            <w:fldChar w:fldCharType="separate"/>
                          </w:r>
                          <w:r>
                            <w:t>88</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H3IH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bFbZnDg518/z7//&#10;nv/8IKskT++hxqx7j3lx+OgGXJr5HvAysR5kMOmLfAjGUdzTRVwxRMJTUbWsqhJDHGOzg/jFY7kP&#10;EO+EMyQZDQ04vSwqO36GOKbOKek1626V1nmC2pIeUVfV+1WuuIQQXduULPIyTDiJ09h7suKwGyai&#10;O9eekGePC9FQi/tPif5kUe+0O7MRZmM3GQkf/IdDxIZynwl1hEJ+ycHpZabTpqX1eOrnrMe/a/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EoH3IHQAQAApQMAAA4AAAAAAAAAAQAgAAAAIgEA&#10;AGRycy9lMm9Eb2MueG1sUEsFBgAAAAAGAAYAWQEAAGQFAAAAAA==&#10;">
              <v:fill on="f" focussize="0,0"/>
              <v:stroke on="f" weight="1.25pt"/>
              <v:imagedata o:title=""/>
              <o:lock v:ext="edit" aspectratio="f"/>
              <v:textbox inset="0mm,0mm,0mm,0mm" style="mso-fit-shape-to-text:t;">
                <w:txbxContent>
                  <w:p w14:paraId="0634B535">
                    <w:pPr>
                      <w:pStyle w:val="29"/>
                      <w:rPr>
                        <w:rFonts w:eastAsia="宋体"/>
                      </w:rPr>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FABCC">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C6C12">
    <w:pPr>
      <w:pStyle w:val="31"/>
      <w:pBdr>
        <w:bottom w:val="none" w:color="auto" w:sz="0" w:space="1"/>
      </w:pBdr>
    </w:pPr>
  </w:p>
  <w:p w14:paraId="1126AF3C">
    <w:pPr>
      <w:pStyle w:val="42"/>
      <w:tabs>
        <w:tab w:val="center" w:pos="4535"/>
        <w:tab w:val="right" w:pos="9070"/>
        <w:tab w:val="clear" w:pos="1200"/>
      </w:tabs>
      <w:spacing w:after="480"/>
      <w:ind w:left="1441" w:leftChars="686" w:firstLine="300" w:firstLineChars="1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3B3C6">
    <w:pPr>
      <w:pStyle w:val="31"/>
      <w:pBdr>
        <w:bottom w:val="none" w:color="auto" w:sz="0" w:space="1"/>
      </w:pBdr>
      <w:jc w:val="right"/>
      <w:rPr>
        <w:rFonts w:ascii="仿宋_GB2312" w:eastAsia="仿宋_GB2312"/>
        <w:b/>
        <w:i/>
        <w:u w:val="single"/>
      </w:rPr>
    </w:pPr>
  </w:p>
  <w:p w14:paraId="5DA13F5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82430">
    <w:pPr>
      <w:pStyle w:val="31"/>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81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965BD"/>
    <w:multiLevelType w:val="singleLevel"/>
    <w:tmpl w:val="8EF965BD"/>
    <w:lvl w:ilvl="0" w:tentative="0">
      <w:start w:val="2"/>
      <w:numFmt w:val="decimal"/>
      <w:suff w:val="nothing"/>
      <w:lvlText w:val="%1、"/>
      <w:lvlJc w:val="left"/>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E922B069"/>
    <w:multiLevelType w:val="singleLevel"/>
    <w:tmpl w:val="E922B069"/>
    <w:lvl w:ilvl="0" w:tentative="0">
      <w:start w:val="1"/>
      <w:numFmt w:val="decimal"/>
      <w:suff w:val="nothing"/>
      <w:lvlText w:val="%1、"/>
      <w:lvlJc w:val="left"/>
    </w:lvl>
  </w:abstractNum>
  <w:abstractNum w:abstractNumId="5">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D6315F5"/>
    <w:multiLevelType w:val="singleLevel"/>
    <w:tmpl w:val="0D6315F5"/>
    <w:lvl w:ilvl="0" w:tentative="0">
      <w:start w:val="1"/>
      <w:numFmt w:val="decimal"/>
      <w:suff w:val="space"/>
      <w:lvlText w:val="%1."/>
      <w:lvlJc w:val="left"/>
    </w:lvl>
  </w:abstractNum>
  <w:abstractNum w:abstractNumId="8">
    <w:nsid w:val="1818B8E5"/>
    <w:multiLevelType w:val="multilevel"/>
    <w:tmpl w:val="1818B8E5"/>
    <w:lvl w:ilvl="0" w:tentative="0">
      <w:start w:val="1"/>
      <w:numFmt w:val="decimal"/>
      <w:lvlText w:val="%1."/>
      <w:lvlJc w:val="left"/>
      <w:pPr>
        <w:tabs>
          <w:tab w:val="left" w:pos="399"/>
        </w:tabs>
        <w:ind w:left="405" w:hanging="405"/>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513F8985"/>
    <w:multiLevelType w:val="singleLevel"/>
    <w:tmpl w:val="513F8985"/>
    <w:lvl w:ilvl="0" w:tentative="0">
      <w:start w:val="1"/>
      <w:numFmt w:val="decimal"/>
      <w:lvlText w:val="(%1)"/>
      <w:lvlJc w:val="left"/>
      <w:pPr>
        <w:ind w:left="425" w:hanging="425"/>
      </w:pPr>
      <w:rPr>
        <w:rFonts w:hint="default"/>
      </w:rPr>
    </w:lvl>
  </w:abstractNum>
  <w:abstractNum w:abstractNumId="11">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6BCB5E2A"/>
    <w:multiLevelType w:val="singleLevel"/>
    <w:tmpl w:val="6BCB5E2A"/>
    <w:lvl w:ilvl="0" w:tentative="0">
      <w:start w:val="1"/>
      <w:numFmt w:val="decimal"/>
      <w:suff w:val="space"/>
      <w:lvlText w:val="%1."/>
      <w:lvlJc w:val="left"/>
    </w:lvl>
  </w:abstractNum>
  <w:abstractNum w:abstractNumId="13">
    <w:nsid w:val="73744E20"/>
    <w:multiLevelType w:val="singleLevel"/>
    <w:tmpl w:val="73744E20"/>
    <w:lvl w:ilvl="0" w:tentative="0">
      <w:start w:val="3"/>
      <w:numFmt w:val="chineseCounting"/>
      <w:suff w:val="nothing"/>
      <w:lvlText w:val="%1、"/>
      <w:lvlJc w:val="left"/>
      <w:rPr>
        <w:rFonts w:hint="eastAsia"/>
      </w:rPr>
    </w:lvl>
  </w:abstractNum>
  <w:num w:numId="1">
    <w:abstractNumId w:val="2"/>
  </w:num>
  <w:num w:numId="2">
    <w:abstractNumId w:val="3"/>
  </w:num>
  <w:num w:numId="3">
    <w:abstractNumId w:val="9"/>
  </w:num>
  <w:num w:numId="4">
    <w:abstractNumId w:val="13"/>
  </w:num>
  <w:num w:numId="5">
    <w:abstractNumId w:val="1"/>
  </w:num>
  <w:num w:numId="6">
    <w:abstractNumId w:val="8"/>
  </w:num>
  <w:num w:numId="7">
    <w:abstractNumId w:val="11"/>
  </w:num>
  <w:num w:numId="8">
    <w:abstractNumId w:val="5"/>
  </w:num>
  <w:num w:numId="9">
    <w:abstractNumId w:val="6"/>
  </w:num>
  <w:num w:numId="10">
    <w:abstractNumId w:val="0"/>
  </w:num>
  <w:num w:numId="11">
    <w:abstractNumId w:val="4"/>
  </w:num>
  <w:num w:numId="12">
    <w:abstractNumId w:val="1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OWM1MDNlOTdlNjE2NzE3Nzg0MzFhNjBhYjJkYzcifQ=="/>
    <w:docVar w:name="KSO_WPS_MARK_KEY" w:val="15fc9457-032d-4820-a755-71fbbbcd9d9f"/>
  </w:docVars>
  <w:rsids>
    <w:rsidRoot w:val="00172A27"/>
    <w:rsid w:val="00000693"/>
    <w:rsid w:val="00000CB0"/>
    <w:rsid w:val="00001E56"/>
    <w:rsid w:val="0000396E"/>
    <w:rsid w:val="000041FD"/>
    <w:rsid w:val="00004478"/>
    <w:rsid w:val="00006FBB"/>
    <w:rsid w:val="00011AE8"/>
    <w:rsid w:val="000128E2"/>
    <w:rsid w:val="000151EB"/>
    <w:rsid w:val="00015A40"/>
    <w:rsid w:val="000173D9"/>
    <w:rsid w:val="00020EBC"/>
    <w:rsid w:val="00023C95"/>
    <w:rsid w:val="00024054"/>
    <w:rsid w:val="00026AFD"/>
    <w:rsid w:val="00033168"/>
    <w:rsid w:val="00033EE6"/>
    <w:rsid w:val="000364DE"/>
    <w:rsid w:val="00036535"/>
    <w:rsid w:val="000371E8"/>
    <w:rsid w:val="000445EB"/>
    <w:rsid w:val="00044C38"/>
    <w:rsid w:val="00045960"/>
    <w:rsid w:val="00046A23"/>
    <w:rsid w:val="00050BD9"/>
    <w:rsid w:val="00053E49"/>
    <w:rsid w:val="00054AB6"/>
    <w:rsid w:val="0005711D"/>
    <w:rsid w:val="00062E5D"/>
    <w:rsid w:val="00063A1A"/>
    <w:rsid w:val="00063C10"/>
    <w:rsid w:val="00065EDE"/>
    <w:rsid w:val="0006711B"/>
    <w:rsid w:val="0006742A"/>
    <w:rsid w:val="00067A80"/>
    <w:rsid w:val="00067D63"/>
    <w:rsid w:val="000740E5"/>
    <w:rsid w:val="000744B7"/>
    <w:rsid w:val="00074D21"/>
    <w:rsid w:val="0007753E"/>
    <w:rsid w:val="000776B6"/>
    <w:rsid w:val="00080EDD"/>
    <w:rsid w:val="0008108E"/>
    <w:rsid w:val="00082EC3"/>
    <w:rsid w:val="00084499"/>
    <w:rsid w:val="00086D73"/>
    <w:rsid w:val="000913A4"/>
    <w:rsid w:val="00091E58"/>
    <w:rsid w:val="00093619"/>
    <w:rsid w:val="000960A4"/>
    <w:rsid w:val="000961B6"/>
    <w:rsid w:val="00096A49"/>
    <w:rsid w:val="000A26A0"/>
    <w:rsid w:val="000A7899"/>
    <w:rsid w:val="000B0696"/>
    <w:rsid w:val="000B5D16"/>
    <w:rsid w:val="000B7C98"/>
    <w:rsid w:val="000C24E2"/>
    <w:rsid w:val="000C296B"/>
    <w:rsid w:val="000C2F65"/>
    <w:rsid w:val="000C314E"/>
    <w:rsid w:val="000C7C36"/>
    <w:rsid w:val="000D021A"/>
    <w:rsid w:val="000D17E7"/>
    <w:rsid w:val="000D45A6"/>
    <w:rsid w:val="000D6467"/>
    <w:rsid w:val="000E5537"/>
    <w:rsid w:val="000F7411"/>
    <w:rsid w:val="00100AB6"/>
    <w:rsid w:val="0011022C"/>
    <w:rsid w:val="0011283B"/>
    <w:rsid w:val="00112CD4"/>
    <w:rsid w:val="00114CF3"/>
    <w:rsid w:val="00116F1F"/>
    <w:rsid w:val="001202AA"/>
    <w:rsid w:val="00120DB1"/>
    <w:rsid w:val="001236DA"/>
    <w:rsid w:val="001307EB"/>
    <w:rsid w:val="00132794"/>
    <w:rsid w:val="00132FF2"/>
    <w:rsid w:val="00137837"/>
    <w:rsid w:val="0014060C"/>
    <w:rsid w:val="00140949"/>
    <w:rsid w:val="0014692D"/>
    <w:rsid w:val="001474A4"/>
    <w:rsid w:val="001503C2"/>
    <w:rsid w:val="001505B8"/>
    <w:rsid w:val="0015619F"/>
    <w:rsid w:val="0015799C"/>
    <w:rsid w:val="00161128"/>
    <w:rsid w:val="00163236"/>
    <w:rsid w:val="00163F29"/>
    <w:rsid w:val="00164FC3"/>
    <w:rsid w:val="0016537A"/>
    <w:rsid w:val="001662B9"/>
    <w:rsid w:val="00167D55"/>
    <w:rsid w:val="00172A27"/>
    <w:rsid w:val="00177349"/>
    <w:rsid w:val="00196AB7"/>
    <w:rsid w:val="001A1B64"/>
    <w:rsid w:val="001A2705"/>
    <w:rsid w:val="001A2D89"/>
    <w:rsid w:val="001A3C11"/>
    <w:rsid w:val="001A42DB"/>
    <w:rsid w:val="001A74D9"/>
    <w:rsid w:val="001B3D36"/>
    <w:rsid w:val="001B666B"/>
    <w:rsid w:val="001B7A47"/>
    <w:rsid w:val="001C1815"/>
    <w:rsid w:val="001C3846"/>
    <w:rsid w:val="001C3E5B"/>
    <w:rsid w:val="001C45D1"/>
    <w:rsid w:val="001C5282"/>
    <w:rsid w:val="001D028B"/>
    <w:rsid w:val="001D0DE0"/>
    <w:rsid w:val="001D2F82"/>
    <w:rsid w:val="001E035C"/>
    <w:rsid w:val="001E07E0"/>
    <w:rsid w:val="001F08E9"/>
    <w:rsid w:val="001F136F"/>
    <w:rsid w:val="001F4AAA"/>
    <w:rsid w:val="001F5FDA"/>
    <w:rsid w:val="002011AD"/>
    <w:rsid w:val="0020144A"/>
    <w:rsid w:val="00202D63"/>
    <w:rsid w:val="00202E28"/>
    <w:rsid w:val="00203BFE"/>
    <w:rsid w:val="00205FDC"/>
    <w:rsid w:val="00207AE5"/>
    <w:rsid w:val="00212A5F"/>
    <w:rsid w:val="00213954"/>
    <w:rsid w:val="00215C15"/>
    <w:rsid w:val="002161CA"/>
    <w:rsid w:val="00216329"/>
    <w:rsid w:val="00216906"/>
    <w:rsid w:val="00222740"/>
    <w:rsid w:val="00222F7A"/>
    <w:rsid w:val="00223F62"/>
    <w:rsid w:val="002261A8"/>
    <w:rsid w:val="0022730E"/>
    <w:rsid w:val="00231B07"/>
    <w:rsid w:val="00240555"/>
    <w:rsid w:val="00240D7E"/>
    <w:rsid w:val="002433D2"/>
    <w:rsid w:val="00244BE9"/>
    <w:rsid w:val="00252D74"/>
    <w:rsid w:val="00254D31"/>
    <w:rsid w:val="00255979"/>
    <w:rsid w:val="00255D75"/>
    <w:rsid w:val="002561BF"/>
    <w:rsid w:val="00260A47"/>
    <w:rsid w:val="00261C5B"/>
    <w:rsid w:val="00270D92"/>
    <w:rsid w:val="00271A3C"/>
    <w:rsid w:val="00273D40"/>
    <w:rsid w:val="00275D45"/>
    <w:rsid w:val="00276FA1"/>
    <w:rsid w:val="0027757B"/>
    <w:rsid w:val="00280335"/>
    <w:rsid w:val="002851C3"/>
    <w:rsid w:val="002868A7"/>
    <w:rsid w:val="002925D3"/>
    <w:rsid w:val="00297F15"/>
    <w:rsid w:val="002A0A4C"/>
    <w:rsid w:val="002A1790"/>
    <w:rsid w:val="002A4342"/>
    <w:rsid w:val="002A6597"/>
    <w:rsid w:val="002B35FC"/>
    <w:rsid w:val="002B5CC9"/>
    <w:rsid w:val="002B5F03"/>
    <w:rsid w:val="002B7F8B"/>
    <w:rsid w:val="002C0D02"/>
    <w:rsid w:val="002C2B43"/>
    <w:rsid w:val="002C3E6B"/>
    <w:rsid w:val="002C413D"/>
    <w:rsid w:val="002C4630"/>
    <w:rsid w:val="002D3FEA"/>
    <w:rsid w:val="002D6BB8"/>
    <w:rsid w:val="002D780C"/>
    <w:rsid w:val="002E4523"/>
    <w:rsid w:val="002E5354"/>
    <w:rsid w:val="002E6548"/>
    <w:rsid w:val="002E7540"/>
    <w:rsid w:val="002E78C0"/>
    <w:rsid w:val="002F1BCB"/>
    <w:rsid w:val="002F27F9"/>
    <w:rsid w:val="002F5751"/>
    <w:rsid w:val="002F716B"/>
    <w:rsid w:val="0030170F"/>
    <w:rsid w:val="00301A3B"/>
    <w:rsid w:val="0030358B"/>
    <w:rsid w:val="00310A86"/>
    <w:rsid w:val="00311BFC"/>
    <w:rsid w:val="00312338"/>
    <w:rsid w:val="003167FF"/>
    <w:rsid w:val="003171A6"/>
    <w:rsid w:val="003217B8"/>
    <w:rsid w:val="003237D9"/>
    <w:rsid w:val="003309B8"/>
    <w:rsid w:val="0033361A"/>
    <w:rsid w:val="00337214"/>
    <w:rsid w:val="0033728A"/>
    <w:rsid w:val="00340FBD"/>
    <w:rsid w:val="00343EC5"/>
    <w:rsid w:val="00344E97"/>
    <w:rsid w:val="003458DD"/>
    <w:rsid w:val="00346FD6"/>
    <w:rsid w:val="003472F5"/>
    <w:rsid w:val="003510EC"/>
    <w:rsid w:val="003515A8"/>
    <w:rsid w:val="0035269E"/>
    <w:rsid w:val="003543BC"/>
    <w:rsid w:val="00355298"/>
    <w:rsid w:val="00356AB6"/>
    <w:rsid w:val="00356B73"/>
    <w:rsid w:val="003577F6"/>
    <w:rsid w:val="00361C53"/>
    <w:rsid w:val="00362447"/>
    <w:rsid w:val="00371116"/>
    <w:rsid w:val="0037302D"/>
    <w:rsid w:val="00373515"/>
    <w:rsid w:val="00373E7F"/>
    <w:rsid w:val="00375001"/>
    <w:rsid w:val="00376577"/>
    <w:rsid w:val="00377D84"/>
    <w:rsid w:val="00380738"/>
    <w:rsid w:val="00383306"/>
    <w:rsid w:val="00384482"/>
    <w:rsid w:val="003846B2"/>
    <w:rsid w:val="00385E52"/>
    <w:rsid w:val="00387970"/>
    <w:rsid w:val="00391928"/>
    <w:rsid w:val="003919E1"/>
    <w:rsid w:val="00392692"/>
    <w:rsid w:val="00395172"/>
    <w:rsid w:val="003A0651"/>
    <w:rsid w:val="003A34DC"/>
    <w:rsid w:val="003A360E"/>
    <w:rsid w:val="003A48E1"/>
    <w:rsid w:val="003A7211"/>
    <w:rsid w:val="003B0B64"/>
    <w:rsid w:val="003B3663"/>
    <w:rsid w:val="003C1FBD"/>
    <w:rsid w:val="003C2091"/>
    <w:rsid w:val="003C2474"/>
    <w:rsid w:val="003C34D8"/>
    <w:rsid w:val="003C7DB6"/>
    <w:rsid w:val="003D0F5F"/>
    <w:rsid w:val="003D4FE5"/>
    <w:rsid w:val="003D62AA"/>
    <w:rsid w:val="003E078E"/>
    <w:rsid w:val="003E1944"/>
    <w:rsid w:val="003E3B36"/>
    <w:rsid w:val="003E445D"/>
    <w:rsid w:val="003E4D6D"/>
    <w:rsid w:val="003E76A2"/>
    <w:rsid w:val="003F03B2"/>
    <w:rsid w:val="003F0C13"/>
    <w:rsid w:val="003F19B5"/>
    <w:rsid w:val="003F1CA1"/>
    <w:rsid w:val="003F298D"/>
    <w:rsid w:val="003F58B4"/>
    <w:rsid w:val="003F710E"/>
    <w:rsid w:val="00401289"/>
    <w:rsid w:val="0040513D"/>
    <w:rsid w:val="004074F3"/>
    <w:rsid w:val="00410BB9"/>
    <w:rsid w:val="004137FD"/>
    <w:rsid w:val="00413EFB"/>
    <w:rsid w:val="00416D63"/>
    <w:rsid w:val="0041740B"/>
    <w:rsid w:val="00421230"/>
    <w:rsid w:val="004241E3"/>
    <w:rsid w:val="00424FA0"/>
    <w:rsid w:val="004278F1"/>
    <w:rsid w:val="004279A4"/>
    <w:rsid w:val="0043095A"/>
    <w:rsid w:val="00431055"/>
    <w:rsid w:val="00433B4B"/>
    <w:rsid w:val="0043486C"/>
    <w:rsid w:val="00436CA8"/>
    <w:rsid w:val="00437005"/>
    <w:rsid w:val="00452379"/>
    <w:rsid w:val="004535C1"/>
    <w:rsid w:val="00455128"/>
    <w:rsid w:val="0046017A"/>
    <w:rsid w:val="0046312D"/>
    <w:rsid w:val="004652D2"/>
    <w:rsid w:val="004663CB"/>
    <w:rsid w:val="0047157C"/>
    <w:rsid w:val="00471CFD"/>
    <w:rsid w:val="00474574"/>
    <w:rsid w:val="004814E7"/>
    <w:rsid w:val="0048307C"/>
    <w:rsid w:val="004921BB"/>
    <w:rsid w:val="004943B1"/>
    <w:rsid w:val="004A1324"/>
    <w:rsid w:val="004A14C9"/>
    <w:rsid w:val="004A2A96"/>
    <w:rsid w:val="004A3F59"/>
    <w:rsid w:val="004A51F3"/>
    <w:rsid w:val="004B212A"/>
    <w:rsid w:val="004B2422"/>
    <w:rsid w:val="004C0F6C"/>
    <w:rsid w:val="004C3143"/>
    <w:rsid w:val="004C3774"/>
    <w:rsid w:val="004C4A58"/>
    <w:rsid w:val="004C636A"/>
    <w:rsid w:val="004D09F0"/>
    <w:rsid w:val="004D1FE1"/>
    <w:rsid w:val="004D4D0B"/>
    <w:rsid w:val="004E0204"/>
    <w:rsid w:val="004E0815"/>
    <w:rsid w:val="004E2CF8"/>
    <w:rsid w:val="004F010A"/>
    <w:rsid w:val="004F220B"/>
    <w:rsid w:val="004F29EC"/>
    <w:rsid w:val="004F2FE1"/>
    <w:rsid w:val="004F3A58"/>
    <w:rsid w:val="004F54AA"/>
    <w:rsid w:val="004F550E"/>
    <w:rsid w:val="004F653D"/>
    <w:rsid w:val="00500F82"/>
    <w:rsid w:val="00505E44"/>
    <w:rsid w:val="005100A3"/>
    <w:rsid w:val="00524564"/>
    <w:rsid w:val="0052516E"/>
    <w:rsid w:val="00527334"/>
    <w:rsid w:val="00527F3E"/>
    <w:rsid w:val="00542801"/>
    <w:rsid w:val="0054542F"/>
    <w:rsid w:val="005465D1"/>
    <w:rsid w:val="00550C9D"/>
    <w:rsid w:val="0055186A"/>
    <w:rsid w:val="00553E42"/>
    <w:rsid w:val="00554D43"/>
    <w:rsid w:val="00556628"/>
    <w:rsid w:val="00565B42"/>
    <w:rsid w:val="00566AEF"/>
    <w:rsid w:val="005671D0"/>
    <w:rsid w:val="00572057"/>
    <w:rsid w:val="005730A2"/>
    <w:rsid w:val="00575415"/>
    <w:rsid w:val="005777CB"/>
    <w:rsid w:val="00577D97"/>
    <w:rsid w:val="00585068"/>
    <w:rsid w:val="005873D7"/>
    <w:rsid w:val="005923FB"/>
    <w:rsid w:val="0059694F"/>
    <w:rsid w:val="005A1025"/>
    <w:rsid w:val="005A19B1"/>
    <w:rsid w:val="005A325F"/>
    <w:rsid w:val="005A4A6C"/>
    <w:rsid w:val="005A5089"/>
    <w:rsid w:val="005B5322"/>
    <w:rsid w:val="005C1A23"/>
    <w:rsid w:val="005C1AB3"/>
    <w:rsid w:val="005C57E0"/>
    <w:rsid w:val="005C5869"/>
    <w:rsid w:val="005D3123"/>
    <w:rsid w:val="005D5AA2"/>
    <w:rsid w:val="005D7F80"/>
    <w:rsid w:val="005E0958"/>
    <w:rsid w:val="005E181F"/>
    <w:rsid w:val="005E6149"/>
    <w:rsid w:val="005F4032"/>
    <w:rsid w:val="00600A3F"/>
    <w:rsid w:val="00602112"/>
    <w:rsid w:val="00602465"/>
    <w:rsid w:val="00603844"/>
    <w:rsid w:val="00612BAB"/>
    <w:rsid w:val="00612C94"/>
    <w:rsid w:val="00613CC5"/>
    <w:rsid w:val="00614865"/>
    <w:rsid w:val="00616459"/>
    <w:rsid w:val="006169F8"/>
    <w:rsid w:val="00620666"/>
    <w:rsid w:val="006237B1"/>
    <w:rsid w:val="00623EAF"/>
    <w:rsid w:val="0062725D"/>
    <w:rsid w:val="0063089E"/>
    <w:rsid w:val="00631685"/>
    <w:rsid w:val="00633363"/>
    <w:rsid w:val="00633EE9"/>
    <w:rsid w:val="006357EE"/>
    <w:rsid w:val="006358C5"/>
    <w:rsid w:val="0064230B"/>
    <w:rsid w:val="006430A0"/>
    <w:rsid w:val="0064529F"/>
    <w:rsid w:val="00646EED"/>
    <w:rsid w:val="00652C80"/>
    <w:rsid w:val="00652C89"/>
    <w:rsid w:val="006636FB"/>
    <w:rsid w:val="0066425D"/>
    <w:rsid w:val="00670568"/>
    <w:rsid w:val="00675EBC"/>
    <w:rsid w:val="00677BE4"/>
    <w:rsid w:val="006802A2"/>
    <w:rsid w:val="006907C1"/>
    <w:rsid w:val="0069218D"/>
    <w:rsid w:val="006939FC"/>
    <w:rsid w:val="006948D7"/>
    <w:rsid w:val="00697C01"/>
    <w:rsid w:val="006A1BBD"/>
    <w:rsid w:val="006A232A"/>
    <w:rsid w:val="006A31F3"/>
    <w:rsid w:val="006A5767"/>
    <w:rsid w:val="006B43BE"/>
    <w:rsid w:val="006B55CD"/>
    <w:rsid w:val="006B7043"/>
    <w:rsid w:val="006C1236"/>
    <w:rsid w:val="006C5936"/>
    <w:rsid w:val="006C6366"/>
    <w:rsid w:val="006D1682"/>
    <w:rsid w:val="006D1F6D"/>
    <w:rsid w:val="006D3A10"/>
    <w:rsid w:val="006D753A"/>
    <w:rsid w:val="006E1167"/>
    <w:rsid w:val="006E284A"/>
    <w:rsid w:val="006E2A6C"/>
    <w:rsid w:val="006E3886"/>
    <w:rsid w:val="006E4B6B"/>
    <w:rsid w:val="006F15FC"/>
    <w:rsid w:val="006F27C9"/>
    <w:rsid w:val="006F3E6E"/>
    <w:rsid w:val="006F4AC7"/>
    <w:rsid w:val="006F6A39"/>
    <w:rsid w:val="006F6D41"/>
    <w:rsid w:val="00700BC8"/>
    <w:rsid w:val="0070194D"/>
    <w:rsid w:val="007031BD"/>
    <w:rsid w:val="007060EC"/>
    <w:rsid w:val="007112C6"/>
    <w:rsid w:val="0071174F"/>
    <w:rsid w:val="00714842"/>
    <w:rsid w:val="0071519C"/>
    <w:rsid w:val="007206D2"/>
    <w:rsid w:val="00720826"/>
    <w:rsid w:val="00722C13"/>
    <w:rsid w:val="00722E58"/>
    <w:rsid w:val="007239AA"/>
    <w:rsid w:val="00723BA4"/>
    <w:rsid w:val="007347A8"/>
    <w:rsid w:val="00734FB0"/>
    <w:rsid w:val="00736912"/>
    <w:rsid w:val="007477CE"/>
    <w:rsid w:val="00750320"/>
    <w:rsid w:val="007524E0"/>
    <w:rsid w:val="00753344"/>
    <w:rsid w:val="007536BE"/>
    <w:rsid w:val="007539DE"/>
    <w:rsid w:val="00754522"/>
    <w:rsid w:val="00755513"/>
    <w:rsid w:val="007606DF"/>
    <w:rsid w:val="00760BAB"/>
    <w:rsid w:val="00764575"/>
    <w:rsid w:val="007704B1"/>
    <w:rsid w:val="007704D8"/>
    <w:rsid w:val="00772D82"/>
    <w:rsid w:val="00775D40"/>
    <w:rsid w:val="0077691E"/>
    <w:rsid w:val="00781837"/>
    <w:rsid w:val="00782352"/>
    <w:rsid w:val="007823CF"/>
    <w:rsid w:val="00785412"/>
    <w:rsid w:val="00792D0A"/>
    <w:rsid w:val="0079652A"/>
    <w:rsid w:val="007A13A6"/>
    <w:rsid w:val="007A5DE1"/>
    <w:rsid w:val="007B2FD0"/>
    <w:rsid w:val="007B3A50"/>
    <w:rsid w:val="007C552C"/>
    <w:rsid w:val="007C69C5"/>
    <w:rsid w:val="007D22C7"/>
    <w:rsid w:val="007D3403"/>
    <w:rsid w:val="007D5983"/>
    <w:rsid w:val="007D5F7A"/>
    <w:rsid w:val="007E0BF9"/>
    <w:rsid w:val="007E1963"/>
    <w:rsid w:val="007E380E"/>
    <w:rsid w:val="007E4E1F"/>
    <w:rsid w:val="007F0641"/>
    <w:rsid w:val="007F2E55"/>
    <w:rsid w:val="007F5CA2"/>
    <w:rsid w:val="0080136F"/>
    <w:rsid w:val="0080168E"/>
    <w:rsid w:val="008049C7"/>
    <w:rsid w:val="00806699"/>
    <w:rsid w:val="00807C1C"/>
    <w:rsid w:val="00811AE1"/>
    <w:rsid w:val="00813D33"/>
    <w:rsid w:val="00817233"/>
    <w:rsid w:val="00823BDB"/>
    <w:rsid w:val="008249DC"/>
    <w:rsid w:val="008249DD"/>
    <w:rsid w:val="0082579B"/>
    <w:rsid w:val="00827882"/>
    <w:rsid w:val="00831073"/>
    <w:rsid w:val="00831871"/>
    <w:rsid w:val="00831C85"/>
    <w:rsid w:val="008340DA"/>
    <w:rsid w:val="00834AEB"/>
    <w:rsid w:val="00835279"/>
    <w:rsid w:val="00843933"/>
    <w:rsid w:val="008523D4"/>
    <w:rsid w:val="008561C8"/>
    <w:rsid w:val="00863B15"/>
    <w:rsid w:val="0086431F"/>
    <w:rsid w:val="00866FE0"/>
    <w:rsid w:val="00873832"/>
    <w:rsid w:val="00882251"/>
    <w:rsid w:val="0088474D"/>
    <w:rsid w:val="00886E7D"/>
    <w:rsid w:val="00886E83"/>
    <w:rsid w:val="008877CA"/>
    <w:rsid w:val="00890235"/>
    <w:rsid w:val="008928ED"/>
    <w:rsid w:val="00893C95"/>
    <w:rsid w:val="0089426F"/>
    <w:rsid w:val="008957F8"/>
    <w:rsid w:val="00896DBE"/>
    <w:rsid w:val="00897B38"/>
    <w:rsid w:val="008A0D51"/>
    <w:rsid w:val="008A27A6"/>
    <w:rsid w:val="008A2DFE"/>
    <w:rsid w:val="008A58C0"/>
    <w:rsid w:val="008B2B43"/>
    <w:rsid w:val="008B365F"/>
    <w:rsid w:val="008B5440"/>
    <w:rsid w:val="008B6EF3"/>
    <w:rsid w:val="008C194F"/>
    <w:rsid w:val="008C3443"/>
    <w:rsid w:val="008C4537"/>
    <w:rsid w:val="008C4BC7"/>
    <w:rsid w:val="008C597D"/>
    <w:rsid w:val="008C6342"/>
    <w:rsid w:val="008C7B40"/>
    <w:rsid w:val="008D0582"/>
    <w:rsid w:val="008D38ED"/>
    <w:rsid w:val="008D3C24"/>
    <w:rsid w:val="008D43D1"/>
    <w:rsid w:val="008E1482"/>
    <w:rsid w:val="008E1AD7"/>
    <w:rsid w:val="008E2546"/>
    <w:rsid w:val="008E3E0C"/>
    <w:rsid w:val="008E637C"/>
    <w:rsid w:val="008E63ED"/>
    <w:rsid w:val="008F38D9"/>
    <w:rsid w:val="008F7D01"/>
    <w:rsid w:val="00902DA8"/>
    <w:rsid w:val="00904A11"/>
    <w:rsid w:val="009072E5"/>
    <w:rsid w:val="00910F4C"/>
    <w:rsid w:val="00917251"/>
    <w:rsid w:val="00917B9E"/>
    <w:rsid w:val="00917D8D"/>
    <w:rsid w:val="00921D9A"/>
    <w:rsid w:val="009221B0"/>
    <w:rsid w:val="00924071"/>
    <w:rsid w:val="00930024"/>
    <w:rsid w:val="00932140"/>
    <w:rsid w:val="00932BD4"/>
    <w:rsid w:val="0093363C"/>
    <w:rsid w:val="0093430C"/>
    <w:rsid w:val="00934CB3"/>
    <w:rsid w:val="009353C6"/>
    <w:rsid w:val="0093710F"/>
    <w:rsid w:val="00937E5F"/>
    <w:rsid w:val="00941770"/>
    <w:rsid w:val="009432AF"/>
    <w:rsid w:val="009506F2"/>
    <w:rsid w:val="00950B8B"/>
    <w:rsid w:val="00953BD5"/>
    <w:rsid w:val="00955C4D"/>
    <w:rsid w:val="0095633B"/>
    <w:rsid w:val="00956499"/>
    <w:rsid w:val="00957596"/>
    <w:rsid w:val="009677C0"/>
    <w:rsid w:val="00970C02"/>
    <w:rsid w:val="00971B09"/>
    <w:rsid w:val="00972F0D"/>
    <w:rsid w:val="00973D4B"/>
    <w:rsid w:val="00975676"/>
    <w:rsid w:val="00981962"/>
    <w:rsid w:val="00990003"/>
    <w:rsid w:val="00990C17"/>
    <w:rsid w:val="00991B32"/>
    <w:rsid w:val="009937E4"/>
    <w:rsid w:val="0099473A"/>
    <w:rsid w:val="00997B4B"/>
    <w:rsid w:val="009A0651"/>
    <w:rsid w:val="009A2BF5"/>
    <w:rsid w:val="009A5E7E"/>
    <w:rsid w:val="009A5F06"/>
    <w:rsid w:val="009B2A91"/>
    <w:rsid w:val="009B2C10"/>
    <w:rsid w:val="009B3BC2"/>
    <w:rsid w:val="009B589E"/>
    <w:rsid w:val="009B59D2"/>
    <w:rsid w:val="009C0591"/>
    <w:rsid w:val="009C090E"/>
    <w:rsid w:val="009C0E6D"/>
    <w:rsid w:val="009C1567"/>
    <w:rsid w:val="009C33D5"/>
    <w:rsid w:val="009C56CE"/>
    <w:rsid w:val="009C5B37"/>
    <w:rsid w:val="009C67E9"/>
    <w:rsid w:val="009C797E"/>
    <w:rsid w:val="009D0543"/>
    <w:rsid w:val="009D0DDC"/>
    <w:rsid w:val="009D1220"/>
    <w:rsid w:val="009D25EA"/>
    <w:rsid w:val="009D7429"/>
    <w:rsid w:val="009D7EFB"/>
    <w:rsid w:val="009E060E"/>
    <w:rsid w:val="009E20C5"/>
    <w:rsid w:val="009E281B"/>
    <w:rsid w:val="009E29F7"/>
    <w:rsid w:val="009E4950"/>
    <w:rsid w:val="009F206D"/>
    <w:rsid w:val="009F2627"/>
    <w:rsid w:val="009F3DCA"/>
    <w:rsid w:val="009F4908"/>
    <w:rsid w:val="009F557F"/>
    <w:rsid w:val="009F7369"/>
    <w:rsid w:val="009F78C8"/>
    <w:rsid w:val="00A00775"/>
    <w:rsid w:val="00A02ABC"/>
    <w:rsid w:val="00A03707"/>
    <w:rsid w:val="00A047AA"/>
    <w:rsid w:val="00A04A75"/>
    <w:rsid w:val="00A04F8F"/>
    <w:rsid w:val="00A10C7D"/>
    <w:rsid w:val="00A1343F"/>
    <w:rsid w:val="00A21BFB"/>
    <w:rsid w:val="00A23CA2"/>
    <w:rsid w:val="00A24A90"/>
    <w:rsid w:val="00A2501C"/>
    <w:rsid w:val="00A33282"/>
    <w:rsid w:val="00A33491"/>
    <w:rsid w:val="00A34D63"/>
    <w:rsid w:val="00A34F2B"/>
    <w:rsid w:val="00A36443"/>
    <w:rsid w:val="00A412F8"/>
    <w:rsid w:val="00A44745"/>
    <w:rsid w:val="00A50C08"/>
    <w:rsid w:val="00A57527"/>
    <w:rsid w:val="00A64A15"/>
    <w:rsid w:val="00A702A9"/>
    <w:rsid w:val="00A70D13"/>
    <w:rsid w:val="00A73497"/>
    <w:rsid w:val="00A75327"/>
    <w:rsid w:val="00A8066B"/>
    <w:rsid w:val="00A80F56"/>
    <w:rsid w:val="00A80F9F"/>
    <w:rsid w:val="00A92FFB"/>
    <w:rsid w:val="00A93FC0"/>
    <w:rsid w:val="00A94D98"/>
    <w:rsid w:val="00A94F6C"/>
    <w:rsid w:val="00A97D06"/>
    <w:rsid w:val="00AA190E"/>
    <w:rsid w:val="00AA410D"/>
    <w:rsid w:val="00AA6793"/>
    <w:rsid w:val="00AA7912"/>
    <w:rsid w:val="00AB1869"/>
    <w:rsid w:val="00AB1E3E"/>
    <w:rsid w:val="00AC0163"/>
    <w:rsid w:val="00AC0256"/>
    <w:rsid w:val="00AC2B0D"/>
    <w:rsid w:val="00AC5D27"/>
    <w:rsid w:val="00AC5E3E"/>
    <w:rsid w:val="00AD1B07"/>
    <w:rsid w:val="00AD4DAB"/>
    <w:rsid w:val="00AD5656"/>
    <w:rsid w:val="00AD77EE"/>
    <w:rsid w:val="00AE0282"/>
    <w:rsid w:val="00AE1009"/>
    <w:rsid w:val="00AE1A20"/>
    <w:rsid w:val="00AE4E6E"/>
    <w:rsid w:val="00AE5958"/>
    <w:rsid w:val="00AF341D"/>
    <w:rsid w:val="00B00363"/>
    <w:rsid w:val="00B012CD"/>
    <w:rsid w:val="00B01301"/>
    <w:rsid w:val="00B01644"/>
    <w:rsid w:val="00B04046"/>
    <w:rsid w:val="00B0444C"/>
    <w:rsid w:val="00B057FD"/>
    <w:rsid w:val="00B06D74"/>
    <w:rsid w:val="00B12E13"/>
    <w:rsid w:val="00B14E38"/>
    <w:rsid w:val="00B1695A"/>
    <w:rsid w:val="00B234C2"/>
    <w:rsid w:val="00B23F78"/>
    <w:rsid w:val="00B27DD7"/>
    <w:rsid w:val="00B330B3"/>
    <w:rsid w:val="00B345BB"/>
    <w:rsid w:val="00B35E3D"/>
    <w:rsid w:val="00B37663"/>
    <w:rsid w:val="00B46A67"/>
    <w:rsid w:val="00B46D44"/>
    <w:rsid w:val="00B5153E"/>
    <w:rsid w:val="00B51E27"/>
    <w:rsid w:val="00B53656"/>
    <w:rsid w:val="00B63DF2"/>
    <w:rsid w:val="00B65DFA"/>
    <w:rsid w:val="00B700E2"/>
    <w:rsid w:val="00B71FCC"/>
    <w:rsid w:val="00B7334B"/>
    <w:rsid w:val="00B750BD"/>
    <w:rsid w:val="00B8058F"/>
    <w:rsid w:val="00B8103A"/>
    <w:rsid w:val="00B83E0D"/>
    <w:rsid w:val="00B85CD0"/>
    <w:rsid w:val="00B878F6"/>
    <w:rsid w:val="00B92CBD"/>
    <w:rsid w:val="00B92F23"/>
    <w:rsid w:val="00B95DA7"/>
    <w:rsid w:val="00B96E56"/>
    <w:rsid w:val="00BA10CB"/>
    <w:rsid w:val="00BA1E0D"/>
    <w:rsid w:val="00BA30BC"/>
    <w:rsid w:val="00BA577A"/>
    <w:rsid w:val="00BA64EB"/>
    <w:rsid w:val="00BA78D7"/>
    <w:rsid w:val="00BB2521"/>
    <w:rsid w:val="00BB4518"/>
    <w:rsid w:val="00BB6771"/>
    <w:rsid w:val="00BC170D"/>
    <w:rsid w:val="00BC46F3"/>
    <w:rsid w:val="00BC518A"/>
    <w:rsid w:val="00BD10F2"/>
    <w:rsid w:val="00BD2331"/>
    <w:rsid w:val="00BD2D21"/>
    <w:rsid w:val="00BE4640"/>
    <w:rsid w:val="00BE4F5F"/>
    <w:rsid w:val="00BF40B3"/>
    <w:rsid w:val="00BF5027"/>
    <w:rsid w:val="00C022FB"/>
    <w:rsid w:val="00C056B3"/>
    <w:rsid w:val="00C06B0F"/>
    <w:rsid w:val="00C105E7"/>
    <w:rsid w:val="00C12F00"/>
    <w:rsid w:val="00C1372F"/>
    <w:rsid w:val="00C13CF4"/>
    <w:rsid w:val="00C146B3"/>
    <w:rsid w:val="00C14E03"/>
    <w:rsid w:val="00C15D7E"/>
    <w:rsid w:val="00C17F0A"/>
    <w:rsid w:val="00C239C7"/>
    <w:rsid w:val="00C33DC5"/>
    <w:rsid w:val="00C346E8"/>
    <w:rsid w:val="00C36642"/>
    <w:rsid w:val="00C366EA"/>
    <w:rsid w:val="00C3672B"/>
    <w:rsid w:val="00C36CB6"/>
    <w:rsid w:val="00C379B8"/>
    <w:rsid w:val="00C37ACA"/>
    <w:rsid w:val="00C40DE5"/>
    <w:rsid w:val="00C43D33"/>
    <w:rsid w:val="00C43E3F"/>
    <w:rsid w:val="00C45A11"/>
    <w:rsid w:val="00C4636D"/>
    <w:rsid w:val="00C5391A"/>
    <w:rsid w:val="00C54003"/>
    <w:rsid w:val="00C568C3"/>
    <w:rsid w:val="00C623D9"/>
    <w:rsid w:val="00C708E4"/>
    <w:rsid w:val="00C747A1"/>
    <w:rsid w:val="00C76B54"/>
    <w:rsid w:val="00C76F02"/>
    <w:rsid w:val="00C77444"/>
    <w:rsid w:val="00C80386"/>
    <w:rsid w:val="00C81CE0"/>
    <w:rsid w:val="00C83733"/>
    <w:rsid w:val="00C85117"/>
    <w:rsid w:val="00C85FC2"/>
    <w:rsid w:val="00C9094B"/>
    <w:rsid w:val="00C90DED"/>
    <w:rsid w:val="00C91CF0"/>
    <w:rsid w:val="00C95402"/>
    <w:rsid w:val="00CA4188"/>
    <w:rsid w:val="00CA4F76"/>
    <w:rsid w:val="00CA5C47"/>
    <w:rsid w:val="00CA64AB"/>
    <w:rsid w:val="00CB1099"/>
    <w:rsid w:val="00CB22AE"/>
    <w:rsid w:val="00CB5D2B"/>
    <w:rsid w:val="00CB6394"/>
    <w:rsid w:val="00CB705B"/>
    <w:rsid w:val="00CB7A0A"/>
    <w:rsid w:val="00CC089A"/>
    <w:rsid w:val="00CC09DA"/>
    <w:rsid w:val="00CC1307"/>
    <w:rsid w:val="00CC1AE6"/>
    <w:rsid w:val="00CC1D10"/>
    <w:rsid w:val="00CC6586"/>
    <w:rsid w:val="00CC7090"/>
    <w:rsid w:val="00CD00BB"/>
    <w:rsid w:val="00CD0199"/>
    <w:rsid w:val="00CD4ED5"/>
    <w:rsid w:val="00CD6124"/>
    <w:rsid w:val="00CE3A8D"/>
    <w:rsid w:val="00CE70F7"/>
    <w:rsid w:val="00CE78DD"/>
    <w:rsid w:val="00CF365B"/>
    <w:rsid w:val="00CF4CC8"/>
    <w:rsid w:val="00CF77A8"/>
    <w:rsid w:val="00D027DA"/>
    <w:rsid w:val="00D0540A"/>
    <w:rsid w:val="00D05FAF"/>
    <w:rsid w:val="00D11F79"/>
    <w:rsid w:val="00D1761F"/>
    <w:rsid w:val="00D20019"/>
    <w:rsid w:val="00D20B54"/>
    <w:rsid w:val="00D2195C"/>
    <w:rsid w:val="00D227EA"/>
    <w:rsid w:val="00D2534B"/>
    <w:rsid w:val="00D26CA6"/>
    <w:rsid w:val="00D3126C"/>
    <w:rsid w:val="00D31DA9"/>
    <w:rsid w:val="00D3350D"/>
    <w:rsid w:val="00D34B9F"/>
    <w:rsid w:val="00D35A66"/>
    <w:rsid w:val="00D35E8E"/>
    <w:rsid w:val="00D36681"/>
    <w:rsid w:val="00D42BD4"/>
    <w:rsid w:val="00D439A9"/>
    <w:rsid w:val="00D457B6"/>
    <w:rsid w:val="00D515D2"/>
    <w:rsid w:val="00D60E52"/>
    <w:rsid w:val="00D61159"/>
    <w:rsid w:val="00D61F52"/>
    <w:rsid w:val="00D62ED8"/>
    <w:rsid w:val="00D65057"/>
    <w:rsid w:val="00D70C12"/>
    <w:rsid w:val="00D71BDF"/>
    <w:rsid w:val="00D71F9C"/>
    <w:rsid w:val="00D755AB"/>
    <w:rsid w:val="00D75C8A"/>
    <w:rsid w:val="00D85686"/>
    <w:rsid w:val="00D92A03"/>
    <w:rsid w:val="00D95431"/>
    <w:rsid w:val="00D97C70"/>
    <w:rsid w:val="00DA0114"/>
    <w:rsid w:val="00DA2635"/>
    <w:rsid w:val="00DA289C"/>
    <w:rsid w:val="00DA692B"/>
    <w:rsid w:val="00DA7011"/>
    <w:rsid w:val="00DB1250"/>
    <w:rsid w:val="00DB3BE4"/>
    <w:rsid w:val="00DC2D9B"/>
    <w:rsid w:val="00DC3E7C"/>
    <w:rsid w:val="00DC518F"/>
    <w:rsid w:val="00DC7119"/>
    <w:rsid w:val="00DC71BF"/>
    <w:rsid w:val="00DD12E1"/>
    <w:rsid w:val="00DD1A81"/>
    <w:rsid w:val="00DD699C"/>
    <w:rsid w:val="00DE01F1"/>
    <w:rsid w:val="00DE7222"/>
    <w:rsid w:val="00DF070C"/>
    <w:rsid w:val="00DF2E31"/>
    <w:rsid w:val="00DF4AA0"/>
    <w:rsid w:val="00DF56AD"/>
    <w:rsid w:val="00DF5723"/>
    <w:rsid w:val="00E00A58"/>
    <w:rsid w:val="00E01F08"/>
    <w:rsid w:val="00E03397"/>
    <w:rsid w:val="00E03B78"/>
    <w:rsid w:val="00E04E07"/>
    <w:rsid w:val="00E05071"/>
    <w:rsid w:val="00E0708F"/>
    <w:rsid w:val="00E131F7"/>
    <w:rsid w:val="00E15D29"/>
    <w:rsid w:val="00E16921"/>
    <w:rsid w:val="00E169CF"/>
    <w:rsid w:val="00E16BA3"/>
    <w:rsid w:val="00E20818"/>
    <w:rsid w:val="00E23444"/>
    <w:rsid w:val="00E25909"/>
    <w:rsid w:val="00E260E6"/>
    <w:rsid w:val="00E27795"/>
    <w:rsid w:val="00E30990"/>
    <w:rsid w:val="00E309C7"/>
    <w:rsid w:val="00E32D71"/>
    <w:rsid w:val="00E3691C"/>
    <w:rsid w:val="00E41D4E"/>
    <w:rsid w:val="00E41F23"/>
    <w:rsid w:val="00E42E5E"/>
    <w:rsid w:val="00E42F2B"/>
    <w:rsid w:val="00E43723"/>
    <w:rsid w:val="00E438FF"/>
    <w:rsid w:val="00E43DC1"/>
    <w:rsid w:val="00E465CF"/>
    <w:rsid w:val="00E50A45"/>
    <w:rsid w:val="00E50AC6"/>
    <w:rsid w:val="00E53716"/>
    <w:rsid w:val="00E56245"/>
    <w:rsid w:val="00E568CF"/>
    <w:rsid w:val="00E61F24"/>
    <w:rsid w:val="00E631AC"/>
    <w:rsid w:val="00E63BF1"/>
    <w:rsid w:val="00E63DB4"/>
    <w:rsid w:val="00E63FAF"/>
    <w:rsid w:val="00E716A6"/>
    <w:rsid w:val="00E7367E"/>
    <w:rsid w:val="00E76F26"/>
    <w:rsid w:val="00E81D48"/>
    <w:rsid w:val="00E83604"/>
    <w:rsid w:val="00E901C8"/>
    <w:rsid w:val="00E90AD7"/>
    <w:rsid w:val="00E90F53"/>
    <w:rsid w:val="00E93E0F"/>
    <w:rsid w:val="00E94094"/>
    <w:rsid w:val="00E941BD"/>
    <w:rsid w:val="00EA55DA"/>
    <w:rsid w:val="00EA717C"/>
    <w:rsid w:val="00EB1799"/>
    <w:rsid w:val="00EB17DC"/>
    <w:rsid w:val="00EC359A"/>
    <w:rsid w:val="00EC4FF2"/>
    <w:rsid w:val="00ED0811"/>
    <w:rsid w:val="00ED23D6"/>
    <w:rsid w:val="00ED2A0D"/>
    <w:rsid w:val="00ED581F"/>
    <w:rsid w:val="00ED7E04"/>
    <w:rsid w:val="00EE2187"/>
    <w:rsid w:val="00EE5966"/>
    <w:rsid w:val="00EF1462"/>
    <w:rsid w:val="00EF222F"/>
    <w:rsid w:val="00EF231F"/>
    <w:rsid w:val="00EF2A1A"/>
    <w:rsid w:val="00EF502F"/>
    <w:rsid w:val="00F04998"/>
    <w:rsid w:val="00F057E6"/>
    <w:rsid w:val="00F05FFE"/>
    <w:rsid w:val="00F11557"/>
    <w:rsid w:val="00F1486C"/>
    <w:rsid w:val="00F16532"/>
    <w:rsid w:val="00F173C6"/>
    <w:rsid w:val="00F17641"/>
    <w:rsid w:val="00F20DC4"/>
    <w:rsid w:val="00F251D9"/>
    <w:rsid w:val="00F263DC"/>
    <w:rsid w:val="00F27055"/>
    <w:rsid w:val="00F32409"/>
    <w:rsid w:val="00F3248B"/>
    <w:rsid w:val="00F3307C"/>
    <w:rsid w:val="00F33F05"/>
    <w:rsid w:val="00F36DFF"/>
    <w:rsid w:val="00F3767D"/>
    <w:rsid w:val="00F37FDF"/>
    <w:rsid w:val="00F42052"/>
    <w:rsid w:val="00F46ECA"/>
    <w:rsid w:val="00F52B2E"/>
    <w:rsid w:val="00F53CE7"/>
    <w:rsid w:val="00F548C4"/>
    <w:rsid w:val="00F5592B"/>
    <w:rsid w:val="00F61D7D"/>
    <w:rsid w:val="00F6312D"/>
    <w:rsid w:val="00F64AA5"/>
    <w:rsid w:val="00F6671F"/>
    <w:rsid w:val="00F67079"/>
    <w:rsid w:val="00F723A9"/>
    <w:rsid w:val="00F7301D"/>
    <w:rsid w:val="00F75EB6"/>
    <w:rsid w:val="00F804AD"/>
    <w:rsid w:val="00F8405C"/>
    <w:rsid w:val="00F8490D"/>
    <w:rsid w:val="00F84D4B"/>
    <w:rsid w:val="00F86D16"/>
    <w:rsid w:val="00F93265"/>
    <w:rsid w:val="00F93EFE"/>
    <w:rsid w:val="00F96135"/>
    <w:rsid w:val="00FA18E4"/>
    <w:rsid w:val="00FA1C44"/>
    <w:rsid w:val="00FA348E"/>
    <w:rsid w:val="00FA3B25"/>
    <w:rsid w:val="00FB2B49"/>
    <w:rsid w:val="00FB352D"/>
    <w:rsid w:val="00FB4431"/>
    <w:rsid w:val="00FB6DBC"/>
    <w:rsid w:val="00FC1946"/>
    <w:rsid w:val="00FC38CF"/>
    <w:rsid w:val="00FC43EC"/>
    <w:rsid w:val="00FC6360"/>
    <w:rsid w:val="00FD09D1"/>
    <w:rsid w:val="00FD5426"/>
    <w:rsid w:val="00FE00BE"/>
    <w:rsid w:val="00FE2BA1"/>
    <w:rsid w:val="00FE431D"/>
    <w:rsid w:val="00FE56AD"/>
    <w:rsid w:val="00FE5CC3"/>
    <w:rsid w:val="00FE61FC"/>
    <w:rsid w:val="00FE6D09"/>
    <w:rsid w:val="00FF0D46"/>
    <w:rsid w:val="00FF26E4"/>
    <w:rsid w:val="00FF3F0D"/>
    <w:rsid w:val="00FF466A"/>
    <w:rsid w:val="00FF4774"/>
    <w:rsid w:val="00FF5203"/>
    <w:rsid w:val="00FF5B62"/>
    <w:rsid w:val="011C7C7F"/>
    <w:rsid w:val="01242C13"/>
    <w:rsid w:val="0126127D"/>
    <w:rsid w:val="012F6D31"/>
    <w:rsid w:val="013F0BAE"/>
    <w:rsid w:val="01426CB7"/>
    <w:rsid w:val="014C15F0"/>
    <w:rsid w:val="016A18BB"/>
    <w:rsid w:val="01704452"/>
    <w:rsid w:val="017305BD"/>
    <w:rsid w:val="01746760"/>
    <w:rsid w:val="01767F39"/>
    <w:rsid w:val="0178774A"/>
    <w:rsid w:val="017B2BDD"/>
    <w:rsid w:val="01837032"/>
    <w:rsid w:val="01891C53"/>
    <w:rsid w:val="018F3568"/>
    <w:rsid w:val="01A026F0"/>
    <w:rsid w:val="01AF1DEF"/>
    <w:rsid w:val="01B5447A"/>
    <w:rsid w:val="01C045F9"/>
    <w:rsid w:val="01C23D30"/>
    <w:rsid w:val="01D85D7E"/>
    <w:rsid w:val="01DD653E"/>
    <w:rsid w:val="01F03100"/>
    <w:rsid w:val="01F91FE9"/>
    <w:rsid w:val="01FC6168"/>
    <w:rsid w:val="02205968"/>
    <w:rsid w:val="022E0EC5"/>
    <w:rsid w:val="023C6877"/>
    <w:rsid w:val="023D593B"/>
    <w:rsid w:val="024A4B3B"/>
    <w:rsid w:val="02546DDA"/>
    <w:rsid w:val="025E069A"/>
    <w:rsid w:val="02647ECA"/>
    <w:rsid w:val="02676E1B"/>
    <w:rsid w:val="02731095"/>
    <w:rsid w:val="02772BD8"/>
    <w:rsid w:val="027F4191"/>
    <w:rsid w:val="028539D0"/>
    <w:rsid w:val="028B18FB"/>
    <w:rsid w:val="02952E03"/>
    <w:rsid w:val="029F7028"/>
    <w:rsid w:val="02A77100"/>
    <w:rsid w:val="02C00B3F"/>
    <w:rsid w:val="02EF0CFB"/>
    <w:rsid w:val="02EF19D6"/>
    <w:rsid w:val="02F77757"/>
    <w:rsid w:val="02FA23A8"/>
    <w:rsid w:val="031F446C"/>
    <w:rsid w:val="032062CB"/>
    <w:rsid w:val="032F0848"/>
    <w:rsid w:val="03310592"/>
    <w:rsid w:val="033A0E9D"/>
    <w:rsid w:val="033A3636"/>
    <w:rsid w:val="033F29FA"/>
    <w:rsid w:val="034641C3"/>
    <w:rsid w:val="03485A0F"/>
    <w:rsid w:val="0351799C"/>
    <w:rsid w:val="035B47DA"/>
    <w:rsid w:val="036D3BCF"/>
    <w:rsid w:val="036D5065"/>
    <w:rsid w:val="037557A7"/>
    <w:rsid w:val="03756445"/>
    <w:rsid w:val="0379245F"/>
    <w:rsid w:val="037E4B04"/>
    <w:rsid w:val="03851606"/>
    <w:rsid w:val="038652C6"/>
    <w:rsid w:val="03936BB9"/>
    <w:rsid w:val="03A424B5"/>
    <w:rsid w:val="03A9328A"/>
    <w:rsid w:val="03B234AE"/>
    <w:rsid w:val="03C17E5B"/>
    <w:rsid w:val="03DB2543"/>
    <w:rsid w:val="03E5647E"/>
    <w:rsid w:val="03FC0994"/>
    <w:rsid w:val="042451DA"/>
    <w:rsid w:val="04266BBA"/>
    <w:rsid w:val="04281C40"/>
    <w:rsid w:val="042E4DD9"/>
    <w:rsid w:val="04325931"/>
    <w:rsid w:val="04513859"/>
    <w:rsid w:val="045C616D"/>
    <w:rsid w:val="045F036E"/>
    <w:rsid w:val="046532AA"/>
    <w:rsid w:val="04735F53"/>
    <w:rsid w:val="04757F77"/>
    <w:rsid w:val="04813F74"/>
    <w:rsid w:val="04947D06"/>
    <w:rsid w:val="04950609"/>
    <w:rsid w:val="049B4ADB"/>
    <w:rsid w:val="04A21EFD"/>
    <w:rsid w:val="04A76479"/>
    <w:rsid w:val="04B50EB1"/>
    <w:rsid w:val="04B63BFF"/>
    <w:rsid w:val="04BB391E"/>
    <w:rsid w:val="04CE1F73"/>
    <w:rsid w:val="04D57147"/>
    <w:rsid w:val="04E37044"/>
    <w:rsid w:val="04EA35AB"/>
    <w:rsid w:val="04F11AB8"/>
    <w:rsid w:val="04F82F7C"/>
    <w:rsid w:val="04FA4853"/>
    <w:rsid w:val="04FC5702"/>
    <w:rsid w:val="04FE5BD1"/>
    <w:rsid w:val="050A784F"/>
    <w:rsid w:val="050B0CD7"/>
    <w:rsid w:val="050E113B"/>
    <w:rsid w:val="052203F1"/>
    <w:rsid w:val="052841DE"/>
    <w:rsid w:val="053179BA"/>
    <w:rsid w:val="053921E2"/>
    <w:rsid w:val="053E62FD"/>
    <w:rsid w:val="05407769"/>
    <w:rsid w:val="0549386E"/>
    <w:rsid w:val="054E5ED7"/>
    <w:rsid w:val="056151C5"/>
    <w:rsid w:val="056B4BA9"/>
    <w:rsid w:val="05757C7C"/>
    <w:rsid w:val="059557B1"/>
    <w:rsid w:val="059F0331"/>
    <w:rsid w:val="05A0616A"/>
    <w:rsid w:val="05A133AA"/>
    <w:rsid w:val="05BC7DCF"/>
    <w:rsid w:val="05C45420"/>
    <w:rsid w:val="05D62E8D"/>
    <w:rsid w:val="05EB7976"/>
    <w:rsid w:val="05F077D4"/>
    <w:rsid w:val="06091935"/>
    <w:rsid w:val="060D4D85"/>
    <w:rsid w:val="060F45F1"/>
    <w:rsid w:val="06136FCC"/>
    <w:rsid w:val="061834A6"/>
    <w:rsid w:val="0626572C"/>
    <w:rsid w:val="063F1073"/>
    <w:rsid w:val="06477A15"/>
    <w:rsid w:val="064C7D14"/>
    <w:rsid w:val="065426BE"/>
    <w:rsid w:val="06545B13"/>
    <w:rsid w:val="06565F89"/>
    <w:rsid w:val="065E3C59"/>
    <w:rsid w:val="06711361"/>
    <w:rsid w:val="0676065B"/>
    <w:rsid w:val="069A1931"/>
    <w:rsid w:val="069B792B"/>
    <w:rsid w:val="069E7501"/>
    <w:rsid w:val="06A11AE7"/>
    <w:rsid w:val="06AD2B3B"/>
    <w:rsid w:val="06B4101E"/>
    <w:rsid w:val="06D74D2C"/>
    <w:rsid w:val="06D87FE9"/>
    <w:rsid w:val="06D956E3"/>
    <w:rsid w:val="06DD48E9"/>
    <w:rsid w:val="06E40402"/>
    <w:rsid w:val="06F14E7D"/>
    <w:rsid w:val="06F15F3E"/>
    <w:rsid w:val="06F53A22"/>
    <w:rsid w:val="070736C4"/>
    <w:rsid w:val="070B300A"/>
    <w:rsid w:val="07272FEF"/>
    <w:rsid w:val="072A05F0"/>
    <w:rsid w:val="07387D99"/>
    <w:rsid w:val="074618E0"/>
    <w:rsid w:val="0756170A"/>
    <w:rsid w:val="075848D7"/>
    <w:rsid w:val="07611FC2"/>
    <w:rsid w:val="07701844"/>
    <w:rsid w:val="07810992"/>
    <w:rsid w:val="078656CD"/>
    <w:rsid w:val="07881B83"/>
    <w:rsid w:val="07995231"/>
    <w:rsid w:val="079F1279"/>
    <w:rsid w:val="07A267CB"/>
    <w:rsid w:val="07A85F84"/>
    <w:rsid w:val="07B572E3"/>
    <w:rsid w:val="07BE1942"/>
    <w:rsid w:val="07C766EF"/>
    <w:rsid w:val="07CE3CE7"/>
    <w:rsid w:val="07D37E8D"/>
    <w:rsid w:val="07DB1942"/>
    <w:rsid w:val="07DB6632"/>
    <w:rsid w:val="07E6588F"/>
    <w:rsid w:val="07E67990"/>
    <w:rsid w:val="07EB52FC"/>
    <w:rsid w:val="07F6398C"/>
    <w:rsid w:val="07F7BA69"/>
    <w:rsid w:val="08007C66"/>
    <w:rsid w:val="08066D92"/>
    <w:rsid w:val="080F5EFD"/>
    <w:rsid w:val="08163E4D"/>
    <w:rsid w:val="081E7C8D"/>
    <w:rsid w:val="0843241C"/>
    <w:rsid w:val="08444D3B"/>
    <w:rsid w:val="084F5E47"/>
    <w:rsid w:val="084F6F27"/>
    <w:rsid w:val="085B2896"/>
    <w:rsid w:val="085B47AE"/>
    <w:rsid w:val="085E00A1"/>
    <w:rsid w:val="0869448C"/>
    <w:rsid w:val="08752AC1"/>
    <w:rsid w:val="08757F68"/>
    <w:rsid w:val="08895C65"/>
    <w:rsid w:val="088D5E8C"/>
    <w:rsid w:val="08904B46"/>
    <w:rsid w:val="089153C7"/>
    <w:rsid w:val="08936E11"/>
    <w:rsid w:val="08A344C0"/>
    <w:rsid w:val="08AD7D17"/>
    <w:rsid w:val="08B7057E"/>
    <w:rsid w:val="08BD56F0"/>
    <w:rsid w:val="08BF66FF"/>
    <w:rsid w:val="08D351BE"/>
    <w:rsid w:val="08D86664"/>
    <w:rsid w:val="08DD1D65"/>
    <w:rsid w:val="08DD2846"/>
    <w:rsid w:val="08E13796"/>
    <w:rsid w:val="08E21174"/>
    <w:rsid w:val="08E32E74"/>
    <w:rsid w:val="08F740E9"/>
    <w:rsid w:val="08F84BFB"/>
    <w:rsid w:val="09000221"/>
    <w:rsid w:val="09023E0B"/>
    <w:rsid w:val="090E5904"/>
    <w:rsid w:val="091D5275"/>
    <w:rsid w:val="092422D4"/>
    <w:rsid w:val="092E0CF2"/>
    <w:rsid w:val="0941147D"/>
    <w:rsid w:val="0948744F"/>
    <w:rsid w:val="094E5EB9"/>
    <w:rsid w:val="09503F28"/>
    <w:rsid w:val="09647A9E"/>
    <w:rsid w:val="0967778B"/>
    <w:rsid w:val="0972141D"/>
    <w:rsid w:val="098B5CEE"/>
    <w:rsid w:val="09B0689E"/>
    <w:rsid w:val="09B213D0"/>
    <w:rsid w:val="09E0485F"/>
    <w:rsid w:val="09E55B4E"/>
    <w:rsid w:val="09EF6144"/>
    <w:rsid w:val="09FB16A7"/>
    <w:rsid w:val="09FD39CA"/>
    <w:rsid w:val="0A030A5B"/>
    <w:rsid w:val="0A110ED0"/>
    <w:rsid w:val="0A250DD3"/>
    <w:rsid w:val="0A2A682C"/>
    <w:rsid w:val="0A2C7D49"/>
    <w:rsid w:val="0A4707FD"/>
    <w:rsid w:val="0A4D6348"/>
    <w:rsid w:val="0A6522DE"/>
    <w:rsid w:val="0A690634"/>
    <w:rsid w:val="0A6E1C10"/>
    <w:rsid w:val="0A883B4D"/>
    <w:rsid w:val="0AA350C7"/>
    <w:rsid w:val="0AA867C8"/>
    <w:rsid w:val="0AB16EAD"/>
    <w:rsid w:val="0AB77E64"/>
    <w:rsid w:val="0AC92E5A"/>
    <w:rsid w:val="0AE67C59"/>
    <w:rsid w:val="0AEB64A8"/>
    <w:rsid w:val="0AED3445"/>
    <w:rsid w:val="0AEF60E1"/>
    <w:rsid w:val="0AF315E8"/>
    <w:rsid w:val="0AF344E1"/>
    <w:rsid w:val="0AF85E2B"/>
    <w:rsid w:val="0AFE6184"/>
    <w:rsid w:val="0B1449F6"/>
    <w:rsid w:val="0B1A1E43"/>
    <w:rsid w:val="0B2912D0"/>
    <w:rsid w:val="0B361B49"/>
    <w:rsid w:val="0B476BBC"/>
    <w:rsid w:val="0B48684A"/>
    <w:rsid w:val="0B4D48A4"/>
    <w:rsid w:val="0B507925"/>
    <w:rsid w:val="0B533B29"/>
    <w:rsid w:val="0B631A54"/>
    <w:rsid w:val="0B666A61"/>
    <w:rsid w:val="0B7E7850"/>
    <w:rsid w:val="0B823FD1"/>
    <w:rsid w:val="0B871E95"/>
    <w:rsid w:val="0B9630C2"/>
    <w:rsid w:val="0B975356"/>
    <w:rsid w:val="0B9B7B36"/>
    <w:rsid w:val="0BA7004E"/>
    <w:rsid w:val="0BA8144D"/>
    <w:rsid w:val="0BAD7ADF"/>
    <w:rsid w:val="0BB4611C"/>
    <w:rsid w:val="0BBD4675"/>
    <w:rsid w:val="0BDC640E"/>
    <w:rsid w:val="0BE0144B"/>
    <w:rsid w:val="0BE10566"/>
    <w:rsid w:val="0BEB5940"/>
    <w:rsid w:val="0BED639D"/>
    <w:rsid w:val="0BFFB4AE"/>
    <w:rsid w:val="0C013897"/>
    <w:rsid w:val="0C176CBC"/>
    <w:rsid w:val="0C3236E7"/>
    <w:rsid w:val="0C352A19"/>
    <w:rsid w:val="0C494A35"/>
    <w:rsid w:val="0C49575D"/>
    <w:rsid w:val="0C545B8D"/>
    <w:rsid w:val="0C6A2581"/>
    <w:rsid w:val="0C6D71DA"/>
    <w:rsid w:val="0C6F619B"/>
    <w:rsid w:val="0C756558"/>
    <w:rsid w:val="0C7905D8"/>
    <w:rsid w:val="0C834F4B"/>
    <w:rsid w:val="0C952C04"/>
    <w:rsid w:val="0C95435A"/>
    <w:rsid w:val="0C9D3858"/>
    <w:rsid w:val="0C9F748A"/>
    <w:rsid w:val="0CA87625"/>
    <w:rsid w:val="0CAD6CD5"/>
    <w:rsid w:val="0CAF4411"/>
    <w:rsid w:val="0CB02F58"/>
    <w:rsid w:val="0CB71182"/>
    <w:rsid w:val="0CC2C82B"/>
    <w:rsid w:val="0CC7607D"/>
    <w:rsid w:val="0CD31EEE"/>
    <w:rsid w:val="0CFA1B57"/>
    <w:rsid w:val="0D14741D"/>
    <w:rsid w:val="0D181D78"/>
    <w:rsid w:val="0D2546FA"/>
    <w:rsid w:val="0D2B6157"/>
    <w:rsid w:val="0D3244DD"/>
    <w:rsid w:val="0D5864B2"/>
    <w:rsid w:val="0D6A1AC0"/>
    <w:rsid w:val="0D6B0852"/>
    <w:rsid w:val="0D6D3302"/>
    <w:rsid w:val="0D7F3975"/>
    <w:rsid w:val="0D8736DB"/>
    <w:rsid w:val="0D8C26CD"/>
    <w:rsid w:val="0D9A0057"/>
    <w:rsid w:val="0DA27718"/>
    <w:rsid w:val="0DB1010B"/>
    <w:rsid w:val="0DBB55AD"/>
    <w:rsid w:val="0DCF7FD6"/>
    <w:rsid w:val="0DE57D7F"/>
    <w:rsid w:val="0E096E39"/>
    <w:rsid w:val="0E1C1EC9"/>
    <w:rsid w:val="0E206931"/>
    <w:rsid w:val="0E442EAE"/>
    <w:rsid w:val="0E4C2DDD"/>
    <w:rsid w:val="0E4C3071"/>
    <w:rsid w:val="0E60507D"/>
    <w:rsid w:val="0E971A66"/>
    <w:rsid w:val="0EA72BA6"/>
    <w:rsid w:val="0EAA475B"/>
    <w:rsid w:val="0EAC11AD"/>
    <w:rsid w:val="0EBB2D79"/>
    <w:rsid w:val="0EC74501"/>
    <w:rsid w:val="0EC915D0"/>
    <w:rsid w:val="0ECD7BAA"/>
    <w:rsid w:val="0EDA0876"/>
    <w:rsid w:val="0EEA09DE"/>
    <w:rsid w:val="0EEB4C90"/>
    <w:rsid w:val="0EF162BD"/>
    <w:rsid w:val="0F032F2D"/>
    <w:rsid w:val="0F14495A"/>
    <w:rsid w:val="0F160DFA"/>
    <w:rsid w:val="0F2E3D57"/>
    <w:rsid w:val="0F305AAD"/>
    <w:rsid w:val="0F321605"/>
    <w:rsid w:val="0F3353B7"/>
    <w:rsid w:val="0F48505B"/>
    <w:rsid w:val="0F5342DC"/>
    <w:rsid w:val="0F566845"/>
    <w:rsid w:val="0F5B2655"/>
    <w:rsid w:val="0F684F69"/>
    <w:rsid w:val="0F68565B"/>
    <w:rsid w:val="0F687084"/>
    <w:rsid w:val="0F6C18F7"/>
    <w:rsid w:val="0F757FCC"/>
    <w:rsid w:val="0F7722CF"/>
    <w:rsid w:val="0F7B6A00"/>
    <w:rsid w:val="0F814668"/>
    <w:rsid w:val="0F8A27DB"/>
    <w:rsid w:val="0F90063F"/>
    <w:rsid w:val="0F941EB7"/>
    <w:rsid w:val="0F96006E"/>
    <w:rsid w:val="0F9F1B67"/>
    <w:rsid w:val="0FA56B5C"/>
    <w:rsid w:val="0FBD56FA"/>
    <w:rsid w:val="0FBF5BD9"/>
    <w:rsid w:val="0FC05753"/>
    <w:rsid w:val="0FC05E5A"/>
    <w:rsid w:val="0FC30C2E"/>
    <w:rsid w:val="0FC929CF"/>
    <w:rsid w:val="0FD41F31"/>
    <w:rsid w:val="0FDB7383"/>
    <w:rsid w:val="0FDD6D95"/>
    <w:rsid w:val="0FE81479"/>
    <w:rsid w:val="0FFE1577"/>
    <w:rsid w:val="0FFFB82D"/>
    <w:rsid w:val="100737A9"/>
    <w:rsid w:val="100B41FF"/>
    <w:rsid w:val="101A342B"/>
    <w:rsid w:val="101F7C33"/>
    <w:rsid w:val="103C541A"/>
    <w:rsid w:val="1042335F"/>
    <w:rsid w:val="104735C4"/>
    <w:rsid w:val="104C1B16"/>
    <w:rsid w:val="1051038C"/>
    <w:rsid w:val="10804688"/>
    <w:rsid w:val="1082485A"/>
    <w:rsid w:val="10843AAE"/>
    <w:rsid w:val="10884916"/>
    <w:rsid w:val="109673A7"/>
    <w:rsid w:val="109C580E"/>
    <w:rsid w:val="10A55503"/>
    <w:rsid w:val="10A82ECB"/>
    <w:rsid w:val="10A906A7"/>
    <w:rsid w:val="10AA2A25"/>
    <w:rsid w:val="10AD7AF8"/>
    <w:rsid w:val="10B15399"/>
    <w:rsid w:val="10DA0204"/>
    <w:rsid w:val="10E87676"/>
    <w:rsid w:val="10F378F4"/>
    <w:rsid w:val="10F55783"/>
    <w:rsid w:val="110765F0"/>
    <w:rsid w:val="111649EF"/>
    <w:rsid w:val="111C76BD"/>
    <w:rsid w:val="111F3BCF"/>
    <w:rsid w:val="112A66B2"/>
    <w:rsid w:val="11382462"/>
    <w:rsid w:val="113B37D8"/>
    <w:rsid w:val="114306D4"/>
    <w:rsid w:val="11506166"/>
    <w:rsid w:val="11567833"/>
    <w:rsid w:val="115A0E16"/>
    <w:rsid w:val="116228F0"/>
    <w:rsid w:val="1163689E"/>
    <w:rsid w:val="11765524"/>
    <w:rsid w:val="117F37A7"/>
    <w:rsid w:val="118514D5"/>
    <w:rsid w:val="11896F02"/>
    <w:rsid w:val="118D0A84"/>
    <w:rsid w:val="118E3A37"/>
    <w:rsid w:val="1194645C"/>
    <w:rsid w:val="11967803"/>
    <w:rsid w:val="11A163D0"/>
    <w:rsid w:val="11B23EB0"/>
    <w:rsid w:val="11B562D3"/>
    <w:rsid w:val="11D37A4F"/>
    <w:rsid w:val="11D83EE0"/>
    <w:rsid w:val="11DB1F31"/>
    <w:rsid w:val="11DC0428"/>
    <w:rsid w:val="11E7187D"/>
    <w:rsid w:val="11F65457"/>
    <w:rsid w:val="1203249B"/>
    <w:rsid w:val="1207675D"/>
    <w:rsid w:val="12237A07"/>
    <w:rsid w:val="12264A1C"/>
    <w:rsid w:val="122E4B3D"/>
    <w:rsid w:val="12361FE3"/>
    <w:rsid w:val="1238092A"/>
    <w:rsid w:val="12491D3D"/>
    <w:rsid w:val="124C0824"/>
    <w:rsid w:val="124F70F5"/>
    <w:rsid w:val="125011C5"/>
    <w:rsid w:val="125C6E10"/>
    <w:rsid w:val="12665CAA"/>
    <w:rsid w:val="126A3793"/>
    <w:rsid w:val="1273400A"/>
    <w:rsid w:val="127759F8"/>
    <w:rsid w:val="1288457B"/>
    <w:rsid w:val="128B45A0"/>
    <w:rsid w:val="12A30010"/>
    <w:rsid w:val="12A400B1"/>
    <w:rsid w:val="12B94748"/>
    <w:rsid w:val="12CE6A83"/>
    <w:rsid w:val="12E60856"/>
    <w:rsid w:val="12EB69CE"/>
    <w:rsid w:val="12ED3A80"/>
    <w:rsid w:val="12F2222C"/>
    <w:rsid w:val="12F2530F"/>
    <w:rsid w:val="13021A2C"/>
    <w:rsid w:val="13152DB4"/>
    <w:rsid w:val="132A3E1B"/>
    <w:rsid w:val="133632F5"/>
    <w:rsid w:val="133828A6"/>
    <w:rsid w:val="134224E3"/>
    <w:rsid w:val="13465BC3"/>
    <w:rsid w:val="1347361C"/>
    <w:rsid w:val="13500091"/>
    <w:rsid w:val="13560D8B"/>
    <w:rsid w:val="136620F4"/>
    <w:rsid w:val="1366701C"/>
    <w:rsid w:val="1379231B"/>
    <w:rsid w:val="139713B3"/>
    <w:rsid w:val="139E5A9A"/>
    <w:rsid w:val="13A4359A"/>
    <w:rsid w:val="13B445A5"/>
    <w:rsid w:val="13BB084D"/>
    <w:rsid w:val="13BC32D0"/>
    <w:rsid w:val="13CA1266"/>
    <w:rsid w:val="13D72474"/>
    <w:rsid w:val="13D971D2"/>
    <w:rsid w:val="13E94203"/>
    <w:rsid w:val="13F15346"/>
    <w:rsid w:val="140E0CD1"/>
    <w:rsid w:val="14120CA8"/>
    <w:rsid w:val="141D6D49"/>
    <w:rsid w:val="142B1664"/>
    <w:rsid w:val="144654D8"/>
    <w:rsid w:val="144759A8"/>
    <w:rsid w:val="14587641"/>
    <w:rsid w:val="145B492E"/>
    <w:rsid w:val="146769B7"/>
    <w:rsid w:val="14791424"/>
    <w:rsid w:val="147B2758"/>
    <w:rsid w:val="148C5ED1"/>
    <w:rsid w:val="14942891"/>
    <w:rsid w:val="14961447"/>
    <w:rsid w:val="149B3737"/>
    <w:rsid w:val="149D6626"/>
    <w:rsid w:val="149F2901"/>
    <w:rsid w:val="14A44639"/>
    <w:rsid w:val="14A7200E"/>
    <w:rsid w:val="14AF0F09"/>
    <w:rsid w:val="14AF52CE"/>
    <w:rsid w:val="14B34ACE"/>
    <w:rsid w:val="14B8155B"/>
    <w:rsid w:val="14C678DA"/>
    <w:rsid w:val="14CB4D1A"/>
    <w:rsid w:val="14D64FA0"/>
    <w:rsid w:val="14DE22A2"/>
    <w:rsid w:val="14F54092"/>
    <w:rsid w:val="14F64B17"/>
    <w:rsid w:val="1525553B"/>
    <w:rsid w:val="15296903"/>
    <w:rsid w:val="152B75D2"/>
    <w:rsid w:val="153C5776"/>
    <w:rsid w:val="154755A3"/>
    <w:rsid w:val="154C573A"/>
    <w:rsid w:val="155265F4"/>
    <w:rsid w:val="15604361"/>
    <w:rsid w:val="157B0A32"/>
    <w:rsid w:val="157C16F8"/>
    <w:rsid w:val="15847260"/>
    <w:rsid w:val="15896493"/>
    <w:rsid w:val="15B51DDE"/>
    <w:rsid w:val="15B55363"/>
    <w:rsid w:val="15B61275"/>
    <w:rsid w:val="15C169AC"/>
    <w:rsid w:val="15EE0A89"/>
    <w:rsid w:val="15F00A00"/>
    <w:rsid w:val="15F65082"/>
    <w:rsid w:val="160024AA"/>
    <w:rsid w:val="160B2645"/>
    <w:rsid w:val="160F1942"/>
    <w:rsid w:val="161578BF"/>
    <w:rsid w:val="16162EF0"/>
    <w:rsid w:val="16261317"/>
    <w:rsid w:val="16337E88"/>
    <w:rsid w:val="163927D2"/>
    <w:rsid w:val="1640771C"/>
    <w:rsid w:val="164E4741"/>
    <w:rsid w:val="164E668F"/>
    <w:rsid w:val="165635D9"/>
    <w:rsid w:val="1658525F"/>
    <w:rsid w:val="16611327"/>
    <w:rsid w:val="16873D30"/>
    <w:rsid w:val="169D25F5"/>
    <w:rsid w:val="16A1133A"/>
    <w:rsid w:val="16B001AD"/>
    <w:rsid w:val="16CD690B"/>
    <w:rsid w:val="16F5338F"/>
    <w:rsid w:val="16F83846"/>
    <w:rsid w:val="16FA2A69"/>
    <w:rsid w:val="16FF7F43"/>
    <w:rsid w:val="1700661C"/>
    <w:rsid w:val="17193A6D"/>
    <w:rsid w:val="171A1BAA"/>
    <w:rsid w:val="171D2783"/>
    <w:rsid w:val="171F52F1"/>
    <w:rsid w:val="172C3D13"/>
    <w:rsid w:val="172F13BB"/>
    <w:rsid w:val="1741697B"/>
    <w:rsid w:val="175207E1"/>
    <w:rsid w:val="175A32D2"/>
    <w:rsid w:val="176424DC"/>
    <w:rsid w:val="1767731A"/>
    <w:rsid w:val="176C179B"/>
    <w:rsid w:val="176F6360"/>
    <w:rsid w:val="17790994"/>
    <w:rsid w:val="1783643C"/>
    <w:rsid w:val="178B7F80"/>
    <w:rsid w:val="178C1D45"/>
    <w:rsid w:val="17A54A43"/>
    <w:rsid w:val="17E57F7D"/>
    <w:rsid w:val="17E97420"/>
    <w:rsid w:val="17E979B2"/>
    <w:rsid w:val="17F36885"/>
    <w:rsid w:val="17F36B48"/>
    <w:rsid w:val="18004438"/>
    <w:rsid w:val="1809236A"/>
    <w:rsid w:val="180E3449"/>
    <w:rsid w:val="18105287"/>
    <w:rsid w:val="18110CF1"/>
    <w:rsid w:val="181D0DEF"/>
    <w:rsid w:val="182527C9"/>
    <w:rsid w:val="18267EB8"/>
    <w:rsid w:val="182C2AE2"/>
    <w:rsid w:val="183E5722"/>
    <w:rsid w:val="18423C4B"/>
    <w:rsid w:val="18670C19"/>
    <w:rsid w:val="187637AB"/>
    <w:rsid w:val="187D6A8B"/>
    <w:rsid w:val="18866D16"/>
    <w:rsid w:val="188B0AC6"/>
    <w:rsid w:val="18902376"/>
    <w:rsid w:val="18AB3B04"/>
    <w:rsid w:val="18AB7E54"/>
    <w:rsid w:val="18E17C22"/>
    <w:rsid w:val="18ED7DF7"/>
    <w:rsid w:val="18FC0A05"/>
    <w:rsid w:val="190A3949"/>
    <w:rsid w:val="190D3E7D"/>
    <w:rsid w:val="19221422"/>
    <w:rsid w:val="19250B27"/>
    <w:rsid w:val="19264BDF"/>
    <w:rsid w:val="19346A4B"/>
    <w:rsid w:val="19371F32"/>
    <w:rsid w:val="193B3A99"/>
    <w:rsid w:val="1940592C"/>
    <w:rsid w:val="19562EEF"/>
    <w:rsid w:val="195722CB"/>
    <w:rsid w:val="195C5947"/>
    <w:rsid w:val="19671C74"/>
    <w:rsid w:val="196A76A5"/>
    <w:rsid w:val="19776586"/>
    <w:rsid w:val="199146A9"/>
    <w:rsid w:val="19930F16"/>
    <w:rsid w:val="19A60451"/>
    <w:rsid w:val="19A74E14"/>
    <w:rsid w:val="19AB7B63"/>
    <w:rsid w:val="19AC7816"/>
    <w:rsid w:val="19C26B83"/>
    <w:rsid w:val="19C31A2B"/>
    <w:rsid w:val="19D27DA3"/>
    <w:rsid w:val="19D34CDE"/>
    <w:rsid w:val="19D4436D"/>
    <w:rsid w:val="19DC7A10"/>
    <w:rsid w:val="19E26DAC"/>
    <w:rsid w:val="19ED3CEA"/>
    <w:rsid w:val="19F02457"/>
    <w:rsid w:val="19F93831"/>
    <w:rsid w:val="1A052686"/>
    <w:rsid w:val="1A0770C2"/>
    <w:rsid w:val="1A2A5F83"/>
    <w:rsid w:val="1A343559"/>
    <w:rsid w:val="1A3437B8"/>
    <w:rsid w:val="1A3641C6"/>
    <w:rsid w:val="1A4F04C3"/>
    <w:rsid w:val="1A4F1C7C"/>
    <w:rsid w:val="1A5176FD"/>
    <w:rsid w:val="1A617DCC"/>
    <w:rsid w:val="1A6C2697"/>
    <w:rsid w:val="1A6D1B43"/>
    <w:rsid w:val="1A7E3CBC"/>
    <w:rsid w:val="1A831294"/>
    <w:rsid w:val="1A8D1997"/>
    <w:rsid w:val="1A8D3F8F"/>
    <w:rsid w:val="1A9100C3"/>
    <w:rsid w:val="1A941D72"/>
    <w:rsid w:val="1A9D75F4"/>
    <w:rsid w:val="1ABB3DE0"/>
    <w:rsid w:val="1AC62341"/>
    <w:rsid w:val="1AC6675E"/>
    <w:rsid w:val="1ACD3F41"/>
    <w:rsid w:val="1AD556E9"/>
    <w:rsid w:val="1AEA7E63"/>
    <w:rsid w:val="1AEE0B2F"/>
    <w:rsid w:val="1AEE1B94"/>
    <w:rsid w:val="1AFD065A"/>
    <w:rsid w:val="1B03409D"/>
    <w:rsid w:val="1B111517"/>
    <w:rsid w:val="1B152B4D"/>
    <w:rsid w:val="1B2A45D6"/>
    <w:rsid w:val="1B372915"/>
    <w:rsid w:val="1B516834"/>
    <w:rsid w:val="1B55025B"/>
    <w:rsid w:val="1B5A2E9D"/>
    <w:rsid w:val="1B9A3B85"/>
    <w:rsid w:val="1B9E46F5"/>
    <w:rsid w:val="1BA12479"/>
    <w:rsid w:val="1BA454FB"/>
    <w:rsid w:val="1BAF5235"/>
    <w:rsid w:val="1BB3174C"/>
    <w:rsid w:val="1BBF6440"/>
    <w:rsid w:val="1BC06EA2"/>
    <w:rsid w:val="1BC21757"/>
    <w:rsid w:val="1BC34195"/>
    <w:rsid w:val="1BC34FCD"/>
    <w:rsid w:val="1BC50628"/>
    <w:rsid w:val="1BC50972"/>
    <w:rsid w:val="1BC55301"/>
    <w:rsid w:val="1BC57B47"/>
    <w:rsid w:val="1BC82618"/>
    <w:rsid w:val="1BD74EFE"/>
    <w:rsid w:val="1BDE3B4C"/>
    <w:rsid w:val="1BDF26E2"/>
    <w:rsid w:val="1C0E3977"/>
    <w:rsid w:val="1C1A6FEC"/>
    <w:rsid w:val="1C1C7659"/>
    <w:rsid w:val="1C1E2754"/>
    <w:rsid w:val="1C225C02"/>
    <w:rsid w:val="1C254629"/>
    <w:rsid w:val="1C2D471C"/>
    <w:rsid w:val="1C3768C3"/>
    <w:rsid w:val="1C393D1E"/>
    <w:rsid w:val="1C3C55D4"/>
    <w:rsid w:val="1C4943A4"/>
    <w:rsid w:val="1C4A6789"/>
    <w:rsid w:val="1C577B84"/>
    <w:rsid w:val="1C5C3956"/>
    <w:rsid w:val="1C654987"/>
    <w:rsid w:val="1C6D3780"/>
    <w:rsid w:val="1C723F66"/>
    <w:rsid w:val="1C746750"/>
    <w:rsid w:val="1C800DA0"/>
    <w:rsid w:val="1C8054A9"/>
    <w:rsid w:val="1C825C78"/>
    <w:rsid w:val="1C8E121B"/>
    <w:rsid w:val="1C8F233B"/>
    <w:rsid w:val="1C913B5A"/>
    <w:rsid w:val="1CA86307"/>
    <w:rsid w:val="1CBA6E7B"/>
    <w:rsid w:val="1CBE2B3D"/>
    <w:rsid w:val="1CD90366"/>
    <w:rsid w:val="1CDE1582"/>
    <w:rsid w:val="1CEE2D5A"/>
    <w:rsid w:val="1D03191B"/>
    <w:rsid w:val="1D0D5C23"/>
    <w:rsid w:val="1D0F7823"/>
    <w:rsid w:val="1D1207F7"/>
    <w:rsid w:val="1D1252E8"/>
    <w:rsid w:val="1D185B98"/>
    <w:rsid w:val="1D1F3740"/>
    <w:rsid w:val="1D28001A"/>
    <w:rsid w:val="1D2E4533"/>
    <w:rsid w:val="1D361885"/>
    <w:rsid w:val="1D45790F"/>
    <w:rsid w:val="1D542175"/>
    <w:rsid w:val="1D556879"/>
    <w:rsid w:val="1D625BC2"/>
    <w:rsid w:val="1D730E7E"/>
    <w:rsid w:val="1D763161"/>
    <w:rsid w:val="1D767C76"/>
    <w:rsid w:val="1D7F6A99"/>
    <w:rsid w:val="1D8E03FA"/>
    <w:rsid w:val="1D8F2F1D"/>
    <w:rsid w:val="1D944D0C"/>
    <w:rsid w:val="1D982ACF"/>
    <w:rsid w:val="1DAE4AA0"/>
    <w:rsid w:val="1DB14064"/>
    <w:rsid w:val="1DC23D0F"/>
    <w:rsid w:val="1DD261D8"/>
    <w:rsid w:val="1DD71650"/>
    <w:rsid w:val="1DE43A17"/>
    <w:rsid w:val="1DEE1EFA"/>
    <w:rsid w:val="1E0068A1"/>
    <w:rsid w:val="1E12611C"/>
    <w:rsid w:val="1E157A3A"/>
    <w:rsid w:val="1E171E3D"/>
    <w:rsid w:val="1E240A4E"/>
    <w:rsid w:val="1E3078D5"/>
    <w:rsid w:val="1E3F270B"/>
    <w:rsid w:val="1E4644CC"/>
    <w:rsid w:val="1E61167C"/>
    <w:rsid w:val="1E7077F5"/>
    <w:rsid w:val="1E7A6767"/>
    <w:rsid w:val="1E873F99"/>
    <w:rsid w:val="1E8B73A7"/>
    <w:rsid w:val="1E8F1374"/>
    <w:rsid w:val="1E970166"/>
    <w:rsid w:val="1E9811D0"/>
    <w:rsid w:val="1EAA335B"/>
    <w:rsid w:val="1EAE6ECC"/>
    <w:rsid w:val="1EBB2DC6"/>
    <w:rsid w:val="1EBE7E01"/>
    <w:rsid w:val="1ED0548E"/>
    <w:rsid w:val="1F161228"/>
    <w:rsid w:val="1F1906B6"/>
    <w:rsid w:val="1F1D3032"/>
    <w:rsid w:val="1F2B32BE"/>
    <w:rsid w:val="1F390D89"/>
    <w:rsid w:val="1F3E7F5B"/>
    <w:rsid w:val="1F4A124B"/>
    <w:rsid w:val="1F513ECC"/>
    <w:rsid w:val="1F583E13"/>
    <w:rsid w:val="1F686EA8"/>
    <w:rsid w:val="1F6A3BAE"/>
    <w:rsid w:val="1F6F027D"/>
    <w:rsid w:val="1F7B7564"/>
    <w:rsid w:val="1F7FA8CF"/>
    <w:rsid w:val="1F885F5F"/>
    <w:rsid w:val="1F8B0D13"/>
    <w:rsid w:val="1FB3007D"/>
    <w:rsid w:val="1FC86FB2"/>
    <w:rsid w:val="1FE039FF"/>
    <w:rsid w:val="1FEA5730"/>
    <w:rsid w:val="1FFD682A"/>
    <w:rsid w:val="1FFFA169"/>
    <w:rsid w:val="20017C8D"/>
    <w:rsid w:val="200E563D"/>
    <w:rsid w:val="2022167F"/>
    <w:rsid w:val="203C1C0C"/>
    <w:rsid w:val="20412465"/>
    <w:rsid w:val="20570026"/>
    <w:rsid w:val="20583861"/>
    <w:rsid w:val="2066731B"/>
    <w:rsid w:val="206E7E55"/>
    <w:rsid w:val="2071673B"/>
    <w:rsid w:val="207724C8"/>
    <w:rsid w:val="20831771"/>
    <w:rsid w:val="208D5545"/>
    <w:rsid w:val="2097311F"/>
    <w:rsid w:val="20A7230E"/>
    <w:rsid w:val="20A77D62"/>
    <w:rsid w:val="20A84CA6"/>
    <w:rsid w:val="20BA620C"/>
    <w:rsid w:val="20BD50EA"/>
    <w:rsid w:val="20C22280"/>
    <w:rsid w:val="20C51FFF"/>
    <w:rsid w:val="20C90FE1"/>
    <w:rsid w:val="20CB1F1C"/>
    <w:rsid w:val="20CE35DC"/>
    <w:rsid w:val="20D91FEB"/>
    <w:rsid w:val="20E07EB6"/>
    <w:rsid w:val="20EB4450"/>
    <w:rsid w:val="20EC236D"/>
    <w:rsid w:val="20F85BCF"/>
    <w:rsid w:val="20F862CA"/>
    <w:rsid w:val="20FA4D71"/>
    <w:rsid w:val="20FB633F"/>
    <w:rsid w:val="20FF4C3E"/>
    <w:rsid w:val="210260CC"/>
    <w:rsid w:val="210F1461"/>
    <w:rsid w:val="211E07C8"/>
    <w:rsid w:val="211E47B1"/>
    <w:rsid w:val="213B0E23"/>
    <w:rsid w:val="21410A8D"/>
    <w:rsid w:val="214915A6"/>
    <w:rsid w:val="214F3C0C"/>
    <w:rsid w:val="21535276"/>
    <w:rsid w:val="21805CB9"/>
    <w:rsid w:val="21812056"/>
    <w:rsid w:val="21902632"/>
    <w:rsid w:val="219C4CA5"/>
    <w:rsid w:val="21A56EDA"/>
    <w:rsid w:val="21AF01FD"/>
    <w:rsid w:val="21B002AA"/>
    <w:rsid w:val="21B5199E"/>
    <w:rsid w:val="21BF6859"/>
    <w:rsid w:val="21C32279"/>
    <w:rsid w:val="21D867B6"/>
    <w:rsid w:val="21DB0BBB"/>
    <w:rsid w:val="21E156B9"/>
    <w:rsid w:val="21F029E2"/>
    <w:rsid w:val="21F5181A"/>
    <w:rsid w:val="22054352"/>
    <w:rsid w:val="22147AF1"/>
    <w:rsid w:val="221701F3"/>
    <w:rsid w:val="223751DC"/>
    <w:rsid w:val="2244378B"/>
    <w:rsid w:val="224C7E9B"/>
    <w:rsid w:val="2254079F"/>
    <w:rsid w:val="2279256C"/>
    <w:rsid w:val="22795451"/>
    <w:rsid w:val="228372A6"/>
    <w:rsid w:val="22855412"/>
    <w:rsid w:val="228B768D"/>
    <w:rsid w:val="22A74B6A"/>
    <w:rsid w:val="22AC4FD3"/>
    <w:rsid w:val="22B1623E"/>
    <w:rsid w:val="22B22C63"/>
    <w:rsid w:val="22B318BC"/>
    <w:rsid w:val="22B83C0A"/>
    <w:rsid w:val="22B85552"/>
    <w:rsid w:val="22C71DA9"/>
    <w:rsid w:val="22DA316B"/>
    <w:rsid w:val="22E80A9D"/>
    <w:rsid w:val="22EC0514"/>
    <w:rsid w:val="22F3D309"/>
    <w:rsid w:val="22F70D69"/>
    <w:rsid w:val="23061CAF"/>
    <w:rsid w:val="230963C7"/>
    <w:rsid w:val="230B64DF"/>
    <w:rsid w:val="23151973"/>
    <w:rsid w:val="231A52F5"/>
    <w:rsid w:val="231A6657"/>
    <w:rsid w:val="231F64C9"/>
    <w:rsid w:val="232E7024"/>
    <w:rsid w:val="233A4131"/>
    <w:rsid w:val="233A4278"/>
    <w:rsid w:val="233E4A36"/>
    <w:rsid w:val="2340539D"/>
    <w:rsid w:val="23607F20"/>
    <w:rsid w:val="23664E71"/>
    <w:rsid w:val="23846FD7"/>
    <w:rsid w:val="2386717E"/>
    <w:rsid w:val="238951A0"/>
    <w:rsid w:val="23B25529"/>
    <w:rsid w:val="23B420F8"/>
    <w:rsid w:val="23BC0851"/>
    <w:rsid w:val="23C1595F"/>
    <w:rsid w:val="23CD6B0E"/>
    <w:rsid w:val="23EB8A0C"/>
    <w:rsid w:val="23ED1676"/>
    <w:rsid w:val="23FE2357"/>
    <w:rsid w:val="244514B2"/>
    <w:rsid w:val="24624308"/>
    <w:rsid w:val="2466664F"/>
    <w:rsid w:val="246F5780"/>
    <w:rsid w:val="247C28FF"/>
    <w:rsid w:val="24855912"/>
    <w:rsid w:val="2499166B"/>
    <w:rsid w:val="24A905E3"/>
    <w:rsid w:val="24AA7332"/>
    <w:rsid w:val="24AC37E9"/>
    <w:rsid w:val="24AF4AB0"/>
    <w:rsid w:val="24B81E16"/>
    <w:rsid w:val="24C63A20"/>
    <w:rsid w:val="24D562C0"/>
    <w:rsid w:val="24DE0E5E"/>
    <w:rsid w:val="24FB111E"/>
    <w:rsid w:val="251878D7"/>
    <w:rsid w:val="251F3280"/>
    <w:rsid w:val="25203277"/>
    <w:rsid w:val="252C2FED"/>
    <w:rsid w:val="253E3EBC"/>
    <w:rsid w:val="25401C79"/>
    <w:rsid w:val="25404CD9"/>
    <w:rsid w:val="25416241"/>
    <w:rsid w:val="254B1650"/>
    <w:rsid w:val="2553463D"/>
    <w:rsid w:val="255B0BA0"/>
    <w:rsid w:val="2575341F"/>
    <w:rsid w:val="25763B01"/>
    <w:rsid w:val="257858B7"/>
    <w:rsid w:val="257D1B5A"/>
    <w:rsid w:val="25853324"/>
    <w:rsid w:val="25931026"/>
    <w:rsid w:val="25BC5CB5"/>
    <w:rsid w:val="25BE7846"/>
    <w:rsid w:val="25C757F6"/>
    <w:rsid w:val="25CA0C55"/>
    <w:rsid w:val="25D0543A"/>
    <w:rsid w:val="25DB00D2"/>
    <w:rsid w:val="25E70335"/>
    <w:rsid w:val="25EB0B51"/>
    <w:rsid w:val="25ED2BD0"/>
    <w:rsid w:val="25EE39A1"/>
    <w:rsid w:val="26020D1E"/>
    <w:rsid w:val="260A5655"/>
    <w:rsid w:val="260B3108"/>
    <w:rsid w:val="260C5E52"/>
    <w:rsid w:val="261301D0"/>
    <w:rsid w:val="26140373"/>
    <w:rsid w:val="26195456"/>
    <w:rsid w:val="26280C7C"/>
    <w:rsid w:val="26375C7E"/>
    <w:rsid w:val="263A5EF2"/>
    <w:rsid w:val="26460C0D"/>
    <w:rsid w:val="26517D5A"/>
    <w:rsid w:val="26543BAE"/>
    <w:rsid w:val="265A1637"/>
    <w:rsid w:val="265D4D90"/>
    <w:rsid w:val="266427D3"/>
    <w:rsid w:val="266A5519"/>
    <w:rsid w:val="266A6683"/>
    <w:rsid w:val="2670658E"/>
    <w:rsid w:val="2675674A"/>
    <w:rsid w:val="26843375"/>
    <w:rsid w:val="26846979"/>
    <w:rsid w:val="26851904"/>
    <w:rsid w:val="268B606C"/>
    <w:rsid w:val="269359D8"/>
    <w:rsid w:val="269A360B"/>
    <w:rsid w:val="269F54AF"/>
    <w:rsid w:val="26A4798B"/>
    <w:rsid w:val="26B20DF7"/>
    <w:rsid w:val="26B2210E"/>
    <w:rsid w:val="26D1232B"/>
    <w:rsid w:val="26EE0FB2"/>
    <w:rsid w:val="26FE7F8D"/>
    <w:rsid w:val="27000709"/>
    <w:rsid w:val="273A03D9"/>
    <w:rsid w:val="27512D73"/>
    <w:rsid w:val="27515A3B"/>
    <w:rsid w:val="27540081"/>
    <w:rsid w:val="275A1503"/>
    <w:rsid w:val="275C2488"/>
    <w:rsid w:val="27707D9F"/>
    <w:rsid w:val="27710808"/>
    <w:rsid w:val="277736B5"/>
    <w:rsid w:val="2777522A"/>
    <w:rsid w:val="278021BB"/>
    <w:rsid w:val="279E2284"/>
    <w:rsid w:val="279F712B"/>
    <w:rsid w:val="27A256BD"/>
    <w:rsid w:val="27A9643E"/>
    <w:rsid w:val="27AE05E7"/>
    <w:rsid w:val="27B0758A"/>
    <w:rsid w:val="27BA2806"/>
    <w:rsid w:val="27BC244A"/>
    <w:rsid w:val="27C93226"/>
    <w:rsid w:val="27E04F87"/>
    <w:rsid w:val="27E3520A"/>
    <w:rsid w:val="27F76560"/>
    <w:rsid w:val="280C2F29"/>
    <w:rsid w:val="280E3E73"/>
    <w:rsid w:val="281A5069"/>
    <w:rsid w:val="2838132E"/>
    <w:rsid w:val="283C47A1"/>
    <w:rsid w:val="28447CD2"/>
    <w:rsid w:val="284F6DA3"/>
    <w:rsid w:val="28615ACF"/>
    <w:rsid w:val="28621296"/>
    <w:rsid w:val="286B3E9F"/>
    <w:rsid w:val="286D568F"/>
    <w:rsid w:val="28771649"/>
    <w:rsid w:val="287A5694"/>
    <w:rsid w:val="28907A65"/>
    <w:rsid w:val="28926C90"/>
    <w:rsid w:val="2895355D"/>
    <w:rsid w:val="289B321D"/>
    <w:rsid w:val="289F2FF8"/>
    <w:rsid w:val="28A74874"/>
    <w:rsid w:val="28AC48F5"/>
    <w:rsid w:val="28AF48FE"/>
    <w:rsid w:val="28B30360"/>
    <w:rsid w:val="28B700D8"/>
    <w:rsid w:val="28B81A59"/>
    <w:rsid w:val="28BC0025"/>
    <w:rsid w:val="28BD749A"/>
    <w:rsid w:val="28BF5BE1"/>
    <w:rsid w:val="28C838C3"/>
    <w:rsid w:val="28DE736F"/>
    <w:rsid w:val="28E215E7"/>
    <w:rsid w:val="28E74C4A"/>
    <w:rsid w:val="28E75C23"/>
    <w:rsid w:val="28F66F27"/>
    <w:rsid w:val="28F74D45"/>
    <w:rsid w:val="28FE3091"/>
    <w:rsid w:val="28FF44FC"/>
    <w:rsid w:val="29004CA4"/>
    <w:rsid w:val="29060DC1"/>
    <w:rsid w:val="29077127"/>
    <w:rsid w:val="2908154A"/>
    <w:rsid w:val="290A6946"/>
    <w:rsid w:val="29122857"/>
    <w:rsid w:val="291D5FF1"/>
    <w:rsid w:val="293B2E83"/>
    <w:rsid w:val="293D63CF"/>
    <w:rsid w:val="293E708B"/>
    <w:rsid w:val="29594737"/>
    <w:rsid w:val="295E4802"/>
    <w:rsid w:val="2967522D"/>
    <w:rsid w:val="296E63D4"/>
    <w:rsid w:val="29764B01"/>
    <w:rsid w:val="297D2E22"/>
    <w:rsid w:val="29931A80"/>
    <w:rsid w:val="299E45D3"/>
    <w:rsid w:val="299F2675"/>
    <w:rsid w:val="29A12A77"/>
    <w:rsid w:val="29A671D2"/>
    <w:rsid w:val="29AC6EB1"/>
    <w:rsid w:val="29AD6F45"/>
    <w:rsid w:val="29B444FC"/>
    <w:rsid w:val="29BD120F"/>
    <w:rsid w:val="29C769C8"/>
    <w:rsid w:val="29C76E0D"/>
    <w:rsid w:val="29D74EB6"/>
    <w:rsid w:val="29E2264F"/>
    <w:rsid w:val="29E4464B"/>
    <w:rsid w:val="29F36D30"/>
    <w:rsid w:val="29F84CE2"/>
    <w:rsid w:val="2A027E45"/>
    <w:rsid w:val="2A0343F7"/>
    <w:rsid w:val="2A277F19"/>
    <w:rsid w:val="2A4B31B4"/>
    <w:rsid w:val="2A516722"/>
    <w:rsid w:val="2A676A61"/>
    <w:rsid w:val="2A77544F"/>
    <w:rsid w:val="2A7C4B41"/>
    <w:rsid w:val="2A8C5942"/>
    <w:rsid w:val="2AA059B0"/>
    <w:rsid w:val="2AA2170A"/>
    <w:rsid w:val="2AAC3BC6"/>
    <w:rsid w:val="2AC15811"/>
    <w:rsid w:val="2ACE3624"/>
    <w:rsid w:val="2ACF5A8C"/>
    <w:rsid w:val="2AD40EF4"/>
    <w:rsid w:val="2ADF4AAE"/>
    <w:rsid w:val="2AE43F1C"/>
    <w:rsid w:val="2AED28A3"/>
    <w:rsid w:val="2AF51552"/>
    <w:rsid w:val="2AFE28F4"/>
    <w:rsid w:val="2B0C00B5"/>
    <w:rsid w:val="2B0F60E3"/>
    <w:rsid w:val="2B1534EE"/>
    <w:rsid w:val="2B171B79"/>
    <w:rsid w:val="2B2621F1"/>
    <w:rsid w:val="2B2E661F"/>
    <w:rsid w:val="2B3561CA"/>
    <w:rsid w:val="2B3E61BC"/>
    <w:rsid w:val="2B4A673E"/>
    <w:rsid w:val="2B646A04"/>
    <w:rsid w:val="2B833DCF"/>
    <w:rsid w:val="2B9C72A6"/>
    <w:rsid w:val="2BA867E1"/>
    <w:rsid w:val="2BAA72ED"/>
    <w:rsid w:val="2BAD5346"/>
    <w:rsid w:val="2BB03333"/>
    <w:rsid w:val="2BB32876"/>
    <w:rsid w:val="2BC10759"/>
    <w:rsid w:val="2BC67E03"/>
    <w:rsid w:val="2BCC0AF7"/>
    <w:rsid w:val="2BDA19F5"/>
    <w:rsid w:val="2BDC54EB"/>
    <w:rsid w:val="2BE9306B"/>
    <w:rsid w:val="2BEF1932"/>
    <w:rsid w:val="2BF65788"/>
    <w:rsid w:val="2BF93228"/>
    <w:rsid w:val="2BFB9A1E"/>
    <w:rsid w:val="2BFC41C0"/>
    <w:rsid w:val="2BFF6824"/>
    <w:rsid w:val="2C002162"/>
    <w:rsid w:val="2C0E1ED5"/>
    <w:rsid w:val="2C37329E"/>
    <w:rsid w:val="2C3A254F"/>
    <w:rsid w:val="2C3FA11C"/>
    <w:rsid w:val="2C4D331F"/>
    <w:rsid w:val="2C710E04"/>
    <w:rsid w:val="2C7E0919"/>
    <w:rsid w:val="2C8F010A"/>
    <w:rsid w:val="2C9F197B"/>
    <w:rsid w:val="2CA05BB5"/>
    <w:rsid w:val="2CA820AE"/>
    <w:rsid w:val="2CB949F3"/>
    <w:rsid w:val="2CC17B44"/>
    <w:rsid w:val="2CCA2003"/>
    <w:rsid w:val="2CD10B96"/>
    <w:rsid w:val="2CD52350"/>
    <w:rsid w:val="2CFA7B94"/>
    <w:rsid w:val="2D076456"/>
    <w:rsid w:val="2D0A3C12"/>
    <w:rsid w:val="2D1947D7"/>
    <w:rsid w:val="2D200AE1"/>
    <w:rsid w:val="2D2D366D"/>
    <w:rsid w:val="2D43121A"/>
    <w:rsid w:val="2D485824"/>
    <w:rsid w:val="2D6B7AAF"/>
    <w:rsid w:val="2D71509A"/>
    <w:rsid w:val="2D734381"/>
    <w:rsid w:val="2D7979A9"/>
    <w:rsid w:val="2D90359F"/>
    <w:rsid w:val="2D962D8D"/>
    <w:rsid w:val="2DA210D2"/>
    <w:rsid w:val="2DA65AC5"/>
    <w:rsid w:val="2DAD5937"/>
    <w:rsid w:val="2DBB70CA"/>
    <w:rsid w:val="2DCD664C"/>
    <w:rsid w:val="2DCFDBDF"/>
    <w:rsid w:val="2DD11D00"/>
    <w:rsid w:val="2DDA12DB"/>
    <w:rsid w:val="2DDC0D17"/>
    <w:rsid w:val="2DDD3AA0"/>
    <w:rsid w:val="2DE0049D"/>
    <w:rsid w:val="2DE07B9D"/>
    <w:rsid w:val="2DE87C4A"/>
    <w:rsid w:val="2DE90351"/>
    <w:rsid w:val="2DF35E65"/>
    <w:rsid w:val="2DFD7CA4"/>
    <w:rsid w:val="2DFE4473"/>
    <w:rsid w:val="2E0C18B0"/>
    <w:rsid w:val="2E0C73C5"/>
    <w:rsid w:val="2E0D3FF0"/>
    <w:rsid w:val="2E187A37"/>
    <w:rsid w:val="2E273777"/>
    <w:rsid w:val="2E3E1438"/>
    <w:rsid w:val="2E4B657B"/>
    <w:rsid w:val="2E6469A0"/>
    <w:rsid w:val="2E7656FD"/>
    <w:rsid w:val="2E7F2143"/>
    <w:rsid w:val="2E822F30"/>
    <w:rsid w:val="2E857D2F"/>
    <w:rsid w:val="2E8E5CB9"/>
    <w:rsid w:val="2E9417EC"/>
    <w:rsid w:val="2E9C1C84"/>
    <w:rsid w:val="2EAD0874"/>
    <w:rsid w:val="2EB53575"/>
    <w:rsid w:val="2EE45EB9"/>
    <w:rsid w:val="2EE72AF7"/>
    <w:rsid w:val="2EE87514"/>
    <w:rsid w:val="2EF36922"/>
    <w:rsid w:val="2EF62E8D"/>
    <w:rsid w:val="2EFEF4DC"/>
    <w:rsid w:val="2EFF15EE"/>
    <w:rsid w:val="2F000DF7"/>
    <w:rsid w:val="2F10450B"/>
    <w:rsid w:val="2F130058"/>
    <w:rsid w:val="2F1468C2"/>
    <w:rsid w:val="2F1F610F"/>
    <w:rsid w:val="2F277E48"/>
    <w:rsid w:val="2F546E49"/>
    <w:rsid w:val="2F5F5B1B"/>
    <w:rsid w:val="2F6971AB"/>
    <w:rsid w:val="2F6C5CA5"/>
    <w:rsid w:val="2F6C7A55"/>
    <w:rsid w:val="2F6D3FB3"/>
    <w:rsid w:val="2F7FCCC8"/>
    <w:rsid w:val="2F957CAF"/>
    <w:rsid w:val="2F9B049A"/>
    <w:rsid w:val="2F9D34D5"/>
    <w:rsid w:val="2FAD723C"/>
    <w:rsid w:val="2FC66539"/>
    <w:rsid w:val="2FC836E2"/>
    <w:rsid w:val="2FCBBFF5"/>
    <w:rsid w:val="2FCF2A28"/>
    <w:rsid w:val="2FD97E44"/>
    <w:rsid w:val="2FE23FCB"/>
    <w:rsid w:val="2FE5465A"/>
    <w:rsid w:val="2FEA3641"/>
    <w:rsid w:val="2FF454EA"/>
    <w:rsid w:val="2FF739AA"/>
    <w:rsid w:val="2FFB9F57"/>
    <w:rsid w:val="300264A9"/>
    <w:rsid w:val="30042D9F"/>
    <w:rsid w:val="300F506A"/>
    <w:rsid w:val="30194492"/>
    <w:rsid w:val="302152AE"/>
    <w:rsid w:val="30217DB0"/>
    <w:rsid w:val="30235E16"/>
    <w:rsid w:val="30387810"/>
    <w:rsid w:val="303956AD"/>
    <w:rsid w:val="30424923"/>
    <w:rsid w:val="30442EDE"/>
    <w:rsid w:val="304864B8"/>
    <w:rsid w:val="30527FC5"/>
    <w:rsid w:val="3053398E"/>
    <w:rsid w:val="30542F6B"/>
    <w:rsid w:val="305B2034"/>
    <w:rsid w:val="30652C14"/>
    <w:rsid w:val="306D31AB"/>
    <w:rsid w:val="307427C9"/>
    <w:rsid w:val="307D5F46"/>
    <w:rsid w:val="309950F4"/>
    <w:rsid w:val="30AE7BC9"/>
    <w:rsid w:val="30B14C74"/>
    <w:rsid w:val="30B73992"/>
    <w:rsid w:val="30B94808"/>
    <w:rsid w:val="30BD6ACE"/>
    <w:rsid w:val="30BF415F"/>
    <w:rsid w:val="30C72B81"/>
    <w:rsid w:val="30C82D31"/>
    <w:rsid w:val="30CB5389"/>
    <w:rsid w:val="30E62F57"/>
    <w:rsid w:val="30ED06E7"/>
    <w:rsid w:val="3106371A"/>
    <w:rsid w:val="310900FE"/>
    <w:rsid w:val="310D28FD"/>
    <w:rsid w:val="310F3B05"/>
    <w:rsid w:val="31132938"/>
    <w:rsid w:val="312622CD"/>
    <w:rsid w:val="31282B8E"/>
    <w:rsid w:val="312C75A1"/>
    <w:rsid w:val="313A3CC4"/>
    <w:rsid w:val="313A706C"/>
    <w:rsid w:val="31411253"/>
    <w:rsid w:val="3156310C"/>
    <w:rsid w:val="315A1862"/>
    <w:rsid w:val="316049FB"/>
    <w:rsid w:val="31680A34"/>
    <w:rsid w:val="3172154C"/>
    <w:rsid w:val="317A2589"/>
    <w:rsid w:val="31831161"/>
    <w:rsid w:val="3188610E"/>
    <w:rsid w:val="318A4E74"/>
    <w:rsid w:val="318D5CFE"/>
    <w:rsid w:val="319627F6"/>
    <w:rsid w:val="319F3C19"/>
    <w:rsid w:val="31C132B8"/>
    <w:rsid w:val="31C632CA"/>
    <w:rsid w:val="31D16BBF"/>
    <w:rsid w:val="31EA0438"/>
    <w:rsid w:val="31F65A58"/>
    <w:rsid w:val="31FD5EA3"/>
    <w:rsid w:val="320B1A06"/>
    <w:rsid w:val="3210733A"/>
    <w:rsid w:val="32263C46"/>
    <w:rsid w:val="32267886"/>
    <w:rsid w:val="322B2A37"/>
    <w:rsid w:val="322B6746"/>
    <w:rsid w:val="3237213F"/>
    <w:rsid w:val="323A36BC"/>
    <w:rsid w:val="323B186D"/>
    <w:rsid w:val="323E147B"/>
    <w:rsid w:val="3240048E"/>
    <w:rsid w:val="32435C17"/>
    <w:rsid w:val="325724E4"/>
    <w:rsid w:val="326738A9"/>
    <w:rsid w:val="327A0086"/>
    <w:rsid w:val="327B7538"/>
    <w:rsid w:val="32816F96"/>
    <w:rsid w:val="328B3D6E"/>
    <w:rsid w:val="32903F19"/>
    <w:rsid w:val="32A457A0"/>
    <w:rsid w:val="32A503EC"/>
    <w:rsid w:val="32A9583F"/>
    <w:rsid w:val="32AD4FBB"/>
    <w:rsid w:val="32AE10A0"/>
    <w:rsid w:val="32B54566"/>
    <w:rsid w:val="32B76E6E"/>
    <w:rsid w:val="32B84446"/>
    <w:rsid w:val="32C67C77"/>
    <w:rsid w:val="32D3412D"/>
    <w:rsid w:val="32E7022E"/>
    <w:rsid w:val="330271CA"/>
    <w:rsid w:val="330E5872"/>
    <w:rsid w:val="330E7FD6"/>
    <w:rsid w:val="33161561"/>
    <w:rsid w:val="331E7F08"/>
    <w:rsid w:val="331F6A4D"/>
    <w:rsid w:val="334603F1"/>
    <w:rsid w:val="3353338A"/>
    <w:rsid w:val="33660DC7"/>
    <w:rsid w:val="33701A05"/>
    <w:rsid w:val="33702795"/>
    <w:rsid w:val="337C00DB"/>
    <w:rsid w:val="3381445C"/>
    <w:rsid w:val="338A5133"/>
    <w:rsid w:val="33C62D00"/>
    <w:rsid w:val="33CE4A55"/>
    <w:rsid w:val="33DE50CB"/>
    <w:rsid w:val="33E123CD"/>
    <w:rsid w:val="33E23E40"/>
    <w:rsid w:val="33EC1514"/>
    <w:rsid w:val="33F71155"/>
    <w:rsid w:val="33FC2DFB"/>
    <w:rsid w:val="33FF0C21"/>
    <w:rsid w:val="34104BC5"/>
    <w:rsid w:val="341A06B8"/>
    <w:rsid w:val="341E10F1"/>
    <w:rsid w:val="342C7F98"/>
    <w:rsid w:val="342D0BB1"/>
    <w:rsid w:val="34416C0A"/>
    <w:rsid w:val="34460B76"/>
    <w:rsid w:val="344D5388"/>
    <w:rsid w:val="346A14C0"/>
    <w:rsid w:val="346E46B7"/>
    <w:rsid w:val="3471177D"/>
    <w:rsid w:val="34726277"/>
    <w:rsid w:val="347B23B3"/>
    <w:rsid w:val="34821BE3"/>
    <w:rsid w:val="34832720"/>
    <w:rsid w:val="34871985"/>
    <w:rsid w:val="34915EA2"/>
    <w:rsid w:val="34940253"/>
    <w:rsid w:val="34983684"/>
    <w:rsid w:val="34A04BD9"/>
    <w:rsid w:val="34A57D6A"/>
    <w:rsid w:val="34A913BC"/>
    <w:rsid w:val="34BC2226"/>
    <w:rsid w:val="34C03AF1"/>
    <w:rsid w:val="34D5003A"/>
    <w:rsid w:val="34E87B0F"/>
    <w:rsid w:val="34F26658"/>
    <w:rsid w:val="34FA62E8"/>
    <w:rsid w:val="34FB7282"/>
    <w:rsid w:val="34FC4642"/>
    <w:rsid w:val="351B0D3E"/>
    <w:rsid w:val="351C000D"/>
    <w:rsid w:val="3520042F"/>
    <w:rsid w:val="3521031A"/>
    <w:rsid w:val="35210A8D"/>
    <w:rsid w:val="35216B3A"/>
    <w:rsid w:val="35354DFA"/>
    <w:rsid w:val="35393D99"/>
    <w:rsid w:val="35485A54"/>
    <w:rsid w:val="354E3B51"/>
    <w:rsid w:val="35522C36"/>
    <w:rsid w:val="355B4C65"/>
    <w:rsid w:val="356C52F9"/>
    <w:rsid w:val="35852EE6"/>
    <w:rsid w:val="35867B20"/>
    <w:rsid w:val="35936C62"/>
    <w:rsid w:val="35945057"/>
    <w:rsid w:val="359B56A3"/>
    <w:rsid w:val="35A270E4"/>
    <w:rsid w:val="35B4385B"/>
    <w:rsid w:val="35C8653B"/>
    <w:rsid w:val="35D30C65"/>
    <w:rsid w:val="35D61456"/>
    <w:rsid w:val="35D65B34"/>
    <w:rsid w:val="35DA5022"/>
    <w:rsid w:val="35DF52F8"/>
    <w:rsid w:val="35E644CB"/>
    <w:rsid w:val="35E81A7F"/>
    <w:rsid w:val="35F24C09"/>
    <w:rsid w:val="35F3004D"/>
    <w:rsid w:val="35FD7AEF"/>
    <w:rsid w:val="36010FB1"/>
    <w:rsid w:val="360139B8"/>
    <w:rsid w:val="360311CD"/>
    <w:rsid w:val="36070CBD"/>
    <w:rsid w:val="36127207"/>
    <w:rsid w:val="36200754"/>
    <w:rsid w:val="36256DC5"/>
    <w:rsid w:val="36290C2F"/>
    <w:rsid w:val="36301CAE"/>
    <w:rsid w:val="3637718E"/>
    <w:rsid w:val="36384921"/>
    <w:rsid w:val="36435665"/>
    <w:rsid w:val="366B14B6"/>
    <w:rsid w:val="367C27FE"/>
    <w:rsid w:val="368045CB"/>
    <w:rsid w:val="36900EB9"/>
    <w:rsid w:val="36A24CBE"/>
    <w:rsid w:val="36A85C45"/>
    <w:rsid w:val="36AF6AB1"/>
    <w:rsid w:val="36AFD330"/>
    <w:rsid w:val="36B36BA8"/>
    <w:rsid w:val="36BC7D30"/>
    <w:rsid w:val="36C515C6"/>
    <w:rsid w:val="36C7685E"/>
    <w:rsid w:val="36C8518D"/>
    <w:rsid w:val="36D70F63"/>
    <w:rsid w:val="36D911EF"/>
    <w:rsid w:val="36DF7544"/>
    <w:rsid w:val="36E93F55"/>
    <w:rsid w:val="36EE3F4B"/>
    <w:rsid w:val="36F1357C"/>
    <w:rsid w:val="36F679D7"/>
    <w:rsid w:val="36FE1C40"/>
    <w:rsid w:val="37035E09"/>
    <w:rsid w:val="37096C73"/>
    <w:rsid w:val="37110A52"/>
    <w:rsid w:val="371C79AA"/>
    <w:rsid w:val="371F3DE4"/>
    <w:rsid w:val="372248E3"/>
    <w:rsid w:val="37230362"/>
    <w:rsid w:val="37283FBD"/>
    <w:rsid w:val="37310A0F"/>
    <w:rsid w:val="373A41EA"/>
    <w:rsid w:val="374425E4"/>
    <w:rsid w:val="37465029"/>
    <w:rsid w:val="37543839"/>
    <w:rsid w:val="37585C03"/>
    <w:rsid w:val="376B44C4"/>
    <w:rsid w:val="376D0E2E"/>
    <w:rsid w:val="3777020A"/>
    <w:rsid w:val="37802D3A"/>
    <w:rsid w:val="37850091"/>
    <w:rsid w:val="379116A8"/>
    <w:rsid w:val="379E11AD"/>
    <w:rsid w:val="37A60983"/>
    <w:rsid w:val="37A93BCE"/>
    <w:rsid w:val="37B704C1"/>
    <w:rsid w:val="37B71B23"/>
    <w:rsid w:val="37BB194B"/>
    <w:rsid w:val="37BF843D"/>
    <w:rsid w:val="37CF5451"/>
    <w:rsid w:val="37DA2CF5"/>
    <w:rsid w:val="37DF0D06"/>
    <w:rsid w:val="37E64902"/>
    <w:rsid w:val="37EF25FC"/>
    <w:rsid w:val="37F7120E"/>
    <w:rsid w:val="37FE5FF1"/>
    <w:rsid w:val="38035DBC"/>
    <w:rsid w:val="38082ACA"/>
    <w:rsid w:val="380D2520"/>
    <w:rsid w:val="380F56A1"/>
    <w:rsid w:val="38134DDD"/>
    <w:rsid w:val="381B6DB3"/>
    <w:rsid w:val="38305B7D"/>
    <w:rsid w:val="383B13D4"/>
    <w:rsid w:val="384A501C"/>
    <w:rsid w:val="38546D78"/>
    <w:rsid w:val="385566B6"/>
    <w:rsid w:val="386144A9"/>
    <w:rsid w:val="386D3BA5"/>
    <w:rsid w:val="38785F5F"/>
    <w:rsid w:val="387F1C72"/>
    <w:rsid w:val="388B52AB"/>
    <w:rsid w:val="389D1465"/>
    <w:rsid w:val="389D5144"/>
    <w:rsid w:val="38A34CC6"/>
    <w:rsid w:val="38A66177"/>
    <w:rsid w:val="38A74DA6"/>
    <w:rsid w:val="38AB6509"/>
    <w:rsid w:val="38BA7231"/>
    <w:rsid w:val="38BC45D1"/>
    <w:rsid w:val="38C67BAB"/>
    <w:rsid w:val="38D47011"/>
    <w:rsid w:val="38E9013C"/>
    <w:rsid w:val="38F65019"/>
    <w:rsid w:val="38FD5AC6"/>
    <w:rsid w:val="38FEAED4"/>
    <w:rsid w:val="38FF2F74"/>
    <w:rsid w:val="38FF4EFB"/>
    <w:rsid w:val="390B3713"/>
    <w:rsid w:val="391928A0"/>
    <w:rsid w:val="391C5320"/>
    <w:rsid w:val="39243F17"/>
    <w:rsid w:val="392B7BAB"/>
    <w:rsid w:val="392C18C2"/>
    <w:rsid w:val="39481B04"/>
    <w:rsid w:val="394C66DD"/>
    <w:rsid w:val="396122B0"/>
    <w:rsid w:val="396A3375"/>
    <w:rsid w:val="39730461"/>
    <w:rsid w:val="397440DA"/>
    <w:rsid w:val="39764D37"/>
    <w:rsid w:val="397BA625"/>
    <w:rsid w:val="397D3525"/>
    <w:rsid w:val="39867FD3"/>
    <w:rsid w:val="399D5052"/>
    <w:rsid w:val="39AD78D2"/>
    <w:rsid w:val="39AE5A5B"/>
    <w:rsid w:val="39B72078"/>
    <w:rsid w:val="39B96310"/>
    <w:rsid w:val="39BB0FB8"/>
    <w:rsid w:val="39C830C2"/>
    <w:rsid w:val="39E73EC0"/>
    <w:rsid w:val="39EC7D3C"/>
    <w:rsid w:val="39ED1A22"/>
    <w:rsid w:val="39ED1F78"/>
    <w:rsid w:val="39FF7B63"/>
    <w:rsid w:val="3A10410D"/>
    <w:rsid w:val="3A2053A6"/>
    <w:rsid w:val="3A26050E"/>
    <w:rsid w:val="3A265CF7"/>
    <w:rsid w:val="3A271F33"/>
    <w:rsid w:val="3A446E54"/>
    <w:rsid w:val="3A456875"/>
    <w:rsid w:val="3A5244D1"/>
    <w:rsid w:val="3A602052"/>
    <w:rsid w:val="3A6B361F"/>
    <w:rsid w:val="3A714511"/>
    <w:rsid w:val="3A7FA0D8"/>
    <w:rsid w:val="3A894E1A"/>
    <w:rsid w:val="3A985B80"/>
    <w:rsid w:val="3AA51A0D"/>
    <w:rsid w:val="3ABD00AF"/>
    <w:rsid w:val="3AC02A73"/>
    <w:rsid w:val="3AC76E36"/>
    <w:rsid w:val="3ACB56B9"/>
    <w:rsid w:val="3AD8035A"/>
    <w:rsid w:val="3ADF037E"/>
    <w:rsid w:val="3AE22C48"/>
    <w:rsid w:val="3AEF41B2"/>
    <w:rsid w:val="3AF07D51"/>
    <w:rsid w:val="3AFD60FD"/>
    <w:rsid w:val="3B040FE4"/>
    <w:rsid w:val="3B0D0484"/>
    <w:rsid w:val="3B1744D9"/>
    <w:rsid w:val="3B2B14C0"/>
    <w:rsid w:val="3B3D0765"/>
    <w:rsid w:val="3B510961"/>
    <w:rsid w:val="3B641997"/>
    <w:rsid w:val="3B6762C9"/>
    <w:rsid w:val="3B723AD4"/>
    <w:rsid w:val="3B7B4897"/>
    <w:rsid w:val="3B7B4EF3"/>
    <w:rsid w:val="3B802375"/>
    <w:rsid w:val="3B8D4FDE"/>
    <w:rsid w:val="3B90605D"/>
    <w:rsid w:val="3B9C425A"/>
    <w:rsid w:val="3B9F1F79"/>
    <w:rsid w:val="3BA11762"/>
    <w:rsid w:val="3BA53444"/>
    <w:rsid w:val="3BA81601"/>
    <w:rsid w:val="3BAC507F"/>
    <w:rsid w:val="3BB13E90"/>
    <w:rsid w:val="3BC05C20"/>
    <w:rsid w:val="3BC242CB"/>
    <w:rsid w:val="3BC255BB"/>
    <w:rsid w:val="3BCA5BA6"/>
    <w:rsid w:val="3BCA6B4D"/>
    <w:rsid w:val="3BD70D98"/>
    <w:rsid w:val="3BDD43F0"/>
    <w:rsid w:val="3BE922D2"/>
    <w:rsid w:val="3BEA2018"/>
    <w:rsid w:val="3BFC4472"/>
    <w:rsid w:val="3BFE4563"/>
    <w:rsid w:val="3C1C68FB"/>
    <w:rsid w:val="3C207F45"/>
    <w:rsid w:val="3C266052"/>
    <w:rsid w:val="3C28373B"/>
    <w:rsid w:val="3C322630"/>
    <w:rsid w:val="3C390C19"/>
    <w:rsid w:val="3C3B092C"/>
    <w:rsid w:val="3C3C6CDE"/>
    <w:rsid w:val="3C51503A"/>
    <w:rsid w:val="3C544056"/>
    <w:rsid w:val="3C544530"/>
    <w:rsid w:val="3C5D3905"/>
    <w:rsid w:val="3C5E7B6B"/>
    <w:rsid w:val="3C720A34"/>
    <w:rsid w:val="3C731522"/>
    <w:rsid w:val="3C7438DB"/>
    <w:rsid w:val="3C7B26C4"/>
    <w:rsid w:val="3C8D6778"/>
    <w:rsid w:val="3C935899"/>
    <w:rsid w:val="3C9E74DC"/>
    <w:rsid w:val="3CA40291"/>
    <w:rsid w:val="3CAE3FCB"/>
    <w:rsid w:val="3CB35C1A"/>
    <w:rsid w:val="3CB46D18"/>
    <w:rsid w:val="3CCA127C"/>
    <w:rsid w:val="3D066D21"/>
    <w:rsid w:val="3D0E1D7A"/>
    <w:rsid w:val="3D146378"/>
    <w:rsid w:val="3D155535"/>
    <w:rsid w:val="3D1A551E"/>
    <w:rsid w:val="3D1D0DC6"/>
    <w:rsid w:val="3D2364DC"/>
    <w:rsid w:val="3D3313E5"/>
    <w:rsid w:val="3D3B13BE"/>
    <w:rsid w:val="3D414A19"/>
    <w:rsid w:val="3D4566E6"/>
    <w:rsid w:val="3D530482"/>
    <w:rsid w:val="3D617252"/>
    <w:rsid w:val="3D636911"/>
    <w:rsid w:val="3D690E22"/>
    <w:rsid w:val="3D7B495F"/>
    <w:rsid w:val="3D8865AD"/>
    <w:rsid w:val="3D9D0729"/>
    <w:rsid w:val="3DA9101D"/>
    <w:rsid w:val="3DA917B8"/>
    <w:rsid w:val="3DAC39CF"/>
    <w:rsid w:val="3DAE434A"/>
    <w:rsid w:val="3DB377D0"/>
    <w:rsid w:val="3DC44B1D"/>
    <w:rsid w:val="3DCB1B13"/>
    <w:rsid w:val="3DCD4D10"/>
    <w:rsid w:val="3DD223B2"/>
    <w:rsid w:val="3DEA0E7D"/>
    <w:rsid w:val="3DEA4188"/>
    <w:rsid w:val="3DFD3C46"/>
    <w:rsid w:val="3DFECD7F"/>
    <w:rsid w:val="3E047890"/>
    <w:rsid w:val="3E0D2BA2"/>
    <w:rsid w:val="3E234D34"/>
    <w:rsid w:val="3E28157C"/>
    <w:rsid w:val="3E313576"/>
    <w:rsid w:val="3E36697B"/>
    <w:rsid w:val="3E493FE3"/>
    <w:rsid w:val="3E4B6981"/>
    <w:rsid w:val="3E672EB4"/>
    <w:rsid w:val="3E695273"/>
    <w:rsid w:val="3E6D11EF"/>
    <w:rsid w:val="3E7305ED"/>
    <w:rsid w:val="3E7726B6"/>
    <w:rsid w:val="3E777477"/>
    <w:rsid w:val="3E89310E"/>
    <w:rsid w:val="3E8D5C11"/>
    <w:rsid w:val="3EA22D08"/>
    <w:rsid w:val="3EA610B6"/>
    <w:rsid w:val="3EA6508A"/>
    <w:rsid w:val="3EB04CAF"/>
    <w:rsid w:val="3EB70181"/>
    <w:rsid w:val="3EBB151E"/>
    <w:rsid w:val="3EBC352D"/>
    <w:rsid w:val="3EBD7904"/>
    <w:rsid w:val="3EBD7D98"/>
    <w:rsid w:val="3EBE084F"/>
    <w:rsid w:val="3EC076B5"/>
    <w:rsid w:val="3EC32B74"/>
    <w:rsid w:val="3ED715C1"/>
    <w:rsid w:val="3ED71712"/>
    <w:rsid w:val="3ED7536B"/>
    <w:rsid w:val="3ED92825"/>
    <w:rsid w:val="3EDB7087"/>
    <w:rsid w:val="3EF7CD57"/>
    <w:rsid w:val="3EFD1C34"/>
    <w:rsid w:val="3F040999"/>
    <w:rsid w:val="3F062266"/>
    <w:rsid w:val="3F216568"/>
    <w:rsid w:val="3F2179D0"/>
    <w:rsid w:val="3F265678"/>
    <w:rsid w:val="3F28434E"/>
    <w:rsid w:val="3F326DBB"/>
    <w:rsid w:val="3F360EA4"/>
    <w:rsid w:val="3F3A7F44"/>
    <w:rsid w:val="3F3E3276"/>
    <w:rsid w:val="3F4D6969"/>
    <w:rsid w:val="3F4E4B32"/>
    <w:rsid w:val="3F59010B"/>
    <w:rsid w:val="3F5E56C6"/>
    <w:rsid w:val="3F6C4251"/>
    <w:rsid w:val="3F77A27C"/>
    <w:rsid w:val="3F7AEEF6"/>
    <w:rsid w:val="3F7B0E10"/>
    <w:rsid w:val="3F9135C0"/>
    <w:rsid w:val="3F955FB9"/>
    <w:rsid w:val="3F9A3294"/>
    <w:rsid w:val="3FA834DC"/>
    <w:rsid w:val="3FAE7BFF"/>
    <w:rsid w:val="3FAEC77E"/>
    <w:rsid w:val="3FB079D9"/>
    <w:rsid w:val="3FB44390"/>
    <w:rsid w:val="3FBD4C9D"/>
    <w:rsid w:val="3FBE48F8"/>
    <w:rsid w:val="3FD010CB"/>
    <w:rsid w:val="3FD049EC"/>
    <w:rsid w:val="3FDA1D33"/>
    <w:rsid w:val="3FDFA82A"/>
    <w:rsid w:val="3FE261F2"/>
    <w:rsid w:val="3FE815EE"/>
    <w:rsid w:val="3FEA6BFC"/>
    <w:rsid w:val="3FF46F35"/>
    <w:rsid w:val="3FF76861"/>
    <w:rsid w:val="3FF7C7FC"/>
    <w:rsid w:val="40023C70"/>
    <w:rsid w:val="40086A92"/>
    <w:rsid w:val="402158C5"/>
    <w:rsid w:val="402F7539"/>
    <w:rsid w:val="404264F9"/>
    <w:rsid w:val="405F542D"/>
    <w:rsid w:val="406518C8"/>
    <w:rsid w:val="40695763"/>
    <w:rsid w:val="40736AAC"/>
    <w:rsid w:val="40774C91"/>
    <w:rsid w:val="40872663"/>
    <w:rsid w:val="408847A8"/>
    <w:rsid w:val="40A36975"/>
    <w:rsid w:val="40A92D7E"/>
    <w:rsid w:val="40B26929"/>
    <w:rsid w:val="40CB6D8B"/>
    <w:rsid w:val="40DB78F1"/>
    <w:rsid w:val="40DC05C4"/>
    <w:rsid w:val="40EC294D"/>
    <w:rsid w:val="41112814"/>
    <w:rsid w:val="41177D64"/>
    <w:rsid w:val="41220DC3"/>
    <w:rsid w:val="41336AA7"/>
    <w:rsid w:val="41356CA7"/>
    <w:rsid w:val="413A078C"/>
    <w:rsid w:val="413C022C"/>
    <w:rsid w:val="414508EB"/>
    <w:rsid w:val="41465A7C"/>
    <w:rsid w:val="414A27E7"/>
    <w:rsid w:val="41500035"/>
    <w:rsid w:val="41567FFC"/>
    <w:rsid w:val="415A2C36"/>
    <w:rsid w:val="416C6812"/>
    <w:rsid w:val="417A2E1B"/>
    <w:rsid w:val="419060BA"/>
    <w:rsid w:val="41983B37"/>
    <w:rsid w:val="419A3818"/>
    <w:rsid w:val="419C55D6"/>
    <w:rsid w:val="419F3437"/>
    <w:rsid w:val="41CC0CFB"/>
    <w:rsid w:val="41CE1449"/>
    <w:rsid w:val="41D2772E"/>
    <w:rsid w:val="41DC7A85"/>
    <w:rsid w:val="41DE664A"/>
    <w:rsid w:val="41E31636"/>
    <w:rsid w:val="41E6684E"/>
    <w:rsid w:val="41EB00BA"/>
    <w:rsid w:val="42007BC3"/>
    <w:rsid w:val="420C1A57"/>
    <w:rsid w:val="42187677"/>
    <w:rsid w:val="422657F0"/>
    <w:rsid w:val="422723C1"/>
    <w:rsid w:val="422E7705"/>
    <w:rsid w:val="42347BEE"/>
    <w:rsid w:val="42366486"/>
    <w:rsid w:val="4239502A"/>
    <w:rsid w:val="42397651"/>
    <w:rsid w:val="423D7BE4"/>
    <w:rsid w:val="423F278B"/>
    <w:rsid w:val="42902FAB"/>
    <w:rsid w:val="42931A06"/>
    <w:rsid w:val="42954F65"/>
    <w:rsid w:val="42974896"/>
    <w:rsid w:val="429F402B"/>
    <w:rsid w:val="42AB6297"/>
    <w:rsid w:val="42AC1AFD"/>
    <w:rsid w:val="42BD5589"/>
    <w:rsid w:val="42C13E24"/>
    <w:rsid w:val="42C260BF"/>
    <w:rsid w:val="42C304D8"/>
    <w:rsid w:val="42C80099"/>
    <w:rsid w:val="42D03DF9"/>
    <w:rsid w:val="42DA2207"/>
    <w:rsid w:val="42DC4996"/>
    <w:rsid w:val="42DF438F"/>
    <w:rsid w:val="42E04ECD"/>
    <w:rsid w:val="42EE5C1F"/>
    <w:rsid w:val="42F052B7"/>
    <w:rsid w:val="42F80A8C"/>
    <w:rsid w:val="430E697C"/>
    <w:rsid w:val="43147796"/>
    <w:rsid w:val="431E6379"/>
    <w:rsid w:val="431E7646"/>
    <w:rsid w:val="432039E0"/>
    <w:rsid w:val="432675D2"/>
    <w:rsid w:val="432A1D61"/>
    <w:rsid w:val="433208D1"/>
    <w:rsid w:val="4338529B"/>
    <w:rsid w:val="433F7EB7"/>
    <w:rsid w:val="43463727"/>
    <w:rsid w:val="43470476"/>
    <w:rsid w:val="4348702B"/>
    <w:rsid w:val="43493B0B"/>
    <w:rsid w:val="4351111A"/>
    <w:rsid w:val="43804A43"/>
    <w:rsid w:val="43891467"/>
    <w:rsid w:val="43963B42"/>
    <w:rsid w:val="43994D0F"/>
    <w:rsid w:val="43A05748"/>
    <w:rsid w:val="43A35D9D"/>
    <w:rsid w:val="43B07F6C"/>
    <w:rsid w:val="43BA09D8"/>
    <w:rsid w:val="43BE2A16"/>
    <w:rsid w:val="43BFF4EE"/>
    <w:rsid w:val="43C9547E"/>
    <w:rsid w:val="43DC17D0"/>
    <w:rsid w:val="43DF4ED4"/>
    <w:rsid w:val="43F84BB0"/>
    <w:rsid w:val="4401016A"/>
    <w:rsid w:val="441060A4"/>
    <w:rsid w:val="441C6B00"/>
    <w:rsid w:val="441F3CEF"/>
    <w:rsid w:val="442C445F"/>
    <w:rsid w:val="44304E5A"/>
    <w:rsid w:val="443B5510"/>
    <w:rsid w:val="44564556"/>
    <w:rsid w:val="445B5D66"/>
    <w:rsid w:val="445C25FF"/>
    <w:rsid w:val="4462582D"/>
    <w:rsid w:val="446272E5"/>
    <w:rsid w:val="44633DB0"/>
    <w:rsid w:val="446374FE"/>
    <w:rsid w:val="44643E47"/>
    <w:rsid w:val="44704E06"/>
    <w:rsid w:val="44836571"/>
    <w:rsid w:val="44897E3F"/>
    <w:rsid w:val="448C6DF0"/>
    <w:rsid w:val="449A179A"/>
    <w:rsid w:val="449A71A0"/>
    <w:rsid w:val="44A92E36"/>
    <w:rsid w:val="44C25CAA"/>
    <w:rsid w:val="44C9538F"/>
    <w:rsid w:val="44D85483"/>
    <w:rsid w:val="44DF52E6"/>
    <w:rsid w:val="44F17CAA"/>
    <w:rsid w:val="44FB3D04"/>
    <w:rsid w:val="44FE4D41"/>
    <w:rsid w:val="450A1954"/>
    <w:rsid w:val="45184507"/>
    <w:rsid w:val="451A1E03"/>
    <w:rsid w:val="451F4451"/>
    <w:rsid w:val="45201CD0"/>
    <w:rsid w:val="45261C17"/>
    <w:rsid w:val="45297843"/>
    <w:rsid w:val="452A22D2"/>
    <w:rsid w:val="4533463C"/>
    <w:rsid w:val="453426AB"/>
    <w:rsid w:val="45360362"/>
    <w:rsid w:val="453B4135"/>
    <w:rsid w:val="453B4205"/>
    <w:rsid w:val="453F19E0"/>
    <w:rsid w:val="454049A0"/>
    <w:rsid w:val="454436DE"/>
    <w:rsid w:val="45521467"/>
    <w:rsid w:val="455A7EC7"/>
    <w:rsid w:val="45705E8D"/>
    <w:rsid w:val="45766896"/>
    <w:rsid w:val="458B08FC"/>
    <w:rsid w:val="458B1BBC"/>
    <w:rsid w:val="45956E7E"/>
    <w:rsid w:val="45A95584"/>
    <w:rsid w:val="45AA0826"/>
    <w:rsid w:val="45AE4A0E"/>
    <w:rsid w:val="45B60FB3"/>
    <w:rsid w:val="45C378EF"/>
    <w:rsid w:val="45C412DE"/>
    <w:rsid w:val="45C42B72"/>
    <w:rsid w:val="45C65B0E"/>
    <w:rsid w:val="45C70A4F"/>
    <w:rsid w:val="45C94C5D"/>
    <w:rsid w:val="45D16D59"/>
    <w:rsid w:val="45E10B02"/>
    <w:rsid w:val="45E56CA3"/>
    <w:rsid w:val="45E81B59"/>
    <w:rsid w:val="45EB06EF"/>
    <w:rsid w:val="45F17488"/>
    <w:rsid w:val="45F621B4"/>
    <w:rsid w:val="45FD6F20"/>
    <w:rsid w:val="460F492E"/>
    <w:rsid w:val="46186197"/>
    <w:rsid w:val="461934A2"/>
    <w:rsid w:val="461A4C1A"/>
    <w:rsid w:val="46332BF8"/>
    <w:rsid w:val="46362EF9"/>
    <w:rsid w:val="463E476D"/>
    <w:rsid w:val="46445707"/>
    <w:rsid w:val="464610B0"/>
    <w:rsid w:val="464E3C1F"/>
    <w:rsid w:val="465638A4"/>
    <w:rsid w:val="465D7FEC"/>
    <w:rsid w:val="4662784A"/>
    <w:rsid w:val="4675215E"/>
    <w:rsid w:val="467B0514"/>
    <w:rsid w:val="467B30A8"/>
    <w:rsid w:val="467B4EE0"/>
    <w:rsid w:val="468939F9"/>
    <w:rsid w:val="4691113B"/>
    <w:rsid w:val="469C3D47"/>
    <w:rsid w:val="46A85E78"/>
    <w:rsid w:val="46B04AE1"/>
    <w:rsid w:val="46B21EA4"/>
    <w:rsid w:val="46B40B6B"/>
    <w:rsid w:val="46BA47C2"/>
    <w:rsid w:val="46BB765E"/>
    <w:rsid w:val="46D64DD7"/>
    <w:rsid w:val="46D7495C"/>
    <w:rsid w:val="46DA02D9"/>
    <w:rsid w:val="46F427C7"/>
    <w:rsid w:val="46F438F7"/>
    <w:rsid w:val="46F43BD9"/>
    <w:rsid w:val="46F95916"/>
    <w:rsid w:val="46FE5DB8"/>
    <w:rsid w:val="470C72B9"/>
    <w:rsid w:val="470D2F62"/>
    <w:rsid w:val="4710374A"/>
    <w:rsid w:val="4718603E"/>
    <w:rsid w:val="471D4CB0"/>
    <w:rsid w:val="4723541D"/>
    <w:rsid w:val="47256588"/>
    <w:rsid w:val="472C3214"/>
    <w:rsid w:val="473050C1"/>
    <w:rsid w:val="47326D4E"/>
    <w:rsid w:val="475B786F"/>
    <w:rsid w:val="475FADFC"/>
    <w:rsid w:val="4765206C"/>
    <w:rsid w:val="477B2B8E"/>
    <w:rsid w:val="47814304"/>
    <w:rsid w:val="47843F76"/>
    <w:rsid w:val="47864F47"/>
    <w:rsid w:val="478B7614"/>
    <w:rsid w:val="479F6D48"/>
    <w:rsid w:val="47A345BE"/>
    <w:rsid w:val="47A74A6E"/>
    <w:rsid w:val="47B2140D"/>
    <w:rsid w:val="47B279FC"/>
    <w:rsid w:val="47B62BDA"/>
    <w:rsid w:val="47B70B10"/>
    <w:rsid w:val="47C76806"/>
    <w:rsid w:val="47E328E4"/>
    <w:rsid w:val="47E6539F"/>
    <w:rsid w:val="47E76DB5"/>
    <w:rsid w:val="47F241AB"/>
    <w:rsid w:val="47F44E19"/>
    <w:rsid w:val="47FF773A"/>
    <w:rsid w:val="47FFF4BB"/>
    <w:rsid w:val="48025E63"/>
    <w:rsid w:val="48096E61"/>
    <w:rsid w:val="48164085"/>
    <w:rsid w:val="48282106"/>
    <w:rsid w:val="484323CF"/>
    <w:rsid w:val="484564C5"/>
    <w:rsid w:val="4854681C"/>
    <w:rsid w:val="485B6043"/>
    <w:rsid w:val="485D351D"/>
    <w:rsid w:val="485E64DF"/>
    <w:rsid w:val="48797688"/>
    <w:rsid w:val="487F180D"/>
    <w:rsid w:val="488327FF"/>
    <w:rsid w:val="48874608"/>
    <w:rsid w:val="489E2F22"/>
    <w:rsid w:val="48A279E5"/>
    <w:rsid w:val="48AE07FB"/>
    <w:rsid w:val="48CA5BDD"/>
    <w:rsid w:val="48D70F23"/>
    <w:rsid w:val="48D7347B"/>
    <w:rsid w:val="48D91E9A"/>
    <w:rsid w:val="48E1229C"/>
    <w:rsid w:val="48FD3F53"/>
    <w:rsid w:val="48FE483B"/>
    <w:rsid w:val="490A31EA"/>
    <w:rsid w:val="49204394"/>
    <w:rsid w:val="49273E0A"/>
    <w:rsid w:val="492809FC"/>
    <w:rsid w:val="49295B00"/>
    <w:rsid w:val="493605C1"/>
    <w:rsid w:val="49371193"/>
    <w:rsid w:val="49383978"/>
    <w:rsid w:val="49422109"/>
    <w:rsid w:val="4944592C"/>
    <w:rsid w:val="494758DD"/>
    <w:rsid w:val="494F77BB"/>
    <w:rsid w:val="495163FD"/>
    <w:rsid w:val="498F6B83"/>
    <w:rsid w:val="4990050C"/>
    <w:rsid w:val="49905F6E"/>
    <w:rsid w:val="49926105"/>
    <w:rsid w:val="49984919"/>
    <w:rsid w:val="499968D8"/>
    <w:rsid w:val="49A168DB"/>
    <w:rsid w:val="49A202BD"/>
    <w:rsid w:val="49B7467B"/>
    <w:rsid w:val="49BB4DFF"/>
    <w:rsid w:val="49DA6140"/>
    <w:rsid w:val="49E44725"/>
    <w:rsid w:val="49ED5CD0"/>
    <w:rsid w:val="49F6782D"/>
    <w:rsid w:val="4A006538"/>
    <w:rsid w:val="4A060E41"/>
    <w:rsid w:val="4A13062D"/>
    <w:rsid w:val="4A247656"/>
    <w:rsid w:val="4A27484B"/>
    <w:rsid w:val="4A295BD9"/>
    <w:rsid w:val="4A2E3588"/>
    <w:rsid w:val="4A35554B"/>
    <w:rsid w:val="4A3641DE"/>
    <w:rsid w:val="4A4A7727"/>
    <w:rsid w:val="4A4D4AF3"/>
    <w:rsid w:val="4A551DC2"/>
    <w:rsid w:val="4A5C4BFA"/>
    <w:rsid w:val="4A637FA2"/>
    <w:rsid w:val="4A683F6B"/>
    <w:rsid w:val="4A7578C9"/>
    <w:rsid w:val="4A7D7891"/>
    <w:rsid w:val="4A7E4254"/>
    <w:rsid w:val="4A922B5E"/>
    <w:rsid w:val="4A9557AD"/>
    <w:rsid w:val="4AA3106B"/>
    <w:rsid w:val="4AAA2A7D"/>
    <w:rsid w:val="4AAB7AF7"/>
    <w:rsid w:val="4AAF78C3"/>
    <w:rsid w:val="4AB2178A"/>
    <w:rsid w:val="4ABA6312"/>
    <w:rsid w:val="4ACF6D04"/>
    <w:rsid w:val="4ADB0F88"/>
    <w:rsid w:val="4AE9143A"/>
    <w:rsid w:val="4AE9280F"/>
    <w:rsid w:val="4AF13B72"/>
    <w:rsid w:val="4AF20E05"/>
    <w:rsid w:val="4AF67242"/>
    <w:rsid w:val="4AFA0424"/>
    <w:rsid w:val="4B054CFE"/>
    <w:rsid w:val="4B117368"/>
    <w:rsid w:val="4B2268F4"/>
    <w:rsid w:val="4B23088F"/>
    <w:rsid w:val="4B257BC2"/>
    <w:rsid w:val="4B3B31C8"/>
    <w:rsid w:val="4B3D4D2C"/>
    <w:rsid w:val="4B432B93"/>
    <w:rsid w:val="4B4817B5"/>
    <w:rsid w:val="4B660844"/>
    <w:rsid w:val="4B6B3337"/>
    <w:rsid w:val="4B7C3D8C"/>
    <w:rsid w:val="4B975535"/>
    <w:rsid w:val="4BA14F47"/>
    <w:rsid w:val="4BA44B18"/>
    <w:rsid w:val="4BB12A34"/>
    <w:rsid w:val="4BB15C21"/>
    <w:rsid w:val="4BC00CD1"/>
    <w:rsid w:val="4BCD4D56"/>
    <w:rsid w:val="4BCD5AFB"/>
    <w:rsid w:val="4BDB6776"/>
    <w:rsid w:val="4BE06EB7"/>
    <w:rsid w:val="4BE33950"/>
    <w:rsid w:val="4BEB7DF9"/>
    <w:rsid w:val="4BF13E9C"/>
    <w:rsid w:val="4BF63E77"/>
    <w:rsid w:val="4C171611"/>
    <w:rsid w:val="4C3103F7"/>
    <w:rsid w:val="4C3C127F"/>
    <w:rsid w:val="4C427B95"/>
    <w:rsid w:val="4C4669D2"/>
    <w:rsid w:val="4C4C6FD2"/>
    <w:rsid w:val="4C871830"/>
    <w:rsid w:val="4C8B0174"/>
    <w:rsid w:val="4C9926CC"/>
    <w:rsid w:val="4CA246B5"/>
    <w:rsid w:val="4CA62D4C"/>
    <w:rsid w:val="4CA75A70"/>
    <w:rsid w:val="4CAA3342"/>
    <w:rsid w:val="4CAA7011"/>
    <w:rsid w:val="4CB656F2"/>
    <w:rsid w:val="4CC3103C"/>
    <w:rsid w:val="4CCB42C5"/>
    <w:rsid w:val="4CCF0711"/>
    <w:rsid w:val="4CCF17BD"/>
    <w:rsid w:val="4CD55BEB"/>
    <w:rsid w:val="4CE81FC6"/>
    <w:rsid w:val="4CF520EB"/>
    <w:rsid w:val="4D020122"/>
    <w:rsid w:val="4D026969"/>
    <w:rsid w:val="4D0C2C77"/>
    <w:rsid w:val="4D137130"/>
    <w:rsid w:val="4D1A1400"/>
    <w:rsid w:val="4D1E4578"/>
    <w:rsid w:val="4D335236"/>
    <w:rsid w:val="4D3A7147"/>
    <w:rsid w:val="4D447064"/>
    <w:rsid w:val="4D4B2AFD"/>
    <w:rsid w:val="4D4B9B12"/>
    <w:rsid w:val="4D4F3090"/>
    <w:rsid w:val="4D6B1C74"/>
    <w:rsid w:val="4D722A68"/>
    <w:rsid w:val="4D7C0D00"/>
    <w:rsid w:val="4D87352F"/>
    <w:rsid w:val="4D931243"/>
    <w:rsid w:val="4D9D7588"/>
    <w:rsid w:val="4DB51809"/>
    <w:rsid w:val="4DBC6539"/>
    <w:rsid w:val="4DC451D7"/>
    <w:rsid w:val="4DD475D1"/>
    <w:rsid w:val="4DD776AB"/>
    <w:rsid w:val="4DDB5EB1"/>
    <w:rsid w:val="4DF831B6"/>
    <w:rsid w:val="4E08517B"/>
    <w:rsid w:val="4E3360B8"/>
    <w:rsid w:val="4E347D1E"/>
    <w:rsid w:val="4E3653FD"/>
    <w:rsid w:val="4E37755B"/>
    <w:rsid w:val="4E3E4076"/>
    <w:rsid w:val="4E3EFC21"/>
    <w:rsid w:val="4E473566"/>
    <w:rsid w:val="4E503CDF"/>
    <w:rsid w:val="4E5972CA"/>
    <w:rsid w:val="4E647908"/>
    <w:rsid w:val="4E681FAD"/>
    <w:rsid w:val="4E784D81"/>
    <w:rsid w:val="4E790CD6"/>
    <w:rsid w:val="4E825454"/>
    <w:rsid w:val="4E837F79"/>
    <w:rsid w:val="4E8B47DA"/>
    <w:rsid w:val="4E971287"/>
    <w:rsid w:val="4E9D0C5E"/>
    <w:rsid w:val="4EA5389D"/>
    <w:rsid w:val="4EA82125"/>
    <w:rsid w:val="4EA968C2"/>
    <w:rsid w:val="4EB173C6"/>
    <w:rsid w:val="4EB733D6"/>
    <w:rsid w:val="4EE17B83"/>
    <w:rsid w:val="4EE6611F"/>
    <w:rsid w:val="4F0AE590"/>
    <w:rsid w:val="4F321DBF"/>
    <w:rsid w:val="4F452886"/>
    <w:rsid w:val="4F4D1362"/>
    <w:rsid w:val="4F510335"/>
    <w:rsid w:val="4F5C39D0"/>
    <w:rsid w:val="4F5E4B10"/>
    <w:rsid w:val="4F701229"/>
    <w:rsid w:val="4F7864E2"/>
    <w:rsid w:val="4F7FB072"/>
    <w:rsid w:val="4F972442"/>
    <w:rsid w:val="4FA25A31"/>
    <w:rsid w:val="4FB91209"/>
    <w:rsid w:val="4FBD1A1F"/>
    <w:rsid w:val="4FBE1DF5"/>
    <w:rsid w:val="4FBF6F62"/>
    <w:rsid w:val="4FC24E8A"/>
    <w:rsid w:val="4FDD4F79"/>
    <w:rsid w:val="4FE751A1"/>
    <w:rsid w:val="4FF10B69"/>
    <w:rsid w:val="4FF13241"/>
    <w:rsid w:val="4FF721D3"/>
    <w:rsid w:val="4FF79C62"/>
    <w:rsid w:val="4FFD57A5"/>
    <w:rsid w:val="4FFD8991"/>
    <w:rsid w:val="4FFFBD99"/>
    <w:rsid w:val="500D5DB3"/>
    <w:rsid w:val="5010374D"/>
    <w:rsid w:val="501613EA"/>
    <w:rsid w:val="5033292A"/>
    <w:rsid w:val="503E0ED2"/>
    <w:rsid w:val="5041076F"/>
    <w:rsid w:val="504A4CDB"/>
    <w:rsid w:val="505356F4"/>
    <w:rsid w:val="5067527D"/>
    <w:rsid w:val="506816E0"/>
    <w:rsid w:val="50744D60"/>
    <w:rsid w:val="50803083"/>
    <w:rsid w:val="50886413"/>
    <w:rsid w:val="508865A2"/>
    <w:rsid w:val="50937803"/>
    <w:rsid w:val="50A34C80"/>
    <w:rsid w:val="50AD68A1"/>
    <w:rsid w:val="50B22361"/>
    <w:rsid w:val="50B65562"/>
    <w:rsid w:val="50C3153F"/>
    <w:rsid w:val="50C833CB"/>
    <w:rsid w:val="50D51337"/>
    <w:rsid w:val="50EC10D6"/>
    <w:rsid w:val="50EE3A87"/>
    <w:rsid w:val="50FA0253"/>
    <w:rsid w:val="50FE58B0"/>
    <w:rsid w:val="510224A3"/>
    <w:rsid w:val="51096FBC"/>
    <w:rsid w:val="510C0E2E"/>
    <w:rsid w:val="511023D2"/>
    <w:rsid w:val="513833F4"/>
    <w:rsid w:val="513B4C0C"/>
    <w:rsid w:val="51431745"/>
    <w:rsid w:val="5150081D"/>
    <w:rsid w:val="516171A0"/>
    <w:rsid w:val="5162232C"/>
    <w:rsid w:val="51636DAE"/>
    <w:rsid w:val="5167665C"/>
    <w:rsid w:val="51722F47"/>
    <w:rsid w:val="51767FF0"/>
    <w:rsid w:val="51955D74"/>
    <w:rsid w:val="51A551DA"/>
    <w:rsid w:val="51AE6FCB"/>
    <w:rsid w:val="51B63DF6"/>
    <w:rsid w:val="51CC5E14"/>
    <w:rsid w:val="51E23F34"/>
    <w:rsid w:val="51E420A0"/>
    <w:rsid w:val="51E473ED"/>
    <w:rsid w:val="51ED0FAB"/>
    <w:rsid w:val="51F9411A"/>
    <w:rsid w:val="51FD1A5C"/>
    <w:rsid w:val="51FF2A58"/>
    <w:rsid w:val="52211C80"/>
    <w:rsid w:val="5226155A"/>
    <w:rsid w:val="522639F0"/>
    <w:rsid w:val="522919DD"/>
    <w:rsid w:val="522B3864"/>
    <w:rsid w:val="523C2CD5"/>
    <w:rsid w:val="5241072B"/>
    <w:rsid w:val="524C3FFD"/>
    <w:rsid w:val="52523205"/>
    <w:rsid w:val="5254050B"/>
    <w:rsid w:val="5259024D"/>
    <w:rsid w:val="52634BD2"/>
    <w:rsid w:val="52682C3F"/>
    <w:rsid w:val="52760D63"/>
    <w:rsid w:val="527F6CB5"/>
    <w:rsid w:val="528668E2"/>
    <w:rsid w:val="528D53C6"/>
    <w:rsid w:val="52A36D3A"/>
    <w:rsid w:val="52B61074"/>
    <w:rsid w:val="52C76A06"/>
    <w:rsid w:val="52CC22C8"/>
    <w:rsid w:val="52D37065"/>
    <w:rsid w:val="52F3427A"/>
    <w:rsid w:val="52F5267F"/>
    <w:rsid w:val="52FA0223"/>
    <w:rsid w:val="530144F2"/>
    <w:rsid w:val="53074D0E"/>
    <w:rsid w:val="53132F1F"/>
    <w:rsid w:val="531C6B04"/>
    <w:rsid w:val="53346DCF"/>
    <w:rsid w:val="53365130"/>
    <w:rsid w:val="533D5940"/>
    <w:rsid w:val="533EC6B1"/>
    <w:rsid w:val="534E3116"/>
    <w:rsid w:val="535F4C6A"/>
    <w:rsid w:val="53615D77"/>
    <w:rsid w:val="537428F6"/>
    <w:rsid w:val="537A110E"/>
    <w:rsid w:val="538A3FFC"/>
    <w:rsid w:val="539908EE"/>
    <w:rsid w:val="53A5332D"/>
    <w:rsid w:val="53B659C6"/>
    <w:rsid w:val="53BA3A2B"/>
    <w:rsid w:val="53BF452D"/>
    <w:rsid w:val="53C3637A"/>
    <w:rsid w:val="53C7425F"/>
    <w:rsid w:val="53F47C07"/>
    <w:rsid w:val="53FA7012"/>
    <w:rsid w:val="54017C77"/>
    <w:rsid w:val="5405643C"/>
    <w:rsid w:val="54154D59"/>
    <w:rsid w:val="54282813"/>
    <w:rsid w:val="543D474F"/>
    <w:rsid w:val="544A47D3"/>
    <w:rsid w:val="545753FB"/>
    <w:rsid w:val="545B53C8"/>
    <w:rsid w:val="54730839"/>
    <w:rsid w:val="54791626"/>
    <w:rsid w:val="547D2F9E"/>
    <w:rsid w:val="547D731B"/>
    <w:rsid w:val="54895F6F"/>
    <w:rsid w:val="548F6CA3"/>
    <w:rsid w:val="5496345A"/>
    <w:rsid w:val="54B30C5E"/>
    <w:rsid w:val="54B8031D"/>
    <w:rsid w:val="54BC4F94"/>
    <w:rsid w:val="54BD088F"/>
    <w:rsid w:val="54DB1C81"/>
    <w:rsid w:val="54DD0277"/>
    <w:rsid w:val="54E04D01"/>
    <w:rsid w:val="54E04D60"/>
    <w:rsid w:val="54E36374"/>
    <w:rsid w:val="54E535D3"/>
    <w:rsid w:val="54EF288B"/>
    <w:rsid w:val="54F070DE"/>
    <w:rsid w:val="550B5058"/>
    <w:rsid w:val="550E21DD"/>
    <w:rsid w:val="55105FF9"/>
    <w:rsid w:val="5515023E"/>
    <w:rsid w:val="551D5901"/>
    <w:rsid w:val="552176E2"/>
    <w:rsid w:val="5535086A"/>
    <w:rsid w:val="553B15EC"/>
    <w:rsid w:val="554076AF"/>
    <w:rsid w:val="554100C8"/>
    <w:rsid w:val="555D3FFE"/>
    <w:rsid w:val="55647267"/>
    <w:rsid w:val="55692886"/>
    <w:rsid w:val="55781630"/>
    <w:rsid w:val="55787787"/>
    <w:rsid w:val="558572E3"/>
    <w:rsid w:val="5588360C"/>
    <w:rsid w:val="558C23AE"/>
    <w:rsid w:val="558C4235"/>
    <w:rsid w:val="55A8397C"/>
    <w:rsid w:val="55B70915"/>
    <w:rsid w:val="55BF392A"/>
    <w:rsid w:val="55C335FF"/>
    <w:rsid w:val="55D24AB8"/>
    <w:rsid w:val="55D70A42"/>
    <w:rsid w:val="55D903ED"/>
    <w:rsid w:val="55FF46FF"/>
    <w:rsid w:val="55FFCF4E"/>
    <w:rsid w:val="56102E1E"/>
    <w:rsid w:val="56112CBE"/>
    <w:rsid w:val="56124F67"/>
    <w:rsid w:val="56253E24"/>
    <w:rsid w:val="562770B6"/>
    <w:rsid w:val="562F0650"/>
    <w:rsid w:val="56325048"/>
    <w:rsid w:val="564D1EEA"/>
    <w:rsid w:val="564E5475"/>
    <w:rsid w:val="565270C9"/>
    <w:rsid w:val="56556039"/>
    <w:rsid w:val="565D713B"/>
    <w:rsid w:val="566E43CB"/>
    <w:rsid w:val="567134D1"/>
    <w:rsid w:val="567601AC"/>
    <w:rsid w:val="56817115"/>
    <w:rsid w:val="568D1ECF"/>
    <w:rsid w:val="56A032C5"/>
    <w:rsid w:val="56A81C1A"/>
    <w:rsid w:val="56B778AE"/>
    <w:rsid w:val="56BB3924"/>
    <w:rsid w:val="56C4326C"/>
    <w:rsid w:val="56CB1868"/>
    <w:rsid w:val="56CC25C8"/>
    <w:rsid w:val="56CC4CE7"/>
    <w:rsid w:val="56E056D4"/>
    <w:rsid w:val="56EC3B91"/>
    <w:rsid w:val="56EE30C2"/>
    <w:rsid w:val="56F813A0"/>
    <w:rsid w:val="56FD9C2C"/>
    <w:rsid w:val="57003F7A"/>
    <w:rsid w:val="5701658C"/>
    <w:rsid w:val="57032046"/>
    <w:rsid w:val="57096108"/>
    <w:rsid w:val="571662CD"/>
    <w:rsid w:val="57455942"/>
    <w:rsid w:val="57462B4B"/>
    <w:rsid w:val="574865E8"/>
    <w:rsid w:val="574B0213"/>
    <w:rsid w:val="574F2990"/>
    <w:rsid w:val="575647A8"/>
    <w:rsid w:val="575D4053"/>
    <w:rsid w:val="57672B61"/>
    <w:rsid w:val="57810778"/>
    <w:rsid w:val="578515EA"/>
    <w:rsid w:val="57981DED"/>
    <w:rsid w:val="57A763FB"/>
    <w:rsid w:val="57A83EF8"/>
    <w:rsid w:val="57B45537"/>
    <w:rsid w:val="57CA30B6"/>
    <w:rsid w:val="57D17F4B"/>
    <w:rsid w:val="57D601E0"/>
    <w:rsid w:val="57DDF298"/>
    <w:rsid w:val="57F16032"/>
    <w:rsid w:val="57F934C0"/>
    <w:rsid w:val="57F93FED"/>
    <w:rsid w:val="58013D55"/>
    <w:rsid w:val="58233E6B"/>
    <w:rsid w:val="583152CE"/>
    <w:rsid w:val="583F6838"/>
    <w:rsid w:val="58404354"/>
    <w:rsid w:val="58422934"/>
    <w:rsid w:val="585B5805"/>
    <w:rsid w:val="58634DD0"/>
    <w:rsid w:val="586844B6"/>
    <w:rsid w:val="58786C58"/>
    <w:rsid w:val="58951C97"/>
    <w:rsid w:val="58AF735F"/>
    <w:rsid w:val="58B0410D"/>
    <w:rsid w:val="58B6797B"/>
    <w:rsid w:val="58BB21A4"/>
    <w:rsid w:val="58C62C27"/>
    <w:rsid w:val="58C963C2"/>
    <w:rsid w:val="58CA4549"/>
    <w:rsid w:val="58CC2A45"/>
    <w:rsid w:val="58D222ED"/>
    <w:rsid w:val="58E86451"/>
    <w:rsid w:val="58FC5AEF"/>
    <w:rsid w:val="59035AFA"/>
    <w:rsid w:val="5904247D"/>
    <w:rsid w:val="59147540"/>
    <w:rsid w:val="591E45BB"/>
    <w:rsid w:val="59201ECA"/>
    <w:rsid w:val="592F1BA0"/>
    <w:rsid w:val="593E64CA"/>
    <w:rsid w:val="594556FD"/>
    <w:rsid w:val="59534CCC"/>
    <w:rsid w:val="595A2183"/>
    <w:rsid w:val="596379A9"/>
    <w:rsid w:val="597115A7"/>
    <w:rsid w:val="59772EB0"/>
    <w:rsid w:val="59787FEA"/>
    <w:rsid w:val="597D0736"/>
    <w:rsid w:val="59834524"/>
    <w:rsid w:val="59843F5D"/>
    <w:rsid w:val="598B6C60"/>
    <w:rsid w:val="5991071A"/>
    <w:rsid w:val="59934B4F"/>
    <w:rsid w:val="599B2EE3"/>
    <w:rsid w:val="599D1E62"/>
    <w:rsid w:val="59AA1CA3"/>
    <w:rsid w:val="59AC3E0E"/>
    <w:rsid w:val="59B30318"/>
    <w:rsid w:val="59C02604"/>
    <w:rsid w:val="59C5588A"/>
    <w:rsid w:val="59CF1ADD"/>
    <w:rsid w:val="59D17D75"/>
    <w:rsid w:val="59D471D7"/>
    <w:rsid w:val="59DD238D"/>
    <w:rsid w:val="59E37B16"/>
    <w:rsid w:val="59E61693"/>
    <w:rsid w:val="5A030835"/>
    <w:rsid w:val="5A1317F0"/>
    <w:rsid w:val="5A2646DB"/>
    <w:rsid w:val="5A2B57AE"/>
    <w:rsid w:val="5A321BEA"/>
    <w:rsid w:val="5A366F84"/>
    <w:rsid w:val="5A3F0176"/>
    <w:rsid w:val="5A442FFB"/>
    <w:rsid w:val="5A47744D"/>
    <w:rsid w:val="5A6421B1"/>
    <w:rsid w:val="5A6D2DB1"/>
    <w:rsid w:val="5A6E407A"/>
    <w:rsid w:val="5A7E74F9"/>
    <w:rsid w:val="5A7F1FEE"/>
    <w:rsid w:val="5A8E165E"/>
    <w:rsid w:val="5AA72176"/>
    <w:rsid w:val="5AAD7BDE"/>
    <w:rsid w:val="5AAE0441"/>
    <w:rsid w:val="5AAE5BEC"/>
    <w:rsid w:val="5AD1351F"/>
    <w:rsid w:val="5AD339D9"/>
    <w:rsid w:val="5AD85B99"/>
    <w:rsid w:val="5ADC59C5"/>
    <w:rsid w:val="5AE8322E"/>
    <w:rsid w:val="5AEC73A3"/>
    <w:rsid w:val="5AEF1185"/>
    <w:rsid w:val="5AF11C14"/>
    <w:rsid w:val="5AFA3298"/>
    <w:rsid w:val="5B016D34"/>
    <w:rsid w:val="5B0B39F4"/>
    <w:rsid w:val="5B0D7295"/>
    <w:rsid w:val="5B206399"/>
    <w:rsid w:val="5B224853"/>
    <w:rsid w:val="5B456E93"/>
    <w:rsid w:val="5B4C2ADE"/>
    <w:rsid w:val="5B5137E3"/>
    <w:rsid w:val="5B51735D"/>
    <w:rsid w:val="5B673616"/>
    <w:rsid w:val="5B681B2C"/>
    <w:rsid w:val="5B694FAE"/>
    <w:rsid w:val="5B7F9722"/>
    <w:rsid w:val="5B83792C"/>
    <w:rsid w:val="5B8F6EDB"/>
    <w:rsid w:val="5B902EC7"/>
    <w:rsid w:val="5B9E223B"/>
    <w:rsid w:val="5BA14F87"/>
    <w:rsid w:val="5BAD3BAD"/>
    <w:rsid w:val="5BAD73DC"/>
    <w:rsid w:val="5BBB4917"/>
    <w:rsid w:val="5BD133DF"/>
    <w:rsid w:val="5BD366A4"/>
    <w:rsid w:val="5BD42B40"/>
    <w:rsid w:val="5BE3130E"/>
    <w:rsid w:val="5BED3C29"/>
    <w:rsid w:val="5BF51E6A"/>
    <w:rsid w:val="5BFEABFF"/>
    <w:rsid w:val="5C093177"/>
    <w:rsid w:val="5C0D0073"/>
    <w:rsid w:val="5C144FCE"/>
    <w:rsid w:val="5C3E78DA"/>
    <w:rsid w:val="5C5342DE"/>
    <w:rsid w:val="5C5E1DE9"/>
    <w:rsid w:val="5C611C30"/>
    <w:rsid w:val="5C640E34"/>
    <w:rsid w:val="5C654CF3"/>
    <w:rsid w:val="5C692CEC"/>
    <w:rsid w:val="5C6C06E7"/>
    <w:rsid w:val="5C6D3417"/>
    <w:rsid w:val="5C8D2EAA"/>
    <w:rsid w:val="5C9256E7"/>
    <w:rsid w:val="5CA531D1"/>
    <w:rsid w:val="5CAD5B70"/>
    <w:rsid w:val="5CB75213"/>
    <w:rsid w:val="5CBA1507"/>
    <w:rsid w:val="5CBC5D91"/>
    <w:rsid w:val="5CC20563"/>
    <w:rsid w:val="5CCA12C8"/>
    <w:rsid w:val="5CD374BB"/>
    <w:rsid w:val="5CE95646"/>
    <w:rsid w:val="5CF1327E"/>
    <w:rsid w:val="5CF7FB0B"/>
    <w:rsid w:val="5CFB164F"/>
    <w:rsid w:val="5D160E63"/>
    <w:rsid w:val="5D170048"/>
    <w:rsid w:val="5D17051D"/>
    <w:rsid w:val="5D2E727E"/>
    <w:rsid w:val="5D40035D"/>
    <w:rsid w:val="5D49706D"/>
    <w:rsid w:val="5D5F77DD"/>
    <w:rsid w:val="5D717B18"/>
    <w:rsid w:val="5D7E5B54"/>
    <w:rsid w:val="5D840C43"/>
    <w:rsid w:val="5D85209B"/>
    <w:rsid w:val="5D9B10BC"/>
    <w:rsid w:val="5DAA3645"/>
    <w:rsid w:val="5DAE77A4"/>
    <w:rsid w:val="5DAF73C1"/>
    <w:rsid w:val="5DB57EF0"/>
    <w:rsid w:val="5DB6074F"/>
    <w:rsid w:val="5DB7551A"/>
    <w:rsid w:val="5DD45079"/>
    <w:rsid w:val="5DD91218"/>
    <w:rsid w:val="5DE65E66"/>
    <w:rsid w:val="5DE8676B"/>
    <w:rsid w:val="5DE96D9A"/>
    <w:rsid w:val="5DF47894"/>
    <w:rsid w:val="5E084D23"/>
    <w:rsid w:val="5E0C65C1"/>
    <w:rsid w:val="5E1044A2"/>
    <w:rsid w:val="5E162F9C"/>
    <w:rsid w:val="5E192361"/>
    <w:rsid w:val="5E1BFFF8"/>
    <w:rsid w:val="5E1F592C"/>
    <w:rsid w:val="5E2B3F08"/>
    <w:rsid w:val="5E366F27"/>
    <w:rsid w:val="5E386453"/>
    <w:rsid w:val="5E3A712D"/>
    <w:rsid w:val="5E415746"/>
    <w:rsid w:val="5E67210D"/>
    <w:rsid w:val="5E7D126D"/>
    <w:rsid w:val="5E8001BD"/>
    <w:rsid w:val="5E8A7599"/>
    <w:rsid w:val="5E915FF6"/>
    <w:rsid w:val="5E9206AE"/>
    <w:rsid w:val="5EB455C5"/>
    <w:rsid w:val="5EB703F3"/>
    <w:rsid w:val="5EBB6057"/>
    <w:rsid w:val="5EBE29B5"/>
    <w:rsid w:val="5ED351EB"/>
    <w:rsid w:val="5EE335F7"/>
    <w:rsid w:val="5EEA2759"/>
    <w:rsid w:val="5EF37781"/>
    <w:rsid w:val="5EFC45A8"/>
    <w:rsid w:val="5EFD4006"/>
    <w:rsid w:val="5EFF0ED2"/>
    <w:rsid w:val="5F053AB2"/>
    <w:rsid w:val="5F126D05"/>
    <w:rsid w:val="5F204F1D"/>
    <w:rsid w:val="5F2832B2"/>
    <w:rsid w:val="5F2B1DCB"/>
    <w:rsid w:val="5F3B830F"/>
    <w:rsid w:val="5F401BE4"/>
    <w:rsid w:val="5F4A1EBB"/>
    <w:rsid w:val="5F4B5E88"/>
    <w:rsid w:val="5F533C7C"/>
    <w:rsid w:val="5F595662"/>
    <w:rsid w:val="5F597B7C"/>
    <w:rsid w:val="5F5B7782"/>
    <w:rsid w:val="5F5E1936"/>
    <w:rsid w:val="5F675B22"/>
    <w:rsid w:val="5F6C4C79"/>
    <w:rsid w:val="5F732EBB"/>
    <w:rsid w:val="5F7D448F"/>
    <w:rsid w:val="5F7F7558"/>
    <w:rsid w:val="5F8250FF"/>
    <w:rsid w:val="5F906917"/>
    <w:rsid w:val="5F912ACF"/>
    <w:rsid w:val="5F9173F4"/>
    <w:rsid w:val="5F954394"/>
    <w:rsid w:val="5F9F7BF6"/>
    <w:rsid w:val="5FA20BE3"/>
    <w:rsid w:val="5FA93397"/>
    <w:rsid w:val="5FBD8762"/>
    <w:rsid w:val="5FBE282E"/>
    <w:rsid w:val="5FC9B189"/>
    <w:rsid w:val="5FD15BC7"/>
    <w:rsid w:val="5FD367A6"/>
    <w:rsid w:val="5FD73AA6"/>
    <w:rsid w:val="5FD85EAF"/>
    <w:rsid w:val="5FDEDBE6"/>
    <w:rsid w:val="5FEEF70E"/>
    <w:rsid w:val="5FF41C37"/>
    <w:rsid w:val="5FF67DBF"/>
    <w:rsid w:val="5FF71E12"/>
    <w:rsid w:val="5FFC4C01"/>
    <w:rsid w:val="5FFF6BF6"/>
    <w:rsid w:val="60104EE3"/>
    <w:rsid w:val="602533C0"/>
    <w:rsid w:val="6027337A"/>
    <w:rsid w:val="6028470C"/>
    <w:rsid w:val="604C1BAD"/>
    <w:rsid w:val="605B4538"/>
    <w:rsid w:val="6068392A"/>
    <w:rsid w:val="60765321"/>
    <w:rsid w:val="60896264"/>
    <w:rsid w:val="608F1BD3"/>
    <w:rsid w:val="60A13248"/>
    <w:rsid w:val="60C5330A"/>
    <w:rsid w:val="60D11BBA"/>
    <w:rsid w:val="60D43683"/>
    <w:rsid w:val="60EB7AA8"/>
    <w:rsid w:val="60EF15B2"/>
    <w:rsid w:val="61001229"/>
    <w:rsid w:val="6121322E"/>
    <w:rsid w:val="61243429"/>
    <w:rsid w:val="61296ACD"/>
    <w:rsid w:val="612C2A9A"/>
    <w:rsid w:val="613D24A2"/>
    <w:rsid w:val="613D3287"/>
    <w:rsid w:val="614149F3"/>
    <w:rsid w:val="61476428"/>
    <w:rsid w:val="614B572C"/>
    <w:rsid w:val="61655B26"/>
    <w:rsid w:val="616638A2"/>
    <w:rsid w:val="616E30DB"/>
    <w:rsid w:val="6179201D"/>
    <w:rsid w:val="6180258F"/>
    <w:rsid w:val="61862C2F"/>
    <w:rsid w:val="618C70A4"/>
    <w:rsid w:val="61A23F59"/>
    <w:rsid w:val="61B90BF2"/>
    <w:rsid w:val="61BC1E65"/>
    <w:rsid w:val="61E8288B"/>
    <w:rsid w:val="61F93300"/>
    <w:rsid w:val="62033646"/>
    <w:rsid w:val="6203710A"/>
    <w:rsid w:val="621F3FC7"/>
    <w:rsid w:val="62320ECD"/>
    <w:rsid w:val="62321792"/>
    <w:rsid w:val="623873CB"/>
    <w:rsid w:val="62420D5E"/>
    <w:rsid w:val="624256F1"/>
    <w:rsid w:val="62461BBC"/>
    <w:rsid w:val="62480825"/>
    <w:rsid w:val="62540C44"/>
    <w:rsid w:val="625A4E9B"/>
    <w:rsid w:val="62635350"/>
    <w:rsid w:val="626A7DDF"/>
    <w:rsid w:val="62871B8B"/>
    <w:rsid w:val="628B5453"/>
    <w:rsid w:val="62983D63"/>
    <w:rsid w:val="62AB33F4"/>
    <w:rsid w:val="62AB4430"/>
    <w:rsid w:val="62C671FE"/>
    <w:rsid w:val="62CC09DC"/>
    <w:rsid w:val="62CD11E8"/>
    <w:rsid w:val="62DF39AC"/>
    <w:rsid w:val="62F7131A"/>
    <w:rsid w:val="63111189"/>
    <w:rsid w:val="63252E32"/>
    <w:rsid w:val="63277B43"/>
    <w:rsid w:val="6337309B"/>
    <w:rsid w:val="633A09A7"/>
    <w:rsid w:val="633C776F"/>
    <w:rsid w:val="63471651"/>
    <w:rsid w:val="636176F3"/>
    <w:rsid w:val="636F572B"/>
    <w:rsid w:val="6374316D"/>
    <w:rsid w:val="638030B4"/>
    <w:rsid w:val="63877230"/>
    <w:rsid w:val="638C249A"/>
    <w:rsid w:val="639E3F76"/>
    <w:rsid w:val="63A8579E"/>
    <w:rsid w:val="63AF2E7A"/>
    <w:rsid w:val="63B1353D"/>
    <w:rsid w:val="63B425DD"/>
    <w:rsid w:val="63B558BF"/>
    <w:rsid w:val="63BE7084"/>
    <w:rsid w:val="63CD3460"/>
    <w:rsid w:val="63DF1582"/>
    <w:rsid w:val="63E646FF"/>
    <w:rsid w:val="63EF3DEF"/>
    <w:rsid w:val="63FE569C"/>
    <w:rsid w:val="6412191B"/>
    <w:rsid w:val="641240B1"/>
    <w:rsid w:val="64161F52"/>
    <w:rsid w:val="64171D73"/>
    <w:rsid w:val="642B3479"/>
    <w:rsid w:val="642F70DC"/>
    <w:rsid w:val="64425440"/>
    <w:rsid w:val="644E2285"/>
    <w:rsid w:val="647F7413"/>
    <w:rsid w:val="648D414A"/>
    <w:rsid w:val="6494530D"/>
    <w:rsid w:val="64A14C54"/>
    <w:rsid w:val="64A357A5"/>
    <w:rsid w:val="64A42E07"/>
    <w:rsid w:val="64A55457"/>
    <w:rsid w:val="64AF0893"/>
    <w:rsid w:val="64B0068F"/>
    <w:rsid w:val="64B0634B"/>
    <w:rsid w:val="64B7DBF3"/>
    <w:rsid w:val="64B93BE4"/>
    <w:rsid w:val="64BC5A53"/>
    <w:rsid w:val="64BD61FD"/>
    <w:rsid w:val="64C60289"/>
    <w:rsid w:val="64CD7386"/>
    <w:rsid w:val="64D03662"/>
    <w:rsid w:val="64E35BA2"/>
    <w:rsid w:val="64E71808"/>
    <w:rsid w:val="64F302E2"/>
    <w:rsid w:val="64F44A85"/>
    <w:rsid w:val="64FC3B23"/>
    <w:rsid w:val="65043CB2"/>
    <w:rsid w:val="650F4BE9"/>
    <w:rsid w:val="651E0B7C"/>
    <w:rsid w:val="65301037"/>
    <w:rsid w:val="653D4887"/>
    <w:rsid w:val="655D27A0"/>
    <w:rsid w:val="655FAE40"/>
    <w:rsid w:val="65655D8C"/>
    <w:rsid w:val="65691302"/>
    <w:rsid w:val="656B45D6"/>
    <w:rsid w:val="6577186E"/>
    <w:rsid w:val="6583118B"/>
    <w:rsid w:val="6583791F"/>
    <w:rsid w:val="658F1D57"/>
    <w:rsid w:val="658F6146"/>
    <w:rsid w:val="658F6F58"/>
    <w:rsid w:val="65995DFE"/>
    <w:rsid w:val="659A3745"/>
    <w:rsid w:val="65A05841"/>
    <w:rsid w:val="65A62B21"/>
    <w:rsid w:val="65AD379D"/>
    <w:rsid w:val="65BB7BCB"/>
    <w:rsid w:val="65C36687"/>
    <w:rsid w:val="65CE14C4"/>
    <w:rsid w:val="65D63B34"/>
    <w:rsid w:val="65DB4320"/>
    <w:rsid w:val="65DD0D4C"/>
    <w:rsid w:val="65E6167B"/>
    <w:rsid w:val="65E842FE"/>
    <w:rsid w:val="65F21C27"/>
    <w:rsid w:val="65F63A27"/>
    <w:rsid w:val="660A6E49"/>
    <w:rsid w:val="661360BB"/>
    <w:rsid w:val="66253C88"/>
    <w:rsid w:val="66292964"/>
    <w:rsid w:val="6629362D"/>
    <w:rsid w:val="663C2578"/>
    <w:rsid w:val="663D2E15"/>
    <w:rsid w:val="663F36BF"/>
    <w:rsid w:val="66482D7B"/>
    <w:rsid w:val="66497400"/>
    <w:rsid w:val="664D3C1B"/>
    <w:rsid w:val="66517729"/>
    <w:rsid w:val="666F5074"/>
    <w:rsid w:val="667558EB"/>
    <w:rsid w:val="66866840"/>
    <w:rsid w:val="66950E06"/>
    <w:rsid w:val="66A12504"/>
    <w:rsid w:val="66A46015"/>
    <w:rsid w:val="66BB34F8"/>
    <w:rsid w:val="66CF4C55"/>
    <w:rsid w:val="66D11DEE"/>
    <w:rsid w:val="66D63CEA"/>
    <w:rsid w:val="66DD70A5"/>
    <w:rsid w:val="66E40448"/>
    <w:rsid w:val="66E97C6C"/>
    <w:rsid w:val="66ECC6D3"/>
    <w:rsid w:val="66F47B37"/>
    <w:rsid w:val="6703542F"/>
    <w:rsid w:val="670871A8"/>
    <w:rsid w:val="672D3127"/>
    <w:rsid w:val="67420658"/>
    <w:rsid w:val="67451124"/>
    <w:rsid w:val="674533A1"/>
    <w:rsid w:val="675178A4"/>
    <w:rsid w:val="67782CEF"/>
    <w:rsid w:val="677835B0"/>
    <w:rsid w:val="677F7F0C"/>
    <w:rsid w:val="67802496"/>
    <w:rsid w:val="678540B5"/>
    <w:rsid w:val="6788348E"/>
    <w:rsid w:val="678B2A98"/>
    <w:rsid w:val="679735E0"/>
    <w:rsid w:val="6797CC6D"/>
    <w:rsid w:val="67A400CA"/>
    <w:rsid w:val="67A50830"/>
    <w:rsid w:val="67A538BA"/>
    <w:rsid w:val="67A73955"/>
    <w:rsid w:val="67A90441"/>
    <w:rsid w:val="67AB5814"/>
    <w:rsid w:val="67C20C79"/>
    <w:rsid w:val="67C57F48"/>
    <w:rsid w:val="67D60266"/>
    <w:rsid w:val="67D7E992"/>
    <w:rsid w:val="67DE4EEE"/>
    <w:rsid w:val="67E46554"/>
    <w:rsid w:val="67ED5955"/>
    <w:rsid w:val="68010AE0"/>
    <w:rsid w:val="68022E63"/>
    <w:rsid w:val="68052F36"/>
    <w:rsid w:val="6808141A"/>
    <w:rsid w:val="68142C42"/>
    <w:rsid w:val="681A272F"/>
    <w:rsid w:val="68366331"/>
    <w:rsid w:val="68400AB2"/>
    <w:rsid w:val="6841737C"/>
    <w:rsid w:val="68455B1A"/>
    <w:rsid w:val="684D63BA"/>
    <w:rsid w:val="68536D0C"/>
    <w:rsid w:val="686B3644"/>
    <w:rsid w:val="687122A5"/>
    <w:rsid w:val="68806747"/>
    <w:rsid w:val="68827E4E"/>
    <w:rsid w:val="68866D0B"/>
    <w:rsid w:val="688C2726"/>
    <w:rsid w:val="689474C6"/>
    <w:rsid w:val="689478DF"/>
    <w:rsid w:val="689A44D2"/>
    <w:rsid w:val="68AD5620"/>
    <w:rsid w:val="68BA7E2F"/>
    <w:rsid w:val="68CE48DE"/>
    <w:rsid w:val="68D044F1"/>
    <w:rsid w:val="68E47A64"/>
    <w:rsid w:val="68E94352"/>
    <w:rsid w:val="68EC7D6D"/>
    <w:rsid w:val="68F058E5"/>
    <w:rsid w:val="68F20AA9"/>
    <w:rsid w:val="6902255E"/>
    <w:rsid w:val="69081F0D"/>
    <w:rsid w:val="69120C40"/>
    <w:rsid w:val="69185E16"/>
    <w:rsid w:val="691B0000"/>
    <w:rsid w:val="6922628D"/>
    <w:rsid w:val="69243CCB"/>
    <w:rsid w:val="692D10A8"/>
    <w:rsid w:val="694E1343"/>
    <w:rsid w:val="69531548"/>
    <w:rsid w:val="696778E1"/>
    <w:rsid w:val="6976628D"/>
    <w:rsid w:val="69781887"/>
    <w:rsid w:val="6979522C"/>
    <w:rsid w:val="69911493"/>
    <w:rsid w:val="69945F1A"/>
    <w:rsid w:val="69A264FB"/>
    <w:rsid w:val="69A463E4"/>
    <w:rsid w:val="69C159B6"/>
    <w:rsid w:val="69C30356"/>
    <w:rsid w:val="69C356D6"/>
    <w:rsid w:val="69C67757"/>
    <w:rsid w:val="69D152E0"/>
    <w:rsid w:val="69D54C7F"/>
    <w:rsid w:val="69DA7E3E"/>
    <w:rsid w:val="69E00A4D"/>
    <w:rsid w:val="69EB2D32"/>
    <w:rsid w:val="69FB5FAE"/>
    <w:rsid w:val="69FD50EC"/>
    <w:rsid w:val="6A0763EF"/>
    <w:rsid w:val="6A0D33A8"/>
    <w:rsid w:val="6A1C386D"/>
    <w:rsid w:val="6A276531"/>
    <w:rsid w:val="6A2E5337"/>
    <w:rsid w:val="6A345BC3"/>
    <w:rsid w:val="6A3B1068"/>
    <w:rsid w:val="6A4E57F6"/>
    <w:rsid w:val="6A4F412A"/>
    <w:rsid w:val="6A5F7EB4"/>
    <w:rsid w:val="6A7202D9"/>
    <w:rsid w:val="6A856090"/>
    <w:rsid w:val="6A8E7D3F"/>
    <w:rsid w:val="6A9B7BF1"/>
    <w:rsid w:val="6A9F3D8E"/>
    <w:rsid w:val="6AA04EB0"/>
    <w:rsid w:val="6ABD3F83"/>
    <w:rsid w:val="6AC86960"/>
    <w:rsid w:val="6ACB1AF0"/>
    <w:rsid w:val="6ACD4F83"/>
    <w:rsid w:val="6ADB2C10"/>
    <w:rsid w:val="6ADFB8F3"/>
    <w:rsid w:val="6AF14EA4"/>
    <w:rsid w:val="6B004DE3"/>
    <w:rsid w:val="6B0933D8"/>
    <w:rsid w:val="6B1E06AB"/>
    <w:rsid w:val="6B2347F8"/>
    <w:rsid w:val="6B2D2415"/>
    <w:rsid w:val="6B316BBE"/>
    <w:rsid w:val="6B353BDC"/>
    <w:rsid w:val="6B554422"/>
    <w:rsid w:val="6B57260F"/>
    <w:rsid w:val="6B7D3C18"/>
    <w:rsid w:val="6B810BED"/>
    <w:rsid w:val="6B8428B4"/>
    <w:rsid w:val="6B851189"/>
    <w:rsid w:val="6B90E0E2"/>
    <w:rsid w:val="6B91457B"/>
    <w:rsid w:val="6B930274"/>
    <w:rsid w:val="6BA47A68"/>
    <w:rsid w:val="6BBFA03B"/>
    <w:rsid w:val="6BCBCC1E"/>
    <w:rsid w:val="6BCF2AB2"/>
    <w:rsid w:val="6BDB04B7"/>
    <w:rsid w:val="6BF61AFE"/>
    <w:rsid w:val="6C005156"/>
    <w:rsid w:val="6C0D7E8A"/>
    <w:rsid w:val="6C1D7BEB"/>
    <w:rsid w:val="6C261FA5"/>
    <w:rsid w:val="6C267CEF"/>
    <w:rsid w:val="6C271424"/>
    <w:rsid w:val="6C4F3C53"/>
    <w:rsid w:val="6C4F4761"/>
    <w:rsid w:val="6C5B7F78"/>
    <w:rsid w:val="6C63308B"/>
    <w:rsid w:val="6C736123"/>
    <w:rsid w:val="6C7A1C7C"/>
    <w:rsid w:val="6C84092B"/>
    <w:rsid w:val="6C915824"/>
    <w:rsid w:val="6C98717A"/>
    <w:rsid w:val="6C9A696F"/>
    <w:rsid w:val="6C9E3F84"/>
    <w:rsid w:val="6C9F2ED4"/>
    <w:rsid w:val="6CA45DFE"/>
    <w:rsid w:val="6CB26586"/>
    <w:rsid w:val="6CB77895"/>
    <w:rsid w:val="6CB77AA9"/>
    <w:rsid w:val="6CBF2CF1"/>
    <w:rsid w:val="6CC32DC1"/>
    <w:rsid w:val="6CCB2A5C"/>
    <w:rsid w:val="6CCB57A9"/>
    <w:rsid w:val="6CCE109B"/>
    <w:rsid w:val="6CDAA408"/>
    <w:rsid w:val="6CDBD50C"/>
    <w:rsid w:val="6CE47F86"/>
    <w:rsid w:val="6CEB4C3D"/>
    <w:rsid w:val="6CED2DF2"/>
    <w:rsid w:val="6CEF474A"/>
    <w:rsid w:val="6D0E6DEA"/>
    <w:rsid w:val="6D2C27DC"/>
    <w:rsid w:val="6D2F5395"/>
    <w:rsid w:val="6D3A60CF"/>
    <w:rsid w:val="6D3E2220"/>
    <w:rsid w:val="6D3F63B2"/>
    <w:rsid w:val="6D4548B0"/>
    <w:rsid w:val="6D552A99"/>
    <w:rsid w:val="6D626FF2"/>
    <w:rsid w:val="6D652811"/>
    <w:rsid w:val="6D7573C9"/>
    <w:rsid w:val="6D9C0D39"/>
    <w:rsid w:val="6D9D3448"/>
    <w:rsid w:val="6DA45E1A"/>
    <w:rsid w:val="6DB02E03"/>
    <w:rsid w:val="6DB3306B"/>
    <w:rsid w:val="6DC00159"/>
    <w:rsid w:val="6DD4642F"/>
    <w:rsid w:val="6DD72E6A"/>
    <w:rsid w:val="6DEB4A44"/>
    <w:rsid w:val="6DED76D5"/>
    <w:rsid w:val="6DEF3963"/>
    <w:rsid w:val="6DF1261C"/>
    <w:rsid w:val="6DF41917"/>
    <w:rsid w:val="6DF633D0"/>
    <w:rsid w:val="6E090707"/>
    <w:rsid w:val="6E0D2F31"/>
    <w:rsid w:val="6E196277"/>
    <w:rsid w:val="6E35541C"/>
    <w:rsid w:val="6E451788"/>
    <w:rsid w:val="6E4C1361"/>
    <w:rsid w:val="6E541B46"/>
    <w:rsid w:val="6E552F0B"/>
    <w:rsid w:val="6E641F84"/>
    <w:rsid w:val="6E6C3A9A"/>
    <w:rsid w:val="6E726FC5"/>
    <w:rsid w:val="6E7D66A2"/>
    <w:rsid w:val="6E8421A4"/>
    <w:rsid w:val="6E8C7D79"/>
    <w:rsid w:val="6E957A3F"/>
    <w:rsid w:val="6EA77046"/>
    <w:rsid w:val="6EB83E57"/>
    <w:rsid w:val="6EC553D5"/>
    <w:rsid w:val="6ECFB730"/>
    <w:rsid w:val="6EE7018C"/>
    <w:rsid w:val="6EF3B9D0"/>
    <w:rsid w:val="6EF5C34B"/>
    <w:rsid w:val="6EF73D3B"/>
    <w:rsid w:val="6EF76DEC"/>
    <w:rsid w:val="6EFF1C1E"/>
    <w:rsid w:val="6EFF88E1"/>
    <w:rsid w:val="6EFFB910"/>
    <w:rsid w:val="6F074349"/>
    <w:rsid w:val="6F0B05C6"/>
    <w:rsid w:val="6F130C23"/>
    <w:rsid w:val="6F150B51"/>
    <w:rsid w:val="6F155D42"/>
    <w:rsid w:val="6F193BD1"/>
    <w:rsid w:val="6F270A73"/>
    <w:rsid w:val="6F2A359B"/>
    <w:rsid w:val="6F364C63"/>
    <w:rsid w:val="6F451DEC"/>
    <w:rsid w:val="6F572727"/>
    <w:rsid w:val="6F5C26F0"/>
    <w:rsid w:val="6F5EAF55"/>
    <w:rsid w:val="6F68212E"/>
    <w:rsid w:val="6F6FD6E5"/>
    <w:rsid w:val="6F757176"/>
    <w:rsid w:val="6F792725"/>
    <w:rsid w:val="6F7BBD41"/>
    <w:rsid w:val="6F88611E"/>
    <w:rsid w:val="6F8D2902"/>
    <w:rsid w:val="6F97A9A7"/>
    <w:rsid w:val="6F9E3156"/>
    <w:rsid w:val="6F9FDF8D"/>
    <w:rsid w:val="6FA303AB"/>
    <w:rsid w:val="6FA625D0"/>
    <w:rsid w:val="6FA6D380"/>
    <w:rsid w:val="6FA75B24"/>
    <w:rsid w:val="6FAA58A9"/>
    <w:rsid w:val="6FB6420C"/>
    <w:rsid w:val="6FB81081"/>
    <w:rsid w:val="6FBC0361"/>
    <w:rsid w:val="6FBF0CD6"/>
    <w:rsid w:val="6FBF9178"/>
    <w:rsid w:val="6FC844B0"/>
    <w:rsid w:val="6FC91D09"/>
    <w:rsid w:val="6FCF744E"/>
    <w:rsid w:val="6FDB250C"/>
    <w:rsid w:val="6FDBACE9"/>
    <w:rsid w:val="6FE03DA0"/>
    <w:rsid w:val="6FE27002"/>
    <w:rsid w:val="6FEA3F10"/>
    <w:rsid w:val="6FEA761E"/>
    <w:rsid w:val="6FEC76E2"/>
    <w:rsid w:val="6FF6867F"/>
    <w:rsid w:val="6FF925B2"/>
    <w:rsid w:val="6FFF7180"/>
    <w:rsid w:val="6FFFB0FE"/>
    <w:rsid w:val="70004270"/>
    <w:rsid w:val="70062004"/>
    <w:rsid w:val="700F02F2"/>
    <w:rsid w:val="701D4C6D"/>
    <w:rsid w:val="702211B8"/>
    <w:rsid w:val="70285C83"/>
    <w:rsid w:val="70313C65"/>
    <w:rsid w:val="70360700"/>
    <w:rsid w:val="7049745E"/>
    <w:rsid w:val="704B6227"/>
    <w:rsid w:val="704D743B"/>
    <w:rsid w:val="704F480E"/>
    <w:rsid w:val="70531176"/>
    <w:rsid w:val="70553DF8"/>
    <w:rsid w:val="706C295C"/>
    <w:rsid w:val="7073427E"/>
    <w:rsid w:val="70753CEA"/>
    <w:rsid w:val="707B1CA3"/>
    <w:rsid w:val="70CB1949"/>
    <w:rsid w:val="70CE3CD6"/>
    <w:rsid w:val="70D5200B"/>
    <w:rsid w:val="70D77435"/>
    <w:rsid w:val="70D86A93"/>
    <w:rsid w:val="70E72C7C"/>
    <w:rsid w:val="70F30CAD"/>
    <w:rsid w:val="70F33611"/>
    <w:rsid w:val="70FC164A"/>
    <w:rsid w:val="70FE3E55"/>
    <w:rsid w:val="71105C72"/>
    <w:rsid w:val="711F5147"/>
    <w:rsid w:val="71333A0D"/>
    <w:rsid w:val="713664A7"/>
    <w:rsid w:val="713E00F5"/>
    <w:rsid w:val="713F2452"/>
    <w:rsid w:val="714F7DC5"/>
    <w:rsid w:val="71606F55"/>
    <w:rsid w:val="7164280C"/>
    <w:rsid w:val="716763F1"/>
    <w:rsid w:val="716B28F4"/>
    <w:rsid w:val="717568BB"/>
    <w:rsid w:val="7176061E"/>
    <w:rsid w:val="718925A5"/>
    <w:rsid w:val="719368F2"/>
    <w:rsid w:val="719426FE"/>
    <w:rsid w:val="719460D6"/>
    <w:rsid w:val="71A71FCA"/>
    <w:rsid w:val="71AE1825"/>
    <w:rsid w:val="71B23F18"/>
    <w:rsid w:val="71BF7712"/>
    <w:rsid w:val="71CF510A"/>
    <w:rsid w:val="71D11979"/>
    <w:rsid w:val="71D23CA4"/>
    <w:rsid w:val="71D821BD"/>
    <w:rsid w:val="71E40978"/>
    <w:rsid w:val="71E54C93"/>
    <w:rsid w:val="71EFD957"/>
    <w:rsid w:val="71FB2A90"/>
    <w:rsid w:val="71FF9C40"/>
    <w:rsid w:val="720B2724"/>
    <w:rsid w:val="72264CCC"/>
    <w:rsid w:val="722A0E8A"/>
    <w:rsid w:val="722C78DA"/>
    <w:rsid w:val="72361EFD"/>
    <w:rsid w:val="72391B27"/>
    <w:rsid w:val="723F6347"/>
    <w:rsid w:val="724D0CB0"/>
    <w:rsid w:val="725E5BA2"/>
    <w:rsid w:val="726B261E"/>
    <w:rsid w:val="72767831"/>
    <w:rsid w:val="72787113"/>
    <w:rsid w:val="728D3332"/>
    <w:rsid w:val="729B26AC"/>
    <w:rsid w:val="72B56CCB"/>
    <w:rsid w:val="72D1040D"/>
    <w:rsid w:val="72DE24DB"/>
    <w:rsid w:val="72EA0498"/>
    <w:rsid w:val="72EA3482"/>
    <w:rsid w:val="72F40F30"/>
    <w:rsid w:val="72F56855"/>
    <w:rsid w:val="72FC651D"/>
    <w:rsid w:val="7304299B"/>
    <w:rsid w:val="730A2B08"/>
    <w:rsid w:val="730A558D"/>
    <w:rsid w:val="730E1865"/>
    <w:rsid w:val="7315161C"/>
    <w:rsid w:val="731A35C3"/>
    <w:rsid w:val="731A6169"/>
    <w:rsid w:val="73223DF1"/>
    <w:rsid w:val="733116B7"/>
    <w:rsid w:val="73330D90"/>
    <w:rsid w:val="733A737E"/>
    <w:rsid w:val="733F0FCC"/>
    <w:rsid w:val="7351635F"/>
    <w:rsid w:val="73582E26"/>
    <w:rsid w:val="735F45EB"/>
    <w:rsid w:val="73637321"/>
    <w:rsid w:val="736572B2"/>
    <w:rsid w:val="7377E86E"/>
    <w:rsid w:val="73791ED0"/>
    <w:rsid w:val="73877A4C"/>
    <w:rsid w:val="738A46F3"/>
    <w:rsid w:val="739F7602"/>
    <w:rsid w:val="73A40733"/>
    <w:rsid w:val="73B9469D"/>
    <w:rsid w:val="73D3764A"/>
    <w:rsid w:val="73D9089C"/>
    <w:rsid w:val="73DB32B4"/>
    <w:rsid w:val="73EA000A"/>
    <w:rsid w:val="73EE57D8"/>
    <w:rsid w:val="73F67F63"/>
    <w:rsid w:val="73F723FE"/>
    <w:rsid w:val="73FBFFD8"/>
    <w:rsid w:val="73FDF717"/>
    <w:rsid w:val="73FE361A"/>
    <w:rsid w:val="740800C7"/>
    <w:rsid w:val="74187158"/>
    <w:rsid w:val="74225CAE"/>
    <w:rsid w:val="74232A0F"/>
    <w:rsid w:val="74356168"/>
    <w:rsid w:val="7438012B"/>
    <w:rsid w:val="74394754"/>
    <w:rsid w:val="744276DF"/>
    <w:rsid w:val="74450836"/>
    <w:rsid w:val="744566B3"/>
    <w:rsid w:val="744C3BB8"/>
    <w:rsid w:val="744E15D3"/>
    <w:rsid w:val="744F5D6A"/>
    <w:rsid w:val="745500FA"/>
    <w:rsid w:val="74587119"/>
    <w:rsid w:val="74591A28"/>
    <w:rsid w:val="74633D61"/>
    <w:rsid w:val="74682B38"/>
    <w:rsid w:val="74897BA8"/>
    <w:rsid w:val="74921949"/>
    <w:rsid w:val="74981804"/>
    <w:rsid w:val="74A62A32"/>
    <w:rsid w:val="74AE4B5F"/>
    <w:rsid w:val="74AF7E07"/>
    <w:rsid w:val="74C11A94"/>
    <w:rsid w:val="74C303AA"/>
    <w:rsid w:val="74D53759"/>
    <w:rsid w:val="74DA01CE"/>
    <w:rsid w:val="74E11CE7"/>
    <w:rsid w:val="74EA0887"/>
    <w:rsid w:val="74F2528E"/>
    <w:rsid w:val="74F54377"/>
    <w:rsid w:val="75070B5E"/>
    <w:rsid w:val="751B69AC"/>
    <w:rsid w:val="75227415"/>
    <w:rsid w:val="75285984"/>
    <w:rsid w:val="752B18E8"/>
    <w:rsid w:val="752B58CD"/>
    <w:rsid w:val="75550DBA"/>
    <w:rsid w:val="75562889"/>
    <w:rsid w:val="755E63CF"/>
    <w:rsid w:val="756225D4"/>
    <w:rsid w:val="75646065"/>
    <w:rsid w:val="756677F3"/>
    <w:rsid w:val="7571709E"/>
    <w:rsid w:val="757172FE"/>
    <w:rsid w:val="757A24EA"/>
    <w:rsid w:val="758868F7"/>
    <w:rsid w:val="758C59B0"/>
    <w:rsid w:val="75913442"/>
    <w:rsid w:val="75963973"/>
    <w:rsid w:val="759D41D5"/>
    <w:rsid w:val="759F6E47"/>
    <w:rsid w:val="75AE3429"/>
    <w:rsid w:val="75B3DAB4"/>
    <w:rsid w:val="75BD26ED"/>
    <w:rsid w:val="75D32087"/>
    <w:rsid w:val="75DF28CE"/>
    <w:rsid w:val="75E53387"/>
    <w:rsid w:val="75E874E8"/>
    <w:rsid w:val="75EFDAE8"/>
    <w:rsid w:val="75FD4BCD"/>
    <w:rsid w:val="760602D2"/>
    <w:rsid w:val="760729A8"/>
    <w:rsid w:val="76164029"/>
    <w:rsid w:val="761C63DD"/>
    <w:rsid w:val="76204870"/>
    <w:rsid w:val="762215B7"/>
    <w:rsid w:val="76342A16"/>
    <w:rsid w:val="76521AC3"/>
    <w:rsid w:val="76588E03"/>
    <w:rsid w:val="76674DB7"/>
    <w:rsid w:val="7673773D"/>
    <w:rsid w:val="7679161C"/>
    <w:rsid w:val="76873085"/>
    <w:rsid w:val="76944D75"/>
    <w:rsid w:val="76976535"/>
    <w:rsid w:val="769774FD"/>
    <w:rsid w:val="769B0408"/>
    <w:rsid w:val="76A7418D"/>
    <w:rsid w:val="76B157DF"/>
    <w:rsid w:val="76B51266"/>
    <w:rsid w:val="76BA1A53"/>
    <w:rsid w:val="76BB6653"/>
    <w:rsid w:val="76C54672"/>
    <w:rsid w:val="76CC193D"/>
    <w:rsid w:val="76D65D10"/>
    <w:rsid w:val="76F26294"/>
    <w:rsid w:val="76F62C91"/>
    <w:rsid w:val="76F7B656"/>
    <w:rsid w:val="76FB90D0"/>
    <w:rsid w:val="77052BDB"/>
    <w:rsid w:val="770E458F"/>
    <w:rsid w:val="771701A5"/>
    <w:rsid w:val="772623E4"/>
    <w:rsid w:val="773A2AD5"/>
    <w:rsid w:val="77517517"/>
    <w:rsid w:val="775D7B56"/>
    <w:rsid w:val="775F1A6C"/>
    <w:rsid w:val="775FD875"/>
    <w:rsid w:val="77645A0B"/>
    <w:rsid w:val="77777578"/>
    <w:rsid w:val="777B1026"/>
    <w:rsid w:val="777B41E0"/>
    <w:rsid w:val="77816B5E"/>
    <w:rsid w:val="778234EF"/>
    <w:rsid w:val="778612B4"/>
    <w:rsid w:val="77861DAE"/>
    <w:rsid w:val="779A3B25"/>
    <w:rsid w:val="77A16F59"/>
    <w:rsid w:val="77A61A19"/>
    <w:rsid w:val="77A8713B"/>
    <w:rsid w:val="77B024F4"/>
    <w:rsid w:val="77B326B8"/>
    <w:rsid w:val="77BB27AB"/>
    <w:rsid w:val="77BEA051"/>
    <w:rsid w:val="77BEA6CB"/>
    <w:rsid w:val="77C7030D"/>
    <w:rsid w:val="77CA262C"/>
    <w:rsid w:val="77D12E2D"/>
    <w:rsid w:val="77D17AF4"/>
    <w:rsid w:val="77D40517"/>
    <w:rsid w:val="77D73344"/>
    <w:rsid w:val="77DB1D1B"/>
    <w:rsid w:val="77DFB915"/>
    <w:rsid w:val="77E63610"/>
    <w:rsid w:val="77E804AB"/>
    <w:rsid w:val="77E85E69"/>
    <w:rsid w:val="77ED1164"/>
    <w:rsid w:val="77EE1A98"/>
    <w:rsid w:val="77EF89DD"/>
    <w:rsid w:val="77F79D12"/>
    <w:rsid w:val="77FB1E2F"/>
    <w:rsid w:val="77FFB3BC"/>
    <w:rsid w:val="780D018B"/>
    <w:rsid w:val="781A0DB5"/>
    <w:rsid w:val="78256ACF"/>
    <w:rsid w:val="782D7B09"/>
    <w:rsid w:val="78346968"/>
    <w:rsid w:val="783D7C3D"/>
    <w:rsid w:val="784C03CB"/>
    <w:rsid w:val="784D2006"/>
    <w:rsid w:val="7855282E"/>
    <w:rsid w:val="78606362"/>
    <w:rsid w:val="787A665F"/>
    <w:rsid w:val="7884180F"/>
    <w:rsid w:val="78915BE9"/>
    <w:rsid w:val="78957992"/>
    <w:rsid w:val="78A24148"/>
    <w:rsid w:val="78B3587F"/>
    <w:rsid w:val="78B37D44"/>
    <w:rsid w:val="78B86EC2"/>
    <w:rsid w:val="78BB887A"/>
    <w:rsid w:val="78C141FE"/>
    <w:rsid w:val="78C20890"/>
    <w:rsid w:val="78D665EA"/>
    <w:rsid w:val="78D66912"/>
    <w:rsid w:val="78D8401B"/>
    <w:rsid w:val="78E05ACF"/>
    <w:rsid w:val="78E9231B"/>
    <w:rsid w:val="78ED13FE"/>
    <w:rsid w:val="78EE54C1"/>
    <w:rsid w:val="78F27200"/>
    <w:rsid w:val="78F82D58"/>
    <w:rsid w:val="78F856CB"/>
    <w:rsid w:val="7903679E"/>
    <w:rsid w:val="7903780E"/>
    <w:rsid w:val="790C6E07"/>
    <w:rsid w:val="79112886"/>
    <w:rsid w:val="79123B53"/>
    <w:rsid w:val="791A21AC"/>
    <w:rsid w:val="791F2A74"/>
    <w:rsid w:val="792030F5"/>
    <w:rsid w:val="792D7407"/>
    <w:rsid w:val="79425135"/>
    <w:rsid w:val="79456370"/>
    <w:rsid w:val="794701C8"/>
    <w:rsid w:val="794A14B1"/>
    <w:rsid w:val="7953089D"/>
    <w:rsid w:val="795403AF"/>
    <w:rsid w:val="795A247F"/>
    <w:rsid w:val="795F670E"/>
    <w:rsid w:val="79647BD1"/>
    <w:rsid w:val="796513FD"/>
    <w:rsid w:val="7965523F"/>
    <w:rsid w:val="79660E3F"/>
    <w:rsid w:val="79683E73"/>
    <w:rsid w:val="797236C0"/>
    <w:rsid w:val="797876C3"/>
    <w:rsid w:val="797A12D2"/>
    <w:rsid w:val="797E3AEE"/>
    <w:rsid w:val="79821501"/>
    <w:rsid w:val="798F5BB2"/>
    <w:rsid w:val="799A53BA"/>
    <w:rsid w:val="79A57893"/>
    <w:rsid w:val="79A64908"/>
    <w:rsid w:val="79A73C5A"/>
    <w:rsid w:val="79BA5C30"/>
    <w:rsid w:val="79C721B0"/>
    <w:rsid w:val="79CC3B9C"/>
    <w:rsid w:val="79CF4756"/>
    <w:rsid w:val="79D17055"/>
    <w:rsid w:val="79D81A97"/>
    <w:rsid w:val="79DB0FFE"/>
    <w:rsid w:val="79E93CD4"/>
    <w:rsid w:val="79EA3EAF"/>
    <w:rsid w:val="79EFA607"/>
    <w:rsid w:val="79F15391"/>
    <w:rsid w:val="79FBDB0E"/>
    <w:rsid w:val="79FE3778"/>
    <w:rsid w:val="7A0D5805"/>
    <w:rsid w:val="7A122883"/>
    <w:rsid w:val="7A1F19C3"/>
    <w:rsid w:val="7A2B4030"/>
    <w:rsid w:val="7A37269B"/>
    <w:rsid w:val="7A3F46A8"/>
    <w:rsid w:val="7A3F6A69"/>
    <w:rsid w:val="7A4260F2"/>
    <w:rsid w:val="7A492248"/>
    <w:rsid w:val="7A511CEA"/>
    <w:rsid w:val="7A514314"/>
    <w:rsid w:val="7A532CC6"/>
    <w:rsid w:val="7A5B6BF1"/>
    <w:rsid w:val="7A745689"/>
    <w:rsid w:val="7A74617C"/>
    <w:rsid w:val="7A882AAB"/>
    <w:rsid w:val="7A8935AA"/>
    <w:rsid w:val="7A8C5A62"/>
    <w:rsid w:val="7A9B02A0"/>
    <w:rsid w:val="7AA7242D"/>
    <w:rsid w:val="7AAC493D"/>
    <w:rsid w:val="7AB70A93"/>
    <w:rsid w:val="7ABE2CBD"/>
    <w:rsid w:val="7AC7367E"/>
    <w:rsid w:val="7AC77AD7"/>
    <w:rsid w:val="7ADC4781"/>
    <w:rsid w:val="7AE4433A"/>
    <w:rsid w:val="7AE56790"/>
    <w:rsid w:val="7AE7B737"/>
    <w:rsid w:val="7AFF5BCE"/>
    <w:rsid w:val="7B10013E"/>
    <w:rsid w:val="7B17371F"/>
    <w:rsid w:val="7B19470A"/>
    <w:rsid w:val="7B326C07"/>
    <w:rsid w:val="7B3330E5"/>
    <w:rsid w:val="7B362E62"/>
    <w:rsid w:val="7B3DB6B0"/>
    <w:rsid w:val="7B4C6BBE"/>
    <w:rsid w:val="7B556837"/>
    <w:rsid w:val="7B676012"/>
    <w:rsid w:val="7B6A7511"/>
    <w:rsid w:val="7B711CC9"/>
    <w:rsid w:val="7B7A3CC6"/>
    <w:rsid w:val="7B890DF9"/>
    <w:rsid w:val="7B9C2817"/>
    <w:rsid w:val="7BA2C424"/>
    <w:rsid w:val="7BA311A3"/>
    <w:rsid w:val="7BA46460"/>
    <w:rsid w:val="7BB045D8"/>
    <w:rsid w:val="7BBA247E"/>
    <w:rsid w:val="7BBA2AA5"/>
    <w:rsid w:val="7BBB6AF8"/>
    <w:rsid w:val="7BBDB799"/>
    <w:rsid w:val="7BBF2239"/>
    <w:rsid w:val="7BC81986"/>
    <w:rsid w:val="7BD84BDB"/>
    <w:rsid w:val="7BD96290"/>
    <w:rsid w:val="7BE72A58"/>
    <w:rsid w:val="7BEA1821"/>
    <w:rsid w:val="7BEF2D8B"/>
    <w:rsid w:val="7BF83615"/>
    <w:rsid w:val="7BFB665E"/>
    <w:rsid w:val="7BFC5439"/>
    <w:rsid w:val="7BFF76AA"/>
    <w:rsid w:val="7C1773FB"/>
    <w:rsid w:val="7C1E7985"/>
    <w:rsid w:val="7C277F03"/>
    <w:rsid w:val="7C2F634D"/>
    <w:rsid w:val="7C304464"/>
    <w:rsid w:val="7C357268"/>
    <w:rsid w:val="7C394685"/>
    <w:rsid w:val="7C3946D8"/>
    <w:rsid w:val="7C3B7202"/>
    <w:rsid w:val="7C3C1819"/>
    <w:rsid w:val="7C3D334B"/>
    <w:rsid w:val="7C41114A"/>
    <w:rsid w:val="7C470595"/>
    <w:rsid w:val="7C4E19B5"/>
    <w:rsid w:val="7C5442D6"/>
    <w:rsid w:val="7C5A528B"/>
    <w:rsid w:val="7C5E6708"/>
    <w:rsid w:val="7C620617"/>
    <w:rsid w:val="7C7878E3"/>
    <w:rsid w:val="7C8047D0"/>
    <w:rsid w:val="7C826ECF"/>
    <w:rsid w:val="7C85664B"/>
    <w:rsid w:val="7C8C0A8D"/>
    <w:rsid w:val="7C8E3BC1"/>
    <w:rsid w:val="7C927AF3"/>
    <w:rsid w:val="7C97014B"/>
    <w:rsid w:val="7CA273D9"/>
    <w:rsid w:val="7CA874EC"/>
    <w:rsid w:val="7CAF39F1"/>
    <w:rsid w:val="7CB114CF"/>
    <w:rsid w:val="7CB14A8A"/>
    <w:rsid w:val="7CBC0EDA"/>
    <w:rsid w:val="7CBC6560"/>
    <w:rsid w:val="7CBE6E05"/>
    <w:rsid w:val="7CBF6C4F"/>
    <w:rsid w:val="7CC01527"/>
    <w:rsid w:val="7CC318EA"/>
    <w:rsid w:val="7CCE5944"/>
    <w:rsid w:val="7CDEF816"/>
    <w:rsid w:val="7CE4315C"/>
    <w:rsid w:val="7CF242BC"/>
    <w:rsid w:val="7CFA9B24"/>
    <w:rsid w:val="7CFE6AE4"/>
    <w:rsid w:val="7CFF2B54"/>
    <w:rsid w:val="7D001143"/>
    <w:rsid w:val="7D0905C7"/>
    <w:rsid w:val="7D180251"/>
    <w:rsid w:val="7D2E5F39"/>
    <w:rsid w:val="7D345D3C"/>
    <w:rsid w:val="7D3A23FC"/>
    <w:rsid w:val="7D3D4510"/>
    <w:rsid w:val="7D3F10A2"/>
    <w:rsid w:val="7D512219"/>
    <w:rsid w:val="7D596CDC"/>
    <w:rsid w:val="7D6A7CF0"/>
    <w:rsid w:val="7D7BAA86"/>
    <w:rsid w:val="7D7DEBB7"/>
    <w:rsid w:val="7DA024D6"/>
    <w:rsid w:val="7DA77B7C"/>
    <w:rsid w:val="7DAB26E8"/>
    <w:rsid w:val="7DAC3778"/>
    <w:rsid w:val="7DAF3D55"/>
    <w:rsid w:val="7DAF5F30"/>
    <w:rsid w:val="7DB41313"/>
    <w:rsid w:val="7DB8125E"/>
    <w:rsid w:val="7DBC38D5"/>
    <w:rsid w:val="7DC927EE"/>
    <w:rsid w:val="7DCD34A9"/>
    <w:rsid w:val="7DD1602F"/>
    <w:rsid w:val="7DDD79F9"/>
    <w:rsid w:val="7DDE2123"/>
    <w:rsid w:val="7DE37724"/>
    <w:rsid w:val="7DE7410A"/>
    <w:rsid w:val="7DED0007"/>
    <w:rsid w:val="7DEE0D61"/>
    <w:rsid w:val="7DEF1896"/>
    <w:rsid w:val="7DEF7A7D"/>
    <w:rsid w:val="7DF27492"/>
    <w:rsid w:val="7DF9B583"/>
    <w:rsid w:val="7DFB187B"/>
    <w:rsid w:val="7DFDEF17"/>
    <w:rsid w:val="7DFE4EC7"/>
    <w:rsid w:val="7DFFCB28"/>
    <w:rsid w:val="7DFFF73D"/>
    <w:rsid w:val="7E058DC1"/>
    <w:rsid w:val="7E0B4B47"/>
    <w:rsid w:val="7E0D2D37"/>
    <w:rsid w:val="7E1150D6"/>
    <w:rsid w:val="7E2447D7"/>
    <w:rsid w:val="7E2AC0D9"/>
    <w:rsid w:val="7E2C5425"/>
    <w:rsid w:val="7E3201EE"/>
    <w:rsid w:val="7E3A3239"/>
    <w:rsid w:val="7E3B60E6"/>
    <w:rsid w:val="7E5656C0"/>
    <w:rsid w:val="7E5A3003"/>
    <w:rsid w:val="7E694EB9"/>
    <w:rsid w:val="7E6C8988"/>
    <w:rsid w:val="7E6EE455"/>
    <w:rsid w:val="7E702D4F"/>
    <w:rsid w:val="7E73447D"/>
    <w:rsid w:val="7E746479"/>
    <w:rsid w:val="7E7E1C0F"/>
    <w:rsid w:val="7E8412AD"/>
    <w:rsid w:val="7E8D6A07"/>
    <w:rsid w:val="7E8E046B"/>
    <w:rsid w:val="7E936085"/>
    <w:rsid w:val="7E955A58"/>
    <w:rsid w:val="7E962A62"/>
    <w:rsid w:val="7E9C20E9"/>
    <w:rsid w:val="7EAFFCA7"/>
    <w:rsid w:val="7EBE700C"/>
    <w:rsid w:val="7EC2393B"/>
    <w:rsid w:val="7ECA5B6E"/>
    <w:rsid w:val="7ED20926"/>
    <w:rsid w:val="7ED95003"/>
    <w:rsid w:val="7EDC604B"/>
    <w:rsid w:val="7EDE3237"/>
    <w:rsid w:val="7EE1028D"/>
    <w:rsid w:val="7EEE78CB"/>
    <w:rsid w:val="7EFE7DEF"/>
    <w:rsid w:val="7EFF9160"/>
    <w:rsid w:val="7F093C4D"/>
    <w:rsid w:val="7F0D5DAE"/>
    <w:rsid w:val="7F0F6AEE"/>
    <w:rsid w:val="7F0F6E3F"/>
    <w:rsid w:val="7F176427"/>
    <w:rsid w:val="7F181840"/>
    <w:rsid w:val="7F2B63DB"/>
    <w:rsid w:val="7F2F0A58"/>
    <w:rsid w:val="7F396F3C"/>
    <w:rsid w:val="7F434859"/>
    <w:rsid w:val="7F4514DB"/>
    <w:rsid w:val="7F505FC9"/>
    <w:rsid w:val="7F556937"/>
    <w:rsid w:val="7F5A437D"/>
    <w:rsid w:val="7F6A4DD4"/>
    <w:rsid w:val="7F77465A"/>
    <w:rsid w:val="7F7B9674"/>
    <w:rsid w:val="7F8830F2"/>
    <w:rsid w:val="7F8D64E6"/>
    <w:rsid w:val="7F930B43"/>
    <w:rsid w:val="7F942DB0"/>
    <w:rsid w:val="7F9BDCC8"/>
    <w:rsid w:val="7F9C24B0"/>
    <w:rsid w:val="7FAB88C2"/>
    <w:rsid w:val="7FAF1BBD"/>
    <w:rsid w:val="7FB73304"/>
    <w:rsid w:val="7FB9CCFB"/>
    <w:rsid w:val="7FBB5708"/>
    <w:rsid w:val="7FBF5407"/>
    <w:rsid w:val="7FC03CB9"/>
    <w:rsid w:val="7FCF2B1E"/>
    <w:rsid w:val="7FDE487A"/>
    <w:rsid w:val="7FDFEC22"/>
    <w:rsid w:val="7FDFFF44"/>
    <w:rsid w:val="7FE14991"/>
    <w:rsid w:val="7FE79684"/>
    <w:rsid w:val="7FECF6BD"/>
    <w:rsid w:val="7FED3ED0"/>
    <w:rsid w:val="7FF11F9E"/>
    <w:rsid w:val="7FF30FA0"/>
    <w:rsid w:val="7FF332A8"/>
    <w:rsid w:val="7FF5C7F9"/>
    <w:rsid w:val="7FF70ACA"/>
    <w:rsid w:val="7FFADCA4"/>
    <w:rsid w:val="7FFB1D68"/>
    <w:rsid w:val="7FFC4902"/>
    <w:rsid w:val="7FFFE5CE"/>
    <w:rsid w:val="87B7FE8D"/>
    <w:rsid w:val="8AFE8336"/>
    <w:rsid w:val="8BB07C1D"/>
    <w:rsid w:val="8F8BA7A5"/>
    <w:rsid w:val="8F8FA508"/>
    <w:rsid w:val="924EC93A"/>
    <w:rsid w:val="93FCA7FD"/>
    <w:rsid w:val="973BAD14"/>
    <w:rsid w:val="97BD95AA"/>
    <w:rsid w:val="9AF3ED3C"/>
    <w:rsid w:val="9BE9CD2C"/>
    <w:rsid w:val="9BEFE3A6"/>
    <w:rsid w:val="9EFEFABA"/>
    <w:rsid w:val="9F3A8374"/>
    <w:rsid w:val="9F7BBE3B"/>
    <w:rsid w:val="9FF7EDE7"/>
    <w:rsid w:val="A37F584A"/>
    <w:rsid w:val="A5FF920B"/>
    <w:rsid w:val="A7FF6531"/>
    <w:rsid w:val="A96B64F4"/>
    <w:rsid w:val="ABEF5F53"/>
    <w:rsid w:val="AD7B04AE"/>
    <w:rsid w:val="ADEFB49D"/>
    <w:rsid w:val="ADFFBF28"/>
    <w:rsid w:val="AE2FD64D"/>
    <w:rsid w:val="AEE24145"/>
    <w:rsid w:val="AEECEA29"/>
    <w:rsid w:val="AF2DE693"/>
    <w:rsid w:val="AF85300E"/>
    <w:rsid w:val="AFEE89E1"/>
    <w:rsid w:val="AFF7847B"/>
    <w:rsid w:val="AFFC474F"/>
    <w:rsid w:val="B25D2A86"/>
    <w:rsid w:val="B3B5DED5"/>
    <w:rsid w:val="B3FB3A89"/>
    <w:rsid w:val="B4DB5B92"/>
    <w:rsid w:val="B56A2165"/>
    <w:rsid w:val="B5DE37FE"/>
    <w:rsid w:val="B67B8181"/>
    <w:rsid w:val="B69F7575"/>
    <w:rsid w:val="B7A5E838"/>
    <w:rsid w:val="B7F4557A"/>
    <w:rsid w:val="B8EDF1FD"/>
    <w:rsid w:val="B98AB133"/>
    <w:rsid w:val="B9CFDECD"/>
    <w:rsid w:val="BA7B23C6"/>
    <w:rsid w:val="BABF4677"/>
    <w:rsid w:val="BBFEDF8D"/>
    <w:rsid w:val="BBFF417C"/>
    <w:rsid w:val="BC8B6481"/>
    <w:rsid w:val="BDBD1951"/>
    <w:rsid w:val="BEBF33F6"/>
    <w:rsid w:val="BECE0A46"/>
    <w:rsid w:val="BEFE86FF"/>
    <w:rsid w:val="BF0CF109"/>
    <w:rsid w:val="BF3F96C5"/>
    <w:rsid w:val="BF53C468"/>
    <w:rsid w:val="BF5E733C"/>
    <w:rsid w:val="BF754F52"/>
    <w:rsid w:val="BF7D0E26"/>
    <w:rsid w:val="BFB78EF0"/>
    <w:rsid w:val="BFBF7B8E"/>
    <w:rsid w:val="BFCEC09C"/>
    <w:rsid w:val="BFCFF661"/>
    <w:rsid w:val="BFD3982C"/>
    <w:rsid w:val="BFD7FD7B"/>
    <w:rsid w:val="BFDE4179"/>
    <w:rsid w:val="BFEF71E2"/>
    <w:rsid w:val="BFFB073D"/>
    <w:rsid w:val="BFFF218C"/>
    <w:rsid w:val="BFFF25CC"/>
    <w:rsid w:val="C1BF77A2"/>
    <w:rsid w:val="C39ACA65"/>
    <w:rsid w:val="C75B72F2"/>
    <w:rsid w:val="C7EF9745"/>
    <w:rsid w:val="C97E6FE6"/>
    <w:rsid w:val="C9FB8D39"/>
    <w:rsid w:val="CBFFF4E9"/>
    <w:rsid w:val="CCBF4163"/>
    <w:rsid w:val="CDDFC39C"/>
    <w:rsid w:val="CEF40ABB"/>
    <w:rsid w:val="CF7E8EF9"/>
    <w:rsid w:val="CF9E1635"/>
    <w:rsid w:val="CFB75F2D"/>
    <w:rsid w:val="D14F6F4D"/>
    <w:rsid w:val="D3DDD3F3"/>
    <w:rsid w:val="D3DE2007"/>
    <w:rsid w:val="D4BF86C9"/>
    <w:rsid w:val="D6ADC4AD"/>
    <w:rsid w:val="D7E974F8"/>
    <w:rsid w:val="D7FF16CF"/>
    <w:rsid w:val="D7FFFB4A"/>
    <w:rsid w:val="D9ED959C"/>
    <w:rsid w:val="D9FE3581"/>
    <w:rsid w:val="DB2DDDA8"/>
    <w:rsid w:val="DB6213E7"/>
    <w:rsid w:val="DB9600A5"/>
    <w:rsid w:val="DBF7AF73"/>
    <w:rsid w:val="DBFD9632"/>
    <w:rsid w:val="DCD7E1AF"/>
    <w:rsid w:val="DCFDAACB"/>
    <w:rsid w:val="DCFFD526"/>
    <w:rsid w:val="DD9D5733"/>
    <w:rsid w:val="DDED4019"/>
    <w:rsid w:val="DDF7DAF1"/>
    <w:rsid w:val="DE75CD06"/>
    <w:rsid w:val="DE7B54EE"/>
    <w:rsid w:val="DE7DF34F"/>
    <w:rsid w:val="DEAC7B9A"/>
    <w:rsid w:val="DEBFA1BB"/>
    <w:rsid w:val="DEF70381"/>
    <w:rsid w:val="DEFA12C0"/>
    <w:rsid w:val="DEFF1B55"/>
    <w:rsid w:val="DF37CE6F"/>
    <w:rsid w:val="DFBD6BA5"/>
    <w:rsid w:val="DFD8B279"/>
    <w:rsid w:val="DFEF8E5B"/>
    <w:rsid w:val="DFF1576F"/>
    <w:rsid w:val="DFFF4550"/>
    <w:rsid w:val="DFFF4E22"/>
    <w:rsid w:val="DFFF98AA"/>
    <w:rsid w:val="E17F7E65"/>
    <w:rsid w:val="E2FE41C4"/>
    <w:rsid w:val="E3DD7945"/>
    <w:rsid w:val="E3FC9606"/>
    <w:rsid w:val="E5FF740C"/>
    <w:rsid w:val="E67D6E3A"/>
    <w:rsid w:val="E77F3669"/>
    <w:rsid w:val="E7C71E2C"/>
    <w:rsid w:val="E7EFEA5D"/>
    <w:rsid w:val="E7F5CFAD"/>
    <w:rsid w:val="E8FF05FA"/>
    <w:rsid w:val="E9B76A22"/>
    <w:rsid w:val="E9F92EFF"/>
    <w:rsid w:val="EA5481EC"/>
    <w:rsid w:val="EB3F54ED"/>
    <w:rsid w:val="EBA503DC"/>
    <w:rsid w:val="EBFF68F0"/>
    <w:rsid w:val="ECCF75A5"/>
    <w:rsid w:val="ED1BD756"/>
    <w:rsid w:val="EDB7BF6E"/>
    <w:rsid w:val="EDF54A50"/>
    <w:rsid w:val="EDFF2A6F"/>
    <w:rsid w:val="EE7FBE7D"/>
    <w:rsid w:val="EEAFED52"/>
    <w:rsid w:val="EEDBFD0E"/>
    <w:rsid w:val="EF91CB2C"/>
    <w:rsid w:val="EFBE7F56"/>
    <w:rsid w:val="EFBF4DC7"/>
    <w:rsid w:val="EFBFC07B"/>
    <w:rsid w:val="EFD7A588"/>
    <w:rsid w:val="EFD7FF90"/>
    <w:rsid w:val="EFD9372C"/>
    <w:rsid w:val="EFDF268C"/>
    <w:rsid w:val="EFDF81C4"/>
    <w:rsid w:val="EFDF9849"/>
    <w:rsid w:val="EFF3609E"/>
    <w:rsid w:val="EFF4D6EE"/>
    <w:rsid w:val="EFFA0678"/>
    <w:rsid w:val="EFFBB404"/>
    <w:rsid w:val="EFFBB63A"/>
    <w:rsid w:val="EFFE9AA7"/>
    <w:rsid w:val="F1DD4B2D"/>
    <w:rsid w:val="F25F3AC3"/>
    <w:rsid w:val="F2EFBA54"/>
    <w:rsid w:val="F2FF462E"/>
    <w:rsid w:val="F3D53566"/>
    <w:rsid w:val="F3FE4346"/>
    <w:rsid w:val="F4FA3883"/>
    <w:rsid w:val="F53F896A"/>
    <w:rsid w:val="F59965F8"/>
    <w:rsid w:val="F5DF4B55"/>
    <w:rsid w:val="F5DF6031"/>
    <w:rsid w:val="F5DFAABC"/>
    <w:rsid w:val="F5EE4741"/>
    <w:rsid w:val="F5F8B83E"/>
    <w:rsid w:val="F5FEBB20"/>
    <w:rsid w:val="F6B72DCC"/>
    <w:rsid w:val="F6BBEA42"/>
    <w:rsid w:val="F6E750FF"/>
    <w:rsid w:val="F6F67876"/>
    <w:rsid w:val="F6FBCBFF"/>
    <w:rsid w:val="F76EA0A2"/>
    <w:rsid w:val="F79ED9FC"/>
    <w:rsid w:val="F7CFEEDD"/>
    <w:rsid w:val="F7D393A2"/>
    <w:rsid w:val="F7DEF3C9"/>
    <w:rsid w:val="F7FA9D62"/>
    <w:rsid w:val="F7FF3473"/>
    <w:rsid w:val="F7FF4A8A"/>
    <w:rsid w:val="F7FF96E9"/>
    <w:rsid w:val="F8DFB564"/>
    <w:rsid w:val="F93F14C6"/>
    <w:rsid w:val="F9D7F67F"/>
    <w:rsid w:val="F9EF1FBC"/>
    <w:rsid w:val="F9FD32CD"/>
    <w:rsid w:val="F9FF20FB"/>
    <w:rsid w:val="FA579DE5"/>
    <w:rsid w:val="FA773F08"/>
    <w:rsid w:val="FAD2207F"/>
    <w:rsid w:val="FADEB89F"/>
    <w:rsid w:val="FAE71953"/>
    <w:rsid w:val="FAEB6DA2"/>
    <w:rsid w:val="FAF5674C"/>
    <w:rsid w:val="FAFE9AB4"/>
    <w:rsid w:val="FB6F6285"/>
    <w:rsid w:val="FBAB2A71"/>
    <w:rsid w:val="FBB7C8DE"/>
    <w:rsid w:val="FBE7101F"/>
    <w:rsid w:val="FBEF4B35"/>
    <w:rsid w:val="FBF6A014"/>
    <w:rsid w:val="FBF75526"/>
    <w:rsid w:val="FBFFBD96"/>
    <w:rsid w:val="FD1EACD4"/>
    <w:rsid w:val="FD273569"/>
    <w:rsid w:val="FD3DADDE"/>
    <w:rsid w:val="FD5FBC9B"/>
    <w:rsid w:val="FD9F9911"/>
    <w:rsid w:val="FDBBF505"/>
    <w:rsid w:val="FDBDDA66"/>
    <w:rsid w:val="FDCFEC34"/>
    <w:rsid w:val="FDD754AB"/>
    <w:rsid w:val="FDD82E6C"/>
    <w:rsid w:val="FDF315CB"/>
    <w:rsid w:val="FDFE015C"/>
    <w:rsid w:val="FDFEBB10"/>
    <w:rsid w:val="FDFFDE4D"/>
    <w:rsid w:val="FDFFE9D0"/>
    <w:rsid w:val="FE3FA395"/>
    <w:rsid w:val="FE3FD1A9"/>
    <w:rsid w:val="FE5B8028"/>
    <w:rsid w:val="FE774A96"/>
    <w:rsid w:val="FE77EFA2"/>
    <w:rsid w:val="FE7F1E31"/>
    <w:rsid w:val="FE9484F8"/>
    <w:rsid w:val="FEBFBF63"/>
    <w:rsid w:val="FEDB3E6A"/>
    <w:rsid w:val="FEFF07A3"/>
    <w:rsid w:val="FEFF9979"/>
    <w:rsid w:val="FEFFD9B0"/>
    <w:rsid w:val="FF3A650E"/>
    <w:rsid w:val="FF3F805C"/>
    <w:rsid w:val="FF4FBACA"/>
    <w:rsid w:val="FF57F6BA"/>
    <w:rsid w:val="FF7072BE"/>
    <w:rsid w:val="FF716E48"/>
    <w:rsid w:val="FF75CE6E"/>
    <w:rsid w:val="FF9EA0AC"/>
    <w:rsid w:val="FF9FBD61"/>
    <w:rsid w:val="FF9FEFC7"/>
    <w:rsid w:val="FFABA4D7"/>
    <w:rsid w:val="FFAFF89C"/>
    <w:rsid w:val="FFBD49CC"/>
    <w:rsid w:val="FFBDC92D"/>
    <w:rsid w:val="FFCE89A5"/>
    <w:rsid w:val="FFD6D747"/>
    <w:rsid w:val="FFD75789"/>
    <w:rsid w:val="FFDA6C74"/>
    <w:rsid w:val="FFDF6819"/>
    <w:rsid w:val="FFE6C866"/>
    <w:rsid w:val="FFE9402B"/>
    <w:rsid w:val="FFEBCB4E"/>
    <w:rsid w:val="FFECFA44"/>
    <w:rsid w:val="FFFB2BFF"/>
    <w:rsid w:val="FFFB9839"/>
    <w:rsid w:val="FFFBD56D"/>
    <w:rsid w:val="FFFF2ED8"/>
    <w:rsid w:val="FFFF85BF"/>
    <w:rsid w:val="FFFF8FA4"/>
    <w:rsid w:val="FFFFA204"/>
    <w:rsid w:val="FFFFA6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9"/>
    <w:qFormat/>
    <w:uiPriority w:val="0"/>
    <w:pPr>
      <w:keepNext/>
      <w:keepLines/>
      <w:spacing w:line="578" w:lineRule="auto"/>
      <w:outlineLvl w:val="0"/>
    </w:pPr>
    <w:rPr>
      <w:rFonts w:ascii="Times New Roman" w:hAnsi="Times New Roman" w:eastAsia="Century Gothic"/>
      <w:b/>
      <w:bCs/>
      <w:kern w:val="44"/>
      <w:sz w:val="44"/>
      <w:szCs w:val="44"/>
    </w:rPr>
  </w:style>
  <w:style w:type="paragraph" w:styleId="4">
    <w:name w:val="heading 2"/>
    <w:basedOn w:val="1"/>
    <w:next w:val="1"/>
    <w:qFormat/>
    <w:uiPriority w:val="0"/>
    <w:pPr>
      <w:keepNext/>
      <w:keepLines/>
      <w:adjustRightInd w:val="0"/>
      <w:spacing w:line="415" w:lineRule="auto"/>
      <w:jc w:val="left"/>
      <w:outlineLvl w:val="1"/>
    </w:pPr>
    <w:rPr>
      <w:rFonts w:ascii="黑体" w:hAnsi="黑体" w:eastAsia="楷体"/>
      <w:b/>
      <w:bCs/>
      <w:sz w:val="32"/>
      <w:szCs w:val="32"/>
    </w:rPr>
  </w:style>
  <w:style w:type="paragraph" w:styleId="5">
    <w:name w:val="heading 3"/>
    <w:basedOn w:val="1"/>
    <w:next w:val="1"/>
    <w:qFormat/>
    <w:uiPriority w:val="0"/>
    <w:pPr>
      <w:keepNext/>
      <w:keepLines/>
      <w:spacing w:line="416" w:lineRule="auto"/>
      <w:outlineLvl w:val="2"/>
    </w:pPr>
    <w:rPr>
      <w:b/>
      <w:bCs/>
      <w:sz w:val="32"/>
      <w:szCs w:val="32"/>
    </w:rPr>
  </w:style>
  <w:style w:type="paragraph" w:styleId="6">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7">
    <w:name w:val="heading 5"/>
    <w:basedOn w:val="1"/>
    <w:next w:val="1"/>
    <w:qFormat/>
    <w:uiPriority w:val="0"/>
    <w:pPr>
      <w:widowControl/>
      <w:jc w:val="left"/>
      <w:outlineLvl w:val="4"/>
    </w:pPr>
    <w:rPr>
      <w:rFonts w:ascii="MS Sans Serif" w:eastAsia="MS Sans Serif"/>
      <w:kern w:val="0"/>
      <w:sz w:val="24"/>
      <w:szCs w:val="20"/>
    </w:rPr>
  </w:style>
  <w:style w:type="paragraph" w:styleId="8">
    <w:name w:val="heading 6"/>
    <w:basedOn w:val="1"/>
    <w:next w:val="1"/>
    <w:qFormat/>
    <w:uiPriority w:val="0"/>
    <w:pPr>
      <w:keepNext/>
      <w:keepLines/>
      <w:spacing w:line="320" w:lineRule="auto"/>
      <w:outlineLvl w:val="5"/>
    </w:pPr>
    <w:rPr>
      <w:rFonts w:ascii="黑体" w:hAnsi="黑体" w:eastAsia="楷体"/>
      <w:b/>
      <w:sz w:val="24"/>
      <w:szCs w:val="20"/>
    </w:rPr>
  </w:style>
  <w:style w:type="paragraph" w:styleId="9">
    <w:name w:val="heading 7"/>
    <w:basedOn w:val="1"/>
    <w:next w:val="1"/>
    <w:qFormat/>
    <w:uiPriority w:val="0"/>
    <w:pPr>
      <w:keepNext/>
      <w:keepLines/>
      <w:spacing w:line="320" w:lineRule="auto"/>
      <w:outlineLvl w:val="6"/>
    </w:pPr>
    <w:rPr>
      <w:b/>
      <w:sz w:val="24"/>
      <w:szCs w:val="20"/>
    </w:rPr>
  </w:style>
  <w:style w:type="paragraph" w:styleId="10">
    <w:name w:val="heading 8"/>
    <w:basedOn w:val="1"/>
    <w:next w:val="11"/>
    <w:qFormat/>
    <w:uiPriority w:val="0"/>
    <w:pPr>
      <w:keepNext/>
      <w:keepLines/>
      <w:spacing w:line="320" w:lineRule="auto"/>
      <w:outlineLvl w:val="7"/>
    </w:pPr>
    <w:rPr>
      <w:rFonts w:ascii="黑体" w:hAnsi="黑体" w:eastAsia="楷体"/>
      <w:sz w:val="24"/>
      <w:szCs w:val="20"/>
    </w:rPr>
  </w:style>
  <w:style w:type="paragraph" w:styleId="12">
    <w:name w:val="heading 9"/>
    <w:basedOn w:val="1"/>
    <w:next w:val="11"/>
    <w:qFormat/>
    <w:uiPriority w:val="0"/>
    <w:pPr>
      <w:keepNext/>
      <w:keepLines/>
      <w:spacing w:line="320" w:lineRule="auto"/>
      <w:outlineLvl w:val="8"/>
    </w:pPr>
    <w:rPr>
      <w:rFonts w:ascii="黑体" w:hAnsi="黑体" w:eastAsia="楷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71"/>
    <w:qFormat/>
    <w:uiPriority w:val="0"/>
    <w:pPr>
      <w:adjustRightInd w:val="0"/>
      <w:spacing w:line="360" w:lineRule="auto"/>
      <w:ind w:firstLine="490"/>
      <w:jc w:val="left"/>
    </w:pPr>
    <w:rPr>
      <w:rFonts w:ascii="Century Gothic" w:hAnsi="Century Gothic" w:eastAsia="Century Gothic"/>
      <w:sz w:val="24"/>
      <w:szCs w:val="20"/>
    </w:rPr>
  </w:style>
  <w:style w:type="paragraph" w:styleId="11">
    <w:name w:val="Normal Indent"/>
    <w:basedOn w:val="1"/>
    <w:next w:val="1"/>
    <w:link w:val="70"/>
    <w:qFormat/>
    <w:uiPriority w:val="0"/>
    <w:pPr>
      <w:widowControl/>
      <w:ind w:firstLine="420"/>
      <w:jc w:val="left"/>
    </w:pPr>
    <w:rPr>
      <w:rFonts w:ascii="Arial" w:hAnsi="Arial" w:cs="Arial"/>
      <w:kern w:val="0"/>
      <w:sz w:val="20"/>
      <w:szCs w:val="20"/>
    </w:rPr>
  </w:style>
  <w:style w:type="paragraph" w:styleId="13">
    <w:name w:val="toc 7"/>
    <w:basedOn w:val="1"/>
    <w:next w:val="1"/>
    <w:semiHidden/>
    <w:qFormat/>
    <w:uiPriority w:val="0"/>
    <w:pPr>
      <w:ind w:left="1260"/>
      <w:jc w:val="left"/>
    </w:pPr>
    <w:rPr>
      <w:sz w:val="18"/>
      <w:szCs w:val="18"/>
    </w:rPr>
  </w:style>
  <w:style w:type="paragraph" w:styleId="14">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5">
    <w:name w:val="caption"/>
    <w:basedOn w:val="1"/>
    <w:next w:val="1"/>
    <w:qFormat/>
    <w:uiPriority w:val="0"/>
    <w:rPr>
      <w:rFonts w:ascii="黑体" w:hAnsi="黑体" w:eastAsia="楷体" w:cs="黑体"/>
      <w:sz w:val="20"/>
      <w:szCs w:val="20"/>
    </w:rPr>
  </w:style>
  <w:style w:type="paragraph" w:styleId="16">
    <w:name w:val="Document Map"/>
    <w:basedOn w:val="1"/>
    <w:semiHidden/>
    <w:qFormat/>
    <w:uiPriority w:val="0"/>
    <w:pPr>
      <w:shd w:val="clear" w:color="auto" w:fill="000080"/>
    </w:pPr>
  </w:style>
  <w:style w:type="paragraph" w:styleId="17">
    <w:name w:val="annotation text"/>
    <w:basedOn w:val="1"/>
    <w:semiHidden/>
    <w:qFormat/>
    <w:uiPriority w:val="0"/>
    <w:pPr>
      <w:jc w:val="left"/>
    </w:pPr>
  </w:style>
  <w:style w:type="paragraph" w:styleId="18">
    <w:name w:val="Body Text"/>
    <w:basedOn w:val="1"/>
    <w:next w:val="19"/>
    <w:qFormat/>
    <w:uiPriority w:val="0"/>
  </w:style>
  <w:style w:type="paragraph" w:styleId="19">
    <w:name w:val="Body Text First Indent"/>
    <w:basedOn w:val="18"/>
    <w:next w:val="1"/>
    <w:qFormat/>
    <w:uiPriority w:val="0"/>
    <w:pPr>
      <w:ind w:firstLine="420"/>
    </w:pPr>
  </w:style>
  <w:style w:type="paragraph" w:styleId="20">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1">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2">
    <w:name w:val="toc 5"/>
    <w:basedOn w:val="1"/>
    <w:next w:val="1"/>
    <w:semiHidden/>
    <w:qFormat/>
    <w:uiPriority w:val="0"/>
    <w:pPr>
      <w:ind w:left="840"/>
      <w:jc w:val="left"/>
    </w:pPr>
    <w:rPr>
      <w:sz w:val="18"/>
      <w:szCs w:val="18"/>
    </w:rPr>
  </w:style>
  <w:style w:type="paragraph" w:styleId="23">
    <w:name w:val="toc 3"/>
    <w:basedOn w:val="1"/>
    <w:next w:val="1"/>
    <w:semiHidden/>
    <w:qFormat/>
    <w:uiPriority w:val="0"/>
    <w:pPr>
      <w:ind w:left="420"/>
      <w:jc w:val="left"/>
    </w:pPr>
    <w:rPr>
      <w:i/>
      <w:iCs/>
      <w:sz w:val="20"/>
      <w:szCs w:val="20"/>
    </w:rPr>
  </w:style>
  <w:style w:type="paragraph" w:styleId="24">
    <w:name w:val="Plain Text"/>
    <w:basedOn w:val="1"/>
    <w:next w:val="1"/>
    <w:link w:val="72"/>
    <w:qFormat/>
    <w:uiPriority w:val="0"/>
    <w:rPr>
      <w:rFonts w:ascii="Century Gothic" w:hAnsi="楷体_GB2312" w:eastAsia="Century Gothic" w:cs="楷体_GB2312"/>
      <w:szCs w:val="21"/>
    </w:rPr>
  </w:style>
  <w:style w:type="paragraph" w:styleId="25">
    <w:name w:val="toc 8"/>
    <w:basedOn w:val="1"/>
    <w:next w:val="1"/>
    <w:semiHidden/>
    <w:qFormat/>
    <w:uiPriority w:val="0"/>
    <w:pPr>
      <w:ind w:left="1470"/>
      <w:jc w:val="left"/>
    </w:pPr>
    <w:rPr>
      <w:sz w:val="18"/>
      <w:szCs w:val="18"/>
    </w:rPr>
  </w:style>
  <w:style w:type="paragraph" w:styleId="26">
    <w:name w:val="Date"/>
    <w:basedOn w:val="1"/>
    <w:next w:val="1"/>
    <w:qFormat/>
    <w:uiPriority w:val="0"/>
    <w:pPr>
      <w:ind w:left="100" w:leftChars="2500"/>
    </w:pPr>
  </w:style>
  <w:style w:type="paragraph" w:styleId="27">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28">
    <w:name w:val="Balloon Text"/>
    <w:basedOn w:val="1"/>
    <w:semiHidden/>
    <w:qFormat/>
    <w:uiPriority w:val="0"/>
    <w:rPr>
      <w:sz w:val="18"/>
      <w:szCs w:val="18"/>
    </w:rPr>
  </w:style>
  <w:style w:type="paragraph" w:styleId="29">
    <w:name w:val="footer"/>
    <w:basedOn w:val="1"/>
    <w:link w:val="73"/>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30">
    <w:name w:val="envelope return"/>
    <w:basedOn w:val="1"/>
    <w:qFormat/>
    <w:uiPriority w:val="0"/>
    <w:pPr>
      <w:snapToGrid w:val="0"/>
    </w:pPr>
    <w:rPr>
      <w:rFonts w:ascii="Arial" w:hAnsi="Arial"/>
    </w:rPr>
  </w:style>
  <w:style w:type="paragraph" w:styleId="31">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2">
    <w:name w:val="toc 1"/>
    <w:basedOn w:val="1"/>
    <w:next w:val="1"/>
    <w:qFormat/>
    <w:uiPriority w:val="39"/>
    <w:pPr>
      <w:tabs>
        <w:tab w:val="right" w:leader="dot" w:pos="8720"/>
      </w:tabs>
      <w:jc w:val="left"/>
    </w:pPr>
    <w:rPr>
      <w:rFonts w:ascii="Century Gothic" w:hAnsi="Century Gothic"/>
      <w:bCs/>
      <w:caps/>
      <w:sz w:val="20"/>
      <w:szCs w:val="20"/>
    </w:rPr>
  </w:style>
  <w:style w:type="paragraph" w:styleId="33">
    <w:name w:val="toc 4"/>
    <w:basedOn w:val="1"/>
    <w:next w:val="1"/>
    <w:semiHidden/>
    <w:qFormat/>
    <w:uiPriority w:val="0"/>
    <w:pPr>
      <w:ind w:left="630"/>
      <w:jc w:val="left"/>
    </w:pPr>
    <w:rPr>
      <w:sz w:val="18"/>
      <w:szCs w:val="18"/>
    </w:rPr>
  </w:style>
  <w:style w:type="paragraph" w:styleId="34">
    <w:name w:val="toc 6"/>
    <w:basedOn w:val="1"/>
    <w:next w:val="1"/>
    <w:semiHidden/>
    <w:qFormat/>
    <w:uiPriority w:val="0"/>
    <w:pPr>
      <w:ind w:left="1050"/>
      <w:jc w:val="left"/>
    </w:pPr>
    <w:rPr>
      <w:sz w:val="18"/>
      <w:szCs w:val="18"/>
    </w:rPr>
  </w:style>
  <w:style w:type="paragraph" w:styleId="35">
    <w:name w:val="List 5"/>
    <w:basedOn w:val="1"/>
    <w:qFormat/>
    <w:uiPriority w:val="0"/>
    <w:pPr>
      <w:ind w:left="100" w:leftChars="800" w:hanging="200" w:hangingChars="200"/>
    </w:pPr>
    <w:rPr>
      <w:szCs w:val="20"/>
    </w:rPr>
  </w:style>
  <w:style w:type="paragraph" w:styleId="36">
    <w:name w:val="Body Text Indent 3"/>
    <w:basedOn w:val="1"/>
    <w:qFormat/>
    <w:uiPriority w:val="0"/>
    <w:pPr>
      <w:ind w:left="420" w:leftChars="200"/>
    </w:pPr>
    <w:rPr>
      <w:sz w:val="16"/>
      <w:szCs w:val="16"/>
    </w:rPr>
  </w:style>
  <w:style w:type="paragraph" w:styleId="37">
    <w:name w:val="toc 2"/>
    <w:basedOn w:val="1"/>
    <w:next w:val="1"/>
    <w:qFormat/>
    <w:uiPriority w:val="39"/>
    <w:pPr>
      <w:tabs>
        <w:tab w:val="right" w:leader="dot" w:pos="8720"/>
      </w:tabs>
      <w:adjustRightInd w:val="0"/>
      <w:snapToGrid w:val="0"/>
      <w:jc w:val="left"/>
    </w:pPr>
    <w:rPr>
      <w:smallCaps/>
      <w:sz w:val="20"/>
      <w:szCs w:val="20"/>
    </w:rPr>
  </w:style>
  <w:style w:type="paragraph" w:styleId="38">
    <w:name w:val="toc 9"/>
    <w:basedOn w:val="1"/>
    <w:next w:val="1"/>
    <w:semiHidden/>
    <w:qFormat/>
    <w:uiPriority w:val="0"/>
    <w:pPr>
      <w:ind w:left="1680"/>
      <w:jc w:val="left"/>
    </w:pPr>
    <w:rPr>
      <w:sz w:val="18"/>
      <w:szCs w:val="18"/>
    </w:rPr>
  </w:style>
  <w:style w:type="paragraph" w:styleId="39">
    <w:name w:val="Body Text 2"/>
    <w:basedOn w:val="1"/>
    <w:qFormat/>
    <w:uiPriority w:val="0"/>
    <w:rPr>
      <w:sz w:val="24"/>
    </w:rPr>
  </w:style>
  <w:style w:type="paragraph" w:styleId="4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1">
    <w:name w:val="Normal (Web)"/>
    <w:basedOn w:val="1"/>
    <w:qFormat/>
    <w:uiPriority w:val="0"/>
    <w:pPr>
      <w:widowControl/>
      <w:shd w:val="clear" w:color="auto" w:fill="FFFFFF"/>
      <w:spacing w:beforeAutospacing="1" w:afterAutospacing="1"/>
      <w:jc w:val="left"/>
    </w:pPr>
    <w:rPr>
      <w:rFonts w:ascii="Century Gothic" w:hAnsi="Century Gothic"/>
      <w:kern w:val="0"/>
      <w:sz w:val="18"/>
      <w:szCs w:val="18"/>
    </w:rPr>
  </w:style>
  <w:style w:type="paragraph" w:styleId="42">
    <w:name w:val="Title"/>
    <w:basedOn w:val="1"/>
    <w:next w:val="1"/>
    <w:qFormat/>
    <w:uiPriority w:val="0"/>
    <w:pPr>
      <w:tabs>
        <w:tab w:val="left" w:pos="1200"/>
      </w:tabs>
      <w:spacing w:afterLines="200"/>
      <w:ind w:left="1440" w:hanging="720"/>
      <w:jc w:val="center"/>
    </w:pPr>
    <w:rPr>
      <w:b/>
      <w:bCs/>
      <w:spacing w:val="60"/>
      <w:sz w:val="32"/>
    </w:rPr>
  </w:style>
  <w:style w:type="paragraph" w:styleId="43">
    <w:name w:val="annotation subject"/>
    <w:basedOn w:val="17"/>
    <w:next w:val="17"/>
    <w:semiHidden/>
    <w:qFormat/>
    <w:uiPriority w:val="0"/>
    <w:rPr>
      <w:b/>
      <w:bCs/>
    </w:rPr>
  </w:style>
  <w:style w:type="paragraph" w:styleId="44">
    <w:name w:val="Body Text First Indent 2"/>
    <w:basedOn w:val="1"/>
    <w:next w:val="1"/>
    <w:qFormat/>
    <w:uiPriority w:val="0"/>
    <w:pPr>
      <w:ind w:firstLine="420" w:firstLineChars="200"/>
    </w:pPr>
  </w:style>
  <w:style w:type="table" w:styleId="46">
    <w:name w:val="Table Grid"/>
    <w:basedOn w:val="4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qFormat/>
    <w:uiPriority w:val="0"/>
  </w:style>
  <w:style w:type="character" w:styleId="50">
    <w:name w:val="FollowedHyperlink"/>
    <w:qFormat/>
    <w:uiPriority w:val="0"/>
    <w:rPr>
      <w:color w:val="3177FD"/>
      <w:sz w:val="21"/>
      <w:szCs w:val="21"/>
      <w:u w:val="none"/>
    </w:rPr>
  </w:style>
  <w:style w:type="character" w:styleId="51">
    <w:name w:val="Emphasis"/>
    <w:basedOn w:val="47"/>
    <w:qFormat/>
    <w:uiPriority w:val="0"/>
    <w:rPr>
      <w:color w:val="F73131"/>
    </w:rPr>
  </w:style>
  <w:style w:type="character" w:styleId="52">
    <w:name w:val="HTML Definition"/>
    <w:qFormat/>
    <w:uiPriority w:val="0"/>
    <w:rPr>
      <w:i/>
      <w:color w:val="FFFFFF"/>
      <w:u w:val="none"/>
    </w:rPr>
  </w:style>
  <w:style w:type="character" w:styleId="53">
    <w:name w:val="Hyperlink"/>
    <w:qFormat/>
    <w:uiPriority w:val="0"/>
    <w:rPr>
      <w:color w:val="3177FD"/>
      <w:u w:val="none"/>
    </w:rPr>
  </w:style>
  <w:style w:type="character" w:styleId="54">
    <w:name w:val="HTML Code"/>
    <w:qFormat/>
    <w:uiPriority w:val="0"/>
    <w:rPr>
      <w:rFonts w:hint="default" w:ascii="Consolas" w:hAnsi="Consolas" w:eastAsia="Consolas" w:cs="Consolas"/>
      <w:sz w:val="21"/>
      <w:szCs w:val="21"/>
    </w:rPr>
  </w:style>
  <w:style w:type="character" w:styleId="55">
    <w:name w:val="annotation reference"/>
    <w:semiHidden/>
    <w:qFormat/>
    <w:uiPriority w:val="0"/>
    <w:rPr>
      <w:sz w:val="21"/>
      <w:szCs w:val="21"/>
    </w:rPr>
  </w:style>
  <w:style w:type="character" w:styleId="56">
    <w:name w:val="HTML Cite"/>
    <w:basedOn w:val="47"/>
    <w:qFormat/>
    <w:uiPriority w:val="0"/>
    <w:rPr>
      <w:color w:val="008000"/>
    </w:rPr>
  </w:style>
  <w:style w:type="character" w:styleId="57">
    <w:name w:val="HTML Keyboard"/>
    <w:qFormat/>
    <w:uiPriority w:val="0"/>
    <w:rPr>
      <w:rFonts w:ascii="Consolas" w:hAnsi="Consolas" w:eastAsia="Consolas" w:cs="Consolas"/>
      <w:sz w:val="21"/>
      <w:szCs w:val="21"/>
    </w:rPr>
  </w:style>
  <w:style w:type="character" w:styleId="58">
    <w:name w:val="HTML Sample"/>
    <w:qFormat/>
    <w:uiPriority w:val="0"/>
    <w:rPr>
      <w:rFonts w:hint="default" w:ascii="Consolas" w:hAnsi="Consolas" w:eastAsia="Consolas" w:cs="Consolas"/>
      <w:sz w:val="21"/>
      <w:szCs w:val="21"/>
    </w:rPr>
  </w:style>
  <w:style w:type="paragraph" w:customStyle="1" w:styleId="59">
    <w:name w:val="[Normal]"/>
    <w:qFormat/>
    <w:uiPriority w:val="0"/>
    <w:rPr>
      <w:rFonts w:ascii="宋体" w:hAnsi="宋体" w:eastAsia="宋体" w:cs="Arial"/>
      <w:sz w:val="24"/>
      <w:szCs w:val="22"/>
      <w:lang w:val="zh-CN" w:eastAsia="zh-CN" w:bidi="ar-SA"/>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1">
    <w:name w:val="正文文本首行缩进 21"/>
    <w:basedOn w:val="62"/>
    <w:qFormat/>
    <w:uiPriority w:val="99"/>
    <w:pPr>
      <w:tabs>
        <w:tab w:val="right" w:leader="dot" w:pos="8268"/>
      </w:tabs>
      <w:spacing w:line="200" w:lineRule="atLeast"/>
      <w:ind w:firstLine="420"/>
    </w:pPr>
    <w:rPr>
      <w:spacing w:val="-4"/>
      <w:sz w:val="18"/>
    </w:rPr>
  </w:style>
  <w:style w:type="paragraph" w:customStyle="1" w:styleId="62">
    <w:name w:val="正文缩进1"/>
    <w:basedOn w:val="63"/>
    <w:next w:val="2"/>
    <w:qFormat/>
    <w:uiPriority w:val="0"/>
    <w:pPr>
      <w:autoSpaceDE w:val="0"/>
      <w:autoSpaceDN w:val="0"/>
      <w:snapToGrid w:val="0"/>
      <w:spacing w:after="120" w:line="360" w:lineRule="auto"/>
      <w:ind w:left="200" w:leftChars="200" w:firstLine="480" w:firstLineChars="200"/>
    </w:pPr>
    <w:rPr>
      <w:sz w:val="24"/>
      <w:szCs w:val="21"/>
    </w:rPr>
  </w:style>
  <w:style w:type="paragraph" w:customStyle="1" w:styleId="63">
    <w:name w:val="正文1"/>
    <w:basedOn w:val="23"/>
    <w:next w:val="1"/>
    <w:qFormat/>
    <w:uiPriority w:val="0"/>
    <w:pPr>
      <w:jc w:val="both"/>
    </w:pPr>
    <w:rPr>
      <w:rFonts w:hint="eastAsia" w:ascii="Times New Roman" w:hAnsi="Times New Roman"/>
      <w:sz w:val="21"/>
    </w:rPr>
  </w:style>
  <w:style w:type="paragraph" w:customStyle="1" w:styleId="6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65">
    <w:name w:val="List Paragraph"/>
    <w:basedOn w:val="1"/>
    <w:link w:val="99"/>
    <w:qFormat/>
    <w:uiPriority w:val="34"/>
    <w:pPr>
      <w:ind w:firstLine="420" w:firstLineChars="200"/>
    </w:pPr>
    <w:rPr>
      <w:rFonts w:ascii="Times New Roman" w:hAnsi="Times New Roman"/>
    </w:rPr>
  </w:style>
  <w:style w:type="paragraph" w:customStyle="1" w:styleId="66">
    <w:name w:val="正文文字"/>
    <w:basedOn w:val="1"/>
    <w:qFormat/>
    <w:uiPriority w:val="0"/>
    <w:pPr>
      <w:widowControl/>
      <w:spacing w:line="952" w:lineRule="atLeast"/>
      <w:ind w:firstLine="419"/>
    </w:pPr>
    <w:rPr>
      <w:b/>
      <w:color w:val="000000"/>
      <w:sz w:val="44"/>
      <w:szCs w:val="20"/>
    </w:rPr>
  </w:style>
  <w:style w:type="paragraph" w:customStyle="1" w:styleId="67">
    <w:name w:val="_Style 2"/>
    <w:basedOn w:val="1"/>
    <w:qFormat/>
    <w:uiPriority w:val="0"/>
    <w:pPr>
      <w:ind w:firstLine="200" w:firstLineChars="200"/>
    </w:pPr>
    <w:rPr>
      <w:sz w:val="28"/>
      <w:szCs w:val="22"/>
    </w:rPr>
  </w:style>
  <w:style w:type="paragraph" w:customStyle="1" w:styleId="68">
    <w:name w:val="_Style 1"/>
    <w:qFormat/>
    <w:uiPriority w:val="0"/>
    <w:rPr>
      <w:rFonts w:ascii="Calibri" w:hAnsi="Calibri" w:eastAsia="宋体" w:cs="Times New Roman"/>
      <w:kern w:val="2"/>
      <w:sz w:val="28"/>
      <w:szCs w:val="22"/>
      <w:lang w:val="en-US" w:eastAsia="zh-CN" w:bidi="ar-SA"/>
    </w:rPr>
  </w:style>
  <w:style w:type="character" w:customStyle="1" w:styleId="69">
    <w:name w:val="标题 1 Char"/>
    <w:link w:val="3"/>
    <w:qFormat/>
    <w:uiPriority w:val="0"/>
    <w:rPr>
      <w:rFonts w:eastAsia="Century Gothic"/>
      <w:b/>
      <w:bCs/>
      <w:kern w:val="44"/>
      <w:sz w:val="44"/>
      <w:szCs w:val="44"/>
      <w:lang w:val="en-US" w:eastAsia="zh-CN" w:bidi="ar-SA"/>
    </w:rPr>
  </w:style>
  <w:style w:type="character" w:customStyle="1" w:styleId="70">
    <w:name w:val="正文缩进 Char"/>
    <w:link w:val="11"/>
    <w:qFormat/>
    <w:uiPriority w:val="0"/>
    <w:rPr>
      <w:rFonts w:ascii="Arial" w:hAnsi="Arial" w:eastAsia="宋体" w:cs="Arial"/>
      <w:lang w:val="en-US" w:eastAsia="zh-CN" w:bidi="ar-SA"/>
    </w:rPr>
  </w:style>
  <w:style w:type="character" w:customStyle="1" w:styleId="71">
    <w:name w:val="正文文本缩进 Char"/>
    <w:link w:val="2"/>
    <w:semiHidden/>
    <w:qFormat/>
    <w:uiPriority w:val="0"/>
    <w:rPr>
      <w:rFonts w:ascii="Century Gothic" w:hAnsi="Century Gothic" w:eastAsia="Century Gothic"/>
      <w:kern w:val="2"/>
      <w:sz w:val="24"/>
      <w:lang w:val="en-US" w:eastAsia="zh-CN" w:bidi="ar-SA"/>
    </w:rPr>
  </w:style>
  <w:style w:type="character" w:customStyle="1" w:styleId="72">
    <w:name w:val="纯文本 Char"/>
    <w:link w:val="24"/>
    <w:qFormat/>
    <w:uiPriority w:val="0"/>
    <w:rPr>
      <w:rFonts w:ascii="Century Gothic" w:hAnsi="楷体_GB2312" w:eastAsia="Century Gothic" w:cs="楷体_GB2312"/>
      <w:kern w:val="2"/>
      <w:sz w:val="21"/>
      <w:szCs w:val="21"/>
      <w:lang w:val="en-US" w:eastAsia="zh-CN" w:bidi="ar-SA"/>
    </w:rPr>
  </w:style>
  <w:style w:type="character" w:customStyle="1" w:styleId="73">
    <w:name w:val="页脚 Char"/>
    <w:link w:val="29"/>
    <w:qFormat/>
    <w:uiPriority w:val="0"/>
    <w:rPr>
      <w:rFonts w:eastAsia="Century Gothic"/>
      <w:kern w:val="2"/>
      <w:sz w:val="18"/>
      <w:lang w:val="en-US" w:eastAsia="zh-CN" w:bidi="ar-SA"/>
    </w:rPr>
  </w:style>
  <w:style w:type="character" w:customStyle="1" w:styleId="74">
    <w:name w:val="zbggmain style9"/>
    <w:qFormat/>
    <w:uiPriority w:val="0"/>
    <w:rPr>
      <w:rFonts w:ascii="Courier New" w:eastAsia="Courier New"/>
      <w:b/>
      <w:kern w:val="2"/>
      <w:sz w:val="32"/>
      <w:szCs w:val="32"/>
      <w:lang w:val="en-US" w:eastAsia="zh-CN" w:bidi="ar-SA"/>
    </w:rPr>
  </w:style>
  <w:style w:type="character" w:customStyle="1" w:styleId="75">
    <w:name w:val="temp1"/>
    <w:qFormat/>
    <w:uiPriority w:val="0"/>
  </w:style>
  <w:style w:type="character" w:customStyle="1" w:styleId="76">
    <w:name w:val="Char Char21"/>
    <w:qFormat/>
    <w:uiPriority w:val="0"/>
    <w:rPr>
      <w:rFonts w:eastAsia="Century Gothic"/>
      <w:b/>
      <w:bCs/>
      <w:kern w:val="44"/>
      <w:sz w:val="32"/>
      <w:szCs w:val="44"/>
      <w:lang w:val="en-US" w:eastAsia="zh-CN" w:bidi="ar-SA"/>
    </w:rPr>
  </w:style>
  <w:style w:type="character" w:customStyle="1" w:styleId="77">
    <w:name w:val="Char Char12"/>
    <w:qFormat/>
    <w:uiPriority w:val="0"/>
    <w:rPr>
      <w:rFonts w:ascii="Century Gothic" w:hAnsi="楷体_GB2312" w:eastAsia="Century Gothic" w:cs="楷体_GB2312"/>
      <w:kern w:val="2"/>
      <w:sz w:val="21"/>
      <w:szCs w:val="21"/>
      <w:lang w:val="en-US" w:eastAsia="zh-CN" w:bidi="ar-SA"/>
    </w:rPr>
  </w:style>
  <w:style w:type="character" w:customStyle="1" w:styleId="78">
    <w:name w:val="first-child7"/>
    <w:qFormat/>
    <w:uiPriority w:val="0"/>
  </w:style>
  <w:style w:type="character" w:customStyle="1" w:styleId="79">
    <w:name w:val="ant-select-tree-checkbox"/>
    <w:qFormat/>
    <w:uiPriority w:val="0"/>
  </w:style>
  <w:style w:type="character" w:customStyle="1" w:styleId="80">
    <w:name w:val="tag-type"/>
    <w:qFormat/>
    <w:uiPriority w:val="0"/>
    <w:rPr>
      <w:color w:val="FFFFFF"/>
      <w:sz w:val="18"/>
      <w:szCs w:val="18"/>
      <w:shd w:val="clear" w:color="auto" w:fill="317FFD"/>
    </w:rPr>
  </w:style>
  <w:style w:type="character" w:customStyle="1" w:styleId="81">
    <w:name w:val="ant-select-tree-switcher"/>
    <w:qFormat/>
    <w:uiPriority w:val="0"/>
  </w:style>
  <w:style w:type="character" w:customStyle="1" w:styleId="82">
    <w:name w:val="Default Char"/>
    <w:link w:val="83"/>
    <w:qFormat/>
    <w:uiPriority w:val="0"/>
    <w:rPr>
      <w:rFonts w:ascii="楷体" w:eastAsia="楷体"/>
      <w:color w:val="000000"/>
      <w:sz w:val="24"/>
      <w:szCs w:val="24"/>
      <w:lang w:val="en-US" w:eastAsia="zh-CN" w:bidi="ar-SA"/>
    </w:rPr>
  </w:style>
  <w:style w:type="paragraph" w:customStyle="1" w:styleId="83">
    <w:name w:val="Default"/>
    <w:next w:val="84"/>
    <w:link w:val="82"/>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8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6">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87">
    <w:name w:val="font71"/>
    <w:qFormat/>
    <w:uiPriority w:val="0"/>
    <w:rPr>
      <w:rFonts w:hint="eastAsia" w:ascii="宋体" w:hAnsi="宋体" w:eastAsia="宋体" w:cs="宋体"/>
      <w:color w:val="000000"/>
      <w:sz w:val="20"/>
      <w:szCs w:val="20"/>
      <w:u w:val="none"/>
    </w:rPr>
  </w:style>
  <w:style w:type="character" w:customStyle="1" w:styleId="88">
    <w:name w:val="current"/>
    <w:qFormat/>
    <w:uiPriority w:val="0"/>
    <w:rPr>
      <w:color w:val="00C1DE"/>
    </w:rPr>
  </w:style>
  <w:style w:type="character" w:customStyle="1" w:styleId="89">
    <w:name w:val="last-of-type"/>
    <w:qFormat/>
    <w:uiPriority w:val="0"/>
    <w:rPr>
      <w:color w:val="FF4A44"/>
      <w:sz w:val="27"/>
      <w:szCs w:val="27"/>
    </w:rPr>
  </w:style>
  <w:style w:type="character" w:customStyle="1" w:styleId="90">
    <w:name w:val="font121"/>
    <w:qFormat/>
    <w:uiPriority w:val="0"/>
    <w:rPr>
      <w:rFonts w:hint="eastAsia" w:ascii="宋体" w:hAnsi="宋体" w:eastAsia="宋体" w:cs="宋体"/>
      <w:b/>
      <w:color w:val="000000"/>
      <w:sz w:val="20"/>
      <w:szCs w:val="20"/>
      <w:u w:val="none"/>
    </w:rPr>
  </w:style>
  <w:style w:type="character" w:customStyle="1" w:styleId="91">
    <w:name w:val="font01"/>
    <w:basedOn w:val="47"/>
    <w:qFormat/>
    <w:uiPriority w:val="0"/>
    <w:rPr>
      <w:rFonts w:hint="eastAsia" w:ascii="宋体" w:hAnsi="宋体" w:eastAsia="宋体" w:cs="宋体"/>
      <w:color w:val="000000"/>
      <w:sz w:val="20"/>
      <w:szCs w:val="20"/>
      <w:u w:val="none"/>
      <w:vertAlign w:val="superscript"/>
    </w:rPr>
  </w:style>
  <w:style w:type="character" w:customStyle="1" w:styleId="92">
    <w:name w:val="first-child"/>
    <w:qFormat/>
    <w:uiPriority w:val="0"/>
  </w:style>
  <w:style w:type="character" w:customStyle="1" w:styleId="93">
    <w:name w:val="current1"/>
    <w:qFormat/>
    <w:uiPriority w:val="0"/>
    <w:rPr>
      <w:color w:val="00C1DE"/>
    </w:rPr>
  </w:style>
  <w:style w:type="character" w:customStyle="1" w:styleId="94">
    <w:name w:val="zbggtop11 style5"/>
    <w:qFormat/>
    <w:uiPriority w:val="0"/>
  </w:style>
  <w:style w:type="character" w:customStyle="1" w:styleId="95">
    <w:name w:val="style1"/>
    <w:qFormat/>
    <w:uiPriority w:val="0"/>
  </w:style>
  <w:style w:type="character" w:customStyle="1" w:styleId="96">
    <w:name w:val="ant-tree-iconele"/>
    <w:qFormat/>
    <w:uiPriority w:val="0"/>
  </w:style>
  <w:style w:type="character" w:customStyle="1" w:styleId="97">
    <w:name w:val="content"/>
    <w:qFormat/>
    <w:uiPriority w:val="0"/>
  </w:style>
  <w:style w:type="character" w:customStyle="1" w:styleId="98">
    <w:name w:val="font51"/>
    <w:qFormat/>
    <w:uiPriority w:val="0"/>
    <w:rPr>
      <w:rFonts w:hint="eastAsia" w:ascii="宋体" w:hAnsi="宋体" w:eastAsia="宋体" w:cs="宋体"/>
      <w:color w:val="000000"/>
      <w:sz w:val="20"/>
      <w:szCs w:val="20"/>
      <w:u w:val="none"/>
    </w:rPr>
  </w:style>
  <w:style w:type="character" w:customStyle="1" w:styleId="99">
    <w:name w:val="列出段落 Char"/>
    <w:link w:val="65"/>
    <w:qFormat/>
    <w:uiPriority w:val="34"/>
    <w:rPr>
      <w:kern w:val="2"/>
      <w:sz w:val="21"/>
      <w:szCs w:val="24"/>
    </w:rPr>
  </w:style>
  <w:style w:type="character" w:customStyle="1" w:styleId="100">
    <w:name w:val="ant-select-tree-iconele"/>
    <w:qFormat/>
    <w:uiPriority w:val="0"/>
  </w:style>
  <w:style w:type="character" w:customStyle="1" w:styleId="101">
    <w:name w:val="bookmark-item uuid-1588129097073 code-23007 addword single-line-text-input-box-cls readonly"/>
    <w:qFormat/>
    <w:uiPriority w:val="0"/>
  </w:style>
  <w:style w:type="character" w:customStyle="1" w:styleId="102">
    <w:name w:val="ant-badge-status-dot2"/>
    <w:qFormat/>
    <w:uiPriority w:val="0"/>
    <w:rPr>
      <w:shd w:val="clear" w:color="auto" w:fill="FFFFFF"/>
    </w:rPr>
  </w:style>
  <w:style w:type="character" w:customStyle="1" w:styleId="103">
    <w:name w:val="change-camera-place"/>
    <w:qFormat/>
    <w:uiPriority w:val="0"/>
    <w:rPr>
      <w:color w:val="3177FD"/>
    </w:rPr>
  </w:style>
  <w:style w:type="character" w:customStyle="1" w:styleId="104">
    <w:name w:val="last-child1"/>
    <w:qFormat/>
    <w:uiPriority w:val="0"/>
  </w:style>
  <w:style w:type="character" w:customStyle="1" w:styleId="105">
    <w:name w:val="first-child9"/>
    <w:qFormat/>
    <w:uiPriority w:val="0"/>
  </w:style>
  <w:style w:type="character" w:customStyle="1" w:styleId="106">
    <w:name w:val="all-fit-info2"/>
    <w:qFormat/>
    <w:uiPriority w:val="0"/>
    <w:rPr>
      <w:color w:val="939393"/>
    </w:rPr>
  </w:style>
  <w:style w:type="character" w:customStyle="1" w:styleId="107">
    <w:name w:val="ant-tree-switcher"/>
    <w:qFormat/>
    <w:uiPriority w:val="0"/>
  </w:style>
  <w:style w:type="character" w:customStyle="1" w:styleId="108">
    <w:name w:val="temp2"/>
    <w:qFormat/>
    <w:uiPriority w:val="0"/>
  </w:style>
  <w:style w:type="character" w:customStyle="1" w:styleId="109">
    <w:name w:val="tpc_content1"/>
    <w:qFormat/>
    <w:uiPriority w:val="0"/>
    <w:rPr>
      <w:sz w:val="20"/>
      <w:szCs w:val="20"/>
    </w:rPr>
  </w:style>
  <w:style w:type="character" w:customStyle="1" w:styleId="110">
    <w:name w:val="font81"/>
    <w:basedOn w:val="47"/>
    <w:qFormat/>
    <w:uiPriority w:val="0"/>
    <w:rPr>
      <w:rFonts w:hint="eastAsia" w:ascii="宋体" w:hAnsi="宋体" w:eastAsia="宋体" w:cs="宋体"/>
      <w:color w:val="FF0000"/>
      <w:sz w:val="24"/>
      <w:szCs w:val="24"/>
      <w:u w:val="none"/>
    </w:rPr>
  </w:style>
  <w:style w:type="character" w:customStyle="1" w:styleId="111">
    <w:name w:val="tag-type1"/>
    <w:qFormat/>
    <w:uiPriority w:val="0"/>
    <w:rPr>
      <w:color w:val="FFFFFF"/>
      <w:sz w:val="18"/>
      <w:szCs w:val="18"/>
      <w:shd w:val="clear" w:color="auto" w:fill="317FFD"/>
    </w:rPr>
  </w:style>
  <w:style w:type="character" w:customStyle="1" w:styleId="112">
    <w:name w:val="font21"/>
    <w:basedOn w:val="47"/>
    <w:qFormat/>
    <w:uiPriority w:val="0"/>
    <w:rPr>
      <w:rFonts w:hint="default" w:ascii="Arial" w:hAnsi="Arial" w:cs="Arial"/>
      <w:color w:val="000000"/>
      <w:sz w:val="21"/>
      <w:szCs w:val="21"/>
      <w:u w:val="none"/>
    </w:rPr>
  </w:style>
  <w:style w:type="character" w:customStyle="1" w:styleId="113">
    <w:name w:val="last-child2"/>
    <w:qFormat/>
    <w:uiPriority w:val="0"/>
  </w:style>
  <w:style w:type="character" w:customStyle="1" w:styleId="114">
    <w:name w:val="info-content"/>
    <w:qFormat/>
    <w:uiPriority w:val="0"/>
    <w:rPr>
      <w:color w:val="808080"/>
    </w:rPr>
  </w:style>
  <w:style w:type="character" w:customStyle="1" w:styleId="115">
    <w:name w:val="Char Char"/>
    <w:qFormat/>
    <w:uiPriority w:val="0"/>
    <w:rPr>
      <w:rFonts w:ascii="Courier New" w:eastAsia="Courier New"/>
      <w:color w:val="FF0000"/>
      <w:kern w:val="2"/>
      <w:sz w:val="24"/>
      <w:szCs w:val="24"/>
      <w:u w:val="single"/>
      <w:lang w:val="en-US" w:eastAsia="zh-CN" w:bidi="ar-SA"/>
    </w:rPr>
  </w:style>
  <w:style w:type="character" w:customStyle="1" w:styleId="116">
    <w:name w:val="ant-tree-checkbox2"/>
    <w:qFormat/>
    <w:uiPriority w:val="0"/>
  </w:style>
  <w:style w:type="character" w:customStyle="1" w:styleId="117">
    <w:name w:val="label2"/>
    <w:qFormat/>
    <w:uiPriority w:val="0"/>
  </w:style>
  <w:style w:type="character" w:customStyle="1" w:styleId="118">
    <w:name w:val="标准文本 Char"/>
    <w:link w:val="119"/>
    <w:qFormat/>
    <w:uiPriority w:val="0"/>
    <w:rPr>
      <w:rFonts w:eastAsia="宋体" w:cs="宋体"/>
      <w:kern w:val="2"/>
      <w:sz w:val="24"/>
      <w:lang w:val="en-US" w:eastAsia="zh-CN" w:bidi="ar-SA"/>
    </w:rPr>
  </w:style>
  <w:style w:type="paragraph" w:customStyle="1" w:styleId="119">
    <w:name w:val="标准文本"/>
    <w:basedOn w:val="1"/>
    <w:link w:val="118"/>
    <w:qFormat/>
    <w:uiPriority w:val="0"/>
    <w:pPr>
      <w:spacing w:line="360" w:lineRule="auto"/>
      <w:ind w:firstLine="480" w:firstLineChars="200"/>
    </w:pPr>
    <w:rPr>
      <w:rFonts w:ascii="Times New Roman" w:hAnsi="Times New Roman" w:cs="宋体"/>
      <w:sz w:val="24"/>
      <w:szCs w:val="20"/>
    </w:rPr>
  </w:style>
  <w:style w:type="character" w:customStyle="1" w:styleId="120">
    <w:name w:val="正文2 Char"/>
    <w:link w:val="121"/>
    <w:qFormat/>
    <w:uiPriority w:val="0"/>
    <w:rPr>
      <w:rFonts w:eastAsia="宋体"/>
      <w:kern w:val="2"/>
      <w:sz w:val="24"/>
      <w:lang w:val="en-US" w:eastAsia="zh-CN" w:bidi="ar-SA"/>
    </w:rPr>
  </w:style>
  <w:style w:type="paragraph" w:customStyle="1" w:styleId="121">
    <w:name w:val="正文2"/>
    <w:basedOn w:val="1"/>
    <w:link w:val="120"/>
    <w:qFormat/>
    <w:uiPriority w:val="0"/>
    <w:pPr>
      <w:spacing w:line="360" w:lineRule="auto"/>
      <w:ind w:firstLine="510" w:firstLineChars="200"/>
    </w:pPr>
    <w:rPr>
      <w:rFonts w:ascii="Times New Roman" w:hAnsi="Times New Roman"/>
      <w:sz w:val="24"/>
      <w:szCs w:val="20"/>
    </w:rPr>
  </w:style>
  <w:style w:type="character" w:customStyle="1" w:styleId="122">
    <w:name w:val="bulletintext1"/>
    <w:qFormat/>
    <w:uiPriority w:val="0"/>
    <w:rPr>
      <w:color w:val="000000"/>
      <w:sz w:val="18"/>
    </w:rPr>
  </w:style>
  <w:style w:type="character" w:customStyle="1" w:styleId="123">
    <w:name w:val="last-child"/>
    <w:qFormat/>
    <w:uiPriority w:val="0"/>
  </w:style>
  <w:style w:type="character" w:customStyle="1" w:styleId="124">
    <w:name w:val="font101"/>
    <w:qFormat/>
    <w:uiPriority w:val="0"/>
    <w:rPr>
      <w:rFonts w:ascii="Calibri" w:hAnsi="Calibri" w:cs="Calibri"/>
      <w:color w:val="000000"/>
      <w:sz w:val="20"/>
      <w:szCs w:val="20"/>
      <w:u w:val="none"/>
    </w:rPr>
  </w:style>
  <w:style w:type="character" w:customStyle="1" w:styleId="125">
    <w:name w:val="font61"/>
    <w:basedOn w:val="47"/>
    <w:qFormat/>
    <w:uiPriority w:val="0"/>
    <w:rPr>
      <w:rFonts w:hint="eastAsia" w:ascii="宋体" w:hAnsi="宋体" w:eastAsia="宋体" w:cs="宋体"/>
      <w:color w:val="161616"/>
      <w:sz w:val="20"/>
      <w:szCs w:val="20"/>
      <w:u w:val="none"/>
    </w:rPr>
  </w:style>
  <w:style w:type="character" w:customStyle="1" w:styleId="126">
    <w:name w:val="all-fit-info"/>
    <w:qFormat/>
    <w:uiPriority w:val="0"/>
    <w:rPr>
      <w:color w:val="939393"/>
    </w:rPr>
  </w:style>
  <w:style w:type="character" w:customStyle="1" w:styleId="127">
    <w:name w:val="ant-tree-checkbox"/>
    <w:qFormat/>
    <w:uiPriority w:val="0"/>
  </w:style>
  <w:style w:type="character" w:customStyle="1" w:styleId="128">
    <w:name w:val="ant-badge-status-dot"/>
    <w:qFormat/>
    <w:uiPriority w:val="0"/>
    <w:rPr>
      <w:shd w:val="clear" w:color="auto" w:fill="FFFFFF"/>
    </w:rPr>
  </w:style>
  <w:style w:type="character" w:customStyle="1" w:styleId="129">
    <w:name w:val="bookmark-item uuid-1591619842642 code-23011 addword date-time-selection-cls"/>
    <w:qFormat/>
    <w:uiPriority w:val="0"/>
  </w:style>
  <w:style w:type="character" w:customStyle="1" w:styleId="130">
    <w:name w:val="content8"/>
    <w:qFormat/>
    <w:uiPriority w:val="0"/>
  </w:style>
  <w:style w:type="character" w:customStyle="1" w:styleId="131">
    <w:name w:val="info-label"/>
    <w:qFormat/>
    <w:uiPriority w:val="0"/>
    <w:rPr>
      <w:b/>
    </w:rPr>
  </w:style>
  <w:style w:type="character" w:customStyle="1" w:styleId="132">
    <w:name w:val="ant-select-tree-checkbox2"/>
    <w:qFormat/>
    <w:uiPriority w:val="0"/>
  </w:style>
  <w:style w:type="character" w:customStyle="1" w:styleId="133">
    <w:name w:val="temp"/>
    <w:qFormat/>
    <w:uiPriority w:val="0"/>
  </w:style>
  <w:style w:type="character" w:customStyle="1" w:styleId="134">
    <w:name w:val="label"/>
    <w:qFormat/>
    <w:uiPriority w:val="0"/>
  </w:style>
  <w:style w:type="character" w:customStyle="1" w:styleId="135">
    <w:name w:val="ant-tree-icon_loading"/>
    <w:qFormat/>
    <w:uiPriority w:val="0"/>
    <w:rPr>
      <w:shd w:val="clear" w:color="auto" w:fill="FFFFFF"/>
    </w:rPr>
  </w:style>
  <w:style w:type="character" w:customStyle="1" w:styleId="136">
    <w:name w:val="last-child3"/>
    <w:qFormat/>
    <w:uiPriority w:val="0"/>
  </w:style>
  <w:style w:type="character" w:customStyle="1" w:styleId="137">
    <w:name w:val="font11"/>
    <w:basedOn w:val="47"/>
    <w:qFormat/>
    <w:uiPriority w:val="0"/>
    <w:rPr>
      <w:rFonts w:hint="eastAsia" w:ascii="宋体" w:hAnsi="宋体" w:eastAsia="宋体" w:cs="宋体"/>
      <w:color w:val="000000"/>
      <w:sz w:val="21"/>
      <w:szCs w:val="21"/>
      <w:u w:val="none"/>
    </w:rPr>
  </w:style>
  <w:style w:type="character" w:customStyle="1" w:styleId="138">
    <w:name w:val="all-fit-info1"/>
    <w:qFormat/>
    <w:uiPriority w:val="0"/>
    <w:rPr>
      <w:color w:val="939393"/>
    </w:rPr>
  </w:style>
  <w:style w:type="paragraph" w:customStyle="1" w:styleId="139">
    <w:name w:val="font5"/>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40">
    <w:name w:val="样式5"/>
    <w:basedOn w:val="6"/>
    <w:qFormat/>
    <w:uiPriority w:val="0"/>
    <w:pPr>
      <w:keepLines/>
      <w:widowControl w:val="0"/>
      <w:spacing w:line="376" w:lineRule="auto"/>
    </w:pPr>
    <w:rPr>
      <w:rFonts w:ascii="Century Gothic" w:hAnsi="Century Gothic" w:eastAsia="Century Gothic"/>
      <w:b/>
      <w:bCs/>
      <w:snapToGrid/>
      <w:kern w:val="2"/>
      <w:sz w:val="32"/>
      <w:szCs w:val="32"/>
    </w:rPr>
  </w:style>
  <w:style w:type="paragraph" w:customStyle="1" w:styleId="141">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42">
    <w:name w:val="标书标题4"/>
    <w:basedOn w:val="6"/>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143">
    <w:name w:val="xl3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4">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145">
    <w:name w:val="xl36"/>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6">
    <w:name w:val="xl2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font6"/>
    <w:basedOn w:val="1"/>
    <w:qFormat/>
    <w:uiPriority w:val="0"/>
    <w:pPr>
      <w:widowControl/>
      <w:spacing w:beforeAutospacing="1" w:afterAutospacing="1"/>
      <w:jc w:val="left"/>
    </w:pPr>
    <w:rPr>
      <w:kern w:val="0"/>
      <w:sz w:val="18"/>
      <w:szCs w:val="18"/>
    </w:rPr>
  </w:style>
  <w:style w:type="paragraph" w:customStyle="1" w:styleId="14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50">
    <w:name w:val="列出段落1"/>
    <w:basedOn w:val="1"/>
    <w:qFormat/>
    <w:uiPriority w:val="0"/>
    <w:pPr>
      <w:ind w:firstLine="420" w:firstLineChars="200"/>
    </w:pPr>
    <w:rPr>
      <w:rFonts w:ascii="等线" w:hAnsi="等线"/>
      <w:szCs w:val="21"/>
    </w:rPr>
  </w:style>
  <w:style w:type="paragraph" w:customStyle="1" w:styleId="151">
    <w:name w:val="xl27"/>
    <w:basedOn w:val="1"/>
    <w:qFormat/>
    <w:uiPriority w:val="0"/>
    <w:pPr>
      <w:widowControl/>
      <w:pBdr>
        <w:bottom w:val="single" w:color="auto" w:sz="4" w:space="0"/>
      </w:pBdr>
      <w:spacing w:beforeAutospacing="1" w:afterAutospacing="1"/>
      <w:jc w:val="center"/>
      <w:textAlignment w:val="center"/>
    </w:pPr>
    <w:rPr>
      <w:rFonts w:ascii="Arial Narrow" w:hAnsi="Century Gothic" w:eastAsia="Arial Narrow" w:cs="Century Gothic"/>
      <w:kern w:val="0"/>
      <w:sz w:val="36"/>
      <w:szCs w:val="36"/>
    </w:rPr>
  </w:style>
  <w:style w:type="paragraph" w:customStyle="1" w:styleId="152">
    <w:name w:val="BodyText1I"/>
    <w:basedOn w:val="153"/>
    <w:qFormat/>
    <w:uiPriority w:val="0"/>
    <w:pPr>
      <w:spacing w:after="120"/>
      <w:ind w:firstLine="420" w:firstLineChars="100"/>
    </w:pPr>
  </w:style>
  <w:style w:type="paragraph" w:customStyle="1" w:styleId="153">
    <w:name w:val="BodyText"/>
    <w:basedOn w:val="1"/>
    <w:next w:val="152"/>
    <w:qFormat/>
    <w:uiPriority w:val="0"/>
    <w:rPr>
      <w:sz w:val="20"/>
    </w:rPr>
  </w:style>
  <w:style w:type="paragraph" w:customStyle="1" w:styleId="154">
    <w:name w:val="索引 11"/>
    <w:basedOn w:val="1"/>
    <w:next w:val="1"/>
    <w:qFormat/>
    <w:uiPriority w:val="99"/>
    <w:pPr>
      <w:spacing w:line="360" w:lineRule="auto"/>
    </w:pPr>
    <w:rPr>
      <w:rFonts w:ascii="仿宋_GB2312" w:eastAsia="仿宋_GB2312"/>
      <w:sz w:val="24"/>
      <w:szCs w:val="20"/>
    </w:rPr>
  </w:style>
  <w:style w:type="paragraph" w:customStyle="1" w:styleId="155">
    <w:name w:val="Char Char Char Char Char"/>
    <w:basedOn w:val="1"/>
    <w:qFormat/>
    <w:uiPriority w:val="0"/>
    <w:pPr>
      <w:widowControl/>
      <w:spacing w:line="240" w:lineRule="exact"/>
      <w:jc w:val="left"/>
    </w:pPr>
    <w:rPr>
      <w:rFonts w:ascii="Verdana" w:hAnsi="Verdana" w:eastAsia="华文细黑"/>
    </w:rPr>
  </w:style>
  <w:style w:type="paragraph" w:customStyle="1" w:styleId="156">
    <w:name w:val="无间距1"/>
    <w:qFormat/>
    <w:uiPriority w:val="0"/>
    <w:rPr>
      <w:rFonts w:ascii="Times New Roman" w:hAnsi="Times New Roman" w:eastAsia="??" w:cs="宋体"/>
      <w:sz w:val="22"/>
      <w:szCs w:val="22"/>
      <w:lang w:val="en-US" w:eastAsia="en-US" w:bidi="ar-SA"/>
    </w:rPr>
  </w:style>
  <w:style w:type="paragraph" w:customStyle="1" w:styleId="157">
    <w:name w:val="x正文"/>
    <w:basedOn w:val="1"/>
    <w:qFormat/>
    <w:uiPriority w:val="0"/>
    <w:pPr>
      <w:spacing w:line="360" w:lineRule="auto"/>
      <w:ind w:left="482" w:firstLine="480" w:firstLineChars="200"/>
    </w:pPr>
    <w:rPr>
      <w:rFonts w:ascii="宋体" w:hAnsi="宋体"/>
      <w:color w:val="000000"/>
      <w:sz w:val="24"/>
      <w:szCs w:val="22"/>
    </w:rPr>
  </w:style>
  <w:style w:type="paragraph" w:customStyle="1" w:styleId="158">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59">
    <w:name w:val="方案三级标题"/>
    <w:basedOn w:val="4"/>
    <w:qFormat/>
    <w:uiPriority w:val="0"/>
    <w:pPr>
      <w:spacing w:before="120" w:after="120" w:line="300" w:lineRule="auto"/>
    </w:pPr>
    <w:rPr>
      <w:rFonts w:ascii="宋体" w:hAnsi="宋体" w:eastAsia="宋体"/>
      <w:sz w:val="30"/>
    </w:rPr>
  </w:style>
  <w:style w:type="paragraph" w:customStyle="1" w:styleId="160">
    <w:name w:val="标书标题2"/>
    <w:basedOn w:val="4"/>
    <w:qFormat/>
    <w:uiPriority w:val="0"/>
    <w:pPr>
      <w:keepLines w:val="0"/>
      <w:widowControl/>
      <w:tabs>
        <w:tab w:val="left" w:pos="1320"/>
      </w:tabs>
      <w:snapToGrid w:val="0"/>
      <w:spacing w:beforeLines="50" w:line="300" w:lineRule="auto"/>
      <w:ind w:left="1320" w:hanging="420"/>
      <w:jc w:val="both"/>
    </w:pPr>
    <w:rPr>
      <w:rFonts w:ascii="_x000B__x000C_" w:hAnsi="_x000B__x000C_" w:eastAsia="Courier New"/>
      <w:color w:val="000000"/>
      <w:kern w:val="0"/>
      <w:sz w:val="28"/>
      <w:szCs w:val="20"/>
    </w:rPr>
  </w:style>
  <w:style w:type="paragraph" w:customStyle="1" w:styleId="161">
    <w:name w:val="xl22"/>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hint="eastAsia" w:ascii="Arial Unicode MS" w:hAnsi="Arial Unicode MS" w:eastAsia="Arial Unicode MS"/>
      <w:kern w:val="0"/>
      <w:sz w:val="24"/>
      <w:szCs w:val="20"/>
    </w:rPr>
  </w:style>
  <w:style w:type="paragraph" w:customStyle="1" w:styleId="162">
    <w:name w:val="正文（缩进）"/>
    <w:basedOn w:val="1"/>
    <w:qFormat/>
    <w:uiPriority w:val="0"/>
    <w:pPr>
      <w:spacing w:before="156" w:after="156"/>
      <w:ind w:firstLine="480"/>
    </w:pPr>
    <w:rPr>
      <w:rFonts w:ascii="Times New Roman" w:hAnsi="Times New Roman"/>
    </w:rPr>
  </w:style>
  <w:style w:type="paragraph" w:customStyle="1" w:styleId="163">
    <w:name w:val="Body Text Indent1"/>
    <w:basedOn w:val="1"/>
    <w:qFormat/>
    <w:uiPriority w:val="0"/>
    <w:pPr>
      <w:spacing w:line="200" w:lineRule="exact"/>
      <w:ind w:firstLine="301"/>
    </w:pPr>
    <w:rPr>
      <w:rFonts w:ascii="宋体" w:hAnsi="Courier New"/>
      <w:spacing w:val="-4"/>
      <w:sz w:val="18"/>
    </w:rPr>
  </w:style>
  <w:style w:type="paragraph" w:customStyle="1" w:styleId="164">
    <w:name w:val="title11"/>
    <w:basedOn w:val="1"/>
    <w:qFormat/>
    <w:uiPriority w:val="0"/>
    <w:pPr>
      <w:spacing w:before="150"/>
      <w:jc w:val="left"/>
    </w:pPr>
    <w:rPr>
      <w:b/>
      <w:kern w:val="0"/>
    </w:rPr>
  </w:style>
  <w:style w:type="paragraph" w:customStyle="1" w:styleId="165">
    <w:name w:val="Char Char Char Char"/>
    <w:basedOn w:val="1"/>
    <w:qFormat/>
    <w:uiPriority w:val="0"/>
    <w:rPr>
      <w:szCs w:val="20"/>
    </w:rPr>
  </w:style>
  <w:style w:type="paragraph" w:customStyle="1" w:styleId="166">
    <w:name w:val="_Style 158"/>
    <w:unhideWhenUsed/>
    <w:qFormat/>
    <w:uiPriority w:val="99"/>
    <w:rPr>
      <w:rFonts w:ascii="Times New Roman" w:hAnsi="Times New Roman" w:eastAsia="宋体" w:cs="Times New Roman"/>
      <w:kern w:val="2"/>
      <w:sz w:val="21"/>
      <w:szCs w:val="24"/>
      <w:lang w:val="en-US" w:eastAsia="zh-CN" w:bidi="ar-SA"/>
    </w:rPr>
  </w:style>
  <w:style w:type="paragraph" w:customStyle="1" w:styleId="167">
    <w:name w:val="纯文本1"/>
    <w:basedOn w:val="1"/>
    <w:qFormat/>
    <w:uiPriority w:val="0"/>
    <w:rPr>
      <w:rFonts w:ascii="宋体" w:hAnsi="Courier New"/>
      <w:kern w:val="0"/>
      <w:sz w:val="20"/>
      <w:szCs w:val="20"/>
    </w:rPr>
  </w:style>
  <w:style w:type="paragraph" w:customStyle="1" w:styleId="168">
    <w:name w:val="xl38"/>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69">
    <w:name w:val="Table Paragraph"/>
    <w:basedOn w:val="1"/>
    <w:qFormat/>
    <w:uiPriority w:val="1"/>
    <w:pPr>
      <w:autoSpaceDE w:val="0"/>
      <w:autoSpaceDN w:val="0"/>
      <w:adjustRightInd w:val="0"/>
      <w:jc w:val="left"/>
    </w:pPr>
    <w:rPr>
      <w:rFonts w:ascii="宋体" w:hAnsi="Times New Roman" w:cs="宋体"/>
      <w:kern w:val="0"/>
      <w:sz w:val="24"/>
    </w:rPr>
  </w:style>
  <w:style w:type="paragraph" w:customStyle="1" w:styleId="170">
    <w:name w:val="标书标题3"/>
    <w:basedOn w:val="5"/>
    <w:qFormat/>
    <w:uiPriority w:val="0"/>
    <w:pPr>
      <w:keepLines w:val="0"/>
      <w:widowControl/>
      <w:adjustRightInd w:val="0"/>
      <w:snapToGrid w:val="0"/>
      <w:spacing w:line="300" w:lineRule="auto"/>
      <w:jc w:val="left"/>
    </w:pPr>
    <w:rPr>
      <w:rFonts w:ascii="_x000B__x000C_" w:hAnsi="_x000B__x000C_" w:eastAsia="Courier New"/>
      <w:b w:val="0"/>
      <w:bCs w:val="0"/>
      <w:color w:val="000000"/>
      <w:kern w:val="0"/>
      <w:sz w:val="28"/>
    </w:rPr>
  </w:style>
  <w:style w:type="paragraph" w:customStyle="1" w:styleId="171">
    <w:name w:val="xl33"/>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72">
    <w:name w:val="p0"/>
    <w:basedOn w:val="1"/>
    <w:unhideWhenUsed/>
    <w:qFormat/>
    <w:uiPriority w:val="0"/>
    <w:pPr>
      <w:widowControl/>
    </w:pPr>
    <w:rPr>
      <w:rFonts w:hint="eastAsia"/>
    </w:rPr>
  </w:style>
  <w:style w:type="paragraph" w:customStyle="1" w:styleId="173">
    <w:name w:val="正文段"/>
    <w:basedOn w:val="1"/>
    <w:qFormat/>
    <w:uiPriority w:val="0"/>
    <w:pPr>
      <w:widowControl/>
      <w:snapToGrid w:val="0"/>
      <w:spacing w:afterLines="50"/>
      <w:ind w:firstLine="200" w:firstLineChars="200"/>
    </w:pPr>
    <w:rPr>
      <w:kern w:val="0"/>
      <w:sz w:val="24"/>
      <w:szCs w:val="20"/>
    </w:rPr>
  </w:style>
  <w:style w:type="paragraph" w:customStyle="1" w:styleId="174">
    <w:name w:val="节"/>
    <w:basedOn w:val="4"/>
    <w:qFormat/>
    <w:uiPriority w:val="0"/>
    <w:pPr>
      <w:adjustRightInd/>
      <w:spacing w:line="720" w:lineRule="exact"/>
      <w:jc w:val="center"/>
    </w:pPr>
    <w:rPr>
      <w:rFonts w:ascii="Arial" w:hAnsi="Arial"/>
      <w:b w:val="0"/>
      <w:color w:val="000000"/>
      <w:spacing w:val="14"/>
      <w:kern w:val="24"/>
      <w:sz w:val="28"/>
      <w:szCs w:val="20"/>
    </w:rPr>
  </w:style>
  <w:style w:type="paragraph" w:customStyle="1" w:styleId="175">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76">
    <w:name w:val="Char3 Char Char Char"/>
    <w:basedOn w:val="1"/>
    <w:qFormat/>
    <w:uiPriority w:val="0"/>
    <w:pPr>
      <w:widowControl/>
      <w:spacing w:line="240" w:lineRule="exact"/>
      <w:jc w:val="left"/>
    </w:pPr>
    <w:rPr>
      <w:szCs w:val="20"/>
    </w:rPr>
  </w:style>
  <w:style w:type="paragraph" w:customStyle="1" w:styleId="1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8">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rPr>
  </w:style>
  <w:style w:type="paragraph" w:customStyle="1" w:styleId="179">
    <w:name w:val="小节"/>
    <w:basedOn w:val="5"/>
    <w:qFormat/>
    <w:uiPriority w:val="0"/>
    <w:pPr>
      <w:spacing w:line="560" w:lineRule="exact"/>
      <w:jc w:val="left"/>
    </w:pPr>
    <w:rPr>
      <w:rFonts w:ascii="Century Gothic" w:hAnsi="Century Gothic"/>
      <w:bCs w:val="0"/>
      <w:color w:val="000000"/>
      <w:spacing w:val="10"/>
      <w:kern w:val="24"/>
      <w:sz w:val="28"/>
    </w:rPr>
  </w:style>
  <w:style w:type="paragraph" w:customStyle="1" w:styleId="180">
    <w:name w:val="Heading1"/>
    <w:basedOn w:val="1"/>
    <w:next w:val="1"/>
    <w:qFormat/>
    <w:uiPriority w:val="0"/>
    <w:pPr>
      <w:keepNext/>
      <w:widowControl/>
      <w:spacing w:line="360" w:lineRule="auto"/>
      <w:jc w:val="center"/>
      <w:textAlignment w:val="baseline"/>
    </w:pPr>
    <w:rPr>
      <w:rFonts w:ascii="??" w:hAnsi="??" w:eastAsia="??"/>
      <w:b/>
      <w:kern w:val="36"/>
      <w:sz w:val="32"/>
      <w:szCs w:val="28"/>
    </w:rPr>
  </w:style>
  <w:style w:type="paragraph" w:customStyle="1" w:styleId="181">
    <w:name w:val="1正文"/>
    <w:basedOn w:val="1"/>
    <w:qFormat/>
    <w:uiPriority w:val="0"/>
    <w:rPr>
      <w:rFonts w:ascii="仿宋_GB2312" w:hAnsi="仿宋_GB2312"/>
      <w:szCs w:val="28"/>
    </w:rPr>
  </w:style>
  <w:style w:type="paragraph" w:customStyle="1" w:styleId="182">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3">
    <w:name w:val="Char1"/>
    <w:basedOn w:val="1"/>
    <w:qFormat/>
    <w:uiPriority w:val="0"/>
    <w:pPr>
      <w:widowControl/>
      <w:spacing w:line="240" w:lineRule="exact"/>
      <w:jc w:val="left"/>
    </w:pPr>
    <w:rPr>
      <w:szCs w:val="20"/>
    </w:rPr>
  </w:style>
  <w:style w:type="paragraph" w:customStyle="1" w:styleId="184">
    <w:name w:val="Char"/>
    <w:basedOn w:val="1"/>
    <w:qFormat/>
    <w:uiPriority w:val="0"/>
  </w:style>
  <w:style w:type="paragraph" w:customStyle="1" w:styleId="185">
    <w:name w:val="正文文字格式"/>
    <w:basedOn w:val="1"/>
    <w:qFormat/>
    <w:uiPriority w:val="0"/>
    <w:pPr>
      <w:spacing w:line="460" w:lineRule="exact"/>
      <w:ind w:firstLine="505"/>
      <w:jc w:val="left"/>
    </w:pPr>
    <w:rPr>
      <w:rFonts w:ascii="Century Gothic"/>
      <w:kern w:val="24"/>
      <w:sz w:val="24"/>
      <w:szCs w:val="20"/>
    </w:rPr>
  </w:style>
  <w:style w:type="paragraph" w:customStyle="1" w:styleId="186">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87">
    <w:name w:val="纯文本2"/>
    <w:basedOn w:val="63"/>
    <w:qFormat/>
    <w:uiPriority w:val="0"/>
    <w:pPr>
      <w:widowControl/>
      <w:jc w:val="left"/>
    </w:pPr>
    <w:rPr>
      <w:rFonts w:ascii="宋体" w:hAnsi="Courier New"/>
    </w:rPr>
  </w:style>
  <w:style w:type="paragraph" w:customStyle="1" w:styleId="188">
    <w:name w:val="Heading2"/>
    <w:basedOn w:val="180"/>
    <w:next w:val="1"/>
    <w:qFormat/>
    <w:uiPriority w:val="0"/>
    <w:pPr>
      <w:keepLines/>
      <w:tabs>
        <w:tab w:val="left" w:pos="706"/>
        <w:tab w:val="left" w:pos="1110"/>
      </w:tabs>
      <w:ind w:left="106" w:firstLine="454"/>
    </w:pPr>
    <w:rPr>
      <w:rFonts w:ascii="Arial" w:hAnsi="Arial" w:cs="Arial"/>
      <w:bCs/>
      <w:szCs w:val="32"/>
    </w:rPr>
  </w:style>
  <w:style w:type="paragraph" w:customStyle="1" w:styleId="189">
    <w:name w:val="样式 标题 1 + 四号 加粗"/>
    <w:basedOn w:val="3"/>
    <w:qFormat/>
    <w:uiPriority w:val="0"/>
    <w:rPr>
      <w:rFonts w:eastAsia="黑体"/>
    </w:rPr>
  </w:style>
  <w:style w:type="paragraph" w:customStyle="1" w:styleId="190">
    <w:name w:val="xl30"/>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1">
    <w:name w:val="DAS正文"/>
    <w:basedOn w:val="1"/>
    <w:qFormat/>
    <w:uiPriority w:val="0"/>
    <w:pPr>
      <w:spacing w:line="360" w:lineRule="auto"/>
      <w:ind w:right="181" w:firstLine="480" w:firstLineChars="200"/>
    </w:pPr>
    <w:rPr>
      <w:rFonts w:ascii="Verdana" w:hAnsi="Verdana"/>
      <w:sz w:val="24"/>
      <w:szCs w:val="20"/>
    </w:rPr>
  </w:style>
  <w:style w:type="paragraph" w:customStyle="1" w:styleId="1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3">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4">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List Paragraph1"/>
    <w:basedOn w:val="1"/>
    <w:qFormat/>
    <w:uiPriority w:val="0"/>
    <w:pPr>
      <w:ind w:firstLine="420" w:firstLineChars="200"/>
    </w:pPr>
  </w:style>
  <w:style w:type="paragraph" w:customStyle="1" w:styleId="197">
    <w:name w:val="纯文本_0_0"/>
    <w:basedOn w:val="147"/>
    <w:qFormat/>
    <w:uiPriority w:val="0"/>
    <w:rPr>
      <w:rFonts w:ascii="宋体" w:hAnsi="Courier New"/>
      <w:szCs w:val="21"/>
    </w:rPr>
  </w:style>
  <w:style w:type="paragraph" w:customStyle="1" w:styleId="198">
    <w:name w:val="p15"/>
    <w:basedOn w:val="1"/>
    <w:qFormat/>
    <w:uiPriority w:val="0"/>
    <w:pPr>
      <w:widowControl/>
      <w:ind w:firstLine="420"/>
    </w:pPr>
    <w:rPr>
      <w:rFonts w:cs="宋体"/>
      <w:kern w:val="0"/>
      <w:szCs w:val="21"/>
    </w:rPr>
  </w:style>
  <w:style w:type="paragraph" w:customStyle="1" w:styleId="199">
    <w:name w:val="xl35"/>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0">
    <w:name w:val="Blockquote"/>
    <w:basedOn w:val="1"/>
    <w:qFormat/>
    <w:uiPriority w:val="0"/>
    <w:pPr>
      <w:autoSpaceDE w:val="0"/>
      <w:autoSpaceDN w:val="0"/>
      <w:adjustRightInd w:val="0"/>
      <w:ind w:left="360" w:right="360"/>
      <w:jc w:val="left"/>
    </w:pPr>
    <w:rPr>
      <w:kern w:val="0"/>
      <w:sz w:val="24"/>
      <w:szCs w:val="20"/>
    </w:rPr>
  </w:style>
  <w:style w:type="paragraph" w:customStyle="1" w:styleId="201">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202">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03">
    <w:name w:val="【正文】"/>
    <w:basedOn w:val="1"/>
    <w:qFormat/>
    <w:uiPriority w:val="0"/>
    <w:pPr>
      <w:ind w:firstLine="480"/>
    </w:pPr>
    <w:rPr>
      <w:rFonts w:cs="DokChampa"/>
      <w:szCs w:val="22"/>
    </w:rPr>
  </w:style>
  <w:style w:type="paragraph" w:customStyle="1" w:styleId="204">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1"/>
    <w:basedOn w:val="1"/>
    <w:qFormat/>
    <w:uiPriority w:val="0"/>
    <w:pPr>
      <w:widowControl/>
      <w:spacing w:beforeAutospacing="1" w:afterAutospacing="1"/>
      <w:jc w:val="left"/>
    </w:pPr>
    <w:rPr>
      <w:rFonts w:ascii="Century Gothic" w:hAnsi="Century Gothic"/>
      <w:kern w:val="0"/>
      <w:sz w:val="24"/>
      <w:szCs w:val="20"/>
    </w:rPr>
  </w:style>
  <w:style w:type="paragraph" w:customStyle="1" w:styleId="206">
    <w:name w:val="xl32"/>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7">
    <w:name w:val="无间隔1"/>
    <w:qFormat/>
    <w:uiPriority w:val="0"/>
    <w:rPr>
      <w:rFonts w:ascii="Times New Roman" w:hAnsi="Times New Roman" w:eastAsia="宋体" w:cs="Times New Roman"/>
      <w:sz w:val="22"/>
      <w:szCs w:val="22"/>
      <w:lang w:val="en-US" w:eastAsia="en-US" w:bidi="ar-SA"/>
    </w:rPr>
  </w:style>
  <w:style w:type="paragraph" w:customStyle="1" w:styleId="208">
    <w:name w:val="正文不缩进"/>
    <w:basedOn w:val="1"/>
    <w:qFormat/>
    <w:uiPriority w:val="0"/>
    <w:pPr>
      <w:spacing w:before="240" w:after="240" w:line="360" w:lineRule="auto"/>
      <w:jc w:val="left"/>
    </w:pPr>
  </w:style>
  <w:style w:type="paragraph" w:customStyle="1" w:styleId="209">
    <w:name w:val="Body Text First Indent 21"/>
    <w:basedOn w:val="163"/>
    <w:qFormat/>
    <w:uiPriority w:val="0"/>
    <w:pPr>
      <w:spacing w:after="120" w:line="240" w:lineRule="auto"/>
      <w:ind w:left="420" w:leftChars="200" w:firstLine="420" w:firstLineChars="200"/>
    </w:pPr>
    <w:rPr>
      <w:sz w:val="21"/>
    </w:rPr>
  </w:style>
  <w:style w:type="paragraph" w:customStyle="1" w:styleId="210">
    <w:name w:val="样式1"/>
    <w:basedOn w:val="1"/>
    <w:qFormat/>
    <w:uiPriority w:val="0"/>
    <w:pPr>
      <w:spacing w:line="360" w:lineRule="exact"/>
      <w:ind w:firstLine="200" w:firstLineChars="200"/>
    </w:pPr>
    <w:rPr>
      <w:rFonts w:ascii="Arial" w:hAnsi="Arial"/>
    </w:rPr>
  </w:style>
  <w:style w:type="paragraph" w:customStyle="1" w:styleId="211">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
    <w:name w:val="Char Char Char Char Char Char Char Char"/>
    <w:basedOn w:val="1"/>
    <w:qFormat/>
    <w:uiPriority w:val="0"/>
    <w:pPr>
      <w:tabs>
        <w:tab w:val="left" w:pos="360"/>
      </w:tabs>
    </w:pPr>
    <w:rPr>
      <w:szCs w:val="20"/>
    </w:rPr>
  </w:style>
  <w:style w:type="paragraph" w:customStyle="1" w:styleId="213">
    <w:name w:val="xl31"/>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14">
    <w:name w:val="Char2"/>
    <w:basedOn w:val="1"/>
    <w:qFormat/>
    <w:uiPriority w:val="0"/>
    <w:rPr>
      <w:rFonts w:ascii="Courier New" w:eastAsia="Courier New"/>
      <w:b/>
      <w:sz w:val="32"/>
      <w:szCs w:val="32"/>
    </w:rPr>
  </w:style>
  <w:style w:type="paragraph" w:customStyle="1" w:styleId="215">
    <w:name w:val="首行缩进"/>
    <w:basedOn w:val="1"/>
    <w:next w:val="18"/>
    <w:qFormat/>
    <w:uiPriority w:val="0"/>
    <w:pPr>
      <w:spacing w:line="360" w:lineRule="auto"/>
      <w:ind w:firstLine="480" w:firstLineChars="200"/>
    </w:pPr>
    <w:rPr>
      <w:rFonts w:ascii="宋体"/>
      <w:sz w:val="24"/>
      <w:szCs w:val="20"/>
    </w:rPr>
  </w:style>
  <w:style w:type="character" w:customStyle="1" w:styleId="216">
    <w:name w:val="font31"/>
    <w:basedOn w:val="47"/>
    <w:qFormat/>
    <w:uiPriority w:val="0"/>
    <w:rPr>
      <w:rFonts w:hint="default" w:ascii="仿宋_GB2312" w:eastAsia="仿宋_GB2312" w:cs="仿宋_GB2312"/>
      <w:color w:val="000000"/>
      <w:sz w:val="22"/>
      <w:szCs w:val="22"/>
      <w:u w:val="none"/>
    </w:rPr>
  </w:style>
  <w:style w:type="character" w:customStyle="1" w:styleId="217">
    <w:name w:val="font131"/>
    <w:basedOn w:val="47"/>
    <w:qFormat/>
    <w:uiPriority w:val="0"/>
    <w:rPr>
      <w:rFonts w:hint="eastAsia" w:ascii="宋体" w:hAnsi="宋体" w:eastAsia="宋体" w:cs="宋体"/>
      <w:color w:val="000000"/>
      <w:sz w:val="22"/>
      <w:szCs w:val="22"/>
      <w:u w:val="none"/>
    </w:rPr>
  </w:style>
  <w:style w:type="character" w:customStyle="1" w:styleId="218">
    <w:name w:val="NormalCharacter"/>
    <w:link w:val="219"/>
    <w:qFormat/>
    <w:uiPriority w:val="0"/>
    <w:rPr>
      <w:rFonts w:ascii="Calibri"/>
      <w:szCs w:val="22"/>
    </w:rPr>
  </w:style>
  <w:style w:type="paragraph" w:customStyle="1" w:styleId="219">
    <w:name w:val="UserStyle_127"/>
    <w:basedOn w:val="1"/>
    <w:link w:val="218"/>
    <w:qFormat/>
    <w:uiPriority w:val="0"/>
    <w:pPr>
      <w:spacing w:after="160" w:line="240" w:lineRule="exact"/>
      <w:jc w:val="left"/>
    </w:pPr>
    <w:rPr>
      <w:szCs w:val="22"/>
    </w:rPr>
  </w:style>
  <w:style w:type="character" w:customStyle="1" w:styleId="220">
    <w:name w:val="hover29"/>
    <w:basedOn w:val="47"/>
    <w:qFormat/>
    <w:uiPriority w:val="0"/>
    <w:rPr>
      <w:color w:val="315EFB"/>
    </w:rPr>
  </w:style>
  <w:style w:type="character" w:customStyle="1" w:styleId="221">
    <w:name w:val="hover30"/>
    <w:basedOn w:val="47"/>
    <w:qFormat/>
    <w:uiPriority w:val="0"/>
    <w:rPr>
      <w:color w:val="315EFB"/>
      <w:shd w:val="clear" w:color="auto" w:fill="F0F3FD"/>
    </w:rPr>
  </w:style>
  <w:style w:type="character" w:customStyle="1" w:styleId="222">
    <w:name w:val="hover31"/>
    <w:basedOn w:val="47"/>
    <w:qFormat/>
    <w:uiPriority w:val="0"/>
  </w:style>
  <w:style w:type="character" w:customStyle="1" w:styleId="223">
    <w:name w:val="hover32"/>
    <w:basedOn w:val="47"/>
    <w:qFormat/>
    <w:uiPriority w:val="0"/>
    <w:rPr>
      <w:color w:val="315EFB"/>
    </w:rPr>
  </w:style>
  <w:style w:type="character" w:customStyle="1" w:styleId="224">
    <w:name w:val="c-icon32"/>
    <w:basedOn w:val="47"/>
    <w:qFormat/>
    <w:uiPriority w:val="0"/>
  </w:style>
  <w:style w:type="character" w:customStyle="1" w:styleId="225">
    <w:name w:val="ec_d20_recomm_link1"/>
    <w:basedOn w:val="47"/>
    <w:qFormat/>
    <w:uiPriority w:val="0"/>
    <w:rPr>
      <w:shd w:val="clear" w:color="auto" w:fill="F5F5F6"/>
    </w:rPr>
  </w:style>
  <w:style w:type="paragraph" w:customStyle="1" w:styleId="226">
    <w:name w:val="中等深浅网格 2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27">
    <w:name w:val="fontstyle01"/>
    <w:basedOn w:val="47"/>
    <w:qFormat/>
    <w:uiPriority w:val="0"/>
    <w:rPr>
      <w:rFonts w:ascii="MicrosoftYaHei" w:hAnsi="MicrosoftYaHei" w:eastAsia="MicrosoftYaHei" w:cs="MicrosoftYaHei"/>
      <w:color w:val="000000"/>
      <w:sz w:val="48"/>
      <w:szCs w:val="48"/>
    </w:rPr>
  </w:style>
  <w:style w:type="character" w:customStyle="1" w:styleId="228">
    <w:name w:val="无"/>
    <w:qFormat/>
    <w:uiPriority w:val="99"/>
  </w:style>
  <w:style w:type="character" w:customStyle="1" w:styleId="229">
    <w:name w:val="Hyperlink.1"/>
    <w:qFormat/>
    <w:uiPriority w:val="99"/>
    <w:rPr>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89</Pages>
  <Words>20899</Words>
  <Characters>21720</Characters>
  <Lines>360</Lines>
  <Paragraphs>101</Paragraphs>
  <TotalTime>41</TotalTime>
  <ScaleCrop>false</ScaleCrop>
  <LinksUpToDate>false</LinksUpToDate>
  <CharactersWithSpaces>22143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2022-10-06T20:37:00Z</dcterms:created>
  <dc:creator>微软用户</dc:creator>
  <cp:lastModifiedBy>唐稳</cp:lastModifiedBy>
  <cp:lastPrinted>2025-05-27T14:23:00Z</cp:lastPrinted>
  <dcterms:modified xsi:type="dcterms:W3CDTF">2025-06-19T04:35:47Z</dcterms:modified>
  <dc:title>杭州下沙服务外包人才培训基地</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9F7660B90E394877A5F28E50D7433895_13</vt:lpwstr>
  </property>
  <property fmtid="{D5CDD505-2E9C-101B-9397-08002B2CF9AE}" pid="4" name="KSOTemplateDocerSaveRecord">
    <vt:lpwstr>eyJoZGlkIjoiNTQzMGExYzQ5NDk2OTJiODgzOWVmMWVlZmFhNWQ2ODciLCJ1c2VySWQiOiI1ODI1MDg5NzUifQ==</vt:lpwstr>
  </property>
</Properties>
</file>