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4BD99">
      <w:pPr>
        <w:adjustRightInd w:val="0"/>
        <w:snapToGrid w:val="0"/>
        <w:spacing w:line="360" w:lineRule="auto"/>
        <w:rPr>
          <w:rFonts w:ascii="仿宋_GB2312" w:hAnsi="仿宋" w:eastAsia="仿宋_GB2312" w:cs="仿宋"/>
          <w:w w:val="80"/>
          <w:sz w:val="44"/>
          <w:szCs w:val="44"/>
          <w:highlight w:val="none"/>
          <w:lang w:bidi="th-TH"/>
        </w:rPr>
      </w:pPr>
    </w:p>
    <w:p w14:paraId="593F81D7">
      <w:pPr>
        <w:pStyle w:val="43"/>
        <w:adjustRightInd w:val="0"/>
        <w:snapToGrid w:val="0"/>
        <w:spacing w:line="360" w:lineRule="auto"/>
        <w:ind w:firstLine="0"/>
        <w:rPr>
          <w:rFonts w:ascii="仿宋_GB2312" w:hAnsi="仿宋" w:eastAsia="仿宋_GB2312" w:cs="仿宋"/>
          <w:sz w:val="18"/>
          <w:szCs w:val="21"/>
          <w:highlight w:val="none"/>
        </w:rPr>
      </w:pPr>
    </w:p>
    <w:p w14:paraId="567121C1">
      <w:pPr>
        <w:rPr>
          <w:rFonts w:ascii="仿宋_GB2312" w:hAnsi="仿宋" w:eastAsia="仿宋_GB2312" w:cs="仿宋"/>
          <w:sz w:val="18"/>
          <w:szCs w:val="21"/>
          <w:highlight w:val="none"/>
        </w:rPr>
      </w:pPr>
    </w:p>
    <w:p w14:paraId="7B91C72D">
      <w:pPr>
        <w:pStyle w:val="43"/>
        <w:adjustRightInd w:val="0"/>
        <w:snapToGrid w:val="0"/>
        <w:spacing w:line="360" w:lineRule="auto"/>
        <w:ind w:firstLine="0"/>
        <w:rPr>
          <w:rFonts w:ascii="仿宋_GB2312" w:hAnsi="仿宋" w:eastAsia="仿宋_GB2312" w:cs="仿宋"/>
          <w:sz w:val="18"/>
          <w:szCs w:val="21"/>
          <w:highlight w:val="none"/>
        </w:rPr>
      </w:pPr>
    </w:p>
    <w:p w14:paraId="35740C6B">
      <w:pPr>
        <w:pStyle w:val="66"/>
        <w:widowControl w:val="0"/>
        <w:adjustRightInd w:val="0"/>
        <w:snapToGrid w:val="0"/>
        <w:spacing w:line="360" w:lineRule="auto"/>
        <w:ind w:firstLine="0"/>
        <w:jc w:val="center"/>
        <w:rPr>
          <w:rFonts w:hint="eastAsia" w:ascii="仿宋_GB2312" w:hAnsi="仿宋" w:eastAsia="仿宋_GB2312" w:cs="仿宋"/>
          <w:color w:val="000000" w:themeColor="text1"/>
          <w:sz w:val="44"/>
          <w:szCs w:val="44"/>
          <w:highlight w:val="none"/>
          <w:lang w:eastAsia="zh-CN"/>
          <w14:textFill>
            <w14:solidFill>
              <w14:schemeClr w14:val="tx1"/>
            </w14:solidFill>
          </w14:textFill>
        </w:rPr>
      </w:pPr>
      <w:r>
        <w:rPr>
          <w:rFonts w:hint="eastAsia" w:ascii="仿宋_GB2312" w:hAnsi="仿宋" w:eastAsia="仿宋_GB2312" w:cs="仿宋"/>
          <w:color w:val="000000" w:themeColor="text1"/>
          <w:sz w:val="44"/>
          <w:szCs w:val="44"/>
          <w:highlight w:val="none"/>
          <w:lang w:eastAsia="zh-CN"/>
          <w14:textFill>
            <w14:solidFill>
              <w14:schemeClr w14:val="tx1"/>
            </w14:solidFill>
          </w14:textFill>
        </w:rPr>
        <w:t>2025-2028年钱塘区特色街区</w:t>
      </w:r>
    </w:p>
    <w:p w14:paraId="0CFDFEEB">
      <w:pPr>
        <w:pStyle w:val="66"/>
        <w:widowControl w:val="0"/>
        <w:adjustRightInd w:val="0"/>
        <w:snapToGrid w:val="0"/>
        <w:spacing w:line="360" w:lineRule="auto"/>
        <w:ind w:firstLine="0"/>
        <w:jc w:val="center"/>
        <w:rPr>
          <w:rFonts w:hint="eastAsia" w:ascii="仿宋_GB2312" w:hAnsi="仿宋" w:eastAsia="仿宋_GB2312" w:cs="仿宋"/>
          <w:color w:val="000000" w:themeColor="text1"/>
          <w:sz w:val="40"/>
          <w:szCs w:val="40"/>
          <w:highlight w:val="none"/>
          <w:lang w:eastAsia="zh-CN"/>
          <w14:textFill>
            <w14:solidFill>
              <w14:schemeClr w14:val="tx1"/>
            </w14:solidFill>
          </w14:textFill>
        </w:rPr>
      </w:pPr>
      <w:r>
        <w:rPr>
          <w:rFonts w:hint="eastAsia" w:ascii="仿宋_GB2312" w:hAnsi="仿宋" w:eastAsia="仿宋_GB2312" w:cs="仿宋"/>
          <w:color w:val="000000" w:themeColor="text1"/>
          <w:sz w:val="44"/>
          <w:szCs w:val="44"/>
          <w:highlight w:val="none"/>
          <w:lang w:eastAsia="zh-CN"/>
          <w14:textFill>
            <w14:solidFill>
              <w14:schemeClr w14:val="tx1"/>
            </w14:solidFill>
          </w14:textFill>
        </w:rPr>
        <w:t>景观灯及其附属设施养护服务项目</w:t>
      </w:r>
    </w:p>
    <w:p w14:paraId="09B0B5E7">
      <w:pPr>
        <w:adjustRightInd w:val="0"/>
        <w:snapToGrid w:val="0"/>
        <w:spacing w:line="360" w:lineRule="auto"/>
        <w:jc w:val="center"/>
        <w:rPr>
          <w:rFonts w:ascii="仿宋_GB2312" w:hAnsi="仿宋" w:eastAsia="仿宋_GB2312" w:cs="仿宋"/>
          <w:b/>
          <w:szCs w:val="84"/>
          <w:highlight w:val="none"/>
        </w:rPr>
      </w:pPr>
    </w:p>
    <w:p w14:paraId="10EBD532">
      <w:pPr>
        <w:adjustRightInd w:val="0"/>
        <w:snapToGrid w:val="0"/>
        <w:spacing w:line="360" w:lineRule="auto"/>
        <w:jc w:val="center"/>
        <w:rPr>
          <w:rFonts w:ascii="仿宋_GB2312" w:hAnsi="仿宋" w:eastAsia="仿宋_GB2312" w:cs="仿宋"/>
          <w:b/>
          <w:szCs w:val="84"/>
          <w:highlight w:val="none"/>
        </w:rPr>
      </w:pPr>
      <w:r>
        <w:rPr>
          <w:rFonts w:hint="eastAsia" w:ascii="仿宋_GB2312" w:hAnsi="仿宋" w:eastAsia="仿宋_GB2312" w:cs="仿宋"/>
          <w:b/>
          <w:szCs w:val="84"/>
          <w:highlight w:val="none"/>
        </w:rPr>
        <w:t>（电子招投标）</w:t>
      </w:r>
    </w:p>
    <w:p w14:paraId="74C130D2">
      <w:pPr>
        <w:pStyle w:val="17"/>
        <w:rPr>
          <w:rFonts w:ascii="仿宋_GB2312" w:hAnsi="仿宋" w:eastAsia="仿宋_GB2312" w:cs="仿宋"/>
          <w:highlight w:val="none"/>
        </w:rPr>
      </w:pPr>
    </w:p>
    <w:p w14:paraId="2077CAA1">
      <w:pPr>
        <w:jc w:val="center"/>
        <w:rPr>
          <w:rFonts w:ascii="仿宋_GB2312" w:hAnsi="仿宋" w:eastAsia="仿宋_GB2312" w:cs="仿宋"/>
          <w:b/>
          <w:szCs w:val="84"/>
          <w:highlight w:val="none"/>
        </w:rPr>
      </w:pPr>
    </w:p>
    <w:p w14:paraId="7617BBC6">
      <w:pPr>
        <w:jc w:val="center"/>
        <w:rPr>
          <w:rFonts w:ascii="仿宋_GB2312" w:hAnsi="仿宋" w:eastAsia="仿宋_GB2312" w:cs="仿宋"/>
          <w:b/>
          <w:szCs w:val="84"/>
          <w:highlight w:val="none"/>
        </w:rPr>
      </w:pPr>
    </w:p>
    <w:p w14:paraId="55376B72">
      <w:pPr>
        <w:spacing w:line="360" w:lineRule="auto"/>
        <w:jc w:val="center"/>
        <w:rPr>
          <w:rFonts w:ascii="仿宋_GB2312" w:hAnsi="仿宋" w:eastAsia="仿宋_GB2312" w:cs="仿宋"/>
          <w:b/>
          <w:sz w:val="84"/>
          <w:szCs w:val="84"/>
          <w:highlight w:val="none"/>
        </w:rPr>
      </w:pPr>
      <w:r>
        <w:rPr>
          <w:rFonts w:hint="eastAsia" w:ascii="仿宋_GB2312" w:hAnsi="仿宋" w:eastAsia="仿宋_GB2312" w:cs="仿宋"/>
          <w:b/>
          <w:spacing w:val="40"/>
          <w:w w:val="80"/>
          <w:sz w:val="96"/>
          <w:szCs w:val="96"/>
          <w:highlight w:val="none"/>
          <w:lang w:bidi="th-TH"/>
        </w:rPr>
        <w:t>采 购 文 件</w:t>
      </w:r>
    </w:p>
    <w:p w14:paraId="64DFFD09">
      <w:pPr>
        <w:jc w:val="center"/>
        <w:rPr>
          <w:rFonts w:ascii="仿宋_GB2312" w:hAnsi="仿宋" w:eastAsia="仿宋_GB2312" w:cs="仿宋"/>
          <w:b/>
          <w:szCs w:val="84"/>
          <w:highlight w:val="none"/>
        </w:rPr>
      </w:pPr>
    </w:p>
    <w:p w14:paraId="43BC6B12">
      <w:pPr>
        <w:jc w:val="center"/>
        <w:rPr>
          <w:rFonts w:ascii="仿宋_GB2312" w:hAnsi="仿宋" w:eastAsia="仿宋_GB2312" w:cs="仿宋"/>
          <w:b/>
          <w:szCs w:val="84"/>
          <w:highlight w:val="none"/>
        </w:rPr>
      </w:pPr>
    </w:p>
    <w:p w14:paraId="1976CA65">
      <w:pPr>
        <w:spacing w:line="360" w:lineRule="auto"/>
        <w:jc w:val="center"/>
        <w:rPr>
          <w:rFonts w:hint="eastAsia" w:ascii="仿宋_GB2312" w:hAnsi="仿宋" w:eastAsia="仿宋_GB2312" w:cs="仿宋"/>
          <w:b/>
          <w:w w:val="80"/>
          <w:sz w:val="36"/>
          <w:szCs w:val="36"/>
          <w:highlight w:val="none"/>
          <w:lang w:eastAsia="zh-CN" w:bidi="th-TH"/>
        </w:rPr>
      </w:pPr>
      <w:r>
        <w:rPr>
          <w:rFonts w:hint="eastAsia" w:ascii="仿宋_GB2312" w:hAnsi="仿宋" w:eastAsia="仿宋_GB2312" w:cs="仿宋"/>
          <w:b/>
          <w:w w:val="80"/>
          <w:sz w:val="36"/>
          <w:szCs w:val="36"/>
          <w:highlight w:val="none"/>
          <w:lang w:bidi="th-TH"/>
        </w:rPr>
        <w:t>项目编号：</w:t>
      </w:r>
      <w:r>
        <w:rPr>
          <w:rFonts w:hint="eastAsia" w:ascii="仿宋_GB2312" w:hAnsi="仿宋" w:eastAsia="仿宋_GB2312" w:cs="仿宋"/>
          <w:b/>
          <w:w w:val="80"/>
          <w:sz w:val="36"/>
          <w:szCs w:val="36"/>
          <w:highlight w:val="none"/>
          <w:lang w:eastAsia="zh-CN" w:bidi="th-TH"/>
        </w:rPr>
        <w:t>QTCG-GK-2025-080</w:t>
      </w:r>
    </w:p>
    <w:p w14:paraId="054295A7">
      <w:pPr>
        <w:pStyle w:val="25"/>
        <w:ind w:left="5250"/>
        <w:rPr>
          <w:rFonts w:ascii="仿宋_GB2312" w:hAnsi="仿宋" w:eastAsia="仿宋_GB2312" w:cs="仿宋"/>
          <w:b/>
          <w:szCs w:val="28"/>
          <w:highlight w:val="none"/>
        </w:rPr>
      </w:pPr>
    </w:p>
    <w:p w14:paraId="6240FB64">
      <w:pPr>
        <w:rPr>
          <w:rFonts w:ascii="仿宋_GB2312" w:hAnsi="仿宋" w:eastAsia="仿宋_GB2312" w:cs="仿宋"/>
          <w:b/>
          <w:highlight w:val="none"/>
        </w:rPr>
      </w:pPr>
    </w:p>
    <w:p w14:paraId="6735F26C">
      <w:pPr>
        <w:rPr>
          <w:rFonts w:ascii="仿宋_GB2312" w:hAnsi="仿宋" w:eastAsia="仿宋_GB2312" w:cs="仿宋"/>
          <w:b/>
          <w:highlight w:val="none"/>
        </w:rPr>
      </w:pPr>
    </w:p>
    <w:p w14:paraId="7F817D17">
      <w:pPr>
        <w:pStyle w:val="62"/>
        <w:ind w:left="420"/>
        <w:rPr>
          <w:rFonts w:hint="default" w:ascii="仿宋_GB2312" w:hAnsi="仿宋" w:eastAsia="仿宋_GB2312" w:cs="仿宋"/>
          <w:highlight w:val="none"/>
        </w:rPr>
      </w:pPr>
    </w:p>
    <w:p w14:paraId="336F523F">
      <w:pPr>
        <w:rPr>
          <w:rFonts w:ascii="仿宋_GB2312" w:hAnsi="仿宋" w:eastAsia="仿宋_GB2312" w:cs="仿宋"/>
          <w:b/>
          <w:highlight w:val="none"/>
        </w:rPr>
      </w:pPr>
    </w:p>
    <w:p w14:paraId="669A4C4E">
      <w:pPr>
        <w:rPr>
          <w:rFonts w:ascii="仿宋_GB2312" w:hAnsi="仿宋" w:eastAsia="仿宋_GB2312" w:cs="仿宋"/>
          <w:b/>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4CDBA500">
        <w:tblPrEx>
          <w:tblCellMar>
            <w:top w:w="0" w:type="dxa"/>
            <w:left w:w="108" w:type="dxa"/>
            <w:bottom w:w="0" w:type="dxa"/>
            <w:right w:w="108" w:type="dxa"/>
          </w:tblCellMar>
        </w:tblPrEx>
        <w:trPr>
          <w:trHeight w:val="680" w:hRule="atLeast"/>
          <w:jc w:val="center"/>
        </w:trPr>
        <w:tc>
          <w:tcPr>
            <w:tcW w:w="2160" w:type="dxa"/>
            <w:noWrap/>
            <w:vAlign w:val="center"/>
          </w:tcPr>
          <w:p w14:paraId="31853B61">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采购人</w:t>
            </w:r>
          </w:p>
        </w:tc>
        <w:tc>
          <w:tcPr>
            <w:tcW w:w="260" w:type="dxa"/>
            <w:noWrap/>
            <w:vAlign w:val="center"/>
          </w:tcPr>
          <w:p w14:paraId="6DFE8798">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w:t>
            </w:r>
          </w:p>
        </w:tc>
        <w:tc>
          <w:tcPr>
            <w:tcW w:w="3824" w:type="dxa"/>
            <w:noWrap/>
            <w:vAlign w:val="center"/>
          </w:tcPr>
          <w:p w14:paraId="62C3B8B6">
            <w:pPr>
              <w:snapToGrid w:val="0"/>
              <w:jc w:val="distribute"/>
              <w:rPr>
                <w:rFonts w:hint="eastAsia" w:ascii="仿宋_GB2312" w:hAnsi="仿宋" w:eastAsia="仿宋_GB2312" w:cs="仿宋"/>
                <w:b/>
                <w:sz w:val="32"/>
                <w:szCs w:val="32"/>
                <w:highlight w:val="none"/>
              </w:rPr>
            </w:pPr>
            <w:r>
              <w:rPr>
                <w:rFonts w:hint="eastAsia" w:ascii="仿宋_GB2312" w:hAnsi="仿宋" w:eastAsia="仿宋_GB2312" w:cs="仿宋"/>
                <w:b/>
                <w:sz w:val="32"/>
                <w:szCs w:val="32"/>
                <w:highlight w:val="none"/>
              </w:rPr>
              <w:t>杭州市钱塘区</w:t>
            </w:r>
          </w:p>
          <w:p w14:paraId="67BFC3A8">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综合行政执法局</w:t>
            </w:r>
          </w:p>
        </w:tc>
      </w:tr>
      <w:tr w14:paraId="750FC18D">
        <w:tblPrEx>
          <w:tblCellMar>
            <w:top w:w="0" w:type="dxa"/>
            <w:left w:w="108" w:type="dxa"/>
            <w:bottom w:w="0" w:type="dxa"/>
            <w:right w:w="108" w:type="dxa"/>
          </w:tblCellMar>
        </w:tblPrEx>
        <w:trPr>
          <w:trHeight w:val="297" w:hRule="atLeast"/>
          <w:jc w:val="center"/>
        </w:trPr>
        <w:tc>
          <w:tcPr>
            <w:tcW w:w="2160" w:type="dxa"/>
            <w:noWrap/>
            <w:vAlign w:val="center"/>
          </w:tcPr>
          <w:p w14:paraId="1EDCF32C">
            <w:pPr>
              <w:snapToGrid w:val="0"/>
              <w:jc w:val="distribute"/>
              <w:rPr>
                <w:rFonts w:ascii="仿宋_GB2312" w:hAnsi="仿宋" w:eastAsia="仿宋_GB2312" w:cs="仿宋"/>
                <w:b/>
                <w:sz w:val="22"/>
                <w:szCs w:val="22"/>
                <w:highlight w:val="none"/>
              </w:rPr>
            </w:pPr>
          </w:p>
        </w:tc>
        <w:tc>
          <w:tcPr>
            <w:tcW w:w="260" w:type="dxa"/>
            <w:noWrap/>
            <w:vAlign w:val="center"/>
          </w:tcPr>
          <w:p w14:paraId="61524FE0">
            <w:pPr>
              <w:snapToGrid w:val="0"/>
              <w:jc w:val="distribute"/>
              <w:rPr>
                <w:rFonts w:ascii="仿宋_GB2312" w:hAnsi="仿宋" w:eastAsia="仿宋_GB2312" w:cs="仿宋"/>
                <w:b/>
                <w:sz w:val="22"/>
                <w:szCs w:val="22"/>
                <w:highlight w:val="none"/>
              </w:rPr>
            </w:pPr>
          </w:p>
        </w:tc>
        <w:tc>
          <w:tcPr>
            <w:tcW w:w="3824" w:type="dxa"/>
            <w:noWrap/>
            <w:vAlign w:val="center"/>
          </w:tcPr>
          <w:p w14:paraId="7FA2E79F">
            <w:pPr>
              <w:snapToGrid w:val="0"/>
              <w:jc w:val="distribute"/>
              <w:rPr>
                <w:rFonts w:ascii="仿宋_GB2312" w:hAnsi="仿宋" w:eastAsia="仿宋_GB2312" w:cs="仿宋"/>
                <w:b/>
                <w:sz w:val="22"/>
                <w:szCs w:val="22"/>
                <w:highlight w:val="none"/>
              </w:rPr>
            </w:pPr>
          </w:p>
        </w:tc>
      </w:tr>
      <w:tr w14:paraId="2E2D321E">
        <w:tblPrEx>
          <w:tblCellMar>
            <w:top w:w="0" w:type="dxa"/>
            <w:left w:w="108" w:type="dxa"/>
            <w:bottom w:w="0" w:type="dxa"/>
            <w:right w:w="108" w:type="dxa"/>
          </w:tblCellMar>
        </w:tblPrEx>
        <w:trPr>
          <w:trHeight w:val="680" w:hRule="atLeast"/>
          <w:jc w:val="center"/>
        </w:trPr>
        <w:tc>
          <w:tcPr>
            <w:tcW w:w="2160" w:type="dxa"/>
            <w:noWrap/>
            <w:vAlign w:val="center"/>
          </w:tcPr>
          <w:p w14:paraId="3DA6F746">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采购代理机构</w:t>
            </w:r>
          </w:p>
        </w:tc>
        <w:tc>
          <w:tcPr>
            <w:tcW w:w="260" w:type="dxa"/>
            <w:noWrap/>
            <w:vAlign w:val="center"/>
          </w:tcPr>
          <w:p w14:paraId="3A7C2867">
            <w:pPr>
              <w:snapToGrid w:val="0"/>
              <w:jc w:val="distribute"/>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w:t>
            </w:r>
          </w:p>
        </w:tc>
        <w:tc>
          <w:tcPr>
            <w:tcW w:w="3824" w:type="dxa"/>
            <w:noWrap/>
            <w:vAlign w:val="center"/>
          </w:tcPr>
          <w:p w14:paraId="27FD30E6">
            <w:pPr>
              <w:snapToGrid w:val="0"/>
              <w:jc w:val="distribute"/>
              <w:rPr>
                <w:rFonts w:ascii="仿宋_GB2312" w:hAnsi="仿宋" w:eastAsia="仿宋_GB2312" w:cs="仿宋"/>
                <w:b/>
                <w:sz w:val="32"/>
                <w:szCs w:val="32"/>
                <w:highlight w:val="none"/>
              </w:rPr>
            </w:pPr>
            <w:r>
              <w:rPr>
                <w:rFonts w:hint="eastAsia" w:ascii="仿宋_GB2312" w:hAnsi="仿宋" w:eastAsia="仿宋_GB2312" w:cs="仿宋"/>
                <w:b/>
                <w:color w:val="000000" w:themeColor="text1"/>
                <w:sz w:val="32"/>
                <w:szCs w:val="32"/>
                <w:highlight w:val="none"/>
                <w14:textFill>
                  <w14:solidFill>
                    <w14:schemeClr w14:val="tx1"/>
                  </w14:solidFill>
                </w14:textFill>
              </w:rPr>
              <w:t>浙江国际招投标有限公司</w:t>
            </w:r>
          </w:p>
        </w:tc>
      </w:tr>
      <w:tr w14:paraId="5AE28526">
        <w:tblPrEx>
          <w:tblCellMar>
            <w:top w:w="0" w:type="dxa"/>
            <w:left w:w="108" w:type="dxa"/>
            <w:bottom w:w="0" w:type="dxa"/>
            <w:right w:w="108" w:type="dxa"/>
          </w:tblCellMar>
        </w:tblPrEx>
        <w:trPr>
          <w:trHeight w:val="462" w:hRule="atLeast"/>
          <w:jc w:val="center"/>
        </w:trPr>
        <w:tc>
          <w:tcPr>
            <w:tcW w:w="2160" w:type="dxa"/>
            <w:noWrap/>
            <w:vAlign w:val="center"/>
          </w:tcPr>
          <w:p w14:paraId="30BBAA1F">
            <w:pPr>
              <w:snapToGrid w:val="0"/>
              <w:jc w:val="distribute"/>
              <w:rPr>
                <w:rFonts w:ascii="仿宋_GB2312" w:hAnsi="仿宋" w:eastAsia="仿宋_GB2312" w:cs="仿宋"/>
                <w:b/>
                <w:sz w:val="30"/>
                <w:szCs w:val="30"/>
                <w:highlight w:val="none"/>
              </w:rPr>
            </w:pPr>
          </w:p>
        </w:tc>
        <w:tc>
          <w:tcPr>
            <w:tcW w:w="260" w:type="dxa"/>
            <w:noWrap/>
            <w:vAlign w:val="center"/>
          </w:tcPr>
          <w:p w14:paraId="294FA013">
            <w:pPr>
              <w:snapToGrid w:val="0"/>
              <w:jc w:val="distribute"/>
              <w:rPr>
                <w:rFonts w:ascii="仿宋_GB2312" w:hAnsi="仿宋" w:eastAsia="仿宋_GB2312" w:cs="仿宋"/>
                <w:b/>
                <w:sz w:val="30"/>
                <w:szCs w:val="30"/>
                <w:highlight w:val="none"/>
              </w:rPr>
            </w:pPr>
          </w:p>
        </w:tc>
        <w:tc>
          <w:tcPr>
            <w:tcW w:w="3824" w:type="dxa"/>
            <w:noWrap/>
            <w:vAlign w:val="center"/>
          </w:tcPr>
          <w:p w14:paraId="6623A4FF">
            <w:pPr>
              <w:snapToGrid w:val="0"/>
              <w:jc w:val="distribute"/>
              <w:rPr>
                <w:rFonts w:ascii="仿宋_GB2312" w:hAnsi="仿宋" w:eastAsia="仿宋_GB2312" w:cs="仿宋"/>
                <w:b/>
                <w:sz w:val="30"/>
                <w:szCs w:val="30"/>
                <w:highlight w:val="none"/>
              </w:rPr>
            </w:pPr>
          </w:p>
        </w:tc>
      </w:tr>
      <w:tr w14:paraId="545DB6A9">
        <w:tblPrEx>
          <w:tblCellMar>
            <w:top w:w="0" w:type="dxa"/>
            <w:left w:w="108" w:type="dxa"/>
            <w:bottom w:w="0" w:type="dxa"/>
            <w:right w:w="108" w:type="dxa"/>
          </w:tblCellMar>
        </w:tblPrEx>
        <w:trPr>
          <w:trHeight w:val="680" w:hRule="atLeast"/>
          <w:jc w:val="center"/>
        </w:trPr>
        <w:tc>
          <w:tcPr>
            <w:tcW w:w="6244" w:type="dxa"/>
            <w:gridSpan w:val="3"/>
            <w:noWrap/>
            <w:vAlign w:val="bottom"/>
          </w:tcPr>
          <w:p w14:paraId="06EB50EF">
            <w:pPr>
              <w:snapToGrid w:val="0"/>
              <w:jc w:val="center"/>
              <w:rPr>
                <w:rFonts w:ascii="仿宋_GB2312" w:hAnsi="仿宋" w:eastAsia="仿宋_GB2312" w:cs="仿宋"/>
                <w:b/>
                <w:sz w:val="30"/>
                <w:szCs w:val="30"/>
                <w:highlight w:val="none"/>
              </w:rPr>
            </w:pPr>
            <w:r>
              <w:rPr>
                <w:rFonts w:hint="eastAsia" w:ascii="仿宋_GB2312" w:hAnsi="仿宋" w:eastAsia="仿宋_GB2312" w:cs="仿宋"/>
                <w:b/>
                <w:sz w:val="30"/>
                <w:szCs w:val="30"/>
                <w:highlight w:val="none"/>
              </w:rPr>
              <w:t>2025年0</w:t>
            </w:r>
            <w:r>
              <w:rPr>
                <w:rFonts w:hint="eastAsia" w:ascii="仿宋_GB2312" w:hAnsi="仿宋" w:eastAsia="仿宋_GB2312" w:cs="仿宋"/>
                <w:b/>
                <w:sz w:val="30"/>
                <w:szCs w:val="30"/>
                <w:highlight w:val="none"/>
                <w:lang w:val="en-US" w:eastAsia="zh-CN"/>
              </w:rPr>
              <w:t>6</w:t>
            </w:r>
            <w:r>
              <w:rPr>
                <w:rFonts w:hint="eastAsia" w:ascii="仿宋_GB2312" w:hAnsi="仿宋" w:eastAsia="仿宋_GB2312" w:cs="仿宋"/>
                <w:b/>
                <w:sz w:val="30"/>
                <w:szCs w:val="30"/>
                <w:highlight w:val="none"/>
              </w:rPr>
              <w:t>月</w:t>
            </w:r>
          </w:p>
        </w:tc>
      </w:tr>
    </w:tbl>
    <w:p w14:paraId="70DC0265">
      <w:pPr>
        <w:pStyle w:val="23"/>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48"/>
          <w:szCs w:val="48"/>
          <w:highlight w:val="none"/>
        </w:rPr>
        <w:br w:type="page"/>
      </w:r>
      <w:r>
        <w:rPr>
          <w:rFonts w:hint="eastAsia" w:ascii="仿宋_GB2312" w:hAnsi="仿宋" w:eastAsia="仿宋_GB2312" w:cs="仿宋"/>
          <w:b/>
          <w:sz w:val="32"/>
          <w:szCs w:val="32"/>
          <w:highlight w:val="none"/>
        </w:rPr>
        <w:t>目    录</w:t>
      </w:r>
    </w:p>
    <w:p w14:paraId="1A50DFAE">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b/>
          <w:caps w:val="0"/>
          <w:sz w:val="21"/>
          <w:szCs w:val="21"/>
          <w:highlight w:val="none"/>
        </w:rPr>
        <w:fldChar w:fldCharType="begin"/>
      </w:r>
      <w:r>
        <w:rPr>
          <w:rFonts w:hint="eastAsia" w:ascii="仿宋_GB2312" w:hAnsi="仿宋" w:eastAsia="仿宋_GB2312" w:cs="仿宋"/>
          <w:b/>
          <w:caps w:val="0"/>
          <w:sz w:val="21"/>
          <w:szCs w:val="21"/>
          <w:highlight w:val="none"/>
        </w:rPr>
        <w:instrText xml:space="preserve"> TOC \o "1-2" \u </w:instrText>
      </w:r>
      <w:r>
        <w:rPr>
          <w:rFonts w:hint="eastAsia" w:ascii="仿宋_GB2312" w:hAnsi="仿宋" w:eastAsia="仿宋_GB2312" w:cs="仿宋"/>
          <w:b/>
          <w:caps w:val="0"/>
          <w:sz w:val="21"/>
          <w:szCs w:val="21"/>
          <w:highlight w:val="none"/>
        </w:rPr>
        <w:fldChar w:fldCharType="separate"/>
      </w:r>
      <w:r>
        <w:rPr>
          <w:rFonts w:hint="eastAsia" w:ascii="仿宋_GB2312" w:hAnsi="仿宋" w:eastAsia="仿宋_GB2312" w:cs="仿宋"/>
          <w:sz w:val="24"/>
          <w:szCs w:val="40"/>
          <w:highlight w:val="none"/>
        </w:rPr>
        <w:t>第一部分  采购公告</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_Toc13451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2</w:t>
      </w:r>
      <w:r>
        <w:rPr>
          <w:rFonts w:hint="eastAsia" w:ascii="仿宋_GB2312" w:hAnsi="仿宋" w:eastAsia="仿宋_GB2312" w:cs="仿宋"/>
          <w:sz w:val="24"/>
          <w:szCs w:val="24"/>
          <w:highlight w:val="none"/>
        </w:rPr>
        <w:fldChar w:fldCharType="end"/>
      </w:r>
    </w:p>
    <w:p w14:paraId="034B281C">
      <w:pPr>
        <w:pStyle w:val="36"/>
        <w:tabs>
          <w:tab w:val="right" w:leader="dot" w:pos="8306"/>
          <w:tab w:val="clear" w:pos="8720"/>
        </w:tabs>
        <w:spacing w:line="360" w:lineRule="auto"/>
        <w:ind w:firstLine="264" w:firstLineChars="110"/>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前 附 表</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_Toc1014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8</w:t>
      </w:r>
      <w:r>
        <w:rPr>
          <w:rFonts w:hint="eastAsia" w:ascii="仿宋_GB2312" w:hAnsi="仿宋" w:eastAsia="仿宋_GB2312" w:cs="仿宋"/>
          <w:sz w:val="24"/>
          <w:szCs w:val="24"/>
          <w:highlight w:val="none"/>
        </w:rPr>
        <w:fldChar w:fldCharType="end"/>
      </w:r>
    </w:p>
    <w:p w14:paraId="2316D740">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第二部分  投标须知</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_Toc28292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14</w:t>
      </w:r>
      <w:r>
        <w:rPr>
          <w:rFonts w:hint="eastAsia" w:ascii="仿宋_GB2312" w:hAnsi="仿宋" w:eastAsia="仿宋_GB2312" w:cs="仿宋"/>
          <w:sz w:val="24"/>
          <w:szCs w:val="24"/>
          <w:highlight w:val="none"/>
        </w:rPr>
        <w:fldChar w:fldCharType="end"/>
      </w:r>
    </w:p>
    <w:p w14:paraId="2586E096">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第三部分  采购需求</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_Toc11107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29</w:t>
      </w:r>
      <w:r>
        <w:rPr>
          <w:rFonts w:hint="eastAsia" w:ascii="仿宋_GB2312" w:hAnsi="仿宋" w:eastAsia="仿宋_GB2312" w:cs="仿宋"/>
          <w:sz w:val="24"/>
          <w:szCs w:val="24"/>
          <w:highlight w:val="none"/>
        </w:rPr>
        <w:fldChar w:fldCharType="end"/>
      </w:r>
    </w:p>
    <w:p w14:paraId="0020B8E0">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第四部分  评标办法</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_Toc25398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62</w:t>
      </w:r>
      <w:r>
        <w:rPr>
          <w:rFonts w:hint="eastAsia" w:ascii="仿宋_GB2312" w:hAnsi="仿宋" w:eastAsia="仿宋_GB2312" w:cs="仿宋"/>
          <w:sz w:val="24"/>
          <w:szCs w:val="24"/>
          <w:highlight w:val="none"/>
        </w:rPr>
        <w:fldChar w:fldCharType="end"/>
      </w:r>
    </w:p>
    <w:p w14:paraId="039F4BF2">
      <w:pPr>
        <w:pStyle w:val="36"/>
        <w:tabs>
          <w:tab w:val="right" w:leader="dot" w:pos="8306"/>
          <w:tab w:val="clear" w:pos="8720"/>
        </w:tabs>
        <w:spacing w:line="360" w:lineRule="auto"/>
        <w:ind w:firstLine="264" w:firstLineChars="110"/>
        <w:rPr>
          <w:rFonts w:ascii="仿宋_GB2312" w:hAnsi="仿宋" w:eastAsia="仿宋_GB2312" w:cs="仿宋"/>
          <w:sz w:val="24"/>
          <w:szCs w:val="24"/>
          <w:highlight w:val="none"/>
        </w:rPr>
      </w:pPr>
      <w:r>
        <w:rPr>
          <w:rFonts w:hint="eastAsia" w:ascii="仿宋_GB2312" w:hAnsi="仿宋" w:eastAsia="仿宋_GB2312" w:cs="仿宋"/>
          <w:sz w:val="24"/>
          <w:szCs w:val="36"/>
          <w:highlight w:val="none"/>
        </w:rPr>
        <w:t>评标办法前附表</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_Toc11969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62</w:t>
      </w:r>
      <w:r>
        <w:rPr>
          <w:rFonts w:hint="eastAsia" w:ascii="仿宋_GB2312" w:hAnsi="仿宋" w:eastAsia="仿宋_GB2312" w:cs="仿宋"/>
          <w:sz w:val="24"/>
          <w:szCs w:val="24"/>
          <w:highlight w:val="none"/>
        </w:rPr>
        <w:fldChar w:fldCharType="end"/>
      </w:r>
    </w:p>
    <w:p w14:paraId="2AE5692E">
      <w:pPr>
        <w:pStyle w:val="31"/>
        <w:tabs>
          <w:tab w:val="right" w:leader="dot" w:pos="8306"/>
          <w:tab w:val="clear" w:pos="8720"/>
        </w:tabs>
        <w:adjustRightInd w:val="0"/>
        <w:snapToGrid w:val="0"/>
        <w:spacing w:line="360" w:lineRule="auto"/>
        <w:rPr>
          <w:rFonts w:ascii="仿宋_GB2312" w:hAnsi="仿宋" w:eastAsia="仿宋_GB2312" w:cs="仿宋"/>
          <w:sz w:val="24"/>
          <w:szCs w:val="24"/>
          <w:highlight w:val="none"/>
        </w:rPr>
      </w:pPr>
      <w:r>
        <w:rPr>
          <w:rFonts w:hint="eastAsia" w:ascii="仿宋_GB2312" w:hAnsi="仿宋" w:eastAsia="仿宋_GB2312" w:cs="仿宋"/>
          <w:sz w:val="24"/>
          <w:szCs w:val="40"/>
          <w:highlight w:val="none"/>
        </w:rPr>
        <w:t>第五部分  合同条款</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_Toc2880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73</w:t>
      </w:r>
      <w:r>
        <w:rPr>
          <w:rFonts w:hint="eastAsia" w:ascii="仿宋_GB2312" w:hAnsi="仿宋" w:eastAsia="仿宋_GB2312" w:cs="仿宋"/>
          <w:sz w:val="24"/>
          <w:szCs w:val="24"/>
          <w:highlight w:val="none"/>
        </w:rPr>
        <w:fldChar w:fldCharType="end"/>
      </w:r>
    </w:p>
    <w:p w14:paraId="591E5EA5">
      <w:pPr>
        <w:pStyle w:val="31"/>
        <w:tabs>
          <w:tab w:val="right" w:leader="dot" w:pos="8306"/>
          <w:tab w:val="clear" w:pos="8720"/>
        </w:tabs>
        <w:adjustRightInd w:val="0"/>
        <w:snapToGrid w:val="0"/>
        <w:spacing w:line="360" w:lineRule="auto"/>
        <w:rPr>
          <w:rFonts w:ascii="仿宋_GB2312" w:hAnsi="仿宋" w:eastAsia="仿宋_GB2312" w:cs="仿宋"/>
          <w:highlight w:val="none"/>
        </w:rPr>
      </w:pPr>
      <w:r>
        <w:rPr>
          <w:rFonts w:hint="eastAsia" w:ascii="仿宋_GB2312" w:hAnsi="仿宋" w:eastAsia="仿宋_GB2312" w:cs="仿宋"/>
          <w:sz w:val="24"/>
          <w:szCs w:val="40"/>
          <w:highlight w:val="none"/>
        </w:rPr>
        <w:t>第六部分  投标文件格式</w:t>
      </w:r>
      <w:r>
        <w:rPr>
          <w:rFonts w:hint="eastAsia" w:ascii="仿宋_GB2312" w:hAnsi="仿宋" w:eastAsia="仿宋_GB2312" w:cs="仿宋"/>
          <w:sz w:val="24"/>
          <w:szCs w:val="24"/>
          <w:highlight w:val="none"/>
        </w:rPr>
        <w:tab/>
      </w:r>
      <w:r>
        <w:rPr>
          <w:rFonts w:hint="eastAsia" w:ascii="仿宋_GB2312" w:hAnsi="仿宋" w:eastAsia="仿宋_GB2312" w:cs="仿宋"/>
          <w:sz w:val="24"/>
          <w:szCs w:val="24"/>
          <w:highlight w:val="none"/>
        </w:rPr>
        <w:fldChar w:fldCharType="begin"/>
      </w:r>
      <w:r>
        <w:rPr>
          <w:rFonts w:hint="eastAsia" w:ascii="仿宋_GB2312" w:hAnsi="仿宋" w:eastAsia="仿宋_GB2312" w:cs="仿宋"/>
          <w:sz w:val="24"/>
          <w:szCs w:val="24"/>
          <w:highlight w:val="none"/>
        </w:rPr>
        <w:instrText xml:space="preserve"> PAGEREF _Toc21370 \h </w:instrText>
      </w:r>
      <w:r>
        <w:rPr>
          <w:rFonts w:hint="eastAsia" w:ascii="仿宋_GB2312" w:hAnsi="仿宋" w:eastAsia="仿宋_GB2312" w:cs="仿宋"/>
          <w:sz w:val="24"/>
          <w:szCs w:val="24"/>
          <w:highlight w:val="none"/>
        </w:rPr>
        <w:fldChar w:fldCharType="separate"/>
      </w:r>
      <w:r>
        <w:rPr>
          <w:rFonts w:hint="eastAsia" w:ascii="仿宋_GB2312" w:hAnsi="仿宋" w:eastAsia="仿宋_GB2312" w:cs="仿宋"/>
          <w:sz w:val="24"/>
          <w:szCs w:val="24"/>
          <w:highlight w:val="none"/>
        </w:rPr>
        <w:t>89</w:t>
      </w:r>
      <w:r>
        <w:rPr>
          <w:rFonts w:hint="eastAsia" w:ascii="仿宋_GB2312" w:hAnsi="仿宋" w:eastAsia="仿宋_GB2312" w:cs="仿宋"/>
          <w:sz w:val="24"/>
          <w:szCs w:val="24"/>
          <w:highlight w:val="none"/>
        </w:rPr>
        <w:fldChar w:fldCharType="end"/>
      </w:r>
    </w:p>
    <w:p w14:paraId="11081C0E">
      <w:pPr>
        <w:pStyle w:val="36"/>
        <w:tabs>
          <w:tab w:val="right" w:leader="dot" w:pos="8306"/>
          <w:tab w:val="clear" w:pos="8720"/>
        </w:tabs>
        <w:rPr>
          <w:rFonts w:ascii="仿宋_GB2312" w:hAnsi="仿宋" w:eastAsia="仿宋_GB2312" w:cs="仿宋"/>
          <w:highlight w:val="none"/>
        </w:rPr>
      </w:pPr>
    </w:p>
    <w:p w14:paraId="012B3F43">
      <w:pPr>
        <w:pStyle w:val="31"/>
        <w:tabs>
          <w:tab w:val="right" w:leader="dot" w:pos="8306"/>
          <w:tab w:val="clear" w:pos="8720"/>
        </w:tabs>
        <w:rPr>
          <w:rFonts w:ascii="仿宋_GB2312" w:hAnsi="仿宋" w:eastAsia="仿宋_GB2312" w:cs="仿宋"/>
          <w:highlight w:val="none"/>
        </w:rPr>
      </w:pPr>
    </w:p>
    <w:p w14:paraId="7CB0747F">
      <w:pPr>
        <w:jc w:val="center"/>
        <w:rPr>
          <w:rFonts w:ascii="仿宋_GB2312" w:hAnsi="仿宋" w:eastAsia="仿宋_GB2312" w:cs="仿宋"/>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_GB2312" w:hAnsi="仿宋" w:eastAsia="仿宋_GB2312" w:cs="仿宋"/>
          <w:szCs w:val="21"/>
          <w:highlight w:val="none"/>
        </w:rPr>
        <w:fldChar w:fldCharType="end"/>
      </w:r>
    </w:p>
    <w:p w14:paraId="584633DA">
      <w:pPr>
        <w:adjustRightInd w:val="0"/>
        <w:snapToGrid w:val="0"/>
        <w:spacing w:before="120" w:beforeLines="50" w:after="120" w:afterLines="50" w:line="360" w:lineRule="auto"/>
        <w:jc w:val="center"/>
        <w:outlineLvl w:val="0"/>
        <w:rPr>
          <w:rFonts w:ascii="仿宋_GB2312" w:hAnsi="仿宋" w:eastAsia="仿宋_GB2312" w:cs="仿宋"/>
          <w:b/>
          <w:sz w:val="30"/>
          <w:szCs w:val="30"/>
          <w:highlight w:val="none"/>
        </w:rPr>
      </w:pPr>
      <w:bookmarkStart w:id="0" w:name="_Toc13451"/>
      <w:bookmarkStart w:id="1" w:name="_Toc21665"/>
      <w:r>
        <w:rPr>
          <w:rFonts w:hint="eastAsia" w:ascii="仿宋_GB2312" w:hAnsi="仿宋" w:eastAsia="仿宋_GB2312" w:cs="仿宋"/>
          <w:b/>
          <w:sz w:val="30"/>
          <w:szCs w:val="30"/>
          <w:highlight w:val="none"/>
        </w:rPr>
        <w:t>第一部分  采购公告</w:t>
      </w:r>
      <w:bookmarkEnd w:id="0"/>
      <w:bookmarkEnd w:id="1"/>
    </w:p>
    <w:p w14:paraId="57ED19EA">
      <w:pPr>
        <w:pBdr>
          <w:top w:val="single" w:color="auto" w:sz="4" w:space="1"/>
          <w:left w:val="single" w:color="auto" w:sz="4" w:space="0"/>
          <w:bottom w:val="single" w:color="auto" w:sz="4" w:space="3"/>
          <w:right w:val="single" w:color="auto" w:sz="4" w:space="4"/>
        </w:pBdr>
        <w:ind w:firstLine="480" w:firstLineChars="20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项目概况                                                    </w:t>
      </w:r>
    </w:p>
    <w:p w14:paraId="7C8939D2">
      <w:pPr>
        <w:pBdr>
          <w:top w:val="single" w:color="auto" w:sz="4" w:space="1"/>
          <w:left w:val="single" w:color="auto" w:sz="4" w:space="0"/>
          <w:bottom w:val="single" w:color="auto" w:sz="4" w:space="3"/>
          <w:right w:val="single" w:color="auto" w:sz="4" w:space="4"/>
        </w:pBdr>
        <w:ind w:firstLine="480" w:firstLineChars="200"/>
        <w:rPr>
          <w:rFonts w:ascii="仿宋_GB2312" w:hAnsi="仿宋" w:eastAsia="仿宋_GB2312" w:cs="仿宋"/>
          <w:kern w:val="0"/>
          <w:sz w:val="24"/>
          <w:highlight w:val="none"/>
        </w:rPr>
      </w:pPr>
      <w:r>
        <w:rPr>
          <w:rFonts w:hint="eastAsia" w:ascii="仿宋_GB2312" w:hAnsi="仿宋" w:eastAsia="仿宋_GB2312" w:cs="仿宋"/>
          <w:kern w:val="0"/>
          <w:sz w:val="24"/>
          <w:highlight w:val="none"/>
          <w:lang w:eastAsia="zh-CN"/>
        </w:rPr>
        <w:t>2025-2028年钱塘区特色街区景观灯及其附属设施养护服务项目</w:t>
      </w:r>
      <w:r>
        <w:rPr>
          <w:rFonts w:hint="eastAsia" w:ascii="仿宋_GB2312" w:hAnsi="仿宋" w:eastAsia="仿宋_GB2312" w:cs="仿宋"/>
          <w:kern w:val="0"/>
          <w:sz w:val="24"/>
          <w:highlight w:val="none"/>
          <w:lang w:val="en-US" w:eastAsia="zh-CN"/>
        </w:rPr>
        <w:t xml:space="preserve"> </w:t>
      </w:r>
      <w:r>
        <w:rPr>
          <w:rFonts w:hint="eastAsia" w:ascii="仿宋_GB2312" w:hAnsi="仿宋" w:eastAsia="仿宋_GB2312" w:cs="仿宋"/>
          <w:kern w:val="0"/>
          <w:sz w:val="24"/>
          <w:highlight w:val="none"/>
        </w:rPr>
        <w:t>招标项目的潜在投标人应在政采云平台线上获取（下载）招标文件，并于 2025年</w:t>
      </w:r>
      <w:r>
        <w:rPr>
          <w:rFonts w:hint="eastAsia" w:ascii="仿宋_GB2312" w:hAnsi="仿宋" w:eastAsia="仿宋_GB2312" w:cs="仿宋"/>
          <w:kern w:val="0"/>
          <w:sz w:val="24"/>
          <w:highlight w:val="none"/>
          <w:lang w:val="en-US" w:eastAsia="zh-CN"/>
        </w:rPr>
        <w:t>06月25日</w:t>
      </w:r>
      <w:r>
        <w:rPr>
          <w:rFonts w:hint="eastAsia" w:ascii="仿宋_GB2312" w:hAnsi="仿宋" w:eastAsia="仿宋_GB2312" w:cs="仿宋"/>
          <w:kern w:val="0"/>
          <w:sz w:val="24"/>
          <w:highlight w:val="none"/>
        </w:rPr>
        <w:t xml:space="preserve"> 09:30（北京时间）前递交（上传）投标文件。      </w:t>
      </w:r>
    </w:p>
    <w:p w14:paraId="33E88287">
      <w:pPr>
        <w:pStyle w:val="40"/>
        <w:adjustRightInd w:val="0"/>
        <w:snapToGrid w:val="0"/>
        <w:spacing w:beforeAutospacing="0" w:afterAutospacing="0" w:line="360" w:lineRule="auto"/>
        <w:jc w:val="both"/>
        <w:rPr>
          <w:rFonts w:ascii="仿宋_GB2312" w:hAnsi="仿宋" w:eastAsia="仿宋_GB2312" w:cs="仿宋"/>
          <w:sz w:val="24"/>
          <w:szCs w:val="24"/>
          <w:highlight w:val="none"/>
        </w:rPr>
      </w:pPr>
    </w:p>
    <w:p w14:paraId="4C88A59E">
      <w:pPr>
        <w:pStyle w:val="40"/>
        <w:adjustRightInd w:val="0"/>
        <w:snapToGrid w:val="0"/>
        <w:spacing w:beforeAutospacing="0" w:afterAutospacing="0" w:line="360" w:lineRule="auto"/>
        <w:jc w:val="both"/>
        <w:rPr>
          <w:rFonts w:ascii="仿宋_GB2312" w:hAnsi="仿宋" w:eastAsia="仿宋_GB2312" w:cs="仿宋"/>
          <w:sz w:val="24"/>
          <w:szCs w:val="24"/>
          <w:highlight w:val="none"/>
        </w:rPr>
      </w:pPr>
      <w:r>
        <w:rPr>
          <w:rFonts w:hint="eastAsia" w:ascii="仿宋_GB2312" w:hAnsi="仿宋" w:eastAsia="仿宋_GB2312" w:cs="仿宋"/>
          <w:b/>
          <w:bCs/>
          <w:sz w:val="24"/>
          <w:szCs w:val="24"/>
          <w:highlight w:val="none"/>
        </w:rPr>
        <w:t>一、项目基本情况</w:t>
      </w:r>
    </w:p>
    <w:p w14:paraId="4E8ED518">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项目编号：</w:t>
      </w:r>
      <w:r>
        <w:rPr>
          <w:rFonts w:hint="eastAsia" w:ascii="仿宋_GB2312" w:hAnsi="仿宋" w:eastAsia="仿宋_GB2312" w:cs="仿宋"/>
          <w:sz w:val="24"/>
          <w:szCs w:val="24"/>
          <w:highlight w:val="none"/>
          <w:lang w:eastAsia="zh-CN"/>
        </w:rPr>
        <w:t>QTCG-GK-2025-080</w:t>
      </w:r>
    </w:p>
    <w:p w14:paraId="15DFF480">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项目名称：</w:t>
      </w:r>
      <w:r>
        <w:rPr>
          <w:rFonts w:hint="eastAsia" w:ascii="仿宋_GB2312" w:hAnsi="仿宋" w:eastAsia="仿宋_GB2312" w:cs="仿宋"/>
          <w:sz w:val="24"/>
          <w:szCs w:val="24"/>
          <w:highlight w:val="none"/>
          <w:lang w:eastAsia="zh-CN"/>
        </w:rPr>
        <w:t>2025-2028年钱塘区特色街区景观灯及其附属设施养护服务项目</w:t>
      </w:r>
    </w:p>
    <w:p w14:paraId="3C178CAF">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预算金额（元）：</w:t>
      </w:r>
      <w:r>
        <w:rPr>
          <w:rFonts w:hint="eastAsia" w:ascii="仿宋_GB2312" w:hAnsi="仿宋" w:eastAsia="仿宋_GB2312" w:cs="仿宋"/>
          <w:sz w:val="24"/>
          <w:szCs w:val="24"/>
          <w:highlight w:val="none"/>
          <w:lang w:eastAsia="zh-CN"/>
        </w:rPr>
        <w:t>5013000</w:t>
      </w:r>
    </w:p>
    <w:p w14:paraId="43A81704">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最高限价（元）：/</w:t>
      </w:r>
    </w:p>
    <w:p w14:paraId="7302649F">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采购需求：</w:t>
      </w:r>
    </w:p>
    <w:p w14:paraId="1334A68D">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sz w:val="24"/>
          <w:szCs w:val="24"/>
          <w:highlight w:val="none"/>
        </w:rPr>
      </w:pPr>
    </w:p>
    <w:p w14:paraId="4985438D">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标项名称：</w:t>
      </w:r>
      <w:r>
        <w:rPr>
          <w:rFonts w:hint="eastAsia" w:ascii="仿宋_GB2312" w:hAnsi="仿宋" w:eastAsia="仿宋_GB2312" w:cs="仿宋"/>
          <w:sz w:val="24"/>
          <w:szCs w:val="24"/>
          <w:highlight w:val="none"/>
          <w:lang w:eastAsia="zh-CN"/>
        </w:rPr>
        <w:t>2025-2028年钱塘区特色街区景观灯及其附属设施养护服务项目</w:t>
      </w:r>
    </w:p>
    <w:p w14:paraId="22C71B17">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数量：不限</w:t>
      </w:r>
    </w:p>
    <w:p w14:paraId="49EB9889">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_GB2312" w:hAnsi="仿宋" w:eastAsia="仿宋_GB2312" w:cs="仿宋"/>
          <w:sz w:val="24"/>
          <w:szCs w:val="24"/>
          <w:highlight w:val="none"/>
          <w:lang w:eastAsia="zh-CN"/>
        </w:rPr>
      </w:pPr>
      <w:r>
        <w:rPr>
          <w:rFonts w:hint="eastAsia" w:ascii="仿宋_GB2312" w:hAnsi="仿宋" w:eastAsia="仿宋_GB2312" w:cs="仿宋"/>
          <w:sz w:val="24"/>
          <w:szCs w:val="24"/>
          <w:highlight w:val="none"/>
        </w:rPr>
        <w:t xml:space="preserve">预算金额（元）: </w:t>
      </w:r>
      <w:r>
        <w:rPr>
          <w:rFonts w:hint="eastAsia" w:ascii="仿宋_GB2312" w:hAnsi="仿宋" w:eastAsia="仿宋_GB2312" w:cs="仿宋"/>
          <w:sz w:val="24"/>
          <w:szCs w:val="24"/>
          <w:highlight w:val="none"/>
          <w:lang w:eastAsia="zh-CN"/>
        </w:rPr>
        <w:t>5013000</w:t>
      </w:r>
    </w:p>
    <w:p w14:paraId="70D43F6C">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color w:val="000000" w:themeColor="text1"/>
          <w:sz w:val="24"/>
          <w:szCs w:val="24"/>
          <w:highlight w:val="none"/>
          <w14:textFill>
            <w14:solidFill>
              <w14:schemeClr w14:val="tx1"/>
            </w14:solidFill>
          </w14:textFill>
        </w:rPr>
      </w:pPr>
      <w:r>
        <w:rPr>
          <w:rFonts w:hint="eastAsia" w:ascii="仿宋_GB2312" w:hAnsi="仿宋" w:eastAsia="仿宋_GB2312" w:cs="仿宋"/>
          <w:sz w:val="24"/>
          <w:szCs w:val="24"/>
          <w:highlight w:val="none"/>
        </w:rPr>
        <w:t>简要规格描述或项目基本概况介绍、用途：拟通过公开招标选择一家专业单位</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lang w:val="en-US" w:eastAsia="zh-CN"/>
        </w:rPr>
        <w:t>按</w:t>
      </w:r>
      <w:r>
        <w:rPr>
          <w:rFonts w:hint="eastAsia" w:ascii="仿宋_GB2312" w:hAnsi="仿宋" w:eastAsia="仿宋_GB2312" w:cs="仿宋"/>
          <w:sz w:val="24"/>
          <w:szCs w:val="24"/>
          <w:highlight w:val="none"/>
        </w:rPr>
        <w:t>采购人要求</w:t>
      </w:r>
      <w:r>
        <w:rPr>
          <w:rFonts w:hint="eastAsia" w:ascii="仿宋_GB2312" w:hAnsi="仿宋" w:eastAsia="仿宋_GB2312" w:cs="仿宋"/>
          <w:sz w:val="24"/>
          <w:szCs w:val="24"/>
          <w:highlight w:val="none"/>
          <w:lang w:val="en-US" w:eastAsia="zh-CN"/>
        </w:rPr>
        <w:t>完成钱塘区特色街区景观灯及其附属设施养护服务，其主要内容包括：</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1 \* GB3 \* MERGEFORMAT </w:instrText>
      </w:r>
      <w:r>
        <w:rPr>
          <w:rFonts w:hint="eastAsia" w:ascii="仿宋_GB2312" w:hAnsi="仿宋" w:eastAsia="仿宋_GB2312" w:cs="仿宋"/>
          <w:sz w:val="24"/>
          <w:szCs w:val="24"/>
          <w:highlight w:val="none"/>
          <w:lang w:val="en-US" w:eastAsia="zh-CN"/>
        </w:rPr>
        <w:fldChar w:fldCharType="separate"/>
      </w:r>
      <w:r>
        <w:rPr>
          <w:highlight w:val="none"/>
        </w:rPr>
        <w:t>①</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光源、灯具及配件、箱变、电器、杆件、标识牌、配电设施、灯具外壳、支架、电缆（含电缆管道）、开关控制箱、工作井、配电室、低压配电柜、控制器、穿线管、配电箱、线卡、绳索、螺栓、电源适配器、防雷装置、防水密封材料等涉及景观灯及其附属设施设备所有内容进行日常维修、检测、更换、保洁、保养、油漆、设施巡查、防盗（看护、处理）等维护工作；</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2 \* GB3 \* MERGEFORMAT </w:instrText>
      </w:r>
      <w:r>
        <w:rPr>
          <w:rFonts w:hint="eastAsia" w:ascii="仿宋_GB2312" w:hAnsi="仿宋" w:eastAsia="仿宋_GB2312" w:cs="仿宋"/>
          <w:sz w:val="24"/>
          <w:szCs w:val="24"/>
          <w:highlight w:val="none"/>
          <w:lang w:val="en-US" w:eastAsia="zh-CN"/>
        </w:rPr>
        <w:fldChar w:fldCharType="separate"/>
      </w:r>
      <w:r>
        <w:rPr>
          <w:highlight w:val="none"/>
        </w:rPr>
        <w:t>②</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对项目进行日常巡查、安全检查、防盗管理等工作；</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3 \* GB3 \* MERGEFORMAT </w:instrText>
      </w:r>
      <w:r>
        <w:rPr>
          <w:rFonts w:hint="eastAsia" w:ascii="仿宋_GB2312" w:hAnsi="仿宋" w:eastAsia="仿宋_GB2312" w:cs="仿宋"/>
          <w:sz w:val="24"/>
          <w:szCs w:val="24"/>
          <w:highlight w:val="none"/>
          <w:lang w:val="en-US" w:eastAsia="zh-CN"/>
        </w:rPr>
        <w:fldChar w:fldCharType="separate"/>
      </w:r>
      <w:r>
        <w:rPr>
          <w:highlight w:val="none"/>
        </w:rPr>
        <w:t>③</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防汛抗台、抗雪防冻、临时或重大任务等应急保障工作；</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4 \* GB3 \* MERGEFORMAT </w:instrText>
      </w:r>
      <w:r>
        <w:rPr>
          <w:rFonts w:hint="eastAsia" w:ascii="仿宋_GB2312" w:hAnsi="仿宋" w:eastAsia="仿宋_GB2312" w:cs="仿宋"/>
          <w:sz w:val="24"/>
          <w:szCs w:val="24"/>
          <w:highlight w:val="none"/>
          <w:lang w:val="en-US" w:eastAsia="zh-CN"/>
        </w:rPr>
        <w:fldChar w:fldCharType="separate"/>
      </w:r>
      <w:r>
        <w:rPr>
          <w:highlight w:val="none"/>
        </w:rPr>
        <w:t>④</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本项目养护区域范围内社会产权亮灯项目巡查及问题反馈；</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5 \* GB3 \* MERGEFORMAT </w:instrText>
      </w:r>
      <w:r>
        <w:rPr>
          <w:rFonts w:hint="eastAsia" w:ascii="仿宋_GB2312" w:hAnsi="仿宋" w:eastAsia="仿宋_GB2312" w:cs="仿宋"/>
          <w:sz w:val="24"/>
          <w:szCs w:val="24"/>
          <w:highlight w:val="none"/>
          <w:lang w:val="en-US" w:eastAsia="zh-CN"/>
        </w:rPr>
        <w:fldChar w:fldCharType="separate"/>
      </w:r>
      <w:r>
        <w:rPr>
          <w:highlight w:val="none"/>
        </w:rPr>
        <w:t>⑤</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养护范围内，新增景观亮灯项目移交接收，质保期内，质量问题由施工单位负责外，另外与正常养护内容一致，该工作产生的养护费用（不含电费）由投标单位在本次投标报价中同步考虑；</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6 \* GB3 \* MERGEFORMAT </w:instrText>
      </w:r>
      <w:r>
        <w:rPr>
          <w:rFonts w:hint="eastAsia" w:ascii="仿宋_GB2312" w:hAnsi="仿宋" w:eastAsia="仿宋_GB2312" w:cs="仿宋"/>
          <w:sz w:val="24"/>
          <w:szCs w:val="24"/>
          <w:highlight w:val="none"/>
          <w:lang w:val="en-US" w:eastAsia="zh-CN"/>
        </w:rPr>
        <w:fldChar w:fldCharType="separate"/>
      </w:r>
      <w:r>
        <w:rPr>
          <w:highlight w:val="none"/>
        </w:rPr>
        <w:t>⑥</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服务器租赁费、宽带租赁费、灯光秀制作费用及各楼宇亮灯电费（不含从公共箱变接电电费）</w:t>
      </w:r>
      <w:r>
        <w:rPr>
          <w:rFonts w:hint="eastAsia" w:ascii="仿宋" w:hAnsi="仿宋" w:eastAsia="仿宋" w:cs="仿宋"/>
          <w:color w:val="auto"/>
          <w:sz w:val="24"/>
          <w:highlight w:val="none"/>
          <w:lang w:eastAsia="zh-CN"/>
        </w:rPr>
        <w:t>、网络</w:t>
      </w:r>
      <w:r>
        <w:rPr>
          <w:rFonts w:hint="eastAsia" w:ascii="仿宋" w:hAnsi="仿宋" w:eastAsia="仿宋" w:cs="仿宋"/>
          <w:color w:val="auto"/>
          <w:sz w:val="24"/>
          <w:highlight w:val="none"/>
          <w:lang w:val="en-US" w:eastAsia="zh-CN"/>
        </w:rPr>
        <w:t>安全等级测评</w:t>
      </w:r>
      <w:r>
        <w:rPr>
          <w:rFonts w:hint="eastAsia" w:ascii="仿宋_GB2312" w:hAnsi="仿宋" w:eastAsia="仿宋_GB2312" w:cs="仿宋"/>
          <w:sz w:val="24"/>
          <w:szCs w:val="24"/>
          <w:highlight w:val="none"/>
          <w:lang w:val="en-US" w:eastAsia="zh-CN"/>
        </w:rPr>
        <w:t>等涉及本项目亮灯养护的相关费用；</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7 \* GB3 \* MERGEFORMAT </w:instrText>
      </w:r>
      <w:r>
        <w:rPr>
          <w:rFonts w:hint="eastAsia" w:ascii="仿宋_GB2312" w:hAnsi="仿宋" w:eastAsia="仿宋_GB2312" w:cs="仿宋"/>
          <w:sz w:val="24"/>
          <w:szCs w:val="24"/>
          <w:highlight w:val="none"/>
          <w:lang w:val="en-US" w:eastAsia="zh-CN"/>
        </w:rPr>
        <w:fldChar w:fldCharType="separate"/>
      </w:r>
      <w:r>
        <w:rPr>
          <w:highlight w:val="none"/>
        </w:rPr>
        <w:t>⑦</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本项目涉及的区属箱变（范围为围栏区域内）及附属设施的日常巡查、保洁、维护、维修、外接电管理、抄表、费用追缴等涉及箱变的所有工作，</w:t>
      </w:r>
      <w:r>
        <w:rPr>
          <w:rFonts w:hint="eastAsia" w:ascii="仿宋" w:hAnsi="仿宋" w:eastAsia="仿宋" w:cs="仿宋"/>
          <w:color w:val="auto"/>
          <w:kern w:val="2"/>
          <w:sz w:val="24"/>
          <w:szCs w:val="24"/>
          <w:highlight w:val="none"/>
        </w:rPr>
        <w:t>在养护期内</w:t>
      </w:r>
      <w:r>
        <w:rPr>
          <w:rFonts w:hint="eastAsia" w:ascii="仿宋" w:hAnsi="仿宋" w:eastAsia="仿宋" w:cs="仿宋"/>
          <w:color w:val="auto"/>
          <w:kern w:val="2"/>
          <w:sz w:val="24"/>
          <w:szCs w:val="24"/>
          <w:highlight w:val="none"/>
          <w:lang w:eastAsia="zh-CN"/>
        </w:rPr>
        <w:t>（第三年正常养护期）</w:t>
      </w:r>
      <w:r>
        <w:rPr>
          <w:rFonts w:hint="eastAsia" w:ascii="仿宋" w:hAnsi="仿宋" w:eastAsia="仿宋" w:cs="仿宋"/>
          <w:color w:val="auto"/>
          <w:kern w:val="2"/>
          <w:sz w:val="24"/>
          <w:szCs w:val="24"/>
          <w:highlight w:val="none"/>
        </w:rPr>
        <w:t>维修费累计在</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万元以内（以电力设施设备的信息价或定额计算为准）由</w:t>
      </w:r>
      <w:r>
        <w:rPr>
          <w:rFonts w:hint="eastAsia" w:ascii="仿宋" w:hAnsi="仿宋" w:eastAsia="仿宋" w:cs="仿宋"/>
          <w:color w:val="auto"/>
          <w:kern w:val="2"/>
          <w:sz w:val="24"/>
          <w:szCs w:val="24"/>
          <w:highlight w:val="none"/>
          <w:lang w:eastAsia="zh-CN"/>
        </w:rPr>
        <w:t>中标人</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eastAsia="zh-CN"/>
        </w:rPr>
        <w:t>采购人</w:t>
      </w:r>
      <w:r>
        <w:rPr>
          <w:rFonts w:hint="eastAsia" w:ascii="仿宋" w:hAnsi="仿宋" w:eastAsia="仿宋" w:cs="仿宋"/>
          <w:color w:val="auto"/>
          <w:kern w:val="2"/>
          <w:sz w:val="24"/>
          <w:szCs w:val="24"/>
          <w:highlight w:val="none"/>
        </w:rPr>
        <w:t>不再另行支付；</w:t>
      </w:r>
      <w:r>
        <w:rPr>
          <w:rFonts w:hint="eastAsia" w:ascii="仿宋" w:hAnsi="仿宋" w:eastAsia="仿宋" w:cs="仿宋"/>
          <w:color w:val="auto"/>
          <w:kern w:val="2"/>
          <w:sz w:val="24"/>
          <w:szCs w:val="24"/>
          <w:highlight w:val="none"/>
          <w:lang w:eastAsia="zh-CN"/>
        </w:rPr>
        <w:t>超过</w:t>
      </w:r>
      <w:r>
        <w:rPr>
          <w:rFonts w:hint="eastAsia" w:ascii="仿宋" w:hAnsi="仿宋" w:eastAsia="仿宋" w:cs="仿宋"/>
          <w:color w:val="auto"/>
          <w:kern w:val="2"/>
          <w:sz w:val="24"/>
          <w:szCs w:val="24"/>
          <w:highlight w:val="none"/>
          <w:lang w:val="en-US" w:eastAsia="zh-CN"/>
        </w:rPr>
        <w:t>20万元的，双方另协商解决；</w:t>
      </w:r>
      <w:r>
        <w:rPr>
          <w:rFonts w:hint="eastAsia" w:ascii="仿宋_GB2312" w:hAnsi="仿宋" w:eastAsia="仿宋_GB2312" w:cs="仿宋"/>
          <w:sz w:val="24"/>
          <w:szCs w:val="24"/>
          <w:highlight w:val="none"/>
          <w:lang w:val="en-US" w:eastAsia="zh-CN"/>
        </w:rPr>
        <w:fldChar w:fldCharType="begin"/>
      </w:r>
      <w:r>
        <w:rPr>
          <w:rFonts w:hint="eastAsia" w:ascii="仿宋_GB2312" w:hAnsi="仿宋" w:eastAsia="仿宋_GB2312" w:cs="仿宋"/>
          <w:sz w:val="24"/>
          <w:szCs w:val="24"/>
          <w:highlight w:val="none"/>
          <w:lang w:val="en-US" w:eastAsia="zh-CN"/>
        </w:rPr>
        <w:instrText xml:space="preserve"> = 8 \* GB3 \* MERGEFORMAT </w:instrText>
      </w:r>
      <w:r>
        <w:rPr>
          <w:rFonts w:hint="eastAsia" w:ascii="仿宋_GB2312" w:hAnsi="仿宋" w:eastAsia="仿宋_GB2312" w:cs="仿宋"/>
          <w:sz w:val="24"/>
          <w:szCs w:val="24"/>
          <w:highlight w:val="none"/>
          <w:lang w:val="en-US" w:eastAsia="zh-CN"/>
        </w:rPr>
        <w:fldChar w:fldCharType="separate"/>
      </w:r>
      <w:r>
        <w:rPr>
          <w:highlight w:val="none"/>
        </w:rPr>
        <w:t>⑧</w:t>
      </w:r>
      <w:r>
        <w:rPr>
          <w:rFonts w:hint="eastAsia" w:ascii="仿宋_GB2312" w:hAnsi="仿宋" w:eastAsia="仿宋_GB2312" w:cs="仿宋"/>
          <w:sz w:val="24"/>
          <w:szCs w:val="24"/>
          <w:highlight w:val="none"/>
          <w:lang w:val="en-US" w:eastAsia="zh-CN"/>
        </w:rPr>
        <w:fldChar w:fldCharType="end"/>
      </w:r>
      <w:r>
        <w:rPr>
          <w:rFonts w:hint="eastAsia" w:ascii="仿宋_GB2312" w:hAnsi="仿宋" w:eastAsia="仿宋_GB2312" w:cs="仿宋"/>
          <w:sz w:val="24"/>
          <w:szCs w:val="24"/>
          <w:highlight w:val="none"/>
          <w:lang w:val="en-US" w:eastAsia="zh-CN"/>
        </w:rPr>
        <w:t>合同期间采购人落实的其他相关事宜。</w:t>
      </w:r>
      <w:r>
        <w:rPr>
          <w:rFonts w:hint="eastAsia" w:ascii="仿宋_GB2312" w:hAnsi="仿宋" w:eastAsia="仿宋_GB2312" w:cs="仿宋"/>
          <w:sz w:val="24"/>
          <w:szCs w:val="24"/>
          <w:highlight w:val="none"/>
        </w:rPr>
        <w:t>详细内容见招标文件。供应商可点击本公告下方“浏览采购文件”查看采购需求。</w:t>
      </w:r>
    </w:p>
    <w:p w14:paraId="640493AC">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备注：</w:t>
      </w:r>
    </w:p>
    <w:p w14:paraId="3A164DF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sz w:val="24"/>
          <w:szCs w:val="24"/>
          <w:highlight w:val="none"/>
        </w:rPr>
      </w:pPr>
      <w:r>
        <w:rPr>
          <w:rFonts w:hint="eastAsia" w:ascii="仿宋_GB2312" w:hAnsi="仿宋" w:eastAsia="仿宋_GB2312" w:cs="仿宋"/>
          <w:sz w:val="24"/>
          <w:szCs w:val="24"/>
          <w:highlight w:val="none"/>
        </w:rPr>
        <w:t>合同履约期限：</w:t>
      </w:r>
      <w:r>
        <w:rPr>
          <w:rFonts w:hint="eastAsia" w:ascii="仿宋_GB2312" w:hAnsi="仿宋" w:eastAsia="仿宋_GB2312" w:cs="仿宋"/>
          <w:kern w:val="0"/>
          <w:sz w:val="24"/>
          <w:szCs w:val="24"/>
          <w:highlight w:val="none"/>
          <w:lang w:val="en-US" w:eastAsia="zh-CN" w:bidi="ar-SA"/>
        </w:rPr>
        <w:t>整体服务期为3年。合同采取“2+1”模式，前2年为质保期，第3年为正常养护期，即第一轮合同为2年，该合同期内每年年度考核评定为优秀，方可签订第3年合同。考核办法现根据杭钱综执【2023】48号执行（详见招标文件；合同期内若出台新的考核办法，考核标准，则按照新的考核办法执行），具体养护开始时间为开标后按采购人明确时间为准。</w:t>
      </w:r>
    </w:p>
    <w:p w14:paraId="54361EB7">
      <w:pPr>
        <w:pStyle w:val="40"/>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本项目（是）接受联合体投标。</w:t>
      </w:r>
    </w:p>
    <w:p w14:paraId="51CC92BC">
      <w:pPr>
        <w:pStyle w:val="40"/>
        <w:adjustRightInd w:val="0"/>
        <w:snapToGrid w:val="0"/>
        <w:spacing w:beforeAutospacing="0" w:afterAutospacing="0" w:line="360" w:lineRule="auto"/>
        <w:jc w:val="both"/>
        <w:rPr>
          <w:rFonts w:ascii="仿宋_GB2312" w:hAnsi="仿宋" w:eastAsia="仿宋_GB2312" w:cs="仿宋"/>
          <w:b/>
          <w:bCs/>
          <w:sz w:val="24"/>
          <w:szCs w:val="24"/>
          <w:highlight w:val="none"/>
        </w:rPr>
      </w:pPr>
      <w:r>
        <w:rPr>
          <w:rFonts w:hint="eastAsia" w:ascii="仿宋_GB2312" w:hAnsi="仿宋" w:eastAsia="仿宋_GB2312" w:cs="仿宋"/>
          <w:b/>
          <w:bCs/>
          <w:sz w:val="24"/>
          <w:szCs w:val="24"/>
          <w:highlight w:val="none"/>
        </w:rPr>
        <w:t>二、申请人的资格要求</w:t>
      </w:r>
    </w:p>
    <w:p w14:paraId="1B3CD9A8">
      <w:pPr>
        <w:spacing w:line="360" w:lineRule="auto"/>
        <w:ind w:firstLine="480"/>
        <w:rPr>
          <w:rFonts w:ascii="仿宋_GB2312" w:hAnsi="仿宋" w:eastAsia="仿宋_GB2312" w:cs="仿宋"/>
          <w:snapToGrid w:val="0"/>
          <w:kern w:val="28"/>
          <w:sz w:val="24"/>
          <w:szCs w:val="20"/>
          <w:highlight w:val="none"/>
        </w:rPr>
      </w:pPr>
      <w:r>
        <w:rPr>
          <w:rFonts w:hint="eastAsia" w:ascii="仿宋_GB2312" w:hAnsi="仿宋" w:eastAsia="仿宋_GB2312" w:cs="仿宋"/>
          <w:snapToGrid w:val="0"/>
          <w:kern w:val="28"/>
          <w:sz w:val="24"/>
          <w:szCs w:val="20"/>
          <w:highlight w:val="none"/>
        </w:rPr>
        <w:t xml:space="preserve">1. </w:t>
      </w:r>
      <w:bookmarkStart w:id="2" w:name="OLE_LINK6"/>
      <w:bookmarkStart w:id="3" w:name="OLE_LINK7"/>
      <w:r>
        <w:rPr>
          <w:rFonts w:hint="eastAsia" w:ascii="仿宋_GB2312" w:hAnsi="仿宋" w:eastAsia="仿宋_GB2312"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2"/>
      <w:bookmarkEnd w:id="3"/>
    </w:p>
    <w:p w14:paraId="63E4567F">
      <w:pPr>
        <w:spacing w:line="360" w:lineRule="auto"/>
        <w:ind w:firstLine="480"/>
        <w:rPr>
          <w:rFonts w:ascii="仿宋_GB2312" w:hAnsi="仿宋" w:eastAsia="仿宋_GB2312" w:cs="仿宋"/>
          <w:snapToGrid w:val="0"/>
          <w:kern w:val="28"/>
          <w:sz w:val="24"/>
          <w:szCs w:val="20"/>
          <w:highlight w:val="none"/>
        </w:rPr>
      </w:pPr>
      <w:bookmarkStart w:id="4" w:name="OLE_LINK8"/>
      <w:r>
        <w:rPr>
          <w:rFonts w:hint="eastAsia" w:ascii="仿宋_GB2312" w:hAnsi="仿宋" w:eastAsia="仿宋_GB2312" w:cs="仿宋"/>
          <w:snapToGrid w:val="0"/>
          <w:kern w:val="28"/>
          <w:sz w:val="24"/>
          <w:szCs w:val="20"/>
          <w:highlight w:val="none"/>
        </w:rPr>
        <w:t>2.落实政府采购政策需满足的资格要求：</w:t>
      </w:r>
      <w:r>
        <w:rPr>
          <w:rFonts w:hint="eastAsia" w:ascii="仿宋_GB2312" w:hAnsi="仿宋" w:eastAsia="仿宋_GB2312" w:cs="仿宋"/>
          <w:sz w:val="24"/>
          <w:highlight w:val="none"/>
        </w:rPr>
        <w:t>服务全部由符合政策要求的中小企业承接，提供中小企业声明函</w:t>
      </w:r>
      <w:r>
        <w:rPr>
          <w:rFonts w:hint="eastAsia" w:ascii="仿宋_GB2312" w:hAnsi="仿宋" w:eastAsia="仿宋_GB2312" w:cs="仿宋"/>
          <w:snapToGrid w:val="0"/>
          <w:kern w:val="28"/>
          <w:sz w:val="24"/>
          <w:szCs w:val="20"/>
          <w:highlight w:val="none"/>
        </w:rPr>
        <w:t>。</w:t>
      </w:r>
    </w:p>
    <w:bookmarkEnd w:id="4"/>
    <w:p w14:paraId="4933640D">
      <w:pPr>
        <w:spacing w:line="360" w:lineRule="auto"/>
        <w:ind w:firstLine="480"/>
        <w:rPr>
          <w:rFonts w:ascii="仿宋_GB2312" w:hAnsi="仿宋" w:eastAsia="仿宋_GB2312" w:cs="仿宋"/>
          <w:snapToGrid w:val="0"/>
          <w:kern w:val="28"/>
          <w:sz w:val="24"/>
          <w:szCs w:val="20"/>
          <w:highlight w:val="none"/>
        </w:rPr>
      </w:pPr>
      <w:r>
        <w:rPr>
          <w:rFonts w:hint="eastAsia" w:ascii="仿宋_GB2312" w:hAnsi="仿宋" w:eastAsia="仿宋_GB2312" w:cs="仿宋"/>
          <w:snapToGrid w:val="0"/>
          <w:kern w:val="28"/>
          <w:sz w:val="24"/>
          <w:szCs w:val="20"/>
          <w:highlight w:val="none"/>
        </w:rPr>
        <w:t>3.本项目的特定资格要求：具有机电工程施工总承包三级及以上或城市及道路照明工程专业承包三级及以上资质，且具有承装（修、试）电力设施许可证</w:t>
      </w:r>
      <w:r>
        <w:rPr>
          <w:rFonts w:hint="eastAsia" w:ascii="仿宋_GB2312" w:hAnsi="仿宋" w:eastAsia="仿宋_GB2312" w:cs="仿宋"/>
          <w:snapToGrid w:val="0"/>
          <w:kern w:val="28"/>
          <w:sz w:val="24"/>
          <w:szCs w:val="20"/>
          <w:highlight w:val="none"/>
          <w:lang w:eastAsia="zh-CN"/>
        </w:rPr>
        <w:t>；</w:t>
      </w:r>
      <w:r>
        <w:rPr>
          <w:rFonts w:hint="eastAsia" w:ascii="仿宋_GB2312" w:hAnsi="仿宋" w:eastAsia="仿宋_GB2312" w:cs="仿宋"/>
          <w:snapToGrid w:val="0"/>
          <w:kern w:val="28"/>
          <w:sz w:val="24"/>
          <w:szCs w:val="20"/>
          <w:highlight w:val="none"/>
        </w:rPr>
        <w:t>该特定条件的法律法规依据：《建筑业企业资质标准》、《承装（修、试）电力设施许可证管理办法》。</w:t>
      </w:r>
    </w:p>
    <w:p w14:paraId="03035450">
      <w:pPr>
        <w:pStyle w:val="40"/>
        <w:adjustRightInd w:val="0"/>
        <w:snapToGrid w:val="0"/>
        <w:spacing w:beforeAutospacing="0" w:afterAutospacing="0" w:line="360" w:lineRule="auto"/>
        <w:ind w:firstLine="482" w:firstLineChars="200"/>
        <w:rPr>
          <w:rFonts w:ascii="仿宋_GB2312" w:hAnsi="仿宋" w:eastAsia="仿宋_GB2312" w:cs="仿宋"/>
          <w:sz w:val="24"/>
          <w:szCs w:val="24"/>
          <w:highlight w:val="none"/>
        </w:rPr>
      </w:pPr>
      <w:r>
        <w:rPr>
          <w:rFonts w:hint="eastAsia" w:ascii="仿宋_GB2312" w:hAnsi="仿宋" w:eastAsia="仿宋_GB2312" w:cs="仿宋"/>
          <w:b/>
          <w:bCs/>
          <w:sz w:val="24"/>
          <w:szCs w:val="24"/>
          <w:highlight w:val="none"/>
        </w:rPr>
        <w:t>三、获取招标文件</w:t>
      </w:r>
    </w:p>
    <w:p w14:paraId="7B3D71E4">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时间：</w:t>
      </w:r>
      <w:r>
        <w:rPr>
          <w:rFonts w:hint="eastAsia" w:ascii="仿宋_GB2312" w:hAnsi="仿宋" w:eastAsia="仿宋_GB2312" w:cs="仿宋"/>
          <w:sz w:val="24"/>
          <w:highlight w:val="none"/>
        </w:rPr>
        <w:t>/至</w:t>
      </w:r>
      <w:r>
        <w:rPr>
          <w:rFonts w:hint="eastAsia" w:ascii="仿宋_GB2312" w:hAnsi="仿宋" w:eastAsia="仿宋_GB2312" w:cs="仿宋"/>
          <w:sz w:val="24"/>
          <w:highlight w:val="none"/>
          <w:u w:val="single"/>
        </w:rPr>
        <w:t>2025年</w:t>
      </w:r>
      <w:r>
        <w:rPr>
          <w:rFonts w:hint="eastAsia" w:ascii="仿宋_GB2312" w:hAnsi="仿宋" w:eastAsia="仿宋_GB2312" w:cs="仿宋"/>
          <w:sz w:val="24"/>
          <w:highlight w:val="none"/>
          <w:u w:val="single"/>
          <w:lang w:val="en-US" w:eastAsia="zh-CN"/>
        </w:rPr>
        <w:t>06月25日</w:t>
      </w:r>
      <w:r>
        <w:rPr>
          <w:rFonts w:hint="eastAsia" w:ascii="仿宋_GB2312" w:hAnsi="仿宋" w:eastAsia="仿宋_GB2312" w:cs="仿宋"/>
          <w:sz w:val="24"/>
          <w:highlight w:val="none"/>
        </w:rPr>
        <w:t>，每天上午00:00至12:00 ，下午12:00至23:59（北京时间，线上获取法定节假日均可，线下获取文件法定节假日除外）</w:t>
      </w:r>
    </w:p>
    <w:p w14:paraId="15322272">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地点（网址）：</w:t>
      </w:r>
      <w:r>
        <w:rPr>
          <w:rFonts w:hint="eastAsia" w:ascii="仿宋_GB2312" w:hAnsi="仿宋" w:eastAsia="仿宋_GB2312" w:cs="仿宋"/>
          <w:bCs/>
          <w:sz w:val="24"/>
          <w:highlight w:val="none"/>
        </w:rPr>
        <w:t>政采云平台线上获取</w:t>
      </w:r>
      <w:r>
        <w:rPr>
          <w:rFonts w:hint="eastAsia" w:ascii="仿宋_GB2312" w:hAnsi="仿宋" w:eastAsia="仿宋_GB2312" w:cs="仿宋"/>
          <w:sz w:val="24"/>
          <w:highlight w:val="none"/>
        </w:rPr>
        <w:t xml:space="preserve"> </w:t>
      </w:r>
    </w:p>
    <w:p w14:paraId="403F3485">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方式：</w:t>
      </w:r>
      <w:r>
        <w:rPr>
          <w:rFonts w:hint="eastAsia" w:ascii="仿宋_GB2312" w:hAnsi="仿宋" w:eastAsia="仿宋_GB2312" w:cs="仿宋"/>
          <w:sz w:val="24"/>
          <w:highlight w:val="none"/>
        </w:rPr>
        <w:t xml:space="preserve">供应商登录政采云平台https://www.zcygov.cn/在线申请获取采购文件（进入“项目采购”应用，在获取采购文件菜单中选择项目，申请获取采购文件） </w:t>
      </w:r>
    </w:p>
    <w:p w14:paraId="04F01258">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售价（元）：</w:t>
      </w:r>
      <w:r>
        <w:rPr>
          <w:rFonts w:hint="eastAsia" w:ascii="仿宋_GB2312" w:hAnsi="仿宋" w:eastAsia="仿宋_GB2312" w:cs="仿宋"/>
          <w:sz w:val="24"/>
          <w:highlight w:val="none"/>
        </w:rPr>
        <w:t xml:space="preserve">0 </w:t>
      </w:r>
      <w:r>
        <w:rPr>
          <w:rFonts w:hint="eastAsia" w:ascii="仿宋_GB2312" w:hAnsi="仿宋" w:eastAsia="仿宋_GB2312" w:cs="仿宋"/>
          <w:sz w:val="24"/>
          <w:highlight w:val="none"/>
        </w:rPr>
        <w:tab/>
      </w:r>
    </w:p>
    <w:p w14:paraId="4C860CB1">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rPr>
        <w:t>四、提交投标文件截止时间、开标时间和地点</w:t>
      </w:r>
    </w:p>
    <w:p w14:paraId="101D6266">
      <w:pPr>
        <w:spacing w:line="360" w:lineRule="auto"/>
        <w:ind w:firstLine="482" w:firstLineChars="200"/>
        <w:rPr>
          <w:rFonts w:ascii="仿宋_GB2312" w:hAnsi="仿宋" w:eastAsia="仿宋_GB2312" w:cs="仿宋"/>
          <w:sz w:val="24"/>
          <w:highlight w:val="none"/>
        </w:rPr>
      </w:pPr>
      <w:r>
        <w:rPr>
          <w:rFonts w:hint="eastAsia" w:ascii="仿宋_GB2312" w:hAnsi="仿宋" w:eastAsia="仿宋_GB2312" w:cs="仿宋"/>
          <w:b/>
          <w:sz w:val="24"/>
          <w:highlight w:val="none"/>
        </w:rPr>
        <w:t>提交投标文件截止时间：</w:t>
      </w:r>
      <w:r>
        <w:rPr>
          <w:rFonts w:hint="eastAsia" w:ascii="仿宋_GB2312" w:hAnsi="仿宋" w:eastAsia="仿宋_GB2312" w:cs="仿宋"/>
          <w:sz w:val="24"/>
          <w:highlight w:val="none"/>
          <w:u w:val="single"/>
        </w:rPr>
        <w:t xml:space="preserve"> 2025年</w:t>
      </w:r>
      <w:r>
        <w:rPr>
          <w:rFonts w:hint="eastAsia" w:ascii="仿宋_GB2312" w:hAnsi="仿宋" w:eastAsia="仿宋_GB2312" w:cs="仿宋"/>
          <w:sz w:val="24"/>
          <w:highlight w:val="none"/>
          <w:u w:val="single"/>
          <w:lang w:val="en-US" w:eastAsia="zh-CN"/>
        </w:rPr>
        <w:t>06月25日</w:t>
      </w:r>
      <w:r>
        <w:rPr>
          <w:rFonts w:hint="eastAsia" w:ascii="仿宋_GB2312" w:hAnsi="仿宋" w:eastAsia="仿宋_GB2312" w:cs="仿宋"/>
          <w:sz w:val="24"/>
          <w:highlight w:val="none"/>
          <w:u w:val="single"/>
        </w:rPr>
        <w:t>09:30</w:t>
      </w:r>
      <w:r>
        <w:rPr>
          <w:rFonts w:hint="eastAsia" w:ascii="仿宋_GB2312" w:hAnsi="仿宋" w:eastAsia="仿宋_GB2312" w:cs="仿宋"/>
          <w:sz w:val="24"/>
          <w:highlight w:val="none"/>
        </w:rPr>
        <w:t>（北京时间）</w:t>
      </w:r>
    </w:p>
    <w:p w14:paraId="388BE502">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投标地点（网址）：请登录政采云投标客户端投标</w:t>
      </w:r>
      <w:r>
        <w:rPr>
          <w:rFonts w:hint="eastAsia" w:ascii="仿宋_GB2312" w:hAnsi="仿宋" w:eastAsia="仿宋_GB2312" w:cs="仿宋"/>
          <w:sz w:val="24"/>
          <w:highlight w:val="none"/>
        </w:rPr>
        <w:t xml:space="preserve"> </w:t>
      </w:r>
    </w:p>
    <w:p w14:paraId="2E5FD730">
      <w:pPr>
        <w:spacing w:line="360" w:lineRule="auto"/>
        <w:ind w:firstLine="482" w:firstLineChars="200"/>
        <w:rPr>
          <w:rFonts w:ascii="仿宋_GB2312" w:hAnsi="仿宋" w:eastAsia="仿宋_GB2312" w:cs="仿宋"/>
          <w:bCs/>
          <w:sz w:val="24"/>
          <w:highlight w:val="none"/>
          <w:u w:val="single"/>
        </w:rPr>
      </w:pPr>
      <w:r>
        <w:rPr>
          <w:rFonts w:hint="eastAsia" w:ascii="仿宋_GB2312" w:hAnsi="仿宋" w:eastAsia="仿宋_GB2312" w:cs="仿宋"/>
          <w:b/>
          <w:sz w:val="24"/>
          <w:highlight w:val="none"/>
        </w:rPr>
        <w:t>开标时间：</w:t>
      </w:r>
      <w:r>
        <w:rPr>
          <w:rFonts w:hint="eastAsia" w:ascii="仿宋_GB2312" w:hAnsi="仿宋" w:eastAsia="仿宋_GB2312" w:cs="仿宋"/>
          <w:sz w:val="24"/>
          <w:highlight w:val="none"/>
          <w:u w:val="single"/>
        </w:rPr>
        <w:t>2025年</w:t>
      </w:r>
      <w:r>
        <w:rPr>
          <w:rFonts w:hint="eastAsia" w:ascii="仿宋_GB2312" w:hAnsi="仿宋" w:eastAsia="仿宋_GB2312" w:cs="仿宋"/>
          <w:sz w:val="24"/>
          <w:highlight w:val="none"/>
          <w:u w:val="single"/>
          <w:lang w:val="en-US" w:eastAsia="zh-CN"/>
        </w:rPr>
        <w:t>06月25日</w:t>
      </w:r>
      <w:r>
        <w:rPr>
          <w:rFonts w:hint="eastAsia" w:ascii="仿宋_GB2312" w:hAnsi="仿宋" w:eastAsia="仿宋_GB2312" w:cs="仿宋"/>
          <w:sz w:val="24"/>
          <w:highlight w:val="none"/>
          <w:u w:val="single"/>
        </w:rPr>
        <w:t>09:30</w:t>
      </w:r>
    </w:p>
    <w:p w14:paraId="6E65DC1E">
      <w:pPr>
        <w:spacing w:line="360" w:lineRule="auto"/>
        <w:ind w:firstLine="482" w:firstLineChars="20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14:textFill>
            <w14:solidFill>
              <w14:schemeClr w14:val="tx1"/>
            </w14:solidFill>
          </w14:textFill>
        </w:rPr>
        <w:t>开标地点（网址）：</w:t>
      </w:r>
      <w:r>
        <w:rPr>
          <w:rFonts w:hint="eastAsia" w:ascii="仿宋_GB2312" w:hAnsi="仿宋" w:eastAsia="仿宋_GB2312" w:cs="仿宋"/>
          <w:color w:val="000000" w:themeColor="text1"/>
          <w:sz w:val="24"/>
          <w:highlight w:val="none"/>
          <w14:textFill>
            <w14:solidFill>
              <w14:schemeClr w14:val="tx1"/>
            </w14:solidFill>
          </w14:textFill>
        </w:rPr>
        <w:t>政采云平台（https://www.zcygov.cn/）</w:t>
      </w:r>
    </w:p>
    <w:p w14:paraId="6B11B550">
      <w:pPr>
        <w:spacing w:line="360" w:lineRule="auto"/>
        <w:ind w:firstLine="1446" w:firstLineChars="60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b/>
          <w:bCs/>
          <w:color w:val="000000" w:themeColor="text1"/>
          <w:sz w:val="24"/>
          <w:highlight w:val="none"/>
          <w14:textFill>
            <w14:solidFill>
              <w14:schemeClr w14:val="tx1"/>
            </w14:solidFill>
          </w14:textFill>
        </w:rPr>
        <w:t>（线下）：</w:t>
      </w:r>
      <w:r>
        <w:rPr>
          <w:rFonts w:hint="eastAsia" w:ascii="仿宋_GB2312" w:hAnsi="仿宋" w:eastAsia="仿宋_GB2312" w:cs="仿宋"/>
          <w:color w:val="000000" w:themeColor="text1"/>
          <w:sz w:val="24"/>
          <w:highlight w:val="none"/>
          <w14:textFill>
            <w14:solidFill>
              <w14:schemeClr w14:val="tx1"/>
            </w14:solidFill>
          </w14:textFill>
        </w:rPr>
        <w:t>杭州市钱塘区金沙大道600号东楼6楼</w:t>
      </w:r>
      <w:r>
        <w:rPr>
          <w:rFonts w:hint="eastAsia" w:ascii="仿宋_GB2312" w:hAnsi="仿宋" w:eastAsia="仿宋_GB2312" w:cs="仿宋"/>
          <w:color w:val="000000" w:themeColor="text1"/>
          <w:sz w:val="24"/>
          <w:highlight w:val="none"/>
          <w:lang w:val="en-US" w:eastAsia="zh-CN"/>
          <w14:textFill>
            <w14:solidFill>
              <w14:schemeClr w14:val="tx1"/>
            </w14:solidFill>
          </w14:textFill>
        </w:rPr>
        <w:t>5</w:t>
      </w:r>
      <w:r>
        <w:rPr>
          <w:rFonts w:hint="eastAsia" w:ascii="仿宋_GB2312" w:hAnsi="仿宋" w:eastAsia="仿宋_GB2312" w:cs="仿宋"/>
          <w:color w:val="000000" w:themeColor="text1"/>
          <w:sz w:val="24"/>
          <w:highlight w:val="none"/>
          <w14:textFill>
            <w14:solidFill>
              <w14:schemeClr w14:val="tx1"/>
            </w14:solidFill>
          </w14:textFill>
        </w:rPr>
        <w:t>号开标室</w:t>
      </w:r>
    </w:p>
    <w:p w14:paraId="41AB9D0B">
      <w:pPr>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lang w:val="en-US" w:eastAsia="zh-CN"/>
          <w14:textFill>
            <w14:solidFill>
              <w14:schemeClr w14:val="tx1"/>
            </w14:solidFill>
          </w14:textFill>
        </w:rPr>
        <w:t>五</w:t>
      </w:r>
      <w:r>
        <w:rPr>
          <w:rFonts w:hint="eastAsia" w:ascii="仿宋_GB2312" w:hAnsi="仿宋" w:eastAsia="仿宋_GB2312" w:cs="仿宋"/>
          <w:b/>
          <w:color w:val="000000" w:themeColor="text1"/>
          <w:sz w:val="24"/>
          <w:highlight w:val="none"/>
          <w14:textFill>
            <w14:solidFill>
              <w14:schemeClr w14:val="tx1"/>
            </w14:solidFill>
          </w14:textFill>
        </w:rPr>
        <w:t xml:space="preserve">、公告期限 </w:t>
      </w:r>
    </w:p>
    <w:p w14:paraId="0F50E464">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自本公告发布之日起5个工作日。</w:t>
      </w:r>
    </w:p>
    <w:p w14:paraId="7979B30B">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lang w:val="en-US" w:eastAsia="zh-CN"/>
        </w:rPr>
        <w:t>六</w:t>
      </w:r>
      <w:r>
        <w:rPr>
          <w:rFonts w:hint="eastAsia" w:ascii="仿宋_GB2312" w:hAnsi="仿宋" w:eastAsia="仿宋_GB2312" w:cs="仿宋"/>
          <w:b/>
          <w:sz w:val="24"/>
          <w:highlight w:val="none"/>
        </w:rPr>
        <w:t>、其他补充事宜</w:t>
      </w:r>
    </w:p>
    <w:p w14:paraId="2A7D6AEA">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F543DBA">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D1F1A4">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132B78">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4.其他事项：</w:t>
      </w:r>
    </w:p>
    <w:p w14:paraId="0C30EC77">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（1）需要落实的政府采购政策：包括节约资源、保护环境、支持创新、促进中小企业发展等。详见招标文件的第二部分总则。</w:t>
      </w:r>
    </w:p>
    <w:p w14:paraId="1E61CE7F">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w:t>
      </w:r>
      <w:r>
        <w:rPr>
          <w:rFonts w:hint="eastAsia" w:ascii="仿宋_GB2312" w:hAnsi="仿宋" w:eastAsia="仿宋_GB2312" w:cs="仿宋"/>
          <w:sz w:val="24"/>
          <w:highlight w:val="none"/>
          <w:lang w:val="en-US" w:eastAsia="zh-CN"/>
        </w:rPr>
        <w:t>前附表</w:t>
      </w:r>
      <w:r>
        <w:rPr>
          <w:rFonts w:hint="eastAsia" w:ascii="仿宋_GB2312" w:hAnsi="仿宋" w:eastAsia="仿宋_GB2312" w:cs="仿宋"/>
          <w:sz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4C28108">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highlight w:val="none"/>
        </w:rPr>
        <w:t>（3）</w:t>
      </w:r>
      <w:r>
        <w:rPr>
          <w:rFonts w:hint="eastAsia" w:ascii="仿宋_GB2312" w:hAnsi="仿宋" w:eastAsia="仿宋_GB2312" w:cs="仿宋"/>
          <w:sz w:val="24"/>
          <w:szCs w:val="24"/>
          <w:highlight w:val="none"/>
        </w:rPr>
        <w:t>钱塘区政府采购支持中小企业信用融资：</w:t>
      </w:r>
    </w:p>
    <w:p w14:paraId="41F19D75">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为支持和促进中小企业发展</w:t>
      </w:r>
      <w:bookmarkStart w:id="165" w:name="_GoBack"/>
      <w:bookmarkEnd w:id="165"/>
      <w:r>
        <w:rPr>
          <w:rFonts w:hint="eastAsia" w:ascii="仿宋_GB2312" w:hAnsi="仿宋" w:eastAsia="仿宋_GB2312" w:cs="仿宋"/>
          <w:sz w:val="24"/>
          <w:szCs w:val="24"/>
          <w:highlight w:val="none"/>
        </w:rPr>
        <w:t>，进一步发挥政府采购政策功能，根据《杭州市政府采购支持中小企业信用融资管理办法》、《关于钱塘区政府采购支持中小企业信用融资有关事项的通知》，现将相关事项通知如下：</w:t>
      </w:r>
    </w:p>
    <w:p w14:paraId="13968B66">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A.适用对象：在浙江“政采云”平台注册入库，并取得钱塘区政府采购合同的中小企业供应商。</w:t>
      </w:r>
    </w:p>
    <w:p w14:paraId="4EF7E669">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14:paraId="25B4C0D3">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69934002">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912170">
      <w:pPr>
        <w:pStyle w:val="40"/>
        <w:adjustRightInd w:val="0"/>
        <w:snapToGrid w:val="0"/>
        <w:spacing w:beforeAutospacing="0" w:afterAutospacing="0"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（5）本项目采购文件公告期限为本公告发布之日起5个工作日。</w:t>
      </w:r>
    </w:p>
    <w:p w14:paraId="6DBA8EBB">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b/>
          <w:bCs/>
          <w:sz w:val="24"/>
          <w:szCs w:val="24"/>
          <w:highlight w:val="none"/>
          <w:lang w:val="en-US" w:eastAsia="zh-CN"/>
        </w:rPr>
        <w:t>七</w:t>
      </w:r>
      <w:r>
        <w:rPr>
          <w:rFonts w:hint="eastAsia" w:ascii="仿宋_GB2312" w:hAnsi="仿宋" w:eastAsia="仿宋_GB2312" w:cs="仿宋"/>
          <w:b/>
          <w:bCs/>
          <w:sz w:val="24"/>
          <w:szCs w:val="24"/>
          <w:highlight w:val="none"/>
        </w:rPr>
        <w:t>、对本次采购提出询问、质疑、投诉，请按以下方式联系　　　</w:t>
      </w:r>
      <w:r>
        <w:rPr>
          <w:rFonts w:hint="eastAsia" w:ascii="仿宋_GB2312" w:hAnsi="仿宋" w:eastAsia="仿宋_GB2312" w:cs="仿宋"/>
          <w:sz w:val="24"/>
          <w:szCs w:val="24"/>
          <w:highlight w:val="none"/>
        </w:rPr>
        <w:t>　　　　　　　　　</w:t>
      </w:r>
    </w:p>
    <w:p w14:paraId="6F463DB1">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w:t>
      </w:r>
      <w:r>
        <w:rPr>
          <w:rFonts w:hint="eastAsia" w:ascii="仿宋_GB2312" w:hAnsi="仿宋" w:eastAsia="仿宋_GB2312" w:cs="仿宋"/>
          <w:sz w:val="24"/>
          <w:szCs w:val="24"/>
          <w:highlight w:val="none"/>
          <w:lang w:val="en-US" w:eastAsia="zh-CN"/>
        </w:rPr>
        <w:t>.</w:t>
      </w:r>
      <w:r>
        <w:rPr>
          <w:rFonts w:hint="eastAsia" w:ascii="仿宋_GB2312" w:hAnsi="仿宋" w:eastAsia="仿宋_GB2312" w:cs="仿宋"/>
          <w:sz w:val="24"/>
          <w:szCs w:val="24"/>
          <w:highlight w:val="none"/>
        </w:rPr>
        <w:t>采购人信息</w:t>
      </w:r>
    </w:p>
    <w:p w14:paraId="5A84199C">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名称：</w:t>
      </w:r>
      <w:r>
        <w:rPr>
          <w:rFonts w:hint="eastAsia" w:ascii="仿宋_GB2312" w:hAnsi="仿宋" w:eastAsia="仿宋_GB2312" w:cs="仿宋"/>
          <w:sz w:val="24"/>
          <w:szCs w:val="24"/>
          <w:highlight w:val="none"/>
          <w:lang w:eastAsia="zh-CN"/>
        </w:rPr>
        <w:t>杭州市钱塘区综合行政执法局</w:t>
      </w:r>
      <w:r>
        <w:rPr>
          <w:rFonts w:hint="eastAsia" w:ascii="仿宋_GB2312" w:hAnsi="仿宋" w:eastAsia="仿宋_GB2312" w:cs="仿宋"/>
          <w:sz w:val="24"/>
          <w:szCs w:val="24"/>
          <w:highlight w:val="none"/>
        </w:rPr>
        <w:t>　　　　　　　　　</w:t>
      </w:r>
    </w:p>
    <w:p w14:paraId="064E9B35">
      <w:pPr>
        <w:pStyle w:val="40"/>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_GB2312" w:hAnsi="仿宋" w:eastAsia="仿宋_GB2312" w:cs="仿宋"/>
          <w:sz w:val="24"/>
          <w:szCs w:val="24"/>
          <w:highlight w:val="none"/>
        </w:rPr>
        <w:t xml:space="preserve">    </w:t>
      </w:r>
      <w:r>
        <w:rPr>
          <w:rFonts w:hint="eastAsia" w:ascii="仿宋" w:hAnsi="仿宋" w:eastAsia="仿宋" w:cs="仿宋"/>
          <w:color w:val="auto"/>
          <w:sz w:val="24"/>
          <w:szCs w:val="24"/>
          <w:highlight w:val="none"/>
        </w:rPr>
        <w:t>地址：杭州市钱塘区</w:t>
      </w:r>
      <w:r>
        <w:rPr>
          <w:rFonts w:hint="eastAsia" w:ascii="仿宋" w:hAnsi="仿宋" w:eastAsia="仿宋" w:cs="仿宋"/>
          <w:color w:val="auto"/>
          <w:sz w:val="24"/>
          <w:szCs w:val="24"/>
          <w:highlight w:val="none"/>
          <w:lang w:val="en-US" w:eastAsia="zh-CN"/>
        </w:rPr>
        <w:t>松合路369号</w:t>
      </w:r>
    </w:p>
    <w:p w14:paraId="0C5FB254">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14:paraId="6E2B96AD">
      <w:pPr>
        <w:pStyle w:val="40"/>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郑工 </w:t>
      </w:r>
      <w:r>
        <w:rPr>
          <w:rFonts w:hint="eastAsia" w:ascii="仿宋" w:hAnsi="仿宋" w:eastAsia="仿宋" w:cs="仿宋"/>
          <w:color w:val="auto"/>
          <w:sz w:val="24"/>
          <w:szCs w:val="24"/>
          <w:highlight w:val="none"/>
        </w:rPr>
        <w:t>　　　　　　　</w:t>
      </w:r>
    </w:p>
    <w:p w14:paraId="393AFA36">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w:t>
      </w:r>
      <w:r>
        <w:rPr>
          <w:rFonts w:hint="eastAsia" w:ascii="仿宋" w:hAnsi="仿宋" w:eastAsia="仿宋" w:cs="仿宋"/>
          <w:color w:val="auto"/>
          <w:sz w:val="24"/>
          <w:szCs w:val="24"/>
          <w:highlight w:val="none"/>
          <w:lang w:val="en-US" w:eastAsia="zh-CN"/>
        </w:rPr>
        <w:t>问）：0571-</w:t>
      </w:r>
      <w:r>
        <w:rPr>
          <w:rFonts w:hint="eastAsia" w:ascii="仿宋" w:hAnsi="仿宋" w:eastAsia="仿宋" w:cs="仿宋"/>
          <w:color w:val="auto"/>
          <w:sz w:val="24"/>
          <w:szCs w:val="24"/>
          <w:highlight w:val="none"/>
          <w:lang w:val="en-US" w:eastAsia="zh"/>
        </w:rPr>
        <w:t>86995056</w:t>
      </w:r>
      <w:r>
        <w:rPr>
          <w:rFonts w:hint="eastAsia" w:ascii="仿宋" w:hAnsi="仿宋" w:eastAsia="仿宋" w:cs="仿宋"/>
          <w:color w:val="auto"/>
          <w:sz w:val="24"/>
          <w:szCs w:val="24"/>
          <w:highlight w:val="none"/>
          <w:lang w:val="en-US" w:eastAsia="zh-CN"/>
        </w:rPr>
        <w:t xml:space="preserve"> </w:t>
      </w:r>
    </w:p>
    <w:p w14:paraId="7C5669BF">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质疑联系人：朱工</w:t>
      </w:r>
    </w:p>
    <w:p w14:paraId="0B91984D">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 xml:space="preserve">：0571-86933036 </w:t>
      </w:r>
      <w:r>
        <w:rPr>
          <w:rFonts w:hint="eastAsia" w:ascii="仿宋" w:hAnsi="仿宋" w:eastAsia="仿宋" w:cs="仿宋"/>
          <w:color w:val="auto"/>
          <w:sz w:val="24"/>
          <w:szCs w:val="24"/>
          <w:highlight w:val="none"/>
        </w:rPr>
        <w:t>（请通过以下路径在线提起质疑：政采云-项目采购-询问质疑投诉-质疑列表）</w:t>
      </w:r>
      <w:r>
        <w:rPr>
          <w:rFonts w:hint="eastAsia" w:ascii="仿宋_GB2312" w:hAnsi="仿宋" w:eastAsia="仿宋_GB2312" w:cs="仿宋"/>
          <w:sz w:val="24"/>
          <w:szCs w:val="24"/>
          <w:highlight w:val="none"/>
        </w:rPr>
        <w:t>　　　</w:t>
      </w:r>
    </w:p>
    <w:p w14:paraId="3AC8B0E0">
      <w:pPr>
        <w:pStyle w:val="40"/>
        <w:adjustRightInd w:val="0"/>
        <w:snapToGrid w:val="0"/>
        <w:spacing w:beforeAutospacing="0" w:afterAutospacing="0" w:line="360" w:lineRule="auto"/>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2.采购代理机构信息</w:t>
      </w:r>
    </w:p>
    <w:p w14:paraId="07B0D520">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名称：浙江国际招投标有限公司 　　　　　　　　　　　</w:t>
      </w:r>
    </w:p>
    <w:p w14:paraId="3B10D4DC">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地址：浙江省杭州市西湖区文三路90号东部软件园1号楼3楼 </w:t>
      </w:r>
    </w:p>
    <w:p w14:paraId="4F41F6EE">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传真： 0571-88473411   　</w:t>
      </w:r>
    </w:p>
    <w:p w14:paraId="4FFAD307">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项目联系人（询问）：唐稳 　   　　　　　　　　　　　</w:t>
      </w:r>
    </w:p>
    <w:p w14:paraId="794A2E31">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项目联系方式（询问）：0571-81061825 </w:t>
      </w:r>
    </w:p>
    <w:p w14:paraId="71336B9D">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质疑联系人：赵娟 </w:t>
      </w:r>
    </w:p>
    <w:p w14:paraId="43B935E6">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质疑联系方式：0571-81061819（请通过以下路径在线提起质疑：政采云-项目采购-询问质疑投诉-质疑列表）　</w:t>
      </w:r>
    </w:p>
    <w:p w14:paraId="0F2BD3C5">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w:t>
      </w:r>
      <w:r>
        <w:rPr>
          <w:rFonts w:hint="eastAsia" w:ascii="仿宋_GB2312" w:hAnsi="仿宋" w:eastAsia="仿宋_GB2312" w:cs="仿宋"/>
          <w:sz w:val="24"/>
          <w:szCs w:val="24"/>
          <w:highlight w:val="none"/>
          <w:lang w:val="en-US" w:eastAsia="zh-CN"/>
        </w:rPr>
        <w:t xml:space="preserve">  </w:t>
      </w:r>
      <w:r>
        <w:rPr>
          <w:rFonts w:hint="eastAsia" w:ascii="仿宋_GB2312" w:hAnsi="仿宋" w:eastAsia="仿宋_GB2312" w:cs="仿宋"/>
          <w:sz w:val="24"/>
          <w:szCs w:val="24"/>
          <w:highlight w:val="none"/>
        </w:rPr>
        <w:t xml:space="preserve"> 3.同级政府采购监督管理部门</w:t>
      </w:r>
    </w:p>
    <w:p w14:paraId="7BE170B5">
      <w:pPr>
        <w:pStyle w:val="40"/>
        <w:adjustRightInd w:val="0"/>
        <w:snapToGrid w:val="0"/>
        <w:spacing w:beforeAutospacing="0" w:afterAutospacing="0" w:line="360" w:lineRule="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名称：杭州市钱塘区财政局、浙江省政府采购行政裁决服务中心 (杭州)</w:t>
      </w:r>
    </w:p>
    <w:p w14:paraId="5595BB7C">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地址：杭州市上城区清泰街549号城建综合大楼11楼 (快递仅限ems或顺丰)             </w:t>
      </w:r>
    </w:p>
    <w:p w14:paraId="727D71F8">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传真：      </w:t>
      </w:r>
    </w:p>
    <w:p w14:paraId="50ECBDCA">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联 系 人：匡老师</w:t>
      </w:r>
    </w:p>
    <w:p w14:paraId="3013B15F">
      <w:pPr>
        <w:pStyle w:val="40"/>
        <w:adjustRightInd w:val="0"/>
        <w:snapToGrid w:val="0"/>
        <w:spacing w:beforeAutospacing="0" w:afterAutospacing="0" w:line="360" w:lineRule="auto"/>
        <w:ind w:firstLine="960" w:firstLineChars="4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监督投诉电话：0571-87807798  （仅限投诉事项）</w:t>
      </w:r>
    </w:p>
    <w:p w14:paraId="24782878">
      <w:pPr>
        <w:pStyle w:val="40"/>
        <w:adjustRightInd w:val="0"/>
        <w:snapToGrid w:val="0"/>
        <w:spacing w:beforeAutospacing="0" w:afterAutospacing="0" w:line="360" w:lineRule="auto"/>
        <w:rPr>
          <w:rFonts w:ascii="仿宋_GB2312" w:hAnsi="仿宋" w:eastAsia="仿宋_GB2312" w:cs="仿宋"/>
          <w:sz w:val="24"/>
          <w:szCs w:val="24"/>
          <w:highlight w:val="none"/>
        </w:rPr>
      </w:pPr>
    </w:p>
    <w:p w14:paraId="1322F9AC">
      <w:pPr>
        <w:widowControl/>
        <w:adjustRightInd w:val="0"/>
        <w:snapToGrid w:val="0"/>
        <w:spacing w:line="360" w:lineRule="auto"/>
        <w:ind w:firstLine="420" w:firstLineChars="200"/>
        <w:jc w:val="left"/>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2A7CDB01">
      <w:pPr>
        <w:widowControl/>
        <w:adjustRightInd w:val="0"/>
        <w:snapToGrid w:val="0"/>
        <w:spacing w:line="360" w:lineRule="auto"/>
        <w:ind w:firstLine="420" w:firstLineChars="200"/>
        <w:jc w:val="left"/>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CA问题联系电话（人工）：汇信CA 400-888-4636；天谷CA 400-087-8198。</w:t>
      </w:r>
    </w:p>
    <w:p w14:paraId="72655169">
      <w:pPr>
        <w:widowControl/>
        <w:tabs>
          <w:tab w:val="left" w:pos="8647"/>
        </w:tabs>
        <w:adjustRightInd w:val="0"/>
        <w:snapToGrid w:val="0"/>
        <w:spacing w:line="360" w:lineRule="auto"/>
        <w:jc w:val="center"/>
        <w:outlineLvl w:val="1"/>
        <w:rPr>
          <w:rFonts w:ascii="仿宋_GB2312" w:hAnsi="仿宋" w:eastAsia="仿宋_GB2312" w:cs="仿宋"/>
          <w:b/>
          <w:sz w:val="30"/>
          <w:szCs w:val="30"/>
          <w:highlight w:val="none"/>
        </w:rPr>
      </w:pPr>
      <w:r>
        <w:rPr>
          <w:rFonts w:hint="eastAsia" w:ascii="仿宋_GB2312" w:hAnsi="仿宋" w:eastAsia="仿宋_GB2312" w:cs="仿宋"/>
          <w:b/>
          <w:bCs/>
          <w:sz w:val="28"/>
          <w:szCs w:val="21"/>
          <w:highlight w:val="none"/>
        </w:rPr>
        <w:br w:type="page"/>
      </w:r>
      <w:bookmarkStart w:id="5" w:name="_Toc1014"/>
      <w:r>
        <w:rPr>
          <w:rFonts w:hint="eastAsia" w:ascii="仿宋_GB2312" w:hAnsi="仿宋" w:eastAsia="仿宋_GB2312" w:cs="仿宋"/>
          <w:b/>
          <w:sz w:val="30"/>
          <w:szCs w:val="30"/>
          <w:highlight w:val="none"/>
        </w:rPr>
        <w:t>前 附 表</w:t>
      </w:r>
      <w:bookmarkEnd w:id="5"/>
    </w:p>
    <w:tbl>
      <w:tblPr>
        <w:tblStyle w:val="45"/>
        <w:tblW w:w="85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2A2C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ign w:val="center"/>
          </w:tcPr>
          <w:p w14:paraId="23A0C8B9">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序号</w:t>
            </w:r>
          </w:p>
        </w:tc>
        <w:tc>
          <w:tcPr>
            <w:tcW w:w="1843" w:type="dxa"/>
            <w:tcBorders>
              <w:tl2br w:val="nil"/>
              <w:tr2bl w:val="nil"/>
            </w:tcBorders>
            <w:noWrap/>
            <w:vAlign w:val="center"/>
          </w:tcPr>
          <w:p w14:paraId="78709868">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事项</w:t>
            </w:r>
          </w:p>
        </w:tc>
        <w:tc>
          <w:tcPr>
            <w:tcW w:w="6095" w:type="dxa"/>
            <w:tcBorders>
              <w:tl2br w:val="nil"/>
              <w:tr2bl w:val="nil"/>
            </w:tcBorders>
            <w:noWrap/>
            <w:vAlign w:val="center"/>
          </w:tcPr>
          <w:p w14:paraId="394DD391">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本项目的特别规定</w:t>
            </w:r>
          </w:p>
        </w:tc>
      </w:tr>
      <w:tr w14:paraId="0BFF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0" w:hRule="atLeast"/>
        </w:trPr>
        <w:tc>
          <w:tcPr>
            <w:tcW w:w="629" w:type="dxa"/>
            <w:tcBorders>
              <w:tl2br w:val="nil"/>
              <w:tr2bl w:val="nil"/>
            </w:tcBorders>
            <w:noWrap/>
            <w:vAlign w:val="center"/>
          </w:tcPr>
          <w:p w14:paraId="50C41D6D">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w:t>
            </w:r>
          </w:p>
        </w:tc>
        <w:tc>
          <w:tcPr>
            <w:tcW w:w="1843" w:type="dxa"/>
            <w:tcBorders>
              <w:tl2br w:val="nil"/>
              <w:tr2bl w:val="nil"/>
            </w:tcBorders>
            <w:noWrap/>
            <w:vAlign w:val="center"/>
          </w:tcPr>
          <w:p w14:paraId="4AF6E66B">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项目属性</w:t>
            </w:r>
          </w:p>
        </w:tc>
        <w:tc>
          <w:tcPr>
            <w:tcW w:w="6095" w:type="dxa"/>
            <w:tcBorders>
              <w:tl2br w:val="nil"/>
              <w:tr2bl w:val="nil"/>
            </w:tcBorders>
            <w:noWrap/>
            <w:vAlign w:val="center"/>
          </w:tcPr>
          <w:p w14:paraId="17148E3F">
            <w:pPr>
              <w:adjustRightInd w:val="0"/>
              <w:snapToGrid w:val="0"/>
              <w:spacing w:line="400" w:lineRule="exact"/>
              <w:rPr>
                <w:rFonts w:ascii="仿宋_GB2312" w:hAnsi="仿宋" w:eastAsia="仿宋_GB2312" w:cs="仿宋"/>
                <w:b/>
                <w:kern w:val="0"/>
                <w:sz w:val="24"/>
                <w:highlight w:val="none"/>
              </w:rPr>
            </w:pPr>
            <w:r>
              <w:rPr>
                <w:rFonts w:hint="eastAsia" w:ascii="仿宋_GB2312" w:hAnsi="仿宋" w:eastAsia="仿宋_GB2312" w:cs="仿宋"/>
                <w:sz w:val="24"/>
                <w:highlight w:val="none"/>
              </w:rPr>
              <w:t>服务类</w:t>
            </w:r>
          </w:p>
        </w:tc>
      </w:tr>
      <w:tr w14:paraId="49FE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7" w:hRule="atLeast"/>
        </w:trPr>
        <w:tc>
          <w:tcPr>
            <w:tcW w:w="629" w:type="dxa"/>
            <w:vMerge w:val="restart"/>
            <w:tcBorders>
              <w:tl2br w:val="nil"/>
              <w:tr2bl w:val="nil"/>
            </w:tcBorders>
            <w:noWrap/>
            <w:vAlign w:val="center"/>
          </w:tcPr>
          <w:p w14:paraId="48F810FB">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2</w:t>
            </w:r>
          </w:p>
        </w:tc>
        <w:tc>
          <w:tcPr>
            <w:tcW w:w="1843" w:type="dxa"/>
            <w:vMerge w:val="restart"/>
            <w:tcBorders>
              <w:tl2br w:val="nil"/>
              <w:tr2bl w:val="nil"/>
            </w:tcBorders>
            <w:noWrap/>
            <w:vAlign w:val="center"/>
          </w:tcPr>
          <w:p w14:paraId="55F56E46">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采购标的对应的中小企业划分标准所属行业</w:t>
            </w:r>
          </w:p>
        </w:tc>
        <w:tc>
          <w:tcPr>
            <w:tcW w:w="6095" w:type="dxa"/>
            <w:tcBorders>
              <w:tl2br w:val="nil"/>
              <w:tr2bl w:val="nil"/>
            </w:tcBorders>
            <w:noWrap/>
            <w:vAlign w:val="center"/>
          </w:tcPr>
          <w:p w14:paraId="730C57F9">
            <w:pPr>
              <w:adjustRightInd w:val="0"/>
              <w:snapToGrid w:val="0"/>
              <w:rPr>
                <w:rFonts w:ascii="仿宋_GB2312" w:hAnsi="仿宋" w:eastAsia="仿宋_GB2312" w:cs="仿宋"/>
                <w:b/>
                <w:color w:val="FF0000"/>
                <w:kern w:val="0"/>
                <w:sz w:val="24"/>
                <w:highlight w:val="none"/>
              </w:rPr>
            </w:pPr>
            <w:r>
              <w:rPr>
                <w:rFonts w:hint="eastAsia" w:ascii="仿宋_GB2312" w:hAnsi="仿宋" w:eastAsia="仿宋_GB2312" w:cs="仿宋"/>
                <w:b/>
                <w:bCs/>
                <w:color w:val="FF0000"/>
                <w:kern w:val="0"/>
                <w:sz w:val="24"/>
                <w:highlight w:val="none"/>
              </w:rPr>
              <w:t>标的为：</w:t>
            </w:r>
            <w:r>
              <w:rPr>
                <w:rFonts w:hint="eastAsia" w:ascii="仿宋_GB2312" w:hAnsi="仿宋" w:eastAsia="仿宋_GB2312" w:cs="仿宋"/>
                <w:b/>
                <w:bCs/>
                <w:color w:val="FF0000"/>
                <w:kern w:val="0"/>
                <w:sz w:val="24"/>
                <w:highlight w:val="none"/>
                <w:u w:val="single"/>
              </w:rPr>
              <w:t>景观灯及附属设施养护</w:t>
            </w:r>
            <w:r>
              <w:rPr>
                <w:rFonts w:hint="eastAsia" w:ascii="仿宋_GB2312" w:hAnsi="仿宋" w:eastAsia="仿宋_GB2312" w:cs="仿宋"/>
                <w:b/>
                <w:bCs/>
                <w:color w:val="FF0000"/>
                <w:kern w:val="0"/>
                <w:sz w:val="24"/>
                <w:highlight w:val="none"/>
              </w:rPr>
              <w:t>，属于</w:t>
            </w:r>
            <w:r>
              <w:rPr>
                <w:rFonts w:hint="eastAsia" w:ascii="仿宋_GB2312" w:hAnsi="仿宋" w:eastAsia="仿宋_GB2312" w:cs="仿宋"/>
                <w:b/>
                <w:bCs/>
                <w:color w:val="FF0000"/>
                <w:kern w:val="0"/>
                <w:sz w:val="24"/>
                <w:highlight w:val="none"/>
                <w:u w:val="single"/>
                <w:lang w:val="en-US" w:eastAsia="zh-CN"/>
              </w:rPr>
              <w:t>其他未列明行业</w:t>
            </w:r>
            <w:r>
              <w:rPr>
                <w:rFonts w:hint="eastAsia" w:ascii="仿宋_GB2312" w:hAnsi="仿宋" w:eastAsia="仿宋_GB2312" w:cs="仿宋"/>
                <w:b w:val="0"/>
                <w:bCs w:val="0"/>
                <w:color w:val="FF0000"/>
                <w:kern w:val="0"/>
                <w:sz w:val="24"/>
                <w:highlight w:val="none"/>
                <w:u w:val="none"/>
                <w:lang w:val="en-US" w:eastAsia="zh-CN"/>
              </w:rPr>
              <w:t>。</w:t>
            </w:r>
          </w:p>
        </w:tc>
      </w:tr>
      <w:tr w14:paraId="69F1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01" w:hRule="atLeast"/>
        </w:trPr>
        <w:tc>
          <w:tcPr>
            <w:tcW w:w="629" w:type="dxa"/>
            <w:vMerge w:val="continue"/>
            <w:tcBorders>
              <w:tl2br w:val="nil"/>
              <w:tr2bl w:val="nil"/>
            </w:tcBorders>
            <w:noWrap/>
            <w:vAlign w:val="center"/>
          </w:tcPr>
          <w:p w14:paraId="27B37812">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5A01483B">
            <w:pPr>
              <w:adjustRightInd w:val="0"/>
              <w:snapToGrid w:val="0"/>
              <w:spacing w:line="400" w:lineRule="exact"/>
              <w:jc w:val="center"/>
              <w:rPr>
                <w:rFonts w:ascii="仿宋_GB2312" w:hAnsi="仿宋" w:eastAsia="仿宋_GB2312" w:cs="仿宋"/>
                <w:b/>
                <w:sz w:val="24"/>
                <w:highlight w:val="none"/>
              </w:rPr>
            </w:pPr>
          </w:p>
        </w:tc>
        <w:tc>
          <w:tcPr>
            <w:tcW w:w="6095" w:type="dxa"/>
            <w:tcBorders>
              <w:tl2br w:val="nil"/>
              <w:tr2bl w:val="nil"/>
            </w:tcBorders>
            <w:noWrap/>
            <w:vAlign w:val="center"/>
          </w:tcPr>
          <w:p w14:paraId="08CA08F3">
            <w:pPr>
              <w:adjustRightInd w:val="0"/>
              <w:snapToGrid w:val="0"/>
              <w:rPr>
                <w:rFonts w:ascii="仿宋_GB2312" w:hAnsi="仿宋" w:eastAsia="仿宋_GB2312" w:cs="仿宋"/>
                <w:color w:val="FF0000"/>
                <w:kern w:val="0"/>
                <w:sz w:val="24"/>
                <w:highlight w:val="none"/>
              </w:rPr>
            </w:pPr>
            <w:r>
              <w:rPr>
                <w:rFonts w:hint="eastAsia" w:ascii="仿宋" w:hAnsi="仿宋" w:eastAsia="仿宋" w:cs="仿宋"/>
                <w:b/>
                <w:bCs/>
                <w:color w:val="FF0000"/>
                <w:kern w:val="0"/>
                <w:sz w:val="24"/>
                <w:szCs w:val="24"/>
                <w:highlight w:val="none"/>
                <w:lang w:val="en-US" w:eastAsia="zh-CN"/>
              </w:rPr>
              <w:t>其他未列明行业中，从业人员300人以下的为中小微型企业。其中，从业人员100人及以上的为中型企业；从业人员10人及以上的为小型企业；从业人员10人以下的为微型企业</w:t>
            </w:r>
            <w:r>
              <w:rPr>
                <w:rFonts w:hint="eastAsia" w:ascii="仿宋" w:hAnsi="仿宋" w:eastAsia="仿宋" w:cs="仿宋"/>
                <w:b/>
                <w:bCs/>
                <w:color w:val="FF0000"/>
                <w:kern w:val="0"/>
                <w:sz w:val="24"/>
                <w:szCs w:val="24"/>
                <w:highlight w:val="none"/>
              </w:rPr>
              <w:t>。</w:t>
            </w:r>
          </w:p>
        </w:tc>
      </w:tr>
      <w:tr w14:paraId="1369D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52" w:hRule="atLeast"/>
        </w:trPr>
        <w:tc>
          <w:tcPr>
            <w:tcW w:w="629" w:type="dxa"/>
            <w:vMerge w:val="continue"/>
            <w:tcBorders>
              <w:tl2br w:val="nil"/>
              <w:tr2bl w:val="nil"/>
            </w:tcBorders>
            <w:noWrap/>
            <w:vAlign w:val="center"/>
          </w:tcPr>
          <w:p w14:paraId="52FC57BB">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1DA154B3">
            <w:pPr>
              <w:adjustRightInd w:val="0"/>
              <w:snapToGrid w:val="0"/>
              <w:spacing w:line="400" w:lineRule="exact"/>
              <w:jc w:val="center"/>
              <w:rPr>
                <w:rFonts w:ascii="仿宋_GB2312" w:hAnsi="仿宋" w:eastAsia="仿宋_GB2312" w:cs="仿宋"/>
                <w:b/>
                <w:sz w:val="24"/>
                <w:highlight w:val="none"/>
              </w:rPr>
            </w:pPr>
          </w:p>
        </w:tc>
        <w:tc>
          <w:tcPr>
            <w:tcW w:w="6095" w:type="dxa"/>
            <w:tcBorders>
              <w:tl2br w:val="nil"/>
              <w:tr2bl w:val="nil"/>
            </w:tcBorders>
            <w:noWrap/>
            <w:vAlign w:val="center"/>
          </w:tcPr>
          <w:p w14:paraId="17DA585D">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（1）投标人填写中小企业声明函时，标的为</w:t>
            </w:r>
            <w:r>
              <w:rPr>
                <w:rFonts w:hint="eastAsia" w:ascii="仿宋" w:hAnsi="仿宋" w:eastAsia="仿宋" w:cs="仿宋"/>
                <w:kern w:val="0"/>
                <w:sz w:val="24"/>
                <w:highlight w:val="none"/>
                <w:u w:val="single"/>
              </w:rPr>
              <w:t>景观灯及附属设施养护</w:t>
            </w:r>
            <w:r>
              <w:rPr>
                <w:rFonts w:hint="eastAsia" w:ascii="仿宋_GB2312" w:hAnsi="仿宋" w:eastAsia="仿宋_GB2312" w:cs="仿宋"/>
                <w:kern w:val="0"/>
                <w:sz w:val="24"/>
                <w:highlight w:val="none"/>
              </w:rPr>
              <w:t>，所属行业为</w:t>
            </w:r>
            <w:r>
              <w:rPr>
                <w:rFonts w:hint="eastAsia" w:ascii="仿宋_GB2312" w:hAnsi="仿宋" w:eastAsia="仿宋_GB2312" w:cs="仿宋"/>
                <w:kern w:val="0"/>
                <w:sz w:val="24"/>
                <w:highlight w:val="none"/>
                <w:u w:val="single"/>
                <w:lang w:val="en-US" w:eastAsia="zh-CN"/>
              </w:rPr>
              <w:t>其他未列明行业</w:t>
            </w:r>
            <w:r>
              <w:rPr>
                <w:rFonts w:hint="eastAsia" w:ascii="仿宋_GB2312" w:hAnsi="仿宋" w:eastAsia="仿宋_GB2312" w:cs="仿宋"/>
                <w:kern w:val="0"/>
                <w:sz w:val="24"/>
                <w:highlight w:val="none"/>
              </w:rPr>
              <w:t>；</w:t>
            </w:r>
          </w:p>
          <w:p w14:paraId="79521367">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（2）从业人员、营业收入、资产总额填报上一年度数据，无上一年度数据的新成立企业可不填报；</w:t>
            </w:r>
          </w:p>
          <w:p w14:paraId="7302129A">
            <w:pPr>
              <w:adjustRightInd w:val="0"/>
              <w:snapToGrid w:val="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（3）</w:t>
            </w:r>
            <w:r>
              <w:rPr>
                <w:rFonts w:hint="eastAsia" w:ascii="仿宋_GB2312" w:hAnsi="仿宋" w:eastAsia="仿宋_GB2312" w:cs="仿宋"/>
                <w:color w:val="000000" w:themeColor="text1"/>
                <w:kern w:val="0"/>
                <w:sz w:val="24"/>
                <w:highlight w:val="none"/>
                <w14:textFill>
                  <w14:solidFill>
                    <w14:schemeClr w14:val="tx1"/>
                  </w14:solidFill>
                </w14:textFill>
              </w:rPr>
              <w:t>中型企业、小型企业、微型企业等3种</w:t>
            </w:r>
            <w:r>
              <w:rPr>
                <w:rFonts w:hint="eastAsia" w:ascii="仿宋_GB2312" w:hAnsi="仿宋" w:eastAsia="仿宋_GB2312" w:cs="仿宋"/>
                <w:kern w:val="0"/>
                <w:sz w:val="24"/>
                <w:highlight w:val="none"/>
              </w:rPr>
              <w:t>企业类型，结合以上数据，依据《中小企业划型标准规定》（工信部联企业〔2011〕300号）确定的</w:t>
            </w:r>
            <w:r>
              <w:rPr>
                <w:rFonts w:hint="eastAsia" w:ascii="仿宋_GB2312" w:hAnsi="仿宋" w:eastAsia="仿宋_GB2312" w:cs="仿宋"/>
                <w:kern w:val="0"/>
                <w:sz w:val="24"/>
                <w:highlight w:val="none"/>
                <w:u w:val="single"/>
                <w:lang w:val="en-US" w:eastAsia="zh-CN"/>
              </w:rPr>
              <w:t>其他未列明行业</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u w:val="single"/>
              </w:rPr>
              <w:t>填写时应明确是中型或小型或微型</w:t>
            </w:r>
            <w:r>
              <w:rPr>
                <w:rFonts w:hint="eastAsia" w:ascii="仿宋_GB2312" w:hAnsi="仿宋" w:eastAsia="仿宋_GB2312" w:cs="仿宋"/>
                <w:kern w:val="0"/>
                <w:sz w:val="24"/>
                <w:highlight w:val="none"/>
              </w:rPr>
              <w:t>。</w:t>
            </w:r>
          </w:p>
        </w:tc>
      </w:tr>
      <w:tr w14:paraId="1110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765A6AD8">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3</w:t>
            </w:r>
          </w:p>
        </w:tc>
        <w:tc>
          <w:tcPr>
            <w:tcW w:w="1843" w:type="dxa"/>
            <w:tcBorders>
              <w:tl2br w:val="nil"/>
              <w:tr2bl w:val="nil"/>
            </w:tcBorders>
            <w:noWrap/>
            <w:vAlign w:val="center"/>
          </w:tcPr>
          <w:p w14:paraId="360040AD">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是否允许采购进口产品</w:t>
            </w:r>
          </w:p>
        </w:tc>
        <w:tc>
          <w:tcPr>
            <w:tcW w:w="6095" w:type="dxa"/>
            <w:tcBorders>
              <w:tl2br w:val="nil"/>
              <w:tr2bl w:val="nil"/>
            </w:tcBorders>
            <w:noWrap/>
            <w:vAlign w:val="center"/>
          </w:tcPr>
          <w:p w14:paraId="5221E6F0">
            <w:p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本项目不允许采购进口产品。</w:t>
            </w:r>
          </w:p>
          <w:p w14:paraId="01764724">
            <w:pPr>
              <w:adjustRightInd w:val="0"/>
              <w:snapToGrid w:val="0"/>
              <w:spacing w:line="400" w:lineRule="exact"/>
              <w:rPr>
                <w:rFonts w:ascii="仿宋_GB2312" w:hAnsi="仿宋" w:eastAsia="仿宋_GB2312" w:cs="仿宋"/>
                <w:kern w:val="0"/>
                <w:sz w:val="24"/>
                <w:highlight w:val="none"/>
              </w:rPr>
            </w:pPr>
            <w:r>
              <w:rPr>
                <w:rFonts w:hint="eastAsia" w:ascii="MS Gothic" w:hAnsi="MS Gothic" w:eastAsia="MS Gothic" w:cs="MS Gothic"/>
                <w:kern w:val="0"/>
                <w:sz w:val="24"/>
                <w:highlight w:val="none"/>
              </w:rPr>
              <w:t>☐</w:t>
            </w:r>
            <w:r>
              <w:rPr>
                <w:rFonts w:hint="eastAsia" w:ascii="仿宋_GB2312" w:hAnsi="仿宋_GB2312" w:eastAsia="仿宋_GB2312" w:cs="仿宋_GB2312"/>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F8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5D4B11F5">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4</w:t>
            </w:r>
          </w:p>
        </w:tc>
        <w:tc>
          <w:tcPr>
            <w:tcW w:w="1843" w:type="dxa"/>
            <w:tcBorders>
              <w:tl2br w:val="nil"/>
              <w:tr2bl w:val="nil"/>
            </w:tcBorders>
            <w:noWrap/>
            <w:vAlign w:val="center"/>
          </w:tcPr>
          <w:p w14:paraId="3BE9CD33">
            <w:pPr>
              <w:adjustRightInd w:val="0"/>
              <w:snapToGrid w:val="0"/>
              <w:spacing w:line="400" w:lineRule="exact"/>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分包</w:t>
            </w:r>
          </w:p>
        </w:tc>
        <w:tc>
          <w:tcPr>
            <w:tcW w:w="6095" w:type="dxa"/>
            <w:tcBorders>
              <w:tl2br w:val="nil"/>
              <w:tr2bl w:val="nil"/>
            </w:tcBorders>
            <w:noWrap/>
            <w:vAlign w:val="center"/>
          </w:tcPr>
          <w:p w14:paraId="749ED9A6">
            <w:pPr>
              <w:adjustRightInd w:val="0"/>
              <w:snapToGrid w:val="0"/>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 xml:space="preserve"> A</w:t>
            </w:r>
            <w:r>
              <w:rPr>
                <w:rFonts w:hint="eastAsia" w:ascii="仿宋_GB2312" w:hAnsi="仿宋" w:eastAsia="仿宋_GB2312" w:cs="仿宋"/>
                <w:sz w:val="24"/>
                <w:highlight w:val="none"/>
              </w:rPr>
              <w:t>同意将非主体、非关键性的工作分包。</w:t>
            </w:r>
          </w:p>
          <w:p w14:paraId="12D0E4F4">
            <w:pPr>
              <w:adjustRightInd w:val="0"/>
              <w:snapToGrid w:val="0"/>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 xml:space="preserve"> B</w:t>
            </w:r>
            <w:r>
              <w:rPr>
                <w:rFonts w:hint="eastAsia" w:ascii="仿宋_GB2312" w:hAnsi="仿宋" w:eastAsia="仿宋_GB2312" w:cs="仿宋"/>
                <w:sz w:val="24"/>
                <w:highlight w:val="none"/>
              </w:rPr>
              <w:t>同意向小微企业合理分包。</w:t>
            </w:r>
          </w:p>
          <w:p w14:paraId="5A7582E8">
            <w:p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□C</w:t>
            </w:r>
            <w:r>
              <w:rPr>
                <w:rFonts w:hint="eastAsia" w:ascii="仿宋_GB2312" w:hAnsi="仿宋" w:eastAsia="仿宋_GB2312" w:cs="仿宋"/>
                <w:sz w:val="24"/>
                <w:highlight w:val="none"/>
              </w:rPr>
              <w:t>不同意分包。</w:t>
            </w:r>
          </w:p>
        </w:tc>
      </w:tr>
      <w:tr w14:paraId="4DAE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33" w:hRule="atLeast"/>
        </w:trPr>
        <w:tc>
          <w:tcPr>
            <w:tcW w:w="629" w:type="dxa"/>
            <w:tcBorders>
              <w:tl2br w:val="nil"/>
              <w:tr2bl w:val="nil"/>
            </w:tcBorders>
            <w:noWrap/>
            <w:vAlign w:val="center"/>
          </w:tcPr>
          <w:p w14:paraId="4212FADD">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5</w:t>
            </w:r>
          </w:p>
        </w:tc>
        <w:tc>
          <w:tcPr>
            <w:tcW w:w="1843" w:type="dxa"/>
            <w:tcBorders>
              <w:tl2br w:val="nil"/>
              <w:tr2bl w:val="nil"/>
            </w:tcBorders>
            <w:noWrap/>
            <w:vAlign w:val="center"/>
          </w:tcPr>
          <w:p w14:paraId="25B6CC1C">
            <w:pPr>
              <w:adjustRightInd w:val="0"/>
              <w:snapToGrid w:val="0"/>
              <w:spacing w:line="400" w:lineRule="exact"/>
              <w:jc w:val="center"/>
              <w:rPr>
                <w:rFonts w:ascii="仿宋_GB2312" w:hAnsi="仿宋" w:eastAsia="仿宋_GB2312" w:cs="仿宋"/>
                <w:b/>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noWrap/>
            <w:vAlign w:val="center"/>
          </w:tcPr>
          <w:p w14:paraId="3E3C2F44">
            <w:pPr>
              <w:snapToGrid w:val="0"/>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FE"/>
            </w:r>
            <w:r>
              <w:rPr>
                <w:rFonts w:hint="eastAsia" w:ascii="仿宋_GB2312" w:hAnsi="仿宋" w:eastAsia="仿宋_GB2312" w:cs="仿宋"/>
                <w:color w:val="000000" w:themeColor="text1"/>
                <w:kern w:val="0"/>
                <w:sz w:val="24"/>
                <w:highlight w:val="none"/>
                <w14:textFill>
                  <w14:solidFill>
                    <w14:schemeClr w14:val="tx1"/>
                  </w14:solidFill>
                </w14:textFill>
              </w:rPr>
              <w:t>A</w:t>
            </w:r>
            <w:r>
              <w:rPr>
                <w:rFonts w:hint="eastAsia" w:ascii="仿宋_GB2312" w:hAnsi="仿宋" w:eastAsia="仿宋_GB2312" w:cs="仿宋"/>
                <w:color w:val="000000" w:themeColor="text1"/>
                <w:sz w:val="24"/>
                <w:highlight w:val="none"/>
                <w14:textFill>
                  <w14:solidFill>
                    <w14:schemeClr w14:val="tx1"/>
                  </w14:solidFill>
                </w14:textFill>
              </w:rPr>
              <w:t>不组织。</w:t>
            </w:r>
          </w:p>
          <w:p w14:paraId="5FA3447D">
            <w:pPr>
              <w:snapToGrid w:val="0"/>
              <w:rPr>
                <w:rFonts w:ascii="仿宋_GB2312" w:hAnsi="仿宋" w:eastAsia="仿宋_GB2312" w:cs="仿宋"/>
                <w:color w:val="000000" w:themeColor="text1"/>
                <w:sz w:val="24"/>
                <w:szCs w:val="20"/>
                <w:highlight w:val="none"/>
                <w14:textFill>
                  <w14:solidFill>
                    <w14:schemeClr w14:val="tx1"/>
                  </w14:solidFill>
                </w14:textFill>
              </w:rPr>
            </w:pPr>
            <w:r>
              <w:rPr>
                <w:rFonts w:hint="eastAsia" w:ascii="MS Gothic" w:hAnsi="MS Gothic" w:eastAsia="MS Gothic" w:cs="MS Gothic"/>
                <w:color w:val="000000" w:themeColor="text1"/>
                <w:kern w:val="0"/>
                <w:sz w:val="24"/>
                <w:highlight w:val="none"/>
                <w14:textFill>
                  <w14:solidFill>
                    <w14:schemeClr w14:val="tx1"/>
                  </w14:solidFill>
                </w14:textFill>
              </w:rPr>
              <w:t>☐</w:t>
            </w:r>
            <w:r>
              <w:rPr>
                <w:rFonts w:hint="eastAsia" w:ascii="仿宋_GB2312" w:hAnsi="仿宋" w:eastAsia="仿宋_GB2312" w:cs="仿宋"/>
                <w:color w:val="000000" w:themeColor="text1"/>
                <w:kern w:val="0"/>
                <w:sz w:val="24"/>
                <w:highlight w:val="none"/>
                <w14:textFill>
                  <w14:solidFill>
                    <w14:schemeClr w14:val="tx1"/>
                  </w14:solidFill>
                </w14:textFill>
              </w:rPr>
              <w:t>B组织，</w:t>
            </w:r>
            <w:r>
              <w:rPr>
                <w:rFonts w:hint="eastAsia" w:ascii="仿宋_GB2312" w:hAnsi="仿宋" w:eastAsia="仿宋_GB2312" w:cs="仿宋"/>
                <w:color w:val="000000" w:themeColor="text1"/>
                <w:sz w:val="24"/>
                <w:highlight w:val="none"/>
                <w14:textFill>
                  <w14:solidFill>
                    <w14:schemeClr w14:val="tx1"/>
                  </w14:solidFill>
                </w14:textFill>
              </w:rPr>
              <w:t>时间：</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highlight w:val="none"/>
                <w14:textFill>
                  <w14:solidFill>
                    <w14:schemeClr w14:val="tx1"/>
                  </w14:solidFill>
                </w14:textFill>
              </w:rPr>
              <w:t>,地点：</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highlight w:val="none"/>
                <w14:textFill>
                  <w14:solidFill>
                    <w14:schemeClr w14:val="tx1"/>
                  </w14:solidFill>
                </w14:textFill>
              </w:rPr>
              <w:t>，联系人：</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highlight w:val="none"/>
                <w14:textFill>
                  <w14:solidFill>
                    <w14:schemeClr w14:val="tx1"/>
                  </w14:solidFill>
                </w14:textFill>
              </w:rPr>
              <w:t>，联系方式：</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sz w:val="24"/>
                <w:szCs w:val="20"/>
                <w:highlight w:val="none"/>
                <w14:textFill>
                  <w14:solidFill>
                    <w14:schemeClr w14:val="tx1"/>
                  </w14:solidFill>
                </w14:textFill>
              </w:rPr>
              <w:t>。</w:t>
            </w:r>
          </w:p>
          <w:p w14:paraId="09F86ADC">
            <w:pPr>
              <w:snapToGrid w:val="0"/>
              <w:rPr>
                <w:rFonts w:ascii="仿宋_GB2312" w:eastAsia="仿宋_GB2312"/>
                <w:color w:val="000000" w:themeColor="text1"/>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A8"/>
            </w:r>
            <w:r>
              <w:rPr>
                <w:rFonts w:hint="eastAsia" w:ascii="仿宋_GB2312" w:hAnsi="仿宋" w:eastAsia="仿宋_GB2312" w:cs="仿宋"/>
                <w:color w:val="000000" w:themeColor="text1"/>
                <w:kern w:val="0"/>
                <w:sz w:val="24"/>
                <w:highlight w:val="none"/>
                <w14:textFill>
                  <w14:solidFill>
                    <w14:schemeClr w14:val="tx1"/>
                  </w14:solidFill>
                </w14:textFill>
              </w:rPr>
              <w:t>C不统一组织，供应商在获取采购文件后，自行至项目现场考察。地点：</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kern w:val="0"/>
                <w:sz w:val="24"/>
                <w:highlight w:val="none"/>
                <w14:textFill>
                  <w14:solidFill>
                    <w14:schemeClr w14:val="tx1"/>
                  </w14:solidFill>
                </w14:textFill>
              </w:rPr>
              <w:t xml:space="preserve"> ，联系人：</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kern w:val="0"/>
                <w:sz w:val="24"/>
                <w:highlight w:val="none"/>
                <w14:textFill>
                  <w14:solidFill>
                    <w14:schemeClr w14:val="tx1"/>
                  </w14:solidFill>
                </w14:textFill>
              </w:rPr>
              <w:t>，联系方式：</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color w:val="000000" w:themeColor="text1"/>
                <w:kern w:val="0"/>
                <w:sz w:val="24"/>
                <w:highlight w:val="none"/>
                <w14:textFill>
                  <w14:solidFill>
                    <w14:schemeClr w14:val="tx1"/>
                  </w14:solidFill>
                </w14:textFill>
              </w:rPr>
              <w:t>。</w:t>
            </w:r>
          </w:p>
        </w:tc>
      </w:tr>
      <w:tr w14:paraId="292D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22BBA778">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6</w:t>
            </w:r>
          </w:p>
        </w:tc>
        <w:tc>
          <w:tcPr>
            <w:tcW w:w="1843" w:type="dxa"/>
            <w:tcBorders>
              <w:tl2br w:val="nil"/>
              <w:tr2bl w:val="nil"/>
            </w:tcBorders>
            <w:noWrap/>
            <w:vAlign w:val="center"/>
          </w:tcPr>
          <w:p w14:paraId="5DA6FC1C">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样品提供</w:t>
            </w:r>
          </w:p>
        </w:tc>
        <w:tc>
          <w:tcPr>
            <w:tcW w:w="6095" w:type="dxa"/>
            <w:tcBorders>
              <w:tl2br w:val="nil"/>
              <w:tr2bl w:val="nil"/>
            </w:tcBorders>
            <w:noWrap/>
            <w:vAlign w:val="center"/>
          </w:tcPr>
          <w:p w14:paraId="0FF48F00">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A</w:t>
            </w:r>
            <w:r>
              <w:rPr>
                <w:rFonts w:hint="eastAsia" w:ascii="仿宋_GB2312" w:hAnsi="仿宋" w:eastAsia="仿宋_GB2312" w:cs="仿宋"/>
                <w:sz w:val="24"/>
                <w:highlight w:val="none"/>
              </w:rPr>
              <w:t>不要求提供。</w:t>
            </w:r>
          </w:p>
          <w:p w14:paraId="3893F79C">
            <w:p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B要求提供，</w:t>
            </w:r>
          </w:p>
          <w:p w14:paraId="1C080673">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snapToGrid w:val="0"/>
                <w:kern w:val="28"/>
                <w:sz w:val="24"/>
                <w:highlight w:val="none"/>
              </w:rPr>
              <w:t>样品：</w:t>
            </w:r>
            <w:r>
              <w:rPr>
                <w:rFonts w:hint="eastAsia" w:ascii="仿宋_GB2312" w:hAnsi="仿宋" w:eastAsia="仿宋_GB2312" w:cs="仿宋"/>
                <w:snapToGrid w:val="0"/>
                <w:kern w:val="28"/>
                <w:sz w:val="24"/>
                <w:highlight w:val="none"/>
                <w:u w:val="single"/>
              </w:rPr>
              <w:t xml:space="preserve">  /  </w:t>
            </w:r>
            <w:r>
              <w:rPr>
                <w:rFonts w:hint="eastAsia" w:ascii="仿宋_GB2312" w:hAnsi="仿宋" w:eastAsia="仿宋_GB2312" w:cs="仿宋"/>
                <w:snapToGrid w:val="0"/>
                <w:kern w:val="28"/>
                <w:sz w:val="24"/>
                <w:highlight w:val="none"/>
              </w:rPr>
              <w:t>；</w:t>
            </w:r>
          </w:p>
          <w:p w14:paraId="254F3BE5">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snapToGrid w:val="0"/>
                <w:kern w:val="28"/>
                <w:sz w:val="24"/>
                <w:highlight w:val="none"/>
              </w:rPr>
              <w:t>样品制作的标准和要求：</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w:t>
            </w:r>
          </w:p>
          <w:p w14:paraId="60936674">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样品的评审方法以及评审标准</w:t>
            </w:r>
            <w:r>
              <w:rPr>
                <w:rFonts w:hint="eastAsia" w:ascii="仿宋_GB2312" w:hAnsi="仿宋" w:eastAsia="仿宋_GB2312" w:cs="仿宋"/>
                <w:snapToGrid w:val="0"/>
                <w:kern w:val="28"/>
                <w:sz w:val="24"/>
                <w:highlight w:val="none"/>
              </w:rPr>
              <w:t>：详见</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w:t>
            </w:r>
          </w:p>
          <w:p w14:paraId="0B404E36">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是否需要随样品提交检测报告：</w:t>
            </w: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否；</w:t>
            </w:r>
            <w:r>
              <w:rPr>
                <w:rFonts w:hint="eastAsia" w:ascii="仿宋_GB2312" w:hAnsi="仿宋" w:eastAsia="仿宋_GB2312" w:cs="仿宋"/>
                <w:kern w:val="0"/>
                <w:sz w:val="24"/>
                <w:highlight w:val="none"/>
              </w:rPr>
              <w:sym w:font="Wingdings" w:char="00A8"/>
            </w:r>
            <w:r>
              <w:rPr>
                <w:rFonts w:hint="eastAsia" w:ascii="仿宋_GB2312" w:hAnsi="仿宋" w:eastAsia="仿宋_GB2312" w:cs="仿宋"/>
                <w:kern w:val="0"/>
                <w:sz w:val="24"/>
                <w:highlight w:val="none"/>
              </w:rPr>
              <w:t>是，检测机构的要求</w:t>
            </w:r>
            <w:r>
              <w:rPr>
                <w:rFonts w:hint="eastAsia" w:ascii="仿宋_GB2312" w:hAnsi="仿宋" w:eastAsia="仿宋_GB2312" w:cs="仿宋"/>
                <w:sz w:val="24"/>
                <w:highlight w:val="none"/>
              </w:rPr>
              <w:t>：</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；检测内容</w:t>
            </w:r>
            <w:r>
              <w:rPr>
                <w:rFonts w:hint="eastAsia" w:ascii="仿宋_GB2312" w:hAnsi="仿宋" w:eastAsia="仿宋_GB2312" w:cs="仿宋"/>
                <w:sz w:val="24"/>
                <w:highlight w:val="none"/>
              </w:rPr>
              <w:t>：</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w:t>
            </w:r>
          </w:p>
          <w:p w14:paraId="7F688A6B">
            <w:pPr>
              <w:numPr>
                <w:ilvl w:val="0"/>
                <w:numId w:val="1"/>
              </w:num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提供样品的时间：</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；地点：</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kern w:val="0"/>
                <w:sz w:val="24"/>
                <w:highlight w:val="none"/>
              </w:rPr>
              <w:t>；联系人</w:t>
            </w:r>
            <w:r>
              <w:rPr>
                <w:rFonts w:hint="eastAsia" w:ascii="仿宋_GB2312" w:hAnsi="仿宋" w:eastAsia="仿宋_GB2312" w:cs="仿宋"/>
                <w:sz w:val="24"/>
                <w:highlight w:val="none"/>
              </w:rPr>
              <w:t>：</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sz w:val="24"/>
                <w:highlight w:val="none"/>
              </w:rPr>
              <w:t>，</w:t>
            </w:r>
            <w:r>
              <w:rPr>
                <w:rFonts w:hint="eastAsia" w:ascii="仿宋_GB2312" w:hAnsi="仿宋" w:eastAsia="仿宋_GB2312" w:cs="仿宋"/>
                <w:kern w:val="28"/>
                <w:sz w:val="24"/>
                <w:highlight w:val="none"/>
              </w:rPr>
              <w:t>联系电话：</w:t>
            </w:r>
            <w:r>
              <w:rPr>
                <w:rFonts w:hint="eastAsia" w:ascii="仿宋_GB2312" w:hAnsi="仿宋" w:eastAsia="仿宋_GB2312" w:cs="仿宋"/>
                <w:color w:val="000000" w:themeColor="text1"/>
                <w:kern w:val="0"/>
                <w:sz w:val="24"/>
                <w:highlight w:val="none"/>
                <w:u w:val="single"/>
                <w14:textFill>
                  <w14:solidFill>
                    <w14:schemeClr w14:val="tx1"/>
                  </w14:solidFill>
                </w14:textFill>
              </w:rPr>
              <w:t xml:space="preserve"> / </w:t>
            </w:r>
            <w:r>
              <w:rPr>
                <w:rFonts w:hint="eastAsia" w:ascii="仿宋_GB2312" w:hAnsi="仿宋" w:eastAsia="仿宋_GB2312" w:cs="仿宋"/>
                <w:sz w:val="24"/>
                <w:highlight w:val="none"/>
              </w:rPr>
              <w:t>。请投标人在上述时间内提供样品并按规定位置安装完毕。超过截止时间的，采购人或采购代理机构将不予接收，并将清场并封闭样品现场。</w:t>
            </w:r>
          </w:p>
          <w:p w14:paraId="27200A13">
            <w:pPr>
              <w:numPr>
                <w:ilvl w:val="0"/>
                <w:numId w:val="1"/>
              </w:num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362E328">
            <w:pPr>
              <w:numPr>
                <w:ilvl w:val="0"/>
                <w:numId w:val="1"/>
              </w:numPr>
              <w:adjustRightInd w:val="0"/>
              <w:snapToGrid w:val="0"/>
              <w:spacing w:line="400" w:lineRule="exact"/>
              <w:rPr>
                <w:rFonts w:ascii="仿宋_GB2312" w:hAnsi="仿宋" w:eastAsia="仿宋_GB2312" w:cs="仿宋"/>
                <w:kern w:val="0"/>
                <w:sz w:val="24"/>
                <w:highlight w:val="none"/>
              </w:rPr>
            </w:pPr>
            <w:r>
              <w:rPr>
                <w:rFonts w:hint="eastAsia" w:ascii="仿宋_GB2312" w:hAnsi="仿宋" w:eastAsia="仿宋_GB2312" w:cs="仿宋"/>
                <w:sz w:val="24"/>
                <w:highlight w:val="none"/>
              </w:rPr>
              <w:t>制作、运输、安装和保管样品所发生的一切费用由投标人自理。</w:t>
            </w:r>
          </w:p>
        </w:tc>
      </w:tr>
      <w:tr w14:paraId="2F2A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2" w:hRule="atLeast"/>
        </w:trPr>
        <w:tc>
          <w:tcPr>
            <w:tcW w:w="629" w:type="dxa"/>
            <w:tcBorders>
              <w:tl2br w:val="nil"/>
              <w:tr2bl w:val="nil"/>
            </w:tcBorders>
            <w:noWrap/>
            <w:vAlign w:val="center"/>
          </w:tcPr>
          <w:p w14:paraId="2259CB7A">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7</w:t>
            </w:r>
          </w:p>
        </w:tc>
        <w:tc>
          <w:tcPr>
            <w:tcW w:w="1843" w:type="dxa"/>
            <w:tcBorders>
              <w:tl2br w:val="nil"/>
              <w:tr2bl w:val="nil"/>
            </w:tcBorders>
            <w:noWrap/>
            <w:vAlign w:val="center"/>
          </w:tcPr>
          <w:p w14:paraId="5EFA489F">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color w:val="000000" w:themeColor="text1"/>
                <w:sz w:val="24"/>
                <w:highlight w:val="none"/>
                <w14:textFill>
                  <w14:solidFill>
                    <w14:schemeClr w14:val="tx1"/>
                  </w14:solidFill>
                </w14:textFill>
              </w:rPr>
              <w:t>方案讲解演示</w:t>
            </w:r>
          </w:p>
        </w:tc>
        <w:tc>
          <w:tcPr>
            <w:tcW w:w="6095" w:type="dxa"/>
            <w:tcBorders>
              <w:tl2br w:val="nil"/>
              <w:tr2bl w:val="nil"/>
            </w:tcBorders>
            <w:noWrap/>
            <w:vAlign w:val="center"/>
          </w:tcPr>
          <w:p w14:paraId="3453AD83">
            <w:pPr>
              <w:adjustRightInd w:val="0"/>
              <w:snapToGrid w:val="0"/>
              <w:spacing w:line="400" w:lineRule="exact"/>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FE"/>
            </w:r>
            <w:r>
              <w:rPr>
                <w:rFonts w:hint="eastAsia" w:ascii="仿宋_GB2312" w:hAnsi="仿宋" w:eastAsia="仿宋_GB2312" w:cs="仿宋"/>
                <w:color w:val="000000" w:themeColor="text1"/>
                <w:kern w:val="0"/>
                <w:sz w:val="24"/>
                <w:highlight w:val="none"/>
                <w14:textFill>
                  <w14:solidFill>
                    <w14:schemeClr w14:val="tx1"/>
                  </w14:solidFill>
                </w14:textFill>
              </w:rPr>
              <w:t>A</w:t>
            </w:r>
            <w:r>
              <w:rPr>
                <w:rFonts w:hint="eastAsia" w:ascii="仿宋_GB2312" w:hAnsi="仿宋" w:eastAsia="仿宋_GB2312" w:cs="仿宋"/>
                <w:color w:val="000000" w:themeColor="text1"/>
                <w:sz w:val="24"/>
                <w:highlight w:val="none"/>
                <w14:textFill>
                  <w14:solidFill>
                    <w14:schemeClr w14:val="tx1"/>
                  </w14:solidFill>
                </w14:textFill>
              </w:rPr>
              <w:t>不组织。</w:t>
            </w:r>
          </w:p>
          <w:p w14:paraId="1050CD62">
            <w:pPr>
              <w:adjustRightInd w:val="0"/>
              <w:snapToGrid w:val="0"/>
              <w:spacing w:line="400" w:lineRule="exact"/>
              <w:rPr>
                <w:rFonts w:ascii="仿宋_GB2312" w:hAnsi="仿宋" w:eastAsia="仿宋_GB2312" w:cs="仿宋"/>
                <w:color w:val="000000" w:themeColor="text1"/>
                <w:kern w:val="0"/>
                <w:sz w:val="24"/>
                <w:highlight w:val="none"/>
                <w14:textFill>
                  <w14:solidFill>
                    <w14:schemeClr w14:val="tx1"/>
                  </w14:solidFill>
                </w14:textFill>
              </w:rPr>
            </w:pPr>
            <w:r>
              <w:rPr>
                <w:rFonts w:hint="eastAsia" w:ascii="仿宋_GB2312" w:hAnsi="仿宋" w:eastAsia="仿宋_GB2312" w:cs="仿宋"/>
                <w:color w:val="000000" w:themeColor="text1"/>
                <w:kern w:val="0"/>
                <w:sz w:val="24"/>
                <w:highlight w:val="none"/>
                <w14:textFill>
                  <w14:solidFill>
                    <w14:schemeClr w14:val="tx1"/>
                  </w14:solidFill>
                </w14:textFill>
              </w:rPr>
              <w:sym w:font="Wingdings" w:char="00A8"/>
            </w:r>
            <w:r>
              <w:rPr>
                <w:rFonts w:hint="eastAsia" w:ascii="仿宋_GB2312" w:hAnsi="仿宋" w:eastAsia="仿宋_GB2312" w:cs="仿宋"/>
                <w:color w:val="000000" w:themeColor="text1"/>
                <w:kern w:val="0"/>
                <w:sz w:val="24"/>
                <w:highlight w:val="none"/>
                <w14:textFill>
                  <w14:solidFill>
                    <w14:schemeClr w14:val="tx1"/>
                  </w14:solidFill>
                </w14:textFill>
              </w:rPr>
              <w:t>B组织。</w:t>
            </w:r>
          </w:p>
          <w:p w14:paraId="04C523C5">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u w:val="single"/>
              </w:rPr>
              <w:t xml:space="preserve">       </w:t>
            </w:r>
            <w:r>
              <w:rPr>
                <w:rFonts w:hint="eastAsia" w:ascii="仿宋_GB2312" w:hAnsi="仿宋" w:eastAsia="仿宋_GB2312"/>
                <w:kern w:val="0"/>
                <w:sz w:val="24"/>
                <w:highlight w:val="none"/>
              </w:rPr>
              <w:t>分钟，讲解次序以投标文件解密时间先后次序为准，讲解演示人员不超过</w:t>
            </w:r>
            <w:r>
              <w:rPr>
                <w:rFonts w:hint="eastAsia" w:ascii="仿宋_GB2312" w:hAnsi="仿宋" w:eastAsia="仿宋_GB2312"/>
                <w:kern w:val="0"/>
                <w:sz w:val="24"/>
                <w:highlight w:val="none"/>
                <w:u w:val="single"/>
              </w:rPr>
              <w:t xml:space="preserve">    </w:t>
            </w:r>
            <w:r>
              <w:rPr>
                <w:rFonts w:hint="eastAsia" w:ascii="仿宋_GB2312" w:hAnsi="仿宋" w:eastAsia="仿宋_GB2312"/>
                <w:kern w:val="0"/>
                <w:sz w:val="24"/>
                <w:highlight w:val="none"/>
              </w:rPr>
              <w:t>人。讲解演示结束后按要求解答评标委员会提问。</w:t>
            </w:r>
          </w:p>
          <w:p w14:paraId="5F3F3F7A">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（2）方案讲解演示可选择以下其中一种方式：</w:t>
            </w:r>
          </w:p>
          <w:p w14:paraId="57D7459F">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方式一：政采云平台在线讲解演示。政采云平台在线讲解需投标人根据政采云平台操作要求做好准备工作，提前完善软硬件配置环境。</w:t>
            </w:r>
          </w:p>
          <w:p w14:paraId="33A65D7B">
            <w:pPr>
              <w:adjustRightInd w:val="0"/>
              <w:snapToGrid w:val="0"/>
              <w:spacing w:line="400" w:lineRule="exact"/>
              <w:rPr>
                <w:rFonts w:ascii="仿宋_GB2312" w:hAnsi="仿宋" w:eastAsia="仿宋_GB2312"/>
                <w:kern w:val="0"/>
                <w:sz w:val="24"/>
                <w:highlight w:val="none"/>
              </w:rPr>
            </w:pPr>
            <w:r>
              <w:rPr>
                <w:rFonts w:hint="eastAsia" w:ascii="仿宋_GB2312" w:hAnsi="仿宋" w:eastAsia="仿宋_GB2312"/>
                <w:kern w:val="0"/>
                <w:sz w:val="24"/>
                <w:highlight w:val="none"/>
              </w:rPr>
              <w:t>方式二：交易中心现场讲解演示。现场讲解地点为</w:t>
            </w:r>
            <w:r>
              <w:rPr>
                <w:rFonts w:hint="eastAsia" w:ascii="仿宋_GB2312" w:hAnsi="仿宋" w:eastAsia="仿宋_GB2312"/>
                <w:kern w:val="0"/>
                <w:sz w:val="24"/>
                <w:highlight w:val="none"/>
                <w:u w:val="single"/>
              </w:rPr>
              <w:t xml:space="preserve">       </w:t>
            </w:r>
            <w:r>
              <w:rPr>
                <w:rFonts w:hint="eastAsia" w:ascii="仿宋_GB2312" w:hAnsi="仿宋" w:eastAsia="仿宋_GB2312"/>
                <w:kern w:val="0"/>
                <w:sz w:val="24"/>
                <w:highlight w:val="none"/>
              </w:rPr>
              <w:t>，讲解演示所用电脑等设备由投标人自备。现场讲解演示人员进场时提供讲解人员名单（加盖公章或授权代表签名）及身份证明，否则不得讲解演示。</w:t>
            </w:r>
          </w:p>
          <w:p w14:paraId="22C6EA79">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DC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noWrap/>
            <w:vAlign w:val="center"/>
          </w:tcPr>
          <w:p w14:paraId="2A83422B">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8</w:t>
            </w:r>
          </w:p>
        </w:tc>
        <w:tc>
          <w:tcPr>
            <w:tcW w:w="1843" w:type="dxa"/>
            <w:vMerge w:val="restart"/>
            <w:tcBorders>
              <w:tl2br w:val="nil"/>
              <w:tr2bl w:val="nil"/>
            </w:tcBorders>
            <w:noWrap/>
            <w:vAlign w:val="center"/>
          </w:tcPr>
          <w:p w14:paraId="168A271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投标人应当提供的资格、资信证明文件</w:t>
            </w:r>
          </w:p>
        </w:tc>
        <w:tc>
          <w:tcPr>
            <w:tcW w:w="6095" w:type="dxa"/>
            <w:tcBorders>
              <w:tl2br w:val="nil"/>
              <w:tr2bl w:val="nil"/>
            </w:tcBorders>
            <w:noWrap/>
            <w:vAlign w:val="center"/>
          </w:tcPr>
          <w:p w14:paraId="08DA7C87">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（1）资格证明文件：见招标文件第二部分11.1。</w:t>
            </w:r>
          </w:p>
          <w:p w14:paraId="2A90AC43">
            <w:pPr>
              <w:adjustRightInd w:val="0"/>
              <w:snapToGrid w:val="0"/>
              <w:spacing w:line="400" w:lineRule="exact"/>
              <w:rPr>
                <w:rFonts w:ascii="仿宋_GB2312" w:hAnsi="仿宋" w:eastAsia="仿宋_GB2312" w:cs="仿宋"/>
                <w:snapToGrid w:val="0"/>
                <w:kern w:val="0"/>
                <w:szCs w:val="21"/>
                <w:highlight w:val="none"/>
              </w:rPr>
            </w:pPr>
            <w:r>
              <w:rPr>
                <w:rFonts w:hint="eastAsia" w:ascii="仿宋_GB2312" w:hAnsi="仿宋" w:eastAsia="仿宋_GB2312" w:cs="仿宋"/>
                <w:kern w:val="0"/>
                <w:sz w:val="24"/>
                <w:highlight w:val="none"/>
                <w:lang w:val="zh-CN"/>
              </w:rPr>
              <w:t>投标人未提供有效的资格证明文件的，视为投标人不具备招标文件中规定的资格要求，投标无效。</w:t>
            </w:r>
          </w:p>
        </w:tc>
      </w:tr>
      <w:tr w14:paraId="4117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noWrap/>
            <w:vAlign w:val="center"/>
          </w:tcPr>
          <w:p w14:paraId="625D6719">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0156B85A">
            <w:pPr>
              <w:adjustRightInd w:val="0"/>
              <w:snapToGrid w:val="0"/>
              <w:spacing w:line="400" w:lineRule="exact"/>
              <w:jc w:val="center"/>
              <w:rPr>
                <w:rFonts w:ascii="仿宋_GB2312" w:hAnsi="仿宋" w:eastAsia="仿宋_GB2312" w:cs="仿宋"/>
                <w:b/>
                <w:sz w:val="24"/>
                <w:highlight w:val="none"/>
              </w:rPr>
            </w:pPr>
          </w:p>
        </w:tc>
        <w:tc>
          <w:tcPr>
            <w:tcW w:w="6095" w:type="dxa"/>
            <w:tcBorders>
              <w:tl2br w:val="nil"/>
              <w:tr2bl w:val="nil"/>
            </w:tcBorders>
            <w:noWrap/>
            <w:vAlign w:val="center"/>
          </w:tcPr>
          <w:p w14:paraId="6C72FB97">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（2）资信证明文件：根据招标文件第四部分评标标准提供。</w:t>
            </w:r>
          </w:p>
        </w:tc>
      </w:tr>
      <w:tr w14:paraId="55C6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tcBorders>
              <w:tl2br w:val="nil"/>
              <w:tr2bl w:val="nil"/>
            </w:tcBorders>
            <w:noWrap/>
            <w:vAlign w:val="center"/>
          </w:tcPr>
          <w:p w14:paraId="21F9C70E">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9</w:t>
            </w:r>
          </w:p>
        </w:tc>
        <w:tc>
          <w:tcPr>
            <w:tcW w:w="1843" w:type="dxa"/>
            <w:tcBorders>
              <w:tl2br w:val="nil"/>
              <w:tr2bl w:val="nil"/>
            </w:tcBorders>
            <w:noWrap/>
            <w:vAlign w:val="center"/>
          </w:tcPr>
          <w:p w14:paraId="460319EF">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节能产品、环境标志产品</w:t>
            </w:r>
          </w:p>
        </w:tc>
        <w:tc>
          <w:tcPr>
            <w:tcW w:w="6095" w:type="dxa"/>
            <w:tcBorders>
              <w:tl2br w:val="nil"/>
              <w:tr2bl w:val="nil"/>
            </w:tcBorders>
            <w:noWrap/>
            <w:vAlign w:val="center"/>
          </w:tcPr>
          <w:p w14:paraId="5BF49067">
            <w:pPr>
              <w:pStyle w:val="17"/>
              <w:rPr>
                <w:rFonts w:ascii="仿宋_GB2312" w:hAnsi="仿宋" w:eastAsia="仿宋_GB2312" w:cs="仿宋"/>
                <w:sz w:val="24"/>
                <w:highlight w:val="none"/>
              </w:rPr>
            </w:pPr>
            <w:r>
              <w:rPr>
                <w:rFonts w:hint="eastAsia" w:ascii="仿宋_GB2312" w:hAnsi="仿宋" w:eastAsia="仿宋_GB2312"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056BFCB1">
            <w:pPr>
              <w:pStyle w:val="17"/>
              <w:rPr>
                <w:rFonts w:ascii="仿宋_GB2312" w:hAnsi="仿宋" w:eastAsia="仿宋_GB2312" w:cs="仿宋"/>
                <w:sz w:val="24"/>
                <w:highlight w:val="none"/>
              </w:rPr>
            </w:pPr>
            <w:r>
              <w:rPr>
                <w:rFonts w:hint="eastAsia" w:ascii="仿宋_GB2312" w:hAnsi="仿宋" w:eastAsia="仿宋_GB2312" w:cs="仿宋"/>
                <w:kern w:val="0"/>
                <w:sz w:val="24"/>
                <w:highlight w:val="none"/>
              </w:rPr>
              <w:sym w:font="Wingdings" w:char="00FE"/>
            </w:r>
            <w:r>
              <w:rPr>
                <w:rFonts w:hint="eastAsia" w:ascii="仿宋_GB2312" w:hAnsi="仿宋" w:eastAsia="仿宋_GB2312" w:cs="仿宋"/>
                <w:kern w:val="0"/>
                <w:sz w:val="24"/>
                <w:highlight w:val="none"/>
              </w:rPr>
              <w:t>A无</w:t>
            </w:r>
          </w:p>
          <w:p w14:paraId="6B74CBE0">
            <w:pPr>
              <w:pStyle w:val="17"/>
              <w:rPr>
                <w:rFonts w:ascii="仿宋_GB2312" w:hAnsi="仿宋" w:eastAsia="仿宋_GB2312" w:cs="仿宋"/>
                <w:kern w:val="0"/>
                <w:sz w:val="24"/>
                <w:highlight w:val="none"/>
              </w:rPr>
            </w:pPr>
            <w:r>
              <w:rPr>
                <w:rFonts w:hint="eastAsia" w:ascii="MS Gothic" w:hAnsi="MS Gothic" w:eastAsia="MS Gothic" w:cs="MS Gothic"/>
                <w:snapToGrid w:val="0"/>
                <w:kern w:val="0"/>
                <w:sz w:val="24"/>
                <w:highlight w:val="none"/>
              </w:rPr>
              <w:t>☐</w:t>
            </w:r>
            <w:r>
              <w:rPr>
                <w:rFonts w:hint="eastAsia" w:ascii="仿宋_GB2312" w:hAnsi="仿宋" w:eastAsia="仿宋_GB2312" w:cs="仿宋"/>
                <w:kern w:val="0"/>
                <w:sz w:val="24"/>
                <w:highlight w:val="none"/>
              </w:rPr>
              <w:t>B 政府</w:t>
            </w:r>
            <w:r>
              <w:rPr>
                <w:rFonts w:hint="eastAsia" w:ascii="仿宋_GB2312" w:hAnsi="仿宋" w:eastAsia="仿宋_GB2312" w:cs="仿宋"/>
                <w:sz w:val="24"/>
                <w:highlight w:val="none"/>
              </w:rPr>
              <w:t>强制采购节能产品</w:t>
            </w:r>
            <w:r>
              <w:rPr>
                <w:rFonts w:hint="eastAsia" w:ascii="仿宋_GB2312" w:hAnsi="仿宋" w:eastAsia="仿宋_GB2312" w:cs="仿宋"/>
                <w:kern w:val="0"/>
                <w:sz w:val="24"/>
                <w:highlight w:val="none"/>
              </w:rPr>
              <w:t>：</w:t>
            </w:r>
          </w:p>
          <w:p w14:paraId="520A0235">
            <w:pPr>
              <w:pStyle w:val="17"/>
              <w:rPr>
                <w:rFonts w:ascii="仿宋_GB2312" w:hAnsi="仿宋" w:eastAsia="仿宋_GB2312" w:cs="仿宋"/>
                <w:sz w:val="24"/>
                <w:highlight w:val="none"/>
                <w:u w:val="single"/>
              </w:rPr>
            </w:pPr>
            <w:r>
              <w:rPr>
                <w:rFonts w:hint="eastAsia" w:ascii="仿宋_GB2312" w:hAnsi="仿宋" w:eastAsia="仿宋_GB2312" w:cs="仿宋"/>
                <w:sz w:val="24"/>
                <w:highlight w:val="none"/>
              </w:rPr>
              <w:t>（1）；</w:t>
            </w:r>
          </w:p>
          <w:p w14:paraId="5C9F7601">
            <w:pPr>
              <w:pStyle w:val="17"/>
              <w:rPr>
                <w:rFonts w:ascii="仿宋_GB2312" w:hAnsi="仿宋" w:eastAsia="仿宋_GB2312" w:cs="仿宋"/>
                <w:sz w:val="24"/>
                <w:highlight w:val="none"/>
              </w:rPr>
            </w:pPr>
            <w:r>
              <w:rPr>
                <w:rFonts w:hint="eastAsia" w:ascii="仿宋_GB2312" w:hAnsi="仿宋" w:eastAsia="仿宋_GB2312" w:cs="仿宋"/>
                <w:sz w:val="24"/>
                <w:highlight w:val="none"/>
              </w:rPr>
              <w:t>（2）……</w:t>
            </w:r>
          </w:p>
          <w:p w14:paraId="5208B74B">
            <w:pPr>
              <w:pStyle w:val="17"/>
              <w:rPr>
                <w:rFonts w:ascii="仿宋_GB2312" w:hAnsi="仿宋" w:eastAsia="仿宋_GB2312" w:cs="仿宋"/>
                <w:kern w:val="0"/>
                <w:sz w:val="24"/>
                <w:highlight w:val="none"/>
              </w:rPr>
            </w:pPr>
            <w:r>
              <w:rPr>
                <w:rFonts w:hint="eastAsia" w:ascii="MS Gothic" w:hAnsi="MS Gothic" w:eastAsia="MS Gothic" w:cs="MS Gothic"/>
                <w:snapToGrid w:val="0"/>
                <w:kern w:val="0"/>
                <w:sz w:val="24"/>
                <w:highlight w:val="none"/>
              </w:rPr>
              <w:t>☐</w:t>
            </w:r>
            <w:r>
              <w:rPr>
                <w:rFonts w:hint="eastAsia" w:ascii="仿宋_GB2312" w:hAnsi="仿宋" w:eastAsia="仿宋_GB2312" w:cs="仿宋"/>
                <w:kern w:val="0"/>
                <w:sz w:val="24"/>
                <w:highlight w:val="none"/>
              </w:rPr>
              <w:t xml:space="preserve">C </w:t>
            </w:r>
            <w:r>
              <w:rPr>
                <w:rFonts w:hint="eastAsia" w:ascii="仿宋_GB2312" w:hAnsi="仿宋" w:eastAsia="仿宋_GB2312" w:cs="仿宋"/>
                <w:sz w:val="24"/>
                <w:highlight w:val="none"/>
              </w:rPr>
              <w:t>政府优先采购节能产品</w:t>
            </w:r>
            <w:r>
              <w:rPr>
                <w:rFonts w:hint="eastAsia" w:ascii="仿宋_GB2312" w:hAnsi="仿宋" w:eastAsia="仿宋_GB2312" w:cs="仿宋"/>
                <w:kern w:val="0"/>
                <w:sz w:val="24"/>
                <w:highlight w:val="none"/>
              </w:rPr>
              <w:t>：</w:t>
            </w:r>
          </w:p>
          <w:p w14:paraId="4272F057">
            <w:pPr>
              <w:pStyle w:val="17"/>
              <w:rPr>
                <w:rFonts w:ascii="仿宋_GB2312" w:hAnsi="仿宋" w:eastAsia="仿宋_GB2312" w:cs="仿宋"/>
                <w:sz w:val="24"/>
                <w:highlight w:val="none"/>
                <w:u w:val="single"/>
              </w:rPr>
            </w:pPr>
            <w:r>
              <w:rPr>
                <w:rFonts w:hint="eastAsia" w:ascii="仿宋_GB2312" w:hAnsi="仿宋" w:eastAsia="仿宋_GB2312" w:cs="仿宋"/>
                <w:kern w:val="0"/>
                <w:sz w:val="24"/>
                <w:highlight w:val="none"/>
              </w:rPr>
              <w:t>（1）</w:t>
            </w:r>
            <w:r>
              <w:rPr>
                <w:rFonts w:hint="eastAsia" w:ascii="仿宋_GB2312" w:hAnsi="仿宋" w:eastAsia="仿宋_GB2312" w:cs="仿宋"/>
                <w:sz w:val="24"/>
                <w:highlight w:val="none"/>
              </w:rPr>
              <w:t>；</w:t>
            </w:r>
          </w:p>
          <w:p w14:paraId="63336C5A">
            <w:pPr>
              <w:pStyle w:val="17"/>
              <w:rPr>
                <w:rFonts w:ascii="仿宋_GB2312" w:hAnsi="仿宋" w:eastAsia="仿宋_GB2312" w:cs="仿宋"/>
                <w:sz w:val="24"/>
                <w:highlight w:val="none"/>
              </w:rPr>
            </w:pPr>
            <w:r>
              <w:rPr>
                <w:rFonts w:hint="eastAsia" w:ascii="仿宋_GB2312" w:hAnsi="仿宋" w:eastAsia="仿宋_GB2312" w:cs="仿宋"/>
                <w:sz w:val="24"/>
                <w:highlight w:val="none"/>
              </w:rPr>
              <w:t>（2）……</w:t>
            </w:r>
          </w:p>
          <w:p w14:paraId="34789C6E">
            <w:pPr>
              <w:pStyle w:val="17"/>
              <w:rPr>
                <w:rFonts w:ascii="仿宋_GB2312" w:hAnsi="仿宋" w:eastAsia="仿宋_GB2312" w:cs="仿宋"/>
                <w:kern w:val="0"/>
                <w:sz w:val="24"/>
                <w:highlight w:val="none"/>
              </w:rPr>
            </w:pPr>
            <w:r>
              <w:rPr>
                <w:rFonts w:hint="eastAsia" w:ascii="MS Gothic" w:hAnsi="MS Gothic" w:eastAsia="MS Gothic" w:cs="MS Gothic"/>
                <w:kern w:val="0"/>
                <w:sz w:val="24"/>
                <w:highlight w:val="none"/>
              </w:rPr>
              <w:t>☐</w:t>
            </w:r>
            <w:r>
              <w:rPr>
                <w:rFonts w:hint="eastAsia" w:ascii="仿宋_GB2312" w:hAnsi="仿宋" w:eastAsia="仿宋_GB2312" w:cs="仿宋"/>
                <w:kern w:val="0"/>
                <w:sz w:val="24"/>
                <w:highlight w:val="none"/>
              </w:rPr>
              <w:t xml:space="preserve">D </w:t>
            </w:r>
            <w:r>
              <w:rPr>
                <w:rFonts w:hint="eastAsia" w:ascii="仿宋_GB2312" w:hAnsi="仿宋" w:eastAsia="仿宋_GB2312" w:cs="仿宋"/>
                <w:sz w:val="24"/>
                <w:highlight w:val="none"/>
              </w:rPr>
              <w:t>政府优先采购环境标志产品</w:t>
            </w:r>
            <w:r>
              <w:rPr>
                <w:rFonts w:hint="eastAsia" w:ascii="仿宋_GB2312" w:hAnsi="仿宋" w:eastAsia="仿宋_GB2312" w:cs="仿宋"/>
                <w:kern w:val="0"/>
                <w:sz w:val="24"/>
                <w:highlight w:val="none"/>
              </w:rPr>
              <w:t>：</w:t>
            </w:r>
          </w:p>
          <w:p w14:paraId="3C6006C2">
            <w:pPr>
              <w:pStyle w:val="17"/>
              <w:rPr>
                <w:rFonts w:ascii="仿宋_GB2312" w:hAnsi="仿宋" w:eastAsia="仿宋_GB2312" w:cs="仿宋"/>
                <w:sz w:val="24"/>
                <w:highlight w:val="none"/>
              </w:rPr>
            </w:pPr>
            <w:r>
              <w:rPr>
                <w:rFonts w:hint="eastAsia" w:ascii="仿宋_GB2312" w:hAnsi="仿宋" w:eastAsia="仿宋_GB2312" w:cs="仿宋"/>
                <w:kern w:val="0"/>
                <w:sz w:val="24"/>
                <w:highlight w:val="none"/>
              </w:rPr>
              <w:t>（1）</w:t>
            </w:r>
            <w:r>
              <w:rPr>
                <w:rFonts w:hint="eastAsia" w:ascii="仿宋_GB2312" w:hAnsi="仿宋" w:eastAsia="仿宋_GB2312" w:cs="仿宋"/>
                <w:sz w:val="24"/>
                <w:highlight w:val="none"/>
              </w:rPr>
              <w:t>；</w:t>
            </w:r>
          </w:p>
          <w:p w14:paraId="2C344AE9">
            <w:pPr>
              <w:pStyle w:val="17"/>
              <w:rPr>
                <w:rFonts w:ascii="仿宋_GB2312" w:hAnsi="仿宋" w:eastAsia="仿宋_GB2312" w:cs="仿宋"/>
                <w:sz w:val="24"/>
                <w:highlight w:val="none"/>
              </w:rPr>
            </w:pPr>
            <w:r>
              <w:rPr>
                <w:rFonts w:hint="eastAsia" w:ascii="仿宋_GB2312" w:hAnsi="仿宋" w:eastAsia="仿宋_GB2312" w:cs="仿宋"/>
                <w:sz w:val="24"/>
                <w:highlight w:val="none"/>
              </w:rPr>
              <w:t>（2）……</w:t>
            </w:r>
          </w:p>
        </w:tc>
      </w:tr>
      <w:tr w14:paraId="10D4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tcBorders>
              <w:tl2br w:val="nil"/>
              <w:tr2bl w:val="nil"/>
            </w:tcBorders>
            <w:noWrap/>
            <w:vAlign w:val="center"/>
          </w:tcPr>
          <w:p w14:paraId="436DFE98">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10</w:t>
            </w:r>
          </w:p>
        </w:tc>
        <w:tc>
          <w:tcPr>
            <w:tcW w:w="1843" w:type="dxa"/>
            <w:tcBorders>
              <w:tl2br w:val="nil"/>
              <w:tr2bl w:val="nil"/>
            </w:tcBorders>
            <w:noWrap/>
            <w:vAlign w:val="center"/>
          </w:tcPr>
          <w:p w14:paraId="0E31EB29">
            <w:pPr>
              <w:adjustRightInd w:val="0"/>
              <w:snapToGrid w:val="0"/>
              <w:spacing w:line="400" w:lineRule="exact"/>
              <w:jc w:val="center"/>
              <w:rPr>
                <w:rFonts w:ascii="仿宋_GB2312" w:hAnsi="仿宋" w:eastAsia="仿宋_GB2312" w:cs="仿宋"/>
                <w:b/>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sz w:val="24"/>
                <w:highlight w:val="none"/>
                <w14:textFill>
                  <w14:solidFill>
                    <w14:schemeClr w14:val="tx1"/>
                  </w14:solidFill>
                </w14:textFill>
              </w:rPr>
              <w:t>报价要求（下有）</w:t>
            </w:r>
          </w:p>
        </w:tc>
        <w:tc>
          <w:tcPr>
            <w:tcW w:w="6095" w:type="dxa"/>
            <w:tcBorders>
              <w:tl2br w:val="nil"/>
              <w:tr2bl w:val="nil"/>
            </w:tcBorders>
            <w:noWrap/>
            <w:vAlign w:val="center"/>
          </w:tcPr>
          <w:p w14:paraId="0DE59FAC">
            <w:pPr>
              <w:tabs>
                <w:tab w:val="left" w:pos="3570"/>
              </w:tabs>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_GB2312" w:hAnsi="仿宋" w:eastAsia="仿宋_GB2312" w:cs="仿宋"/>
                <w:color w:val="000000" w:themeColor="text1"/>
                <w:sz w:val="24"/>
                <w:highlight w:val="none"/>
                <w14:textFill>
                  <w14:solidFill>
                    <w14:schemeClr w14:val="tx1"/>
                  </w14:solidFill>
                </w14:textFill>
              </w:rPr>
              <w:t>开标一览表（报价表）是报价的唯一载体</w:t>
            </w:r>
            <w:r>
              <w:rPr>
                <w:rFonts w:hint="eastAsia" w:ascii="仿宋_GB2312" w:hAnsi="仿宋" w:eastAsia="仿宋_GB2312"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
                <w:b/>
                <w:bCs/>
                <w:color w:val="000000" w:themeColor="text1"/>
                <w:kern w:val="0"/>
                <w:sz w:val="24"/>
                <w:highlight w:val="none"/>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_GB2312" w:hAnsi="仿宋" w:eastAsia="仿宋_GB2312"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 w:eastAsia="仿宋_GB2312"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601FDA33">
            <w:pPr>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b/>
                <w:color w:val="000000" w:themeColor="text1"/>
                <w:kern w:val="0"/>
                <w:sz w:val="24"/>
                <w:highlight w:val="none"/>
                <w:lang w:val="zh-CN"/>
                <w14:textFill>
                  <w14:solidFill>
                    <w14:schemeClr w14:val="tx1"/>
                  </w14:solidFill>
                </w14:textFill>
              </w:rPr>
              <w:t>投标报价出现下列情形的，投标无效：</w:t>
            </w:r>
          </w:p>
          <w:p w14:paraId="25CCF212">
            <w:pPr>
              <w:numPr>
                <w:ilvl w:val="0"/>
                <w:numId w:val="2"/>
              </w:numPr>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b/>
                <w:color w:val="000000" w:themeColor="text1"/>
                <w:kern w:val="0"/>
                <w:sz w:val="24"/>
                <w:highlight w:val="none"/>
                <w:lang w:val="zh-CN"/>
                <w14:textFill>
                  <w14:solidFill>
                    <w14:schemeClr w14:val="tx1"/>
                  </w14:solidFill>
                </w14:textFill>
              </w:rPr>
              <w:t>投标文件出现不是唯一的、有选择性投标报价的；</w:t>
            </w:r>
          </w:p>
          <w:p w14:paraId="4A3C9952">
            <w:pPr>
              <w:numPr>
                <w:ilvl w:val="0"/>
                <w:numId w:val="2"/>
              </w:numPr>
              <w:adjustRightInd w:val="0"/>
              <w:snapToGrid w:val="0"/>
              <w:spacing w:line="400" w:lineRule="exact"/>
              <w:jc w:val="left"/>
              <w:rPr>
                <w:rFonts w:ascii="仿宋_GB2312" w:hAnsi="仿宋" w:eastAsia="仿宋_GB2312" w:cs="仿宋"/>
                <w:b/>
                <w:color w:val="000000" w:themeColor="text1"/>
                <w:kern w:val="0"/>
                <w:sz w:val="24"/>
                <w:highlight w:val="none"/>
                <w:lang w:val="zh-CN"/>
                <w14:textFill>
                  <w14:solidFill>
                    <w14:schemeClr w14:val="tx1"/>
                  </w14:solidFill>
                </w14:textFill>
              </w:rPr>
            </w:pPr>
            <w:r>
              <w:rPr>
                <w:rFonts w:hint="eastAsia" w:ascii="仿宋_GB2312" w:hAnsi="仿宋" w:eastAsia="仿宋_GB2312"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3D1332B8">
            <w:pPr>
              <w:numPr>
                <w:ilvl w:val="0"/>
                <w:numId w:val="2"/>
              </w:numPr>
              <w:adjustRightInd w:val="0"/>
              <w:snapToGrid w:val="0"/>
              <w:spacing w:line="400" w:lineRule="exact"/>
              <w:rPr>
                <w:rFonts w:ascii="仿宋_GB2312" w:hAnsi="仿宋" w:eastAsia="仿宋_GB2312" w:cs="仿宋"/>
                <w:b/>
                <w:color w:val="000000" w:themeColor="text1"/>
                <w:sz w:val="24"/>
                <w:highlight w:val="none"/>
                <w14:textFill>
                  <w14:solidFill>
                    <w14:schemeClr w14:val="tx1"/>
                  </w14:solidFill>
                </w14:textFill>
              </w:rPr>
            </w:pPr>
            <w:r>
              <w:rPr>
                <w:rFonts w:hint="eastAsia" w:ascii="仿宋_GB2312" w:hAnsi="仿宋" w:eastAsia="仿宋_GB2312"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
                <w:b/>
                <w:color w:val="000000" w:themeColor="text1"/>
                <w:sz w:val="24"/>
                <w:szCs w:val="21"/>
                <w:highlight w:val="none"/>
                <w14:textFill>
                  <w14:solidFill>
                    <w14:schemeClr w14:val="tx1"/>
                  </w14:solidFill>
                </w14:textFill>
              </w:rPr>
              <w:t>;</w:t>
            </w:r>
          </w:p>
          <w:p w14:paraId="37A5C1A7">
            <w:pPr>
              <w:numPr>
                <w:ilvl w:val="0"/>
                <w:numId w:val="2"/>
              </w:numPr>
              <w:adjustRightInd w:val="0"/>
              <w:snapToGrid w:val="0"/>
              <w:spacing w:line="400" w:lineRule="exact"/>
              <w:rPr>
                <w:rFonts w:ascii="仿宋_GB2312" w:hAnsi="仿宋" w:eastAsia="仿宋_GB2312" w:cs="仿宋"/>
                <w:color w:val="000000" w:themeColor="text1"/>
                <w:sz w:val="24"/>
                <w:szCs w:val="20"/>
                <w:highlight w:val="none"/>
                <w14:textFill>
                  <w14:solidFill>
                    <w14:schemeClr w14:val="tx1"/>
                  </w14:solidFill>
                </w14:textFill>
              </w:rPr>
            </w:pPr>
            <w:r>
              <w:rPr>
                <w:rFonts w:hint="eastAsia" w:ascii="仿宋_GB2312" w:hAnsi="仿宋" w:eastAsia="仿宋_GB2312"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_GB2312" w:hAnsi="仿宋" w:eastAsia="仿宋_GB2312" w:cs="仿宋"/>
                <w:b/>
                <w:color w:val="000000" w:themeColor="text1"/>
                <w:sz w:val="24"/>
                <w:highlight w:val="none"/>
                <w14:textFill>
                  <w14:solidFill>
                    <w14:schemeClr w14:val="tx1"/>
                  </w14:solidFill>
                </w14:textFill>
              </w:rPr>
              <w:t>。</w:t>
            </w:r>
          </w:p>
        </w:tc>
      </w:tr>
      <w:tr w14:paraId="0C66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restart"/>
            <w:tcBorders>
              <w:tl2br w:val="nil"/>
              <w:tr2bl w:val="nil"/>
            </w:tcBorders>
            <w:noWrap/>
            <w:vAlign w:val="center"/>
          </w:tcPr>
          <w:p w14:paraId="45F6493D">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11</w:t>
            </w:r>
          </w:p>
        </w:tc>
        <w:tc>
          <w:tcPr>
            <w:tcW w:w="1843" w:type="dxa"/>
            <w:vMerge w:val="restart"/>
            <w:tcBorders>
              <w:tl2br w:val="nil"/>
              <w:tr2bl w:val="nil"/>
            </w:tcBorders>
            <w:noWrap/>
            <w:vAlign w:val="center"/>
          </w:tcPr>
          <w:p w14:paraId="0C246B05">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中小企业信用融资</w:t>
            </w:r>
          </w:p>
        </w:tc>
        <w:tc>
          <w:tcPr>
            <w:tcW w:w="6095" w:type="dxa"/>
            <w:tcBorders>
              <w:tl2br w:val="nil"/>
              <w:tr2bl w:val="nil"/>
            </w:tcBorders>
            <w:noWrap/>
            <w:vAlign w:val="center"/>
          </w:tcPr>
          <w:p w14:paraId="298F7CC5">
            <w:pPr>
              <w:adjustRightInd w:val="0"/>
              <w:snapToGrid w:val="0"/>
              <w:spacing w:line="400" w:lineRule="exact"/>
              <w:rPr>
                <w:rFonts w:ascii="仿宋_GB2312" w:hAnsi="仿宋" w:eastAsia="仿宋_GB2312" w:cs="仿宋"/>
                <w:b/>
                <w:sz w:val="24"/>
                <w:highlight w:val="none"/>
              </w:rPr>
            </w:pPr>
            <w:r>
              <w:rPr>
                <w:rFonts w:hint="eastAsia" w:ascii="仿宋_GB2312" w:hAnsi="仿宋" w:eastAsia="仿宋_GB2312" w:cs="仿宋"/>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14:paraId="2466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continue"/>
            <w:tcBorders>
              <w:tl2br w:val="nil"/>
              <w:tr2bl w:val="nil"/>
            </w:tcBorders>
            <w:noWrap/>
            <w:vAlign w:val="center"/>
          </w:tcPr>
          <w:p w14:paraId="265FE361">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5D16DDA6">
            <w:pPr>
              <w:adjustRightInd w:val="0"/>
              <w:snapToGrid w:val="0"/>
              <w:spacing w:line="400" w:lineRule="exact"/>
              <w:ind w:firstLine="482" w:firstLineChars="200"/>
              <w:rPr>
                <w:rFonts w:ascii="仿宋_GB2312" w:hAnsi="仿宋" w:eastAsia="仿宋_GB2312" w:cs="仿宋"/>
                <w:b/>
                <w:sz w:val="24"/>
                <w:highlight w:val="none"/>
              </w:rPr>
            </w:pPr>
          </w:p>
        </w:tc>
        <w:tc>
          <w:tcPr>
            <w:tcW w:w="6095" w:type="dxa"/>
            <w:tcBorders>
              <w:tl2br w:val="nil"/>
              <w:tr2bl w:val="nil"/>
            </w:tcBorders>
            <w:noWrap/>
            <w:vAlign w:val="center"/>
          </w:tcPr>
          <w:p w14:paraId="70FFBCCE">
            <w:pPr>
              <w:adjustRightInd w:val="0"/>
              <w:snapToGrid w:val="0"/>
              <w:spacing w:line="400" w:lineRule="exact"/>
              <w:rPr>
                <w:rFonts w:ascii="仿宋_GB2312" w:hAnsi="仿宋" w:eastAsia="仿宋_GB2312" w:cs="仿宋"/>
                <w:b/>
                <w:sz w:val="24"/>
                <w:highlight w:val="none"/>
              </w:rPr>
            </w:pPr>
            <w:r>
              <w:rPr>
                <w:rFonts w:hint="eastAsia" w:ascii="仿宋_GB2312" w:hAnsi="仿宋" w:eastAsia="仿宋_GB2312"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B6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ign w:val="center"/>
          </w:tcPr>
          <w:p w14:paraId="2D385C1E">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12</w:t>
            </w:r>
          </w:p>
        </w:tc>
        <w:tc>
          <w:tcPr>
            <w:tcW w:w="1843" w:type="dxa"/>
            <w:tcBorders>
              <w:tl2br w:val="nil"/>
              <w:tr2bl w:val="nil"/>
            </w:tcBorders>
            <w:noWrap/>
            <w:vAlign w:val="center"/>
          </w:tcPr>
          <w:p w14:paraId="423FB318">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
                <w:sz w:val="24"/>
                <w:highlight w:val="none"/>
              </w:rPr>
              <w:t xml:space="preserve">备份投标文件送达地点和签收人员 </w:t>
            </w:r>
          </w:p>
        </w:tc>
        <w:tc>
          <w:tcPr>
            <w:tcW w:w="6095" w:type="dxa"/>
            <w:tcBorders>
              <w:tl2br w:val="nil"/>
              <w:tr2bl w:val="nil"/>
            </w:tcBorders>
            <w:noWrap/>
            <w:vAlign w:val="center"/>
          </w:tcPr>
          <w:p w14:paraId="28880773">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备份投标文件送达地点：</w:t>
            </w:r>
            <w:r>
              <w:rPr>
                <w:rFonts w:hint="eastAsia" w:ascii="仿宋_GB2312" w:hAnsi="仿宋" w:eastAsia="仿宋_GB2312" w:cs="仿宋"/>
                <w:sz w:val="24"/>
                <w:highlight w:val="none"/>
                <w:u w:val="single"/>
              </w:rPr>
              <w:t xml:space="preserve"> 杭州市文三路90号东部软件园一号楼319室  </w:t>
            </w:r>
            <w:r>
              <w:rPr>
                <w:rFonts w:hint="eastAsia" w:ascii="仿宋_GB2312" w:hAnsi="仿宋" w:eastAsia="仿宋_GB2312" w:cs="仿宋"/>
                <w:kern w:val="28"/>
                <w:sz w:val="24"/>
                <w:szCs w:val="24"/>
                <w:highlight w:val="none"/>
              </w:rPr>
              <w:t>；</w:t>
            </w:r>
          </w:p>
          <w:p w14:paraId="5D4A689A">
            <w:pPr>
              <w:pStyle w:val="23"/>
              <w:adjustRightInd w:val="0"/>
              <w:snapToGrid w:val="0"/>
              <w:spacing w:line="400" w:lineRule="exact"/>
              <w:rPr>
                <w:rFonts w:ascii="仿宋_GB2312" w:hAnsi="仿宋" w:eastAsia="仿宋_GB2312" w:cs="仿宋"/>
                <w:color w:val="FF0000"/>
                <w:kern w:val="28"/>
                <w:sz w:val="24"/>
                <w:szCs w:val="24"/>
                <w:highlight w:val="none"/>
              </w:rPr>
            </w:pPr>
            <w:r>
              <w:rPr>
                <w:rFonts w:hint="eastAsia" w:ascii="仿宋_GB2312" w:hAnsi="仿宋" w:eastAsia="仿宋_GB2312" w:cs="仿宋"/>
                <w:b/>
                <w:bCs/>
                <w:color w:val="FF0000"/>
                <w:kern w:val="28"/>
                <w:sz w:val="24"/>
                <w:szCs w:val="24"/>
                <w:highlight w:val="none"/>
              </w:rPr>
              <w:t>因开标地点与代理机构办公地点不在同一处，备份文件如开标当天送出或可以收到的，</w:t>
            </w:r>
            <w:r>
              <w:rPr>
                <w:rFonts w:hint="eastAsia" w:ascii="仿宋_GB2312" w:hAnsi="仿宋" w:eastAsia="仿宋_GB2312" w:cs="仿宋"/>
                <w:color w:val="FF0000"/>
                <w:kern w:val="28"/>
                <w:sz w:val="24"/>
                <w:szCs w:val="24"/>
                <w:highlight w:val="none"/>
              </w:rPr>
              <w:t>请在投标截止时间</w:t>
            </w:r>
            <w:r>
              <w:rPr>
                <w:rFonts w:hint="eastAsia" w:ascii="仿宋_GB2312" w:hAnsi="仿宋" w:eastAsia="仿宋_GB2312" w:cs="仿宋"/>
                <w:color w:val="FF0000"/>
                <w:kern w:val="28"/>
                <w:sz w:val="24"/>
                <w:szCs w:val="24"/>
                <w:highlight w:val="none"/>
                <w:lang w:val="en-US" w:eastAsia="zh-CN"/>
              </w:rPr>
              <w:t>当天</w:t>
            </w:r>
            <w:r>
              <w:rPr>
                <w:rFonts w:hint="eastAsia" w:ascii="仿宋_GB2312" w:hAnsi="仿宋" w:eastAsia="仿宋_GB2312" w:cs="仿宋"/>
                <w:color w:val="FF0000"/>
                <w:kern w:val="28"/>
                <w:sz w:val="24"/>
                <w:szCs w:val="24"/>
                <w:highlight w:val="none"/>
              </w:rPr>
              <w:t>，送至</w:t>
            </w:r>
            <w:r>
              <w:rPr>
                <w:rFonts w:hint="eastAsia" w:ascii="仿宋_GB2312" w:hAnsi="仿宋" w:eastAsia="仿宋_GB2312" w:cs="仿宋"/>
                <w:color w:val="FF0000"/>
                <w:sz w:val="24"/>
                <w:highlight w:val="none"/>
                <w:u w:val="single"/>
              </w:rPr>
              <w:t>杭州市钱塘区金沙大道600号东楼6楼</w:t>
            </w:r>
            <w:r>
              <w:rPr>
                <w:rFonts w:hint="eastAsia" w:ascii="仿宋_GB2312" w:hAnsi="仿宋" w:eastAsia="仿宋_GB2312" w:cs="仿宋"/>
                <w:color w:val="FF0000"/>
                <w:sz w:val="24"/>
                <w:highlight w:val="none"/>
                <w:u w:val="single"/>
                <w:lang w:val="en-US" w:eastAsia="zh-CN"/>
              </w:rPr>
              <w:t>5</w:t>
            </w:r>
            <w:r>
              <w:rPr>
                <w:rFonts w:hint="eastAsia" w:ascii="仿宋_GB2312" w:hAnsi="仿宋" w:eastAsia="仿宋_GB2312" w:cs="仿宋"/>
                <w:color w:val="FF0000"/>
                <w:sz w:val="24"/>
                <w:highlight w:val="none"/>
                <w:u w:val="single"/>
              </w:rPr>
              <w:t>号开标室</w:t>
            </w:r>
            <w:r>
              <w:rPr>
                <w:rFonts w:hint="eastAsia" w:ascii="仿宋_GB2312" w:hAnsi="仿宋" w:eastAsia="仿宋_GB2312" w:cs="仿宋"/>
                <w:color w:val="FF0000"/>
                <w:sz w:val="24"/>
                <w:highlight w:val="none"/>
              </w:rPr>
              <w:t>。</w:t>
            </w:r>
          </w:p>
          <w:p w14:paraId="2EC7C927">
            <w:pPr>
              <w:pStyle w:val="23"/>
              <w:adjustRightInd w:val="0"/>
              <w:snapToGrid w:val="0"/>
              <w:spacing w:line="400" w:lineRule="exact"/>
              <w:rPr>
                <w:rFonts w:ascii="仿宋_GB2312" w:hAnsi="仿宋" w:eastAsia="仿宋_GB2312" w:cs="仿宋"/>
                <w:highlight w:val="none"/>
              </w:rPr>
            </w:pPr>
            <w:r>
              <w:rPr>
                <w:rFonts w:hint="eastAsia" w:ascii="仿宋_GB2312" w:hAnsi="仿宋" w:eastAsia="仿宋_GB2312" w:cs="仿宋"/>
                <w:kern w:val="28"/>
                <w:sz w:val="24"/>
                <w:szCs w:val="24"/>
                <w:highlight w:val="none"/>
              </w:rPr>
              <w:t>备份投标文件签收人员联系电话：</w:t>
            </w:r>
            <w:r>
              <w:rPr>
                <w:rFonts w:hint="eastAsia" w:ascii="仿宋_GB2312" w:hAnsi="仿宋" w:eastAsia="仿宋_GB2312" w:cs="仿宋"/>
                <w:sz w:val="24"/>
                <w:highlight w:val="none"/>
                <w:u w:val="single"/>
              </w:rPr>
              <w:t xml:space="preserve"> 唐稳，13777483506   </w:t>
            </w:r>
            <w:r>
              <w:rPr>
                <w:rFonts w:hint="eastAsia" w:ascii="仿宋_GB2312" w:hAnsi="仿宋" w:eastAsia="仿宋_GB2312" w:cs="仿宋"/>
                <w:sz w:val="24"/>
                <w:szCs w:val="24"/>
                <w:highlight w:val="none"/>
              </w:rPr>
              <w:t>。</w:t>
            </w:r>
          </w:p>
          <w:p w14:paraId="09EB9865">
            <w:pPr>
              <w:pStyle w:val="23"/>
              <w:adjustRightInd w:val="0"/>
              <w:snapToGrid w:val="0"/>
              <w:spacing w:line="400" w:lineRule="exact"/>
              <w:rPr>
                <w:rFonts w:ascii="仿宋_GB2312" w:hAnsi="仿宋" w:eastAsia="仿宋_GB2312" w:cs="仿宋"/>
                <w:b/>
                <w:kern w:val="0"/>
                <w:sz w:val="24"/>
                <w:highlight w:val="none"/>
                <w:lang w:val="zh-CN"/>
              </w:rPr>
            </w:pPr>
            <w:r>
              <w:rPr>
                <w:rFonts w:hint="eastAsia" w:ascii="仿宋_GB2312" w:hAnsi="仿宋" w:eastAsia="仿宋_GB2312" w:cs="仿宋"/>
                <w:b/>
                <w:sz w:val="24"/>
                <w:szCs w:val="24"/>
                <w:highlight w:val="none"/>
              </w:rPr>
              <w:t>采购人、采购机构不强制或变相强制投标人提交备份投标文件。</w:t>
            </w:r>
          </w:p>
        </w:tc>
      </w:tr>
      <w:tr w14:paraId="4820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rPr>
        <w:tc>
          <w:tcPr>
            <w:tcW w:w="629" w:type="dxa"/>
            <w:tcBorders>
              <w:tl2br w:val="nil"/>
              <w:tr2bl w:val="nil"/>
            </w:tcBorders>
            <w:noWrap/>
            <w:vAlign w:val="center"/>
          </w:tcPr>
          <w:p w14:paraId="73C60DF5">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13</w:t>
            </w:r>
          </w:p>
        </w:tc>
        <w:tc>
          <w:tcPr>
            <w:tcW w:w="1843" w:type="dxa"/>
            <w:tcBorders>
              <w:tl2br w:val="nil"/>
              <w:tr2bl w:val="nil"/>
            </w:tcBorders>
            <w:noWrap/>
            <w:vAlign w:val="center"/>
          </w:tcPr>
          <w:p w14:paraId="5BFD3C38">
            <w:pPr>
              <w:adjustRightInd w:val="0"/>
              <w:snapToGrid w:val="0"/>
              <w:jc w:val="center"/>
              <w:rPr>
                <w:rFonts w:ascii="仿宋_GB2312" w:hAnsi="仿宋" w:eastAsia="仿宋_GB2312" w:cs="仿宋"/>
                <w:b/>
                <w:sz w:val="24"/>
                <w:highlight w:val="none"/>
              </w:rPr>
            </w:pPr>
            <w:r>
              <w:rPr>
                <w:rFonts w:hint="eastAsia" w:ascii="仿宋_GB2312" w:hAnsi="仿宋" w:eastAsia="仿宋_GB2312" w:cs="仿宋"/>
                <w:sz w:val="24"/>
                <w:highlight w:val="none"/>
              </w:rPr>
              <w:t>采购代理服务费</w:t>
            </w:r>
          </w:p>
        </w:tc>
        <w:tc>
          <w:tcPr>
            <w:tcW w:w="6095" w:type="dxa"/>
            <w:tcBorders>
              <w:tl2br w:val="nil"/>
              <w:tr2bl w:val="nil"/>
            </w:tcBorders>
            <w:noWrap/>
            <w:vAlign w:val="center"/>
          </w:tcPr>
          <w:p w14:paraId="0CEB9214">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1.本项目的采购代理费由中标人支付；以中标金额为计费基准，计费标准按《计价格［2002］1980号》及《发改办价格［2003］857号》文件中服务类收费标准的80%计算；服务类收费标准如下（差额累计法）：</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3D36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77C780D5">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中标金额</w:t>
                  </w:r>
                </w:p>
              </w:tc>
              <w:tc>
                <w:tcPr>
                  <w:tcW w:w="1288" w:type="dxa"/>
                </w:tcPr>
                <w:p w14:paraId="42891122">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标准费率</w:t>
                  </w:r>
                </w:p>
              </w:tc>
              <w:tc>
                <w:tcPr>
                  <w:tcW w:w="1925" w:type="dxa"/>
                </w:tcPr>
                <w:p w14:paraId="303360BA">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八折费率</w:t>
                  </w:r>
                </w:p>
              </w:tc>
            </w:tr>
            <w:tr w14:paraId="7566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397310EE">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≤100万元</w:t>
                  </w:r>
                </w:p>
              </w:tc>
              <w:tc>
                <w:tcPr>
                  <w:tcW w:w="1288" w:type="dxa"/>
                </w:tcPr>
                <w:p w14:paraId="0F1EC517">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1.5%</w:t>
                  </w:r>
                </w:p>
              </w:tc>
              <w:tc>
                <w:tcPr>
                  <w:tcW w:w="1925" w:type="dxa"/>
                  <w:vAlign w:val="center"/>
                </w:tcPr>
                <w:p w14:paraId="5A9D6A97">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1.2%</w:t>
                  </w:r>
                </w:p>
              </w:tc>
            </w:tr>
            <w:tr w14:paraId="759D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7F732CE8">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100-500</w:t>
                  </w:r>
                </w:p>
              </w:tc>
              <w:tc>
                <w:tcPr>
                  <w:tcW w:w="1288" w:type="dxa"/>
                </w:tcPr>
                <w:p w14:paraId="33FABA12">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0.8%</w:t>
                  </w:r>
                </w:p>
              </w:tc>
              <w:tc>
                <w:tcPr>
                  <w:tcW w:w="1925" w:type="dxa"/>
                  <w:vAlign w:val="center"/>
                </w:tcPr>
                <w:p w14:paraId="6AE4FA49">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0.64%</w:t>
                  </w:r>
                </w:p>
              </w:tc>
            </w:tr>
            <w:tr w14:paraId="1103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tcPr>
                <w:p w14:paraId="4064CEB1">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500-1000</w:t>
                  </w:r>
                </w:p>
              </w:tc>
              <w:tc>
                <w:tcPr>
                  <w:tcW w:w="1288" w:type="dxa"/>
                </w:tcPr>
                <w:p w14:paraId="458F41A7">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0.45%</w:t>
                  </w:r>
                </w:p>
              </w:tc>
              <w:tc>
                <w:tcPr>
                  <w:tcW w:w="1925" w:type="dxa"/>
                  <w:vAlign w:val="center"/>
                </w:tcPr>
                <w:p w14:paraId="2173DAFE">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0.36%</w:t>
                  </w:r>
                </w:p>
              </w:tc>
            </w:tr>
          </w:tbl>
          <w:p w14:paraId="6B747DFE">
            <w:pPr>
              <w:pStyle w:val="23"/>
              <w:adjustRightInd w:val="0"/>
              <w:snapToGrid w:val="0"/>
              <w:rPr>
                <w:rFonts w:ascii="仿宋_GB2312" w:hAnsi="仿宋" w:eastAsia="仿宋_GB2312" w:cs="仿宋"/>
                <w:sz w:val="24"/>
                <w:highlight w:val="none"/>
              </w:rPr>
            </w:pPr>
          </w:p>
          <w:p w14:paraId="6AFEB01D">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2.结算方式及时间为：在结果公告发布5个工作日内由中标人一次性向采购代理机构付清。</w:t>
            </w:r>
          </w:p>
          <w:p w14:paraId="280ADB0F">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3.代理机构账号信息：</w:t>
            </w:r>
          </w:p>
          <w:p w14:paraId="5D413510">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（1）收款人（全称）：浙江国际招投标有限公司</w:t>
            </w:r>
          </w:p>
          <w:p w14:paraId="18DF0901">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（2）开户银行：中国工商银行杭州武林支行</w:t>
            </w:r>
          </w:p>
          <w:p w14:paraId="2846BF11">
            <w:pPr>
              <w:pStyle w:val="23"/>
              <w:adjustRightInd w:val="0"/>
              <w:snapToGrid w:val="0"/>
              <w:rPr>
                <w:rFonts w:ascii="仿宋_GB2312" w:hAnsi="仿宋" w:eastAsia="仿宋_GB2312" w:cs="仿宋"/>
                <w:sz w:val="24"/>
                <w:highlight w:val="none"/>
              </w:rPr>
            </w:pPr>
            <w:r>
              <w:rPr>
                <w:rFonts w:hint="eastAsia" w:ascii="仿宋_GB2312" w:hAnsi="仿宋" w:eastAsia="仿宋_GB2312" w:cs="仿宋"/>
                <w:sz w:val="24"/>
                <w:highlight w:val="none"/>
              </w:rPr>
              <w:t>（3）帐    号：1202 0212 0990 6782 015</w:t>
            </w:r>
          </w:p>
          <w:p w14:paraId="707C975D">
            <w:pPr>
              <w:pStyle w:val="23"/>
              <w:adjustRightInd w:val="0"/>
              <w:snapToGrid w:val="0"/>
              <w:rPr>
                <w:rFonts w:ascii="仿宋_GB2312" w:hAnsi="仿宋" w:eastAsia="仿宋_GB2312" w:cs="仿宋"/>
                <w:highlight w:val="none"/>
              </w:rPr>
            </w:pPr>
            <w:r>
              <w:rPr>
                <w:rFonts w:hint="eastAsia" w:ascii="仿宋_GB2312" w:hAnsi="仿宋" w:eastAsia="仿宋_GB2312" w:cs="仿宋"/>
                <w:sz w:val="24"/>
                <w:highlight w:val="none"/>
              </w:rPr>
              <w:t>4、中标、成交供应商放弃中标、成交资格导致重新采购的，应当承担支付代理费和专家评审费等费用在内的赔偿责任。</w:t>
            </w:r>
          </w:p>
        </w:tc>
      </w:tr>
      <w:tr w14:paraId="5FEFA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restart"/>
            <w:tcBorders>
              <w:tl2br w:val="nil"/>
              <w:tr2bl w:val="nil"/>
            </w:tcBorders>
            <w:noWrap/>
            <w:vAlign w:val="center"/>
          </w:tcPr>
          <w:p w14:paraId="5E4EAC43">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14</w:t>
            </w:r>
          </w:p>
          <w:p w14:paraId="2536204D">
            <w:pPr>
              <w:adjustRightInd w:val="0"/>
              <w:snapToGrid w:val="0"/>
              <w:spacing w:line="400" w:lineRule="exact"/>
              <w:jc w:val="center"/>
              <w:rPr>
                <w:rFonts w:ascii="仿宋_GB2312" w:hAnsi="仿宋" w:eastAsia="仿宋_GB2312" w:cs="仿宋"/>
                <w:sz w:val="24"/>
                <w:highlight w:val="none"/>
              </w:rPr>
            </w:pPr>
          </w:p>
        </w:tc>
        <w:tc>
          <w:tcPr>
            <w:tcW w:w="1843" w:type="dxa"/>
            <w:vMerge w:val="restart"/>
            <w:tcBorders>
              <w:tl2br w:val="nil"/>
              <w:tr2bl w:val="nil"/>
            </w:tcBorders>
            <w:noWrap/>
            <w:vAlign w:val="center"/>
          </w:tcPr>
          <w:p w14:paraId="2F65E52B">
            <w:pPr>
              <w:adjustRightInd w:val="0"/>
              <w:snapToGrid w:val="0"/>
              <w:jc w:val="center"/>
              <w:rPr>
                <w:rFonts w:ascii="仿宋_GB2312" w:hAnsi="仿宋" w:eastAsia="仿宋_GB2312" w:cs="仿宋"/>
                <w:sz w:val="24"/>
                <w:highlight w:val="none"/>
              </w:rPr>
            </w:pPr>
            <w:r>
              <w:rPr>
                <w:rFonts w:hint="eastAsia" w:ascii="仿宋_GB2312" w:hAnsi="仿宋" w:eastAsia="仿宋_GB2312" w:cs="仿宋"/>
                <w:sz w:val="24"/>
                <w:highlight w:val="none"/>
              </w:rPr>
              <w:t>联合体投标说明</w:t>
            </w:r>
          </w:p>
          <w:p w14:paraId="779D6052">
            <w:pPr>
              <w:adjustRightInd w:val="0"/>
              <w:snapToGrid w:val="0"/>
              <w:jc w:val="center"/>
              <w:rPr>
                <w:rFonts w:ascii="仿宋_GB2312" w:hAnsi="仿宋" w:eastAsia="仿宋_GB2312" w:cs="仿宋"/>
                <w:sz w:val="24"/>
                <w:highlight w:val="none"/>
              </w:rPr>
            </w:pPr>
          </w:p>
        </w:tc>
        <w:tc>
          <w:tcPr>
            <w:tcW w:w="6095" w:type="dxa"/>
            <w:tcBorders>
              <w:tl2br w:val="nil"/>
              <w:tr2bl w:val="nil"/>
            </w:tcBorders>
            <w:noWrap/>
            <w:vAlign w:val="center"/>
          </w:tcPr>
          <w:p w14:paraId="1924EB59">
            <w:pPr>
              <w:pStyle w:val="23"/>
              <w:adjustRightInd w:val="0"/>
              <w:snapToGrid w:val="0"/>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以联合体形式参与投标的，资格文件中：</w:t>
            </w:r>
          </w:p>
          <w:p w14:paraId="56135250">
            <w:pPr>
              <w:pStyle w:val="23"/>
              <w:adjustRightInd w:val="0"/>
              <w:snapToGrid w:val="0"/>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1、联合体各方均应提供“符合参加采购活动应当具备的一般条件的承诺函”，否则资格审查不通过。（承诺函格式见采购文件第六部分）</w:t>
            </w:r>
          </w:p>
          <w:p w14:paraId="68595F23">
            <w:pPr>
              <w:pStyle w:val="23"/>
              <w:adjustRightInd w:val="0"/>
              <w:snapToGrid w:val="0"/>
              <w:rPr>
                <w:rFonts w:hint="eastAsia"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2、资格文件中必须提供联合协议，否则资格审查不通过。（联合协议格式见采购文件第六部分）</w:t>
            </w:r>
          </w:p>
          <w:p w14:paraId="574DC515">
            <w:pPr>
              <w:rPr>
                <w:rFonts w:hint="default" w:eastAsia="仿宋_GB2312"/>
                <w:highlight w:val="none"/>
                <w:lang w:val="en-US" w:eastAsia="zh-CN"/>
              </w:rPr>
            </w:pPr>
            <w:r>
              <w:rPr>
                <w:rFonts w:hint="eastAsia" w:ascii="仿宋_GB2312" w:hAnsi="仿宋" w:eastAsia="仿宋_GB2312" w:cs="仿宋"/>
                <w:kern w:val="28"/>
                <w:sz w:val="24"/>
                <w:szCs w:val="24"/>
                <w:highlight w:val="none"/>
                <w:lang w:val="en-US" w:eastAsia="zh-CN"/>
              </w:rPr>
              <w:t>3、</w:t>
            </w:r>
            <w:r>
              <w:rPr>
                <w:rFonts w:hint="eastAsia" w:ascii="仿宋_GB2312" w:hAnsi="仿宋" w:eastAsia="仿宋_GB2312" w:cs="仿宋"/>
                <w:snapToGrid w:val="0"/>
                <w:kern w:val="28"/>
                <w:sz w:val="24"/>
                <w:szCs w:val="20"/>
                <w:highlight w:val="none"/>
                <w:lang w:val="en-US" w:eastAsia="zh-CN"/>
              </w:rPr>
              <w:t>联合体成员总数最多不超过2家。</w:t>
            </w:r>
          </w:p>
        </w:tc>
      </w:tr>
      <w:tr w14:paraId="18C6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6C37948A">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0480D8BF">
            <w:pPr>
              <w:adjustRightInd w:val="0"/>
              <w:snapToGrid w:val="0"/>
              <w:jc w:val="center"/>
              <w:rPr>
                <w:rFonts w:ascii="仿宋_GB2312" w:hAnsi="仿宋" w:eastAsia="仿宋_GB2312" w:cs="仿宋"/>
                <w:sz w:val="24"/>
                <w:highlight w:val="none"/>
              </w:rPr>
            </w:pPr>
          </w:p>
        </w:tc>
        <w:tc>
          <w:tcPr>
            <w:tcW w:w="6095" w:type="dxa"/>
            <w:tcBorders>
              <w:tl2br w:val="nil"/>
              <w:tr2bl w:val="nil"/>
            </w:tcBorders>
            <w:noWrap/>
            <w:vAlign w:val="center"/>
          </w:tcPr>
          <w:p w14:paraId="3B7BFB5C">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业绩证明材料</w:t>
            </w:r>
          </w:p>
          <w:p w14:paraId="5B09804D">
            <w:pPr>
              <w:pStyle w:val="23"/>
              <w:adjustRightInd w:val="0"/>
              <w:snapToGrid w:val="0"/>
              <w:spacing w:line="400" w:lineRule="exact"/>
              <w:rPr>
                <w:rFonts w:ascii="仿宋_GB2312" w:hAnsi="仿宋" w:eastAsia="仿宋_GB2312" w:cs="仿宋"/>
                <w:kern w:val="28"/>
                <w:sz w:val="24"/>
                <w:szCs w:val="24"/>
                <w:highlight w:val="none"/>
              </w:rPr>
            </w:pPr>
            <w:r>
              <w:rPr>
                <w:rFonts w:hint="eastAsia" w:ascii="MS Gothic" w:hAnsi="MS Gothic" w:eastAsia="MS Gothic" w:cs="MS Gothic"/>
                <w:kern w:val="28"/>
                <w:sz w:val="24"/>
                <w:szCs w:val="24"/>
                <w:highlight w:val="none"/>
              </w:rPr>
              <w:sym w:font="Wingdings" w:char="00FE"/>
            </w:r>
            <w:r>
              <w:rPr>
                <w:rFonts w:hint="eastAsia" w:ascii="仿宋_GB2312" w:hAnsi="仿宋_GB2312" w:eastAsia="仿宋_GB2312" w:cs="仿宋_GB2312"/>
                <w:kern w:val="28"/>
                <w:sz w:val="24"/>
                <w:szCs w:val="24"/>
                <w:highlight w:val="none"/>
              </w:rPr>
              <w:t>联合体投标的，按联合体协议约定的分工内容出具相应的业绩证明材料。承担相同工作的各方或工作内容存在部</w:t>
            </w:r>
            <w:r>
              <w:rPr>
                <w:rFonts w:hint="eastAsia" w:ascii="仿宋_GB2312" w:hAnsi="仿宋" w:eastAsia="仿宋_GB2312" w:cs="仿宋"/>
                <w:kern w:val="28"/>
                <w:sz w:val="24"/>
                <w:szCs w:val="24"/>
                <w:highlight w:val="none"/>
              </w:rPr>
              <w:t xml:space="preserve"> 分相同的，业绩数量以提供材料较少的一方为准。</w:t>
            </w:r>
          </w:p>
          <w:p w14:paraId="6E8287A7">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A8"/>
            </w:r>
            <w:r>
              <w:rPr>
                <w:rFonts w:hint="eastAsia" w:ascii="仿宋_GB2312" w:hAnsi="仿宋" w:eastAsia="仿宋_GB2312" w:cs="仿宋"/>
                <w:kern w:val="28"/>
                <w:sz w:val="24"/>
                <w:szCs w:val="24"/>
                <w:highlight w:val="none"/>
              </w:rPr>
              <w:t>联合体投标的，由联合体牵头方出具相应的业绩证明材料。</w:t>
            </w:r>
          </w:p>
          <w:p w14:paraId="3C55AECC">
            <w:pPr>
              <w:pStyle w:val="23"/>
              <w:adjustRightInd w:val="0"/>
              <w:snapToGrid w:val="0"/>
              <w:rPr>
                <w:rFonts w:ascii="仿宋_GB2312" w:hAnsi="仿宋" w:eastAsia="仿宋_GB2312" w:cs="仿宋"/>
                <w:kern w:val="28"/>
                <w:sz w:val="24"/>
                <w:szCs w:val="24"/>
                <w:highlight w:val="none"/>
              </w:rPr>
            </w:pPr>
            <w:r>
              <w:rPr>
                <w:rFonts w:hint="eastAsia" w:ascii="MS Gothic" w:hAnsi="MS Gothic" w:eastAsia="MS Gothic" w:cs="MS Gothic"/>
                <w:kern w:val="28"/>
                <w:sz w:val="24"/>
                <w:szCs w:val="24"/>
                <w:highlight w:val="none"/>
              </w:rPr>
              <w:t>☐</w:t>
            </w:r>
            <w:r>
              <w:rPr>
                <w:rFonts w:hint="eastAsia" w:ascii="仿宋_GB2312" w:hAnsi="仿宋_GB2312" w:eastAsia="仿宋_GB2312" w:cs="仿宋_GB2312"/>
                <w:kern w:val="28"/>
                <w:sz w:val="24"/>
                <w:szCs w:val="24"/>
                <w:highlight w:val="none"/>
              </w:rPr>
              <w:t>其他规定：</w:t>
            </w:r>
            <w:r>
              <w:rPr>
                <w:rFonts w:hint="eastAsia" w:ascii="仿宋_GB2312" w:hAnsi="仿宋" w:eastAsia="仿宋_GB2312" w:cs="仿宋"/>
                <w:kern w:val="28"/>
                <w:sz w:val="24"/>
                <w:szCs w:val="24"/>
                <w:highlight w:val="none"/>
                <w:u w:val="single"/>
              </w:rPr>
              <w:t xml:space="preserve">       /          </w:t>
            </w:r>
          </w:p>
        </w:tc>
      </w:tr>
      <w:tr w14:paraId="47CA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10D0A048">
            <w:pPr>
              <w:adjustRightInd w:val="0"/>
              <w:snapToGrid w:val="0"/>
              <w:spacing w:line="400" w:lineRule="exact"/>
              <w:jc w:val="center"/>
              <w:rPr>
                <w:rFonts w:ascii="仿宋_GB2312" w:hAnsi="仿宋" w:eastAsia="仿宋_GB2312" w:cs="仿宋"/>
                <w:sz w:val="24"/>
                <w:highlight w:val="none"/>
              </w:rPr>
            </w:pPr>
          </w:p>
        </w:tc>
        <w:tc>
          <w:tcPr>
            <w:tcW w:w="1843" w:type="dxa"/>
            <w:vMerge w:val="continue"/>
            <w:tcBorders>
              <w:tl2br w:val="nil"/>
              <w:tr2bl w:val="nil"/>
            </w:tcBorders>
            <w:noWrap/>
            <w:vAlign w:val="center"/>
          </w:tcPr>
          <w:p w14:paraId="76528FAB">
            <w:pPr>
              <w:adjustRightInd w:val="0"/>
              <w:snapToGrid w:val="0"/>
              <w:jc w:val="center"/>
              <w:rPr>
                <w:rFonts w:ascii="仿宋_GB2312" w:hAnsi="仿宋" w:eastAsia="仿宋_GB2312" w:cs="仿宋"/>
                <w:sz w:val="24"/>
                <w:highlight w:val="none"/>
              </w:rPr>
            </w:pPr>
          </w:p>
        </w:tc>
        <w:tc>
          <w:tcPr>
            <w:tcW w:w="6095" w:type="dxa"/>
            <w:tcBorders>
              <w:tl2br w:val="nil"/>
              <w:tr2bl w:val="nil"/>
            </w:tcBorders>
            <w:noWrap/>
            <w:vAlign w:val="center"/>
          </w:tcPr>
          <w:p w14:paraId="45C93E12">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其他资信证明材料</w:t>
            </w:r>
          </w:p>
          <w:p w14:paraId="3A151C76">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A8"/>
            </w:r>
            <w:r>
              <w:rPr>
                <w:rFonts w:hint="eastAsia" w:ascii="仿宋_GB2312" w:hAnsi="仿宋" w:eastAsia="仿宋_GB2312" w:cs="仿宋"/>
                <w:kern w:val="28"/>
                <w:sz w:val="24"/>
                <w:szCs w:val="24"/>
                <w:highlight w:val="none"/>
              </w:rPr>
              <w:t>联合体投标的，联合体各方均需按招标文件第四部分评标标准要求提供资信证明文件，否则视为不符合相关要求。</w:t>
            </w:r>
          </w:p>
          <w:p w14:paraId="77479C9B">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sym w:font="Wingdings" w:char="00FE"/>
            </w:r>
            <w:r>
              <w:rPr>
                <w:rFonts w:hint="eastAsia" w:ascii="仿宋_GB2312" w:hAnsi="仿宋" w:eastAsia="仿宋_GB2312" w:cs="仿宋"/>
                <w:kern w:val="28"/>
                <w:sz w:val="24"/>
                <w:szCs w:val="24"/>
                <w:highlight w:val="none"/>
              </w:rPr>
              <w:t>联合体投标的，联合体牵头方或者联合体成员根据分工按招标文件第四部分评标标准要求提供资信证明文件的，视为符合了相关要求。</w:t>
            </w:r>
          </w:p>
          <w:p w14:paraId="5D511C7E">
            <w:pPr>
              <w:pStyle w:val="23"/>
              <w:adjustRightInd w:val="0"/>
              <w:snapToGrid w:val="0"/>
              <w:rPr>
                <w:rFonts w:ascii="仿宋_GB2312" w:hAnsi="仿宋" w:eastAsia="仿宋_GB2312" w:cs="仿宋"/>
                <w:snapToGrid w:val="0"/>
                <w:kern w:val="0"/>
                <w:sz w:val="24"/>
                <w:szCs w:val="24"/>
                <w:highlight w:val="none"/>
              </w:rPr>
            </w:pPr>
            <w:r>
              <w:rPr>
                <w:rFonts w:hint="eastAsia" w:ascii="MS Gothic" w:hAnsi="MS Gothic" w:eastAsia="MS Gothic" w:cs="MS Gothic"/>
                <w:kern w:val="28"/>
                <w:sz w:val="24"/>
                <w:szCs w:val="24"/>
                <w:highlight w:val="none"/>
              </w:rPr>
              <w:t>☐</w:t>
            </w:r>
            <w:r>
              <w:rPr>
                <w:rFonts w:hint="eastAsia" w:ascii="仿宋_GB2312" w:hAnsi="仿宋_GB2312" w:eastAsia="仿宋_GB2312" w:cs="仿宋_GB2312"/>
                <w:kern w:val="28"/>
                <w:sz w:val="24"/>
                <w:szCs w:val="24"/>
                <w:highlight w:val="none"/>
              </w:rPr>
              <w:t>其他规定：</w:t>
            </w:r>
            <w:r>
              <w:rPr>
                <w:rFonts w:hint="eastAsia" w:ascii="仿宋_GB2312" w:hAnsi="仿宋" w:eastAsia="仿宋_GB2312" w:cs="仿宋"/>
                <w:kern w:val="28"/>
                <w:sz w:val="24"/>
                <w:szCs w:val="24"/>
                <w:highlight w:val="none"/>
                <w:u w:val="single"/>
              </w:rPr>
              <w:t xml:space="preserve">         /        </w:t>
            </w:r>
          </w:p>
        </w:tc>
      </w:tr>
      <w:tr w14:paraId="74AD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tcBorders>
              <w:tl2br w:val="nil"/>
              <w:tr2bl w:val="nil"/>
            </w:tcBorders>
            <w:noWrap/>
            <w:vAlign w:val="center"/>
          </w:tcPr>
          <w:p w14:paraId="1AED2E2E">
            <w:pPr>
              <w:adjustRightInd w:val="0"/>
              <w:snapToGrid w:val="0"/>
              <w:spacing w:line="400" w:lineRule="exact"/>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15</w:t>
            </w:r>
          </w:p>
        </w:tc>
        <w:tc>
          <w:tcPr>
            <w:tcW w:w="1843" w:type="dxa"/>
            <w:tcBorders>
              <w:tl2br w:val="nil"/>
              <w:tr2bl w:val="nil"/>
            </w:tcBorders>
            <w:noWrap/>
            <w:vAlign w:val="center"/>
          </w:tcPr>
          <w:p w14:paraId="09D3C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
                <w:sz w:val="24"/>
                <w:highlight w:val="none"/>
              </w:rPr>
            </w:pPr>
            <w:r>
              <w:rPr>
                <w:rFonts w:hint="eastAsia" w:ascii="仿宋_GB2312" w:hAnsi="仿宋" w:eastAsia="仿宋_GB2312" w:cs="仿宋"/>
                <w:sz w:val="24"/>
                <w:highlight w:val="none"/>
                <w:lang w:val="en" w:eastAsia="zh-CN"/>
              </w:rPr>
              <w:t>中标候选人数量</w:t>
            </w:r>
          </w:p>
        </w:tc>
        <w:tc>
          <w:tcPr>
            <w:tcW w:w="6095" w:type="dxa"/>
            <w:tcBorders>
              <w:tl2br w:val="nil"/>
              <w:tr2bl w:val="nil"/>
            </w:tcBorders>
            <w:noWrap/>
            <w:vAlign w:val="center"/>
          </w:tcPr>
          <w:p w14:paraId="195CB4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MS Gothic" w:hAnsi="MS Gothic" w:eastAsia="MS Gothic" w:cs="MS Gothic"/>
                <w:kern w:val="28"/>
                <w:sz w:val="24"/>
                <w:szCs w:val="24"/>
                <w:highlight w:val="none"/>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78F4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12" w:hRule="atLeast"/>
        </w:trPr>
        <w:tc>
          <w:tcPr>
            <w:tcW w:w="629" w:type="dxa"/>
            <w:tcBorders>
              <w:tl2br w:val="nil"/>
              <w:tr2bl w:val="nil"/>
            </w:tcBorders>
            <w:noWrap/>
            <w:vAlign w:val="center"/>
          </w:tcPr>
          <w:p w14:paraId="530824ED">
            <w:pPr>
              <w:adjustRightInd w:val="0"/>
              <w:snapToGrid w:val="0"/>
              <w:spacing w:line="400" w:lineRule="exact"/>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16</w:t>
            </w:r>
          </w:p>
        </w:tc>
        <w:tc>
          <w:tcPr>
            <w:tcW w:w="1843" w:type="dxa"/>
            <w:tcBorders>
              <w:tl2br w:val="nil"/>
              <w:tr2bl w:val="nil"/>
            </w:tcBorders>
            <w:noWrap/>
            <w:vAlign w:val="center"/>
          </w:tcPr>
          <w:p w14:paraId="374AEB90">
            <w:pPr>
              <w:snapToGrid w:val="0"/>
              <w:spacing w:line="360" w:lineRule="auto"/>
              <w:jc w:val="center"/>
              <w:rPr>
                <w:rFonts w:ascii="仿宋_GB2312" w:hAnsi="仿宋" w:eastAsia="仿宋_GB2312" w:cs="仿宋"/>
                <w:sz w:val="24"/>
                <w:highlight w:val="none"/>
              </w:rPr>
            </w:pPr>
            <w:r>
              <w:rPr>
                <w:rFonts w:hint="eastAsia" w:ascii="仿宋_GB2312" w:hAnsi="仿宋" w:eastAsia="仿宋_GB2312" w:cs="仿宋"/>
                <w:sz w:val="24"/>
                <w:highlight w:val="none"/>
              </w:rPr>
              <w:t>钱塘区公共资源交易领域突出问题专项整治线索征集公告</w:t>
            </w:r>
          </w:p>
        </w:tc>
        <w:tc>
          <w:tcPr>
            <w:tcW w:w="6095" w:type="dxa"/>
            <w:tcBorders>
              <w:tl2br w:val="nil"/>
              <w:tr2bl w:val="nil"/>
            </w:tcBorders>
            <w:noWrap/>
            <w:vAlign w:val="center"/>
          </w:tcPr>
          <w:p w14:paraId="3FCE705D">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为进一步贯彻落实省市区“招投标领域专项整治与提升”工作要求，维护公平竞争的市场环境，现开设公共资源交易领域违法线索征集渠道，线索反馈联系方式如下：</w:t>
            </w:r>
          </w:p>
          <w:p w14:paraId="5A284B90">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 xml:space="preserve">钱塘区财政局：ryp2001@163.com </w:t>
            </w:r>
          </w:p>
          <w:p w14:paraId="4A445A23">
            <w:pPr>
              <w:pStyle w:val="23"/>
              <w:adjustRightInd w:val="0"/>
              <w:snapToGrid w:val="0"/>
              <w:spacing w:line="400" w:lineRule="exact"/>
              <w:rPr>
                <w:rFonts w:ascii="仿宋_GB2312" w:hAnsi="仿宋" w:eastAsia="仿宋_GB2312" w:cs="仿宋"/>
                <w:kern w:val="28"/>
                <w:sz w:val="24"/>
                <w:szCs w:val="24"/>
                <w:highlight w:val="none"/>
              </w:rPr>
            </w:pPr>
            <w:r>
              <w:rPr>
                <w:rFonts w:hint="eastAsia" w:ascii="仿宋_GB2312" w:hAnsi="仿宋" w:eastAsia="仿宋_GB2312" w:cs="仿宋"/>
                <w:kern w:val="28"/>
                <w:sz w:val="24"/>
                <w:szCs w:val="24"/>
                <w:highlight w:val="none"/>
              </w:rPr>
              <w:t>钱塘区公共资源交易管理办公室:qtqgzb@163.com</w:t>
            </w:r>
          </w:p>
        </w:tc>
      </w:tr>
      <w:tr w14:paraId="0C29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85" w:hRule="atLeast"/>
        </w:trPr>
        <w:tc>
          <w:tcPr>
            <w:tcW w:w="629" w:type="dxa"/>
            <w:tcBorders>
              <w:tl2br w:val="nil"/>
              <w:tr2bl w:val="nil"/>
            </w:tcBorders>
            <w:noWrap/>
            <w:vAlign w:val="center"/>
          </w:tcPr>
          <w:p w14:paraId="448236BC">
            <w:pPr>
              <w:adjustRightInd w:val="0"/>
              <w:snapToGrid w:val="0"/>
              <w:spacing w:line="400" w:lineRule="exact"/>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17</w:t>
            </w:r>
          </w:p>
        </w:tc>
        <w:tc>
          <w:tcPr>
            <w:tcW w:w="1843" w:type="dxa"/>
            <w:tcBorders>
              <w:tl2br w:val="nil"/>
              <w:tr2bl w:val="nil"/>
            </w:tcBorders>
            <w:noWrap/>
            <w:vAlign w:val="center"/>
          </w:tcPr>
          <w:p w14:paraId="0D379392">
            <w:pPr>
              <w:snapToGrid w:val="0"/>
              <w:spacing w:line="360" w:lineRule="auto"/>
              <w:jc w:val="center"/>
              <w:rPr>
                <w:rFonts w:hint="eastAsia" w:ascii="仿宋_GB2312" w:hAnsi="仿宋" w:eastAsia="仿宋_GB2312" w:cs="仿宋"/>
                <w:color w:val="auto"/>
                <w:sz w:val="24"/>
                <w:highlight w:val="none"/>
                <w:lang w:val="en-US" w:eastAsia="zh-CN"/>
              </w:rPr>
            </w:pPr>
            <w:r>
              <w:rPr>
                <w:rFonts w:hint="eastAsia" w:ascii="仿宋_GB2312" w:hAnsi="仿宋" w:eastAsia="仿宋_GB2312" w:cs="仿宋"/>
                <w:b/>
                <w:bCs/>
                <w:color w:val="auto"/>
                <w:sz w:val="24"/>
                <w:highlight w:val="none"/>
                <w:lang w:val="en-US" w:eastAsia="zh-CN"/>
              </w:rPr>
              <w:t>材料审核</w:t>
            </w:r>
          </w:p>
        </w:tc>
        <w:tc>
          <w:tcPr>
            <w:tcW w:w="6095" w:type="dxa"/>
            <w:tcBorders>
              <w:tl2br w:val="nil"/>
              <w:tr2bl w:val="nil"/>
            </w:tcBorders>
            <w:noWrap/>
            <w:vAlign w:val="center"/>
          </w:tcPr>
          <w:p w14:paraId="0C103AFA">
            <w:pPr>
              <w:pStyle w:val="23"/>
              <w:snapToGrid w:val="0"/>
              <w:spacing w:line="400" w:lineRule="exact"/>
              <w:rPr>
                <w:rFonts w:hint="eastAsia" w:ascii="Times New Roman" w:hAnsi="Times New Roman" w:eastAsia="仿宋" w:cs="Times New Roman"/>
                <w:color w:val="FF0000"/>
                <w:kern w:val="28"/>
                <w:sz w:val="24"/>
                <w:szCs w:val="24"/>
                <w:highlight w:val="none"/>
                <w:lang w:eastAsia="zh-CN"/>
              </w:rPr>
            </w:pPr>
            <w:r>
              <w:rPr>
                <w:rFonts w:hint="eastAsia" w:ascii="Times New Roman" w:hAnsi="Times New Roman" w:eastAsia="仿宋" w:cs="Times New Roman"/>
                <w:color w:val="auto"/>
                <w:kern w:val="28"/>
                <w:sz w:val="24"/>
                <w:szCs w:val="24"/>
                <w:highlight w:val="none"/>
                <w:lang w:val="en-US" w:eastAsia="zh-CN"/>
              </w:rPr>
              <w:t>根据《</w:t>
            </w:r>
            <w:r>
              <w:rPr>
                <w:rFonts w:ascii="Times New Roman" w:hAnsi="Times New Roman" w:eastAsia="仿宋" w:cs="Times New Roman"/>
                <w:color w:val="auto"/>
                <w:kern w:val="28"/>
                <w:sz w:val="24"/>
                <w:szCs w:val="24"/>
                <w:highlight w:val="none"/>
              </w:rPr>
              <w:t>浙江省财政厅关于进一步规范政府采购秩序促进公平竞争的通知</w:t>
            </w:r>
            <w:r>
              <w:rPr>
                <w:rFonts w:hint="eastAsia" w:ascii="Times New Roman" w:hAnsi="Times New Roman" w:eastAsia="仿宋" w:cs="Times New Roman"/>
                <w:color w:val="auto"/>
                <w:kern w:val="28"/>
                <w:sz w:val="24"/>
                <w:szCs w:val="24"/>
                <w:highlight w:val="none"/>
                <w:lang w:val="en-US" w:eastAsia="zh-CN"/>
              </w:rPr>
              <w:t>》（</w:t>
            </w:r>
            <w:r>
              <w:rPr>
                <w:rFonts w:ascii="Times New Roman" w:hAnsi="Times New Roman" w:eastAsia="仿宋" w:cs="Times New Roman"/>
                <w:color w:val="auto"/>
                <w:kern w:val="28"/>
                <w:sz w:val="24"/>
                <w:szCs w:val="24"/>
                <w:highlight w:val="none"/>
              </w:rPr>
              <w:t>浙财采监〔2025〕2号</w:t>
            </w:r>
            <w:r>
              <w:rPr>
                <w:rFonts w:hint="eastAsia" w:ascii="Times New Roman" w:hAnsi="Times New Roman" w:eastAsia="仿宋" w:cs="Times New Roman"/>
                <w:color w:val="auto"/>
                <w:kern w:val="28"/>
                <w:sz w:val="24"/>
                <w:szCs w:val="24"/>
                <w:highlight w:val="none"/>
                <w:lang w:val="en-US" w:eastAsia="zh-CN"/>
              </w:rPr>
              <w:t>）相关规定，</w:t>
            </w:r>
            <w:r>
              <w:rPr>
                <w:rFonts w:ascii="Times New Roman" w:hAnsi="Times New Roman" w:eastAsia="仿宋" w:cs="Times New Roman"/>
                <w:b/>
                <w:bCs/>
                <w:color w:val="FF0000"/>
                <w:kern w:val="28"/>
                <w:sz w:val="24"/>
                <w:szCs w:val="24"/>
                <w:highlight w:val="none"/>
              </w:rPr>
              <w:t>评审结束后、合同签订前，采购人、采购代理机构</w:t>
            </w:r>
            <w:r>
              <w:rPr>
                <w:rFonts w:hint="eastAsia" w:ascii="Times New Roman" w:hAnsi="Times New Roman" w:eastAsia="仿宋" w:cs="Times New Roman"/>
                <w:b/>
                <w:bCs/>
                <w:color w:val="FF0000"/>
                <w:kern w:val="28"/>
                <w:sz w:val="24"/>
                <w:szCs w:val="24"/>
                <w:highlight w:val="none"/>
                <w:lang w:val="en-US" w:eastAsia="zh-CN"/>
              </w:rPr>
              <w:t>将</w:t>
            </w:r>
            <w:r>
              <w:rPr>
                <w:rFonts w:ascii="Times New Roman" w:hAnsi="Times New Roman" w:eastAsia="仿宋" w:cs="Times New Roman"/>
                <w:b/>
                <w:bCs/>
                <w:color w:val="FF0000"/>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eastAsia" w:ascii="Times New Roman" w:hAnsi="Times New Roman" w:eastAsia="仿宋" w:cs="Times New Roman"/>
                <w:color w:val="FF0000"/>
                <w:kern w:val="28"/>
                <w:sz w:val="24"/>
                <w:szCs w:val="24"/>
                <w:highlight w:val="none"/>
                <w:lang w:eastAsia="zh-CN"/>
              </w:rPr>
              <w:t>。</w:t>
            </w:r>
          </w:p>
          <w:p w14:paraId="5806974F">
            <w:pPr>
              <w:pStyle w:val="23"/>
              <w:adjustRightInd w:val="0"/>
              <w:snapToGrid w:val="0"/>
              <w:spacing w:line="400" w:lineRule="exact"/>
              <w:rPr>
                <w:rFonts w:hint="eastAsia" w:ascii="仿宋_GB2312" w:hAnsi="仿宋" w:eastAsia="仿宋_GB2312" w:cs="仿宋"/>
                <w:color w:val="auto"/>
                <w:kern w:val="28"/>
                <w:sz w:val="24"/>
                <w:szCs w:val="24"/>
                <w:highlight w:val="none"/>
              </w:rPr>
            </w:pPr>
            <w:r>
              <w:rPr>
                <w:rFonts w:hint="eastAsia" w:ascii="Times New Roman" w:hAnsi="Times New Roman" w:eastAsia="仿宋" w:cs="Times New Roman"/>
                <w:color w:val="auto"/>
                <w:kern w:val="28"/>
                <w:sz w:val="24"/>
                <w:szCs w:val="24"/>
                <w:highlight w:val="none"/>
                <w:lang w:val="en-US" w:eastAsia="zh-CN"/>
              </w:rPr>
              <w:t>如</w:t>
            </w:r>
            <w:r>
              <w:rPr>
                <w:rFonts w:ascii="Times New Roman" w:hAnsi="Times New Roman" w:eastAsia="仿宋" w:cs="Times New Roman"/>
                <w:color w:val="auto"/>
                <w:kern w:val="28"/>
                <w:sz w:val="24"/>
                <w:szCs w:val="24"/>
                <w:highlight w:val="none"/>
              </w:rPr>
              <w:t>采购人</w:t>
            </w:r>
            <w:r>
              <w:rPr>
                <w:rFonts w:hint="eastAsia" w:ascii="Times New Roman" w:hAnsi="Times New Roman" w:eastAsia="仿宋" w:cs="Times New Roman"/>
                <w:color w:val="auto"/>
                <w:kern w:val="28"/>
                <w:sz w:val="24"/>
                <w:szCs w:val="24"/>
                <w:highlight w:val="none"/>
                <w:lang w:val="en-US" w:eastAsia="zh-CN"/>
              </w:rPr>
              <w:t>或</w:t>
            </w:r>
            <w:r>
              <w:rPr>
                <w:rFonts w:ascii="Times New Roman" w:hAnsi="Times New Roman" w:eastAsia="仿宋" w:cs="Times New Roman"/>
                <w:color w:val="auto"/>
                <w:kern w:val="28"/>
                <w:sz w:val="24"/>
                <w:szCs w:val="24"/>
                <w:highlight w:val="none"/>
              </w:rPr>
              <w:t>采购代理机构</w:t>
            </w:r>
            <w:r>
              <w:rPr>
                <w:rFonts w:hint="eastAsia" w:ascii="Times New Roman" w:hAnsi="Times New Roman" w:eastAsia="仿宋" w:cs="Times New Roman"/>
                <w:color w:val="auto"/>
                <w:kern w:val="28"/>
                <w:sz w:val="24"/>
                <w:szCs w:val="24"/>
                <w:highlight w:val="none"/>
                <w:lang w:val="en-US" w:eastAsia="zh-CN"/>
              </w:rPr>
              <w:t>向供应商要求提交</w:t>
            </w:r>
            <w:r>
              <w:rPr>
                <w:rFonts w:ascii="Times New Roman" w:hAnsi="Times New Roman" w:eastAsia="仿宋" w:cs="Times New Roman"/>
                <w:color w:val="auto"/>
                <w:kern w:val="28"/>
                <w:sz w:val="24"/>
                <w:szCs w:val="24"/>
                <w:highlight w:val="none"/>
              </w:rPr>
              <w:t>涉及客观分评审内容</w:t>
            </w:r>
            <w:r>
              <w:rPr>
                <w:rFonts w:hint="eastAsia" w:ascii="Times New Roman" w:hAnsi="Times New Roman" w:eastAsia="仿宋" w:cs="Times New Roman"/>
                <w:color w:val="auto"/>
                <w:kern w:val="28"/>
                <w:sz w:val="24"/>
                <w:szCs w:val="24"/>
                <w:highlight w:val="none"/>
                <w:lang w:val="en-US" w:eastAsia="zh-CN"/>
              </w:rPr>
              <w:t>的资料时，供应商务必按要求提交相关材料。</w:t>
            </w:r>
          </w:p>
        </w:tc>
      </w:tr>
      <w:tr w14:paraId="5F0E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2" w:hRule="atLeast"/>
        </w:trPr>
        <w:tc>
          <w:tcPr>
            <w:tcW w:w="629" w:type="dxa"/>
            <w:tcBorders>
              <w:tl2br w:val="nil"/>
              <w:tr2bl w:val="nil"/>
            </w:tcBorders>
            <w:noWrap/>
            <w:vAlign w:val="center"/>
          </w:tcPr>
          <w:p w14:paraId="6C6E0F83">
            <w:pPr>
              <w:adjustRightInd w:val="0"/>
              <w:snapToGrid w:val="0"/>
              <w:spacing w:line="400" w:lineRule="exact"/>
              <w:jc w:val="center"/>
              <w:rPr>
                <w:rFonts w:hint="default" w:ascii="仿宋_GB2312" w:hAnsi="仿宋" w:eastAsia="仿宋_GB2312" w:cs="仿宋"/>
                <w:sz w:val="24"/>
                <w:highlight w:val="none"/>
                <w:lang w:val="en-US" w:eastAsia="zh-CN"/>
              </w:rPr>
            </w:pPr>
            <w:r>
              <w:rPr>
                <w:rFonts w:hint="eastAsia" w:ascii="仿宋_GB2312" w:hAnsi="仿宋" w:eastAsia="仿宋_GB2312" w:cs="仿宋"/>
                <w:sz w:val="24"/>
                <w:highlight w:val="none"/>
                <w:lang w:val="en-US" w:eastAsia="zh-CN"/>
              </w:rPr>
              <w:t>18</w:t>
            </w:r>
          </w:p>
        </w:tc>
        <w:tc>
          <w:tcPr>
            <w:tcW w:w="7938" w:type="dxa"/>
            <w:gridSpan w:val="2"/>
            <w:tcBorders>
              <w:tl2br w:val="nil"/>
              <w:tr2bl w:val="nil"/>
            </w:tcBorders>
            <w:noWrap/>
            <w:vAlign w:val="center"/>
          </w:tcPr>
          <w:p w14:paraId="4DB77435">
            <w:pPr>
              <w:pStyle w:val="23"/>
              <w:adjustRightInd w:val="0"/>
              <w:snapToGrid w:val="0"/>
              <w:spacing w:line="400" w:lineRule="exact"/>
              <w:rPr>
                <w:rFonts w:hint="eastAsia" w:ascii="Times New Roman" w:hAnsi="Times New Roman" w:eastAsia="仿宋" w:cs="Times New Roman"/>
                <w:kern w:val="28"/>
                <w:sz w:val="24"/>
                <w:szCs w:val="24"/>
                <w:highlight w:val="none"/>
                <w:lang w:val="en-US" w:eastAsia="zh-CN"/>
              </w:rPr>
            </w:pPr>
            <w:r>
              <w:rPr>
                <w:rFonts w:hint="eastAsia" w:ascii="仿宋" w:hAnsi="仿宋" w:eastAsia="仿宋" w:cs="仿宋"/>
                <w:kern w:val="0"/>
                <w:sz w:val="24"/>
                <w:highlight w:val="none"/>
              </w:rPr>
              <w:t>评审因素对应的要求视为采购需求的一部分。</w:t>
            </w:r>
          </w:p>
        </w:tc>
      </w:tr>
    </w:tbl>
    <w:p w14:paraId="01D8E821">
      <w:pPr>
        <w:widowControl/>
        <w:adjustRightInd w:val="0"/>
        <w:snapToGrid w:val="0"/>
        <w:spacing w:line="360" w:lineRule="auto"/>
        <w:ind w:firstLine="420" w:firstLineChars="200"/>
        <w:jc w:val="left"/>
        <w:rPr>
          <w:rFonts w:ascii="仿宋_GB2312" w:hAnsi="仿宋" w:eastAsia="仿宋_GB2312" w:cs="仿宋"/>
          <w:kern w:val="0"/>
          <w:szCs w:val="21"/>
          <w:highlight w:val="none"/>
        </w:rPr>
      </w:pPr>
    </w:p>
    <w:p w14:paraId="3C4CE52C">
      <w:pPr>
        <w:rPr>
          <w:rFonts w:ascii="仿宋_GB2312" w:hAnsi="仿宋" w:eastAsia="仿宋_GB2312" w:cs="仿宋"/>
          <w:szCs w:val="21"/>
          <w:highlight w:val="none"/>
        </w:rPr>
      </w:pPr>
    </w:p>
    <w:p w14:paraId="381C1BA5">
      <w:pPr>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注：以上内容如有变化将另行书面通知。如通知其中某一内容发生变化，其余未提及的将不作变动。</w:t>
      </w:r>
      <w:bookmarkStart w:id="6" w:name="_Toc240450076"/>
      <w:bookmarkStart w:id="7" w:name="_Toc251566649"/>
    </w:p>
    <w:p w14:paraId="7DC06FD2">
      <w:pPr>
        <w:adjustRightInd w:val="0"/>
        <w:snapToGrid w:val="0"/>
        <w:spacing w:before="120" w:beforeLines="50" w:after="120" w:afterLines="50" w:line="360" w:lineRule="auto"/>
        <w:jc w:val="center"/>
        <w:outlineLvl w:val="0"/>
        <w:rPr>
          <w:rFonts w:ascii="仿宋_GB2312" w:hAnsi="仿宋" w:eastAsia="仿宋_GB2312" w:cs="仿宋"/>
          <w:szCs w:val="21"/>
          <w:highlight w:val="none"/>
        </w:rPr>
      </w:pPr>
      <w:r>
        <w:rPr>
          <w:rFonts w:hint="eastAsia" w:ascii="仿宋_GB2312" w:hAnsi="仿宋" w:eastAsia="仿宋_GB2312" w:cs="仿宋"/>
          <w:szCs w:val="21"/>
          <w:highlight w:val="none"/>
        </w:rPr>
        <w:br w:type="page"/>
      </w:r>
      <w:bookmarkStart w:id="8" w:name="_Toc28292"/>
      <w:bookmarkStart w:id="9" w:name="_Toc2187"/>
      <w:r>
        <w:rPr>
          <w:rFonts w:hint="eastAsia" w:ascii="仿宋_GB2312" w:hAnsi="仿宋" w:eastAsia="仿宋_GB2312" w:cs="仿宋"/>
          <w:b/>
          <w:sz w:val="30"/>
          <w:szCs w:val="30"/>
          <w:highlight w:val="none"/>
        </w:rPr>
        <w:t>第二部分  投标须知</w:t>
      </w:r>
      <w:bookmarkEnd w:id="6"/>
      <w:bookmarkEnd w:id="7"/>
      <w:bookmarkEnd w:id="8"/>
      <w:bookmarkEnd w:id="9"/>
    </w:p>
    <w:p w14:paraId="0F0FB39D">
      <w:pPr>
        <w:spacing w:line="360" w:lineRule="auto"/>
        <w:jc w:val="center"/>
        <w:outlineLvl w:val="1"/>
        <w:rPr>
          <w:rFonts w:ascii="仿宋_GB2312" w:hAnsi="仿宋" w:eastAsia="仿宋_GB2312" w:cs="仿宋"/>
          <w:b/>
          <w:sz w:val="32"/>
          <w:szCs w:val="20"/>
          <w:highlight w:val="none"/>
        </w:rPr>
      </w:pPr>
      <w:bookmarkStart w:id="10" w:name="_Toc3612"/>
      <w:bookmarkStart w:id="11" w:name="_Toc5875"/>
      <w:bookmarkStart w:id="12" w:name="_Toc29733"/>
      <w:r>
        <w:rPr>
          <w:rFonts w:hint="eastAsia" w:ascii="仿宋_GB2312" w:hAnsi="仿宋" w:eastAsia="仿宋_GB2312" w:cs="仿宋"/>
          <w:b/>
          <w:sz w:val="32"/>
          <w:szCs w:val="20"/>
          <w:highlight w:val="none"/>
        </w:rPr>
        <w:t>一、总则</w:t>
      </w:r>
      <w:bookmarkEnd w:id="10"/>
      <w:bookmarkEnd w:id="11"/>
      <w:bookmarkEnd w:id="12"/>
    </w:p>
    <w:p w14:paraId="3BA43B97">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适用范围</w:t>
      </w:r>
    </w:p>
    <w:p w14:paraId="63BC6B87">
      <w:pPr>
        <w:snapToGrid w:val="0"/>
        <w:spacing w:line="360" w:lineRule="auto"/>
        <w:ind w:firstLine="480" w:firstLineChars="200"/>
        <w:jc w:val="left"/>
        <w:rPr>
          <w:rFonts w:ascii="仿宋_GB2312" w:hAnsi="仿宋" w:eastAsia="仿宋_GB2312" w:cs="仿宋"/>
          <w:highlight w:val="none"/>
        </w:rPr>
      </w:pPr>
      <w:r>
        <w:rPr>
          <w:rFonts w:hint="eastAsia" w:ascii="仿宋_GB2312" w:hAnsi="仿宋" w:eastAsia="仿宋_GB2312" w:cs="仿宋"/>
          <w:sz w:val="24"/>
          <w:highlight w:val="none"/>
        </w:rPr>
        <w:t>本招标文件适用于该项目的招标、投标、开标、资格审查及信用信息查询、评标、定标、合同、验收等行为（法律、法规另有规定的，从其规定）。</w:t>
      </w:r>
    </w:p>
    <w:p w14:paraId="023E34CF">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定义</w:t>
      </w:r>
    </w:p>
    <w:p w14:paraId="7EE5F5EE">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“采购人”系指招标公告中载明的本项目的采购人。</w:t>
      </w:r>
    </w:p>
    <w:p w14:paraId="137720D3">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“采购代理机构”系指招标公告中载明的本项目的采购代理机构。</w:t>
      </w:r>
    </w:p>
    <w:p w14:paraId="4E30745E">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“投标人”系指响应招标、参加投标竞争的法人、其他组织或者自然人。</w:t>
      </w:r>
    </w:p>
    <w:p w14:paraId="333103C1">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“负责人”系指法人企业的法定负责人，或其他组织为法律、行政法规规定代表单位行使职权的主要负责人，或自然人本人。</w:t>
      </w:r>
    </w:p>
    <w:p w14:paraId="26C328EF">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2E1A18">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“电子交易平台”是指本项目政府采购活动所依托的政府采购云平台（https://www.zcygov.cn/）。</w:t>
      </w:r>
    </w:p>
    <w:p w14:paraId="66A11477">
      <w:pPr>
        <w:numPr>
          <w:ilvl w:val="1"/>
          <w:numId w:val="3"/>
        </w:numPr>
        <w:spacing w:line="360" w:lineRule="auto"/>
        <w:rPr>
          <w:rFonts w:ascii="仿宋_GB2312" w:hAnsi="仿宋" w:eastAsia="仿宋_GB2312" w:cs="仿宋"/>
          <w:b/>
          <w:sz w:val="24"/>
          <w:highlight w:val="none"/>
        </w:rPr>
      </w:pPr>
      <w:r>
        <w:rPr>
          <w:rFonts w:hint="eastAsia" w:ascii="仿宋_GB2312" w:hAnsi="仿宋" w:eastAsia="仿宋_GB2312" w:cs="仿宋"/>
          <w:sz w:val="24"/>
          <w:highlight w:val="none"/>
        </w:rPr>
        <w:t>“▲” 系指实质性要求条款，“★”系关键技术指标，“</w:t>
      </w:r>
      <w:r>
        <w:rPr>
          <w:rFonts w:hint="eastAsia" w:ascii="仿宋_GB2312" w:hAnsi="仿宋" w:eastAsia="仿宋_GB2312" w:cs="仿宋"/>
          <w:kern w:val="28"/>
          <w:sz w:val="24"/>
          <w:highlight w:val="none"/>
        </w:rPr>
        <w:sym w:font="Wingdings" w:char="00FE"/>
      </w:r>
      <w:r>
        <w:rPr>
          <w:rFonts w:hint="eastAsia" w:ascii="仿宋_GB2312" w:hAnsi="仿宋" w:eastAsia="仿宋_GB2312" w:cs="仿宋"/>
          <w:sz w:val="24"/>
          <w:highlight w:val="none"/>
        </w:rPr>
        <w:t>” 系指适用本项目的要求，“</w:t>
      </w:r>
      <w:r>
        <w:rPr>
          <w:rFonts w:hint="eastAsia" w:ascii="MS Gothic" w:hAnsi="MS Gothic" w:eastAsia="MS Gothic" w:cs="MS Gothic"/>
          <w:sz w:val="24"/>
          <w:highlight w:val="none"/>
        </w:rPr>
        <w:t>☐</w:t>
      </w:r>
      <w:r>
        <w:rPr>
          <w:rFonts w:hint="eastAsia" w:ascii="仿宋_GB2312" w:hAnsi="仿宋_GB2312" w:eastAsia="仿宋_GB2312" w:cs="仿宋_GB2312"/>
          <w:sz w:val="24"/>
          <w:highlight w:val="none"/>
        </w:rPr>
        <w:t>”</w:t>
      </w:r>
      <w:r>
        <w:rPr>
          <w:rFonts w:hint="eastAsia" w:ascii="仿宋_GB2312" w:hAnsi="仿宋" w:eastAsia="仿宋_GB2312" w:cs="仿宋"/>
          <w:sz w:val="24"/>
          <w:highlight w:val="none"/>
        </w:rPr>
        <w:t xml:space="preserve"> 系指不适用本项目的要求。</w:t>
      </w:r>
    </w:p>
    <w:p w14:paraId="14C85EB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采购项目需要落实的政府采购政策</w:t>
      </w:r>
    </w:p>
    <w:p w14:paraId="41756A3E">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2BD0444">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支持绿色发展</w:t>
      </w:r>
    </w:p>
    <w:p w14:paraId="0E03AEF6">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746C44B">
      <w:pPr>
        <w:spacing w:line="360" w:lineRule="auto"/>
        <w:ind w:firstLine="480" w:firstLineChars="200"/>
        <w:rPr>
          <w:rFonts w:ascii="仿宋_GB2312" w:hAnsi="仿宋" w:eastAsia="仿宋_GB2312" w:cs="仿宋"/>
          <w:b/>
          <w:sz w:val="24"/>
          <w:highlight w:val="none"/>
        </w:rPr>
      </w:pPr>
      <w:r>
        <w:rPr>
          <w:rFonts w:hint="eastAsia" w:ascii="仿宋_GB2312" w:hAnsi="仿宋" w:eastAsia="仿宋_GB2312" w:cs="仿宋"/>
          <w:sz w:val="24"/>
          <w:highlight w:val="none"/>
        </w:rPr>
        <w:t>▲</w:t>
      </w:r>
      <w:r>
        <w:rPr>
          <w:rFonts w:hint="eastAsia" w:ascii="仿宋_GB2312" w:hAnsi="仿宋" w:eastAsia="仿宋_GB2312"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34FE15F">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FE92CFA">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A6A77A">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58B9F1">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支持中小企业发展</w:t>
      </w:r>
    </w:p>
    <w:p w14:paraId="1DC4A9DA">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EAE8350">
      <w:pPr>
        <w:spacing w:line="360" w:lineRule="auto"/>
        <w:ind w:firstLine="840" w:firstLineChars="350"/>
        <w:rPr>
          <w:rFonts w:ascii="仿宋_GB2312" w:hAnsi="仿宋" w:eastAsia="仿宋_GB2312" w:cs="仿宋"/>
          <w:sz w:val="24"/>
          <w:highlight w:val="none"/>
        </w:rPr>
      </w:pPr>
      <w:r>
        <w:rPr>
          <w:rFonts w:hint="eastAsia" w:ascii="仿宋_GB2312" w:hAnsi="仿宋" w:eastAsia="仿宋_GB2312" w:cs="仿宋"/>
          <w:sz w:val="24"/>
          <w:highlight w:val="none"/>
        </w:rPr>
        <w:t>符合中小企业划分标准的个体工商户，在政府采购活动中视同中小企业。</w:t>
      </w:r>
    </w:p>
    <w:p w14:paraId="74BB6E9F">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0BD7F1E0">
      <w:pPr>
        <w:widowControl/>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以联合体形式参加政府采购活动，联合体各方均为中小企业的，联合体视同中小企业。其中，联合体各方均为小微企业的，联合体视同小微企业。</w:t>
      </w:r>
    </w:p>
    <w:p w14:paraId="62884B52">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cs="仿宋"/>
          <w:b/>
          <w:bCs/>
          <w:sz w:val="24"/>
          <w:highlight w:val="none"/>
        </w:rPr>
        <w:t>10%</w:t>
      </w:r>
      <w:r>
        <w:rPr>
          <w:rFonts w:hint="eastAsia" w:ascii="仿宋_GB2312" w:hAnsi="仿宋" w:eastAsia="仿宋_GB2312" w:cs="仿宋"/>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cs="仿宋"/>
          <w:b/>
          <w:bCs/>
          <w:sz w:val="24"/>
          <w:highlight w:val="none"/>
        </w:rPr>
        <w:t>4%</w:t>
      </w:r>
      <w:r>
        <w:rPr>
          <w:rFonts w:hint="eastAsia" w:ascii="仿宋_GB2312" w:hAnsi="仿宋" w:eastAsia="仿宋_GB2312" w:cs="仿宋"/>
          <w:sz w:val="24"/>
          <w:highlight w:val="none"/>
        </w:rPr>
        <w:t>的扣除，用扣除后的价格参加评审。组成联合体或者接受分包的小微企业与联合体内其他企业、分包企业之间存在直接控股、管理关系的，不享受价格扣除优惠政策。</w:t>
      </w:r>
    </w:p>
    <w:p w14:paraId="53B6080A">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符合《关于促进残疾人就业政府采购政策的通知》（财库〔2017〕141号）规定的条件并提供《残疾人福利性单位声明函》（附件1）的残疾人福利性单位视同小型、微型企业；</w:t>
      </w:r>
    </w:p>
    <w:p w14:paraId="4F14885C">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250184B">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_GB2312" w:hAnsi="仿宋" w:eastAsia="仿宋_GB2312" w:cs="仿宋"/>
          <w:sz w:val="24"/>
          <w:highlight w:val="none"/>
        </w:rPr>
        <w:t>。</w:t>
      </w:r>
    </w:p>
    <w:p w14:paraId="534264BB">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中小企业享受扶持政策获得政府采购合同的，小微企业不得将合同分包给大中型企业，中型企业不得将合同分包给大型企业。</w:t>
      </w:r>
    </w:p>
    <w:p w14:paraId="3D9E9773">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支持创新发展</w:t>
      </w:r>
    </w:p>
    <w:p w14:paraId="5B88165E">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采购人优先采购被认定为首台套产品和“制造精品”的自主创新产品。</w:t>
      </w:r>
    </w:p>
    <w:p w14:paraId="3A085BDC">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72D8B2">
      <w:pPr>
        <w:numPr>
          <w:ilvl w:val="2"/>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采购人应当贯彻落实知识产权保护相关法律法规，应当采购使用正版软件。</w:t>
      </w:r>
    </w:p>
    <w:p w14:paraId="263F5252">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平等对待内外资企业和符合条件的破产重整企业</w:t>
      </w:r>
    </w:p>
    <w:p w14:paraId="08A9955C">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平等对待内外资企业和符合条件的破产重整企业，切实保障企业公平竞争，平等维护企业的合法利益。</w:t>
      </w:r>
    </w:p>
    <w:p w14:paraId="18D06044">
      <w:pPr>
        <w:numPr>
          <w:ilvl w:val="1"/>
          <w:numId w:val="3"/>
        </w:num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中小企业信用融资：为支持和促进中小企业发展，进一步发挥政府采购政策功能，</w:t>
      </w:r>
      <w:r>
        <w:rPr>
          <w:rFonts w:hint="eastAsia" w:ascii="仿宋_GB2312" w:hAnsi="仿宋" w:eastAsia="仿宋_GB2312"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1AFBD4">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询问、质疑、投诉、补偿救济</w:t>
      </w:r>
    </w:p>
    <w:p w14:paraId="6DFC8A5F">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4897A6">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供应商询问</w:t>
      </w:r>
    </w:p>
    <w:p w14:paraId="200DB267">
      <w:pPr>
        <w:autoSpaceDE w:val="0"/>
        <w:autoSpaceDN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E12C5B">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供应商质疑</w:t>
      </w:r>
    </w:p>
    <w:p w14:paraId="793FF6D5">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提出质疑的供应商应当是参与所质疑项目采购活动的供应商。潜在供应商已依法获取其可质疑的招标文件的，可以对该文件提出质疑。</w:t>
      </w:r>
    </w:p>
    <w:p w14:paraId="04C46A44">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BB4B5D">
      <w:pPr>
        <w:numPr>
          <w:ilvl w:val="3"/>
          <w:numId w:val="3"/>
        </w:numPr>
        <w:tabs>
          <w:tab w:val="left" w:pos="210"/>
          <w:tab w:val="left" w:pos="1050"/>
        </w:tabs>
        <w:snapToGrid w:val="0"/>
        <w:spacing w:line="360" w:lineRule="auto"/>
        <w:ind w:left="1050" w:hanging="105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对招标文件提出质疑的，质疑期限为供应商获得招标文件之日或者招标文件公告期限届满之日起计算。</w:t>
      </w:r>
    </w:p>
    <w:p w14:paraId="2C262805">
      <w:pPr>
        <w:numPr>
          <w:ilvl w:val="3"/>
          <w:numId w:val="3"/>
        </w:numPr>
        <w:tabs>
          <w:tab w:val="left" w:pos="210"/>
          <w:tab w:val="left" w:pos="1050"/>
        </w:tabs>
        <w:snapToGrid w:val="0"/>
        <w:spacing w:line="360" w:lineRule="auto"/>
        <w:ind w:left="1050" w:hanging="105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对采购过程提出质疑的，质疑期限为各采购程序环节结束之日起计算。</w:t>
      </w:r>
    </w:p>
    <w:p w14:paraId="37878322">
      <w:pPr>
        <w:numPr>
          <w:ilvl w:val="3"/>
          <w:numId w:val="3"/>
        </w:numPr>
        <w:tabs>
          <w:tab w:val="left" w:pos="210"/>
          <w:tab w:val="left" w:pos="1050"/>
        </w:tabs>
        <w:snapToGrid w:val="0"/>
        <w:spacing w:line="360" w:lineRule="auto"/>
        <w:ind w:left="1050" w:hanging="105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对采购结果提出质疑的，质疑期限自采购结果公告期限届满之日起计算。</w:t>
      </w:r>
    </w:p>
    <w:p w14:paraId="575A206C">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供应商提出质疑应当提交质疑函和必要的证明材料。质疑函应当包括下列内容：</w:t>
      </w:r>
    </w:p>
    <w:p w14:paraId="3375D984">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供应商的姓名或者名称、地址、邮编、联系人及联系电话；</w:t>
      </w:r>
    </w:p>
    <w:p w14:paraId="1F7832DA">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质疑项目的名称、编号；</w:t>
      </w:r>
    </w:p>
    <w:p w14:paraId="7A91A2D0">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具体、明确的质疑事项和与质疑事项相关的请求；</w:t>
      </w:r>
    </w:p>
    <w:p w14:paraId="09AEF9C9">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事实依据；</w:t>
      </w:r>
    </w:p>
    <w:p w14:paraId="34E14046">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必要的法律依据；</w:t>
      </w:r>
    </w:p>
    <w:p w14:paraId="49778369">
      <w:pPr>
        <w:numPr>
          <w:ilvl w:val="3"/>
          <w:numId w:val="3"/>
        </w:numPr>
        <w:tabs>
          <w:tab w:val="left" w:pos="210"/>
          <w:tab w:val="left" w:pos="1050"/>
        </w:tabs>
        <w:snapToGrid w:val="0"/>
        <w:spacing w:line="360" w:lineRule="auto"/>
        <w:ind w:hanging="21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提出质疑的日期。</w:t>
      </w:r>
    </w:p>
    <w:p w14:paraId="67803836">
      <w:pPr>
        <w:tabs>
          <w:tab w:val="left" w:pos="210"/>
        </w:tabs>
        <w:snapToGrid w:val="0"/>
        <w:spacing w:line="360" w:lineRule="auto"/>
        <w:ind w:firstLine="480" w:firstLineChars="20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15CB3A3">
      <w:pPr>
        <w:tabs>
          <w:tab w:val="left" w:pos="210"/>
        </w:tabs>
        <w:snapToGrid w:val="0"/>
        <w:spacing w:line="360" w:lineRule="auto"/>
        <w:ind w:firstLine="480" w:firstLineChars="20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质疑函范本及制作说明详见附件2。</w:t>
      </w:r>
    </w:p>
    <w:p w14:paraId="780D5AA2">
      <w:pPr>
        <w:numPr>
          <w:ilvl w:val="2"/>
          <w:numId w:val="3"/>
        </w:numPr>
        <w:tabs>
          <w:tab w:val="left" w:pos="21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对同一采购程序环节的质疑，供应商须在法定质疑期内一次性提出。</w:t>
      </w:r>
    </w:p>
    <w:p w14:paraId="3924A843">
      <w:pPr>
        <w:numPr>
          <w:ilvl w:val="2"/>
          <w:numId w:val="3"/>
        </w:numPr>
        <w:tabs>
          <w:tab w:val="left" w:pos="21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采购人负责供应商质疑答复。采购人委托采购代理机构采购的，采购代理机构对委托授权范围内质疑事项作出答复。委托授权范围应当在采购代理协议中明确。</w:t>
      </w:r>
    </w:p>
    <w:p w14:paraId="7AC2337B">
      <w:pPr>
        <w:numPr>
          <w:ilvl w:val="2"/>
          <w:numId w:val="3"/>
        </w:numPr>
        <w:tabs>
          <w:tab w:val="left" w:pos="21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F521D9">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询问或者质疑事项可能影响采购结果的，采购人应当暂停签订合同，已经签订合同的，应当中止履行合同。</w:t>
      </w:r>
    </w:p>
    <w:p w14:paraId="2C6CAB10">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供应商投诉</w:t>
      </w:r>
    </w:p>
    <w:p w14:paraId="062C6641">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3CF27FBA">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供应商投诉的事项不得超出已质疑事项的范围，基于质疑答复内容提出的投诉事项除外。</w:t>
      </w:r>
    </w:p>
    <w:p w14:paraId="4F9852DB">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供应商投诉应当有明确的请求和必要的证明材料。</w:t>
      </w:r>
    </w:p>
    <w:p w14:paraId="68C393B0">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以联合体形式参加政府采购活动的，其投诉应当由组成联合体的所有供应商共同提出。</w:t>
      </w:r>
    </w:p>
    <w:p w14:paraId="0CEF9C9F">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政府采购项目投诉材料可寄送浙江省政府采购行政裁决服务中心（杭州），地址：杭州市上城区清泰街549号城建综合大楼11楼，收件人：匡老师，</w:t>
      </w:r>
      <w:r>
        <w:rPr>
          <w:rFonts w:hint="eastAsia" w:ascii="仿宋_GB2312" w:hAnsi="仿宋" w:eastAsia="仿宋_GB2312" w:cs="仿宋"/>
          <w:bCs/>
          <w:sz w:val="24"/>
          <w:highlight w:val="none"/>
        </w:rPr>
        <w:t>联系</w:t>
      </w:r>
      <w:r>
        <w:rPr>
          <w:rFonts w:hint="eastAsia" w:ascii="仿宋_GB2312" w:hAnsi="仿宋" w:eastAsia="仿宋_GB2312" w:cs="仿宋"/>
          <w:bCs/>
          <w:sz w:val="24"/>
          <w:highlight w:val="none"/>
          <w:lang w:val="zh-CN"/>
        </w:rPr>
        <w:t>电话：0571-87807798。</w:t>
      </w:r>
    </w:p>
    <w:p w14:paraId="1BE057E1">
      <w:pPr>
        <w:tabs>
          <w:tab w:val="left" w:pos="210"/>
        </w:tabs>
        <w:snapToGrid w:val="0"/>
        <w:spacing w:line="360" w:lineRule="auto"/>
        <w:ind w:firstLine="720" w:firstLineChars="300"/>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投诉书范本及制作说明详见附件3。</w:t>
      </w:r>
    </w:p>
    <w:p w14:paraId="4FC108AE">
      <w:pPr>
        <w:numPr>
          <w:ilvl w:val="1"/>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补偿救济</w:t>
      </w:r>
    </w:p>
    <w:p w14:paraId="729DABFC">
      <w:pPr>
        <w:numPr>
          <w:ilvl w:val="2"/>
          <w:numId w:val="3"/>
        </w:numPr>
        <w:tabs>
          <w:tab w:val="left" w:pos="21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采购人因政策变化、规划调整而不履行政府采购合同的，供应商可依据《杭州市涉企补偿救济实施办法（试行）》向采购人提起补偿申请。</w:t>
      </w:r>
    </w:p>
    <w:p w14:paraId="0E6DAE65">
      <w:pPr>
        <w:rPr>
          <w:rFonts w:ascii="仿宋_GB2312" w:hAnsi="仿宋" w:eastAsia="仿宋_GB2312" w:cs="仿宋"/>
          <w:highlight w:val="none"/>
        </w:rPr>
      </w:pPr>
    </w:p>
    <w:p w14:paraId="41E07660">
      <w:pPr>
        <w:spacing w:line="360" w:lineRule="auto"/>
        <w:jc w:val="center"/>
        <w:outlineLvl w:val="1"/>
        <w:rPr>
          <w:rFonts w:ascii="仿宋_GB2312" w:hAnsi="仿宋" w:eastAsia="仿宋_GB2312" w:cs="仿宋"/>
          <w:b/>
          <w:sz w:val="32"/>
          <w:szCs w:val="20"/>
          <w:highlight w:val="none"/>
        </w:rPr>
      </w:pPr>
      <w:bookmarkStart w:id="13" w:name="_Toc30065"/>
      <w:bookmarkStart w:id="14" w:name="_Toc27887"/>
      <w:bookmarkStart w:id="15" w:name="_Toc28192"/>
      <w:bookmarkStart w:id="16" w:name="_Toc14473"/>
      <w:bookmarkStart w:id="17" w:name="_Toc5240"/>
      <w:r>
        <w:rPr>
          <w:rFonts w:hint="eastAsia" w:ascii="仿宋_GB2312" w:hAnsi="仿宋" w:eastAsia="仿宋_GB2312" w:cs="仿宋"/>
          <w:b/>
          <w:sz w:val="32"/>
          <w:szCs w:val="20"/>
          <w:highlight w:val="none"/>
        </w:rPr>
        <w:t>二、招标文件的构成、澄清、修改</w:t>
      </w:r>
      <w:bookmarkEnd w:id="13"/>
      <w:bookmarkEnd w:id="14"/>
      <w:bookmarkEnd w:id="15"/>
      <w:bookmarkEnd w:id="16"/>
      <w:bookmarkEnd w:id="17"/>
    </w:p>
    <w:p w14:paraId="7EDDCA6C">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招标文件的构成</w:t>
      </w:r>
    </w:p>
    <w:p w14:paraId="5C576DEF">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招标文件包括下列文件及附件：</w:t>
      </w:r>
    </w:p>
    <w:p w14:paraId="747E7E8D">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招标公告；</w:t>
      </w:r>
    </w:p>
    <w:p w14:paraId="5FB89FCE">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投标人须知；</w:t>
      </w:r>
    </w:p>
    <w:p w14:paraId="70C6F1B8">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采购需求；</w:t>
      </w:r>
    </w:p>
    <w:p w14:paraId="15EF3A48">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评标办法；</w:t>
      </w:r>
    </w:p>
    <w:p w14:paraId="0236B797">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拟签订的合同文本；</w:t>
      </w:r>
    </w:p>
    <w:p w14:paraId="613070C3">
      <w:pPr>
        <w:numPr>
          <w:ilvl w:val="2"/>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应提交的有关格式范例。</w:t>
      </w:r>
    </w:p>
    <w:p w14:paraId="16AC1782">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与本项目有关的澄清或者修改的内容为招标文件的组成部分。</w:t>
      </w:r>
    </w:p>
    <w:p w14:paraId="109B32DA">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招标文件的澄清、修改</w:t>
      </w:r>
    </w:p>
    <w:p w14:paraId="5DD7E558">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已获取招标文件的潜在投标人，若有问题需要澄清，应于投标截止时间前，以书面形式向采购代理机构提出。</w:t>
      </w:r>
    </w:p>
    <w:p w14:paraId="397CE8D2">
      <w:pPr>
        <w:numPr>
          <w:ilvl w:val="1"/>
          <w:numId w:val="3"/>
        </w:numPr>
        <w:tabs>
          <w:tab w:val="left" w:pos="21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73E46">
      <w:pPr>
        <w:rPr>
          <w:rFonts w:ascii="仿宋_GB2312" w:hAnsi="仿宋" w:eastAsia="仿宋_GB2312" w:cs="仿宋"/>
          <w:highlight w:val="none"/>
        </w:rPr>
      </w:pPr>
      <w:r>
        <w:rPr>
          <w:rFonts w:hint="eastAsia" w:ascii="仿宋_GB2312" w:hAnsi="仿宋" w:eastAsia="仿宋_GB2312" w:cs="仿宋"/>
          <w:highlight w:val="none"/>
        </w:rPr>
        <w:t xml:space="preserve">    </w:t>
      </w:r>
    </w:p>
    <w:p w14:paraId="7FCA5887">
      <w:pPr>
        <w:spacing w:line="360" w:lineRule="auto"/>
        <w:jc w:val="center"/>
        <w:outlineLvl w:val="1"/>
        <w:rPr>
          <w:rFonts w:ascii="仿宋_GB2312" w:hAnsi="仿宋" w:eastAsia="仿宋_GB2312" w:cs="仿宋"/>
          <w:b/>
          <w:sz w:val="30"/>
          <w:szCs w:val="20"/>
          <w:highlight w:val="none"/>
        </w:rPr>
      </w:pPr>
      <w:bookmarkStart w:id="18" w:name="_Toc10627"/>
      <w:bookmarkStart w:id="19" w:name="_Toc8085"/>
      <w:bookmarkStart w:id="20" w:name="_Toc2344"/>
      <w:bookmarkStart w:id="21" w:name="_Toc25644"/>
      <w:bookmarkStart w:id="22" w:name="_Toc484"/>
      <w:r>
        <w:rPr>
          <w:rFonts w:hint="eastAsia" w:ascii="仿宋_GB2312" w:hAnsi="仿宋" w:eastAsia="仿宋_GB2312" w:cs="仿宋"/>
          <w:b/>
          <w:sz w:val="30"/>
          <w:szCs w:val="20"/>
          <w:highlight w:val="none"/>
        </w:rPr>
        <w:t>三、投标</w:t>
      </w:r>
      <w:bookmarkEnd w:id="18"/>
      <w:bookmarkEnd w:id="19"/>
      <w:bookmarkEnd w:id="20"/>
      <w:bookmarkEnd w:id="21"/>
      <w:bookmarkEnd w:id="22"/>
    </w:p>
    <w:p w14:paraId="46F2948C">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招标文件的获取</w:t>
      </w:r>
    </w:p>
    <w:p w14:paraId="763B0E0B">
      <w:pPr>
        <w:spacing w:line="360" w:lineRule="auto"/>
        <w:ind w:firstLine="420"/>
        <w:rPr>
          <w:rFonts w:ascii="仿宋_GB2312" w:hAnsi="仿宋" w:eastAsia="仿宋_GB2312" w:cs="仿宋"/>
          <w:snapToGrid w:val="0"/>
          <w:kern w:val="28"/>
          <w:sz w:val="24"/>
          <w:highlight w:val="none"/>
        </w:rPr>
      </w:pPr>
      <w:r>
        <w:rPr>
          <w:rFonts w:hint="eastAsia" w:ascii="仿宋_GB2312" w:hAnsi="仿宋" w:eastAsia="仿宋_GB2312" w:cs="仿宋"/>
          <w:snapToGrid w:val="0"/>
          <w:kern w:val="28"/>
          <w:sz w:val="24"/>
          <w:highlight w:val="none"/>
        </w:rPr>
        <w:t>详见招标公告中获取招标文件的时间期限、地点、方式及招标文件售价。</w:t>
      </w:r>
    </w:p>
    <w:p w14:paraId="2BA2C455">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开标前答疑会或现场考察</w:t>
      </w:r>
    </w:p>
    <w:p w14:paraId="4AEE6CB4">
      <w:pPr>
        <w:pStyle w:val="23"/>
        <w:spacing w:line="360" w:lineRule="auto"/>
        <w:ind w:firstLine="42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采购人组织潜在投标人现场考察或者召开开标前答疑会的，潜在投标人按第二部分投标人须知前附表的规定参加现场考察或者开标前答疑会。</w:t>
      </w:r>
    </w:p>
    <w:p w14:paraId="4F0F2345">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投标保证金</w:t>
      </w:r>
    </w:p>
    <w:p w14:paraId="4D3D9856">
      <w:pPr>
        <w:pStyle w:val="10"/>
        <w:spacing w:line="360" w:lineRule="auto"/>
        <w:ind w:firstLine="470" w:firstLineChars="196"/>
        <w:rPr>
          <w:rFonts w:ascii="仿宋_GB2312" w:hAnsi="仿宋" w:eastAsia="仿宋_GB2312" w:cs="仿宋"/>
          <w:sz w:val="24"/>
          <w:highlight w:val="none"/>
        </w:rPr>
      </w:pPr>
      <w:r>
        <w:rPr>
          <w:rFonts w:hint="eastAsia" w:ascii="仿宋_GB2312" w:hAnsi="仿宋" w:eastAsia="仿宋_GB2312" w:cs="仿宋"/>
          <w:sz w:val="24"/>
          <w:highlight w:val="none"/>
        </w:rPr>
        <w:t>本项目不需缴纳投标保证金。</w:t>
      </w:r>
    </w:p>
    <w:p w14:paraId="5375AC3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投标文件的语言</w:t>
      </w:r>
    </w:p>
    <w:p w14:paraId="086530DD">
      <w:pPr>
        <w:autoSpaceDE w:val="0"/>
        <w:autoSpaceDN w:val="0"/>
        <w:spacing w:line="360" w:lineRule="auto"/>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rPr>
        <w:t>投标文件及投标人与采购有关的来往通知、函件和文件均应使用中文。</w:t>
      </w:r>
    </w:p>
    <w:p w14:paraId="2AFB0713">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投标文件的组成</w:t>
      </w:r>
    </w:p>
    <w:p w14:paraId="2E97763E">
      <w:pPr>
        <w:numPr>
          <w:ilvl w:val="1"/>
          <w:numId w:val="3"/>
        </w:numPr>
        <w:tabs>
          <w:tab w:val="left" w:pos="210"/>
          <w:tab w:val="left" w:pos="630"/>
          <w:tab w:val="left" w:pos="840"/>
        </w:tabs>
        <w:snapToGrid w:val="0"/>
        <w:spacing w:line="360" w:lineRule="auto"/>
        <w:jc w:val="left"/>
        <w:rPr>
          <w:rFonts w:ascii="仿宋_GB2312" w:hAnsi="仿宋" w:eastAsia="仿宋_GB2312" w:cs="仿宋"/>
          <w:b/>
          <w:sz w:val="24"/>
          <w:highlight w:val="none"/>
        </w:rPr>
      </w:pPr>
      <w:r>
        <w:rPr>
          <w:rFonts w:hint="eastAsia" w:ascii="仿宋_GB2312" w:hAnsi="仿宋" w:eastAsia="仿宋_GB2312" w:cs="仿宋"/>
          <w:b/>
          <w:sz w:val="24"/>
          <w:highlight w:val="none"/>
        </w:rPr>
        <w:t>资格文件：</w:t>
      </w:r>
    </w:p>
    <w:p w14:paraId="747FD05F">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符合参加政府采购活动应当具备的一般条件的承诺函；</w:t>
      </w:r>
    </w:p>
    <w:p w14:paraId="3C993950">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联合协议；（如果有）</w:t>
      </w:r>
    </w:p>
    <w:p w14:paraId="307C6122">
      <w:pPr>
        <w:numPr>
          <w:ilvl w:val="2"/>
          <w:numId w:val="3"/>
        </w:numPr>
        <w:tabs>
          <w:tab w:val="left" w:pos="210"/>
          <w:tab w:val="left" w:pos="630"/>
          <w:tab w:val="left" w:pos="840"/>
        </w:tabs>
        <w:snapToGrid w:val="0"/>
        <w:spacing w:line="360" w:lineRule="auto"/>
        <w:jc w:val="left"/>
        <w:rPr>
          <w:rFonts w:ascii="仿宋_GB2312" w:hAnsi="仿宋" w:eastAsia="仿宋_GB2312" w:cs="仿宋"/>
          <w:snapToGrid w:val="0"/>
          <w:kern w:val="0"/>
          <w:sz w:val="24"/>
          <w:highlight w:val="none"/>
        </w:rPr>
      </w:pPr>
      <w:r>
        <w:rPr>
          <w:rFonts w:hint="eastAsia" w:ascii="仿宋_GB2312" w:hAnsi="仿宋" w:eastAsia="仿宋_GB2312" w:cs="仿宋"/>
          <w:bCs/>
          <w:sz w:val="24"/>
          <w:highlight w:val="none"/>
        </w:rPr>
        <w:t>落实政府采购政策需满足的资格要求；（如果有，按采购公告“申请人的资格要求”第2项；未要求的，无需提供）</w:t>
      </w:r>
    </w:p>
    <w:p w14:paraId="0FA30A39">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本项目的特定资格要求</w:t>
      </w:r>
      <w:r>
        <w:rPr>
          <w:rFonts w:hint="eastAsia" w:ascii="仿宋_GB2312" w:hAnsi="仿宋" w:eastAsia="仿宋_GB2312" w:cs="仿宋"/>
          <w:bCs/>
          <w:sz w:val="24"/>
          <w:highlight w:val="none"/>
          <w:lang w:eastAsia="zh-CN"/>
        </w:rPr>
        <w:t>；</w:t>
      </w:r>
      <w:r>
        <w:rPr>
          <w:rFonts w:hint="eastAsia" w:ascii="仿宋_GB2312" w:hAnsi="仿宋" w:eastAsia="仿宋_GB2312" w:cs="仿宋"/>
          <w:bCs/>
          <w:sz w:val="24"/>
          <w:highlight w:val="none"/>
        </w:rPr>
        <w:t>（如果有，按采购公告“申请人的资格要求”第3项；未要求的，无需提供）</w:t>
      </w:r>
    </w:p>
    <w:p w14:paraId="6E50FBA5">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lang w:eastAsia="zh-CN"/>
        </w:rPr>
        <w:t>投标人认为需提交的其他相关材料（如有）。</w:t>
      </w:r>
    </w:p>
    <w:p w14:paraId="40219077">
      <w:pPr>
        <w:numPr>
          <w:ilvl w:val="1"/>
          <w:numId w:val="3"/>
        </w:numPr>
        <w:tabs>
          <w:tab w:val="left" w:pos="210"/>
          <w:tab w:val="left" w:pos="630"/>
          <w:tab w:val="left" w:pos="840"/>
        </w:tabs>
        <w:snapToGrid w:val="0"/>
        <w:spacing w:line="360" w:lineRule="auto"/>
        <w:jc w:val="left"/>
        <w:rPr>
          <w:rFonts w:ascii="仿宋_GB2312" w:hAnsi="仿宋" w:eastAsia="仿宋_GB2312" w:cs="仿宋"/>
          <w:b/>
          <w:sz w:val="24"/>
          <w:highlight w:val="none"/>
          <w:lang w:val="zh-CN"/>
        </w:rPr>
      </w:pPr>
      <w:r>
        <w:rPr>
          <w:rFonts w:hint="eastAsia" w:ascii="仿宋_GB2312" w:hAnsi="仿宋" w:eastAsia="仿宋_GB2312" w:cs="仿宋"/>
          <w:b/>
          <w:sz w:val="24"/>
          <w:highlight w:val="none"/>
        </w:rPr>
        <w:t>商务技术</w:t>
      </w:r>
      <w:r>
        <w:rPr>
          <w:rFonts w:hint="eastAsia" w:ascii="仿宋_GB2312" w:hAnsi="仿宋" w:eastAsia="仿宋_GB2312" w:cs="仿宋"/>
          <w:b/>
          <w:sz w:val="24"/>
          <w:highlight w:val="none"/>
          <w:lang w:val="zh-CN"/>
        </w:rPr>
        <w:t>文件：</w:t>
      </w:r>
    </w:p>
    <w:p w14:paraId="0F39CC35">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投标函；</w:t>
      </w:r>
      <w:r>
        <w:rPr>
          <w:rFonts w:hint="eastAsia" w:ascii="仿宋_GB2312" w:hAnsi="仿宋" w:eastAsia="仿宋_GB2312" w:cs="仿宋"/>
          <w:bCs/>
          <w:sz w:val="24"/>
          <w:highlight w:val="none"/>
          <w:lang w:val="zh-CN"/>
        </w:rPr>
        <w:t xml:space="preserve"> </w:t>
      </w:r>
    </w:p>
    <w:p w14:paraId="3D7555AA">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授权委托书或法定代表人（单位负责人、自然人本人）身份证明，以及为授权代表缴纳、距投标截止时间3个月内任意时间出具的社保证明材料；</w:t>
      </w:r>
    </w:p>
    <w:p w14:paraId="477D2DF0">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分包意向协议；（如果有）</w:t>
      </w:r>
    </w:p>
    <w:p w14:paraId="414C7BB1">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符合性审查资料；</w:t>
      </w:r>
    </w:p>
    <w:p w14:paraId="3D0B6BC6">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评标标准相应的商务技术资料；</w:t>
      </w:r>
    </w:p>
    <w:p w14:paraId="57378FE2">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投标标的清单；</w:t>
      </w:r>
    </w:p>
    <w:p w14:paraId="53DFBB97">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商务技术偏离表；</w:t>
      </w:r>
    </w:p>
    <w:p w14:paraId="459054AD">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政府采购供应商廉洁自律承诺书</w:t>
      </w:r>
      <w:r>
        <w:rPr>
          <w:rFonts w:hint="eastAsia" w:ascii="仿宋_GB2312" w:hAnsi="仿宋" w:eastAsia="仿宋_GB2312" w:cs="仿宋"/>
          <w:bCs/>
          <w:sz w:val="24"/>
          <w:highlight w:val="none"/>
        </w:rPr>
        <w:t>；</w:t>
      </w:r>
    </w:p>
    <w:p w14:paraId="23712857">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lang w:eastAsia="zh-CN"/>
        </w:rPr>
        <w:t>投标人认为需提交的其他相关材料（如有）。</w:t>
      </w:r>
    </w:p>
    <w:p w14:paraId="05D6B319">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lang w:val="zh-CN"/>
        </w:rPr>
      </w:pPr>
    </w:p>
    <w:p w14:paraId="6E6ADCE6">
      <w:pPr>
        <w:numPr>
          <w:ilvl w:val="1"/>
          <w:numId w:val="3"/>
        </w:numPr>
        <w:tabs>
          <w:tab w:val="left" w:pos="210"/>
          <w:tab w:val="left" w:pos="630"/>
          <w:tab w:val="left" w:pos="840"/>
        </w:tabs>
        <w:snapToGrid w:val="0"/>
        <w:spacing w:line="360" w:lineRule="auto"/>
        <w:jc w:val="left"/>
        <w:rPr>
          <w:rFonts w:ascii="仿宋_GB2312" w:hAnsi="仿宋" w:eastAsia="仿宋_GB2312" w:cs="仿宋"/>
          <w:b/>
          <w:sz w:val="24"/>
          <w:highlight w:val="none"/>
          <w:lang w:val="zh-CN"/>
        </w:rPr>
      </w:pPr>
      <w:r>
        <w:rPr>
          <w:rFonts w:hint="eastAsia" w:ascii="仿宋_GB2312" w:hAnsi="仿宋" w:eastAsia="仿宋_GB2312" w:cs="仿宋"/>
          <w:b/>
          <w:sz w:val="24"/>
          <w:highlight w:val="none"/>
        </w:rPr>
        <w:t xml:space="preserve">报价文件： </w:t>
      </w:r>
    </w:p>
    <w:p w14:paraId="22EEC725">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开标一览表（报价表）；</w:t>
      </w:r>
    </w:p>
    <w:p w14:paraId="1BEEC3F0">
      <w:pPr>
        <w:numPr>
          <w:ilvl w:val="2"/>
          <w:numId w:val="3"/>
        </w:numPr>
        <w:tabs>
          <w:tab w:val="left" w:pos="210"/>
          <w:tab w:val="left" w:pos="630"/>
          <w:tab w:val="left" w:pos="8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报价明细表；（自拟）</w:t>
      </w:r>
    </w:p>
    <w:p w14:paraId="2D68BAC6">
      <w:pPr>
        <w:numPr>
          <w:ilvl w:val="2"/>
          <w:numId w:val="3"/>
        </w:numPr>
        <w:tabs>
          <w:tab w:val="left" w:pos="210"/>
          <w:tab w:val="left" w:pos="630"/>
          <w:tab w:val="left" w:pos="840"/>
        </w:tabs>
        <w:snapToGrid w:val="0"/>
        <w:spacing w:line="360" w:lineRule="auto"/>
        <w:ind w:left="0" w:firstLine="0"/>
        <w:jc w:val="left"/>
        <w:rPr>
          <w:rFonts w:ascii="仿宋_GB2312" w:hAnsi="仿宋" w:eastAsia="仿宋_GB2312" w:cs="仿宋"/>
          <w:bCs/>
          <w:sz w:val="24"/>
          <w:highlight w:val="none"/>
        </w:rPr>
      </w:pPr>
      <w:r>
        <w:rPr>
          <w:rFonts w:hint="eastAsia" w:ascii="仿宋_GB2312" w:hAnsi="仿宋" w:eastAsia="仿宋_GB2312" w:cs="仿宋"/>
          <w:bCs/>
          <w:sz w:val="24"/>
          <w:highlight w:val="none"/>
          <w:lang w:eastAsia="zh-CN"/>
        </w:rPr>
        <w:t>投标人认为需提交的其他相关材料（如有）。</w:t>
      </w:r>
    </w:p>
    <w:p w14:paraId="00245B51">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投标文件含有采购人不能接受的附加条件的，投标无效；</w:t>
      </w:r>
    </w:p>
    <w:p w14:paraId="3D0BBD5A">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投标人提供虚假材料投标的，投标无效；</w:t>
      </w:r>
    </w:p>
    <w:p w14:paraId="72156769">
      <w:pPr>
        <w:spacing w:line="360" w:lineRule="auto"/>
        <w:ind w:firstLine="482" w:firstLineChars="200"/>
        <w:rPr>
          <w:rFonts w:ascii="仿宋_GB2312" w:hAnsi="仿宋" w:eastAsia="仿宋_GB2312" w:cs="仿宋"/>
          <w:b/>
          <w:sz w:val="24"/>
          <w:highlight w:val="none"/>
        </w:rPr>
      </w:pPr>
      <w:r>
        <w:rPr>
          <w:rFonts w:hint="eastAsia" w:ascii="仿宋_GB2312" w:hAnsi="仿宋" w:eastAsia="仿宋_GB2312" w:cs="仿宋"/>
          <w:b/>
          <w:sz w:val="24"/>
          <w:highlight w:val="none"/>
        </w:rPr>
        <w:t>投标人应对投标文件中材料的真实性、合法性负责。</w:t>
      </w:r>
    </w:p>
    <w:p w14:paraId="06BB9EEC">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投标文件的编制</w:t>
      </w:r>
    </w:p>
    <w:p w14:paraId="304FA6B3">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83BA79">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EC1E6F6">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使用“政采云电子交易客户端”需要提前申领CA数字证书，申领流程请自行前往“浙江政府采购网-下载专区-电子交易客户端-CA驱动和申领流程”进行查阅。</w:t>
      </w:r>
    </w:p>
    <w:p w14:paraId="39C7D140">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投标文件的签署、盖章</w:t>
      </w:r>
    </w:p>
    <w:p w14:paraId="1DFFD030">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投标文件按照招标文件第六部分格式要求进行签署、盖章。</w:t>
      </w:r>
    </w:p>
    <w:p w14:paraId="78EE6EC3">
      <w:pPr>
        <w:pStyle w:val="121"/>
        <w:snapToGrid w:val="0"/>
        <w:ind w:firstLine="482"/>
        <w:rPr>
          <w:rFonts w:ascii="仿宋_GB2312" w:hAnsi="仿宋" w:eastAsia="仿宋_GB2312" w:cs="仿宋"/>
          <w:b/>
          <w:highlight w:val="none"/>
        </w:rPr>
      </w:pPr>
      <w:r>
        <w:rPr>
          <w:rFonts w:hint="eastAsia" w:ascii="仿宋_GB2312" w:hAnsi="仿宋" w:eastAsia="仿宋_GB2312" w:cs="仿宋"/>
          <w:b/>
          <w:highlight w:val="none"/>
        </w:rPr>
        <w:t>▲投标人的投标文件未按照招标文件要求签署、盖章的，其投标无效</w:t>
      </w:r>
      <w:r>
        <w:rPr>
          <w:rFonts w:hint="eastAsia" w:ascii="仿宋_GB2312" w:hAnsi="仿宋" w:eastAsia="仿宋_GB2312" w:cs="仿宋"/>
          <w:szCs w:val="24"/>
          <w:highlight w:val="none"/>
        </w:rPr>
        <w:t>。</w:t>
      </w:r>
    </w:p>
    <w:p w14:paraId="5205208A">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25F6C229">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招标文件对投标文件签署、盖章的要求适用于电子签名。</w:t>
      </w:r>
    </w:p>
    <w:p w14:paraId="5A890683">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投标文件的提交、补充、修改、撤回</w:t>
      </w:r>
    </w:p>
    <w:p w14:paraId="4A02382D">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2CDF364">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7AF3D2EB">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61324FD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备份投标文件</w:t>
      </w:r>
    </w:p>
    <w:p w14:paraId="4F1476C8">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cs="仿宋"/>
          <w:b/>
          <w:sz w:val="24"/>
          <w:highlight w:val="none"/>
        </w:rPr>
        <w:t>但采购人、采购代理机构不强制或变相强制投标人提交备份投标文件</w:t>
      </w:r>
      <w:r>
        <w:rPr>
          <w:rFonts w:hint="eastAsia" w:ascii="仿宋_GB2312" w:hAnsi="仿宋" w:eastAsia="仿宋_GB2312" w:cs="仿宋"/>
          <w:bCs/>
          <w:sz w:val="24"/>
          <w:highlight w:val="none"/>
        </w:rPr>
        <w:t>。</w:t>
      </w:r>
    </w:p>
    <w:p w14:paraId="6B240AC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cs="仿宋"/>
          <w:b/>
          <w:sz w:val="24"/>
          <w:highlight w:val="none"/>
        </w:rPr>
        <w:t>不符合上述制作、存储、密封规定的备份投标文件将被视为无效或者被拒绝接收。</w:t>
      </w:r>
    </w:p>
    <w:p w14:paraId="0E422AC7">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cs="仿宋"/>
          <w:b/>
          <w:sz w:val="24"/>
          <w:highlight w:val="none"/>
        </w:rPr>
        <w:t>采购代理机构将拒绝接受逾期送达的备份投标文件</w:t>
      </w:r>
      <w:r>
        <w:rPr>
          <w:rFonts w:hint="eastAsia" w:ascii="仿宋_GB2312" w:hAnsi="仿宋" w:eastAsia="仿宋_GB2312" w:cs="仿宋"/>
          <w:bCs/>
          <w:sz w:val="24"/>
          <w:highlight w:val="none"/>
        </w:rPr>
        <w:t>。</w:t>
      </w:r>
    </w:p>
    <w:p w14:paraId="6C652610">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A0BD75">
      <w:pPr>
        <w:numPr>
          <w:ilvl w:val="1"/>
          <w:numId w:val="3"/>
        </w:numPr>
        <w:tabs>
          <w:tab w:val="left" w:pos="210"/>
          <w:tab w:val="left" w:pos="640"/>
        </w:tabs>
        <w:snapToGrid w:val="0"/>
        <w:spacing w:line="360" w:lineRule="auto"/>
        <w:ind w:left="629" w:hanging="629"/>
        <w:jc w:val="left"/>
        <w:rPr>
          <w:rFonts w:ascii="仿宋_GB2312" w:hAnsi="仿宋" w:eastAsia="仿宋_GB2312" w:cs="仿宋"/>
          <w:b/>
          <w:sz w:val="24"/>
          <w:highlight w:val="none"/>
        </w:rPr>
      </w:pPr>
      <w:r>
        <w:rPr>
          <w:rFonts w:hint="eastAsia" w:ascii="仿宋_GB2312" w:hAnsi="仿宋" w:eastAsia="仿宋_GB2312" w:cs="仿宋"/>
          <w:b/>
          <w:sz w:val="24"/>
          <w:highlight w:val="none"/>
        </w:rPr>
        <w:t>投标人仅提交备份投标文件，未在电子交易平台传输递交投标文件的，投标无效。</w:t>
      </w:r>
    </w:p>
    <w:p w14:paraId="4CA9A2EE">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投标文件的无效处理</w:t>
      </w:r>
    </w:p>
    <w:p w14:paraId="641ED697">
      <w:pPr>
        <w:pStyle w:val="18"/>
        <w:ind w:firstLine="360" w:firstLineChars="150"/>
        <w:rPr>
          <w:rFonts w:ascii="仿宋_GB2312" w:hAnsi="仿宋" w:eastAsia="仿宋_GB2312" w:cs="仿宋"/>
          <w:szCs w:val="21"/>
          <w:highlight w:val="none"/>
        </w:rPr>
      </w:pPr>
      <w:r>
        <w:rPr>
          <w:rFonts w:hint="eastAsia" w:ascii="仿宋_GB2312" w:hAnsi="仿宋" w:eastAsia="仿宋_GB2312" w:cs="仿宋"/>
          <w:szCs w:val="21"/>
          <w:highlight w:val="none"/>
        </w:rPr>
        <w:t>有招标文件第四部分</w:t>
      </w:r>
      <w:r>
        <w:rPr>
          <w:rFonts w:hint="eastAsia" w:ascii="仿宋_GB2312" w:hAnsi="仿宋" w:eastAsia="仿宋_GB2312" w:cs="仿宋"/>
          <w:highlight w:val="none"/>
        </w:rPr>
        <w:t>第4.2项规定</w:t>
      </w:r>
      <w:r>
        <w:rPr>
          <w:rFonts w:hint="eastAsia" w:ascii="仿宋_GB2312" w:hAnsi="仿宋" w:eastAsia="仿宋_GB2312" w:cs="仿宋"/>
          <w:szCs w:val="21"/>
          <w:highlight w:val="none"/>
        </w:rPr>
        <w:t>的情形之一的，投标无效。</w:t>
      </w:r>
    </w:p>
    <w:p w14:paraId="45F3D3C8">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投标有效期</w:t>
      </w:r>
    </w:p>
    <w:p w14:paraId="59F69F85">
      <w:pPr>
        <w:numPr>
          <w:ilvl w:val="1"/>
          <w:numId w:val="3"/>
        </w:numPr>
        <w:tabs>
          <w:tab w:val="left" w:pos="210"/>
          <w:tab w:val="left" w:pos="640"/>
        </w:tabs>
        <w:snapToGrid w:val="0"/>
        <w:spacing w:line="360" w:lineRule="auto"/>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投标有效期为从提交投标文件的截止之日起90天。</w:t>
      </w:r>
    </w:p>
    <w:p w14:paraId="11E9AE45">
      <w:pPr>
        <w:spacing w:line="360" w:lineRule="auto"/>
        <w:ind w:firstLine="480" w:firstLineChars="200"/>
        <w:rPr>
          <w:rFonts w:ascii="仿宋_GB2312" w:hAnsi="仿宋" w:eastAsia="仿宋_GB2312" w:cs="仿宋"/>
          <w:b/>
          <w:sz w:val="24"/>
          <w:szCs w:val="21"/>
          <w:highlight w:val="none"/>
        </w:rPr>
      </w:pPr>
      <w:r>
        <w:rPr>
          <w:rFonts w:hint="eastAsia" w:ascii="仿宋_GB2312" w:hAnsi="仿宋" w:eastAsia="仿宋_GB2312" w:cs="仿宋"/>
          <w:sz w:val="24"/>
          <w:szCs w:val="20"/>
          <w:highlight w:val="none"/>
        </w:rPr>
        <w:t>▲</w:t>
      </w:r>
      <w:r>
        <w:rPr>
          <w:rFonts w:hint="eastAsia" w:ascii="仿宋_GB2312" w:hAnsi="仿宋" w:eastAsia="仿宋_GB2312" w:cs="仿宋"/>
          <w:b/>
          <w:sz w:val="24"/>
          <w:szCs w:val="20"/>
          <w:highlight w:val="none"/>
        </w:rPr>
        <w:t>投标人的投标文件中承</w:t>
      </w:r>
      <w:r>
        <w:rPr>
          <w:rFonts w:hint="eastAsia" w:ascii="仿宋_GB2312" w:hAnsi="仿宋" w:eastAsia="仿宋_GB2312" w:cs="仿宋"/>
          <w:b/>
          <w:sz w:val="24"/>
          <w:szCs w:val="21"/>
          <w:highlight w:val="none"/>
        </w:rPr>
        <w:t>诺的投标有效期少于招标文件中载明的投标有效期的，投标无效。</w:t>
      </w:r>
    </w:p>
    <w:p w14:paraId="48C637A1">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投标文件合格投递后，自投标截止日期起，在投标有效期内有效。</w:t>
      </w:r>
    </w:p>
    <w:p w14:paraId="09D15354">
      <w:pPr>
        <w:numPr>
          <w:ilvl w:val="1"/>
          <w:numId w:val="3"/>
        </w:numPr>
        <w:tabs>
          <w:tab w:val="left" w:pos="210"/>
          <w:tab w:val="left" w:pos="640"/>
        </w:tabs>
        <w:snapToGrid w:val="0"/>
        <w:spacing w:line="360" w:lineRule="auto"/>
        <w:ind w:left="627" w:hanging="627"/>
        <w:jc w:val="left"/>
        <w:rPr>
          <w:rFonts w:ascii="仿宋_GB2312" w:hAnsi="仿宋" w:eastAsia="仿宋_GB2312" w:cs="仿宋"/>
          <w:bCs/>
          <w:sz w:val="24"/>
          <w:highlight w:val="none"/>
        </w:rPr>
      </w:pPr>
      <w:r>
        <w:rPr>
          <w:rFonts w:hint="eastAsia" w:ascii="仿宋_GB2312" w:hAnsi="仿宋" w:eastAsia="仿宋_GB2312" w:cs="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5997909">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仿宋"/>
          <w:highlight w:val="none"/>
        </w:rPr>
      </w:pPr>
      <w:r>
        <w:rPr>
          <w:rFonts w:hint="eastAsia" w:ascii="仿宋_GB2312" w:hAnsi="仿宋" w:eastAsia="仿宋_GB2312" w:cs="仿宋"/>
          <w:bCs/>
          <w:sz w:val="24"/>
          <w:highlight w:val="none"/>
        </w:rPr>
        <w:t>自投标截止时间起至投标有效期届满，供应商投标文件不可撤销。</w:t>
      </w:r>
    </w:p>
    <w:p w14:paraId="7DC1CF01">
      <w:pPr>
        <w:pStyle w:val="121"/>
        <w:ind w:firstLine="643"/>
        <w:rPr>
          <w:rFonts w:ascii="仿宋_GB2312" w:hAnsi="仿宋" w:eastAsia="仿宋_GB2312" w:cs="仿宋"/>
          <w:b/>
          <w:sz w:val="32"/>
          <w:highlight w:val="none"/>
        </w:rPr>
      </w:pPr>
    </w:p>
    <w:p w14:paraId="1B8D03A4">
      <w:pPr>
        <w:spacing w:line="360" w:lineRule="auto"/>
        <w:jc w:val="center"/>
        <w:outlineLvl w:val="1"/>
        <w:rPr>
          <w:rFonts w:ascii="仿宋_GB2312" w:hAnsi="仿宋" w:eastAsia="仿宋_GB2312" w:cs="仿宋"/>
          <w:b/>
          <w:sz w:val="30"/>
          <w:szCs w:val="20"/>
          <w:highlight w:val="none"/>
        </w:rPr>
      </w:pPr>
      <w:bookmarkStart w:id="23" w:name="_Toc16113"/>
      <w:bookmarkStart w:id="24" w:name="_Toc533"/>
      <w:bookmarkStart w:id="25" w:name="_Toc11837"/>
      <w:bookmarkStart w:id="26" w:name="_Toc25497"/>
      <w:bookmarkStart w:id="27" w:name="_Toc3728"/>
      <w:r>
        <w:rPr>
          <w:rFonts w:hint="eastAsia" w:ascii="仿宋_GB2312" w:hAnsi="仿宋" w:eastAsia="仿宋_GB2312" w:cs="仿宋"/>
          <w:b/>
          <w:sz w:val="30"/>
          <w:szCs w:val="20"/>
          <w:highlight w:val="none"/>
        </w:rPr>
        <w:t>四、开标、资格审查与信用信息查询</w:t>
      </w:r>
      <w:bookmarkEnd w:id="23"/>
      <w:bookmarkEnd w:id="24"/>
      <w:bookmarkEnd w:id="25"/>
      <w:bookmarkEnd w:id="26"/>
      <w:bookmarkEnd w:id="27"/>
    </w:p>
    <w:p w14:paraId="14D93C54">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 xml:space="preserve">开标 </w:t>
      </w:r>
    </w:p>
    <w:p w14:paraId="302AF060">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采购代理机构按照招标文件规定的时间通过电子交易平台组织开标，所有投标人均应当准时在线参加。投标人不足3家的，不得开标。</w:t>
      </w:r>
    </w:p>
    <w:p w14:paraId="20C9F10D">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01CA8FB4">
      <w:pPr>
        <w:numPr>
          <w:ilvl w:val="1"/>
          <w:numId w:val="3"/>
        </w:numPr>
        <w:tabs>
          <w:tab w:val="left" w:pos="210"/>
          <w:tab w:val="left" w:pos="640"/>
        </w:tabs>
        <w:snapToGrid w:val="0"/>
        <w:spacing w:line="360" w:lineRule="auto"/>
        <w:ind w:left="629" w:hanging="629"/>
        <w:jc w:val="left"/>
        <w:rPr>
          <w:rFonts w:ascii="仿宋_GB2312" w:hAnsi="仿宋" w:eastAsia="仿宋_GB2312" w:cs="仿宋"/>
          <w:b/>
          <w:sz w:val="24"/>
          <w:highlight w:val="none"/>
        </w:rPr>
      </w:pPr>
      <w:r>
        <w:rPr>
          <w:rFonts w:hint="eastAsia" w:ascii="仿宋_GB2312" w:hAnsi="仿宋" w:eastAsia="仿宋_GB2312" w:cs="仿宋"/>
          <w:b/>
          <w:sz w:val="24"/>
          <w:highlight w:val="none"/>
        </w:rPr>
        <w:t>投标文件未按时解密，投标人提供了备份投标文件的，以备份投标文件作为依据，否则视为投标文件撤回。投标文件已按时解密的，备份投标文件自动失效。</w:t>
      </w:r>
    </w:p>
    <w:p w14:paraId="338EC47D">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资格审查</w:t>
      </w:r>
    </w:p>
    <w:p w14:paraId="3B6CFCC8">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开标后，采购人或采购代理机构依据法律法规和招标文件的规定，对投标人的资格进行审查。</w:t>
      </w:r>
    </w:p>
    <w:p w14:paraId="30A4E312">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采购人或采购代理机构依据法律法规和招标文件的规定，对投标人的基本资格条件、特定资格条件进行审查。</w:t>
      </w:r>
    </w:p>
    <w:p w14:paraId="17D7378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投标人未按照招标文件要求提供与基本资格条件、特定资格条件相应的有效资格证明材料的，视为投标人不具备招标文件中规定的资格要求，其投标无效。</w:t>
      </w:r>
    </w:p>
    <w:p w14:paraId="4FA6DBE9">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对未通过资格审查的投标人，采购人或采购代理机构告知其未通过的原因。</w:t>
      </w:r>
    </w:p>
    <w:p w14:paraId="21B193E7">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合格投标人不足3家的，不再评标。</w:t>
      </w:r>
    </w:p>
    <w:p w14:paraId="2ECE38E0">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信用信息查询</w:t>
      </w:r>
    </w:p>
    <w:p w14:paraId="15CBCD2B">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信用信息查询渠道及截止时间：采购代理机构将通过“信用中国”网站(www.creditchina.gov.cn)、中国政府采购网(www.ccgp.gov.cn)渠道查询投标人投标截止时间当天的信用记录。</w:t>
      </w:r>
    </w:p>
    <w:p w14:paraId="3629E4C6">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信用信息查询记录和证据留存的具体方式：现场查询的投标人的信用记录、查询结果经确认后将与采购文件一起存档。</w:t>
      </w:r>
    </w:p>
    <w:p w14:paraId="0A63C4EF">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信用信息的使用规则：经查询列入失信被执行人名单、重大税收违法案件当事人名单、政府采购严重违法失信行为记录名单的投标人将被拒绝参与政府采购活动。</w:t>
      </w:r>
    </w:p>
    <w:p w14:paraId="5315E27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BC23B8">
      <w:pPr>
        <w:snapToGrid w:val="0"/>
        <w:spacing w:line="360" w:lineRule="auto"/>
        <w:jc w:val="center"/>
        <w:outlineLvl w:val="1"/>
        <w:rPr>
          <w:rFonts w:ascii="仿宋_GB2312" w:hAnsi="仿宋" w:eastAsia="仿宋_GB2312" w:cs="仿宋"/>
          <w:b/>
          <w:sz w:val="36"/>
          <w:szCs w:val="36"/>
          <w:highlight w:val="none"/>
        </w:rPr>
      </w:pPr>
      <w:bookmarkStart w:id="28" w:name="_Toc19433"/>
      <w:bookmarkStart w:id="29" w:name="_Toc24431"/>
      <w:bookmarkStart w:id="30" w:name="_Toc9793"/>
      <w:bookmarkStart w:id="31" w:name="_Toc7171"/>
      <w:bookmarkStart w:id="32" w:name="_Toc22552"/>
      <w:r>
        <w:rPr>
          <w:rFonts w:hint="eastAsia" w:ascii="仿宋_GB2312" w:hAnsi="仿宋" w:eastAsia="仿宋_GB2312" w:cs="仿宋"/>
          <w:b/>
          <w:sz w:val="36"/>
          <w:szCs w:val="36"/>
          <w:highlight w:val="none"/>
        </w:rPr>
        <w:t>五、评标</w:t>
      </w:r>
      <w:bookmarkEnd w:id="28"/>
      <w:bookmarkEnd w:id="29"/>
      <w:bookmarkEnd w:id="30"/>
      <w:bookmarkEnd w:id="31"/>
      <w:bookmarkEnd w:id="32"/>
    </w:p>
    <w:p w14:paraId="1EC9B588">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评标</w:t>
      </w:r>
    </w:p>
    <w:p w14:paraId="15D1E28D">
      <w:pPr>
        <w:spacing w:line="360" w:lineRule="auto"/>
        <w:ind w:firstLine="480" w:firstLineChars="200"/>
        <w:rPr>
          <w:rFonts w:ascii="仿宋_GB2312" w:hAnsi="仿宋" w:eastAsia="仿宋_GB2312" w:cs="仿宋"/>
          <w:b/>
          <w:sz w:val="24"/>
          <w:highlight w:val="none"/>
        </w:rPr>
      </w:pPr>
      <w:r>
        <w:rPr>
          <w:rFonts w:hint="eastAsia" w:ascii="仿宋_GB2312" w:hAnsi="仿宋" w:eastAsia="仿宋_GB2312"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
          <w:b/>
          <w:sz w:val="24"/>
          <w:highlight w:val="none"/>
        </w:rPr>
        <w:t>详见招标文件第四部分评标办法。</w:t>
      </w:r>
    </w:p>
    <w:p w14:paraId="33C82DAA">
      <w:pPr>
        <w:snapToGrid w:val="0"/>
        <w:spacing w:line="360" w:lineRule="auto"/>
        <w:jc w:val="center"/>
        <w:outlineLvl w:val="1"/>
        <w:rPr>
          <w:rFonts w:ascii="仿宋_GB2312" w:hAnsi="仿宋" w:eastAsia="仿宋_GB2312" w:cs="仿宋"/>
          <w:b/>
          <w:sz w:val="36"/>
          <w:szCs w:val="36"/>
          <w:highlight w:val="none"/>
        </w:rPr>
      </w:pPr>
      <w:bookmarkStart w:id="33" w:name="_Toc29939"/>
      <w:bookmarkStart w:id="34" w:name="_Toc31668"/>
      <w:bookmarkStart w:id="35" w:name="_Toc7518"/>
      <w:bookmarkStart w:id="36" w:name="_Toc30302"/>
      <w:bookmarkStart w:id="37" w:name="_Toc20749"/>
      <w:r>
        <w:rPr>
          <w:rFonts w:hint="eastAsia" w:ascii="仿宋_GB2312" w:hAnsi="仿宋" w:eastAsia="仿宋_GB2312" w:cs="仿宋"/>
          <w:b/>
          <w:sz w:val="36"/>
          <w:szCs w:val="36"/>
          <w:highlight w:val="none"/>
        </w:rPr>
        <w:t>六、定 标</w:t>
      </w:r>
      <w:bookmarkEnd w:id="33"/>
      <w:bookmarkEnd w:id="34"/>
      <w:bookmarkEnd w:id="35"/>
      <w:bookmarkEnd w:id="36"/>
      <w:bookmarkEnd w:id="37"/>
    </w:p>
    <w:p w14:paraId="53A7D8FC">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确定中标供应商</w:t>
      </w:r>
    </w:p>
    <w:p w14:paraId="4C2723E6">
      <w:pPr>
        <w:pStyle w:val="121"/>
        <w:snapToGrid w:val="0"/>
        <w:ind w:firstLine="420" w:firstLineChars="175"/>
        <w:rPr>
          <w:rFonts w:ascii="仿宋_GB2312" w:hAnsi="仿宋" w:eastAsia="仿宋_GB2312" w:cs="仿宋"/>
          <w:b/>
          <w:szCs w:val="24"/>
          <w:highlight w:val="none"/>
        </w:rPr>
      </w:pPr>
      <w:r>
        <w:rPr>
          <w:rFonts w:hint="eastAsia" w:ascii="仿宋_GB2312" w:hAnsi="仿宋" w:eastAsia="仿宋_GB2312"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72827539">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中标通知与中标结果公告</w:t>
      </w:r>
    </w:p>
    <w:p w14:paraId="26F33702">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24E41092">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35D07125">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公告期限为1个工作日。</w:t>
      </w:r>
    </w:p>
    <w:p w14:paraId="492F2F35">
      <w:pPr>
        <w:rPr>
          <w:rFonts w:ascii="仿宋_GB2312" w:hAnsi="仿宋" w:eastAsia="仿宋_GB2312" w:cs="仿宋"/>
          <w:highlight w:val="none"/>
        </w:rPr>
      </w:pPr>
    </w:p>
    <w:p w14:paraId="37AF7FD3">
      <w:pPr>
        <w:snapToGrid w:val="0"/>
        <w:spacing w:line="360" w:lineRule="auto"/>
        <w:jc w:val="center"/>
        <w:outlineLvl w:val="1"/>
        <w:rPr>
          <w:rFonts w:ascii="仿宋_GB2312" w:hAnsi="仿宋" w:eastAsia="仿宋_GB2312" w:cs="仿宋"/>
          <w:b/>
          <w:sz w:val="36"/>
          <w:szCs w:val="36"/>
          <w:highlight w:val="none"/>
        </w:rPr>
      </w:pPr>
      <w:bookmarkStart w:id="38" w:name="_Toc5538"/>
      <w:bookmarkStart w:id="39" w:name="_Toc16906"/>
      <w:bookmarkStart w:id="40" w:name="_Toc21438"/>
      <w:bookmarkStart w:id="41" w:name="_Toc12684"/>
      <w:r>
        <w:rPr>
          <w:rFonts w:hint="eastAsia" w:ascii="仿宋_GB2312" w:hAnsi="仿宋" w:eastAsia="仿宋_GB2312" w:cs="仿宋"/>
          <w:b/>
          <w:sz w:val="36"/>
          <w:szCs w:val="36"/>
          <w:highlight w:val="none"/>
        </w:rPr>
        <w:t>七、合同授予</w:t>
      </w:r>
      <w:bookmarkEnd w:id="38"/>
      <w:bookmarkEnd w:id="39"/>
      <w:bookmarkEnd w:id="40"/>
      <w:bookmarkEnd w:id="41"/>
    </w:p>
    <w:p w14:paraId="0DA3CB0B">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合同授予</w:t>
      </w:r>
    </w:p>
    <w:p w14:paraId="751AA63F">
      <w:pPr>
        <w:widowControl/>
        <w:shd w:val="clear" w:color="auto" w:fill="FFFFFF"/>
        <w:spacing w:line="360" w:lineRule="auto"/>
        <w:ind w:firstLine="420"/>
        <w:jc w:val="left"/>
        <w:rPr>
          <w:rFonts w:ascii="仿宋_GB2312" w:hAnsi="仿宋" w:eastAsia="仿宋_GB2312" w:cs="仿宋"/>
          <w:b/>
          <w:highlight w:val="none"/>
        </w:rPr>
      </w:pPr>
      <w:r>
        <w:rPr>
          <w:rFonts w:hint="eastAsia" w:ascii="仿宋_GB2312" w:hAnsi="仿宋" w:eastAsia="仿宋_GB2312" w:cs="仿宋"/>
          <w:sz w:val="24"/>
          <w:highlight w:val="none"/>
        </w:rPr>
        <w:t>合同主要条款详见第五部分拟签订的合同文本。</w:t>
      </w:r>
    </w:p>
    <w:p w14:paraId="239EB463">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合同的签订</w:t>
      </w:r>
    </w:p>
    <w:p w14:paraId="275DEF73">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D240FA">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rPr>
      </w:pPr>
      <w:r>
        <w:rPr>
          <w:rFonts w:hint="eastAsia" w:ascii="仿宋_GB2312" w:hAnsi="仿宋" w:eastAsia="仿宋_GB2312" w:cs="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C60F9F2">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如签订合同并生效后，供应商无故拒绝或延期，除按照合同条款处理外，列入不良行为记录一次，并给予通报。</w:t>
      </w:r>
    </w:p>
    <w:p w14:paraId="25FD2615">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6A868612">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采购合同由采购人与中标供应商根据招标文件、投标文件等内容通过政府采购电子交易平台在线签订，自动备案。</w:t>
      </w:r>
    </w:p>
    <w:p w14:paraId="2469114A">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履约保证金</w:t>
      </w:r>
    </w:p>
    <w:p w14:paraId="5B9AE388">
      <w:pPr>
        <w:tabs>
          <w:tab w:val="left" w:pos="210"/>
          <w:tab w:val="left" w:pos="640"/>
        </w:tabs>
        <w:snapToGrid w:val="0"/>
        <w:spacing w:line="360" w:lineRule="auto"/>
        <w:ind w:firstLine="480" w:firstLineChars="200"/>
        <w:jc w:val="left"/>
        <w:rPr>
          <w:rFonts w:hint="eastAsia"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3C0C59">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预付款</w:t>
      </w:r>
    </w:p>
    <w:p w14:paraId="17C5D693">
      <w:pPr>
        <w:tabs>
          <w:tab w:val="left" w:pos="210"/>
          <w:tab w:val="left" w:pos="640"/>
        </w:tabs>
        <w:snapToGrid w:val="0"/>
        <w:spacing w:line="360" w:lineRule="auto"/>
        <w:ind w:firstLine="480" w:firstLineChars="200"/>
        <w:jc w:val="left"/>
        <w:rPr>
          <w:rFonts w:ascii="仿宋_GB2312" w:hAnsi="仿宋" w:eastAsia="仿宋_GB2312" w:cs="仿宋"/>
          <w:bCs/>
          <w:sz w:val="24"/>
          <w:highlight w:val="none"/>
        </w:rPr>
      </w:pPr>
      <w:r>
        <w:rPr>
          <w:rFonts w:hint="eastAsia" w:ascii="仿宋_GB2312" w:hAnsi="仿宋" w:eastAsia="仿宋_GB2312" w:cs="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_GB2312" w:hAnsi="宋体" w:eastAsia="仿宋_GB2312"/>
          <w:sz w:val="24"/>
          <w:highlight w:val="none"/>
        </w:rPr>
        <w:t>95763</w:t>
      </w:r>
      <w:r>
        <w:rPr>
          <w:rFonts w:hint="eastAsia" w:ascii="仿宋_GB2312" w:hAnsi="仿宋" w:eastAsia="仿宋_GB2312" w:cs="仿宋"/>
          <w:bCs/>
          <w:sz w:val="24"/>
          <w:highlight w:val="none"/>
        </w:rPr>
        <w:t>。</w:t>
      </w:r>
    </w:p>
    <w:p w14:paraId="76B941D1">
      <w:pPr>
        <w:snapToGrid w:val="0"/>
        <w:spacing w:line="360" w:lineRule="auto"/>
        <w:ind w:firstLine="3357" w:firstLineChars="1045"/>
        <w:rPr>
          <w:rFonts w:ascii="仿宋_GB2312" w:hAnsi="仿宋" w:eastAsia="仿宋_GB2312" w:cs="仿宋"/>
          <w:b/>
          <w:sz w:val="32"/>
          <w:highlight w:val="none"/>
        </w:rPr>
      </w:pPr>
    </w:p>
    <w:p w14:paraId="5E04C02D">
      <w:pPr>
        <w:snapToGrid w:val="0"/>
        <w:spacing w:line="360" w:lineRule="auto"/>
        <w:jc w:val="center"/>
        <w:outlineLvl w:val="1"/>
        <w:rPr>
          <w:rFonts w:ascii="仿宋_GB2312" w:hAnsi="仿宋" w:eastAsia="仿宋_GB2312" w:cs="仿宋"/>
          <w:b/>
          <w:sz w:val="36"/>
          <w:szCs w:val="36"/>
          <w:highlight w:val="none"/>
        </w:rPr>
      </w:pPr>
      <w:bookmarkStart w:id="42" w:name="_Toc32079"/>
      <w:bookmarkStart w:id="43" w:name="_Toc12260"/>
      <w:bookmarkStart w:id="44" w:name="_Toc24890"/>
      <w:r>
        <w:rPr>
          <w:rFonts w:hint="eastAsia" w:ascii="仿宋_GB2312" w:hAnsi="仿宋" w:eastAsia="仿宋_GB2312" w:cs="仿宋"/>
          <w:b/>
          <w:sz w:val="36"/>
          <w:szCs w:val="36"/>
          <w:highlight w:val="none"/>
        </w:rPr>
        <w:t>八、电子交易活动的中止</w:t>
      </w:r>
      <w:bookmarkEnd w:id="42"/>
      <w:bookmarkEnd w:id="43"/>
      <w:bookmarkEnd w:id="44"/>
    </w:p>
    <w:p w14:paraId="036BA901">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电子交易活动的中止</w:t>
      </w:r>
    </w:p>
    <w:p w14:paraId="6BEDE772">
      <w:pPr>
        <w:pStyle w:val="121"/>
        <w:snapToGrid w:val="0"/>
        <w:ind w:firstLine="480"/>
        <w:rPr>
          <w:rFonts w:ascii="仿宋_GB2312" w:hAnsi="仿宋" w:eastAsia="仿宋_GB2312" w:cs="仿宋"/>
          <w:highlight w:val="none"/>
        </w:rPr>
      </w:pPr>
      <w:r>
        <w:rPr>
          <w:rFonts w:hint="eastAsia" w:ascii="仿宋_GB2312" w:hAnsi="仿宋" w:eastAsia="仿宋_GB2312" w:cs="仿宋"/>
          <w:highlight w:val="none"/>
        </w:rPr>
        <w:t>采购过程中出现以下情形，导致电子交易平台无法正常运行，或者无法保证电子交易的公平、公正和安全时，采购代理机构可中止电子交易活动：</w:t>
      </w:r>
    </w:p>
    <w:p w14:paraId="2DAF1118">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 xml:space="preserve">电子交易平台发生故障而无法登录访问的； </w:t>
      </w:r>
    </w:p>
    <w:p w14:paraId="1D28AD21">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电子交易平台应用或数据库出现错误，不能进行正常操作的；</w:t>
      </w:r>
    </w:p>
    <w:p w14:paraId="4BC3910A">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电子交易平台发现严重安全漏洞，有潜在泄密危险的；</w:t>
      </w:r>
    </w:p>
    <w:p w14:paraId="7816A1CB">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 xml:space="preserve">病毒发作导致不能进行正常操作的； </w:t>
      </w:r>
    </w:p>
    <w:p w14:paraId="11087A5C">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其他无法保证电子交易的公平、公正和安全的情况。</w:t>
      </w:r>
    </w:p>
    <w:p w14:paraId="07885F38">
      <w:pPr>
        <w:numPr>
          <w:ilvl w:val="0"/>
          <w:numId w:val="3"/>
        </w:numPr>
        <w:tabs>
          <w:tab w:val="left" w:pos="210"/>
        </w:tabs>
        <w:snapToGrid w:val="0"/>
        <w:spacing w:line="360" w:lineRule="auto"/>
        <w:ind w:left="403" w:hanging="403"/>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C65E157">
      <w:pPr>
        <w:tabs>
          <w:tab w:val="left" w:pos="0"/>
        </w:tabs>
        <w:spacing w:line="360" w:lineRule="auto"/>
        <w:ind w:firstLine="480"/>
        <w:rPr>
          <w:rFonts w:ascii="仿宋_GB2312" w:hAnsi="仿宋" w:eastAsia="仿宋_GB2312" w:cs="仿宋"/>
          <w:sz w:val="24"/>
          <w:highlight w:val="none"/>
        </w:rPr>
      </w:pPr>
    </w:p>
    <w:p w14:paraId="3B9DDC80">
      <w:pPr>
        <w:snapToGrid w:val="0"/>
        <w:spacing w:line="360" w:lineRule="auto"/>
        <w:jc w:val="center"/>
        <w:outlineLvl w:val="1"/>
        <w:rPr>
          <w:rFonts w:ascii="仿宋_GB2312" w:hAnsi="仿宋" w:eastAsia="仿宋_GB2312" w:cs="仿宋"/>
          <w:b/>
          <w:sz w:val="36"/>
          <w:szCs w:val="36"/>
          <w:highlight w:val="none"/>
        </w:rPr>
      </w:pPr>
      <w:bookmarkStart w:id="45" w:name="_Toc18624"/>
      <w:bookmarkStart w:id="46" w:name="_Toc24777"/>
      <w:bookmarkStart w:id="47" w:name="_Toc26192"/>
      <w:r>
        <w:rPr>
          <w:rFonts w:hint="eastAsia" w:ascii="仿宋_GB2312" w:hAnsi="仿宋" w:eastAsia="仿宋_GB2312" w:cs="仿宋"/>
          <w:b/>
          <w:sz w:val="36"/>
          <w:szCs w:val="36"/>
          <w:highlight w:val="none"/>
        </w:rPr>
        <w:t>九、验收</w:t>
      </w:r>
      <w:bookmarkEnd w:id="45"/>
      <w:bookmarkEnd w:id="46"/>
      <w:bookmarkEnd w:id="47"/>
    </w:p>
    <w:p w14:paraId="7ADB41D7">
      <w:pPr>
        <w:numPr>
          <w:ilvl w:val="0"/>
          <w:numId w:val="3"/>
        </w:numPr>
        <w:tabs>
          <w:tab w:val="left" w:pos="210"/>
        </w:tabs>
        <w:snapToGrid w:val="0"/>
        <w:spacing w:line="360" w:lineRule="auto"/>
        <w:jc w:val="left"/>
        <w:outlineLvl w:val="2"/>
        <w:rPr>
          <w:rFonts w:ascii="仿宋_GB2312" w:hAnsi="仿宋" w:eastAsia="仿宋_GB2312" w:cs="仿宋"/>
          <w:b/>
          <w:sz w:val="24"/>
          <w:highlight w:val="none"/>
        </w:rPr>
      </w:pPr>
      <w:r>
        <w:rPr>
          <w:rFonts w:hint="eastAsia" w:ascii="仿宋_GB2312" w:hAnsi="仿宋" w:eastAsia="仿宋_GB2312" w:cs="仿宋"/>
          <w:b/>
          <w:sz w:val="24"/>
          <w:highlight w:val="none"/>
        </w:rPr>
        <w:t>验收</w:t>
      </w:r>
    </w:p>
    <w:p w14:paraId="14C758CE">
      <w:pPr>
        <w:widowControl/>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eastAsia="zh-CN"/>
        </w:rPr>
        <w:t xml:space="preserve"> 本项目</w:t>
      </w:r>
      <w:r>
        <w:rPr>
          <w:rFonts w:hint="eastAsia" w:ascii="仿宋_GB2312" w:hAnsi="仿宋" w:eastAsia="仿宋_GB2312" w:cs="仿宋"/>
          <w:bCs/>
          <w:kern w:val="2"/>
          <w:sz w:val="24"/>
          <w:highlight w:val="none"/>
          <w:lang w:val="zh-CN" w:eastAsia="zh-CN"/>
        </w:rPr>
        <w:t>采购人将根据《钱塘区综合行政执法局采购工作内控细则》（杭钱综执</w:t>
      </w:r>
      <w:r>
        <w:rPr>
          <w:rFonts w:hint="eastAsia" w:ascii="仿宋_GB2312" w:hAnsi="仿宋" w:eastAsia="仿宋_GB2312" w:cs="仿宋"/>
          <w:bCs/>
          <w:i w:val="0"/>
          <w:iCs w:val="0"/>
          <w:caps w:val="0"/>
          <w:spacing w:val="0"/>
          <w:kern w:val="2"/>
          <w:sz w:val="24"/>
          <w:szCs w:val="24"/>
          <w:highlight w:val="none"/>
          <w:shd w:val="clear"/>
          <w:lang w:val="zh-CN" w:eastAsia="zh-CN" w:bidi="ar"/>
        </w:rPr>
        <w:t>〔</w:t>
      </w:r>
      <w:r>
        <w:rPr>
          <w:rFonts w:hint="eastAsia" w:ascii="仿宋_GB2312" w:hAnsi="仿宋" w:eastAsia="仿宋_GB2312" w:cs="仿宋"/>
          <w:bCs/>
          <w:kern w:val="2"/>
          <w:sz w:val="24"/>
          <w:highlight w:val="none"/>
          <w:lang w:val="zh-CN" w:eastAsia="zh-CN"/>
        </w:rPr>
        <w:t>2024</w:t>
      </w:r>
      <w:r>
        <w:rPr>
          <w:rFonts w:hint="eastAsia" w:ascii="仿宋_GB2312" w:hAnsi="仿宋" w:eastAsia="仿宋_GB2312" w:cs="仿宋"/>
          <w:bCs/>
          <w:i w:val="0"/>
          <w:iCs w:val="0"/>
          <w:caps w:val="0"/>
          <w:spacing w:val="0"/>
          <w:kern w:val="2"/>
          <w:sz w:val="24"/>
          <w:szCs w:val="24"/>
          <w:highlight w:val="none"/>
          <w:shd w:val="clear"/>
          <w:lang w:val="zh-CN" w:eastAsia="zh-CN" w:bidi="ar"/>
        </w:rPr>
        <w:t>〕49号）文件组织对中标单位履约验收。（若文件有更新，则按最新文件执行）。采购人应当根据采购项目的具体情况。</w:t>
      </w:r>
    </w:p>
    <w:p w14:paraId="702F1561">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采购人可以邀请参加本项目的其他投标人或者第三方机构参与验收。参与验收的投标人或者第三方机构的意见作为验收书的参考资料一并存档。</w:t>
      </w:r>
    </w:p>
    <w:p w14:paraId="68274052">
      <w:pPr>
        <w:numPr>
          <w:ilvl w:val="1"/>
          <w:numId w:val="3"/>
        </w:numPr>
        <w:tabs>
          <w:tab w:val="left" w:pos="210"/>
          <w:tab w:val="left" w:pos="640"/>
        </w:tabs>
        <w:snapToGrid w:val="0"/>
        <w:spacing w:line="360" w:lineRule="auto"/>
        <w:ind w:left="629" w:hanging="629"/>
        <w:jc w:val="left"/>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2D8695">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仿宋"/>
          <w:bCs/>
          <w:sz w:val="24"/>
          <w:highlight w:val="none"/>
          <w:lang w:val="zh-CN"/>
        </w:rPr>
      </w:pPr>
      <w:r>
        <w:rPr>
          <w:rFonts w:hint="eastAsia" w:ascii="仿宋_GB2312" w:hAnsi="仿宋" w:eastAsia="仿宋_GB2312" w:cs="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B2A7F0">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仿宋"/>
          <w:bCs/>
          <w:sz w:val="24"/>
          <w:highlight w:val="none"/>
          <w:lang w:val="zh-CN"/>
        </w:rPr>
      </w:pPr>
      <w:r>
        <w:rPr>
          <w:rFonts w:hint="eastAsia" w:ascii="仿宋_GB2312" w:hAnsi="仿宋" w:eastAsia="仿宋_GB2312" w:cs="仿宋"/>
          <w:bCs/>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959880D">
      <w:pPr>
        <w:pStyle w:val="60"/>
        <w:rPr>
          <w:rFonts w:ascii="仿宋_GB2312" w:eastAsia="仿宋_GB2312"/>
          <w:highlight w:val="none"/>
          <w:lang w:val="zh-CN"/>
        </w:rPr>
      </w:pPr>
    </w:p>
    <w:p w14:paraId="08BAC754">
      <w:pPr>
        <w:adjustRightInd w:val="0"/>
        <w:snapToGrid w:val="0"/>
        <w:spacing w:before="120" w:beforeLines="50" w:after="120" w:afterLines="50" w:line="360" w:lineRule="auto"/>
        <w:jc w:val="center"/>
        <w:outlineLvl w:val="0"/>
        <w:rPr>
          <w:rFonts w:ascii="仿宋_GB2312" w:hAnsi="仿宋" w:eastAsia="仿宋_GB2312" w:cs="仿宋"/>
          <w:color w:val="000000" w:themeColor="text1"/>
          <w:sz w:val="36"/>
          <w:highlight w:val="none"/>
          <w14:textFill>
            <w14:solidFill>
              <w14:schemeClr w14:val="tx1"/>
            </w14:solidFill>
          </w14:textFill>
        </w:rPr>
      </w:pPr>
      <w:r>
        <w:rPr>
          <w:rFonts w:hint="eastAsia" w:ascii="仿宋_GB2312" w:hAnsi="仿宋" w:eastAsia="仿宋_GB2312" w:cs="仿宋"/>
          <w:b/>
          <w:bCs/>
          <w:sz w:val="28"/>
          <w:szCs w:val="21"/>
          <w:highlight w:val="none"/>
        </w:rPr>
        <w:br w:type="page"/>
      </w:r>
      <w:bookmarkStart w:id="48" w:name="_Toc83616202"/>
      <w:bookmarkStart w:id="49" w:name="_Toc242012796"/>
      <w:bookmarkStart w:id="50" w:name="_Toc31190"/>
      <w:bookmarkStart w:id="51" w:name="_Toc11107"/>
      <w:r>
        <w:rPr>
          <w:rFonts w:hint="eastAsia" w:ascii="仿宋_GB2312" w:hAnsi="仿宋" w:eastAsia="仿宋_GB2312" w:cs="仿宋"/>
          <w:b/>
          <w:color w:val="000000" w:themeColor="text1"/>
          <w:sz w:val="30"/>
          <w:szCs w:val="30"/>
          <w:highlight w:val="none"/>
          <w14:textFill>
            <w14:solidFill>
              <w14:schemeClr w14:val="tx1"/>
            </w14:solidFill>
          </w14:textFill>
        </w:rPr>
        <w:t>第三部分</w:t>
      </w:r>
      <w:bookmarkEnd w:id="48"/>
      <w:bookmarkEnd w:id="49"/>
      <w:bookmarkEnd w:id="50"/>
      <w:r>
        <w:rPr>
          <w:rFonts w:hint="eastAsia" w:ascii="仿宋_GB2312" w:hAnsi="仿宋" w:eastAsia="仿宋_GB2312" w:cs="仿宋"/>
          <w:b/>
          <w:color w:val="000000" w:themeColor="text1"/>
          <w:sz w:val="30"/>
          <w:szCs w:val="30"/>
          <w:highlight w:val="none"/>
          <w14:textFill>
            <w14:solidFill>
              <w14:schemeClr w14:val="tx1"/>
            </w14:solidFill>
          </w14:textFill>
        </w:rPr>
        <w:t xml:space="preserve">  采购需求</w:t>
      </w:r>
      <w:bookmarkEnd w:id="51"/>
    </w:p>
    <w:p w14:paraId="4332F4F6">
      <w:pPr>
        <w:pStyle w:val="4"/>
        <w:spacing w:before="120" w:after="120" w:line="360" w:lineRule="auto"/>
        <w:rPr>
          <w:rFonts w:ascii="仿宋" w:hAnsi="仿宋" w:eastAsia="仿宋" w:cs="仿宋"/>
          <w:color w:val="auto"/>
          <w:sz w:val="24"/>
          <w:szCs w:val="24"/>
          <w:highlight w:val="none"/>
        </w:rPr>
      </w:pPr>
      <w:bookmarkStart w:id="52" w:name="_Toc8231"/>
      <w:bookmarkStart w:id="53" w:name="_Toc32543"/>
      <w:bookmarkStart w:id="54" w:name="_Toc418846105"/>
      <w:bookmarkStart w:id="55" w:name="_Toc24600"/>
      <w:bookmarkStart w:id="56" w:name="_Toc30857"/>
      <w:bookmarkStart w:id="57" w:name="_Toc22609"/>
      <w:bookmarkStart w:id="58" w:name="_Toc28332"/>
      <w:bookmarkStart w:id="59" w:name="_Toc453947198"/>
      <w:bookmarkStart w:id="60" w:name="_Toc331971533"/>
      <w:bookmarkStart w:id="61" w:name="_Toc10115"/>
      <w:bookmarkStart w:id="62" w:name="_Toc6542"/>
      <w:bookmarkStart w:id="63" w:name="_Toc3315"/>
      <w:bookmarkStart w:id="64" w:name="_Toc417054472"/>
      <w:bookmarkStart w:id="65" w:name="_Toc15069"/>
      <w:bookmarkStart w:id="66" w:name="_Toc27410"/>
      <w:bookmarkStart w:id="67" w:name="_Toc417054389"/>
      <w:bookmarkStart w:id="68" w:name="_Toc419104917"/>
      <w:bookmarkStart w:id="69" w:name="_Toc203558307"/>
      <w:bookmarkStart w:id="70" w:name="_Toc194983818"/>
      <w:bookmarkStart w:id="71" w:name="_Toc306304665"/>
      <w:bookmarkStart w:id="72" w:name="_Toc12471"/>
      <w:bookmarkStart w:id="73" w:name="_Toc342633574"/>
      <w:r>
        <w:rPr>
          <w:rFonts w:hint="eastAsia" w:ascii="仿宋" w:hAnsi="仿宋" w:eastAsia="仿宋" w:cs="仿宋"/>
          <w:color w:val="auto"/>
          <w:sz w:val="24"/>
          <w:szCs w:val="24"/>
          <w:highlight w:val="none"/>
        </w:rPr>
        <w:t>一、项目概况</w:t>
      </w:r>
      <w:bookmarkEnd w:id="52"/>
      <w:bookmarkEnd w:id="53"/>
      <w:bookmarkEnd w:id="54"/>
      <w:bookmarkEnd w:id="55"/>
      <w:bookmarkEnd w:id="56"/>
      <w:bookmarkEnd w:id="57"/>
      <w:bookmarkEnd w:id="58"/>
    </w:p>
    <w:p w14:paraId="0B39BD29">
      <w:pPr>
        <w:tabs>
          <w:tab w:val="left" w:pos="0"/>
        </w:tabs>
        <w:adjustRightInd w:val="0"/>
        <w:snapToGrid w:val="0"/>
        <w:spacing w:line="360" w:lineRule="auto"/>
        <w:ind w:firstLine="480" w:firstLineChars="200"/>
        <w:rPr>
          <w:rFonts w:ascii="仿宋" w:hAnsi="仿宋" w:eastAsia="仿宋" w:cs="仿宋"/>
          <w:color w:val="auto"/>
          <w:sz w:val="24"/>
          <w:highlight w:val="none"/>
        </w:rPr>
      </w:pPr>
      <w:bookmarkStart w:id="74" w:name="_Toc418846106"/>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2025-2028年钱塘区特色街区景观灯及其附属设施养护服务项目</w:t>
      </w:r>
      <w:r>
        <w:rPr>
          <w:rFonts w:hint="eastAsia" w:ascii="仿宋" w:hAnsi="仿宋" w:eastAsia="仿宋" w:cs="仿宋"/>
          <w:color w:val="auto"/>
          <w:sz w:val="24"/>
          <w:highlight w:val="none"/>
        </w:rPr>
        <w:t>。</w:t>
      </w:r>
    </w:p>
    <w:p w14:paraId="712D9812">
      <w:pPr>
        <w:pStyle w:val="17"/>
        <w:adjustRightInd w:val="0"/>
        <w:snapToGrid w:val="0"/>
        <w:spacing w:after="0" w:line="360" w:lineRule="auto"/>
        <w:ind w:firstLine="480" w:firstLineChars="200"/>
        <w:rPr>
          <w:rFonts w:hint="eastAsia" w:ascii="仿宋_GB2312" w:hAnsi="仿宋" w:eastAsia="仿宋_GB2312" w:cs="仿宋"/>
          <w:sz w:val="24"/>
          <w:szCs w:val="24"/>
          <w:highlight w:val="none"/>
          <w:lang w:val="en-US" w:eastAsia="zh-CN"/>
        </w:rPr>
      </w:pPr>
      <w:r>
        <w:rPr>
          <w:rFonts w:hint="eastAsia" w:ascii="仿宋" w:hAnsi="仿宋" w:eastAsia="仿宋" w:cs="仿宋"/>
          <w:b w:val="0"/>
          <w:bCs w:val="0"/>
          <w:color w:val="auto"/>
          <w:sz w:val="24"/>
          <w:highlight w:val="none"/>
          <w:lang w:val="en-US" w:eastAsia="zh-CN"/>
        </w:rPr>
        <w:t>2.基本内容：</w:t>
      </w:r>
      <w:r>
        <w:rPr>
          <w:rFonts w:hint="eastAsia" w:ascii="仿宋_GB2312" w:hAnsi="仿宋" w:eastAsia="仿宋_GB2312" w:cs="仿宋"/>
          <w:sz w:val="24"/>
          <w:szCs w:val="24"/>
          <w:highlight w:val="none"/>
        </w:rPr>
        <w:t>拟通过公开招标选择一家专业单位</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lang w:val="en-US" w:eastAsia="zh-CN"/>
        </w:rPr>
        <w:t>按</w:t>
      </w:r>
      <w:r>
        <w:rPr>
          <w:rFonts w:hint="eastAsia" w:ascii="仿宋_GB2312" w:hAnsi="仿宋" w:eastAsia="仿宋_GB2312" w:cs="仿宋"/>
          <w:sz w:val="24"/>
          <w:szCs w:val="24"/>
          <w:highlight w:val="none"/>
        </w:rPr>
        <w:t>采购人要求</w:t>
      </w:r>
      <w:r>
        <w:rPr>
          <w:rFonts w:hint="eastAsia" w:ascii="仿宋_GB2312" w:hAnsi="仿宋" w:eastAsia="仿宋_GB2312" w:cs="仿宋"/>
          <w:sz w:val="24"/>
          <w:szCs w:val="24"/>
          <w:highlight w:val="none"/>
          <w:lang w:val="en-US" w:eastAsia="zh-CN"/>
        </w:rPr>
        <w:t>完成指定区域内</w:t>
      </w:r>
      <w:r>
        <w:rPr>
          <w:rFonts w:hint="eastAsia" w:ascii="仿宋" w:hAnsi="仿宋" w:eastAsia="仿宋" w:cs="仿宋"/>
          <w:color w:val="auto"/>
          <w:sz w:val="24"/>
          <w:highlight w:val="none"/>
          <w:lang w:eastAsia="zh-CN"/>
        </w:rPr>
        <w:t>景观灯及其附属设施养护服务</w:t>
      </w:r>
      <w:r>
        <w:rPr>
          <w:rFonts w:hint="eastAsia" w:ascii="仿宋" w:hAnsi="仿宋" w:eastAsia="仿宋" w:cs="仿宋"/>
          <w:color w:val="auto"/>
          <w:sz w:val="24"/>
          <w:highlight w:val="none"/>
          <w:lang w:val="en-US" w:eastAsia="zh-CN"/>
        </w:rPr>
        <w:t>。</w:t>
      </w:r>
    </w:p>
    <w:p w14:paraId="0F8B9D1C">
      <w:pPr>
        <w:tabs>
          <w:tab w:val="left" w:pos="0"/>
        </w:tabs>
        <w:adjustRightInd w:val="0"/>
        <w:snapToGrid w:val="0"/>
        <w:spacing w:line="360" w:lineRule="auto"/>
        <w:ind w:firstLine="480" w:firstLineChars="200"/>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投标人提供的</w:t>
      </w:r>
      <w:r>
        <w:rPr>
          <w:rFonts w:hint="eastAsia" w:ascii="仿宋" w:hAnsi="仿宋" w:eastAsia="仿宋" w:cs="仿宋"/>
          <w:color w:val="auto"/>
          <w:sz w:val="24"/>
          <w:highlight w:val="none"/>
          <w:lang w:val="en-US" w:eastAsia="zh-CN"/>
        </w:rPr>
        <w:t>服务、证明材料等</w:t>
      </w:r>
      <w:r>
        <w:rPr>
          <w:rFonts w:hint="eastAsia" w:ascii="仿宋" w:hAnsi="仿宋" w:eastAsia="仿宋" w:cs="仿宋"/>
          <w:color w:val="auto"/>
          <w:sz w:val="24"/>
          <w:highlight w:val="none"/>
        </w:rPr>
        <w:t>实际情况与投标文件中所承诺</w:t>
      </w:r>
      <w:r>
        <w:rPr>
          <w:rFonts w:hint="eastAsia" w:ascii="仿宋" w:hAnsi="仿宋" w:eastAsia="仿宋" w:cs="仿宋"/>
          <w:color w:val="auto"/>
          <w:sz w:val="24"/>
          <w:highlight w:val="none"/>
          <w:lang w:val="en-US" w:eastAsia="zh-CN"/>
        </w:rPr>
        <w:t>或响应内容</w:t>
      </w:r>
      <w:r>
        <w:rPr>
          <w:rFonts w:hint="eastAsia" w:ascii="仿宋" w:hAnsi="仿宋" w:eastAsia="仿宋" w:cs="仿宋"/>
          <w:color w:val="auto"/>
          <w:sz w:val="24"/>
          <w:highlight w:val="none"/>
        </w:rPr>
        <w:t>不符合，可视为虚假应标及欺诈行为，并追究相应责任。</w:t>
      </w:r>
    </w:p>
    <w:bookmarkEnd w:id="74"/>
    <w:p w14:paraId="732DF744">
      <w:pPr>
        <w:pStyle w:val="4"/>
        <w:spacing w:before="120" w:after="120" w:line="360" w:lineRule="auto"/>
        <w:rPr>
          <w:rFonts w:hint="eastAsia" w:ascii="仿宋" w:hAnsi="仿宋" w:eastAsia="仿宋" w:cs="仿宋"/>
          <w:color w:val="auto"/>
          <w:sz w:val="24"/>
          <w:szCs w:val="24"/>
          <w:highlight w:val="none"/>
        </w:rPr>
      </w:pPr>
      <w:bookmarkStart w:id="75" w:name="_Toc6499"/>
      <w:bookmarkStart w:id="76" w:name="_Toc13762"/>
      <w:bookmarkStart w:id="77" w:name="_Toc6550"/>
      <w:bookmarkStart w:id="78" w:name="_Toc5012"/>
      <w:r>
        <w:rPr>
          <w:rFonts w:hint="eastAsia" w:ascii="仿宋" w:hAnsi="仿宋" w:eastAsia="仿宋" w:cs="仿宋"/>
          <w:color w:val="auto"/>
          <w:sz w:val="24"/>
          <w:szCs w:val="24"/>
          <w:highlight w:val="none"/>
        </w:rPr>
        <w:t>二</w:t>
      </w:r>
      <w:bookmarkEnd w:id="75"/>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要求和范围</w:t>
      </w:r>
      <w:bookmarkEnd w:id="76"/>
      <w:bookmarkEnd w:id="77"/>
      <w:bookmarkEnd w:id="78"/>
    </w:p>
    <w:p w14:paraId="238B982D">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（一）技术标准、规范（包括但不限于以下标准、规范）</w:t>
      </w:r>
    </w:p>
    <w:p w14:paraId="6C97F14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《城市道路照明设计标准》（CJJ45-2015）</w:t>
      </w:r>
    </w:p>
    <w:p w14:paraId="60B8350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《城市夜景照明设计规范》(JGJ/T163-2008)》</w:t>
      </w:r>
    </w:p>
    <w:p w14:paraId="764E3565">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城市照明管理规定</w:t>
      </w:r>
      <w:r>
        <w:rPr>
          <w:rFonts w:hint="eastAsia" w:ascii="仿宋" w:hAnsi="仿宋" w:eastAsia="仿宋" w:cs="仿宋"/>
          <w:color w:val="auto"/>
          <w:sz w:val="24"/>
          <w:highlight w:val="none"/>
          <w:lang w:eastAsia="zh-CN"/>
        </w:rPr>
        <w:t>》</w:t>
      </w:r>
    </w:p>
    <w:p w14:paraId="50D3941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《杭州市城市照明管理办法》</w:t>
      </w:r>
    </w:p>
    <w:p w14:paraId="3D0A3333">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《城市照明设施养护维修服务标准》（DB3301/T 0165-2018）</w:t>
      </w:r>
    </w:p>
    <w:p w14:paraId="2E4E546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《杭州市亮化长效管理实施意见（试行）》</w:t>
      </w:r>
    </w:p>
    <w:p w14:paraId="6C7AB8F5">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《杭州市市区亮灯指挥与保障方案》</w:t>
      </w:r>
    </w:p>
    <w:p w14:paraId="3EDC5531">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《杭州市市区景观亮化管理工作方案》</w:t>
      </w:r>
    </w:p>
    <w:p w14:paraId="6E561258">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《杭州市亮化长效管理考核细则》</w:t>
      </w:r>
    </w:p>
    <w:p w14:paraId="64F1B1A3">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《城市照明自动控制系统技术规范》（CJJ/T227-2014）</w:t>
      </w:r>
    </w:p>
    <w:p w14:paraId="0DB6CF7F">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《杭州市钱塘区综合行政执法局景观照明设施养护作业标准及考核办法（2023年修订）》</w:t>
      </w:r>
    </w:p>
    <w:p w14:paraId="50F8533B">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国家规定的标准及规范，按最新的标准及规范执行。</w:t>
      </w:r>
    </w:p>
    <w:p w14:paraId="60CBB24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注：如市、区相应规范有更新，按照最新版本执行；有强制性标准的执行国家强制性标准，无的统一执行最新相关标准、规范。</w:t>
      </w:r>
    </w:p>
    <w:p w14:paraId="540F25DA">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 xml:space="preserve">（二）项目概况 </w:t>
      </w:r>
    </w:p>
    <w:p w14:paraId="15F91DC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服务地点：钱塘区                 </w:t>
      </w:r>
    </w:p>
    <w:p w14:paraId="134648F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基本情况：本项目范围包含金沙世纪（1栋）、泰美国际（2栋）、滟澜星座（2栋）、金沙湖1号（3栋）、财通大厦（1栋）、东方铭楼（1栋）、晓城天地（4栋）、龙湖天街（1栋）、湖景居（5栋）、锦湖家园（22栋）、永裕大厦（8栋），共11处建筑群计50栋楼宇及1处互动灯光装置。</w:t>
      </w:r>
    </w:p>
    <w:p w14:paraId="784115C3">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设施量：本项目均为楼宇灯具，像素灯占多数，像素灯数量计算方式以及单盏价格对养护费有较大的影响（规格：长度1米，8个灯珠，功率16w），本项目共有灯具73138盏，均为楼宇灯具（其中像素灯按参照"1米=1盏"标准计量，共63912米,即63912盏），总功率为1182.625千瓦。</w:t>
      </w:r>
    </w:p>
    <w:p w14:paraId="1A9DC69E">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具体工程量详见</w:t>
      </w:r>
      <w:r>
        <w:rPr>
          <w:rFonts w:hint="eastAsia" w:ascii="仿宋" w:hAnsi="仿宋" w:eastAsia="仿宋" w:cs="仿宋"/>
          <w:color w:val="auto"/>
          <w:sz w:val="24"/>
          <w:highlight w:val="none"/>
          <w:lang w:val="en-US" w:eastAsia="zh-CN"/>
        </w:rPr>
        <w:t>本章节</w:t>
      </w:r>
      <w:r>
        <w:rPr>
          <w:rFonts w:hint="eastAsia" w:ascii="仿宋" w:hAnsi="仿宋" w:eastAsia="仿宋" w:cs="仿宋"/>
          <w:color w:val="auto"/>
          <w:sz w:val="24"/>
          <w:highlight w:val="none"/>
        </w:rPr>
        <w:t>附表，最终以特色街区项目现场实际情况为准。</w:t>
      </w:r>
    </w:p>
    <w:p w14:paraId="325D366F">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（三）养护具体内容</w:t>
      </w:r>
    </w:p>
    <w:p w14:paraId="5AD714F1">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养护内容：光源、灯具及配件、箱变、电器、杆件、标识牌、配电设施、灯具外壳、支架、电缆（含电缆管道）、开关控制箱、工作井、配电室、低压配电柜、控制器、穿线管、配电箱、线卡、绳索、螺栓、电源适配器、防雷装置、防水密封材料等涉及景观灯及其附属设施设备所有内容进行日常维修、检测、更换、保洁、保养、油漆、设施巡查、防盗（看护、处理）等维护工作；对项目进行日常巡查、安全检查、防盗管理等工作；防汛抗台、抗雪防冻、临时或重大任务等应急保障工作；本项目养护区域范围内产权亮灯项目巡查及问题反馈；养护范围内，新增亮灯项目移交接收，质保期内，质量问题由施工单位负责外，另外与正常养护内容一致，该工作产生的养护费用（不含电费）由投标单位在本次投标报价中同步考虑；服务器租赁费、宽带租赁费、</w:t>
      </w:r>
      <w:r>
        <w:rPr>
          <w:rFonts w:hint="eastAsia" w:ascii="仿宋" w:hAnsi="仿宋" w:eastAsia="仿宋" w:cs="仿宋"/>
          <w:color w:val="auto"/>
          <w:sz w:val="24"/>
          <w:highlight w:val="none"/>
          <w:lang w:eastAsia="zh-CN"/>
        </w:rPr>
        <w:t>灯光秀</w:t>
      </w:r>
      <w:r>
        <w:rPr>
          <w:rFonts w:hint="eastAsia" w:ascii="仿宋" w:hAnsi="仿宋" w:eastAsia="仿宋" w:cs="仿宋"/>
          <w:color w:val="auto"/>
          <w:sz w:val="24"/>
          <w:highlight w:val="none"/>
        </w:rPr>
        <w:t>制作费用及各楼宇亮灯电费（不含从公共箱变接电电费）</w:t>
      </w:r>
      <w:r>
        <w:rPr>
          <w:rFonts w:hint="eastAsia" w:ascii="仿宋" w:hAnsi="仿宋" w:eastAsia="仿宋" w:cs="仿宋"/>
          <w:color w:val="auto"/>
          <w:sz w:val="24"/>
          <w:highlight w:val="none"/>
          <w:lang w:eastAsia="zh-CN"/>
        </w:rPr>
        <w:t>、网络</w:t>
      </w:r>
      <w:r>
        <w:rPr>
          <w:rFonts w:hint="eastAsia" w:ascii="仿宋" w:hAnsi="仿宋" w:eastAsia="仿宋" w:cs="仿宋"/>
          <w:color w:val="auto"/>
          <w:sz w:val="24"/>
          <w:highlight w:val="none"/>
          <w:lang w:val="en-US" w:eastAsia="zh-CN"/>
        </w:rPr>
        <w:t>安全等级测评</w:t>
      </w:r>
      <w:r>
        <w:rPr>
          <w:rFonts w:hint="eastAsia" w:ascii="仿宋" w:hAnsi="仿宋" w:eastAsia="仿宋" w:cs="仿宋"/>
          <w:color w:val="auto"/>
          <w:sz w:val="24"/>
          <w:highlight w:val="none"/>
        </w:rPr>
        <w:t>等涉及本项目亮灯养护的相关费用；本项目涉及的区属箱变（范围为围栏区域内）及附属设施的日常巡查、保洁、维护、维修、外接电管理、抄表、费用追缴等涉及箱变的所有工作，</w:t>
      </w:r>
      <w:r>
        <w:rPr>
          <w:rFonts w:hint="eastAsia" w:ascii="仿宋" w:hAnsi="仿宋" w:eastAsia="仿宋" w:cs="仿宋"/>
          <w:color w:val="auto"/>
          <w:kern w:val="2"/>
          <w:sz w:val="24"/>
          <w:szCs w:val="24"/>
          <w:highlight w:val="none"/>
        </w:rPr>
        <w:t>在养护期内</w:t>
      </w:r>
      <w:r>
        <w:rPr>
          <w:rFonts w:hint="eastAsia" w:ascii="仿宋" w:hAnsi="仿宋" w:eastAsia="仿宋" w:cs="仿宋"/>
          <w:color w:val="auto"/>
          <w:kern w:val="2"/>
          <w:sz w:val="24"/>
          <w:szCs w:val="24"/>
          <w:highlight w:val="none"/>
          <w:lang w:eastAsia="zh-CN"/>
        </w:rPr>
        <w:t>（第三年正常养护期）</w:t>
      </w:r>
      <w:r>
        <w:rPr>
          <w:rFonts w:hint="eastAsia" w:ascii="仿宋" w:hAnsi="仿宋" w:eastAsia="仿宋" w:cs="仿宋"/>
          <w:color w:val="auto"/>
          <w:kern w:val="2"/>
          <w:sz w:val="24"/>
          <w:szCs w:val="24"/>
          <w:highlight w:val="none"/>
        </w:rPr>
        <w:t>维修费累计在</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万元以内（以电力设施设备的信息价或定额计算为准）由</w:t>
      </w:r>
      <w:r>
        <w:rPr>
          <w:rFonts w:hint="eastAsia" w:ascii="仿宋" w:hAnsi="仿宋" w:eastAsia="仿宋" w:cs="仿宋"/>
          <w:color w:val="auto"/>
          <w:kern w:val="2"/>
          <w:sz w:val="24"/>
          <w:szCs w:val="24"/>
          <w:highlight w:val="none"/>
          <w:lang w:eastAsia="zh-CN"/>
        </w:rPr>
        <w:t>中标人</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eastAsia="zh-CN"/>
        </w:rPr>
        <w:t>采购人</w:t>
      </w:r>
      <w:r>
        <w:rPr>
          <w:rFonts w:hint="eastAsia" w:ascii="仿宋" w:hAnsi="仿宋" w:eastAsia="仿宋" w:cs="仿宋"/>
          <w:color w:val="auto"/>
          <w:kern w:val="2"/>
          <w:sz w:val="24"/>
          <w:szCs w:val="24"/>
          <w:highlight w:val="none"/>
        </w:rPr>
        <w:t>不再另行支付；</w:t>
      </w:r>
      <w:r>
        <w:rPr>
          <w:rFonts w:hint="eastAsia" w:ascii="仿宋" w:hAnsi="仿宋" w:eastAsia="仿宋" w:cs="仿宋"/>
          <w:color w:val="auto"/>
          <w:kern w:val="2"/>
          <w:sz w:val="24"/>
          <w:szCs w:val="24"/>
          <w:highlight w:val="none"/>
          <w:lang w:eastAsia="zh-CN"/>
        </w:rPr>
        <w:t>超过</w:t>
      </w:r>
      <w:r>
        <w:rPr>
          <w:rFonts w:hint="eastAsia" w:ascii="仿宋" w:hAnsi="仿宋" w:eastAsia="仿宋" w:cs="仿宋"/>
          <w:color w:val="auto"/>
          <w:kern w:val="2"/>
          <w:sz w:val="24"/>
          <w:szCs w:val="24"/>
          <w:highlight w:val="none"/>
          <w:lang w:val="en-US" w:eastAsia="zh-CN"/>
        </w:rPr>
        <w:t>20万元的，双方另协商解决；</w:t>
      </w:r>
      <w:r>
        <w:rPr>
          <w:rFonts w:hint="eastAsia" w:ascii="仿宋" w:hAnsi="仿宋" w:eastAsia="仿宋" w:cs="仿宋"/>
          <w:color w:val="auto"/>
          <w:sz w:val="24"/>
          <w:highlight w:val="none"/>
        </w:rPr>
        <w:t>合同期间采购人落实的其他相关事宜。</w:t>
      </w:r>
    </w:p>
    <w:p w14:paraId="26612B27">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2.养护要求：</w:t>
      </w:r>
    </w:p>
    <w:p w14:paraId="2A82B6C2">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（1）运行与控制：对景观灯及附属设施进行日常运行与控制。</w:t>
      </w:r>
    </w:p>
    <w:p w14:paraId="04E3FFD8">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（2）总体要求：保障照明设施安全正常运行，照明亮灯率达到98%，设施完好率应达到98%。</w:t>
      </w:r>
    </w:p>
    <w:p w14:paraId="278B02AB">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巡查及清洗:对养护内容进行日常巡查，对设备的运行情况及时记录，要求对养护范围的景观灯等设施进行全方位巡查，做好每日巡查，其中每次亮灯期间的巡查覆盖率为100%，巡查过程中将断亮缺亮等问题拍照记录编辑；变压器、配电箱(柜)每月巡检一次；地埋电缆线路每半年巡检一次；接地(或接零)装置每年在干燥季节（冬季）巡检一次；独立的防雷装置应在每年的雷雨季节前（春季）巡检一次；漏电保护装置应每季巡检一次；灯杆、灯罩、设备等亮灯设施每</w:t>
      </w:r>
      <w:r>
        <w:rPr>
          <w:rFonts w:hint="eastAsia" w:ascii="仿宋" w:hAnsi="仿宋" w:eastAsia="仿宋" w:cs="仿宋"/>
          <w:color w:val="auto"/>
          <w:sz w:val="24"/>
          <w:highlight w:val="none"/>
          <w:lang w:eastAsia="zh-CN"/>
        </w:rPr>
        <w:t>季度</w:t>
      </w:r>
      <w:r>
        <w:rPr>
          <w:rFonts w:hint="eastAsia" w:ascii="仿宋" w:hAnsi="仿宋" w:eastAsia="仿宋" w:cs="仿宋"/>
          <w:color w:val="auto"/>
          <w:sz w:val="24"/>
          <w:highlight w:val="none"/>
          <w:lang w:val="en-US" w:eastAsia="zh-CN"/>
        </w:rPr>
        <w:t>系统性</w:t>
      </w:r>
      <w:r>
        <w:rPr>
          <w:rFonts w:hint="eastAsia" w:ascii="仿宋" w:hAnsi="仿宋" w:eastAsia="仿宋" w:cs="仿宋"/>
          <w:color w:val="auto"/>
          <w:sz w:val="24"/>
          <w:highlight w:val="none"/>
        </w:rPr>
        <w:t>清洗一次，或设施明显积尘</w:t>
      </w:r>
      <w:r>
        <w:rPr>
          <w:rFonts w:hint="eastAsia" w:ascii="仿宋" w:hAnsi="仿宋" w:eastAsia="仿宋" w:cs="仿宋"/>
          <w:color w:val="auto"/>
          <w:sz w:val="24"/>
          <w:highlight w:val="none"/>
          <w:lang w:val="en-US" w:eastAsia="zh-CN"/>
        </w:rPr>
        <w:t>时应立即启动清洗，</w:t>
      </w:r>
      <w:r>
        <w:rPr>
          <w:rFonts w:hint="eastAsia" w:ascii="仿宋" w:hAnsi="仿宋" w:eastAsia="仿宋" w:cs="仿宋"/>
          <w:color w:val="auto"/>
          <w:sz w:val="24"/>
          <w:highlight w:val="none"/>
        </w:rPr>
        <w:t>及时清除灯柱乱张贴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乱涂鸦</w:t>
      </w:r>
      <w:r>
        <w:rPr>
          <w:rFonts w:hint="eastAsia" w:ascii="仿宋" w:hAnsi="仿宋" w:eastAsia="仿宋" w:cs="仿宋"/>
          <w:color w:val="auto"/>
          <w:sz w:val="24"/>
          <w:highlight w:val="none"/>
        </w:rPr>
        <w:t>，污染严重地段加大清洁工作频率；集中控制装置、照明节电装置或其他智慧照明装置每半年巡检一次；设施被盜频发地段应安排人员每天巡查；连续高温、台风、雷雨或冰雪等特殊自然灾害性气候，应按城市照明监管机构要求进行防火、防汛、防台、防雷、抗雪等专项检查，并增加巡检次数，必要时作临时断电处理。</w:t>
      </w:r>
    </w:p>
    <w:p w14:paraId="70AC76D5">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（4）喷漆翻新:灯具、灯架和配电箱柜等锈蚀或油漆脱落面积10%以内的补漆，灯具、箱体及其他影响观瞻的设备表面喷漆每年一次。</w:t>
      </w:r>
    </w:p>
    <w:p w14:paraId="6DA023DB">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（5）设备设施维护检测:按维护要求，中标人做好春、秋两季定期常规</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电缆、开关控制箱、箱变各一次；箱变预防性检测两年一次。</w:t>
      </w:r>
    </w:p>
    <w:p w14:paraId="579D9255">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照明设施故障修复时间：单灯缺亮，2个工作日内修复；电线裸露、杆线吊挂、灯具脱落、电缆井盖缺失等，应在2个小时内进行安全预措施，并在24小时内修复；城市照明设施专用变压器(本体损坏外)、配电箱故障，2个工作日内修复；发生大面积熄灯故障，24小时内修复；因照明设施被盗引起的故障，应及时采取安全措施，并在具备修复条件后3个工作日内修复；设施标牌脱落及时恢复;集中控制装置或其他智慧照明装置损坏，或控制时间、地点出现差错的，应在24小时内修复；因特殊情况可在规定时间内提出延期申请。</w:t>
      </w:r>
    </w:p>
    <w:p w14:paraId="6170CF62">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（7）设施防腐处理：灯架、吊线等受力受压件，以及依附其上的承重螺丝，和控制柜等附属设施，锈蚀深度不超过10%，其他非受力零部件，锈蚀深度不超过25%。锈蚀深度超过要求的零部件，应予以更换。</w:t>
      </w:r>
    </w:p>
    <w:p w14:paraId="0E2B6E3B">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日常维护：光源、灯具及配件、箱变、电器、杆件、标识牌、配电设施、灯具外壳、支架、电缆（含电缆管道）、开关控制箱、工作井、配电室、低压配电柜、控制器、穿线管、配电箱、线卡、绳索、螺栓、电源适配器、防雷装置、防水密封材料等涉及景观灯及其附属设施设备所有内容进行日常维修、检测、更换、保洁、保养、油漆、设施巡查、防盗（看护、处理）等维护工作。</w:t>
      </w:r>
    </w:p>
    <w:p w14:paraId="1E4F32B0">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对项目进行日常巡查、安全检查、防盗管理等工作。</w:t>
      </w:r>
    </w:p>
    <w:p w14:paraId="365EB654">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防汛抗台、抗雪防冻、临时或重大任务等应急保障工作。</w:t>
      </w:r>
    </w:p>
    <w:p w14:paraId="6503F80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本项目养护区域范围内产权亮灯项目巡查及问题反馈。</w:t>
      </w:r>
    </w:p>
    <w:p w14:paraId="38541B8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养护范围内，新增亮灯项目移交接收，质保期内，质量问题由施工单位负责外，另外与正常养护内容一致，该工作产生的养护费用（不含电费）由投标单位在本次投标报价中同步考虑。</w:t>
      </w:r>
    </w:p>
    <w:p w14:paraId="5981E0C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对政府大型活动、外事活动、节假日、重大节庆等重要节会期间，提供完善的保障方案和实施24小时值班制度，并确保设施完好率、亮灯率、整洁率达到100%。</w:t>
      </w:r>
    </w:p>
    <w:p w14:paraId="3B5C29F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（9）本项目涉及的区属箱变（范围为围栏区域内）及附属设施的日常巡查、保洁、维护、维修、外接电管理、抄表、费用追缴等涉及箱变的所有工作，</w:t>
      </w:r>
      <w:r>
        <w:rPr>
          <w:rFonts w:hint="eastAsia" w:ascii="仿宋" w:hAnsi="仿宋" w:eastAsia="仿宋" w:cs="仿宋"/>
          <w:color w:val="auto"/>
          <w:kern w:val="2"/>
          <w:sz w:val="24"/>
          <w:szCs w:val="24"/>
          <w:highlight w:val="none"/>
        </w:rPr>
        <w:t>在养护期内</w:t>
      </w:r>
      <w:r>
        <w:rPr>
          <w:rFonts w:hint="eastAsia" w:ascii="仿宋" w:hAnsi="仿宋" w:eastAsia="仿宋" w:cs="仿宋"/>
          <w:color w:val="auto"/>
          <w:kern w:val="2"/>
          <w:sz w:val="24"/>
          <w:szCs w:val="24"/>
          <w:highlight w:val="none"/>
          <w:lang w:eastAsia="zh-CN"/>
        </w:rPr>
        <w:t>（第三年正常养护期）</w:t>
      </w:r>
      <w:r>
        <w:rPr>
          <w:rFonts w:hint="eastAsia" w:ascii="仿宋" w:hAnsi="仿宋" w:eastAsia="仿宋" w:cs="仿宋"/>
          <w:color w:val="auto"/>
          <w:kern w:val="2"/>
          <w:sz w:val="24"/>
          <w:szCs w:val="24"/>
          <w:highlight w:val="none"/>
        </w:rPr>
        <w:t>维修费累计在</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万元以内（以电力设施设备的信息价或定额计算为准）由</w:t>
      </w:r>
      <w:r>
        <w:rPr>
          <w:rFonts w:hint="eastAsia" w:ascii="仿宋" w:hAnsi="仿宋" w:eastAsia="仿宋" w:cs="仿宋"/>
          <w:color w:val="auto"/>
          <w:kern w:val="2"/>
          <w:sz w:val="24"/>
          <w:szCs w:val="24"/>
          <w:highlight w:val="none"/>
          <w:lang w:eastAsia="zh-CN"/>
        </w:rPr>
        <w:t>中标人</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eastAsia="zh-CN"/>
        </w:rPr>
        <w:t>采购人</w:t>
      </w:r>
      <w:r>
        <w:rPr>
          <w:rFonts w:hint="eastAsia" w:ascii="仿宋" w:hAnsi="仿宋" w:eastAsia="仿宋" w:cs="仿宋"/>
          <w:color w:val="auto"/>
          <w:kern w:val="2"/>
          <w:sz w:val="24"/>
          <w:szCs w:val="24"/>
          <w:highlight w:val="none"/>
        </w:rPr>
        <w:t>不再另行支付；</w:t>
      </w:r>
      <w:r>
        <w:rPr>
          <w:rFonts w:hint="eastAsia" w:ascii="仿宋" w:hAnsi="仿宋" w:eastAsia="仿宋" w:cs="仿宋"/>
          <w:color w:val="auto"/>
          <w:kern w:val="2"/>
          <w:sz w:val="24"/>
          <w:szCs w:val="24"/>
          <w:highlight w:val="none"/>
          <w:lang w:eastAsia="zh-CN"/>
        </w:rPr>
        <w:t>超过</w:t>
      </w:r>
      <w:r>
        <w:rPr>
          <w:rFonts w:hint="eastAsia" w:ascii="仿宋" w:hAnsi="仿宋" w:eastAsia="仿宋" w:cs="仿宋"/>
          <w:color w:val="auto"/>
          <w:kern w:val="2"/>
          <w:sz w:val="24"/>
          <w:szCs w:val="24"/>
          <w:highlight w:val="none"/>
          <w:lang w:val="en-US" w:eastAsia="zh-CN"/>
        </w:rPr>
        <w:t>20万元的，双方另协商解决；</w:t>
      </w:r>
    </w:p>
    <w:p w14:paraId="1334FC5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（10）服务器租赁费、宽带租赁费、</w:t>
      </w:r>
      <w:r>
        <w:rPr>
          <w:rFonts w:hint="eastAsia" w:ascii="仿宋" w:hAnsi="仿宋" w:eastAsia="仿宋" w:cs="仿宋"/>
          <w:color w:val="auto"/>
          <w:sz w:val="24"/>
          <w:highlight w:val="none"/>
          <w:lang w:eastAsia="zh-CN"/>
        </w:rPr>
        <w:t>灯光秀</w:t>
      </w:r>
      <w:r>
        <w:rPr>
          <w:rFonts w:hint="eastAsia" w:ascii="仿宋" w:hAnsi="仿宋" w:eastAsia="仿宋" w:cs="仿宋"/>
          <w:color w:val="auto"/>
          <w:sz w:val="24"/>
          <w:highlight w:val="none"/>
        </w:rPr>
        <w:t>制作费用及各楼宇亮灯电费（不含从公共箱变接电电费）</w:t>
      </w:r>
      <w:r>
        <w:rPr>
          <w:rFonts w:hint="eastAsia" w:ascii="仿宋" w:hAnsi="仿宋" w:eastAsia="仿宋" w:cs="仿宋"/>
          <w:color w:val="auto"/>
          <w:sz w:val="24"/>
          <w:highlight w:val="none"/>
          <w:lang w:eastAsia="zh-CN"/>
        </w:rPr>
        <w:t>、网络</w:t>
      </w:r>
      <w:r>
        <w:rPr>
          <w:rFonts w:hint="eastAsia" w:ascii="仿宋" w:hAnsi="仿宋" w:eastAsia="仿宋" w:cs="仿宋"/>
          <w:color w:val="auto"/>
          <w:sz w:val="24"/>
          <w:highlight w:val="none"/>
          <w:lang w:val="en-US" w:eastAsia="zh-CN"/>
        </w:rPr>
        <w:t>安全等级测评</w:t>
      </w:r>
      <w:r>
        <w:rPr>
          <w:rFonts w:hint="eastAsia" w:ascii="仿宋" w:hAnsi="仿宋" w:eastAsia="仿宋" w:cs="仿宋"/>
          <w:color w:val="auto"/>
          <w:sz w:val="24"/>
          <w:highlight w:val="none"/>
        </w:rPr>
        <w:t>等涉及本项目亮灯养护的相关费用。</w:t>
      </w:r>
    </w:p>
    <w:p w14:paraId="35E39347">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（11）承担抄表及电费支付</w:t>
      </w:r>
      <w:r>
        <w:rPr>
          <w:rFonts w:hint="eastAsia" w:ascii="仿宋" w:hAnsi="仿宋" w:eastAsia="仿宋" w:cs="仿宋"/>
          <w:color w:val="auto"/>
          <w:sz w:val="24"/>
          <w:highlight w:val="none"/>
          <w:lang w:eastAsia="zh-CN"/>
        </w:rPr>
        <w:t>（不含从公共箱变接电的电费）</w:t>
      </w:r>
      <w:r>
        <w:rPr>
          <w:rFonts w:hint="eastAsia" w:ascii="仿宋" w:hAnsi="仿宋" w:eastAsia="仿宋" w:cs="仿宋"/>
          <w:color w:val="auto"/>
          <w:sz w:val="24"/>
          <w:highlight w:val="none"/>
        </w:rPr>
        <w:t>，电费支付时间为从上一轮责任单位末次抄表之日起算至本轮养护期末次抄表后止。</w:t>
      </w:r>
    </w:p>
    <w:p w14:paraId="7A808D80">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项目前两年为项目质保期，质保期内，中标人做好项目日常巡查、安全检查、抄表、防盗管理及维修等正常养护的所有工作（除因工程质量问题引起的维修工作由本项目施工单位负责，其他工作与正常养护内容一致，均由中标单位负责）</w:t>
      </w:r>
    </w:p>
    <w:p w14:paraId="6F93896B">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（13）做好项目灯光互动装置等相关设施设备的养护工作。</w:t>
      </w:r>
    </w:p>
    <w:p w14:paraId="3F44B2B8">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做好项目媒体墙灯光秀巡查检查、日常运行管理，服务器租赁、宽带租赁、灯光秀制作等相关工作，并做好上述相应设施设备的运行、维护、维修、更新等工作，制定突发事件应急处置预案，确保媒体墙灯光秀安全正常运行。其中灯光秀</w:t>
      </w:r>
      <w:r>
        <w:rPr>
          <w:rFonts w:hint="eastAsia" w:ascii="仿宋" w:hAnsi="仿宋" w:eastAsia="仿宋" w:cs="仿宋"/>
          <w:color w:val="auto"/>
          <w:sz w:val="24"/>
          <w:highlight w:val="none"/>
          <w:lang w:eastAsia="zh-CN"/>
        </w:rPr>
        <w:t>制作</w:t>
      </w:r>
      <w:r>
        <w:rPr>
          <w:rFonts w:hint="eastAsia" w:ascii="仿宋" w:hAnsi="仿宋" w:eastAsia="仿宋" w:cs="仿宋"/>
          <w:color w:val="auto"/>
          <w:sz w:val="24"/>
          <w:highlight w:val="none"/>
        </w:rPr>
        <w:t>基本要求每年不少于3条，灯光秀视频时长根据实际情况而定，以甲方确认为主，因各级部门另有需求，根据书面任务要求，按实制作，每年度不超过10条，相关费用不予以增加。</w:t>
      </w:r>
    </w:p>
    <w:p w14:paraId="60A42EE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（15）中标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须严格依据相关法律法规、技术标准及行业主管部门要求，全面</w:t>
      </w:r>
      <w:r>
        <w:rPr>
          <w:rFonts w:hint="eastAsia" w:ascii="仿宋" w:hAnsi="仿宋" w:eastAsia="仿宋" w:cs="仿宋"/>
          <w:color w:val="auto"/>
          <w:sz w:val="24"/>
          <w:highlight w:val="none"/>
          <w:lang w:val="en-US" w:eastAsia="zh-CN"/>
        </w:rPr>
        <w:t>做好</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养护期间</w:t>
      </w:r>
      <w:r>
        <w:rPr>
          <w:rFonts w:hint="eastAsia" w:ascii="仿宋" w:hAnsi="仿宋" w:eastAsia="仿宋" w:cs="仿宋"/>
          <w:color w:val="auto"/>
          <w:sz w:val="24"/>
          <w:highlight w:val="none"/>
        </w:rPr>
        <w:t>安全等级保护等网络安全工作</w:t>
      </w:r>
      <w:r>
        <w:rPr>
          <w:rFonts w:hint="eastAsia" w:ascii="仿宋" w:hAnsi="仿宋" w:eastAsia="仿宋" w:cs="仿宋"/>
          <w:color w:val="auto"/>
          <w:sz w:val="24"/>
          <w:highlight w:val="none"/>
          <w:lang w:eastAsia="zh-CN"/>
        </w:rPr>
        <w:t>以及相关费用</w:t>
      </w:r>
      <w:r>
        <w:rPr>
          <w:rFonts w:hint="eastAsia" w:ascii="仿宋" w:hAnsi="仿宋" w:eastAsia="仿宋" w:cs="仿宋"/>
          <w:color w:val="auto"/>
          <w:sz w:val="24"/>
          <w:highlight w:val="none"/>
        </w:rPr>
        <w:t>。包括但不限于：组织专业机构开展等级测评，针对测评结果进行安全整改加固，落实身份鉴别、访问控制、安全审计、数据加密等安全技术措施，建立健全网络安全管理制度、应急预案及安全运维体系，并定期开展安全培训与应急演练，确保项目网络、系统及数据全生命周期安全，满足等保合规要求。相关费用由中标人承担，采购人不再另行支付。最终相关要求将结合项目后期运行阶段的实际需求、技术发展趋势及监管政策变化执行。</w:t>
      </w:r>
    </w:p>
    <w:p w14:paraId="5EA027F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人规定设定或调整亮灯时间。</w:t>
      </w:r>
    </w:p>
    <w:p w14:paraId="5AC0C83C">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（17）整个合同期内，中标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应根据实际需要处置管辖范围内的照明设施投诉案件（增亮、微改造）或亮灯景观节点打造，</w:t>
      </w:r>
      <w:r>
        <w:rPr>
          <w:rFonts w:hint="eastAsia" w:ascii="仿宋" w:hAnsi="仿宋" w:eastAsia="仿宋" w:cs="仿宋"/>
          <w:color w:val="auto"/>
          <w:sz w:val="24"/>
          <w:highlight w:val="none"/>
          <w:lang w:eastAsia="zh-CN"/>
        </w:rPr>
        <w:t>根据案件投诉情况和节点打造任务相关要求，总</w:t>
      </w:r>
      <w:r>
        <w:rPr>
          <w:rFonts w:hint="eastAsia" w:ascii="仿宋" w:hAnsi="仿宋" w:eastAsia="仿宋" w:cs="仿宋"/>
          <w:color w:val="auto"/>
          <w:sz w:val="24"/>
          <w:highlight w:val="none"/>
        </w:rPr>
        <w:t>费用不超过20万元，该费用由中标人承担，采购人不再另行支付。</w:t>
      </w:r>
    </w:p>
    <w:p w14:paraId="54BFFFE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（18）中标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第一年合同期内做好养护区域内所属变压器护栏内部硬化工作以及安全设施配备（绝缘手套、灭火器等电力部门要求的设施）。</w:t>
      </w:r>
    </w:p>
    <w:p w14:paraId="7358EAE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（19）养护期间采购人提出的关于养护质量、更换设施设备、响应时间等方面的相关要求。</w:t>
      </w:r>
    </w:p>
    <w:p w14:paraId="763F3E71">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（20）中标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需在中标后6个月内，将养护区域内的箱变、开关箱、亮灯楼宇准确标注于电子版地图上。标注时应采用差异化图标清晰区分各类设施，并确保使用高清版地图，以全面、直观地呈现楼宇及设施的空间分布与整体状况 ，实现对养护区域的可视化高效管理。</w:t>
      </w:r>
    </w:p>
    <w:p w14:paraId="167EE29E">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（21）设立仓库区，并做好各类因改建、迁改、更新等淘汰的老旧设施设备堆放和管理。</w:t>
      </w:r>
    </w:p>
    <w:p w14:paraId="16E03B6C">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（22）合同期间采购人落实的其他相关事宜。</w:t>
      </w:r>
    </w:p>
    <w:p w14:paraId="6EB45C40">
      <w:pPr>
        <w:tabs>
          <w:tab w:val="left" w:pos="0"/>
        </w:tabs>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投标人须认真阅读本项目上述养护具体内容，并在投标报价中充分考虑上述工作产生的所有费用。 </w:t>
      </w:r>
    </w:p>
    <w:p w14:paraId="7E06CD92">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（四）养护质量标准和要求</w:t>
      </w:r>
    </w:p>
    <w:p w14:paraId="0826A124">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按照《城市道路照明设计标准》（CJJ45-2015）、《城市夜景照明设计规范》(JGJ/T163-2008)》、《杭州市城市照明设施养护维修服务标准》（DB 3301/T 0165-2015）、《杭州市城市照明管理办法》、《杭州市亮化长效管理实施意见（试行）》、《杭州市钱塘区综合行政执法局景观照明设施养护作业标准及考核办法（2023年修订）》、《城市照明自动控制系统技术规范》（CJJ/T227-2014）及国家有关强制性标准的规定执行。若上述文件有调整，以最新发布的为准。</w:t>
      </w:r>
    </w:p>
    <w:p w14:paraId="2952FE1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养护考核依据：《杭州市亮化长效管理实施意见（试行）》、《杭州市人民政府办公厅关于印发杭州市市区景观亮化运行管理工作方案的通知》、《杭州市公共部位照明设施养护评价标准》和钱塘区景观照明设施考核办法等相关规定要求。</w:t>
      </w:r>
    </w:p>
    <w:p w14:paraId="11027CD2">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档案资料保管：中标人应建立养护档案，健全日常养护作业记录，认真做好台帐的整理和归档工作；每月前5个工作日将上月养护档案资料移交采购人一份。</w:t>
      </w:r>
    </w:p>
    <w:p w14:paraId="5B014D8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中标人以包工包料的方式实施养护总包干，养护所需的人员、材料、设备、机械等均由中标人自行解决。</w:t>
      </w:r>
    </w:p>
    <w:p w14:paraId="0AC044B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中标人须确保养护灯具质量及亮灯质量，针对养护过程中出现的影响亮灯效果的问题，中标人应及时制定整改方案，报采购人同意后有效解决问题。</w:t>
      </w:r>
    </w:p>
    <w:p w14:paraId="7690F69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合同期内，中标人负责的灯具等设施设备如有损坏、故障的，中标人可采用修理、修补、更换等方式进行处理，更换的设备品牌、样式、规格等须与原项目相同,且更换灯具必须为新灯具。对无法采购到的光源、电器等设备，经报采购人同意后可更换相同或以上标准的设备，确保亮灯效果一致。</w:t>
      </w:r>
    </w:p>
    <w:p w14:paraId="0683D4E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市、区两级亮灯管理部门发出的保障通知、临时要求，中标人必须落实响应并限期反馈。严格执行《杭州市建筑物景观照明设施养护评价办法》、《城市照明设施养护维修服务标准》及钱塘区景观照明设施相关规定要求。</w:t>
      </w:r>
    </w:p>
    <w:p w14:paraId="4FA8A333">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中标人将亮灯问题整改处置后必须进行拍照，将问题与完成的对比照片按月度编辑报采购人。要求巡查、养护的效果及工作照片</w:t>
      </w:r>
      <w:r>
        <w:rPr>
          <w:rFonts w:hint="eastAsia" w:ascii="仿宋" w:hAnsi="仿宋" w:eastAsia="仿宋" w:cs="仿宋"/>
          <w:color w:val="auto"/>
          <w:sz w:val="24"/>
          <w:highlight w:val="none"/>
          <w:lang w:val="en-US" w:eastAsia="zh-CN"/>
        </w:rPr>
        <w:t>清晰</w:t>
      </w:r>
      <w:r>
        <w:rPr>
          <w:rFonts w:hint="eastAsia" w:ascii="仿宋" w:hAnsi="仿宋" w:eastAsia="仿宋" w:cs="仿宋"/>
          <w:color w:val="auto"/>
          <w:sz w:val="24"/>
          <w:highlight w:val="none"/>
        </w:rPr>
        <w:t>直观。</w:t>
      </w:r>
    </w:p>
    <w:p w14:paraId="2B50F861">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建立健全安全管理、人员管理等制度，配备合格、齐全的养护队伍、养护设备、劳保用品等。建立养护档案，健全日常养护（包括防盗及修复）作业记录，认真做好台帐的整理和归档工作；养护档案资料接受采购人定期检查，按月将养护档案资料移交采购人一份。</w:t>
      </w:r>
    </w:p>
    <w:p w14:paraId="2B8A6D19">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设施设备更换过程中需做好防护、围挡、警示等工作。</w:t>
      </w:r>
    </w:p>
    <w:p w14:paraId="656AFB1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重大活动保障要求现场值班保障，要求中标人在保障期间有专人现场巡查，并保证景观设施正常亮灯，如重大活动及节假日期间，中标人须做好应急保障措施，安排人员24小时值班，</w:t>
      </w:r>
      <w:r>
        <w:rPr>
          <w:rFonts w:hint="eastAsia" w:ascii="仿宋" w:hAnsi="仿宋" w:eastAsia="仿宋" w:cs="仿宋"/>
          <w:color w:val="auto"/>
          <w:sz w:val="24"/>
          <w:highlight w:val="none"/>
          <w:lang w:eastAsia="zh-CN"/>
        </w:rPr>
        <w:t>按照养护及设施完好率、亮灯率、整洁率达到</w:t>
      </w:r>
      <w:r>
        <w:rPr>
          <w:rFonts w:hint="eastAsia" w:ascii="仿宋" w:hAnsi="仿宋" w:eastAsia="仿宋" w:cs="仿宋"/>
          <w:color w:val="auto"/>
          <w:sz w:val="24"/>
          <w:highlight w:val="none"/>
          <w:lang w:val="en-US" w:eastAsia="zh-CN"/>
        </w:rPr>
        <w:t>100%等保障相关要求，储备足量备货，确保物资供应的及时性和稳定性。</w:t>
      </w:r>
      <w:r>
        <w:rPr>
          <w:rFonts w:hint="eastAsia" w:ascii="仿宋" w:hAnsi="仿宋" w:eastAsia="仿宋" w:cs="仿宋"/>
          <w:color w:val="auto"/>
          <w:sz w:val="24"/>
          <w:highlight w:val="none"/>
        </w:rPr>
        <w:t>。</w:t>
      </w:r>
    </w:p>
    <w:p w14:paraId="5D719AF0">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养护到期后，中标人须与新的养护单位做好工作交接；若养护到期，但单个项目未通过移交，中标人仍有权按考核办法在合同期外对中标人实施监管考核及代整治工作，相关费用从养护尾款中扣除。</w:t>
      </w:r>
    </w:p>
    <w:p w14:paraId="26AD7D90">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13.中标人开始养护时间按采购人书面通知要求执行，确保养护工作及时有序开展，</w:t>
      </w:r>
      <w:r>
        <w:rPr>
          <w:rFonts w:hint="eastAsia" w:ascii="仿宋" w:hAnsi="仿宋" w:eastAsia="仿宋" w:cs="仿宋"/>
          <w:color w:val="auto"/>
          <w:sz w:val="24"/>
          <w:highlight w:val="none"/>
        </w:rPr>
        <w:t>因改建等原因单个子项目需停止养护的则费用相应扣除。</w:t>
      </w:r>
    </w:p>
    <w:p w14:paraId="3BED2724">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采购人有权对中标人与养护项目相关的所有内容进行核实，一经发现有与采购要求不符的，中标人应立即按采购人要求限期进行整改；若未按要求整改到位的，采购人有权终止合同，并上报区采购监管部门。</w:t>
      </w:r>
    </w:p>
    <w:p w14:paraId="2A00CC18">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（五）突发事件处理及防汛、抗台、抗雪、防冻</w:t>
      </w:r>
    </w:p>
    <w:p w14:paraId="56B1A4E4">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应成立突发事件应急处理领导小组和应急抢险队伍，切实按照《杭州市突发事件应急抢险预案》等相关政策文件制定的相关预案组织实施。认真做好防汛、抗台、抗旱、抗雪、防冻及突发事件应急抢险工作，确保人员、设备、材料“三落实”，并做好数据、图片和台帐的记录、存档，及时反映情况，严格服从采购人的统一指挥、安排和要求。若发生非养护原因引起的意外事故或人为破坏造成的设施损坏，中标人应立即采取相关措施或临时应急措施，并通知采购人和相关部门。</w:t>
      </w:r>
    </w:p>
    <w:p w14:paraId="1AFE9C19">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（六）人员及设施设备要求</w:t>
      </w:r>
    </w:p>
    <w:p w14:paraId="1DBA59EE">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1.人员</w:t>
      </w:r>
      <w:r>
        <w:rPr>
          <w:rFonts w:hint="eastAsia" w:ascii="仿宋" w:hAnsi="仿宋" w:eastAsia="仿宋" w:cs="仿宋"/>
          <w:color w:val="auto"/>
          <w:sz w:val="24"/>
          <w:highlight w:val="none"/>
          <w:lang w:val="en-US" w:eastAsia="zh-CN"/>
        </w:rPr>
        <w:t>技术能力要求</w:t>
      </w:r>
    </w:p>
    <w:p w14:paraId="0FA8310E">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（1）设项目负责人1人，具有国家注册二级及以上建造师（机电工程）资格</w:t>
      </w:r>
      <w:r>
        <w:rPr>
          <w:rFonts w:hint="eastAsia" w:ascii="仿宋" w:hAnsi="仿宋" w:eastAsia="仿宋" w:cs="仿宋"/>
          <w:color w:val="auto"/>
          <w:sz w:val="24"/>
          <w:highlight w:val="none"/>
          <w:lang w:val="en-US" w:eastAsia="zh-CN"/>
        </w:rPr>
        <w:t>，并有</w:t>
      </w:r>
      <w:r>
        <w:rPr>
          <w:rFonts w:hint="eastAsia" w:ascii="仿宋" w:hAnsi="仿宋" w:eastAsia="仿宋" w:cs="仿宋"/>
          <w:color w:val="auto"/>
          <w:sz w:val="24"/>
          <w:highlight w:val="none"/>
        </w:rPr>
        <w:t xml:space="preserve">大专及以上学历。 </w:t>
      </w:r>
    </w:p>
    <w:p w14:paraId="7AD6658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（2）设项目技术负责人1人，具有机电工程类工程师及以上职称，并有</w:t>
      </w:r>
      <w:r>
        <w:rPr>
          <w:rFonts w:hint="eastAsia" w:ascii="仿宋" w:hAnsi="仿宋" w:eastAsia="仿宋" w:cs="仿宋"/>
          <w:color w:val="auto"/>
          <w:sz w:val="24"/>
          <w:highlight w:val="none"/>
          <w:lang w:eastAsia="zh-CN"/>
        </w:rPr>
        <w:t>大专</w:t>
      </w:r>
      <w:r>
        <w:rPr>
          <w:rFonts w:hint="eastAsia" w:ascii="仿宋" w:hAnsi="仿宋" w:eastAsia="仿宋" w:cs="仿宋"/>
          <w:color w:val="auto"/>
          <w:sz w:val="24"/>
          <w:highlight w:val="none"/>
        </w:rPr>
        <w:t>及以上学历。</w:t>
      </w:r>
    </w:p>
    <w:p w14:paraId="42011EB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（3）设项目智能化网络技术负责人1人，具有软件专业技术资格中级及以上职称</w:t>
      </w:r>
      <w:r>
        <w:rPr>
          <w:rFonts w:hint="eastAsia" w:ascii="仿宋" w:hAnsi="仿宋" w:eastAsia="仿宋" w:cs="仿宋"/>
          <w:color w:val="auto"/>
          <w:sz w:val="24"/>
          <w:highlight w:val="none"/>
          <w:lang w:eastAsia="zh-CN"/>
        </w:rPr>
        <w:t>，并有</w:t>
      </w:r>
      <w:r>
        <w:rPr>
          <w:rFonts w:hint="eastAsia" w:ascii="仿宋" w:hAnsi="仿宋" w:eastAsia="仿宋" w:cs="仿宋"/>
          <w:color w:val="auto"/>
          <w:sz w:val="24"/>
          <w:highlight w:val="none"/>
        </w:rPr>
        <w:t>大专及以上学历。</w:t>
      </w:r>
    </w:p>
    <w:p w14:paraId="5C4D2A06">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（4）配备3个养护班组，每个班组人员中同时具有电工特种作业操作证和高空作业证人员不少于1人，进网高压证人员不少于1人。</w:t>
      </w:r>
    </w:p>
    <w:p w14:paraId="2C07097C">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（5）所有工作人员须有吃苦耐劳的精神和高度的责任感，严格履行岗位职责，具备一定的从业经验和处理突发事件能力。</w:t>
      </w:r>
    </w:p>
    <w:p w14:paraId="57EFD317">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（6）所有人员必须为专职人员，不得兼职、不得一人多岗。上述所有人员不含司机、机械及场地管理人员。</w:t>
      </w:r>
    </w:p>
    <w:p w14:paraId="0FF65128">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（7）特殊勤务（对政府大型活动，外事等活动）或节假日应根据采购人要求同步增加或减少相应的工作人员。</w:t>
      </w:r>
    </w:p>
    <w:p w14:paraId="05BC865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2.投入车辆、物资</w:t>
      </w:r>
    </w:p>
    <w:p w14:paraId="7B3C56A8">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（1）配置有额定载重量1.45吨（含）以上运输车至少1辆。</w:t>
      </w:r>
    </w:p>
    <w:p w14:paraId="51E802B8">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（2）配置功率在50千瓦及以上发电车</w:t>
      </w:r>
      <w:r>
        <w:rPr>
          <w:rFonts w:hint="eastAsia" w:ascii="仿宋" w:hAnsi="仿宋" w:eastAsia="仿宋" w:cs="仿宋"/>
          <w:color w:val="auto"/>
          <w:sz w:val="24"/>
          <w:highlight w:val="none"/>
          <w:lang w:eastAsia="zh-CN"/>
        </w:rPr>
        <w:t>至少</w:t>
      </w:r>
      <w:r>
        <w:rPr>
          <w:rFonts w:hint="eastAsia" w:ascii="仿宋" w:hAnsi="仿宋" w:eastAsia="仿宋" w:cs="仿宋"/>
          <w:color w:val="auto"/>
          <w:sz w:val="24"/>
          <w:highlight w:val="none"/>
          <w:lang w:val="en-US" w:eastAsia="zh-CN"/>
        </w:rPr>
        <w:t>1辆</w:t>
      </w:r>
      <w:r>
        <w:rPr>
          <w:rFonts w:hint="eastAsia" w:ascii="仿宋" w:hAnsi="仿宋" w:eastAsia="仿宋" w:cs="仿宋"/>
          <w:color w:val="auto"/>
          <w:sz w:val="24"/>
          <w:highlight w:val="none"/>
        </w:rPr>
        <w:t>。</w:t>
      </w:r>
    </w:p>
    <w:p w14:paraId="0A13F4CB">
      <w:pPr>
        <w:tabs>
          <w:tab w:val="left" w:pos="0"/>
        </w:tabs>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）配置</w:t>
      </w:r>
      <w:r>
        <w:rPr>
          <w:rFonts w:hint="eastAsia" w:ascii="仿宋" w:hAnsi="仿宋" w:eastAsia="仿宋" w:cs="仿宋"/>
          <w:color w:val="auto"/>
          <w:sz w:val="24"/>
          <w:highlight w:val="none"/>
          <w:lang w:val="en-US" w:eastAsia="zh-CN"/>
        </w:rPr>
        <w:t>1辆带电作业车。</w:t>
      </w:r>
    </w:p>
    <w:p w14:paraId="2C53B7F2">
      <w:pPr>
        <w:tabs>
          <w:tab w:val="left" w:pos="0"/>
        </w:tabs>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（4）配置1辆15米及以上登高车至少1辆。</w:t>
      </w:r>
    </w:p>
    <w:p w14:paraId="462AD48E">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）必须配备合格和足量的劳保用品及维修作业工具（绝缘手套、围挡、灭火器等），须承诺在安全有效期内，确保质量。</w:t>
      </w:r>
    </w:p>
    <w:p w14:paraId="054CC4F7">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注：以上车辆、设备自有或者租赁均可。</w:t>
      </w:r>
    </w:p>
    <w:p w14:paraId="649C83E2">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3.场地</w:t>
      </w:r>
    </w:p>
    <w:p w14:paraId="281A0CDC">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投标人需在投标时承诺且在中标（成交）公示后10个工作日内设立项目部，场地数量和位置应便于养护、巡查及时响应（</w:t>
      </w:r>
      <w:r>
        <w:rPr>
          <w:rFonts w:hint="eastAsia" w:ascii="仿宋" w:hAnsi="仿宋" w:eastAsia="仿宋" w:cs="仿宋"/>
          <w:color w:val="auto"/>
          <w:sz w:val="24"/>
          <w:highlight w:val="none"/>
          <w:lang w:val="en-US" w:eastAsia="zh-CN"/>
        </w:rPr>
        <w:t>场地不强制范围或区域，但根据本项目服务响应的及时性要求，</w:t>
      </w:r>
      <w:r>
        <w:rPr>
          <w:rFonts w:hint="eastAsia" w:ascii="仿宋" w:hAnsi="仿宋" w:eastAsia="仿宋" w:cs="仿宋"/>
          <w:color w:val="auto"/>
          <w:sz w:val="24"/>
          <w:highlight w:val="none"/>
        </w:rPr>
        <w:t>响应时间要求在20分钟内到达项目实施区域内大部分地方），项目部包括办公区、维修区、仓库区等。办公场所要有各类设施设备的规范堆放管理制度，要设有专职人员进行管理，确保突发事件和应急抢险。</w:t>
      </w:r>
    </w:p>
    <w:p w14:paraId="4A0B36EC">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（七）采购人的权利、职责与义务</w:t>
      </w:r>
    </w:p>
    <w:p w14:paraId="1E9CC52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负责对设施运行情况、日常养护（包括防盗及修复）质量、安全和巡查工作及资料台帐等进行检查，对设施完好状况进行核查，按月进行考核。对于检查发现的景观灯设施各类问题，有权要求中标人按要求及时修复。采购人以及其委派的任何人，均可对中标人养护范围内的设施养护状况进行检查。</w:t>
      </w:r>
    </w:p>
    <w:p w14:paraId="0C36BAD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负责向中标人提供有关景观灯设施养护的规范性文件、相关的技术规程、考核办法及各类相关文件，并对中标人工作进行指导。</w:t>
      </w:r>
    </w:p>
    <w:p w14:paraId="5637574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负责审定中标人的年度和月度养护计划，检查养护计划执行情况，并根据各项考核及保障要求明确养护任务。</w:t>
      </w:r>
    </w:p>
    <w:p w14:paraId="1B6EE14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采购人在认为有必要的情况下，可要求中标人对设施进行特殊养护。</w:t>
      </w:r>
    </w:p>
    <w:p w14:paraId="23DE4CD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负责对中标人养护工作进行检查，发现中标人未按规范要求进行养护时，有权按合同约定、考核办法进行考核扣款；发现设施处于危急状况时立即限期要求中标人按应急预案采取相关措施；对于无法胜任工作或玩忽职守、工作不负责的人员有权要求中标人进行更换。</w:t>
      </w:r>
    </w:p>
    <w:p w14:paraId="4513E9F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有权对养护工作中采用新工艺、新材料、新方法的适用性、安全性进行审查。</w:t>
      </w:r>
    </w:p>
    <w:p w14:paraId="5A59B94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负责协调处理因不可抗力的自然因素造成的设施损坏事件。</w:t>
      </w:r>
    </w:p>
    <w:p w14:paraId="440E21E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8.合同期间采购人落实的其他相关事宜。</w:t>
      </w:r>
    </w:p>
    <w:p w14:paraId="64015A80">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（八）中标人的权利、职责与义务</w:t>
      </w:r>
    </w:p>
    <w:p w14:paraId="3DDC534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1.按照养护设施范围、实际养护设施量及考核等情况取得相应养护经费。</w:t>
      </w:r>
    </w:p>
    <w:p w14:paraId="09ACA65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2.编制年度、月度养护计划，按照现行的有关规范要求及合同各项规定，精心组织养护，保证设施正常运行，并按要求报送养护台账。</w:t>
      </w:r>
    </w:p>
    <w:p w14:paraId="6484E02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3.对景观照明设施按有关规定进行巡查，掌握设施动态，及时发现、防止和处理设施缺陷，确保景观照明设施完好和安全运行。</w:t>
      </w:r>
    </w:p>
    <w:p w14:paraId="68885C3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在实施养护作业过程中，应遵守国家、省、市颁布的法律、法令、条例以及有关规定，遵守有关部门的规章细则等，负责办理养护操作中涉及的有关审批及协调手续。由于中标人违反上述规定而导致的所有责任，由中标人自行承担。</w:t>
      </w:r>
    </w:p>
    <w:p w14:paraId="33631DB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5.配合做好亮灯的服务及安全保障工作，制定应急预案并报采购人备案。在重大活动期间、节假日、应急保障中应加大巡查频率，必要时采取监护措施，并无条件按照采购人要求开展保障工作。</w:t>
      </w:r>
    </w:p>
    <w:p w14:paraId="7AAD39D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为确保安全、文明养护，中标人应该本着“安全第一，预防为主”的原则，建全安全管理组织体系；严格贯彻国家、省、市和劳动保护、安全生产部门颁发的有关安全生产、消防工作的方针、政策、法规、条例、规定等执行。</w:t>
      </w:r>
    </w:p>
    <w:p w14:paraId="1E4A67F7">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中标人要制定应急预案，配合做好亮灯的服务及安全保障工作。</w:t>
      </w:r>
    </w:p>
    <w:p w14:paraId="7188F5BE">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合同期间，由于中标人安全措施不力、养护工作不到位、违反安全操作规程而导致责任事故或采购人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第三方人身和财产损失，中标人应负责予以妥善处理，所发生的费用均由中标人自负，采购人保留追究责任的权利。如采购人因此遭到第三方索赔的，有权全额向中标人追偿。</w:t>
      </w:r>
    </w:p>
    <w:p w14:paraId="058B986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.对全部现场作业和施工方法的适应、稳妥和安全性承担全部责任。在养护工作中，力求采用成熟的工艺、材料和方法。合同期间，发生养护相关的质量、安全事故，均由中标人承担全部责任。</w:t>
      </w:r>
    </w:p>
    <w:p w14:paraId="6694AFE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中标人建立健全安全体制、安全学习、人员管理等制度，不断提高工作人员的安全意识；工作人员必须经过专业培训并持证上岗，设专人负责。采购人有权要求乙方撤换工作不能胜任或玩忽职守、工作不负责的人员，配备合格、齐全的养护队伍、养护设备、劳保用品等。建立养护档案，健全日常养护（包括防盗及修复）作业记录，认真做好台帐的整理和归档工作；养护台账资料接受采购人定期检查，每月前5个工作日内将上月养护台账资料移交采购人一份。</w:t>
      </w:r>
    </w:p>
    <w:p w14:paraId="4149FD3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成立突发事件应急处理领导小组和应急抢险队伍，切实按照《杭州市突发事件应急抢险预案》等相关政策文件制定的相关预案组织实施。认真做好防汛、抗台、抗雪及突发事件应急抢险工作，确保人员、设备、材料“三落实”，并做好数据、图片和台帐的记录、存档，及时反映情况，严格服从采购人的统一指挥、安排和要求。投标文件中提供恶劣条件或应急事件情况下的预案。</w:t>
      </w:r>
    </w:p>
    <w:p w14:paraId="78BFBE2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.负责发现并及时制止养护范围内的所有设施免遭人为等因素导致的损坏和侵害，并做好赔偿、修复工作。</w:t>
      </w:r>
    </w:p>
    <w:p w14:paraId="54DD7B6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结合项目具体情况，科学组织养护范围内设施安全检查</w:t>
      </w:r>
      <w:r>
        <w:rPr>
          <w:rFonts w:hint="eastAsia" w:ascii="仿宋" w:hAnsi="仿宋" w:eastAsia="仿宋" w:cs="仿宋"/>
          <w:sz w:val="24"/>
          <w:szCs w:val="24"/>
          <w:highlight w:val="none"/>
          <w:lang w:eastAsia="zh-CN"/>
        </w:rPr>
        <w:t>，确保设施安全稳定运行。重大保障期间增加专项检查。养护单位应切实加强养护区域现场管理，确保安全生产，养护期内，因被养护设施掉落、炫光、漏电等造成的人身或财产等损失，一律由养护单位负责赔偿。养护期内，若发生任何故障和问题，中标人应立即采取相关应急措施，并通知采购人和相关部门。任何原因造成的景观照明设施缺损和第三方损失，均由中标人负责及时更换、维修及赔偿，并承担相关费用。</w:t>
      </w:r>
    </w:p>
    <w:p w14:paraId="218EFE6B">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.中标养护单位按照现状接收的标准进行中标养护，在中标公示结束起</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天内完成交接进入养护。交接过程中有问题，中标单位提供影像资料佐证，落实原责任单位修复。</w:t>
      </w:r>
    </w:p>
    <w:p w14:paraId="0266134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负责合同生效起一个月内完成所有设备资料复核调整和标识工作，按照采购人要求落实贴牌标示、合同范围内设施量及设施现状调查等工作，并及时向采购人提供资料和设备清单。做好定期核对相关资料等工作。</w:t>
      </w:r>
    </w:p>
    <w:p w14:paraId="2023EECB">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.负责对发现的缺亮、故障和缺陷等问题进行及时修复并做好反馈工作，确保设施设备完好可靠，确保亮灯率达到</w:t>
      </w:r>
      <w:r>
        <w:rPr>
          <w:rFonts w:hint="eastAsia" w:ascii="仿宋" w:hAnsi="仿宋" w:eastAsia="仿宋" w:cs="仿宋"/>
          <w:sz w:val="24"/>
          <w:szCs w:val="24"/>
          <w:highlight w:val="none"/>
          <w:lang w:val="en-US" w:eastAsia="zh-CN"/>
        </w:rPr>
        <w:t>98%以上</w:t>
      </w:r>
      <w:r>
        <w:rPr>
          <w:rFonts w:hint="eastAsia" w:ascii="仿宋" w:hAnsi="仿宋" w:eastAsia="仿宋" w:cs="仿宋"/>
          <w:sz w:val="24"/>
          <w:szCs w:val="24"/>
          <w:highlight w:val="none"/>
          <w:lang w:eastAsia="zh-CN"/>
        </w:rPr>
        <w:t>。</w:t>
      </w:r>
    </w:p>
    <w:p w14:paraId="732BEC94">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.负责保持照明设施的清洁，及时清除未经许可的悬挂物。</w:t>
      </w:r>
    </w:p>
    <w:p w14:paraId="0A230FB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.建立24小时值班制度，及时处理“三来件”事项，要求办结率</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lang w:eastAsia="zh-CN"/>
        </w:rPr>
        <w:t>，否则按考核办法扣款处理。</w:t>
      </w:r>
    </w:p>
    <w:p w14:paraId="23E783E7">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.中标人须确保养护灯具质量及亮灯质量，针对养护过程中出现的影响亮灯效果的问题，中标人应及时制定整改方案，报采购人同意后有效解决问题。</w:t>
      </w:r>
    </w:p>
    <w:p w14:paraId="411D528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合同期内，中标人负责的灯具如有损坏、故障的，中标人可采用修理、修补、更换等方式进行处理，更换的设备品牌、样式、规格等须与原项目相同,且更换灯具必须为新灯具。对无法采购到的光源、电器等设备，经报采购人同意后可更换相同标准的设备，确保亮灯效果一致。</w:t>
      </w:r>
    </w:p>
    <w:p w14:paraId="63EAE6EB">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eastAsia="zh-CN"/>
        </w:rPr>
        <w:t>.亮灯时间必须严格按照规定时间实施；每次亮灯期间的巡查覆盖率为</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lang w:eastAsia="zh-CN"/>
        </w:rPr>
        <w:t>巡查过程中将断亮缺亮等问题拍照记录编辑。</w:t>
      </w:r>
    </w:p>
    <w:p w14:paraId="42EA29C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eastAsia="zh-CN"/>
        </w:rPr>
        <w:t>.市、区两级亮灯管理部门发出的保障通知、临时要求，中标人必须落实响应并限期反馈。严格执行《杭州市建筑物景观照明设施养护评价办法》、《城市照明设施养护维修服务标准》。</w:t>
      </w:r>
      <w:r>
        <w:rPr>
          <w:rFonts w:hint="eastAsia" w:ascii="仿宋" w:hAnsi="仿宋" w:eastAsia="仿宋" w:cs="仿宋"/>
          <w:sz w:val="24"/>
          <w:szCs w:val="24"/>
          <w:highlight w:val="none"/>
          <w:lang w:val="en-US" w:eastAsia="zh-CN"/>
        </w:rPr>
        <w:t>对养护内容进行日常巡查，对设备的运行情况及时记录，</w:t>
      </w:r>
      <w:r>
        <w:rPr>
          <w:rFonts w:hint="eastAsia" w:ascii="仿宋" w:hAnsi="仿宋" w:eastAsia="仿宋" w:cs="仿宋"/>
          <w:sz w:val="24"/>
          <w:szCs w:val="24"/>
          <w:highlight w:val="none"/>
          <w:lang w:eastAsia="zh-CN"/>
        </w:rPr>
        <w:t>要求对养护范围的景观灯等设施进行全方位巡查，做好每日巡查，其中养护区域范围内社会亮灯项目巡查及问题反馈，每周不少于</w:t>
      </w:r>
      <w:r>
        <w:rPr>
          <w:rFonts w:hint="eastAsia" w:ascii="仿宋" w:hAnsi="仿宋" w:eastAsia="仿宋" w:cs="仿宋"/>
          <w:sz w:val="24"/>
          <w:szCs w:val="24"/>
          <w:highlight w:val="none"/>
          <w:lang w:val="en-US" w:eastAsia="zh-CN"/>
        </w:rPr>
        <w:t>1次；变压器、配电箱(柜)每月巡检一次；地埋电缆线路每半年巡检一次；接地(或接零)装置每年在干燥季节（冬季）巡检一次；独立的防雷装置应在每年的雷雨季节前（春季）巡检一次；漏电保护装置应每季巡检一次；灯杆、灯罩、设备等亮灯设施每季度系统性清洗一次，或设施明显积尘时</w:t>
      </w:r>
      <w:r>
        <w:rPr>
          <w:rFonts w:hint="eastAsia" w:ascii="仿宋" w:hAnsi="仿宋" w:eastAsia="仿宋" w:cs="仿宋"/>
          <w:color w:val="auto"/>
          <w:sz w:val="24"/>
          <w:highlight w:val="none"/>
          <w:lang w:val="en-US" w:eastAsia="zh-CN"/>
        </w:rPr>
        <w:t>应立即启动清洗</w:t>
      </w:r>
      <w:r>
        <w:rPr>
          <w:rFonts w:hint="eastAsia" w:ascii="仿宋" w:hAnsi="仿宋" w:eastAsia="仿宋" w:cs="仿宋"/>
          <w:sz w:val="24"/>
          <w:szCs w:val="24"/>
          <w:highlight w:val="none"/>
          <w:lang w:val="en-US" w:eastAsia="zh-CN"/>
        </w:rPr>
        <w:t>，及时清除灯柱乱张贴、乱涂鸦，</w:t>
      </w:r>
      <w:r>
        <w:rPr>
          <w:rFonts w:hint="eastAsia" w:ascii="仿宋" w:hAnsi="仿宋" w:eastAsia="仿宋" w:cs="仿宋"/>
          <w:sz w:val="24"/>
          <w:szCs w:val="24"/>
          <w:highlight w:val="none"/>
          <w:lang w:eastAsia="zh-CN"/>
        </w:rPr>
        <w:t>污染严重地段加大清洁工作频率；</w:t>
      </w:r>
      <w:r>
        <w:rPr>
          <w:rFonts w:hint="eastAsia" w:ascii="仿宋" w:hAnsi="仿宋" w:eastAsia="仿宋" w:cs="仿宋"/>
          <w:sz w:val="24"/>
          <w:szCs w:val="24"/>
          <w:highlight w:val="none"/>
          <w:lang w:val="en-US" w:eastAsia="zh-CN"/>
        </w:rPr>
        <w:t>集中控制装置、照明节电装置或其他智慧照明装置每半年巡检一次；设施被盜频发地段应安排人员每天巡查；连续高温、台风、雷雨或冰雪等特殊自然灾害性气候，应按城市照明监管机构要求进行防火、防汛、防台、防雷、抗雪等专项检查，并增加巡检次数，必要时作临时断电处理。</w:t>
      </w:r>
    </w:p>
    <w:p w14:paraId="48C2C9D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25.作业人员需持有相应上岗证书方可上岗，且证书在有效期内并复审合格。每次作业时，中标人须严格按照国家相关安全规范、行业标准等要求，做好作业准备、实施、收尾全流程各项工作。</w:t>
      </w:r>
    </w:p>
    <w:p w14:paraId="1CBB6AC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中标人制定完善的高空作业安全管理制度和应急预案，定期组织作业人员开展安全培训与应急演练，为作业人员提供必要的安全培训和技术指导。定期对作业设备进行维护和更新，确保其安全性。为作业人员购买足额的工伤保险和意外伤害保险，降低事故风险。对作业现场进行监督管理，及时发现和消除安全隐患。若发生安全事故，承担相应的法律责任和经济赔偿责任。</w:t>
      </w:r>
    </w:p>
    <w:p w14:paraId="347DF5F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27.合同履行期间，在本项目管养范围内发生涉及本项目相关的安全事故，包括养护单位人员作业发生安全事故，养护单位负全责，承担相应的经济赔偿和法律责任。</w:t>
      </w:r>
    </w:p>
    <w:p w14:paraId="3EB3997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.中标人将亮灯问题整改处置后必须进行拍照，将问题与完成的对比照片按月度编辑报采购人。要求巡查、养护的效果及工作照片</w:t>
      </w:r>
      <w:r>
        <w:rPr>
          <w:rFonts w:hint="eastAsia" w:ascii="仿宋" w:hAnsi="仿宋" w:eastAsia="仿宋" w:cs="仿宋"/>
          <w:sz w:val="24"/>
          <w:szCs w:val="24"/>
          <w:highlight w:val="none"/>
          <w:lang w:val="en-US" w:eastAsia="zh-CN"/>
        </w:rPr>
        <w:t>清晰</w:t>
      </w:r>
      <w:r>
        <w:rPr>
          <w:rFonts w:hint="eastAsia" w:ascii="仿宋" w:hAnsi="仿宋" w:eastAsia="仿宋" w:cs="仿宋"/>
          <w:sz w:val="24"/>
          <w:szCs w:val="24"/>
          <w:highlight w:val="none"/>
          <w:lang w:eastAsia="zh-CN"/>
        </w:rPr>
        <w:t>直观。</w:t>
      </w:r>
    </w:p>
    <w:p w14:paraId="38148DF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lang w:eastAsia="zh-CN"/>
        </w:rPr>
        <w:t>.建立安全管理、人员管理等制度，配备合格、齐全的养护队伍、养护设备、劳保用品等。建立养护档案，健全日常养护（包括防盗及修复）作业记录，认真做好台帐的整理和归档工作；养护档案资料接受采购人定期检查，按月将养护档案资料移交采购人一份。</w:t>
      </w:r>
    </w:p>
    <w:p w14:paraId="5204A27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eastAsia="zh-CN"/>
        </w:rPr>
        <w:t>.设施设备更换、维修、维护等作业过程中需做好防护、围挡、警示等工作。</w:t>
      </w:r>
    </w:p>
    <w:p w14:paraId="001B57A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eastAsia="zh-CN"/>
        </w:rPr>
        <w:t>.重大活动保障要求现场值班保障，要求养护单位在保障期间有专人现场巡查，并保证景观设施正常亮灯，如重大活动及节假日期间，中标人须做好应急保障措施，安排人员24小时值班，按照养护及设施完好率、亮灯率、整洁率达到</w:t>
      </w:r>
      <w:r>
        <w:rPr>
          <w:rFonts w:hint="eastAsia" w:ascii="仿宋" w:hAnsi="仿宋" w:eastAsia="仿宋" w:cs="仿宋"/>
          <w:sz w:val="24"/>
          <w:szCs w:val="24"/>
          <w:highlight w:val="none"/>
          <w:lang w:val="en-US" w:eastAsia="zh-CN"/>
        </w:rPr>
        <w:t>100%等保障相关要求，储备足量备货，确保物资供应的及时性与稳定性。</w:t>
      </w:r>
    </w:p>
    <w:p w14:paraId="4EAAA02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lang w:eastAsia="zh-CN"/>
        </w:rPr>
        <w:t>.养护期间，新移交的质保期内灯具及相关附属设施的养护标准与其他灯具、设施一致。但质保期内的养护费不予支付，中标人可先联系施工单位进行维修，最后由中标人兜底处置。</w:t>
      </w:r>
    </w:p>
    <w:p w14:paraId="331148D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lang w:eastAsia="zh-CN"/>
        </w:rPr>
        <w:t>养护项目中标后不得将投标中自有要求的内容转包、分包，包括人员、车辆、高空作业等内容，采购人有权对中标人与养护项目相关的所有内容进行核实，一经发现有与采购要求不符的，中标人应立即按甲方要求限期进行整改；若未按要求整改到位的，采购人有权终止合同，并上报采购监管部门。</w:t>
      </w:r>
    </w:p>
    <w:p w14:paraId="73A10B5B">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eastAsia="zh-CN"/>
        </w:rPr>
        <w:t>养护期内，涉及被占用、拆除、迁移等的设施，需经采购人同意，并及时向采购人提供变更后的资料和设备清单；涉及新增、拆除的景观灯设施，以采购人书面通知为准，并从新增、拆除之日起，调整设施养护费。</w:t>
      </w:r>
    </w:p>
    <w:p w14:paraId="1F4459A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lang w:eastAsia="zh-CN"/>
        </w:rPr>
        <w:t>.养护到期后，中标人须与新的养护单位做好工作交接；若养护到期，但单个子项目未通过移交，采购人仍有权按考核办法在合同期外对中标人实施监管考核及代整治工作，相关费用从养护尾款中扣除。</w:t>
      </w:r>
    </w:p>
    <w:p w14:paraId="5350739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lang w:eastAsia="zh-CN"/>
        </w:rPr>
        <w:t>.中标人开始养护时间按采购人书面通知要求执行，确保养护工作及时有序开展，因改建等原因单个子项目需停止养护的则费用相应扣除。</w:t>
      </w:r>
    </w:p>
    <w:p w14:paraId="0DE830C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lang w:eastAsia="zh-CN"/>
        </w:rPr>
        <w:t>.采购人有权对中标人与养护项目相关的所有内容进行核实，一经发现有与采购要求不符的，中标人应立即按采购人要求限期进行整改；若未按要求整改到位的，采购人有权终止合同，并上报区采购监管部门。</w:t>
      </w:r>
    </w:p>
    <w:p w14:paraId="60A7DF6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38.中标人在养护期内对项目进行一次配电箱接地电阻专项检测、三相平衡专项检测。</w:t>
      </w:r>
    </w:p>
    <w:p w14:paraId="7997EA2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39.本采购文件第三部分采购需求中第二点</w:t>
      </w:r>
      <w:r>
        <w:rPr>
          <w:rFonts w:hint="eastAsia" w:ascii="仿宋" w:hAnsi="仿宋" w:eastAsia="仿宋" w:cs="仿宋"/>
          <w:sz w:val="24"/>
          <w:szCs w:val="24"/>
          <w:highlight w:val="none"/>
          <w:lang w:eastAsia="zh-CN"/>
        </w:rPr>
        <w:t>服务内容、要求和范围中涉及的所有内容。</w:t>
      </w:r>
    </w:p>
    <w:p w14:paraId="3CCB5458">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（九）其他要求</w:t>
      </w:r>
    </w:p>
    <w:p w14:paraId="475C5CE1">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1.投入本项目的班组成员需能熟练使用手机APP。</w:t>
      </w:r>
    </w:p>
    <w:p w14:paraId="4AEE383B">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2.中标人需更换项目班组成员的，须向采购人报备并取得采购人书面同意后进行更换，更换的人员的资历、工作经验、资质等不得低于原班组成员。</w:t>
      </w:r>
    </w:p>
    <w:p w14:paraId="211E351A">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3.采购人有权要求中标人撤换工作不能胜任或玩忽职守、工作不负责的人员，更换的人员的资历、工作经验、资质等不得低于原班组成员。</w:t>
      </w:r>
    </w:p>
    <w:p w14:paraId="4F31B4F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以月为时间节点按采购人要求报送各类本项目相关的宣传资料，每月宣传要求以采购人发布的要求为准，中标人必须按发布要求执行到位。若中标人未能按要求完成，采购人根据考核办法对中标人完成情况进行考核扣款。</w:t>
      </w:r>
    </w:p>
    <w:p w14:paraId="50F95E6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5.养护作业人员需统一着装，相关费用由中标人自行承担。</w:t>
      </w:r>
    </w:p>
    <w:p w14:paraId="53C5139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6.中标人在中标公示结束后15天内完成与原责任单位的设施量清点及设施移交工作。</w:t>
      </w:r>
    </w:p>
    <w:p w14:paraId="6D6EF79C">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中标人需在中标后6个月内，将养护区域内的箱变、开关箱、亮灯楼宇准确标注于电子版地图上。标注时应采用差异化图标清晰区分各类设施，并确保使用高清版地图，以全面、直观地呈现楼宇及设施的空间分布与整体状况 ，实现对养护区域的可视化高效管理。</w:t>
      </w:r>
    </w:p>
    <w:p w14:paraId="76E2D5DA">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8.本合同终止时，须向采购人移交全部档案资料。</w:t>
      </w:r>
    </w:p>
    <w:p w14:paraId="2DF31F5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highlight w:val="none"/>
        </w:rPr>
      </w:pPr>
      <w:r>
        <w:rPr>
          <w:rFonts w:hint="eastAsia" w:ascii="仿宋" w:hAnsi="仿宋" w:eastAsia="仿宋" w:cs="仿宋"/>
          <w:color w:val="auto"/>
          <w:sz w:val="24"/>
          <w:highlight w:val="none"/>
          <w:lang w:val="en-US" w:eastAsia="zh-CN"/>
        </w:rPr>
        <w:t>9.养护单位落实场地和人员，做好养护范围内因各种原因引起的淘汰老旧灯具保管工作，期限为合同养护期。</w:t>
      </w:r>
    </w:p>
    <w:p w14:paraId="2545BA3C">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.中标人须购买自身员工安全险、火灾险、第三者责任险（保费额度不低于150万元），保单在合同签订之前办理完毕，并作为合同生效的必要条件。</w:t>
      </w:r>
    </w:p>
    <w:p w14:paraId="5D97CFEC">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.采购人与中标人签定安全生产责任书，养护过程中造成的自身及第三方的安全伤亡事故由中标人全权负责并承担全部费用。</w:t>
      </w:r>
    </w:p>
    <w:p w14:paraId="330F9DDD">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val="zh-CN"/>
        </w:rPr>
        <w:t>中标公告发布后7个工作日内，将投标中提供相关人员、车辆等原件由采购代理公司和采购人进行审核。</w:t>
      </w:r>
    </w:p>
    <w:p w14:paraId="3FCCAEC8">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val="zh-CN"/>
        </w:rPr>
        <w:t>.投标人在投标活动中提供任何虚假材料，其投标无效，并上报监管部门。</w:t>
      </w:r>
    </w:p>
    <w:p w14:paraId="12BEDEA3">
      <w:pPr>
        <w:pStyle w:val="2"/>
        <w:keepNext/>
        <w:keepLines/>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2"/>
        <w:rPr>
          <w:rFonts w:hint="default" w:ascii="仿宋" w:hAnsi="仿宋" w:eastAsia="仿宋" w:cs="仿宋"/>
          <w:b/>
          <w:bCs w:val="0"/>
          <w:kern w:val="2"/>
          <w:sz w:val="24"/>
          <w:szCs w:val="24"/>
          <w:highlight w:val="none"/>
          <w:lang w:val="en-US" w:eastAsia="zh-CN" w:bidi="ar-SA"/>
        </w:rPr>
      </w:pPr>
      <w:r>
        <w:rPr>
          <w:rFonts w:hint="eastAsia" w:ascii="仿宋" w:hAnsi="仿宋" w:eastAsia="仿宋" w:cs="仿宋"/>
          <w:color w:val="auto"/>
          <w:sz w:val="24"/>
          <w:highlight w:val="none"/>
          <w:lang w:val="zh-CN"/>
        </w:rPr>
        <w:t>十、清退</w:t>
      </w:r>
    </w:p>
    <w:p w14:paraId="370B43DB">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在服务期限内出现下列情形之一的，可以对中标单位实施清退并追究相关责任：</w:t>
      </w:r>
    </w:p>
    <w:p w14:paraId="5ED2FD5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（1）未按要求履行合同或者合同履行与投标承诺不符，无法完成养护任务的；</w:t>
      </w:r>
    </w:p>
    <w:p w14:paraId="4983956E">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（2）年度考核不合格的；</w:t>
      </w:r>
    </w:p>
    <w:p w14:paraId="26B3909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（3）重大违反国家有关法律法规的；</w:t>
      </w:r>
    </w:p>
    <w:p w14:paraId="4CBD5820">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highlight w:val="none"/>
          <w:lang w:val="en-US" w:eastAsia="zh-CN"/>
        </w:rPr>
      </w:pPr>
      <w:r>
        <w:rPr>
          <w:rFonts w:hint="eastAsia" w:ascii="仿宋" w:hAnsi="仿宋" w:eastAsia="仿宋" w:cs="仿宋"/>
          <w:color w:val="auto"/>
          <w:sz w:val="24"/>
          <w:highlight w:val="none"/>
          <w:lang w:val="zh-CN"/>
        </w:rPr>
        <w:t>（4）发生严重安全事故的（由安全管理部门认定）。</w:t>
      </w:r>
    </w:p>
    <w:p w14:paraId="0BD4EB40">
      <w:pPr>
        <w:pStyle w:val="4"/>
        <w:spacing w:before="120" w:after="120" w:line="360" w:lineRule="auto"/>
        <w:rPr>
          <w:rFonts w:hint="eastAsia" w:ascii="仿宋" w:hAnsi="仿宋" w:eastAsia="仿宋" w:cs="仿宋"/>
          <w:b/>
          <w:bCs/>
          <w:color w:val="auto"/>
          <w:sz w:val="24"/>
          <w:szCs w:val="24"/>
          <w:highlight w:val="none"/>
          <w:lang w:val="en-US" w:eastAsia="zh-CN"/>
        </w:rPr>
      </w:pPr>
      <w:bookmarkStart w:id="79" w:name="_Toc28526"/>
      <w:bookmarkStart w:id="80" w:name="_Toc18189"/>
      <w:bookmarkStart w:id="81" w:name="_Toc23167"/>
      <w:r>
        <w:rPr>
          <w:rFonts w:hint="eastAsia" w:ascii="仿宋" w:hAnsi="仿宋" w:eastAsia="仿宋" w:cs="仿宋"/>
          <w:b/>
          <w:bCs/>
          <w:color w:val="auto"/>
          <w:sz w:val="24"/>
          <w:szCs w:val="24"/>
          <w:highlight w:val="none"/>
          <w:lang w:val="en-US" w:eastAsia="zh-CN"/>
        </w:rPr>
        <w:t>三、商务要求</w:t>
      </w:r>
      <w:bookmarkEnd w:id="79"/>
      <w:bookmarkEnd w:id="80"/>
      <w:bookmarkEnd w:id="81"/>
    </w:p>
    <w:p w14:paraId="029561E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14:paraId="70823D90">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color w:val="auto"/>
          <w:sz w:val="24"/>
          <w:highlight w:val="none"/>
          <w:lang w:val="en-US" w:eastAsia="zh-CN"/>
        </w:rPr>
        <w:t>1.</w:t>
      </w:r>
      <w:r>
        <w:rPr>
          <w:rFonts w:hint="eastAsia" w:ascii="仿宋" w:hAnsi="仿宋" w:eastAsia="仿宋" w:cs="仿宋"/>
          <w:sz w:val="24"/>
          <w:szCs w:val="24"/>
          <w:highlight w:val="none"/>
        </w:rPr>
        <w:t>本</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eastAsia="zh-CN"/>
        </w:rPr>
        <w:t>分为质保期报价（</w:t>
      </w:r>
      <w:r>
        <w:rPr>
          <w:rFonts w:hint="eastAsia" w:ascii="仿宋" w:hAnsi="仿宋" w:eastAsia="仿宋" w:cs="仿宋"/>
          <w:sz w:val="24"/>
          <w:szCs w:val="24"/>
          <w:highlight w:val="none"/>
          <w:lang w:val="en-US" w:eastAsia="zh-CN"/>
        </w:rPr>
        <w:t>A</w:t>
      </w:r>
      <w:r>
        <w:rPr>
          <w:rFonts w:hint="eastAsia" w:ascii="仿宋" w:hAnsi="仿宋" w:eastAsia="仿宋" w:cs="仿宋"/>
          <w:sz w:val="24"/>
          <w:szCs w:val="24"/>
          <w:highlight w:val="none"/>
          <w:lang w:eastAsia="zh-CN"/>
        </w:rPr>
        <w:t>）和正常养护期报价（</w:t>
      </w: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lang w:eastAsia="zh-CN"/>
        </w:rPr>
        <w:t>）两部分，</w:t>
      </w:r>
      <w:r>
        <w:rPr>
          <w:rFonts w:hint="eastAsia" w:ascii="仿宋" w:hAnsi="仿宋" w:eastAsia="仿宋" w:cs="仿宋"/>
          <w:snapToGrid/>
          <w:kern w:val="2"/>
          <w:sz w:val="24"/>
          <w:szCs w:val="24"/>
          <w:highlight w:val="none"/>
          <w:lang w:val="en-US" w:eastAsia="zh-CN" w:bidi="ar-SA"/>
        </w:rPr>
        <w:t>质保期和正常养护期的内容分别进行报价。</w:t>
      </w:r>
    </w:p>
    <w:p w14:paraId="4A2FDDBE">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仿宋" w:hAnsi="仿宋" w:eastAsia="仿宋" w:cs="仿宋"/>
          <w:color w:val="auto"/>
          <w:sz w:val="24"/>
          <w:highlight w:val="none"/>
          <w:lang w:val="en-US" w:eastAsia="zh-CN"/>
        </w:rPr>
      </w:pPr>
      <w:r>
        <w:rPr>
          <w:rFonts w:hint="eastAsia" w:ascii="宋体" w:hAnsi="宋体" w:eastAsia="宋体" w:cs="宋体"/>
          <w:highlight w:val="none"/>
        </w:rPr>
        <w:t>▲</w:t>
      </w:r>
      <w:r>
        <w:rPr>
          <w:rFonts w:hint="eastAsia" w:ascii="仿宋" w:hAnsi="仿宋" w:eastAsia="仿宋" w:cs="仿宋"/>
          <w:snapToGrid/>
          <w:kern w:val="2"/>
          <w:sz w:val="24"/>
          <w:szCs w:val="24"/>
          <w:highlight w:val="none"/>
          <w:lang w:val="en-US" w:eastAsia="zh-CN" w:bidi="ar-SA"/>
        </w:rPr>
        <w:t>其中，质保期（</w:t>
      </w:r>
      <w:r>
        <w:rPr>
          <w:rFonts w:hint="eastAsia" w:ascii="仿宋" w:hAnsi="仿宋" w:eastAsia="仿宋" w:cs="仿宋"/>
          <w:snapToGrid/>
          <w:sz w:val="24"/>
          <w:szCs w:val="24"/>
          <w:highlight w:val="none"/>
          <w:lang w:val="en-US" w:eastAsia="zh-CN"/>
        </w:rPr>
        <w:t>前2年</w:t>
      </w:r>
      <w:r>
        <w:rPr>
          <w:rFonts w:hint="eastAsia" w:ascii="仿宋" w:hAnsi="仿宋" w:eastAsia="仿宋" w:cs="仿宋"/>
          <w:snapToGrid/>
          <w:kern w:val="2"/>
          <w:sz w:val="24"/>
          <w:szCs w:val="24"/>
          <w:highlight w:val="none"/>
          <w:lang w:val="en-US" w:eastAsia="zh-CN" w:bidi="ar-SA"/>
        </w:rPr>
        <w:t>）报价方式按年度总价包干报价，采购最高限价为60.49万元/年；正常养护期（第3年）</w:t>
      </w:r>
      <w:r>
        <w:rPr>
          <w:rFonts w:hint="eastAsia" w:ascii="仿宋" w:hAnsi="仿宋" w:eastAsia="仿宋" w:cs="仿宋"/>
          <w:snapToGrid/>
          <w:sz w:val="24"/>
          <w:szCs w:val="24"/>
          <w:highlight w:val="none"/>
          <w:lang w:val="en-US" w:eastAsia="zh-CN"/>
        </w:rPr>
        <w:t>报价方式</w:t>
      </w:r>
      <w:r>
        <w:rPr>
          <w:rFonts w:hint="eastAsia" w:ascii="仿宋" w:hAnsi="仿宋" w:eastAsia="仿宋" w:cs="仿宋"/>
          <w:snapToGrid/>
          <w:sz w:val="24"/>
          <w:szCs w:val="24"/>
          <w:highlight w:val="none"/>
          <w:lang w:val="en-US"/>
        </w:rPr>
        <w:t>为综合单价包干</w:t>
      </w:r>
      <w:r>
        <w:rPr>
          <w:rFonts w:hint="eastAsia" w:ascii="仿宋" w:hAnsi="仿宋" w:eastAsia="仿宋" w:cs="仿宋"/>
          <w:snapToGrid/>
          <w:sz w:val="24"/>
          <w:szCs w:val="24"/>
          <w:highlight w:val="none"/>
          <w:lang w:val="en-US" w:eastAsia="zh-CN"/>
        </w:rPr>
        <w:t>，</w:t>
      </w:r>
      <w:r>
        <w:rPr>
          <w:rFonts w:hint="eastAsia" w:ascii="仿宋" w:hAnsi="仿宋" w:eastAsia="仿宋" w:cs="仿宋"/>
          <w:b w:val="0"/>
          <w:snapToGrid/>
          <w:sz w:val="24"/>
          <w:szCs w:val="24"/>
          <w:highlight w:val="none"/>
          <w:lang w:val="en-US"/>
        </w:rPr>
        <w:t>灯具最高限价为</w:t>
      </w:r>
      <w:r>
        <w:rPr>
          <w:rFonts w:hint="eastAsia" w:ascii="仿宋" w:hAnsi="仿宋" w:eastAsia="仿宋" w:cs="仿宋"/>
          <w:b w:val="0"/>
          <w:snapToGrid/>
          <w:sz w:val="24"/>
          <w:szCs w:val="24"/>
          <w:highlight w:val="none"/>
          <w:lang w:val="en-US" w:eastAsia="zh-CN"/>
        </w:rPr>
        <w:t>52</w:t>
      </w:r>
      <w:r>
        <w:rPr>
          <w:rFonts w:hint="eastAsia" w:ascii="仿宋" w:hAnsi="仿宋" w:eastAsia="仿宋" w:cs="仿宋"/>
          <w:b w:val="0"/>
          <w:snapToGrid/>
          <w:sz w:val="24"/>
          <w:szCs w:val="24"/>
          <w:highlight w:val="none"/>
          <w:lang w:val="en-US"/>
        </w:rPr>
        <w:t>元/盏/年</w:t>
      </w:r>
      <w:r>
        <w:rPr>
          <w:rFonts w:hint="eastAsia" w:ascii="仿宋" w:hAnsi="仿宋" w:eastAsia="仿宋" w:cs="仿宋"/>
          <w:b w:val="0"/>
          <w:snapToGrid/>
          <w:sz w:val="24"/>
          <w:szCs w:val="24"/>
          <w:highlight w:val="none"/>
          <w:lang w:val="en-US" w:eastAsia="zh-CN"/>
        </w:rPr>
        <w:t>。</w:t>
      </w:r>
    </w:p>
    <w:p w14:paraId="2ABAFE4D">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2.报价具体要求如下：</w:t>
      </w:r>
    </w:p>
    <w:p w14:paraId="3566FF3A">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1）质保期内，年度总价包干报价除质量问题由施工单位负责外，另外与正常养护内容一致，包括本项目一个服务年度所需的一切人工、工具、设备、保险、交通、利润、税金（包含须由投标人承担的各种税费）、</w:t>
      </w:r>
      <w:r>
        <w:rPr>
          <w:rFonts w:hint="eastAsia" w:ascii="仿宋" w:hAnsi="仿宋" w:eastAsia="仿宋" w:cs="仿宋"/>
          <w:sz w:val="24"/>
          <w:szCs w:val="24"/>
          <w:highlight w:val="none"/>
        </w:rPr>
        <w:t>设施偷盗风险费用、</w:t>
      </w:r>
      <w:r>
        <w:rPr>
          <w:rFonts w:hint="eastAsia" w:ascii="仿宋" w:hAnsi="仿宋" w:eastAsia="仿宋" w:cs="仿宋"/>
          <w:b w:val="0"/>
          <w:bCs w:val="0"/>
          <w:kern w:val="2"/>
          <w:sz w:val="24"/>
          <w:szCs w:val="24"/>
          <w:highlight w:val="none"/>
          <w:lang w:val="en-US" w:eastAsia="zh-CN" w:bidi="ar-SA"/>
        </w:rPr>
        <w:t>服务器租赁费、宽带租赁费、灯光秀制作费用、电费、</w:t>
      </w:r>
      <w:r>
        <w:rPr>
          <w:rFonts w:hint="eastAsia" w:ascii="仿宋" w:hAnsi="仿宋" w:eastAsia="仿宋" w:cs="仿宋"/>
          <w:snapToGrid/>
          <w:kern w:val="2"/>
          <w:sz w:val="24"/>
          <w:szCs w:val="24"/>
          <w:highlight w:val="none"/>
          <w:lang w:val="en-US" w:eastAsia="zh-CN" w:bidi="ar-SA"/>
        </w:rPr>
        <w:t>其它需投标人承担的费用、本采购文件第三部分采购需求涉及的相关内容及潜在满足采购人监管要求可能涉及的一切费用。</w:t>
      </w:r>
    </w:p>
    <w:p w14:paraId="36B6DE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（2）</w:t>
      </w:r>
      <w:r>
        <w:rPr>
          <w:rFonts w:hint="eastAsia" w:ascii="仿宋" w:hAnsi="仿宋" w:eastAsia="仿宋" w:cs="仿宋"/>
          <w:sz w:val="24"/>
          <w:szCs w:val="24"/>
          <w:highlight w:val="none"/>
        </w:rPr>
        <w:t>无论灯具的规格、形式，质保期内报价均统一按____万元/年的形式进行报价。质保期（前2年）报价方式采用年度总价包干制，采购最高限价为60.49万元/年，该费用涵盖服务器租赁费、宽带租赁费、</w:t>
      </w:r>
      <w:r>
        <w:rPr>
          <w:rFonts w:hint="eastAsia" w:ascii="仿宋" w:hAnsi="仿宋" w:eastAsia="仿宋" w:cs="仿宋"/>
          <w:sz w:val="24"/>
          <w:szCs w:val="24"/>
          <w:highlight w:val="none"/>
          <w:lang w:eastAsia="zh-CN"/>
        </w:rPr>
        <w:t>灯光秀制作</w:t>
      </w:r>
      <w:r>
        <w:rPr>
          <w:rFonts w:hint="eastAsia" w:ascii="仿宋" w:hAnsi="仿宋" w:eastAsia="仿宋" w:cs="仿宋"/>
          <w:sz w:val="24"/>
          <w:szCs w:val="24"/>
          <w:highlight w:val="none"/>
        </w:rPr>
        <w:t>费用及电费（不含从公共箱变接电电费）。</w:t>
      </w:r>
      <w:r>
        <w:rPr>
          <w:rFonts w:hint="eastAsia" w:ascii="仿宋" w:hAnsi="仿宋" w:eastAsia="仿宋" w:cs="仿宋"/>
          <w:b/>
          <w:bCs/>
          <w:sz w:val="24"/>
          <w:szCs w:val="24"/>
          <w:highlight w:val="none"/>
        </w:rPr>
        <w:t>需明确，此最高限价</w:t>
      </w:r>
      <w:r>
        <w:rPr>
          <w:rFonts w:hint="eastAsia" w:ascii="仿宋" w:hAnsi="仿宋" w:eastAsia="仿宋" w:cs="仿宋"/>
          <w:b/>
          <w:bCs/>
          <w:sz w:val="24"/>
          <w:szCs w:val="24"/>
          <w:highlight w:val="none"/>
          <w:lang w:eastAsia="zh-CN"/>
        </w:rPr>
        <w:t>按</w:t>
      </w:r>
      <w:r>
        <w:rPr>
          <w:rFonts w:hint="eastAsia" w:ascii="仿宋" w:hAnsi="仿宋" w:eastAsia="仿宋" w:cs="仿宋"/>
          <w:b/>
          <w:bCs/>
          <w:sz w:val="24"/>
          <w:szCs w:val="24"/>
          <w:highlight w:val="none"/>
        </w:rPr>
        <w:t>测算确定，合同履行期间，无论因前期测算误差、电费波动，还是服务器租赁费、宽带租赁费、</w:t>
      </w:r>
      <w:r>
        <w:rPr>
          <w:rFonts w:hint="eastAsia" w:ascii="仿宋" w:hAnsi="仿宋" w:eastAsia="仿宋" w:cs="仿宋"/>
          <w:b/>
          <w:bCs/>
          <w:sz w:val="24"/>
          <w:szCs w:val="24"/>
          <w:highlight w:val="none"/>
          <w:lang w:eastAsia="zh-CN"/>
        </w:rPr>
        <w:t>灯光秀制作</w:t>
      </w:r>
      <w:r>
        <w:rPr>
          <w:rFonts w:hint="eastAsia" w:ascii="仿宋" w:hAnsi="仿宋" w:eastAsia="仿宋" w:cs="仿宋"/>
          <w:b/>
          <w:bCs/>
          <w:sz w:val="24"/>
          <w:szCs w:val="24"/>
          <w:highlight w:val="none"/>
        </w:rPr>
        <w:t>成本</w:t>
      </w:r>
      <w:r>
        <w:rPr>
          <w:rFonts w:hint="eastAsia" w:ascii="仿宋" w:hAnsi="仿宋" w:eastAsia="仿宋" w:cs="仿宋"/>
          <w:b/>
          <w:bCs/>
          <w:sz w:val="24"/>
          <w:szCs w:val="24"/>
          <w:highlight w:val="none"/>
          <w:lang w:eastAsia="zh-CN"/>
        </w:rPr>
        <w:t>、亮灯时长</w:t>
      </w:r>
      <w:r>
        <w:rPr>
          <w:rFonts w:hint="eastAsia" w:ascii="仿宋" w:hAnsi="仿宋" w:eastAsia="仿宋" w:cs="仿宋"/>
          <w:b/>
          <w:bCs/>
          <w:sz w:val="24"/>
          <w:szCs w:val="24"/>
          <w:highlight w:val="none"/>
        </w:rPr>
        <w:t>等任何因素变动，均不予调整。投标人报价时须充分评估并承担各类市场风险，中标后将严格按中标价执行，不得以任何理由要求变更质保期</w:t>
      </w:r>
      <w:r>
        <w:rPr>
          <w:rFonts w:hint="eastAsia" w:ascii="仿宋" w:hAnsi="仿宋" w:eastAsia="仿宋" w:cs="仿宋"/>
          <w:b/>
          <w:bCs/>
          <w:sz w:val="24"/>
          <w:szCs w:val="24"/>
          <w:highlight w:val="none"/>
          <w:lang w:eastAsia="zh-CN"/>
        </w:rPr>
        <w:t>合同价格</w:t>
      </w:r>
      <w:r>
        <w:rPr>
          <w:rFonts w:hint="eastAsia" w:ascii="仿宋" w:hAnsi="仿宋" w:eastAsia="仿宋" w:cs="仿宋"/>
          <w:b/>
          <w:bCs/>
          <w:sz w:val="24"/>
          <w:szCs w:val="24"/>
          <w:highlight w:val="none"/>
        </w:rPr>
        <w:t>。</w:t>
      </w:r>
    </w:p>
    <w:p w14:paraId="1C8E53C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）无论灯具的规格、形式，</w:t>
      </w:r>
      <w:r>
        <w:rPr>
          <w:rFonts w:hint="eastAsia" w:ascii="仿宋" w:hAnsi="仿宋" w:eastAsia="仿宋" w:cs="仿宋"/>
          <w:snapToGrid/>
          <w:kern w:val="2"/>
          <w:sz w:val="24"/>
          <w:szCs w:val="24"/>
          <w:highlight w:val="none"/>
          <w:lang w:val="en-US" w:eastAsia="zh-CN" w:bidi="ar-SA"/>
        </w:rPr>
        <w:t>正常养护期（第3年）</w:t>
      </w:r>
      <w:r>
        <w:rPr>
          <w:rFonts w:hint="eastAsia" w:ascii="仿宋" w:hAnsi="仿宋" w:eastAsia="仿宋" w:cs="仿宋"/>
          <w:sz w:val="24"/>
          <w:szCs w:val="24"/>
          <w:highlight w:val="none"/>
        </w:rPr>
        <w:t>均统一按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元/盏/年的形式进行报价。总价=∑综合单价*</w:t>
      </w:r>
      <w:r>
        <w:rPr>
          <w:rFonts w:hint="eastAsia" w:ascii="仿宋" w:hAnsi="仿宋" w:eastAsia="仿宋" w:cs="仿宋"/>
          <w:color w:val="auto"/>
          <w:sz w:val="24"/>
          <w:highlight w:val="none"/>
        </w:rPr>
        <w:t>73138</w:t>
      </w:r>
      <w:r>
        <w:rPr>
          <w:rFonts w:hint="eastAsia" w:ascii="仿宋" w:hAnsi="仿宋" w:eastAsia="仿宋" w:cs="仿宋"/>
          <w:sz w:val="24"/>
          <w:szCs w:val="24"/>
          <w:highlight w:val="none"/>
        </w:rPr>
        <w:t>，数量详见养护清单。</w:t>
      </w:r>
      <w:r>
        <w:rPr>
          <w:rFonts w:hint="eastAsia" w:ascii="仿宋" w:hAnsi="仿宋" w:eastAsia="仿宋" w:cs="仿宋"/>
          <w:sz w:val="24"/>
          <w:szCs w:val="24"/>
          <w:highlight w:val="none"/>
          <w:lang w:eastAsia="zh-CN"/>
        </w:rPr>
        <w:t>因项目的预算为总价形式，故最终报价方式虽为单价形式，但要根据灯具数量测算出总价。</w:t>
      </w:r>
      <w:r>
        <w:rPr>
          <w:rFonts w:hint="eastAsia" w:ascii="仿宋" w:hAnsi="仿宋" w:eastAsia="仿宋" w:cs="仿宋"/>
          <w:b/>
          <w:sz w:val="24"/>
          <w:szCs w:val="24"/>
          <w:highlight w:val="none"/>
          <w:lang w:eastAsia="zh-CN"/>
        </w:rPr>
        <w:t>说明：</w:t>
      </w:r>
      <w:r>
        <w:rPr>
          <w:rFonts w:hint="eastAsia" w:ascii="仿宋" w:hAnsi="仿宋" w:eastAsia="仿宋" w:cs="仿宋"/>
          <w:b/>
          <w:sz w:val="24"/>
          <w:szCs w:val="24"/>
          <w:highlight w:val="none"/>
        </w:rPr>
        <w:t>▲灯具最高限价为</w:t>
      </w:r>
      <w:r>
        <w:rPr>
          <w:rFonts w:hint="eastAsia" w:ascii="仿宋" w:hAnsi="仿宋" w:eastAsia="仿宋" w:cs="仿宋"/>
          <w:b/>
          <w:sz w:val="24"/>
          <w:szCs w:val="24"/>
          <w:highlight w:val="none"/>
          <w:lang w:val="en-US" w:eastAsia="zh-CN"/>
        </w:rPr>
        <w:t>52</w:t>
      </w:r>
      <w:r>
        <w:rPr>
          <w:rFonts w:hint="eastAsia" w:ascii="仿宋" w:hAnsi="仿宋" w:eastAsia="仿宋" w:cs="仿宋"/>
          <w:b/>
          <w:sz w:val="24"/>
          <w:szCs w:val="24"/>
          <w:highlight w:val="none"/>
        </w:rPr>
        <w:t>元/盏/年。</w:t>
      </w:r>
      <w:r>
        <w:rPr>
          <w:rFonts w:hint="eastAsia" w:ascii="仿宋" w:hAnsi="仿宋" w:eastAsia="仿宋" w:cs="仿宋"/>
          <w:sz w:val="24"/>
          <w:szCs w:val="24"/>
          <w:highlight w:val="none"/>
        </w:rPr>
        <w:t>每盏灯除灯具自身外，还包括其附属设施，且无论灯具的品牌、规格、样式，均统一按综合单价的形式报价、支付款项。因此建议投标人自行踏勘现场，掌握养护灯具的具体信息。</w:t>
      </w:r>
    </w:p>
    <w:p w14:paraId="774673A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综合单价应包括本项目一个服务年度所需的一切人工、工具、设备、保险、交通、利润、税金（包含须由投标人承担的各种税费）、设施偷盗风险费用、</w:t>
      </w:r>
      <w:r>
        <w:rPr>
          <w:rFonts w:hint="eastAsia" w:ascii="仿宋" w:hAnsi="仿宋" w:eastAsia="仿宋" w:cs="仿宋"/>
          <w:b w:val="0"/>
          <w:bCs w:val="0"/>
          <w:kern w:val="2"/>
          <w:sz w:val="24"/>
          <w:szCs w:val="24"/>
          <w:highlight w:val="none"/>
          <w:lang w:val="en-US" w:eastAsia="zh-CN" w:bidi="ar-SA"/>
        </w:rPr>
        <w:t>服务器租赁费、宽带租赁费、灯光秀制作费用、电费、</w:t>
      </w:r>
      <w:r>
        <w:rPr>
          <w:rFonts w:hint="eastAsia" w:ascii="仿宋" w:hAnsi="仿宋" w:eastAsia="仿宋" w:cs="仿宋"/>
          <w:sz w:val="24"/>
          <w:szCs w:val="24"/>
          <w:highlight w:val="none"/>
        </w:rPr>
        <w:t>其它需投标人承担的费用</w:t>
      </w:r>
      <w:r>
        <w:rPr>
          <w:rFonts w:hint="eastAsia" w:ascii="仿宋" w:hAnsi="仿宋" w:eastAsia="仿宋" w:cs="仿宋"/>
          <w:sz w:val="24"/>
          <w:szCs w:val="24"/>
          <w:highlight w:val="none"/>
          <w:lang w:eastAsia="zh-CN"/>
        </w:rPr>
        <w:t>、本采购文件第三部分采购需求涉及的相关内容</w:t>
      </w:r>
      <w:r>
        <w:rPr>
          <w:rFonts w:hint="eastAsia" w:ascii="仿宋" w:hAnsi="仿宋" w:eastAsia="仿宋" w:cs="仿宋"/>
          <w:sz w:val="24"/>
          <w:szCs w:val="24"/>
          <w:highlight w:val="none"/>
        </w:rPr>
        <w:t>及潜在满足采购人监管要求可能涉及的一切费用。</w:t>
      </w:r>
    </w:p>
    <w:p w14:paraId="03A5BD6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4）本项目招标灯具养护设施量为暂定数量，正常养护期养护费用结算最终按现场实际灯具数量和养护期间实际增（减）数量为准，实际增（减）情况以采购人书面通知为准。</w:t>
      </w:r>
    </w:p>
    <w:p w14:paraId="2A4EE55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SA"/>
        </w:rPr>
        <w:t>投标报价分按上述质保期和正常养护期总价进行计取。</w:t>
      </w:r>
      <w:r>
        <w:rPr>
          <w:rFonts w:hint="eastAsia" w:ascii="仿宋" w:hAnsi="仿宋" w:eastAsia="仿宋" w:cs="仿宋"/>
          <w:b/>
          <w:bCs/>
          <w:snapToGrid w:val="0"/>
          <w:color w:val="auto"/>
          <w:kern w:val="0"/>
          <w:sz w:val="24"/>
          <w:highlight w:val="none"/>
        </w:rPr>
        <w:t>本价格包含的养护内容为招标文件和合同中要求的</w:t>
      </w:r>
      <w:r>
        <w:rPr>
          <w:rFonts w:hint="eastAsia" w:ascii="仿宋" w:hAnsi="仿宋" w:eastAsia="仿宋" w:cs="仿宋"/>
          <w:b/>
          <w:bCs/>
          <w:snapToGrid w:val="0"/>
          <w:color w:val="auto"/>
          <w:kern w:val="0"/>
          <w:sz w:val="24"/>
          <w:highlight w:val="none"/>
          <w:lang w:eastAsia="zh-CN"/>
        </w:rPr>
        <w:t>本项目</w:t>
      </w:r>
      <w:r>
        <w:rPr>
          <w:rFonts w:hint="eastAsia" w:ascii="仿宋" w:hAnsi="仿宋" w:eastAsia="仿宋" w:cs="仿宋"/>
          <w:b/>
          <w:bCs/>
          <w:snapToGrid w:val="0"/>
          <w:color w:val="auto"/>
          <w:kern w:val="0"/>
          <w:sz w:val="24"/>
          <w:highlight w:val="none"/>
        </w:rPr>
        <w:t>养护所有内容，</w:t>
      </w:r>
      <w:r>
        <w:rPr>
          <w:rFonts w:hint="eastAsia" w:ascii="仿宋" w:hAnsi="仿宋" w:eastAsia="仿宋" w:cs="仿宋"/>
          <w:b/>
          <w:bCs/>
          <w:sz w:val="24"/>
          <w:szCs w:val="24"/>
          <w:highlight w:val="none"/>
        </w:rPr>
        <w:t>投标人应认真计算可能发生的各相关费用并计入投标报价内，在项目实施过程中不得要求增加任何费用。</w:t>
      </w:r>
    </w:p>
    <w:p w14:paraId="271F35A3">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本项目涉及投标人的车辆配置，仅作为保障本项目顺利实施的设备。项目实施过程中，相关车辆管理、使用及所涉及的一切费用全部由中标（成交）单位负责</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所需费用自行考虑，含入投标报价中</w:t>
      </w:r>
      <w:r>
        <w:rPr>
          <w:rFonts w:hint="eastAsia" w:ascii="仿宋" w:hAnsi="仿宋" w:eastAsia="仿宋" w:cs="仿宋"/>
          <w:b/>
          <w:bCs/>
          <w:sz w:val="24"/>
          <w:szCs w:val="24"/>
          <w:highlight w:val="none"/>
        </w:rPr>
        <w:t>。</w:t>
      </w:r>
    </w:p>
    <w:p w14:paraId="250A436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2.投标文件中价格全部采用人民币报价。报价应是唯一的，不接受有选择的报价。</w:t>
      </w:r>
    </w:p>
    <w:p w14:paraId="73BE970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3.本项目还包括以下内容，各投标人在报价中同步考虑。</w:t>
      </w:r>
    </w:p>
    <w:p w14:paraId="3F64E9EF">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（1）项目灯具数量较多，且绝大多数为RGB变色灯，养护工艺较复杂，请投标人自行踏勘现场并结合杭州市养护标准，充分考虑养护成本后报价。</w:t>
      </w:r>
    </w:p>
    <w:p w14:paraId="4808FF5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（2）项目部分楼宇因建筑构造问题，养护作业需使用脚手架等设施设备，相关费用应同步考虑并列入投标总报价中。</w:t>
      </w:r>
    </w:p>
    <w:p w14:paraId="4988C50D">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合同期内，无论质保期还是正常养护期，除本项目从公共箱变接电的设施量外（从公共箱变接电的具体设施量情况为19904盏，最终以现场实际为准），其他均由中标人承担本项目景观亮灯等电费，养护期间由中标人按照实际发生的相关电费及时支付各业主单位，电费支付时间为从上一轮责任单位末次抄表之日起算至本轮养护期末次抄表后止。</w:t>
      </w:r>
    </w:p>
    <w:p w14:paraId="0A0AA9A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项目采用现状移交方式，部分灯具存在破损、安装位置不当、线路故障、配电箱问题、固定不牢固等情况。请各投标人务必自行前往项目现场进行踏勘，全面了解现场实际状况。需充分考虑现有问题所涉及的维修费用、养护成本等，并据此进行合理报价。因未进行现场踏勘或对现场情况了解不充分导致的报价失误，由投标人自行承担相关责任。</w:t>
      </w:r>
    </w:p>
    <w:p w14:paraId="233589E3">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养护期内除不可抗力的自然环境因素外，本采购文件第三部分采购需求涉及的所有内容产生的各种费用（材料、运输、装卸、堆放、景观灯电费、服务器租赁费、宽带租赁费、灯光秀制作费、电费、安全等级保护等网络安全工作相关费用、场地租用费、因人为、偷盗等原因导致的损失、有关规费、税费、风险费用等）均由投标人负责，应全面考虑并列入投标总报价中。</w:t>
      </w:r>
    </w:p>
    <w:p w14:paraId="79E8C3B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投标人报价时还须充分评估并全面考量质保期和正常养护期的市场价格波动、政策变化等各类潜在风险。投标报价应充分考虑上述全部因素，确保报价完整性、合理性与风险自担原则。</w:t>
      </w:r>
    </w:p>
    <w:p w14:paraId="3D94457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4.投标人报价低于项目预算50%的，即</w:t>
      </w:r>
      <w:r>
        <w:rPr>
          <w:rFonts w:hint="eastAsia" w:ascii="仿宋" w:hAnsi="仿宋" w:eastAsia="仿宋" w:cs="仿宋"/>
          <w:sz w:val="24"/>
          <w:szCs w:val="24"/>
          <w:highlight w:val="none"/>
          <w:lang w:eastAsia="zh-CN"/>
        </w:rPr>
        <w:t>质保期报价（</w:t>
      </w:r>
      <w:r>
        <w:rPr>
          <w:rFonts w:hint="eastAsia" w:ascii="仿宋" w:hAnsi="仿宋" w:eastAsia="仿宋" w:cs="仿宋"/>
          <w:sz w:val="24"/>
          <w:szCs w:val="24"/>
          <w:highlight w:val="none"/>
          <w:lang w:val="en-US" w:eastAsia="zh-CN"/>
        </w:rPr>
        <w:t>A</w:t>
      </w:r>
      <w:r>
        <w:rPr>
          <w:rFonts w:hint="eastAsia" w:ascii="仿宋" w:hAnsi="仿宋" w:eastAsia="仿宋" w:cs="仿宋"/>
          <w:sz w:val="24"/>
          <w:szCs w:val="24"/>
          <w:highlight w:val="none"/>
          <w:lang w:eastAsia="zh-CN"/>
        </w:rPr>
        <w:t>）</w:t>
      </w:r>
      <w:r>
        <w:rPr>
          <w:rFonts w:hint="eastAsia" w:ascii="仿宋" w:hAnsi="仿宋" w:eastAsia="仿宋" w:cs="仿宋"/>
          <w:color w:val="auto"/>
          <w:sz w:val="24"/>
          <w:highlight w:val="none"/>
          <w:lang w:val="en-US" w:eastAsia="zh-CN"/>
        </w:rPr>
        <w:t>低于（含）60.49万元/年，或者</w:t>
      </w:r>
      <w:r>
        <w:rPr>
          <w:rFonts w:hint="eastAsia" w:ascii="仿宋" w:hAnsi="仿宋" w:eastAsia="仿宋" w:cs="仿宋"/>
          <w:sz w:val="24"/>
          <w:szCs w:val="24"/>
          <w:highlight w:val="none"/>
          <w:lang w:eastAsia="zh-CN"/>
        </w:rPr>
        <w:t>正常养护期报价（</w:t>
      </w: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综合单价</w:t>
      </w:r>
      <w:r>
        <w:rPr>
          <w:rFonts w:hint="eastAsia" w:ascii="仿宋" w:hAnsi="仿宋" w:eastAsia="仿宋" w:cs="仿宋"/>
          <w:color w:val="auto"/>
          <w:sz w:val="24"/>
          <w:highlight w:val="none"/>
          <w:lang w:val="en-US" w:eastAsia="zh-CN"/>
        </w:rPr>
        <w:t>低于26</w:t>
      </w:r>
      <w:r>
        <w:rPr>
          <w:rFonts w:hint="eastAsia" w:ascii="仿宋" w:hAnsi="仿宋" w:eastAsia="仿宋" w:cs="仿宋"/>
          <w:b w:val="0"/>
          <w:bCs w:val="0"/>
          <w:sz w:val="24"/>
          <w:szCs w:val="24"/>
          <w:highlight w:val="none"/>
        </w:rPr>
        <w:t>元/盏/年</w:t>
      </w:r>
      <w:r>
        <w:rPr>
          <w:rFonts w:hint="eastAsia" w:ascii="仿宋" w:hAnsi="仿宋" w:eastAsia="仿宋" w:cs="仿宋"/>
          <w:b w:val="0"/>
          <w:bCs w:val="0"/>
          <w:sz w:val="24"/>
          <w:szCs w:val="24"/>
          <w:highlight w:val="none"/>
          <w:lang w:val="en-US" w:eastAsia="zh-CN"/>
        </w:rPr>
        <w:t>的</w:t>
      </w:r>
      <w:r>
        <w:rPr>
          <w:rFonts w:hint="eastAsia" w:ascii="仿宋" w:hAnsi="仿宋" w:eastAsia="仿宋" w:cs="仿宋"/>
          <w:color w:val="auto"/>
          <w:sz w:val="24"/>
          <w:highlight w:val="none"/>
          <w:lang w:val="en-US" w:eastAsia="zh-CN"/>
        </w:rPr>
        <w:t>，应当在报价文件中详细阐述不影响产品/服务质量或者诚信履约的具体原因。</w:t>
      </w:r>
    </w:p>
    <w:p w14:paraId="080933FD">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）履约担保</w:t>
      </w:r>
    </w:p>
    <w:p w14:paraId="173958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合同生效后15日内，供应商向采购人缴纳中标价的1%履约保证金。供应商应当以支票、汇票、本票或者金融机构、担保机构出具的保函等非现金形式提交，鼓励和支持供应商以银行、保险公司出具的保函形式提供履约保证金。</w:t>
      </w:r>
    </w:p>
    <w:p w14:paraId="29A3D2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ighlight w:val="none"/>
          <w:lang w:val="en-US" w:eastAsia="zh-CN"/>
        </w:rPr>
      </w:pPr>
      <w:r>
        <w:rPr>
          <w:rFonts w:hint="eastAsia" w:ascii="仿宋" w:hAnsi="仿宋" w:eastAsia="仿宋" w:cs="仿宋"/>
          <w:bCs/>
          <w:color w:val="auto"/>
          <w:sz w:val="24"/>
          <w:szCs w:val="24"/>
          <w:highlight w:val="none"/>
          <w:lang w:val="en-US" w:eastAsia="zh-CN"/>
        </w:rPr>
        <w:t>2.服务期结束，履约保证金按规定无息退回。（服务期内有违约款项的，从应付合同款中扣除）</w:t>
      </w:r>
    </w:p>
    <w:p w14:paraId="4AB97D19">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）合同款支付</w:t>
      </w:r>
    </w:p>
    <w:p w14:paraId="179FB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1.合同签订、承包人递交以银行、保险公司等金融机构出具的预付款保函后，且乙方具备实施条件后5个工作日内，中标人向采购人申请支付当年合同金额50%的预付款；</w:t>
      </w:r>
    </w:p>
    <w:p w14:paraId="6482C2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（①在签订合同时，中标人明确表示无需预付款或者主动要求降低预付款比例的，可不适用预付款相关规定；</w:t>
      </w:r>
    </w:p>
    <w:p w14:paraId="61DA0F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②签订合同时，要求支付预付款的，中标人提交等额预付款保函；预付款保函在相应金额合同款支付完毕后退回；</w:t>
      </w:r>
    </w:p>
    <w:p w14:paraId="64C09B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③采购人支付了预付款的，预付款可抵扣合同款）。</w:t>
      </w:r>
    </w:p>
    <w:p w14:paraId="46DF8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养护费用按季度支付，每季度期满后的第一个月支付季度合同金额的80%，一年合同期满后的第一个季度根据养护考核扣款情况、设施量核增（减）情况结算尾款。同时预付款从第一个季度养护费中进行扣除，若第一季度养护费不足，则顺延至第二、三季度进行扣除。整体服务期为3年，合同采取“2+1”模式，即</w:t>
      </w:r>
      <w:r>
        <w:rPr>
          <w:rFonts w:hint="eastAsia" w:ascii="仿宋" w:hAnsi="仿宋" w:eastAsia="仿宋" w:cs="仿宋"/>
          <w:bCs/>
          <w:color w:val="auto"/>
          <w:sz w:val="24"/>
          <w:szCs w:val="24"/>
          <w:highlight w:val="none"/>
          <w:u w:val="none"/>
          <w:lang w:val="en-US" w:eastAsia="zh-CN"/>
        </w:rPr>
        <w:t>第一轮合同为2年，该合同期内每年年度考核评定为优秀，方可签订第3年合同。第二年、第三年付款方式同第</w:t>
      </w:r>
      <w:r>
        <w:rPr>
          <w:rFonts w:hint="eastAsia" w:ascii="仿宋" w:hAnsi="仿宋" w:eastAsia="仿宋" w:cs="仿宋"/>
          <w:bCs/>
          <w:color w:val="auto"/>
          <w:sz w:val="24"/>
          <w:szCs w:val="24"/>
          <w:highlight w:val="none"/>
          <w:lang w:val="en-US" w:eastAsia="zh-CN"/>
        </w:rPr>
        <w:t>一年。具体支付时间要以财政落实为准。</w:t>
      </w:r>
    </w:p>
    <w:p w14:paraId="7A0B9D67">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（四）养护经费说明</w:t>
      </w:r>
    </w:p>
    <w:p w14:paraId="248AECA8">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1.遇特殊情况停运，根据停运数量及日期扣除（按照中标单价）停运部分维护费，但养护单位不得减少巡检次数和养护质量。停运天数占规定年总亮灯天数的比例，再结合中标单价和停运设施量予以明确。</w:t>
      </w:r>
    </w:p>
    <w:p w14:paraId="0D6C4C4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2.本项目招标灯具养护设施量为暂定数量，养护费用结算最终按现场实际灯具数量和养护期间实际增（减）数量为准，实际增（减）情况以采购人书面通知为准。</w:t>
      </w:r>
    </w:p>
    <w:p w14:paraId="02C1E23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合同期内，中标单位根据采购人要求对存在安全隐患的灯具进行拆除，采购人不再单独支付相关费用。</w:t>
      </w:r>
    </w:p>
    <w:p w14:paraId="1614BCAD">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合同期内，若亮灯设施减少或增加的，由采购人书面告知并按实际养护量予以结算，具体结算时间要以财政落实为准。</w:t>
      </w:r>
    </w:p>
    <w:p w14:paraId="1EF7BBB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3.每盏灯除灯具自身外，还包括其附属设施。</w:t>
      </w:r>
    </w:p>
    <w:p w14:paraId="5ED7B827">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日常维护，主要包括光源、灯具及配件、箱变、电器、杆件、标识牌、配电设施、灯具外壳、支架、电缆（含电缆管道）、开关控制箱、工作井、配电室、低压配电柜、控制器、穿线管、配电箱、线卡、绳索、螺栓、电源适配器、防雷装置、防水密封材料等涉及景观灯及其附属设施设备所有内容进行日常维修、检测、更换、保洁、保养、油漆、设施巡查、防盗（看护、处理）等维护工作；对项目进行日常巡查、安全检查、防盗管理等工作；防汛抗台、抗雪防冻、临时或重大任务等应急保障工作。</w:t>
      </w:r>
    </w:p>
    <w:p w14:paraId="59FE510F">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5.本项目涉及的区属箱变（范围为围栏区域内）及附属设施的日常巡查、保洁、维护、维修、外接电管理、抄表、费用追缴等涉及箱变的所有工作，</w:t>
      </w:r>
      <w:r>
        <w:rPr>
          <w:rFonts w:hint="eastAsia" w:ascii="仿宋" w:hAnsi="仿宋" w:eastAsia="仿宋" w:cs="仿宋"/>
          <w:color w:val="auto"/>
          <w:kern w:val="2"/>
          <w:sz w:val="24"/>
          <w:szCs w:val="24"/>
          <w:highlight w:val="none"/>
        </w:rPr>
        <w:t>在养护期内</w:t>
      </w:r>
      <w:r>
        <w:rPr>
          <w:rFonts w:hint="eastAsia" w:ascii="仿宋" w:hAnsi="仿宋" w:eastAsia="仿宋" w:cs="仿宋"/>
          <w:color w:val="auto"/>
          <w:kern w:val="2"/>
          <w:sz w:val="24"/>
          <w:szCs w:val="24"/>
          <w:highlight w:val="none"/>
          <w:lang w:eastAsia="zh-CN"/>
        </w:rPr>
        <w:t>（第三年正常养护期）</w:t>
      </w:r>
      <w:r>
        <w:rPr>
          <w:rFonts w:hint="eastAsia" w:ascii="仿宋" w:hAnsi="仿宋" w:eastAsia="仿宋" w:cs="仿宋"/>
          <w:color w:val="auto"/>
          <w:kern w:val="2"/>
          <w:sz w:val="24"/>
          <w:szCs w:val="24"/>
          <w:highlight w:val="none"/>
        </w:rPr>
        <w:t>维修费累计在</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万元以内（以电力设施设备的信息价或定额计算为准）由</w:t>
      </w:r>
      <w:r>
        <w:rPr>
          <w:rFonts w:hint="eastAsia" w:ascii="仿宋" w:hAnsi="仿宋" w:eastAsia="仿宋" w:cs="仿宋"/>
          <w:color w:val="auto"/>
          <w:kern w:val="2"/>
          <w:sz w:val="24"/>
          <w:szCs w:val="24"/>
          <w:highlight w:val="none"/>
          <w:lang w:eastAsia="zh-CN"/>
        </w:rPr>
        <w:t>中标人</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eastAsia="zh-CN"/>
        </w:rPr>
        <w:t>采购人</w:t>
      </w:r>
      <w:r>
        <w:rPr>
          <w:rFonts w:hint="eastAsia" w:ascii="仿宋" w:hAnsi="仿宋" w:eastAsia="仿宋" w:cs="仿宋"/>
          <w:color w:val="auto"/>
          <w:kern w:val="2"/>
          <w:sz w:val="24"/>
          <w:szCs w:val="24"/>
          <w:highlight w:val="none"/>
        </w:rPr>
        <w:t>不再另行支付；</w:t>
      </w:r>
      <w:r>
        <w:rPr>
          <w:rFonts w:hint="eastAsia" w:ascii="仿宋" w:hAnsi="仿宋" w:eastAsia="仿宋" w:cs="仿宋"/>
          <w:color w:val="auto"/>
          <w:kern w:val="2"/>
          <w:sz w:val="24"/>
          <w:szCs w:val="24"/>
          <w:highlight w:val="none"/>
          <w:lang w:eastAsia="zh-CN"/>
        </w:rPr>
        <w:t>超过</w:t>
      </w:r>
      <w:r>
        <w:rPr>
          <w:rFonts w:hint="eastAsia" w:ascii="仿宋" w:hAnsi="仿宋" w:eastAsia="仿宋" w:cs="仿宋"/>
          <w:color w:val="auto"/>
          <w:kern w:val="2"/>
          <w:sz w:val="24"/>
          <w:szCs w:val="24"/>
          <w:highlight w:val="none"/>
          <w:lang w:val="en-US" w:eastAsia="zh-CN"/>
        </w:rPr>
        <w:t>20万元的，双方另协商解决。</w:t>
      </w:r>
    </w:p>
    <w:p w14:paraId="728AA15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6.服务器租赁费、宽带租赁费、灯光秀制作费用、安全等级保护等网络安全工作相关费用及各楼宇亮灯电费（不含从公共箱变接电电费）等涉及本项目亮灯养护的相关费用。</w:t>
      </w:r>
    </w:p>
    <w:p w14:paraId="44EE2BFE">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做好项目媒体墙灯光秀巡查检查、日常运行管理，服务器租赁、宽带租赁、灯光秀制作等相关工作，并做好上述相应设施设备的运行、维护、维修、更新等工作，制定突发事件应急处置预案，确保媒体墙灯光秀安全正常运行。其中灯光秀灯光秀制作基本要求每年不少于3条，灯光秀视频时长根据实际情况而定，以甲方确认为主，因各级部门另有需求，根据书面任务要求，按实制作，每年度不超过10条，相关费用不予以增加。</w:t>
      </w:r>
    </w:p>
    <w:p w14:paraId="79B36FC5">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lang w:val="en-US" w:eastAsia="zh-CN"/>
        </w:rPr>
        <w:t>8.整个合同期内，</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lang w:val="en-US"/>
        </w:rPr>
        <w:t>应根据实际需要处置管辖范围内的照明设施投诉案件（增亮、微改造）或亮灯景观节点打造，</w:t>
      </w:r>
      <w:r>
        <w:rPr>
          <w:rFonts w:hint="eastAsia" w:ascii="仿宋" w:hAnsi="仿宋" w:eastAsia="仿宋" w:cs="仿宋"/>
          <w:color w:val="auto"/>
          <w:kern w:val="2"/>
          <w:sz w:val="24"/>
          <w:szCs w:val="24"/>
          <w:highlight w:val="none"/>
          <w:lang w:val="en-US" w:eastAsia="zh-CN"/>
        </w:rPr>
        <w:t>根据案件投诉情况和节点打造任务相关要求，总费用</w:t>
      </w:r>
      <w:r>
        <w:rPr>
          <w:rFonts w:hint="eastAsia" w:ascii="仿宋" w:hAnsi="仿宋" w:eastAsia="仿宋" w:cs="仿宋"/>
          <w:color w:val="auto"/>
          <w:kern w:val="2"/>
          <w:sz w:val="24"/>
          <w:szCs w:val="24"/>
          <w:highlight w:val="none"/>
          <w:lang w:val="en-US"/>
        </w:rPr>
        <w:t>不超过</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lang w:val="en-US"/>
        </w:rPr>
        <w:t>万元，该费用由</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lang w:val="en-US"/>
        </w:rPr>
        <w:t>承担，</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lang w:val="en-US"/>
        </w:rPr>
        <w:t>不再另行支付。</w:t>
      </w:r>
    </w:p>
    <w:p w14:paraId="5196B358">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9.中标单位第一年合同期内做好养护区域内所属变压器护栏内部硬化工作以及安全设施配备（绝缘手套、灭火器等电力部门要求的设施）。</w:t>
      </w:r>
    </w:p>
    <w:p w14:paraId="6438E4D5">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中标单位需在中标后6个月内，将养护区域内的箱变、开关箱、亮灯楼宇准确标注于电子版地图上。标注时应采用差异化图标清晰区分各类设施，并确保使用高清版地图，以全面、直观地呈现楼宇及设施的空间分布与整体状况 ，实现对养护区域的可视化高效管理。</w:t>
      </w:r>
    </w:p>
    <w:p w14:paraId="1E9C7A5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11.本采购文件第三部分采购需求中第二点服务内容要求和范围中涉及的所有内容。</w:t>
      </w:r>
    </w:p>
    <w:p w14:paraId="3507B810">
      <w:pPr>
        <w:pStyle w:val="1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（五）验收</w:t>
      </w:r>
    </w:p>
    <w:p w14:paraId="28693D93">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按照政府采购履约验收相关规定组织对供应商履约的验收，出具验收报告并经验收小组全体成员签字。</w:t>
      </w:r>
    </w:p>
    <w:p w14:paraId="2E4C1BAE">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482A66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验收要求：</w:t>
      </w:r>
    </w:p>
    <w:p w14:paraId="1D4BEFD5">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负责进行验收考核、</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 xml:space="preserve">协助。 </w:t>
      </w:r>
    </w:p>
    <w:p w14:paraId="23027ED5">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提供服务的过程中，</w:t>
      </w:r>
      <w:r>
        <w:rPr>
          <w:rFonts w:hint="eastAsia" w:ascii="仿宋" w:hAnsi="仿宋" w:eastAsia="仿宋" w:cs="仿宋"/>
          <w:color w:val="auto"/>
          <w:sz w:val="24"/>
          <w:highlight w:val="none"/>
          <w:lang w:val="en-US" w:eastAsia="zh-CN"/>
        </w:rPr>
        <w:t>采购人有权</w:t>
      </w:r>
      <w:r>
        <w:rPr>
          <w:rFonts w:hint="eastAsia" w:ascii="仿宋" w:hAnsi="仿宋" w:eastAsia="仿宋" w:cs="仿宋"/>
          <w:color w:val="auto"/>
          <w:sz w:val="24"/>
          <w:highlight w:val="none"/>
        </w:rPr>
        <w:t>不定期对服务内容和质量进行考核，不达要求者，</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 xml:space="preserve">承担一切损失和费用。 </w:t>
      </w:r>
    </w:p>
    <w:p w14:paraId="5139EE0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验收依据：①采购文件确定的技术指标或者服务要求；②投标文件承诺、询标回复；③服务合同、</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制定的考核标准。</w:t>
      </w:r>
    </w:p>
    <w:p w14:paraId="6BF57368">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highlight w:val="none"/>
        </w:rPr>
      </w:pPr>
      <w:r>
        <w:rPr>
          <w:rFonts w:hint="eastAsia" w:ascii="仿宋" w:hAnsi="仿宋" w:eastAsia="仿宋" w:cs="仿宋"/>
          <w:color w:val="auto"/>
          <w:sz w:val="24"/>
          <w:highlight w:val="none"/>
        </w:rPr>
        <w:t>未进行相应约定的，应当符合国家强制性规定、政策要求、安全标准、行业或企业有关标准等。</w:t>
      </w:r>
    </w:p>
    <w:p w14:paraId="3A365536">
      <w:pPr>
        <w:pStyle w:val="4"/>
        <w:spacing w:before="120" w:after="120"/>
        <w:rPr>
          <w:rFonts w:hint="eastAsia" w:ascii="仿宋" w:hAnsi="仿宋" w:eastAsia="仿宋" w:cs="仿宋"/>
          <w:color w:val="auto"/>
          <w:sz w:val="24"/>
          <w:szCs w:val="24"/>
          <w:highlight w:val="none"/>
          <w:lang w:eastAsia="zh-CN"/>
        </w:rPr>
      </w:pPr>
      <w:bookmarkStart w:id="82" w:name="_Toc32149"/>
      <w:bookmarkStart w:id="83" w:name="_Toc28585"/>
      <w:bookmarkStart w:id="84" w:name="_Toc7134"/>
      <w:bookmarkStart w:id="85" w:name="_Toc5959"/>
      <w:r>
        <w:rPr>
          <w:rFonts w:hint="eastAsia" w:ascii="仿宋" w:hAnsi="仿宋" w:eastAsia="仿宋" w:cs="仿宋"/>
          <w:color w:val="auto"/>
          <w:sz w:val="24"/>
          <w:szCs w:val="24"/>
          <w:highlight w:val="none"/>
        </w:rPr>
        <w:t>四、投标</w:t>
      </w:r>
      <w:bookmarkEnd w:id="82"/>
      <w:r>
        <w:rPr>
          <w:rFonts w:hint="eastAsia" w:ascii="仿宋" w:hAnsi="仿宋" w:eastAsia="仿宋" w:cs="仿宋"/>
          <w:color w:val="auto"/>
          <w:sz w:val="24"/>
          <w:szCs w:val="24"/>
          <w:highlight w:val="none"/>
          <w:lang w:val="en-US" w:eastAsia="zh-CN"/>
        </w:rPr>
        <w:t>相关说明</w:t>
      </w:r>
      <w:bookmarkEnd w:id="83"/>
      <w:bookmarkEnd w:id="84"/>
      <w:bookmarkEnd w:id="85"/>
    </w:p>
    <w:p w14:paraId="28B02E5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（一）投标人要求</w:t>
      </w:r>
    </w:p>
    <w:p w14:paraId="18E685C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为确保项目的顺利实施，投标人应有类似项目业绩经验。</w:t>
      </w:r>
    </w:p>
    <w:p w14:paraId="6F95ED52">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投标人应能提供快速的服务响应，具有较强的项目管理、技术服务和组织实施能力。</w:t>
      </w:r>
    </w:p>
    <w:p w14:paraId="542F0DAC">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（二）项目团队要求</w:t>
      </w:r>
    </w:p>
    <w:p w14:paraId="47EFF97F">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投标人为本项目配备团队</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投标文件中应提供团队成员名单，每个参加项目人员提供履历介绍，主要内容包括学历、工作特长、经验与业绩、资质情况等，该人员参与的时间以及在项目中的责任。</w:t>
      </w:r>
    </w:p>
    <w:p w14:paraId="6DE6C51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名单中应提供人员姓名、身份证号码，并提供投标人</w:t>
      </w:r>
      <w:r>
        <w:rPr>
          <w:rFonts w:hint="eastAsia" w:ascii="仿宋" w:hAnsi="仿宋" w:eastAsia="仿宋" w:cs="仿宋"/>
          <w:color w:val="auto"/>
          <w:sz w:val="24"/>
          <w:szCs w:val="24"/>
          <w:highlight w:val="none"/>
          <w:lang w:val="en-US"/>
        </w:rPr>
        <w:t>为其缴纳的、</w:t>
      </w:r>
      <w:r>
        <w:rPr>
          <w:rFonts w:hint="eastAsia" w:ascii="仿宋" w:hAnsi="仿宋" w:eastAsia="仿宋" w:cs="仿宋"/>
          <w:color w:val="auto"/>
          <w:sz w:val="24"/>
          <w:szCs w:val="24"/>
          <w:highlight w:val="none"/>
          <w:lang w:val="en-US" w:eastAsia="zh-CN"/>
        </w:rPr>
        <w:t>至投标截止时间3个月内任意1个社保缴纳</w:t>
      </w:r>
      <w:r>
        <w:rPr>
          <w:rFonts w:hint="eastAsia" w:ascii="仿宋" w:hAnsi="仿宋" w:eastAsia="仿宋" w:cs="仿宋"/>
          <w:color w:val="auto"/>
          <w:sz w:val="24"/>
          <w:szCs w:val="24"/>
          <w:highlight w:val="none"/>
          <w:lang w:val="en-US"/>
        </w:rPr>
        <w:t>证明材料、</w:t>
      </w:r>
      <w:r>
        <w:rPr>
          <w:rFonts w:hint="eastAsia" w:ascii="仿宋" w:hAnsi="仿宋" w:eastAsia="仿宋" w:cs="仿宋"/>
          <w:bCs w:val="0"/>
          <w:color w:val="auto"/>
          <w:sz w:val="24"/>
          <w:szCs w:val="24"/>
          <w:highlight w:val="none"/>
          <w:lang w:val="en-US" w:eastAsia="zh-CN"/>
        </w:rPr>
        <w:t>劳动合同以及其他相关证明材料扫描件</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zh-CN"/>
        </w:rPr>
        <w:t>否则</w:t>
      </w:r>
      <w:r>
        <w:rPr>
          <w:rFonts w:hint="eastAsia" w:ascii="仿宋" w:hAnsi="仿宋" w:eastAsia="仿宋" w:cs="仿宋"/>
          <w:color w:val="auto"/>
          <w:sz w:val="24"/>
          <w:szCs w:val="24"/>
          <w:highlight w:val="none"/>
          <w:lang w:val="en-US" w:eastAsia="zh-CN"/>
        </w:rPr>
        <w:t>人员不予认可</w:t>
      </w:r>
      <w:r>
        <w:rPr>
          <w:rFonts w:hint="eastAsia" w:ascii="仿宋" w:hAnsi="仿宋" w:eastAsia="仿宋" w:cs="仿宋"/>
          <w:color w:val="auto"/>
          <w:sz w:val="24"/>
          <w:szCs w:val="24"/>
          <w:highlight w:val="none"/>
          <w:lang w:val="zh-CN"/>
        </w:rPr>
        <w:t>。</w:t>
      </w:r>
    </w:p>
    <w:p w14:paraId="7A1A44D0">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（三）投标时对方案的要求</w:t>
      </w:r>
    </w:p>
    <w:p w14:paraId="4E8573E8">
      <w:pPr>
        <w:pStyle w:val="17"/>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1.投标人需针对本项目的实际情况与需求，提供整体分析，并针对具体的服务内容提供工作方案。</w:t>
      </w:r>
    </w:p>
    <w:p w14:paraId="6C9B38D7">
      <w:pPr>
        <w:pStyle w:val="17"/>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2.针对养护服务内容提供相应方案，包括：①</w:t>
      </w:r>
      <w:r>
        <w:rPr>
          <w:rFonts w:hint="eastAsia" w:ascii="仿宋" w:hAnsi="仿宋" w:eastAsia="仿宋" w:cs="仿宋"/>
          <w:color w:val="auto"/>
          <w:sz w:val="24"/>
          <w:highlight w:val="none"/>
          <w:lang w:val="en-GB" w:eastAsia="zh-CN"/>
        </w:rPr>
        <w:t>针对本</w:t>
      </w:r>
      <w:r>
        <w:rPr>
          <w:rFonts w:hint="eastAsia" w:ascii="仿宋" w:hAnsi="仿宋" w:eastAsia="仿宋" w:cs="仿宋"/>
          <w:color w:val="auto"/>
          <w:sz w:val="24"/>
          <w:highlight w:val="none"/>
          <w:lang w:val="zh-CN" w:eastAsia="zh-CN"/>
        </w:rPr>
        <w:t>项目</w:t>
      </w:r>
      <w:r>
        <w:rPr>
          <w:rFonts w:hint="eastAsia" w:ascii="仿宋" w:hAnsi="仿宋" w:eastAsia="仿宋" w:cs="仿宋"/>
          <w:color w:val="auto"/>
          <w:sz w:val="24"/>
          <w:highlight w:val="none"/>
          <w:lang w:val="en-GB" w:eastAsia="zh-CN"/>
        </w:rPr>
        <w:t>特点、养护标准所制定的养护方案；②</w:t>
      </w:r>
      <w:r>
        <w:rPr>
          <w:rFonts w:hint="eastAsia" w:ascii="仿宋" w:hAnsi="仿宋" w:eastAsia="仿宋" w:cs="仿宋"/>
          <w:color w:val="auto"/>
          <w:sz w:val="24"/>
          <w:highlight w:val="none"/>
          <w:lang w:val="en-US" w:eastAsia="zh-CN"/>
        </w:rPr>
        <w:t>针对光源、灯具及配件、箱变、电器、杆件、标识牌、配电设施、灯具外壳、支架、电缆（含电缆管道）、开关控制箱、工作井、配电室、低压配电柜、控制器、穿线管、配电箱、线卡、绳索、螺栓、电源适配器、防雷装置等设施设备的养护特点，相应养护方案；③对光源、灯具及配件、箱变、电器、杆件、标识牌、配电设施、灯具外壳、支架、电缆（含电缆管道）、开关控制箱、工作井、配电室、低压配电柜、控制器、穿线管、配电箱、线卡、绳索、螺栓、电源适配器、防雷装置等</w:t>
      </w:r>
      <w:r>
        <w:rPr>
          <w:rFonts w:hint="eastAsia" w:ascii="仿宋" w:hAnsi="仿宋" w:eastAsia="仿宋" w:cs="仿宋"/>
          <w:color w:val="auto"/>
          <w:sz w:val="24"/>
          <w:highlight w:val="none"/>
          <w:lang w:val="en-GB" w:eastAsia="zh-CN"/>
        </w:rPr>
        <w:t>设施设备的防盗看护方案；④</w:t>
      </w:r>
      <w:r>
        <w:rPr>
          <w:rFonts w:hint="eastAsia" w:ascii="仿宋" w:hAnsi="仿宋" w:eastAsia="仿宋" w:cs="仿宋"/>
          <w:color w:val="auto"/>
          <w:sz w:val="24"/>
          <w:highlight w:val="none"/>
          <w:lang w:val="en-US" w:eastAsia="zh-CN"/>
        </w:rPr>
        <w:t>针对项目</w:t>
      </w:r>
      <w:r>
        <w:rPr>
          <w:rFonts w:hint="eastAsia" w:ascii="仿宋" w:hAnsi="仿宋" w:eastAsia="仿宋" w:cs="仿宋"/>
          <w:color w:val="auto"/>
          <w:sz w:val="24"/>
          <w:highlight w:val="none"/>
          <w:lang w:val="en-GB" w:eastAsia="zh-CN"/>
        </w:rPr>
        <w:t>所处区域的重要性，编制景观灯及其相关设施设备系统化的及时性养护保障体系与实施方案；⑤针对设施设备的运行建立全覆盖日常巡查制度；</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 6 \* GB3 \* MERGEFORMAT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lang w:val="en-US" w:eastAsia="zh-CN"/>
        </w:rPr>
        <w:fldChar w:fldCharType="end"/>
      </w:r>
      <w:r>
        <w:rPr>
          <w:rFonts w:hint="eastAsia" w:ascii="仿宋" w:hAnsi="仿宋" w:eastAsia="仿宋" w:cs="仿宋"/>
          <w:color w:val="auto"/>
          <w:sz w:val="24"/>
          <w:highlight w:val="none"/>
          <w:lang w:val="en-US" w:eastAsia="zh-CN"/>
        </w:rPr>
        <w:t>对承担政府大型活动、重大会议保障，以及重大节假日的保障方案；</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 7 \* GB3 \* MERGEFORMAT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lang w:val="en-US" w:eastAsia="zh-CN"/>
        </w:rPr>
        <w:t>⑦</w:t>
      </w:r>
      <w:r>
        <w:rPr>
          <w:rFonts w:hint="eastAsia" w:ascii="仿宋" w:hAnsi="仿宋" w:eastAsia="仿宋" w:cs="仿宋"/>
          <w:color w:val="auto"/>
          <w:sz w:val="24"/>
          <w:highlight w:val="none"/>
          <w:lang w:val="en-US" w:eastAsia="zh-CN"/>
        </w:rPr>
        <w:fldChar w:fldCharType="end"/>
      </w:r>
      <w:r>
        <w:rPr>
          <w:rFonts w:hint="eastAsia" w:ascii="仿宋" w:hAnsi="仿宋" w:eastAsia="仿宋" w:cs="仿宋"/>
          <w:color w:val="auto"/>
          <w:sz w:val="24"/>
          <w:highlight w:val="none"/>
          <w:lang w:val="zh-CN" w:eastAsia="zh-CN"/>
        </w:rPr>
        <w:t>对数字城管、12345、市民来电等处置保障方案；</w:t>
      </w:r>
      <w:r>
        <w:rPr>
          <w:rFonts w:hint="eastAsia" w:ascii="仿宋" w:hAnsi="仿宋" w:eastAsia="仿宋" w:cs="仿宋"/>
          <w:color w:val="auto"/>
          <w:sz w:val="24"/>
          <w:highlight w:val="none"/>
          <w:lang w:val="zh-CN" w:eastAsia="zh-CN"/>
        </w:rPr>
        <w:fldChar w:fldCharType="begin"/>
      </w:r>
      <w:r>
        <w:rPr>
          <w:rFonts w:hint="eastAsia" w:ascii="仿宋" w:hAnsi="仿宋" w:eastAsia="仿宋" w:cs="仿宋"/>
          <w:color w:val="auto"/>
          <w:sz w:val="24"/>
          <w:highlight w:val="none"/>
          <w:lang w:val="zh-CN" w:eastAsia="zh-CN"/>
        </w:rPr>
        <w:instrText xml:space="preserve"> = 8 \* GB3 \* MERGEFORMAT </w:instrText>
      </w:r>
      <w:r>
        <w:rPr>
          <w:rFonts w:hint="eastAsia" w:ascii="仿宋" w:hAnsi="仿宋" w:eastAsia="仿宋" w:cs="仿宋"/>
          <w:color w:val="auto"/>
          <w:sz w:val="24"/>
          <w:highlight w:val="none"/>
          <w:lang w:val="zh-CN" w:eastAsia="zh-CN"/>
        </w:rPr>
        <w:fldChar w:fldCharType="separate"/>
      </w:r>
      <w:r>
        <w:rPr>
          <w:rFonts w:hint="eastAsia" w:ascii="仿宋" w:hAnsi="仿宋" w:eastAsia="仿宋" w:cs="仿宋"/>
          <w:color w:val="auto"/>
          <w:sz w:val="24"/>
          <w:highlight w:val="none"/>
          <w:lang w:val="en-US" w:eastAsia="zh-CN"/>
        </w:rPr>
        <w:t>⑧</w:t>
      </w:r>
      <w:r>
        <w:rPr>
          <w:rFonts w:hint="eastAsia" w:ascii="仿宋" w:hAnsi="仿宋" w:eastAsia="仿宋" w:cs="仿宋"/>
          <w:color w:val="auto"/>
          <w:sz w:val="24"/>
          <w:highlight w:val="none"/>
          <w:lang w:val="zh-CN" w:eastAsia="zh-CN"/>
        </w:rPr>
        <w:fldChar w:fldCharType="end"/>
      </w:r>
      <w:r>
        <w:rPr>
          <w:rFonts w:hint="eastAsia" w:ascii="仿宋" w:hAnsi="仿宋" w:eastAsia="仿宋" w:cs="仿宋"/>
          <w:color w:val="auto"/>
          <w:sz w:val="24"/>
          <w:highlight w:val="none"/>
          <w:lang w:val="zh-CN" w:eastAsia="zh-CN"/>
        </w:rPr>
        <w:t>对</w:t>
      </w:r>
      <w:r>
        <w:rPr>
          <w:rFonts w:hint="eastAsia" w:ascii="仿宋" w:hAnsi="仿宋" w:eastAsia="仿宋" w:cs="仿宋"/>
          <w:color w:val="auto"/>
          <w:sz w:val="24"/>
          <w:highlight w:val="none"/>
          <w:lang w:val="en-GB" w:eastAsia="zh-CN"/>
        </w:rPr>
        <w:t>设施设备的运行建立</w:t>
      </w:r>
      <w:r>
        <w:rPr>
          <w:rFonts w:hint="eastAsia" w:ascii="仿宋" w:hAnsi="仿宋" w:eastAsia="仿宋" w:cs="仿宋"/>
          <w:color w:val="auto"/>
          <w:sz w:val="24"/>
          <w:highlight w:val="none"/>
          <w:lang w:val="zh-CN" w:eastAsia="zh-CN"/>
        </w:rPr>
        <w:t>应急处置方案；</w:t>
      </w:r>
      <w:r>
        <w:rPr>
          <w:rFonts w:hint="eastAsia" w:ascii="仿宋" w:hAnsi="仿宋" w:eastAsia="仿宋" w:cs="仿宋"/>
          <w:color w:val="auto"/>
          <w:sz w:val="24"/>
          <w:highlight w:val="none"/>
          <w:lang w:val="zh-CN" w:eastAsia="zh-CN"/>
        </w:rPr>
        <w:fldChar w:fldCharType="begin"/>
      </w:r>
      <w:r>
        <w:rPr>
          <w:rFonts w:hint="eastAsia" w:ascii="仿宋" w:hAnsi="仿宋" w:eastAsia="仿宋" w:cs="仿宋"/>
          <w:color w:val="auto"/>
          <w:sz w:val="24"/>
          <w:highlight w:val="none"/>
          <w:lang w:val="zh-CN" w:eastAsia="zh-CN"/>
        </w:rPr>
        <w:instrText xml:space="preserve"> = 9 \* GB3 \* MERGEFORMAT </w:instrText>
      </w:r>
      <w:r>
        <w:rPr>
          <w:rFonts w:hint="eastAsia" w:ascii="仿宋" w:hAnsi="仿宋" w:eastAsia="仿宋" w:cs="仿宋"/>
          <w:color w:val="auto"/>
          <w:sz w:val="24"/>
          <w:highlight w:val="none"/>
          <w:lang w:val="zh-CN" w:eastAsia="zh-CN"/>
        </w:rPr>
        <w:fldChar w:fldCharType="separate"/>
      </w:r>
      <w:r>
        <w:rPr>
          <w:rFonts w:hint="eastAsia" w:ascii="仿宋" w:hAnsi="仿宋" w:eastAsia="仿宋" w:cs="仿宋"/>
          <w:color w:val="auto"/>
          <w:sz w:val="24"/>
          <w:highlight w:val="none"/>
          <w:lang w:val="en-US" w:eastAsia="zh-CN"/>
        </w:rPr>
        <w:t>⑨</w:t>
      </w:r>
      <w:r>
        <w:rPr>
          <w:rFonts w:hint="eastAsia" w:ascii="仿宋" w:hAnsi="仿宋" w:eastAsia="仿宋" w:cs="仿宋"/>
          <w:color w:val="auto"/>
          <w:sz w:val="24"/>
          <w:highlight w:val="none"/>
          <w:lang w:val="zh-CN" w:eastAsia="zh-CN"/>
        </w:rPr>
        <w:fldChar w:fldCharType="end"/>
      </w:r>
      <w:r>
        <w:rPr>
          <w:rFonts w:hint="eastAsia" w:ascii="仿宋" w:hAnsi="仿宋" w:eastAsia="仿宋" w:cs="仿宋"/>
          <w:color w:val="auto"/>
          <w:sz w:val="24"/>
          <w:highlight w:val="none"/>
          <w:lang w:val="en-GB" w:eastAsia="zh-CN"/>
        </w:rPr>
        <w:t>对箱变、开关箱、电缆、电器元器件等设备设施建立的定期维护检测方案；</w:t>
      </w:r>
      <w:r>
        <w:rPr>
          <w:rFonts w:hint="eastAsia" w:ascii="仿宋" w:hAnsi="仿宋" w:eastAsia="仿宋" w:cs="仿宋"/>
          <w:color w:val="auto"/>
          <w:sz w:val="24"/>
          <w:highlight w:val="none"/>
          <w:lang w:val="en-GB" w:eastAsia="zh-CN"/>
        </w:rPr>
        <w:fldChar w:fldCharType="begin"/>
      </w:r>
      <w:r>
        <w:rPr>
          <w:rFonts w:hint="eastAsia" w:ascii="仿宋" w:hAnsi="仿宋" w:eastAsia="仿宋" w:cs="仿宋"/>
          <w:color w:val="auto"/>
          <w:sz w:val="24"/>
          <w:highlight w:val="none"/>
          <w:lang w:val="en-GB" w:eastAsia="zh-CN"/>
        </w:rPr>
        <w:instrText xml:space="preserve"> = 10 \* GB3 \* MERGEFORMAT </w:instrText>
      </w:r>
      <w:r>
        <w:rPr>
          <w:rFonts w:hint="eastAsia" w:ascii="仿宋" w:hAnsi="仿宋" w:eastAsia="仿宋" w:cs="仿宋"/>
          <w:color w:val="auto"/>
          <w:sz w:val="24"/>
          <w:highlight w:val="none"/>
          <w:lang w:val="en-GB" w:eastAsia="zh-CN"/>
        </w:rPr>
        <w:fldChar w:fldCharType="separate"/>
      </w:r>
      <w:r>
        <w:rPr>
          <w:rFonts w:hint="eastAsia" w:ascii="仿宋" w:hAnsi="仿宋" w:eastAsia="仿宋" w:cs="仿宋"/>
          <w:color w:val="auto"/>
          <w:sz w:val="24"/>
          <w:highlight w:val="none"/>
          <w:lang w:val="en-US" w:eastAsia="zh-CN"/>
        </w:rPr>
        <w:t>⑩</w:t>
      </w:r>
      <w:r>
        <w:rPr>
          <w:rFonts w:hint="eastAsia" w:ascii="仿宋" w:hAnsi="仿宋" w:eastAsia="仿宋" w:cs="仿宋"/>
          <w:color w:val="auto"/>
          <w:sz w:val="24"/>
          <w:highlight w:val="none"/>
          <w:lang w:val="en-GB" w:eastAsia="zh-CN"/>
        </w:rPr>
        <w:fldChar w:fldCharType="end"/>
      </w:r>
      <w:r>
        <w:rPr>
          <w:rFonts w:hint="eastAsia" w:ascii="仿宋" w:hAnsi="仿宋" w:eastAsia="仿宋" w:cs="仿宋"/>
          <w:color w:val="auto"/>
          <w:sz w:val="24"/>
          <w:highlight w:val="none"/>
          <w:lang w:val="en-US" w:eastAsia="zh-CN"/>
        </w:rPr>
        <w:t>保障服务质量、服务顺利开展的</w:t>
      </w:r>
      <w:r>
        <w:rPr>
          <w:rFonts w:hint="eastAsia" w:ascii="仿宋" w:hAnsi="仿宋" w:eastAsia="仿宋" w:cs="仿宋"/>
          <w:color w:val="auto"/>
          <w:sz w:val="24"/>
          <w:highlight w:val="none"/>
          <w:lang w:val="en-GB" w:eastAsia="zh-CN"/>
        </w:rPr>
        <w:t>内部管理、内部工作流程、考核监督等制度。</w:t>
      </w:r>
    </w:p>
    <w:p w14:paraId="71F3B41F">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3.安全文明养护作业方案及安全生产制度。</w:t>
      </w:r>
    </w:p>
    <w:p w14:paraId="5E735A2E">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GB" w:eastAsia="zh-CN"/>
        </w:rPr>
        <w:t>景观照明设施资料管理</w:t>
      </w:r>
      <w:r>
        <w:rPr>
          <w:rFonts w:hint="eastAsia" w:ascii="仿宋" w:hAnsi="仿宋" w:eastAsia="仿宋" w:cs="仿宋"/>
          <w:color w:val="auto"/>
          <w:sz w:val="24"/>
          <w:highlight w:val="none"/>
          <w:lang w:val="en-US" w:eastAsia="zh-CN"/>
        </w:rPr>
        <w:t>相关台账。</w:t>
      </w:r>
    </w:p>
    <w:p w14:paraId="45185EBE">
      <w:pPr>
        <w:pStyle w:val="17"/>
        <w:adjustRightInd w:val="0"/>
        <w:snapToGrid w:val="0"/>
        <w:spacing w:after="0"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针对防汛、抗台、抗雪、防冻等灾害性天气建立的景观照明设施应急巡查、应急抢修、值班值守等应急响应方案。</w:t>
      </w:r>
    </w:p>
    <w:p w14:paraId="6BD7BE32">
      <w:pPr>
        <w:pStyle w:val="17"/>
        <w:adjustRightInd w:val="0"/>
        <w:snapToGrid w:val="0"/>
        <w:spacing w:after="0"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eastAsia="zh-CN"/>
        </w:rPr>
        <w:t>对项目灯光秀整体运营及养护方案。</w:t>
      </w:r>
    </w:p>
    <w:p w14:paraId="7BA5FAA3">
      <w:pPr>
        <w:pStyle w:val="17"/>
        <w:adjustRightInd w:val="0"/>
        <w:snapToGrid w:val="0"/>
        <w:spacing w:after="0" w:line="360" w:lineRule="auto"/>
        <w:ind w:firstLine="480" w:firstLineChars="200"/>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GB" w:eastAsia="zh-CN"/>
        </w:rPr>
        <w:t>景观灯及相关设施设备堆放仓库管理制度。</w:t>
      </w:r>
    </w:p>
    <w:p w14:paraId="309A8541">
      <w:pPr>
        <w:pStyle w:val="17"/>
        <w:adjustRightInd w:val="0"/>
        <w:snapToGrid w:val="0"/>
        <w:spacing w:after="0"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8.针对项目需求，结合自身技术能力、经验，为采购人提供针对</w:t>
      </w:r>
      <w:r>
        <w:rPr>
          <w:rFonts w:hint="eastAsia" w:ascii="仿宋" w:hAnsi="仿宋" w:eastAsia="仿宋" w:cs="仿宋"/>
          <w:color w:val="auto"/>
          <w:sz w:val="24"/>
          <w:highlight w:val="none"/>
          <w:lang w:val="zh-CN" w:eastAsia="zh-CN"/>
        </w:rPr>
        <w:t>对本项目的合理化建议。</w:t>
      </w:r>
    </w:p>
    <w:p w14:paraId="13D94045">
      <w:pPr>
        <w:pStyle w:val="17"/>
        <w:adjustRightInd w:val="0"/>
        <w:snapToGrid w:val="0"/>
        <w:spacing w:after="0" w:line="360" w:lineRule="auto"/>
        <w:ind w:firstLine="480" w:firstLineChars="200"/>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en-GB" w:eastAsia="zh-CN"/>
        </w:rPr>
        <w:t>投入机具设备情况。</w:t>
      </w:r>
    </w:p>
    <w:p w14:paraId="679D8E33">
      <w:pPr>
        <w:pStyle w:val="17"/>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en-GB" w:eastAsia="zh-CN"/>
        </w:rPr>
        <w:t>项目组成成员情况。</w:t>
      </w:r>
    </w:p>
    <w:p w14:paraId="66B6E71D">
      <w:pPr>
        <w:pStyle w:val="17"/>
        <w:adjustRightInd w:val="0"/>
        <w:snapToGrid w:val="0"/>
        <w:spacing w:after="0"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color w:val="auto"/>
          <w:sz w:val="24"/>
          <w:highlight w:val="none"/>
          <w:lang w:val="en-US" w:eastAsia="zh-CN"/>
        </w:rPr>
        <w:t>投标人认为可以提供的其他内容。</w:t>
      </w:r>
    </w:p>
    <w:p w14:paraId="47A1752B">
      <w:pPr>
        <w:pStyle w:val="4"/>
        <w:spacing w:before="120" w:after="120" w:line="360" w:lineRule="auto"/>
        <w:rPr>
          <w:rFonts w:hint="eastAsia" w:ascii="仿宋" w:hAnsi="仿宋" w:eastAsia="仿宋" w:cs="仿宋"/>
          <w:b/>
          <w:bCs/>
          <w:color w:val="auto"/>
          <w:sz w:val="24"/>
          <w:szCs w:val="24"/>
          <w:highlight w:val="none"/>
          <w:lang w:val="en-US" w:eastAsia="zh-CN"/>
        </w:rPr>
      </w:pPr>
      <w:bookmarkStart w:id="86" w:name="_Toc22998"/>
      <w:bookmarkStart w:id="87" w:name="_Toc5721"/>
      <w:bookmarkStart w:id="88" w:name="_Toc27381"/>
      <w:bookmarkStart w:id="89" w:name="_Toc5760"/>
      <w:r>
        <w:rPr>
          <w:rFonts w:hint="eastAsia" w:ascii="仿宋" w:hAnsi="仿宋" w:eastAsia="仿宋" w:cs="仿宋"/>
          <w:b/>
          <w:bCs/>
          <w:color w:val="auto"/>
          <w:sz w:val="24"/>
          <w:szCs w:val="24"/>
          <w:highlight w:val="none"/>
          <w:lang w:val="en-US" w:eastAsia="zh-CN"/>
        </w:rPr>
        <w:t>五、其他</w:t>
      </w:r>
      <w:bookmarkEnd w:id="86"/>
      <w:bookmarkEnd w:id="87"/>
      <w:bookmarkEnd w:id="88"/>
      <w:bookmarkEnd w:id="89"/>
    </w:p>
    <w:p w14:paraId="3B7E8A0A">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591C4D32">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（1）投标人不得将本合同范围的服务转包由其他单位承担；也不得未经采购人书面同意擅自部分内容分包给其他单位承担；如有违反以上情形，采购人有权解除合同，并追究中标人的违约责任。 </w:t>
      </w:r>
    </w:p>
    <w:p w14:paraId="6BE33E98">
      <w:pPr>
        <w:pStyle w:val="17"/>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220064E0">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53E846FA">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评审结束后、合同签订前，采购人或采购代理机构将核查如下资料，供应商务必按要求提交相关材料。</w:t>
      </w:r>
    </w:p>
    <w:p w14:paraId="32E9D46F">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（1）资料收件人：唐稳；联系方式：0571-81061825；地址：杭州市西湖区文三路90号东部软件园一号楼319室。</w:t>
      </w:r>
    </w:p>
    <w:p w14:paraId="1B911C88">
      <w:pPr>
        <w:pStyle w:val="43"/>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（2）可以通过快递方式送达，也可以直接送达。</w:t>
      </w:r>
    </w:p>
    <w:p w14:paraId="50D35746">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shd w:val="clear" w:color="auto" w:fill="auto"/>
          <w:lang w:val="en-US" w:eastAsia="zh-CN"/>
        </w:rPr>
        <w:t>（3）核验的资料：业绩合同原件，人员证书原件，车辆权属证明原件。</w:t>
      </w:r>
    </w:p>
    <w:p w14:paraId="23F1629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bookmarkEnd w:id="59"/>
    <w:bookmarkEnd w:id="60"/>
    <w:bookmarkEnd w:id="61"/>
    <w:bookmarkEnd w:id="62"/>
    <w:bookmarkEnd w:id="63"/>
    <w:bookmarkEnd w:id="64"/>
    <w:bookmarkEnd w:id="65"/>
    <w:bookmarkEnd w:id="66"/>
    <w:bookmarkEnd w:id="67"/>
    <w:bookmarkEnd w:id="68"/>
    <w:p w14:paraId="52B7A7B4">
      <w:pPr>
        <w:rPr>
          <w:rFonts w:hint="eastAsia" w:ascii="仿宋_GB2312" w:hAnsi="仿宋" w:eastAsia="仿宋_GB2312" w:cs="仿宋"/>
          <w:highlight w:val="none"/>
        </w:rPr>
      </w:pPr>
      <w:r>
        <w:rPr>
          <w:rFonts w:hint="eastAsia" w:ascii="仿宋_GB2312" w:hAnsi="仿宋" w:eastAsia="仿宋_GB2312" w:cs="仿宋"/>
          <w:highlight w:val="none"/>
        </w:rPr>
        <w:br w:type="page"/>
      </w:r>
    </w:p>
    <w:p w14:paraId="29839F8F">
      <w:pPr>
        <w:pStyle w:val="121"/>
        <w:keepNext w:val="0"/>
        <w:keepLines w:val="0"/>
        <w:pageBreakBefore w:val="0"/>
        <w:widowControl w:val="0"/>
        <w:kinsoku/>
        <w:wordWrap/>
        <w:overflowPunct/>
        <w:topLinePunct w:val="0"/>
        <w:autoSpaceDE/>
        <w:autoSpaceDN/>
        <w:bidi w:val="0"/>
        <w:adjustRightInd/>
        <w:snapToGrid/>
        <w:spacing w:before="0" w:line="460" w:lineRule="exact"/>
        <w:ind w:firstLine="0" w:firstLineChars="0"/>
        <w:jc w:val="left"/>
        <w:textAlignment w:val="auto"/>
        <w:outlineLvl w:val="1"/>
        <w:rPr>
          <w:rFonts w:hint="eastAsia" w:ascii="仿宋" w:hAnsi="仿宋" w:eastAsia="仿宋"/>
          <w:b/>
          <w:highlight w:val="none"/>
        </w:rPr>
      </w:pPr>
      <w:r>
        <w:rPr>
          <w:rFonts w:hint="eastAsia" w:ascii="仿宋" w:hAnsi="仿宋" w:eastAsia="仿宋"/>
          <w:b/>
          <w:highlight w:val="none"/>
          <w:lang w:val="en-US" w:eastAsia="zh-CN"/>
        </w:rPr>
        <w:t>附件一</w:t>
      </w:r>
      <w:r>
        <w:rPr>
          <w:rFonts w:hint="eastAsia" w:ascii="仿宋" w:hAnsi="仿宋" w:eastAsia="仿宋"/>
          <w:b/>
          <w:highlight w:val="none"/>
        </w:rPr>
        <w:t>、景观灯</w:t>
      </w:r>
      <w:r>
        <w:rPr>
          <w:rFonts w:hint="eastAsia" w:ascii="仿宋" w:hAnsi="仿宋" w:eastAsia="仿宋"/>
          <w:b/>
          <w:highlight w:val="none"/>
          <w:lang w:eastAsia="zh-CN"/>
        </w:rPr>
        <w:t>灯具</w:t>
      </w:r>
      <w:r>
        <w:rPr>
          <w:rFonts w:hint="eastAsia" w:ascii="仿宋" w:hAnsi="仿宋" w:eastAsia="仿宋"/>
          <w:b/>
          <w:highlight w:val="none"/>
        </w:rPr>
        <w:t>设施养护清单</w:t>
      </w:r>
    </w:p>
    <w:p w14:paraId="18D2931F">
      <w:pPr>
        <w:pStyle w:val="121"/>
        <w:spacing w:before="0" w:line="460" w:lineRule="exact"/>
        <w:ind w:firstLine="0" w:firstLineChars="0"/>
        <w:jc w:val="left"/>
        <w:rPr>
          <w:rFonts w:hint="default" w:ascii="仿宋" w:hAnsi="仿宋" w:eastAsia="仿宋"/>
          <w:b/>
          <w:highlight w:val="none"/>
          <w:lang w:val="en-US"/>
        </w:rPr>
      </w:pPr>
      <w:r>
        <w:rPr>
          <w:rFonts w:hint="eastAsia"/>
          <w:highlight w:val="none"/>
          <w:lang w:val="en-US" w:eastAsia="zh-CN"/>
        </w:rPr>
        <w:t xml:space="preserve">  </w:t>
      </w:r>
      <w:r>
        <w:rPr>
          <w:rFonts w:hint="eastAsia" w:ascii="仿宋" w:hAnsi="仿宋" w:eastAsia="仿宋"/>
          <w:b/>
          <w:highlight w:val="none"/>
          <w:lang w:eastAsia="zh-CN"/>
        </w:rPr>
        <w:t>包括但不限于以下设施量，最终以现场实际为准。</w:t>
      </w:r>
      <w:r>
        <w:rPr>
          <w:rFonts w:hint="eastAsia" w:ascii="仿宋" w:hAnsi="仿宋" w:eastAsia="仿宋"/>
          <w:b/>
          <w:highlight w:val="none"/>
          <w:lang w:val="en-US" w:eastAsia="zh-CN"/>
        </w:rPr>
        <w:t xml:space="preserve">   </w:t>
      </w:r>
    </w:p>
    <w:p w14:paraId="07B3E803">
      <w:pPr>
        <w:pStyle w:val="121"/>
        <w:spacing w:before="0" w:line="460" w:lineRule="exact"/>
        <w:ind w:firstLine="0" w:firstLineChars="0"/>
        <w:jc w:val="left"/>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 xml:space="preserve">                         项目养护的工程量总清单</w:t>
      </w:r>
    </w:p>
    <w:tbl>
      <w:tblPr>
        <w:tblStyle w:val="45"/>
        <w:tblW w:w="10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758"/>
        <w:gridCol w:w="5003"/>
        <w:gridCol w:w="825"/>
        <w:gridCol w:w="967"/>
      </w:tblGrid>
      <w:tr w14:paraId="309C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4731">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100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材料或设备名称</w:t>
            </w:r>
          </w:p>
        </w:tc>
        <w:tc>
          <w:tcPr>
            <w:tcW w:w="5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E022">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6BAB">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0DC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r>
      <w:tr w14:paraId="22B4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49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eastAsia="zh-CN"/>
              </w:rPr>
            </w:pPr>
            <w:r>
              <w:rPr>
                <w:rFonts w:hint="eastAsia" w:ascii="仿宋" w:hAnsi="仿宋" w:eastAsia="仿宋" w:cs="仿宋"/>
                <w:i w:val="0"/>
                <w:iCs w:val="0"/>
                <w:color w:val="000000"/>
                <w:sz w:val="18"/>
                <w:szCs w:val="18"/>
                <w:highlight w:val="none"/>
                <w:u w:val="none"/>
                <w:lang w:eastAsia="zh-CN"/>
              </w:rPr>
              <w:t>一</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9653">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lang w:eastAsia="zh-CN"/>
              </w:rPr>
            </w:pPr>
            <w:r>
              <w:rPr>
                <w:rFonts w:hint="eastAsia" w:ascii="仿宋" w:hAnsi="仿宋" w:eastAsia="仿宋" w:cs="仿宋"/>
                <w:i w:val="0"/>
                <w:iCs w:val="0"/>
                <w:color w:val="000000"/>
                <w:sz w:val="18"/>
                <w:szCs w:val="18"/>
                <w:highlight w:val="none"/>
                <w:u w:val="none"/>
                <w:lang w:eastAsia="zh-CN"/>
              </w:rPr>
              <w:t>灯具设施量</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B31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5B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7F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73138</w:t>
            </w:r>
          </w:p>
        </w:tc>
      </w:tr>
      <w:tr w14:paraId="3105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038">
            <w:pPr>
              <w:keepNext w:val="0"/>
              <w:keepLines w:val="0"/>
              <w:widowControl/>
              <w:suppressLineNumbers w:val="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C06D">
            <w:pPr>
              <w:keepNext w:val="0"/>
              <w:keepLines w:val="0"/>
              <w:widowControl/>
              <w:suppressLineNumbers w:val="0"/>
              <w:jc w:val="left"/>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LED像素灯S1</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BFC0">
            <w:pPr>
              <w:keepNext w:val="0"/>
              <w:keepLines w:val="0"/>
              <w:widowControl/>
              <w:suppressLineNumbers w:val="0"/>
              <w:jc w:val="left"/>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色温RGBW，光束角120°，电压DC24V，功率16W，IP68，标准DMX512控制 φ40点光源8个/米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D5B1">
            <w:pPr>
              <w:keepNext w:val="0"/>
              <w:keepLines w:val="0"/>
              <w:widowControl/>
              <w:suppressLineNumbers w:val="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D575">
            <w:pPr>
              <w:keepNext w:val="0"/>
              <w:keepLines w:val="0"/>
              <w:widowControl/>
              <w:suppressLineNumbers w:val="0"/>
              <w:jc w:val="center"/>
              <w:textAlignment w:val="center"/>
              <w:rPr>
                <w:rFonts w:hint="eastAsia" w:ascii="仿宋" w:hAnsi="仿宋" w:eastAsia="仿宋" w:cs="仿宋"/>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63912</w:t>
            </w:r>
          </w:p>
        </w:tc>
      </w:tr>
      <w:tr w14:paraId="5D23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53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CB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LED投光灯T1</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248C">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色温3000K，光束角30°，电压DC24V，功率36W，IP67及以上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7B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B8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88</w:t>
            </w:r>
          </w:p>
        </w:tc>
      </w:tr>
      <w:tr w14:paraId="4525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5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8E1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LED投光灯T2</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4F2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色温3000K，光束角30°，电压DC24V，功率18W，IP67及以上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F6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CBC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96</w:t>
            </w:r>
          </w:p>
        </w:tc>
      </w:tr>
      <w:tr w14:paraId="65BD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17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9F4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LED投光灯T3</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A5E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色温3000K，光束角10°，电压DC24V，功率3W，IP67及以上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83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F6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181</w:t>
            </w:r>
          </w:p>
        </w:tc>
      </w:tr>
      <w:tr w14:paraId="0B8D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63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728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LED洗墙灯L1a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8FDC">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色温RGB，光束角30°，电压DC24V，功率18W，标准DMX512控制,分2段/米 IP67及以上，L=1000mm/套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DF5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53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1002</w:t>
            </w:r>
          </w:p>
        </w:tc>
      </w:tr>
      <w:tr w14:paraId="194F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7F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D7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LED洗墙灯L1b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71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色温RGB，光束角30°，电压DC24V，功率9W，标准DMX512控制,1段控制/套 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A3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D6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r>
      <w:tr w14:paraId="6B1B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339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0EC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LED洗墙灯L1c</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68A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色温RGB，光束角30°，电压DC24V，功率6W，标准DMX512控制,1段控制/套 IP67及以上，L=300mm/套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C6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28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r>
      <w:tr w14:paraId="6BEB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512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BBA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LED洗墙灯L2a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395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色温3000K，光束角30°，电压DC24V，功率12W，IP67及以上，L=1000mm/套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1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4B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816</w:t>
            </w:r>
          </w:p>
        </w:tc>
      </w:tr>
      <w:tr w14:paraId="5950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85C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666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LED洗墙灯L2b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D3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色温3000K，光束角30°，电压DC24V，功率6W，IP67及以上，L=500mm/套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C9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B4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w:t>
            </w:r>
          </w:p>
        </w:tc>
      </w:tr>
      <w:tr w14:paraId="495C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DB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2D1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LED洗墙灯L2c</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B67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色温3000K，光束角30°，电压DC24V，功率4W，IP67及以上，L=300mm/套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87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67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63</w:t>
            </w:r>
          </w:p>
        </w:tc>
      </w:tr>
      <w:tr w14:paraId="18C8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62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388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LED洗墙灯L3a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3CE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色温3000K，光束角30°，电压DC24V，功率18W，IP67及以上 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98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C1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4390</w:t>
            </w:r>
          </w:p>
        </w:tc>
      </w:tr>
      <w:tr w14:paraId="30A3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B7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36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LED洗墙灯L3b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411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色温3000K，光束角30°，电压DC24V，功率9W，IP67及以上，L=500mm/套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37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AA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361</w:t>
            </w:r>
          </w:p>
        </w:tc>
      </w:tr>
      <w:tr w14:paraId="08CB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F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9CC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LED洗墙灯L3c</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E71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色温3000K，光束角30°，电压DC24V，功率6W，IP67及以上 L=300mm/套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37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EE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604</w:t>
            </w:r>
          </w:p>
        </w:tc>
      </w:tr>
      <w:tr w14:paraId="2DFD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CA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206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LED洗墙灯L4a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F31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色温5000K，光束角30°，电压DC24V，功率36W，IP67及以上，L=1000mm/套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E9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51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126</w:t>
            </w:r>
          </w:p>
        </w:tc>
      </w:tr>
      <w:tr w14:paraId="5303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2B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B79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LED洗墙灯L4b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40D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色温5000K，光束角30°，电压DC24V，功率18W，IP67及以上，L=500mm/套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4A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E6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w:t>
            </w:r>
          </w:p>
        </w:tc>
      </w:tr>
      <w:tr w14:paraId="0588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69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F7CC">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LED洗墙灯L5a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55D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色温3000K，光束角30°，电压DC24V，功率36W，IP67及以上，L=1000mm/套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7C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34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245</w:t>
            </w:r>
          </w:p>
        </w:tc>
      </w:tr>
      <w:tr w14:paraId="063B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8E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EC0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LED洗墙灯L5b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E2A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色温3000K，光束角30°，电压DC24V，功率18W，IP67及以上，L=500mm/套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2A3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BA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r>
      <w:tr w14:paraId="44D0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2D3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58D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LED洗墙灯L6a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E89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色温RGB，光束角30°，电压DC24V，功率12W， IP67及以上，L=1000mm/套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512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21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680</w:t>
            </w:r>
          </w:p>
        </w:tc>
      </w:tr>
      <w:tr w14:paraId="2210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F0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D9B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LED洗墙灯L6b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86F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色温RGB，光束角30°，电压DC24V，功率6W， 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B0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D4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r>
      <w:tr w14:paraId="3C54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CC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DD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LED洗墙灯L6c</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334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色温RGB，光束角30°，电压DC24V，功率4W， IP67及以上，L=300mm/套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70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57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r>
      <w:tr w14:paraId="5782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4A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E983">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LED线条灯X1a</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2D7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色温RGB，光束角120°，电压DC24V，功率12W，IP67及以上，L=1000mm/套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8F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3F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302</w:t>
            </w:r>
          </w:p>
        </w:tc>
      </w:tr>
      <w:tr w14:paraId="5DC0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C1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16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LED线条灯X1b</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FAE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色温RGB，光束角120°，电压DC24V，功率6W，IP67及以上，L=500mm/套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9D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3F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w:t>
            </w:r>
          </w:p>
        </w:tc>
      </w:tr>
      <w:tr w14:paraId="66FA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4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22C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LED线条灯X1c</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0ED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色温RGB，光束角120°，电压DC24V，功率4W，IP67及以上，L=300mm/套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3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9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r>
      <w:tr w14:paraId="6F8C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8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C6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图案投影灯</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09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额定电压：AC90-240V/50-60Hz,额定功率：350W，光通量：20000LM</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控制信号：国际标准RDM-DMX512信号,色温：7000K，DMX512控制。防护等级：户外防水IP65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5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D1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w:t>
            </w:r>
          </w:p>
        </w:tc>
      </w:tr>
      <w:tr w14:paraId="4FF3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6C0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二、</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CE6">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相关附属设施</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5D0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04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7BC">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14:paraId="6083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A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9B4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开关电源</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B92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350w DC24V,带保护功能,户外防雨型 安装于箱体内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21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6B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3654</w:t>
            </w:r>
          </w:p>
        </w:tc>
      </w:tr>
      <w:tr w14:paraId="5364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83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374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开关电源</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3F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400w DC24V,带保护功能,户外防雨型 安装于箱体内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3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AE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w:t>
            </w:r>
          </w:p>
        </w:tc>
      </w:tr>
      <w:tr w14:paraId="67A2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85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8B2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开关电源</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A44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 xml:space="preserve">400w DC24V,带保护功能,户外防水型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CC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FF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w:t>
            </w:r>
          </w:p>
        </w:tc>
      </w:tr>
      <w:tr w14:paraId="48C8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7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8B9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开关电源</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106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350w DC24V,带保护功能,户外防水型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664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53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430</w:t>
            </w:r>
          </w:p>
        </w:tc>
      </w:tr>
      <w:tr w14:paraId="2119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1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566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4G无线节点端主控器</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114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智能灯光管理系统，集成BTS/GPS/BDS授时器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78E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2C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r>
      <w:tr w14:paraId="0E7F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EC9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D414">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分控器</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BF8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8端口标准DMX512控制信号输出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9A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D9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446</w:t>
            </w:r>
          </w:p>
        </w:tc>
      </w:tr>
      <w:tr w14:paraId="0C5C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F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0FF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景观照明配电箱</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5BC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落地安装，室外型IP54，304不锈钢材质，箱体1.2mm厚，门板1.5mm厚（详细参数见图纸配电箱系统图）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A54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B5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62</w:t>
            </w:r>
          </w:p>
        </w:tc>
      </w:tr>
      <w:tr w14:paraId="1E15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07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F72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集中控制器</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0B5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4G无线远程控制终端,智能照明控制模块,安装于强电控制箱中</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B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E9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68</w:t>
            </w:r>
          </w:p>
        </w:tc>
      </w:tr>
      <w:tr w14:paraId="7B26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C7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883">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景观照明配电分接箱</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77AC">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壁挂安装，室外型IP54，不锈钢材质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A3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5E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r>
      <w:tr w14:paraId="6384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E44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34</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41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网线</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46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户外防水非屏蔽超五类网线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73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m</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6A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124617</w:t>
            </w:r>
          </w:p>
        </w:tc>
      </w:tr>
      <w:tr w14:paraId="367E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1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EC9">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光纤</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FFAC">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四芯单模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B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m</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65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210</w:t>
            </w:r>
          </w:p>
        </w:tc>
      </w:tr>
      <w:tr w14:paraId="2C8A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99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36</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5E3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光纤收发器</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087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千兆单模单纤光电转换器模块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3D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F5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r w14:paraId="2F5C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9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37</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416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灯杆</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9AF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投影灯立杆DN150x4mm热镀锌钢管 定制立杆，表面喷漆，高度4.5米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5C0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1A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r>
      <w:tr w14:paraId="6288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1F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590D">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开关电源防护盒</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2B9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300*130*70mm，内装单个开关电源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9B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1B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1083</w:t>
            </w:r>
          </w:p>
        </w:tc>
      </w:tr>
      <w:tr w14:paraId="672E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0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39</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085">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户外防水控制器箱</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8F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室外型，304不锈钢材质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2C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B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449</w:t>
            </w:r>
          </w:p>
        </w:tc>
      </w:tr>
      <w:tr w14:paraId="7D9E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9D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C17D">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开关电源防护箱</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9ECD">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室外定制，304不锈钢材质，箱体1.2mm厚，门板1.5mm厚/内装多个开关电源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E8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7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557</w:t>
            </w:r>
          </w:p>
        </w:tc>
      </w:tr>
      <w:tr w14:paraId="3504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EA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EC7">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机柜 室内弱电机柜</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6DE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1、机柜 室内弱电机柜，参考尺寸：900*900*1800mm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B8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45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1281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4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76FE">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总处理器</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AC7D">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处理器，i7，8核；内存16G；硬盘512G；显卡，4G独显;千兆网卡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1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90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1E53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F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09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显示器</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E5BA">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24寸液晶显示器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1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76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r>
      <w:tr w14:paraId="63AF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CA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44</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47A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曲面LED全彩显示屏</w:t>
            </w:r>
          </w:p>
        </w:tc>
        <w:tc>
          <w:tcPr>
            <w:tcW w:w="5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458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户外防水全彩屏P6；27777点/1R1G1B，含定制图案面罩</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49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m2</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41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29</w:t>
            </w:r>
          </w:p>
        </w:tc>
      </w:tr>
      <w:tr w14:paraId="17F7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2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45</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DC0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接收卡</w:t>
            </w:r>
          </w:p>
        </w:tc>
        <w:tc>
          <w:tcPr>
            <w:tcW w:w="5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7C6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集成HUB75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63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AC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110</w:t>
            </w:r>
          </w:p>
        </w:tc>
      </w:tr>
      <w:tr w14:paraId="375B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26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46</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E20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箱式变压器</w:t>
            </w:r>
          </w:p>
        </w:tc>
        <w:tc>
          <w:tcPr>
            <w:tcW w:w="5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01D6">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额定容量250KVA</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B6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A3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r>
      <w:tr w14:paraId="7253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EA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47</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711B">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控制电脑</w:t>
            </w:r>
          </w:p>
        </w:tc>
        <w:tc>
          <w:tcPr>
            <w:tcW w:w="5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B22B">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4G显卡+i7处理器+1TB硬盘 专业媒体服务器、显示器</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24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B53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r>
      <w:tr w14:paraId="341D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54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48</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EB57">
            <w:pPr>
              <w:keepNext w:val="0"/>
              <w:keepLines w:val="0"/>
              <w:widowControl/>
              <w:suppressLineNumbers w:val="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户外音响</w:t>
            </w:r>
          </w:p>
        </w:tc>
        <w:tc>
          <w:tcPr>
            <w:tcW w:w="5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246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额定功率：30W，额定输入：70/100V</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963C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台</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E84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r>
    </w:tbl>
    <w:p w14:paraId="0C5BC6B2">
      <w:pPr>
        <w:pStyle w:val="121"/>
        <w:spacing w:before="0" w:line="460" w:lineRule="exact"/>
        <w:ind w:firstLine="0" w:firstLineChars="0"/>
        <w:jc w:val="left"/>
        <w:rPr>
          <w:rFonts w:hint="eastAsia" w:ascii="仿宋" w:hAnsi="仿宋" w:eastAsia="仿宋" w:cs="仿宋"/>
          <w:b/>
          <w:szCs w:val="24"/>
          <w:highlight w:val="none"/>
          <w:lang w:eastAsia="zh-CN"/>
        </w:rPr>
      </w:pPr>
      <w:r>
        <w:rPr>
          <w:rFonts w:hint="eastAsia" w:ascii="仿宋" w:hAnsi="仿宋" w:eastAsia="仿宋" w:cs="仿宋"/>
          <w:b/>
          <w:szCs w:val="24"/>
          <w:highlight w:val="none"/>
          <w:lang w:val="en-US" w:eastAsia="zh-CN"/>
        </w:rPr>
        <w:t xml:space="preserve">  </w:t>
      </w:r>
      <w:r>
        <w:rPr>
          <w:rFonts w:hint="eastAsia" w:ascii="仿宋" w:hAnsi="仿宋" w:eastAsia="仿宋" w:cs="仿宋"/>
          <w:b/>
          <w:szCs w:val="24"/>
          <w:highlight w:val="none"/>
        </w:rPr>
        <w:t>如技术要求中未特别注明需执行的国家相关标准、行业标准、地方标准或者其他标准、规范，则统一执行最新标准、规范</w:t>
      </w:r>
      <w:r>
        <w:rPr>
          <w:rFonts w:hint="eastAsia" w:ascii="仿宋" w:hAnsi="仿宋" w:eastAsia="仿宋" w:cs="仿宋"/>
          <w:b/>
          <w:szCs w:val="24"/>
          <w:highlight w:val="none"/>
          <w:lang w:eastAsia="zh-CN"/>
        </w:rPr>
        <w:t>。</w:t>
      </w:r>
    </w:p>
    <w:p w14:paraId="2CAC2980">
      <w:pPr>
        <w:pStyle w:val="121"/>
        <w:spacing w:before="0" w:line="460" w:lineRule="exact"/>
        <w:ind w:firstLine="0" w:firstLineChars="0"/>
        <w:jc w:val="left"/>
        <w:rPr>
          <w:rFonts w:hint="eastAsia" w:ascii="仿宋" w:hAnsi="仿宋" w:eastAsia="仿宋" w:cs="仿宋"/>
          <w:b/>
          <w:szCs w:val="24"/>
          <w:highlight w:val="none"/>
          <w:lang w:eastAsia="zh-CN"/>
        </w:rPr>
      </w:pPr>
    </w:p>
    <w:p w14:paraId="2104C445">
      <w:pPr>
        <w:pStyle w:val="121"/>
        <w:spacing w:before="0" w:line="460" w:lineRule="exact"/>
        <w:ind w:firstLine="0" w:firstLineChars="0"/>
        <w:jc w:val="left"/>
        <w:rPr>
          <w:rFonts w:hint="eastAsia" w:ascii="仿宋" w:hAnsi="仿宋" w:eastAsia="仿宋" w:cs="仿宋"/>
          <w:b/>
          <w:szCs w:val="24"/>
          <w:highlight w:val="none"/>
          <w:lang w:eastAsia="zh-CN"/>
        </w:rPr>
      </w:pPr>
    </w:p>
    <w:p w14:paraId="0C4E844E">
      <w:pPr>
        <w:rPr>
          <w:rFonts w:hint="eastAsia" w:ascii="小标宋" w:hAnsi="Times New Roman" w:eastAsia="小标宋" w:cs="Times New Roman"/>
          <w:sz w:val="44"/>
          <w:szCs w:val="44"/>
          <w:highlight w:val="none"/>
          <w:lang w:val="en-US" w:eastAsia="zh-CN"/>
        </w:rPr>
      </w:pPr>
      <w:r>
        <w:rPr>
          <w:rFonts w:hint="eastAsia" w:ascii="小标宋" w:hAnsi="Times New Roman" w:eastAsia="小标宋" w:cs="Times New Roman"/>
          <w:sz w:val="44"/>
          <w:szCs w:val="44"/>
          <w:highlight w:val="none"/>
          <w:lang w:val="en-US" w:eastAsia="zh-CN"/>
        </w:rPr>
        <w:br w:type="page"/>
      </w:r>
    </w:p>
    <w:p w14:paraId="45C5ACF9">
      <w:pPr>
        <w:pStyle w:val="121"/>
        <w:keepNext w:val="0"/>
        <w:keepLines w:val="0"/>
        <w:pageBreakBefore w:val="0"/>
        <w:widowControl w:val="0"/>
        <w:kinsoku/>
        <w:wordWrap/>
        <w:overflowPunct/>
        <w:topLinePunct w:val="0"/>
        <w:autoSpaceDE/>
        <w:autoSpaceDN/>
        <w:bidi w:val="0"/>
        <w:adjustRightInd/>
        <w:snapToGrid/>
        <w:spacing w:before="0" w:line="460" w:lineRule="exact"/>
        <w:ind w:firstLine="0" w:firstLineChars="0"/>
        <w:jc w:val="left"/>
        <w:textAlignment w:val="auto"/>
        <w:outlineLvl w:val="1"/>
        <w:rPr>
          <w:rFonts w:hint="eastAsia" w:ascii="仿宋" w:hAnsi="仿宋" w:eastAsia="仿宋"/>
          <w:b/>
          <w:highlight w:val="none"/>
          <w:lang w:val="en-US" w:eastAsia="zh-CN"/>
        </w:rPr>
      </w:pPr>
      <w:r>
        <w:rPr>
          <w:rFonts w:hint="eastAsia" w:ascii="仿宋" w:hAnsi="仿宋" w:eastAsia="仿宋"/>
          <w:b/>
          <w:highlight w:val="none"/>
          <w:lang w:val="en-US" w:eastAsia="zh-CN"/>
        </w:rPr>
        <w:t>附件二</w:t>
      </w:r>
      <w:r>
        <w:rPr>
          <w:rFonts w:hint="eastAsia" w:ascii="仿宋" w:hAnsi="仿宋" w:eastAsia="仿宋"/>
          <w:b/>
          <w:highlight w:val="none"/>
        </w:rPr>
        <w:t>、</w:t>
      </w:r>
      <w:r>
        <w:rPr>
          <w:rFonts w:hint="eastAsia" w:ascii="仿宋" w:hAnsi="仿宋" w:eastAsia="仿宋"/>
          <w:b/>
          <w:highlight w:val="none"/>
          <w:lang w:val="en-US" w:eastAsia="zh-CN"/>
        </w:rPr>
        <w:t>考核办法</w:t>
      </w:r>
    </w:p>
    <w:p w14:paraId="2FCD95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Times New Roman" w:eastAsia="小标宋" w:cs="Times New Roman"/>
          <w:sz w:val="44"/>
          <w:szCs w:val="44"/>
          <w:highlight w:val="none"/>
          <w:lang w:val="en-US" w:eastAsia="zh-CN"/>
        </w:rPr>
      </w:pPr>
      <w:r>
        <w:rPr>
          <w:rFonts w:hint="eastAsia" w:ascii="小标宋" w:hAnsi="Times New Roman" w:eastAsia="小标宋" w:cs="Times New Roman"/>
          <w:sz w:val="44"/>
          <w:szCs w:val="44"/>
          <w:highlight w:val="none"/>
          <w:lang w:val="en-US" w:eastAsia="zh-CN"/>
        </w:rPr>
        <w:t>杭州市钱塘区综合行政执法局</w:t>
      </w:r>
    </w:p>
    <w:p w14:paraId="2933E8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Times New Roman" w:eastAsia="小标宋" w:cs="Times New Roman"/>
          <w:sz w:val="44"/>
          <w:szCs w:val="44"/>
          <w:highlight w:val="none"/>
          <w:lang w:val="en-US" w:eastAsia="zh-CN"/>
        </w:rPr>
      </w:pPr>
      <w:r>
        <w:rPr>
          <w:rFonts w:hint="eastAsia" w:ascii="小标宋" w:hAnsi="Times New Roman" w:eastAsia="小标宋" w:cs="Times New Roman"/>
          <w:sz w:val="44"/>
          <w:szCs w:val="44"/>
          <w:highlight w:val="none"/>
          <w:lang w:val="en-US" w:eastAsia="zh-CN"/>
        </w:rPr>
        <w:t xml:space="preserve">  景观照明设施养护作业标准及考核办法</w:t>
      </w:r>
    </w:p>
    <w:p w14:paraId="390CDDD0">
      <w:pPr>
        <w:keepNext w:val="0"/>
        <w:keepLines w:val="0"/>
        <w:pageBreakBefore w:val="0"/>
        <w:kinsoku/>
        <w:wordWrap/>
        <w:overflowPunct/>
        <w:topLinePunct w:val="0"/>
        <w:autoSpaceDE/>
        <w:autoSpaceDN/>
        <w:bidi w:val="0"/>
        <w:snapToGrid/>
        <w:spacing w:line="580" w:lineRule="exact"/>
        <w:ind w:firstLine="664" w:firstLineChars="200"/>
        <w:textAlignment w:val="auto"/>
        <w:rPr>
          <w:rFonts w:hint="eastAsia" w:ascii="方正小标宋_GBK" w:eastAsia="方正小标宋_GBK"/>
          <w:spacing w:val="30"/>
          <w:w w:val="85"/>
          <w:sz w:val="32"/>
          <w:szCs w:val="32"/>
          <w:highlight w:val="none"/>
        </w:rPr>
      </w:pPr>
    </w:p>
    <w:p w14:paraId="13BC7605">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highlight w:val="none"/>
        </w:rPr>
      </w:pPr>
      <w:r>
        <w:rPr>
          <w:rFonts w:hint="eastAsia" w:ascii="楷体_GB2312" w:eastAsia="楷体_GB2312"/>
          <w:b/>
          <w:sz w:val="32"/>
          <w:szCs w:val="32"/>
          <w:highlight w:val="none"/>
        </w:rPr>
        <w:t>第一条</w:t>
      </w:r>
      <w:r>
        <w:rPr>
          <w:rFonts w:hint="eastAsia" w:ascii="仿宋_GB2312" w:eastAsia="仿宋_GB2312"/>
          <w:sz w:val="32"/>
          <w:szCs w:val="32"/>
          <w:highlight w:val="none"/>
        </w:rPr>
        <w:t xml:space="preserve"> 为进一步提升钱塘区夜间景观照明效果，规范景观亮灯养护作业标准，特制定本考核办法。</w:t>
      </w:r>
    </w:p>
    <w:p w14:paraId="70B4C54F">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highlight w:val="none"/>
        </w:rPr>
      </w:pPr>
      <w:r>
        <w:rPr>
          <w:rFonts w:hint="eastAsia" w:ascii="楷体_GB2312" w:eastAsia="楷体_GB2312"/>
          <w:b/>
          <w:sz w:val="32"/>
          <w:szCs w:val="32"/>
          <w:highlight w:val="none"/>
        </w:rPr>
        <w:t>第二条</w:t>
      </w:r>
      <w:r>
        <w:rPr>
          <w:rFonts w:hint="eastAsia" w:ascii="仿宋_GB2312" w:eastAsia="仿宋_GB2312"/>
          <w:sz w:val="32"/>
          <w:szCs w:val="32"/>
          <w:highlight w:val="none"/>
        </w:rPr>
        <w:t xml:space="preserve">  考核对象</w:t>
      </w:r>
    </w:p>
    <w:p w14:paraId="4355FA6C">
      <w:pPr>
        <w:keepNext w:val="0"/>
        <w:keepLines w:val="0"/>
        <w:pageBreakBefore w:val="0"/>
        <w:kinsoku/>
        <w:wordWrap/>
        <w:overflowPunct/>
        <w:topLinePunct w:val="0"/>
        <w:autoSpaceDE/>
        <w:autoSpaceDN/>
        <w:bidi w:val="0"/>
        <w:snapToGrid/>
        <w:spacing w:line="58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钱塘区</w:t>
      </w:r>
      <w:r>
        <w:rPr>
          <w:rFonts w:hint="eastAsia" w:ascii="仿宋_GB2312" w:eastAsia="仿宋_GB2312"/>
          <w:sz w:val="32"/>
          <w:szCs w:val="32"/>
          <w:highlight w:val="none"/>
          <w:lang w:eastAsia="zh-CN"/>
        </w:rPr>
        <w:t>综合行政执法局所属</w:t>
      </w:r>
      <w:r>
        <w:rPr>
          <w:rFonts w:hint="eastAsia" w:ascii="仿宋_GB2312" w:eastAsia="仿宋_GB2312"/>
          <w:sz w:val="32"/>
          <w:szCs w:val="32"/>
          <w:highlight w:val="none"/>
        </w:rPr>
        <w:t>景观照明设施养护单位、景观照明集控设施养护单位。</w:t>
      </w:r>
    </w:p>
    <w:p w14:paraId="061D7C48">
      <w:pPr>
        <w:keepNext w:val="0"/>
        <w:keepLines w:val="0"/>
        <w:pageBreakBefore w:val="0"/>
        <w:numPr>
          <w:ilvl w:val="0"/>
          <w:numId w:val="4"/>
        </w:numPr>
        <w:kinsoku/>
        <w:wordWrap/>
        <w:overflowPunct/>
        <w:topLinePunct w:val="0"/>
        <w:autoSpaceDE/>
        <w:autoSpaceDN/>
        <w:bidi w:val="0"/>
        <w:snapToGrid/>
        <w:spacing w:line="580" w:lineRule="exac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 xml:space="preserve"> </w:t>
      </w:r>
      <w:r>
        <w:rPr>
          <w:rFonts w:hint="eastAsia" w:ascii="仿宋_GB2312" w:eastAsia="仿宋_GB2312"/>
          <w:sz w:val="32"/>
          <w:szCs w:val="32"/>
          <w:highlight w:val="none"/>
        </w:rPr>
        <w:t>实施主体</w:t>
      </w:r>
    </w:p>
    <w:p w14:paraId="71937998">
      <w:pPr>
        <w:keepNext w:val="0"/>
        <w:keepLines w:val="0"/>
        <w:pageBreakBefore w:val="0"/>
        <w:kinsoku/>
        <w:wordWrap/>
        <w:overflowPunct/>
        <w:topLinePunct w:val="0"/>
        <w:autoSpaceDE/>
        <w:autoSpaceDN/>
        <w:bidi w:val="0"/>
        <w:snapToGrid/>
        <w:spacing w:line="580" w:lineRule="exact"/>
        <w:ind w:left="639"/>
        <w:textAlignment w:val="auto"/>
        <w:rPr>
          <w:rFonts w:hint="eastAsia" w:ascii="仿宋_GB2312" w:eastAsia="仿宋_GB2312"/>
          <w:sz w:val="32"/>
          <w:szCs w:val="32"/>
          <w:highlight w:val="none"/>
        </w:rPr>
      </w:pPr>
      <w:r>
        <w:rPr>
          <w:rFonts w:hint="eastAsia" w:ascii="仿宋_GB2312" w:eastAsia="仿宋_GB2312"/>
          <w:sz w:val="32"/>
          <w:szCs w:val="32"/>
          <w:highlight w:val="none"/>
        </w:rPr>
        <w:t>杭州市钱塘区综合行政执法局。</w:t>
      </w:r>
    </w:p>
    <w:p w14:paraId="072525C0">
      <w:pPr>
        <w:keepNext w:val="0"/>
        <w:keepLines w:val="0"/>
        <w:pageBreakBefore w:val="0"/>
        <w:widowControl/>
        <w:kinsoku/>
        <w:wordWrap/>
        <w:overflowPunct/>
        <w:topLinePunct w:val="0"/>
        <w:autoSpaceDE/>
        <w:autoSpaceDN/>
        <w:bidi w:val="0"/>
        <w:adjustRightInd w:val="0"/>
        <w:snapToGrid/>
        <w:spacing w:after="120" w:line="580" w:lineRule="exact"/>
        <w:ind w:firstLine="630" w:firstLineChars="196"/>
        <w:jc w:val="left"/>
        <w:textAlignment w:val="auto"/>
        <w:rPr>
          <w:rFonts w:hint="eastAsia" w:ascii="仿宋_GB2312" w:hAnsi="ˎ̥" w:eastAsia="仿宋_GB2312" w:cs="宋体"/>
          <w:b/>
          <w:color w:val="000000"/>
          <w:kern w:val="0"/>
          <w:sz w:val="32"/>
          <w:szCs w:val="32"/>
          <w:highlight w:val="none"/>
        </w:rPr>
      </w:pPr>
      <w:r>
        <w:rPr>
          <w:rFonts w:hint="eastAsia" w:ascii="仿宋_GB2312" w:hAnsi="ˎ̥" w:eastAsia="仿宋_GB2312" w:cs="宋体"/>
          <w:b/>
          <w:color w:val="000000"/>
          <w:kern w:val="0"/>
          <w:sz w:val="32"/>
          <w:szCs w:val="32"/>
          <w:highlight w:val="none"/>
        </w:rPr>
        <w:t xml:space="preserve">第四条  </w:t>
      </w:r>
      <w:r>
        <w:rPr>
          <w:rFonts w:hint="eastAsia" w:ascii="仿宋_GB2312" w:eastAsia="仿宋_GB2312"/>
          <w:sz w:val="32"/>
          <w:szCs w:val="32"/>
          <w:highlight w:val="none"/>
        </w:rPr>
        <w:t>考核依据</w:t>
      </w:r>
    </w:p>
    <w:p w14:paraId="11E7A76B">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（一）《城市照明管理规定》（</w:t>
      </w:r>
      <w:r>
        <w:rPr>
          <w:rFonts w:hint="eastAsia" w:ascii="仿宋_GB2312" w:eastAsia="仿宋_GB2312"/>
          <w:sz w:val="32"/>
          <w:szCs w:val="32"/>
          <w:highlight w:val="none"/>
        </w:rPr>
        <w:t>中华人民共和国住房和城乡建设部令第4号</w:t>
      </w:r>
      <w:r>
        <w:rPr>
          <w:rFonts w:hint="eastAsia" w:ascii="仿宋_GB2312" w:eastAsia="仿宋_GB2312"/>
          <w:sz w:val="32"/>
          <w:szCs w:val="32"/>
          <w:highlight w:val="none"/>
          <w:lang w:eastAsia="zh-CN"/>
        </w:rPr>
        <w:t>令</w:t>
      </w:r>
      <w:r>
        <w:rPr>
          <w:rFonts w:hint="eastAsia" w:ascii="仿宋_GB2312" w:hAnsi="宋体" w:eastAsia="仿宋_GB2312" w:cs="宋体"/>
          <w:bCs/>
          <w:color w:val="000000"/>
          <w:kern w:val="0"/>
          <w:sz w:val="32"/>
          <w:szCs w:val="32"/>
          <w:highlight w:val="none"/>
        </w:rPr>
        <w:t>）</w:t>
      </w:r>
    </w:p>
    <w:p w14:paraId="2D6C70AA">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（二）《城市市容和环境卫生管理条例》(</w:t>
      </w:r>
      <w:r>
        <w:rPr>
          <w:rFonts w:hint="eastAsia" w:ascii="仿宋_GB2312" w:hAnsi="Verdana" w:eastAsia="仿宋_GB2312" w:cs="宋体"/>
          <w:color w:val="000000"/>
          <w:kern w:val="0"/>
          <w:sz w:val="32"/>
          <w:szCs w:val="32"/>
          <w:highlight w:val="none"/>
        </w:rPr>
        <w:t>中华人民共和国国务院令第101号)</w:t>
      </w:r>
    </w:p>
    <w:p w14:paraId="2E875D0E">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（三）</w:t>
      </w:r>
      <w:r>
        <w:rPr>
          <w:rFonts w:hint="eastAsia" w:ascii="仿宋_GB2312" w:hAnsi="宋体" w:eastAsia="仿宋_GB2312" w:cs="宋体"/>
          <w:color w:val="000000"/>
          <w:kern w:val="0"/>
          <w:sz w:val="32"/>
          <w:szCs w:val="32"/>
          <w:highlight w:val="none"/>
        </w:rPr>
        <w:t>《城市夜景照明设计规范》（JGJ/T163-2008）</w:t>
      </w:r>
    </w:p>
    <w:p w14:paraId="17A13533">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（四）《杭州市城市市容和环境卫生管理条例》</w:t>
      </w:r>
    </w:p>
    <w:p w14:paraId="0ADD5623">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（五）《杭州市夜景灯光设置管理办法》(市政府令第130号)</w:t>
      </w:r>
    </w:p>
    <w:p w14:paraId="4EA334D6">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w:t>
      </w:r>
      <w:r>
        <w:rPr>
          <w:rFonts w:hint="eastAsia" w:ascii="仿宋_GB2312" w:hAnsi="宋体" w:eastAsia="仿宋_GB2312" w:cs="宋体"/>
          <w:bCs/>
          <w:color w:val="000000"/>
          <w:kern w:val="0"/>
          <w:sz w:val="32"/>
          <w:szCs w:val="32"/>
          <w:highlight w:val="none"/>
          <w:lang w:eastAsia="zh-CN"/>
        </w:rPr>
        <w:t>六</w:t>
      </w:r>
      <w:r>
        <w:rPr>
          <w:rFonts w:hint="eastAsia" w:ascii="仿宋_GB2312" w:hAnsi="宋体" w:eastAsia="仿宋_GB2312" w:cs="宋体"/>
          <w:bCs/>
          <w:color w:val="000000"/>
          <w:kern w:val="0"/>
          <w:sz w:val="32"/>
          <w:szCs w:val="32"/>
          <w:highlight w:val="none"/>
        </w:rPr>
        <w:t>）《杭州市城市照明管理办法》（杭州市人民政府令第305号）</w:t>
      </w:r>
    </w:p>
    <w:p w14:paraId="066D2EB1">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lang w:eastAsia="zh-CN"/>
        </w:rPr>
      </w:pPr>
      <w:r>
        <w:rPr>
          <w:rFonts w:hint="eastAsia" w:ascii="仿宋_GB2312" w:hAnsi="宋体" w:eastAsia="仿宋_GB2312" w:cs="宋体"/>
          <w:bCs/>
          <w:color w:val="000000"/>
          <w:kern w:val="0"/>
          <w:sz w:val="32"/>
          <w:szCs w:val="32"/>
          <w:highlight w:val="none"/>
          <w:lang w:eastAsia="zh-CN"/>
        </w:rPr>
        <w:t>（七）《关于印发杭州市市区景观亮化运行管理工作方案的通知》（杭政办函</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val="en-US" w:eastAsia="zh-CN"/>
        </w:rPr>
        <w:t>2016</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val="en-US" w:eastAsia="zh-CN"/>
        </w:rPr>
        <w:t>132</w:t>
      </w:r>
      <w:r>
        <w:rPr>
          <w:rFonts w:hint="eastAsia" w:ascii="仿宋_GB2312" w:hAnsi="宋体" w:eastAsia="仿宋_GB2312" w:cs="宋体"/>
          <w:color w:val="000000"/>
          <w:kern w:val="0"/>
          <w:sz w:val="32"/>
          <w:szCs w:val="32"/>
          <w:highlight w:val="none"/>
        </w:rPr>
        <w:t>号</w:t>
      </w:r>
      <w:r>
        <w:rPr>
          <w:rFonts w:hint="eastAsia" w:ascii="仿宋_GB2312" w:hAnsi="宋体" w:eastAsia="仿宋_GB2312" w:cs="宋体"/>
          <w:bCs/>
          <w:color w:val="000000"/>
          <w:kern w:val="0"/>
          <w:sz w:val="32"/>
          <w:szCs w:val="32"/>
          <w:highlight w:val="none"/>
          <w:lang w:eastAsia="zh-CN"/>
        </w:rPr>
        <w:t>）</w:t>
      </w:r>
    </w:p>
    <w:p w14:paraId="3CA6E05A">
      <w:pPr>
        <w:keepNext w:val="0"/>
        <w:keepLines w:val="0"/>
        <w:pageBreakBefore w:val="0"/>
        <w:kinsoku/>
        <w:wordWrap/>
        <w:overflowPunct/>
        <w:topLinePunct w:val="0"/>
        <w:autoSpaceDE/>
        <w:autoSpaceDN/>
        <w:bidi w:val="0"/>
        <w:snapToGrid/>
        <w:spacing w:line="580" w:lineRule="exact"/>
        <w:ind w:left="639"/>
        <w:textAlignment w:val="auto"/>
        <w:rPr>
          <w:rFonts w:hint="eastAsia" w:ascii="仿宋_GB2312" w:eastAsia="仿宋_GB2312"/>
          <w:sz w:val="32"/>
          <w:szCs w:val="32"/>
          <w:highlight w:val="none"/>
        </w:rPr>
      </w:pPr>
      <w:r>
        <w:rPr>
          <w:rFonts w:hint="eastAsia" w:ascii="仿宋_GB2312" w:eastAsia="仿宋_GB2312"/>
          <w:b/>
          <w:sz w:val="32"/>
          <w:szCs w:val="32"/>
          <w:highlight w:val="none"/>
        </w:rPr>
        <w:t xml:space="preserve">第五条 </w:t>
      </w:r>
      <w:r>
        <w:rPr>
          <w:rFonts w:hint="eastAsia" w:ascii="仿宋_GB2312" w:eastAsia="仿宋_GB2312"/>
          <w:sz w:val="32"/>
          <w:szCs w:val="32"/>
          <w:highlight w:val="none"/>
        </w:rPr>
        <w:t>考核方法</w:t>
      </w:r>
    </w:p>
    <w:p w14:paraId="364442A9">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由内业考核、外业考核、创新创优考核及负面清单考核四部分组成。</w:t>
      </w:r>
    </w:p>
    <w:p w14:paraId="37740F1A">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（一）内业考核：主要检查台账资料，以月度检查为主，年底汇总。</w:t>
      </w:r>
    </w:p>
    <w:p w14:paraId="165C1C43">
      <w:pPr>
        <w:keepNext w:val="0"/>
        <w:keepLines w:val="0"/>
        <w:pageBreakBefore w:val="0"/>
        <w:kinsoku/>
        <w:wordWrap/>
        <w:overflowPunct/>
        <w:topLinePunct w:val="0"/>
        <w:autoSpaceDE/>
        <w:autoSpaceDN/>
        <w:bidi w:val="0"/>
        <w:snapToGrid/>
        <w:spacing w:line="580" w:lineRule="exact"/>
        <w:ind w:firstLine="480" w:firstLineChars="150"/>
        <w:textAlignment w:val="auto"/>
        <w:rPr>
          <w:rFonts w:hint="eastAsia" w:ascii="仿宋_GB2312" w:eastAsia="仿宋_GB2312"/>
          <w:sz w:val="32"/>
          <w:szCs w:val="32"/>
          <w:highlight w:val="none"/>
        </w:rPr>
      </w:pPr>
      <w:r>
        <w:rPr>
          <w:rFonts w:hint="eastAsia" w:ascii="仿宋_GB2312" w:eastAsia="仿宋_GB2312"/>
          <w:sz w:val="32"/>
          <w:szCs w:val="32"/>
          <w:highlight w:val="none"/>
        </w:rPr>
        <w:t>（二）外业考核：主要检查养护作业情况、环境整治情况、亚运专项整治情况、项目部情况、信访投诉情况等涉及养护的所有工作，以日常检查为主，月底汇总。</w:t>
      </w:r>
    </w:p>
    <w:p w14:paraId="023AAE27">
      <w:pPr>
        <w:keepNext w:val="0"/>
        <w:keepLines w:val="0"/>
        <w:pageBreakBefore w:val="0"/>
        <w:kinsoku/>
        <w:wordWrap/>
        <w:overflowPunct/>
        <w:topLinePunct w:val="0"/>
        <w:autoSpaceDE/>
        <w:autoSpaceDN/>
        <w:bidi w:val="0"/>
        <w:snapToGrid/>
        <w:spacing w:line="580" w:lineRule="exact"/>
        <w:ind w:firstLine="480" w:firstLineChars="150"/>
        <w:textAlignment w:val="auto"/>
        <w:rPr>
          <w:rFonts w:hint="eastAsia" w:ascii="仿宋_GB2312" w:eastAsia="仿宋_GB2312"/>
          <w:sz w:val="32"/>
          <w:szCs w:val="32"/>
          <w:highlight w:val="none"/>
        </w:rPr>
      </w:pPr>
      <w:r>
        <w:rPr>
          <w:rFonts w:hint="eastAsia" w:ascii="仿宋_GB2312" w:eastAsia="仿宋_GB2312"/>
          <w:sz w:val="32"/>
          <w:szCs w:val="32"/>
          <w:highlight w:val="none"/>
        </w:rPr>
        <w:t>（三）创新创优考核：作为加分项，具体为养护单位在养护工作上的突出表现，获得的表彰奖励、领导批示等，按次考核核减扣款，月底汇总。</w:t>
      </w:r>
    </w:p>
    <w:p w14:paraId="73BF2000">
      <w:pPr>
        <w:keepNext w:val="0"/>
        <w:keepLines w:val="0"/>
        <w:pageBreakBefore w:val="0"/>
        <w:kinsoku/>
        <w:wordWrap/>
        <w:overflowPunct/>
        <w:topLinePunct w:val="0"/>
        <w:autoSpaceDE/>
        <w:autoSpaceDN/>
        <w:bidi w:val="0"/>
        <w:snapToGrid/>
        <w:spacing w:line="580" w:lineRule="exact"/>
        <w:ind w:firstLine="480" w:firstLineChars="150"/>
        <w:textAlignment w:val="auto"/>
        <w:rPr>
          <w:rFonts w:hint="eastAsia" w:ascii="仿宋_GB2312" w:eastAsia="仿宋_GB2312"/>
          <w:sz w:val="32"/>
          <w:szCs w:val="32"/>
          <w:highlight w:val="none"/>
        </w:rPr>
      </w:pPr>
      <w:r>
        <w:rPr>
          <w:rFonts w:hint="eastAsia" w:ascii="仿宋_GB2312" w:eastAsia="仿宋_GB2312"/>
          <w:sz w:val="32"/>
          <w:szCs w:val="32"/>
          <w:highlight w:val="none"/>
        </w:rPr>
        <w:t>（四）负面清单考核：作为扣分项，具体为养护单位在养护工作上出现的安全管理、负面舆情、领导交办、专项督查等方面，按次考核扣款，月底汇总</w:t>
      </w:r>
    </w:p>
    <w:p w14:paraId="058392C2">
      <w:pPr>
        <w:keepNext w:val="0"/>
        <w:keepLines w:val="0"/>
        <w:pageBreakBefore w:val="0"/>
        <w:kinsoku/>
        <w:wordWrap/>
        <w:overflowPunct/>
        <w:topLinePunct w:val="0"/>
        <w:autoSpaceDE/>
        <w:autoSpaceDN/>
        <w:bidi w:val="0"/>
        <w:snapToGrid/>
        <w:spacing w:line="580" w:lineRule="exact"/>
        <w:ind w:left="643"/>
        <w:textAlignment w:val="auto"/>
        <w:rPr>
          <w:rFonts w:hint="eastAsia" w:ascii="仿宋_GB2312" w:eastAsia="仿宋_GB2312"/>
          <w:b/>
          <w:sz w:val="32"/>
          <w:szCs w:val="32"/>
          <w:highlight w:val="none"/>
        </w:rPr>
      </w:pPr>
      <w:r>
        <w:rPr>
          <w:rFonts w:hint="eastAsia" w:ascii="仿宋_GB2312" w:eastAsia="仿宋_GB2312"/>
          <w:b/>
          <w:sz w:val="32"/>
          <w:szCs w:val="32"/>
          <w:highlight w:val="none"/>
        </w:rPr>
        <w:t xml:space="preserve">第六条  </w:t>
      </w:r>
      <w:r>
        <w:rPr>
          <w:rFonts w:hint="eastAsia" w:ascii="仿宋_GB2312" w:eastAsia="仿宋_GB2312"/>
          <w:sz w:val="32"/>
          <w:szCs w:val="32"/>
          <w:highlight w:val="none"/>
        </w:rPr>
        <w:t>作业标准（详见附件1）</w:t>
      </w:r>
    </w:p>
    <w:p w14:paraId="6E0376D5">
      <w:pPr>
        <w:keepNext w:val="0"/>
        <w:keepLines w:val="0"/>
        <w:pageBreakBefore w:val="0"/>
        <w:kinsoku/>
        <w:wordWrap/>
        <w:overflowPunct/>
        <w:topLinePunct w:val="0"/>
        <w:autoSpaceDE/>
        <w:autoSpaceDN/>
        <w:bidi w:val="0"/>
        <w:snapToGrid/>
        <w:spacing w:line="580" w:lineRule="exact"/>
        <w:ind w:left="643"/>
        <w:textAlignment w:val="auto"/>
        <w:rPr>
          <w:rFonts w:hint="eastAsia" w:ascii="仿宋_GB2312" w:eastAsia="仿宋_GB2312"/>
          <w:b/>
          <w:sz w:val="32"/>
          <w:szCs w:val="32"/>
          <w:highlight w:val="none"/>
        </w:rPr>
      </w:pPr>
      <w:r>
        <w:rPr>
          <w:rFonts w:hint="eastAsia" w:ascii="仿宋_GB2312" w:eastAsia="仿宋_GB2312"/>
          <w:b/>
          <w:sz w:val="32"/>
          <w:szCs w:val="32"/>
          <w:highlight w:val="none"/>
        </w:rPr>
        <w:t xml:space="preserve">第七条  </w:t>
      </w:r>
      <w:r>
        <w:rPr>
          <w:rFonts w:hint="eastAsia" w:ascii="仿宋_GB2312" w:eastAsia="仿宋_GB2312"/>
          <w:sz w:val="32"/>
          <w:szCs w:val="32"/>
          <w:highlight w:val="none"/>
        </w:rPr>
        <w:t>扣款标准（详见附件2）</w:t>
      </w:r>
    </w:p>
    <w:p w14:paraId="5CE8C4BC">
      <w:pPr>
        <w:keepNext w:val="0"/>
        <w:keepLines w:val="0"/>
        <w:pageBreakBefore w:val="0"/>
        <w:kinsoku/>
        <w:wordWrap/>
        <w:overflowPunct/>
        <w:topLinePunct w:val="0"/>
        <w:autoSpaceDE/>
        <w:autoSpaceDN/>
        <w:bidi w:val="0"/>
        <w:snapToGrid/>
        <w:spacing w:line="580" w:lineRule="exact"/>
        <w:ind w:left="643"/>
        <w:textAlignment w:val="auto"/>
        <w:rPr>
          <w:rFonts w:hint="eastAsia" w:ascii="仿宋_GB2312" w:eastAsia="仿宋_GB2312"/>
          <w:sz w:val="32"/>
          <w:szCs w:val="32"/>
          <w:highlight w:val="none"/>
        </w:rPr>
      </w:pPr>
      <w:r>
        <w:rPr>
          <w:rFonts w:hint="eastAsia" w:ascii="仿宋_GB2312" w:eastAsia="仿宋_GB2312"/>
          <w:b/>
          <w:sz w:val="32"/>
          <w:szCs w:val="32"/>
          <w:highlight w:val="none"/>
        </w:rPr>
        <w:t xml:space="preserve">第八条  </w:t>
      </w:r>
      <w:r>
        <w:rPr>
          <w:rFonts w:hint="eastAsia" w:ascii="仿宋_GB2312" w:eastAsia="仿宋_GB2312"/>
          <w:sz w:val="32"/>
          <w:szCs w:val="32"/>
          <w:highlight w:val="none"/>
        </w:rPr>
        <w:t>扣款方式</w:t>
      </w:r>
    </w:p>
    <w:p w14:paraId="7B0DD61F">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在区财政向养护单位核拨养护经费时扣除（含数字城管考核扣款）。</w:t>
      </w:r>
    </w:p>
    <w:p w14:paraId="4AE84667">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b/>
          <w:sz w:val="32"/>
          <w:szCs w:val="32"/>
          <w:highlight w:val="none"/>
        </w:rPr>
      </w:pPr>
      <w:r>
        <w:rPr>
          <w:rFonts w:hint="eastAsia" w:ascii="仿宋_GB2312" w:eastAsia="仿宋_GB2312"/>
          <w:b/>
          <w:sz w:val="32"/>
          <w:szCs w:val="32"/>
          <w:highlight w:val="none"/>
        </w:rPr>
        <w:t>第九条  成绩评定</w:t>
      </w:r>
    </w:p>
    <w:p w14:paraId="464A9702">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b/>
          <w:sz w:val="32"/>
          <w:szCs w:val="32"/>
          <w:highlight w:val="none"/>
        </w:rPr>
      </w:pPr>
      <w:r>
        <w:rPr>
          <w:rFonts w:hint="eastAsia" w:ascii="仿宋_GB2312" w:eastAsia="仿宋_GB2312"/>
          <w:b/>
          <w:sz w:val="32"/>
          <w:szCs w:val="32"/>
          <w:highlight w:val="none"/>
        </w:rPr>
        <w:t>（一）月度考核成绩评定</w:t>
      </w:r>
    </w:p>
    <w:p w14:paraId="7C62A5D6">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月度考核成绩设合格与不合格两档。</w:t>
      </w:r>
    </w:p>
    <w:p w14:paraId="62099A0D">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合格：月度考核扣款额占月度养护费总额</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%（不含）以下。</w:t>
      </w:r>
    </w:p>
    <w:p w14:paraId="19A61335">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不合格：月度考核扣款额占月度养护费总额</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%（含）以上。</w:t>
      </w:r>
    </w:p>
    <w:p w14:paraId="395E0394">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b/>
          <w:sz w:val="32"/>
          <w:szCs w:val="32"/>
          <w:highlight w:val="none"/>
        </w:rPr>
      </w:pPr>
      <w:r>
        <w:rPr>
          <w:rFonts w:hint="eastAsia" w:ascii="仿宋_GB2312" w:eastAsia="仿宋_GB2312"/>
          <w:b/>
          <w:sz w:val="32"/>
          <w:szCs w:val="32"/>
          <w:highlight w:val="none"/>
        </w:rPr>
        <w:t>（二）年度考核成绩评定</w:t>
      </w:r>
    </w:p>
    <w:p w14:paraId="1BE4278A">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年度考核成绩设优秀、合格和不合格三档。</w:t>
      </w:r>
    </w:p>
    <w:p w14:paraId="52810E1F">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优秀：年度考核扣款额占全年养护费总额</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%（不含）以下，且当年月度考核均为合格。</w:t>
      </w:r>
    </w:p>
    <w:p w14:paraId="111E1E42">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合格：年度考核扣款额占全年养护费总额</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（含）</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%（不含），且当年月度考核成绩不合格次数少于2次。</w:t>
      </w:r>
    </w:p>
    <w:p w14:paraId="6CAA7C1C">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不合格：年度考核扣款额占全年养护费总额</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%（含）以上，或当年出现2次（含）以上月度考核不合格。</w:t>
      </w:r>
    </w:p>
    <w:p w14:paraId="24B61892">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月度、年度考核成绩出现不合格的单位，视情节轻重，抄送招投标</w:t>
      </w:r>
      <w:r>
        <w:rPr>
          <w:rFonts w:hint="eastAsia" w:ascii="仿宋_GB2312" w:eastAsia="仿宋_GB2312"/>
          <w:sz w:val="32"/>
          <w:szCs w:val="32"/>
          <w:highlight w:val="none"/>
          <w:lang w:eastAsia="zh-CN"/>
        </w:rPr>
        <w:t>（采购）</w:t>
      </w:r>
      <w:r>
        <w:rPr>
          <w:rFonts w:hint="eastAsia" w:ascii="仿宋_GB2312" w:eastAsia="仿宋_GB2312"/>
          <w:sz w:val="32"/>
          <w:szCs w:val="32"/>
          <w:highlight w:val="none"/>
        </w:rPr>
        <w:t>管理部门。</w:t>
      </w:r>
    </w:p>
    <w:p w14:paraId="7F77894B">
      <w:pPr>
        <w:keepNext w:val="0"/>
        <w:keepLines w:val="0"/>
        <w:pageBreakBefore w:val="0"/>
        <w:kinsoku/>
        <w:wordWrap/>
        <w:overflowPunct/>
        <w:topLinePunct w:val="0"/>
        <w:autoSpaceDE/>
        <w:autoSpaceDN/>
        <w:bidi w:val="0"/>
        <w:snapToGrid/>
        <w:spacing w:line="580" w:lineRule="exact"/>
        <w:ind w:firstLine="643" w:firstLineChars="200"/>
        <w:textAlignment w:val="auto"/>
        <w:rPr>
          <w:rFonts w:hint="default" w:ascii="楷体_GB2312" w:hAnsi="Times New Roman" w:eastAsia="楷体_GB2312" w:cs="Times New Roman"/>
          <w:b/>
          <w:sz w:val="32"/>
          <w:szCs w:val="32"/>
          <w:highlight w:val="none"/>
          <w:lang w:val="en-US" w:eastAsia="zh-CN"/>
        </w:rPr>
      </w:pPr>
      <w:r>
        <w:rPr>
          <w:rFonts w:hint="eastAsia" w:ascii="楷体_GB2312" w:hAnsi="Times New Roman" w:eastAsia="楷体_GB2312" w:cs="Times New Roman"/>
          <w:b/>
          <w:sz w:val="32"/>
          <w:szCs w:val="32"/>
          <w:highlight w:val="none"/>
          <w:lang w:val="en-US" w:eastAsia="zh-CN"/>
        </w:rPr>
        <w:t xml:space="preserve">第十条   </w:t>
      </w:r>
      <w:r>
        <w:rPr>
          <w:rFonts w:hint="eastAsia" w:ascii="仿宋_GB2312" w:hAnsi="Times New Roman" w:eastAsia="仿宋_GB2312" w:cs="Times New Roman"/>
          <w:sz w:val="32"/>
          <w:szCs w:val="32"/>
          <w:highlight w:val="none"/>
          <w:lang w:val="en-US" w:eastAsia="zh-CN"/>
        </w:rPr>
        <w:t>考核运用：若合同中约定考核优秀方可续签下一年合同的项目，结合考核结果为无法续签的，则区综合行政执法局立即启动养护采购工作，采购期间的养护仍由原单位按原合同价及养护标准做好长效养护，待新单位产生后立即进行交接，交接完成后原养护单位养护期和养护合同终止。</w:t>
      </w:r>
    </w:p>
    <w:p w14:paraId="6FC3FE91">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highlight w:val="none"/>
        </w:rPr>
      </w:pPr>
      <w:r>
        <w:rPr>
          <w:rFonts w:hint="eastAsia" w:ascii="楷体_GB2312" w:eastAsia="楷体_GB2312"/>
          <w:b/>
          <w:sz w:val="32"/>
          <w:szCs w:val="32"/>
          <w:highlight w:val="none"/>
        </w:rPr>
        <w:t>第十</w:t>
      </w:r>
      <w:r>
        <w:rPr>
          <w:rFonts w:hint="eastAsia" w:ascii="楷体_GB2312" w:eastAsia="楷体_GB2312"/>
          <w:b/>
          <w:sz w:val="32"/>
          <w:szCs w:val="32"/>
          <w:highlight w:val="none"/>
          <w:lang w:eastAsia="zh-CN"/>
        </w:rPr>
        <w:t>一</w:t>
      </w:r>
      <w:r>
        <w:rPr>
          <w:rFonts w:hint="eastAsia" w:ascii="楷体_GB2312" w:eastAsia="楷体_GB2312"/>
          <w:b/>
          <w:sz w:val="32"/>
          <w:szCs w:val="32"/>
          <w:highlight w:val="none"/>
        </w:rPr>
        <w:t>条</w:t>
      </w:r>
      <w:r>
        <w:rPr>
          <w:rFonts w:hint="eastAsia" w:ascii="仿宋_GB2312" w:eastAsia="仿宋_GB2312"/>
          <w:sz w:val="32"/>
          <w:szCs w:val="32"/>
          <w:highlight w:val="none"/>
        </w:rPr>
        <w:t xml:space="preserve">  本考核办法解释权归杭州市钱塘区综合行政执法局。</w:t>
      </w:r>
    </w:p>
    <w:p w14:paraId="05FDA558">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highlight w:val="none"/>
        </w:rPr>
      </w:pPr>
      <w:r>
        <w:rPr>
          <w:rFonts w:hint="eastAsia" w:ascii="楷体_GB2312" w:eastAsia="楷体_GB2312"/>
          <w:b/>
          <w:sz w:val="32"/>
          <w:szCs w:val="32"/>
          <w:highlight w:val="none"/>
        </w:rPr>
        <w:t>第十</w:t>
      </w:r>
      <w:r>
        <w:rPr>
          <w:rFonts w:hint="eastAsia" w:ascii="楷体_GB2312" w:eastAsia="楷体_GB2312"/>
          <w:b/>
          <w:sz w:val="32"/>
          <w:szCs w:val="32"/>
          <w:highlight w:val="none"/>
          <w:lang w:eastAsia="zh-CN"/>
        </w:rPr>
        <w:t>二</w:t>
      </w:r>
      <w:r>
        <w:rPr>
          <w:rFonts w:hint="eastAsia" w:ascii="楷体_GB2312" w:eastAsia="楷体_GB2312"/>
          <w:b/>
          <w:sz w:val="32"/>
          <w:szCs w:val="32"/>
          <w:highlight w:val="none"/>
        </w:rPr>
        <w:t>条</w:t>
      </w:r>
      <w:r>
        <w:rPr>
          <w:rFonts w:hint="eastAsia" w:ascii="仿宋_GB2312" w:eastAsia="仿宋_GB2312"/>
          <w:sz w:val="32"/>
          <w:szCs w:val="32"/>
          <w:highlight w:val="none"/>
        </w:rPr>
        <w:t xml:space="preserve">  本考核办法从20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月1日起正式实施。</w:t>
      </w:r>
    </w:p>
    <w:p w14:paraId="27DFDDC5">
      <w:pPr>
        <w:keepNext w:val="0"/>
        <w:keepLines w:val="0"/>
        <w:pageBreakBefore w:val="0"/>
        <w:kinsoku/>
        <w:wordWrap/>
        <w:overflowPunct/>
        <w:topLinePunct w:val="0"/>
        <w:autoSpaceDE/>
        <w:autoSpaceDN/>
        <w:bidi w:val="0"/>
        <w:snapToGrid/>
        <w:spacing w:line="580" w:lineRule="exact"/>
        <w:ind w:firstLine="593" w:firstLineChars="197"/>
        <w:textAlignment w:val="auto"/>
        <w:rPr>
          <w:rFonts w:hint="eastAsia" w:ascii="楷体_GB2312" w:eastAsia="楷体_GB2312"/>
          <w:b/>
          <w:sz w:val="30"/>
          <w:szCs w:val="30"/>
          <w:highlight w:val="none"/>
        </w:rPr>
      </w:pPr>
    </w:p>
    <w:p w14:paraId="62B869B8">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hAnsi="Times New Roman" w:eastAsia="仿宋_GB2312" w:cs="Times New Roman"/>
          <w:sz w:val="32"/>
          <w:szCs w:val="32"/>
          <w:highlight w:val="none"/>
          <w:lang w:val="en-US" w:eastAsia="zh-CN"/>
        </w:rPr>
      </w:pPr>
      <w:r>
        <w:rPr>
          <w:rFonts w:hint="eastAsia" w:ascii="楷体_GB2312" w:eastAsia="楷体_GB2312"/>
          <w:b/>
          <w:sz w:val="32"/>
          <w:szCs w:val="32"/>
          <w:highlight w:val="none"/>
        </w:rPr>
        <w:t>附件：</w:t>
      </w:r>
      <w:r>
        <w:rPr>
          <w:rFonts w:hint="eastAsia" w:ascii="仿宋_GB2312" w:hAnsi="Times New Roman" w:eastAsia="仿宋_GB2312" w:cs="Times New Roman"/>
          <w:sz w:val="32"/>
          <w:szCs w:val="32"/>
          <w:highlight w:val="none"/>
          <w:lang w:val="en-US" w:eastAsia="zh-CN"/>
        </w:rPr>
        <w:t>1.景观照明养护作业标准</w:t>
      </w:r>
    </w:p>
    <w:p w14:paraId="0091B6FD">
      <w:pPr>
        <w:keepNext w:val="0"/>
        <w:keepLines w:val="0"/>
        <w:pageBreakBefore w:val="0"/>
        <w:kinsoku/>
        <w:wordWrap/>
        <w:overflowPunct/>
        <w:topLinePunct w:val="0"/>
        <w:autoSpaceDE/>
        <w:autoSpaceDN/>
        <w:bidi w:val="0"/>
        <w:snapToGrid/>
        <w:spacing w:after="156" w:afterLines="50" w:line="580" w:lineRule="exact"/>
        <w:jc w:val="center"/>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 xml:space="preserve">   2.景观照明养护作业考核扣款（奖励）标准</w:t>
      </w:r>
    </w:p>
    <w:p w14:paraId="7E21937B">
      <w:pPr>
        <w:pStyle w:val="44"/>
        <w:rPr>
          <w:rFonts w:hint="eastAsia"/>
          <w:highlight w:val="none"/>
        </w:rPr>
      </w:pPr>
    </w:p>
    <w:p w14:paraId="10E87E71">
      <w:pPr>
        <w:rPr>
          <w:rFonts w:hint="eastAsia" w:ascii="仿宋_GB2312" w:hAnsi="仿宋" w:eastAsia="仿宋_GB2312" w:cs="仿宋_GB2312"/>
          <w:b/>
          <w:sz w:val="36"/>
          <w:szCs w:val="20"/>
          <w:highlight w:val="none"/>
          <w:lang w:eastAsia="zh-CN"/>
        </w:rPr>
      </w:pPr>
    </w:p>
    <w:p w14:paraId="526D2D9A">
      <w:pPr>
        <w:rPr>
          <w:rFonts w:hint="eastAsia" w:ascii="仿宋_GB2312" w:hAnsi="仿宋" w:eastAsia="仿宋_GB2312" w:cs="仿宋_GB2312"/>
          <w:b/>
          <w:sz w:val="36"/>
          <w:szCs w:val="20"/>
          <w:highlight w:val="none"/>
          <w:lang w:eastAsia="zh-CN"/>
        </w:rPr>
      </w:pPr>
    </w:p>
    <w:p w14:paraId="6F1A8EA9">
      <w:pPr>
        <w:rPr>
          <w:rFonts w:hint="eastAsia" w:ascii="仿宋_GB2312" w:hAnsi="仿宋" w:eastAsia="仿宋_GB2312" w:cs="仿宋_GB2312"/>
          <w:b/>
          <w:sz w:val="36"/>
          <w:szCs w:val="20"/>
          <w:highlight w:val="none"/>
          <w:lang w:eastAsia="zh-CN"/>
        </w:rPr>
      </w:pPr>
      <w:r>
        <w:rPr>
          <w:rFonts w:hint="eastAsia" w:ascii="仿宋_GB2312" w:hAnsi="仿宋" w:eastAsia="仿宋_GB2312" w:cs="仿宋_GB2312"/>
          <w:b/>
          <w:sz w:val="36"/>
          <w:szCs w:val="20"/>
          <w:highlight w:val="none"/>
          <w:lang w:eastAsia="zh-CN"/>
        </w:rPr>
        <w:br w:type="page"/>
      </w:r>
    </w:p>
    <w:p w14:paraId="4FF92B50">
      <w:pPr>
        <w:jc w:val="center"/>
        <w:rPr>
          <w:rFonts w:hint="eastAsia" w:ascii="仿宋_GB2312" w:hAnsi="仿宋" w:eastAsia="仿宋_GB2312" w:cs="仿宋_GB2312"/>
          <w:b/>
          <w:sz w:val="36"/>
          <w:szCs w:val="20"/>
          <w:highlight w:val="none"/>
          <w:lang w:val="en-US" w:eastAsia="zh-CN"/>
        </w:rPr>
      </w:pPr>
      <w:r>
        <w:rPr>
          <w:rFonts w:hint="eastAsia" w:ascii="仿宋_GB2312" w:hAnsi="仿宋" w:eastAsia="仿宋_GB2312" w:cs="仿宋_GB2312"/>
          <w:b/>
          <w:sz w:val="36"/>
          <w:szCs w:val="20"/>
          <w:highlight w:val="none"/>
          <w:lang w:eastAsia="zh-CN"/>
        </w:rPr>
        <w:t>附件</w:t>
      </w:r>
      <w:r>
        <w:rPr>
          <w:rFonts w:hint="eastAsia" w:ascii="仿宋_GB2312" w:hAnsi="仿宋" w:eastAsia="仿宋_GB2312" w:cs="仿宋_GB2312"/>
          <w:b/>
          <w:sz w:val="36"/>
          <w:szCs w:val="20"/>
          <w:highlight w:val="none"/>
          <w:lang w:val="en-US" w:eastAsia="zh-CN"/>
        </w:rPr>
        <w:t>1：景观照明养护作业标准</w:t>
      </w:r>
    </w:p>
    <w:tbl>
      <w:tblPr>
        <w:tblStyle w:val="4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560"/>
        <w:gridCol w:w="6878"/>
      </w:tblGrid>
      <w:tr w14:paraId="0D42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BB08B54">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分类</w:t>
            </w:r>
          </w:p>
        </w:tc>
        <w:tc>
          <w:tcPr>
            <w:tcW w:w="1560" w:type="dxa"/>
            <w:vAlign w:val="center"/>
          </w:tcPr>
          <w:p w14:paraId="51385593">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项目</w:t>
            </w:r>
          </w:p>
        </w:tc>
        <w:tc>
          <w:tcPr>
            <w:tcW w:w="6878" w:type="dxa"/>
            <w:vAlign w:val="center"/>
          </w:tcPr>
          <w:p w14:paraId="204F6169">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标   准</w:t>
            </w:r>
          </w:p>
        </w:tc>
      </w:tr>
      <w:tr w14:paraId="34EA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14:paraId="1A6A66DD">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内   业</w:t>
            </w:r>
          </w:p>
        </w:tc>
        <w:tc>
          <w:tcPr>
            <w:tcW w:w="1560" w:type="dxa"/>
            <w:vAlign w:val="center"/>
          </w:tcPr>
          <w:p w14:paraId="48B81811">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制度建设</w:t>
            </w:r>
          </w:p>
        </w:tc>
        <w:tc>
          <w:tcPr>
            <w:tcW w:w="6878" w:type="dxa"/>
            <w:vAlign w:val="center"/>
          </w:tcPr>
          <w:p w14:paraId="2966C1F8">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建立人员管理、物资管理、日常巡查、安全管理、应急处置、养护作业安全操作规程、档案管理等景观照明设施养护相关制度，明确内部处置流程。巡查车辆GPS巡查轨迹符合合同约定要求。</w:t>
            </w:r>
          </w:p>
        </w:tc>
      </w:tr>
      <w:tr w14:paraId="51BF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26EFB633">
            <w:pPr>
              <w:jc w:val="center"/>
              <w:rPr>
                <w:rFonts w:ascii="仿宋_GB2312" w:hAnsi="仿宋" w:eastAsia="仿宋_GB2312" w:cs="仿宋_GB2312"/>
                <w:b/>
                <w:sz w:val="36"/>
                <w:szCs w:val="20"/>
                <w:highlight w:val="none"/>
                <w:vertAlign w:val="baseline"/>
              </w:rPr>
            </w:pPr>
          </w:p>
        </w:tc>
        <w:tc>
          <w:tcPr>
            <w:tcW w:w="1560" w:type="dxa"/>
            <w:vAlign w:val="center"/>
          </w:tcPr>
          <w:p w14:paraId="5CB67300">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应急处置</w:t>
            </w:r>
          </w:p>
        </w:tc>
        <w:tc>
          <w:tcPr>
            <w:tcW w:w="6878" w:type="dxa"/>
            <w:vAlign w:val="center"/>
          </w:tcPr>
          <w:p w14:paraId="62B99501">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建立各类突发事件的处置预案，落实台风、暴雨、冰雪等自然灾害来临前的防护措施和灾后修复工作，并建立相应工作台帐；建立景观灯信访投诉件的处理台帐;建立应急处置设施、故障的台账。</w:t>
            </w:r>
          </w:p>
        </w:tc>
      </w:tr>
      <w:tr w14:paraId="1963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28B1EAF1">
            <w:pPr>
              <w:jc w:val="center"/>
              <w:rPr>
                <w:rFonts w:ascii="仿宋_GB2312" w:hAnsi="仿宋" w:eastAsia="仿宋_GB2312" w:cs="仿宋_GB2312"/>
                <w:b/>
                <w:sz w:val="36"/>
                <w:szCs w:val="20"/>
                <w:highlight w:val="none"/>
                <w:vertAlign w:val="baseline"/>
              </w:rPr>
            </w:pPr>
          </w:p>
        </w:tc>
        <w:tc>
          <w:tcPr>
            <w:tcW w:w="1560" w:type="dxa"/>
            <w:vAlign w:val="center"/>
          </w:tcPr>
          <w:p w14:paraId="7DB882AE">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基础资料</w:t>
            </w:r>
          </w:p>
        </w:tc>
        <w:tc>
          <w:tcPr>
            <w:tcW w:w="6878" w:type="dxa"/>
            <w:vAlign w:val="top"/>
          </w:tcPr>
          <w:p w14:paraId="24B63DC4">
            <w:pPr>
              <w:keepNext w:val="0"/>
              <w:keepLines w:val="0"/>
              <w:widowControl/>
              <w:suppressLineNumbers w:val="0"/>
              <w:jc w:val="left"/>
              <w:textAlignment w:val="auto"/>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 xml:space="preserve">建立景观灯基础资料、维护机（器）械设备、维护人员、出（入）库、巡查、检修、灯杆（光源、灯罩）清洗台帐；做好景观灯维护日报和月报制度，每月定期上报月报表和月度总结及下月工作计划，并建立相应工作台帐；积极做好大型活动、领导检查、专项保障等工作，并建立相应工作台帐；参加专项会议、专项审查、专项验收等工作，并建立相应工作台账。按照市、区级宣传考核要求，每月按数量要求上报微信、微博、抖音、简讯等信息。   </w:t>
            </w:r>
          </w:p>
        </w:tc>
      </w:tr>
      <w:tr w14:paraId="08E2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0D8E58A7">
            <w:pPr>
              <w:jc w:val="center"/>
              <w:rPr>
                <w:rFonts w:ascii="仿宋_GB2312" w:hAnsi="仿宋" w:eastAsia="仿宋_GB2312" w:cs="仿宋_GB2312"/>
                <w:b/>
                <w:sz w:val="36"/>
                <w:szCs w:val="20"/>
                <w:highlight w:val="none"/>
                <w:vertAlign w:val="baseline"/>
              </w:rPr>
            </w:pPr>
          </w:p>
        </w:tc>
        <w:tc>
          <w:tcPr>
            <w:tcW w:w="1560" w:type="dxa"/>
            <w:vAlign w:val="center"/>
          </w:tcPr>
          <w:p w14:paraId="2D1487D2">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安全保障</w:t>
            </w:r>
          </w:p>
        </w:tc>
        <w:tc>
          <w:tcPr>
            <w:tcW w:w="6878" w:type="dxa"/>
            <w:vAlign w:val="center"/>
          </w:tcPr>
          <w:p w14:paraId="4018EFD2">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建立并落实安全职责、安全维护责任制，并按要求做好日常监督、专项治理等台账；严格执行维护作业安全制度，作业现场有安全监督专门负责人，仓库及项目部有安全管理制服及安全设施，并做好相应监督（管理）台账；按要求购买作业人员保险及第三者责任险，并登记在册;特殊工种作业人员证照齐全，并做好持证上岗。</w:t>
            </w:r>
          </w:p>
        </w:tc>
      </w:tr>
      <w:tr w14:paraId="2A3E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14:paraId="716FDFAA">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外     业</w:t>
            </w:r>
          </w:p>
        </w:tc>
        <w:tc>
          <w:tcPr>
            <w:tcW w:w="1560" w:type="dxa"/>
            <w:vAlign w:val="center"/>
          </w:tcPr>
          <w:p w14:paraId="0A24BD24">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亮灯情况</w:t>
            </w:r>
          </w:p>
        </w:tc>
        <w:tc>
          <w:tcPr>
            <w:tcW w:w="6878" w:type="dxa"/>
            <w:vAlign w:val="center"/>
          </w:tcPr>
          <w:p w14:paraId="6B6A3828">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灯具运行安全、稳定、正常;景观灯亮灯率达98%以上;灯具不出现整体不亮现象;灯具不出现断亮、缺亮、跳亮等现象。</w:t>
            </w:r>
          </w:p>
        </w:tc>
      </w:tr>
      <w:tr w14:paraId="03B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2BB7C815">
            <w:pPr>
              <w:jc w:val="center"/>
              <w:rPr>
                <w:rFonts w:ascii="仿宋_GB2312" w:hAnsi="仿宋" w:eastAsia="仿宋_GB2312" w:cs="仿宋_GB2312"/>
                <w:b/>
                <w:sz w:val="36"/>
                <w:szCs w:val="20"/>
                <w:highlight w:val="none"/>
                <w:vertAlign w:val="baseline"/>
              </w:rPr>
            </w:pPr>
          </w:p>
        </w:tc>
        <w:tc>
          <w:tcPr>
            <w:tcW w:w="1560" w:type="dxa"/>
            <w:vAlign w:val="center"/>
          </w:tcPr>
          <w:p w14:paraId="73B8D560">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灯具设备</w:t>
            </w:r>
          </w:p>
        </w:tc>
        <w:tc>
          <w:tcPr>
            <w:tcW w:w="6878" w:type="dxa"/>
            <w:vAlign w:val="center"/>
          </w:tcPr>
          <w:p w14:paraId="4F5BB823">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地面灯具基础周围土质坚实无松动；灯具各部件无松动、破损、污染、脱落；灯具固定支架无锈蚀、腐蚀、移位、污染、脱落；灯具内部无积水、污物，灯具的投射方向与角度正确；灯杆、灯具无乱吊、乱挂等现象；灯具设施无破碎、腐蚀、裂纹，出光部位无污染；引线绝缘可靠、保护软管良好，接地保护线牢固可靠；更换的灯具设备亮度、稳定性等符合要求。所有外露铁件做好油漆防腐。</w:t>
            </w:r>
          </w:p>
        </w:tc>
      </w:tr>
      <w:tr w14:paraId="5AA1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4F943FBA">
            <w:pPr>
              <w:jc w:val="center"/>
              <w:rPr>
                <w:rFonts w:ascii="仿宋_GB2312" w:hAnsi="仿宋" w:eastAsia="仿宋_GB2312" w:cs="仿宋_GB2312"/>
                <w:b/>
                <w:sz w:val="36"/>
                <w:szCs w:val="20"/>
                <w:highlight w:val="none"/>
                <w:vertAlign w:val="baseline"/>
              </w:rPr>
            </w:pPr>
          </w:p>
        </w:tc>
        <w:tc>
          <w:tcPr>
            <w:tcW w:w="1560" w:type="dxa"/>
            <w:vAlign w:val="center"/>
          </w:tcPr>
          <w:p w14:paraId="7ADCA7EB">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附属设备</w:t>
            </w:r>
          </w:p>
        </w:tc>
        <w:tc>
          <w:tcPr>
            <w:tcW w:w="6878" w:type="dxa"/>
            <w:vAlign w:val="center"/>
          </w:tcPr>
          <w:p w14:paraId="37EFDDB2">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箱（柜）体门连轴完好，开关正常，配电箱、控制柜不渗水、无锈蚀，防尘防水及其他防护设施完好可靠，仪表、信号灯齐全完好，工作正常；各级保护电器整定值符合设计值、给定值，照明控制程序安全可靠并符合设计要求；箱内开关等设备的动作灵活可靠，接地系统安全可靠，箱内无外接电源线路凌乱、外露、绑扎不牢固情况。所有外露铁件做好油漆防腐。</w:t>
            </w:r>
          </w:p>
        </w:tc>
      </w:tr>
      <w:tr w14:paraId="0089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671C4477">
            <w:pPr>
              <w:jc w:val="center"/>
              <w:rPr>
                <w:rFonts w:ascii="仿宋_GB2312" w:hAnsi="仿宋" w:eastAsia="仿宋_GB2312" w:cs="仿宋_GB2312"/>
                <w:b/>
                <w:sz w:val="36"/>
                <w:szCs w:val="20"/>
                <w:highlight w:val="none"/>
                <w:vertAlign w:val="baseline"/>
              </w:rPr>
            </w:pPr>
          </w:p>
        </w:tc>
        <w:tc>
          <w:tcPr>
            <w:tcW w:w="1560" w:type="dxa"/>
            <w:vAlign w:val="center"/>
          </w:tcPr>
          <w:p w14:paraId="7A36220D">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亮灯控制</w:t>
            </w:r>
          </w:p>
        </w:tc>
        <w:tc>
          <w:tcPr>
            <w:tcW w:w="6878" w:type="dxa"/>
            <w:vAlign w:val="center"/>
          </w:tcPr>
          <w:p w14:paraId="623FC7D7">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亮灯集控单位做好与亮灯养护单位的衔接,及时发现养护区域内不受控项目，并报执法局。集控单位须对规定亮灯时间未亮灯和不在亮灯时间内亮灯的项目做好处理,并报执法局备案。发生媒体曝光和群众投诉的涉及亮灯控制的各类事件，及时处理。</w:t>
            </w:r>
          </w:p>
        </w:tc>
      </w:tr>
      <w:tr w14:paraId="7B6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57162CFE">
            <w:pPr>
              <w:jc w:val="center"/>
              <w:rPr>
                <w:rFonts w:ascii="仿宋_GB2312" w:hAnsi="仿宋" w:eastAsia="仿宋_GB2312" w:cs="仿宋_GB2312"/>
                <w:b/>
                <w:sz w:val="36"/>
                <w:szCs w:val="20"/>
                <w:highlight w:val="none"/>
                <w:vertAlign w:val="baseline"/>
              </w:rPr>
            </w:pPr>
          </w:p>
        </w:tc>
        <w:tc>
          <w:tcPr>
            <w:tcW w:w="1560" w:type="dxa"/>
            <w:vAlign w:val="center"/>
          </w:tcPr>
          <w:p w14:paraId="5B1F3BFC">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设备检修</w:t>
            </w:r>
          </w:p>
        </w:tc>
        <w:tc>
          <w:tcPr>
            <w:tcW w:w="6878" w:type="dxa"/>
            <w:vAlign w:val="center"/>
          </w:tcPr>
          <w:p w14:paraId="3E2DA16E">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落实专人定期巡查、巡检；地面景观灯一般线路问题48小时内修复，灯具损坏24小时内更换或修复，电缆偷盗设备故障问题72小时内修复；楼宇景观灯一般线路问题及灯具损坏在72小时内更换或修复；接投诉或存在安全隐患的必须30分内进行现场核实；将结果向执法局报告，并且在24小时内处理到位；正常检修提前告知检修完毕随即关灯；因正常检修而亮灯必须现场设置告知标识；维修作业过程中必须有专人监护；白天开灯维修作业，需事先报告执法局备案。出现突发应急事件，在30分钟内进行现场核实后上报执法局，并按要求落实各项应急工作。</w:t>
            </w:r>
          </w:p>
        </w:tc>
      </w:tr>
      <w:tr w14:paraId="5EDB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411395E4">
            <w:pPr>
              <w:jc w:val="center"/>
              <w:rPr>
                <w:rFonts w:ascii="仿宋_GB2312" w:hAnsi="仿宋" w:eastAsia="仿宋_GB2312" w:cs="仿宋_GB2312"/>
                <w:b/>
                <w:sz w:val="36"/>
                <w:szCs w:val="20"/>
                <w:highlight w:val="none"/>
                <w:vertAlign w:val="baseline"/>
              </w:rPr>
            </w:pPr>
          </w:p>
        </w:tc>
        <w:tc>
          <w:tcPr>
            <w:tcW w:w="1560" w:type="dxa"/>
            <w:vAlign w:val="center"/>
          </w:tcPr>
          <w:p w14:paraId="5DF54B53">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安全作业</w:t>
            </w:r>
          </w:p>
        </w:tc>
        <w:tc>
          <w:tcPr>
            <w:tcW w:w="6878" w:type="dxa"/>
            <w:vAlign w:val="center"/>
          </w:tcPr>
          <w:p w14:paraId="1FBEE79A">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维修作业人员须着单位统一的工作服，特殊工种必须持证上岗；正确使用劳保用品，相关产品应具有合格证及检测报告；停车占道维修，设置警示标志；灯具维修与物业管理方做好沟协调通，无投诉现象；灯具维修完毕后现场需清理干净。</w:t>
            </w:r>
          </w:p>
        </w:tc>
      </w:tr>
      <w:tr w14:paraId="2EE4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2E2629B3">
            <w:pPr>
              <w:jc w:val="center"/>
              <w:rPr>
                <w:rFonts w:ascii="仿宋_GB2312" w:hAnsi="仿宋" w:eastAsia="仿宋_GB2312" w:cs="仿宋_GB2312"/>
                <w:b/>
                <w:sz w:val="36"/>
                <w:szCs w:val="20"/>
                <w:highlight w:val="none"/>
                <w:vertAlign w:val="baseline"/>
              </w:rPr>
            </w:pPr>
          </w:p>
        </w:tc>
        <w:tc>
          <w:tcPr>
            <w:tcW w:w="1560" w:type="dxa"/>
            <w:vAlign w:val="center"/>
          </w:tcPr>
          <w:p w14:paraId="2BF02BEA">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其他</w:t>
            </w:r>
          </w:p>
        </w:tc>
        <w:tc>
          <w:tcPr>
            <w:tcW w:w="6878" w:type="dxa"/>
            <w:vAlign w:val="center"/>
          </w:tcPr>
          <w:p w14:paraId="76226A6C">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根据区执法局要求，落实并完成其他相关养护内容。</w:t>
            </w:r>
          </w:p>
        </w:tc>
      </w:tr>
      <w:tr w14:paraId="477D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E2581A8">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分类</w:t>
            </w:r>
          </w:p>
        </w:tc>
        <w:tc>
          <w:tcPr>
            <w:tcW w:w="1560" w:type="dxa"/>
            <w:vAlign w:val="center"/>
          </w:tcPr>
          <w:p w14:paraId="45286A72">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项目</w:t>
            </w:r>
          </w:p>
        </w:tc>
        <w:tc>
          <w:tcPr>
            <w:tcW w:w="6878" w:type="dxa"/>
            <w:vAlign w:val="center"/>
          </w:tcPr>
          <w:p w14:paraId="0522BFF2">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标   准</w:t>
            </w:r>
          </w:p>
        </w:tc>
      </w:tr>
      <w:tr w14:paraId="008B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14:paraId="2FA3BFA5">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内     业</w:t>
            </w:r>
          </w:p>
        </w:tc>
        <w:tc>
          <w:tcPr>
            <w:tcW w:w="1560" w:type="dxa"/>
            <w:vAlign w:val="center"/>
          </w:tcPr>
          <w:p w14:paraId="17F162A3">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制度建设</w:t>
            </w:r>
          </w:p>
        </w:tc>
        <w:tc>
          <w:tcPr>
            <w:tcW w:w="6878" w:type="dxa"/>
            <w:vAlign w:val="center"/>
          </w:tcPr>
          <w:p w14:paraId="50CBC407">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建立人员管理、物资管理、日常巡查、安全管理、应急处置、养护作业安全操作规程、档案管理等景观照明设施养护相关制度，明确内部处置流程。巡查车辆GPS巡查轨迹符合合同约定要求。</w:t>
            </w:r>
          </w:p>
        </w:tc>
      </w:tr>
      <w:tr w14:paraId="4056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3C536CC2">
            <w:pPr>
              <w:jc w:val="center"/>
              <w:rPr>
                <w:rFonts w:ascii="仿宋_GB2312" w:hAnsi="仿宋" w:eastAsia="仿宋_GB2312" w:cs="仿宋_GB2312"/>
                <w:b/>
                <w:sz w:val="36"/>
                <w:szCs w:val="20"/>
                <w:highlight w:val="none"/>
                <w:vertAlign w:val="baseline"/>
              </w:rPr>
            </w:pPr>
          </w:p>
        </w:tc>
        <w:tc>
          <w:tcPr>
            <w:tcW w:w="1560" w:type="dxa"/>
            <w:vAlign w:val="center"/>
          </w:tcPr>
          <w:p w14:paraId="49A59637">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应急处置</w:t>
            </w:r>
          </w:p>
        </w:tc>
        <w:tc>
          <w:tcPr>
            <w:tcW w:w="6878" w:type="dxa"/>
            <w:vAlign w:val="center"/>
          </w:tcPr>
          <w:p w14:paraId="44C1766E">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建立各类突发事件的处置预案，落实台风、暴雨、冰雪等自然灾害来临前的防护措施和灾后修复工作，并建立相应工作台帐；建立景观灯信访投诉件的处理台帐;建立应急处置设施、故障的台账。</w:t>
            </w:r>
          </w:p>
        </w:tc>
      </w:tr>
      <w:tr w14:paraId="4262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7416369B">
            <w:pPr>
              <w:jc w:val="center"/>
              <w:rPr>
                <w:rFonts w:ascii="仿宋_GB2312" w:hAnsi="仿宋" w:eastAsia="仿宋_GB2312" w:cs="仿宋_GB2312"/>
                <w:b/>
                <w:sz w:val="36"/>
                <w:szCs w:val="20"/>
                <w:highlight w:val="none"/>
                <w:vertAlign w:val="baseline"/>
              </w:rPr>
            </w:pPr>
          </w:p>
        </w:tc>
        <w:tc>
          <w:tcPr>
            <w:tcW w:w="1560" w:type="dxa"/>
            <w:vAlign w:val="center"/>
          </w:tcPr>
          <w:p w14:paraId="71906CD9">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基础资料</w:t>
            </w:r>
          </w:p>
        </w:tc>
        <w:tc>
          <w:tcPr>
            <w:tcW w:w="6878" w:type="dxa"/>
            <w:vAlign w:val="top"/>
          </w:tcPr>
          <w:p w14:paraId="4CBD9BCA">
            <w:pPr>
              <w:keepNext w:val="0"/>
              <w:keepLines w:val="0"/>
              <w:widowControl/>
              <w:suppressLineNumbers w:val="0"/>
              <w:jc w:val="left"/>
              <w:textAlignment w:val="auto"/>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 xml:space="preserve">建立景观灯基础资料、维护机（器）械设备、维护人员、出（入）库、巡查、检修、灯杆（光源、灯罩）清洗台帐；做好景观灯维护日报和月报制度，每月定期上报月报表和月度总结及下月工作计划，并建立相应工作台帐；积极做好大型活动、领导检查、专项保障等工作，并建立相应工作台帐；参加专项会议、专项审查、专项验收等工作，并建立相应工作台账。按照市、区级宣传考核要求，每月按数量要求上报微信、微博、抖音、简讯等信息。   </w:t>
            </w:r>
          </w:p>
        </w:tc>
      </w:tr>
      <w:tr w14:paraId="7046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4A9E1B8E">
            <w:pPr>
              <w:jc w:val="center"/>
              <w:rPr>
                <w:rFonts w:ascii="仿宋_GB2312" w:hAnsi="仿宋" w:eastAsia="仿宋_GB2312" w:cs="仿宋_GB2312"/>
                <w:b/>
                <w:sz w:val="36"/>
                <w:szCs w:val="20"/>
                <w:highlight w:val="none"/>
                <w:vertAlign w:val="baseline"/>
              </w:rPr>
            </w:pPr>
          </w:p>
        </w:tc>
        <w:tc>
          <w:tcPr>
            <w:tcW w:w="1560" w:type="dxa"/>
            <w:vAlign w:val="center"/>
          </w:tcPr>
          <w:p w14:paraId="5CC96B4E">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安全保障</w:t>
            </w:r>
          </w:p>
        </w:tc>
        <w:tc>
          <w:tcPr>
            <w:tcW w:w="6878" w:type="dxa"/>
            <w:vAlign w:val="center"/>
          </w:tcPr>
          <w:p w14:paraId="63E5F7FA">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建立并落实安全职责、安全维护责任制，并按要求做好日常监督、专项治理等台账；严格执行维护作业安全制度，作业现场有安全监督专门负责人，仓库及项目部有安全管理制服及安全设施，并做好相应监督（管理）台账；按要求购买作业人员保险及第三者责任险，并登记在册;特殊工种作业人员证照齐全，并做好持证上岗。</w:t>
            </w:r>
          </w:p>
        </w:tc>
      </w:tr>
      <w:tr w14:paraId="3AA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14:paraId="1D862DD3">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外     业</w:t>
            </w:r>
          </w:p>
        </w:tc>
        <w:tc>
          <w:tcPr>
            <w:tcW w:w="1560" w:type="dxa"/>
            <w:vAlign w:val="center"/>
          </w:tcPr>
          <w:p w14:paraId="75030C6A">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亮灯情况</w:t>
            </w:r>
          </w:p>
        </w:tc>
        <w:tc>
          <w:tcPr>
            <w:tcW w:w="6878" w:type="dxa"/>
            <w:vAlign w:val="center"/>
          </w:tcPr>
          <w:p w14:paraId="60AA2428">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灯具运行安全、稳定、正常;景观灯亮灯率达98%以上;灯具不出现整体不亮现象;灯具不出现断亮、缺亮、跳亮等现象。</w:t>
            </w:r>
          </w:p>
        </w:tc>
      </w:tr>
      <w:tr w14:paraId="0FA0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2A61DB04">
            <w:pPr>
              <w:jc w:val="center"/>
              <w:rPr>
                <w:rFonts w:ascii="仿宋_GB2312" w:hAnsi="仿宋" w:eastAsia="仿宋_GB2312" w:cs="仿宋_GB2312"/>
                <w:b/>
                <w:sz w:val="36"/>
                <w:szCs w:val="20"/>
                <w:highlight w:val="none"/>
                <w:vertAlign w:val="baseline"/>
              </w:rPr>
            </w:pPr>
          </w:p>
        </w:tc>
        <w:tc>
          <w:tcPr>
            <w:tcW w:w="1560" w:type="dxa"/>
            <w:vAlign w:val="center"/>
          </w:tcPr>
          <w:p w14:paraId="75FF43C8">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灯具设备</w:t>
            </w:r>
          </w:p>
        </w:tc>
        <w:tc>
          <w:tcPr>
            <w:tcW w:w="6878" w:type="dxa"/>
            <w:vAlign w:val="center"/>
          </w:tcPr>
          <w:p w14:paraId="63B7ADA4">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地面灯具基础周围土质坚实无松动；灯具各部件无松动、破损、污染、脱落；灯具固定支架无锈蚀、腐蚀、移位、污染、脱落；灯具内部无积水、污物，灯具的投射方向与角度正确；灯杆、灯具无乱吊、乱挂等现象；灯具设施无破碎、腐蚀、裂纹，出光部位无污染；引线绝缘可靠、保护软管良好，接地保护线牢固可靠；更换的灯具设备亮度、稳定性等符合要求。所有外露铁件做好油漆防腐。</w:t>
            </w:r>
          </w:p>
        </w:tc>
      </w:tr>
      <w:tr w14:paraId="0B09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56FAD6D4">
            <w:pPr>
              <w:jc w:val="center"/>
              <w:rPr>
                <w:rFonts w:ascii="仿宋_GB2312" w:hAnsi="仿宋" w:eastAsia="仿宋_GB2312" w:cs="仿宋_GB2312"/>
                <w:b/>
                <w:sz w:val="36"/>
                <w:szCs w:val="20"/>
                <w:highlight w:val="none"/>
                <w:vertAlign w:val="baseline"/>
              </w:rPr>
            </w:pPr>
          </w:p>
        </w:tc>
        <w:tc>
          <w:tcPr>
            <w:tcW w:w="1560" w:type="dxa"/>
            <w:vAlign w:val="center"/>
          </w:tcPr>
          <w:p w14:paraId="6262EAB4">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附属设备</w:t>
            </w:r>
          </w:p>
        </w:tc>
        <w:tc>
          <w:tcPr>
            <w:tcW w:w="6878" w:type="dxa"/>
            <w:vAlign w:val="center"/>
          </w:tcPr>
          <w:p w14:paraId="0E105507">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箱（柜）体门连轴完好，开关正常，配电箱、控制柜不渗水、无锈蚀，防尘防水及其他防护设施完好可靠，仪表、信号灯齐全完好，工作正常；各级保护电器整定值符合设计值、给定值，照明控制程序安全可靠并符合设计要求；箱内开关等设备的动作灵活可靠，接地系统安全可靠，箱内无外接电源线路凌乱、外露、绑扎不牢固情况。所有外露铁件做好油漆防腐。</w:t>
            </w:r>
          </w:p>
        </w:tc>
      </w:tr>
      <w:tr w14:paraId="3BF4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6C0919FC">
            <w:pPr>
              <w:jc w:val="center"/>
              <w:rPr>
                <w:rFonts w:ascii="仿宋_GB2312" w:hAnsi="仿宋" w:eastAsia="仿宋_GB2312" w:cs="仿宋_GB2312"/>
                <w:b/>
                <w:sz w:val="36"/>
                <w:szCs w:val="20"/>
                <w:highlight w:val="none"/>
                <w:vertAlign w:val="baseline"/>
              </w:rPr>
            </w:pPr>
          </w:p>
        </w:tc>
        <w:tc>
          <w:tcPr>
            <w:tcW w:w="1560" w:type="dxa"/>
            <w:vAlign w:val="center"/>
          </w:tcPr>
          <w:p w14:paraId="2B76EF88">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亮灯控制</w:t>
            </w:r>
          </w:p>
        </w:tc>
        <w:tc>
          <w:tcPr>
            <w:tcW w:w="6878" w:type="dxa"/>
            <w:vAlign w:val="center"/>
          </w:tcPr>
          <w:p w14:paraId="029DE425">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亮灯集控单位做好与亮灯养护单位的衔接,及时发现养护区域内不受控项目，并报执法局。集控单位须对规定亮灯时间未亮灯和不在亮灯时间内亮灯的项目做好处理,并报执法局备案。发生媒体曝光和群众投诉的涉及亮灯控制的各类事件，及时处理。</w:t>
            </w:r>
          </w:p>
        </w:tc>
      </w:tr>
      <w:tr w14:paraId="5A18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0353D7DA">
            <w:pPr>
              <w:jc w:val="center"/>
              <w:rPr>
                <w:rFonts w:ascii="仿宋_GB2312" w:hAnsi="仿宋" w:eastAsia="仿宋_GB2312" w:cs="仿宋_GB2312"/>
                <w:b/>
                <w:sz w:val="36"/>
                <w:szCs w:val="20"/>
                <w:highlight w:val="none"/>
                <w:vertAlign w:val="baseline"/>
              </w:rPr>
            </w:pPr>
          </w:p>
        </w:tc>
        <w:tc>
          <w:tcPr>
            <w:tcW w:w="1560" w:type="dxa"/>
            <w:vAlign w:val="center"/>
          </w:tcPr>
          <w:p w14:paraId="126644F8">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设备检修</w:t>
            </w:r>
          </w:p>
        </w:tc>
        <w:tc>
          <w:tcPr>
            <w:tcW w:w="6878" w:type="dxa"/>
            <w:vAlign w:val="center"/>
          </w:tcPr>
          <w:p w14:paraId="5E1CCA82">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落实专人定期巡查、巡检；地面景观灯一般线路问题48小时内修复，灯具损坏24小时内更换或修复，电缆偷盗设备故障问题72小时内修复；楼宇景观灯一般线路问题及灯具损坏在72小时内更换或修复；接投诉或存在安全隐患的必须30分内进行现场核实；将结果向执法局报告，并且在24小时内处理到位；正常检修提前告知检修完毕随即关灯；因正常检修而亮灯必须现场设置告知标识；维修作业过程中必须有专人监护；白天开灯维修作业，需事先报告执法局备案。出现突发应急事件，在30分钟内进行现场核实后上报执法局，并按要求落实各项应急工作。</w:t>
            </w:r>
          </w:p>
        </w:tc>
      </w:tr>
      <w:tr w14:paraId="2209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62241186">
            <w:pPr>
              <w:jc w:val="center"/>
              <w:rPr>
                <w:rFonts w:ascii="仿宋_GB2312" w:hAnsi="仿宋" w:eastAsia="仿宋_GB2312" w:cs="仿宋_GB2312"/>
                <w:b/>
                <w:sz w:val="36"/>
                <w:szCs w:val="20"/>
                <w:highlight w:val="none"/>
                <w:vertAlign w:val="baseline"/>
              </w:rPr>
            </w:pPr>
          </w:p>
        </w:tc>
        <w:tc>
          <w:tcPr>
            <w:tcW w:w="1560" w:type="dxa"/>
            <w:vAlign w:val="center"/>
          </w:tcPr>
          <w:p w14:paraId="768090FE">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安全作业</w:t>
            </w:r>
          </w:p>
        </w:tc>
        <w:tc>
          <w:tcPr>
            <w:tcW w:w="6878" w:type="dxa"/>
            <w:vAlign w:val="center"/>
          </w:tcPr>
          <w:p w14:paraId="76B5EFF1">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维修作业人员须着单位统一的工作服，特殊工种必须持证上岗；正确使用劳保用品，相关产品应具有合格证及检测报告；停车占道维修，设置警示标志；灯具维修与物业管理方做好沟协调通，无投诉现象；灯具维修完毕后现场需清理干净。</w:t>
            </w:r>
          </w:p>
        </w:tc>
      </w:tr>
      <w:tr w14:paraId="6766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14:paraId="73641360">
            <w:pPr>
              <w:jc w:val="center"/>
              <w:rPr>
                <w:rFonts w:ascii="仿宋_GB2312" w:hAnsi="仿宋" w:eastAsia="仿宋_GB2312" w:cs="仿宋_GB2312"/>
                <w:b/>
                <w:sz w:val="36"/>
                <w:szCs w:val="20"/>
                <w:highlight w:val="none"/>
                <w:vertAlign w:val="baseline"/>
              </w:rPr>
            </w:pPr>
          </w:p>
        </w:tc>
        <w:tc>
          <w:tcPr>
            <w:tcW w:w="1560" w:type="dxa"/>
            <w:vAlign w:val="center"/>
          </w:tcPr>
          <w:p w14:paraId="4ED70685">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highlight w:val="none"/>
                <w:u w:val="none"/>
                <w:lang w:val="en-US" w:eastAsia="zh-CN" w:bidi="ar"/>
              </w:rPr>
              <w:t>其他</w:t>
            </w:r>
          </w:p>
        </w:tc>
        <w:tc>
          <w:tcPr>
            <w:tcW w:w="6878" w:type="dxa"/>
            <w:vAlign w:val="center"/>
          </w:tcPr>
          <w:p w14:paraId="152E4C15">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highlight w:val="none"/>
                <w:u w:val="none"/>
                <w:lang w:val="en-US" w:eastAsia="zh-CN" w:bidi="ar"/>
              </w:rPr>
              <w:t>根据区执法局要求，落实并完成其他相关养护内容。</w:t>
            </w:r>
          </w:p>
        </w:tc>
      </w:tr>
    </w:tbl>
    <w:p w14:paraId="33FB16D5">
      <w:pPr>
        <w:rPr>
          <w:rFonts w:ascii="仿宋_GB2312" w:hAnsi="仿宋" w:eastAsia="仿宋_GB2312" w:cs="仿宋_GB2312"/>
          <w:b/>
          <w:sz w:val="36"/>
          <w:szCs w:val="20"/>
          <w:highlight w:val="none"/>
        </w:rPr>
      </w:pPr>
    </w:p>
    <w:p w14:paraId="635882C6">
      <w:pPr>
        <w:pStyle w:val="44"/>
        <w:rPr>
          <w:highlight w:val="none"/>
        </w:rPr>
      </w:pPr>
    </w:p>
    <w:p w14:paraId="35676812">
      <w:pPr>
        <w:rPr>
          <w:rFonts w:hint="eastAsia" w:ascii="楷体_GB2312" w:eastAsia="楷体_GB2312"/>
          <w:b/>
          <w:sz w:val="28"/>
          <w:szCs w:val="28"/>
          <w:highlight w:val="none"/>
        </w:rPr>
      </w:pPr>
      <w:r>
        <w:rPr>
          <w:rFonts w:hint="eastAsia" w:ascii="楷体_GB2312" w:eastAsia="楷体_GB2312"/>
          <w:b/>
          <w:sz w:val="28"/>
          <w:szCs w:val="28"/>
          <w:highlight w:val="none"/>
        </w:rPr>
        <w:br w:type="page"/>
      </w:r>
    </w:p>
    <w:p w14:paraId="5E23F900">
      <w:pPr>
        <w:rPr>
          <w:rFonts w:hint="eastAsia" w:ascii="楷体_GB2312" w:eastAsia="楷体_GB2312"/>
          <w:b/>
          <w:sz w:val="28"/>
          <w:szCs w:val="28"/>
          <w:highlight w:val="none"/>
        </w:rPr>
      </w:pPr>
      <w:r>
        <w:rPr>
          <w:rFonts w:hint="eastAsia" w:ascii="楷体_GB2312" w:eastAsia="楷体_GB2312"/>
          <w:b/>
          <w:sz w:val="28"/>
          <w:szCs w:val="28"/>
          <w:highlight w:val="none"/>
        </w:rPr>
        <w:t>附件2：</w:t>
      </w:r>
    </w:p>
    <w:p w14:paraId="7A13EDFB">
      <w:pPr>
        <w:pStyle w:val="44"/>
        <w:rPr>
          <w:rFonts w:hint="eastAsia"/>
          <w:highlight w:val="none"/>
        </w:rPr>
      </w:pPr>
    </w:p>
    <w:p w14:paraId="7B8D4A3E">
      <w:pPr>
        <w:spacing w:after="156" w:afterLines="50" w:line="600" w:lineRule="exact"/>
        <w:jc w:val="center"/>
        <w:rPr>
          <w:rFonts w:hint="eastAsia" w:ascii="方正小标宋_GBK" w:hAnsi="宋体" w:eastAsia="方正小标宋_GBK"/>
          <w:b/>
          <w:spacing w:val="20"/>
          <w:w w:val="90"/>
          <w:sz w:val="36"/>
          <w:szCs w:val="36"/>
          <w:highlight w:val="none"/>
        </w:rPr>
      </w:pPr>
      <w:r>
        <w:rPr>
          <w:rFonts w:hint="eastAsia" w:ascii="方正小标宋_GBK" w:hAnsi="宋体" w:eastAsia="方正小标宋_GBK"/>
          <w:b/>
          <w:spacing w:val="20"/>
          <w:w w:val="90"/>
          <w:sz w:val="36"/>
          <w:szCs w:val="36"/>
          <w:highlight w:val="none"/>
        </w:rPr>
        <w:t>景观照明养护作业考核扣款</w:t>
      </w:r>
      <w:r>
        <w:rPr>
          <w:rFonts w:hint="eastAsia" w:ascii="方正小标宋_GBK" w:hAnsi="宋体" w:eastAsia="方正小标宋_GBK"/>
          <w:b/>
          <w:spacing w:val="20"/>
          <w:w w:val="90"/>
          <w:sz w:val="36"/>
          <w:szCs w:val="36"/>
          <w:highlight w:val="none"/>
          <w:lang w:eastAsia="zh-CN"/>
        </w:rPr>
        <w:t>（奖励）</w:t>
      </w:r>
      <w:r>
        <w:rPr>
          <w:rFonts w:hint="eastAsia" w:ascii="方正小标宋_GBK" w:hAnsi="宋体" w:eastAsia="方正小标宋_GBK"/>
          <w:b/>
          <w:spacing w:val="20"/>
          <w:w w:val="90"/>
          <w:sz w:val="36"/>
          <w:szCs w:val="36"/>
          <w:highlight w:val="none"/>
        </w:rPr>
        <w:t>标准</w:t>
      </w:r>
    </w:p>
    <w:tbl>
      <w:tblPr>
        <w:tblStyle w:val="45"/>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24"/>
        <w:gridCol w:w="1776"/>
        <w:gridCol w:w="1800"/>
        <w:gridCol w:w="2880"/>
        <w:gridCol w:w="2036"/>
      </w:tblGrid>
      <w:tr w14:paraId="0EA58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884" w:type="dxa"/>
            <w:gridSpan w:val="6"/>
            <w:tcBorders>
              <w:top w:val="single" w:color="auto" w:sz="4" w:space="0"/>
              <w:left w:val="single" w:color="auto" w:sz="4" w:space="0"/>
              <w:bottom w:val="single" w:color="auto" w:sz="4" w:space="0"/>
              <w:right w:val="single" w:color="auto" w:sz="4" w:space="0"/>
            </w:tcBorders>
            <w:noWrap w:val="0"/>
            <w:vAlign w:val="center"/>
          </w:tcPr>
          <w:p w14:paraId="0ED8C00D">
            <w:pPr>
              <w:jc w:val="center"/>
              <w:rPr>
                <w:rFonts w:hint="eastAsia" w:ascii="黑体" w:eastAsia="黑体"/>
                <w:b/>
                <w:sz w:val="28"/>
                <w:szCs w:val="28"/>
                <w:highlight w:val="none"/>
              </w:rPr>
            </w:pPr>
            <w:r>
              <w:rPr>
                <w:rFonts w:hint="eastAsia" w:ascii="黑体" w:eastAsia="黑体"/>
                <w:b/>
                <w:sz w:val="28"/>
                <w:szCs w:val="28"/>
                <w:highlight w:val="none"/>
              </w:rPr>
              <w:t>外业考核扣款标准</w:t>
            </w:r>
          </w:p>
        </w:tc>
      </w:tr>
      <w:tr w14:paraId="40281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368"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1C41B18C">
            <w:pPr>
              <w:jc w:val="center"/>
              <w:rPr>
                <w:rFonts w:hint="eastAsia" w:ascii="黑体" w:eastAsia="黑体"/>
                <w:b/>
                <w:sz w:val="24"/>
                <w:highlight w:val="none"/>
              </w:rPr>
            </w:pPr>
            <w:r>
              <w:rPr>
                <w:rFonts w:hint="eastAsia" w:ascii="黑体" w:eastAsia="黑体"/>
                <w:b/>
                <w:sz w:val="24"/>
                <w:highlight w:val="none"/>
              </w:rPr>
              <w:t xml:space="preserve">    抄告</w:t>
            </w:r>
          </w:p>
          <w:p w14:paraId="504E12AF">
            <w:pPr>
              <w:jc w:val="center"/>
              <w:rPr>
                <w:rFonts w:hint="eastAsia" w:ascii="黑体" w:eastAsia="黑体"/>
                <w:b/>
                <w:sz w:val="24"/>
                <w:highlight w:val="none"/>
              </w:rPr>
            </w:pPr>
            <w:r>
              <w:rPr>
                <w:rFonts w:hint="eastAsia" w:ascii="黑体" w:eastAsia="黑体"/>
                <w:b/>
                <w:sz w:val="24"/>
                <w:highlight w:val="none"/>
              </w:rPr>
              <w:t xml:space="preserve">    次数</w:t>
            </w:r>
          </w:p>
          <w:p w14:paraId="4AFC347B">
            <w:pPr>
              <w:rPr>
                <w:rFonts w:hint="eastAsia" w:ascii="黑体" w:eastAsia="黑体"/>
                <w:b/>
                <w:sz w:val="24"/>
                <w:highlight w:val="none"/>
              </w:rPr>
            </w:pPr>
            <w:r>
              <w:rPr>
                <w:rFonts w:hint="eastAsia" w:ascii="黑体" w:eastAsia="黑体"/>
                <w:b/>
                <w:sz w:val="24"/>
                <w:highlight w:val="none"/>
              </w:rPr>
              <w:t>检查</w:t>
            </w:r>
          </w:p>
          <w:p w14:paraId="2F19764D">
            <w:pPr>
              <w:rPr>
                <w:rFonts w:hint="eastAsia" w:ascii="黑体" w:eastAsia="黑体"/>
                <w:b/>
                <w:sz w:val="24"/>
                <w:highlight w:val="none"/>
              </w:rPr>
            </w:pPr>
            <w:r>
              <w:rPr>
                <w:rFonts w:hint="eastAsia" w:ascii="黑体" w:eastAsia="黑体"/>
                <w:b/>
                <w:sz w:val="24"/>
                <w:highlight w:val="none"/>
              </w:rPr>
              <w:t>级别</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32F566E7">
            <w:pPr>
              <w:jc w:val="center"/>
              <w:rPr>
                <w:rFonts w:hint="eastAsia" w:ascii="黑体" w:eastAsia="黑体"/>
                <w:b/>
                <w:sz w:val="24"/>
                <w:highlight w:val="none"/>
              </w:rPr>
            </w:pPr>
            <w:r>
              <w:rPr>
                <w:rFonts w:hint="eastAsia" w:ascii="黑体" w:eastAsia="黑体"/>
                <w:b/>
                <w:sz w:val="24"/>
                <w:highlight w:val="none"/>
              </w:rPr>
              <w:t>一次抄告</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D950BC0">
            <w:pPr>
              <w:jc w:val="center"/>
              <w:rPr>
                <w:rFonts w:hint="eastAsia" w:ascii="黑体" w:eastAsia="黑体"/>
                <w:b/>
                <w:sz w:val="24"/>
                <w:highlight w:val="none"/>
              </w:rPr>
            </w:pPr>
            <w:r>
              <w:rPr>
                <w:rFonts w:hint="eastAsia" w:ascii="黑体" w:eastAsia="黑体"/>
                <w:b/>
                <w:sz w:val="24"/>
                <w:highlight w:val="none"/>
              </w:rPr>
              <w:t>二次抄告</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C146F3B">
            <w:pPr>
              <w:jc w:val="center"/>
              <w:rPr>
                <w:rFonts w:hint="eastAsia" w:ascii="黑体" w:eastAsia="黑体"/>
                <w:b/>
                <w:sz w:val="24"/>
                <w:highlight w:val="none"/>
              </w:rPr>
            </w:pPr>
            <w:r>
              <w:rPr>
                <w:rFonts w:hint="eastAsia" w:ascii="黑体" w:eastAsia="黑体"/>
                <w:b/>
                <w:sz w:val="24"/>
                <w:highlight w:val="none"/>
              </w:rPr>
              <w:t>三次抄告</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0174F35F">
            <w:pPr>
              <w:jc w:val="center"/>
              <w:rPr>
                <w:rFonts w:hint="eastAsia" w:ascii="黑体" w:eastAsia="黑体"/>
                <w:b/>
                <w:sz w:val="24"/>
                <w:highlight w:val="none"/>
              </w:rPr>
            </w:pPr>
            <w:r>
              <w:rPr>
                <w:rFonts w:hint="eastAsia" w:ascii="黑体" w:eastAsia="黑体"/>
                <w:b/>
                <w:sz w:val="24"/>
                <w:highlight w:val="none"/>
              </w:rPr>
              <w:t>备注</w:t>
            </w:r>
          </w:p>
        </w:tc>
      </w:tr>
      <w:tr w14:paraId="461D4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05F89DAA">
            <w:pPr>
              <w:spacing w:line="280" w:lineRule="exact"/>
              <w:ind w:firstLine="118" w:firstLineChars="49"/>
              <w:rPr>
                <w:rFonts w:hint="eastAsia" w:ascii="仿宋_GB2312" w:eastAsia="仿宋_GB2312"/>
                <w:sz w:val="24"/>
                <w:highlight w:val="none"/>
              </w:rPr>
            </w:pPr>
            <w:r>
              <w:rPr>
                <w:rFonts w:hint="eastAsia" w:ascii="黑体" w:eastAsia="黑体"/>
                <w:b/>
                <w:sz w:val="24"/>
                <w:highlight w:val="none"/>
              </w:rPr>
              <w:t>区级检查</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74A2BEF2">
            <w:pPr>
              <w:spacing w:line="280" w:lineRule="exact"/>
              <w:rPr>
                <w:rFonts w:hint="eastAsia" w:ascii="仿宋_GB2312" w:eastAsia="仿宋_GB2312"/>
                <w:sz w:val="24"/>
                <w:highlight w:val="none"/>
              </w:rPr>
            </w:pPr>
            <w:r>
              <w:rPr>
                <w:rFonts w:hint="eastAsia" w:ascii="仿宋_GB2312" w:eastAsia="仿宋_GB2312"/>
                <w:sz w:val="24"/>
                <w:highlight w:val="none"/>
              </w:rPr>
              <w:t>每个问题扣300元。</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795923E">
            <w:pPr>
              <w:spacing w:line="280" w:lineRule="exact"/>
              <w:rPr>
                <w:rFonts w:hint="eastAsia" w:ascii="仿宋_GB2312" w:eastAsia="仿宋_GB2312"/>
                <w:sz w:val="24"/>
                <w:highlight w:val="none"/>
              </w:rPr>
            </w:pPr>
            <w:r>
              <w:rPr>
                <w:rFonts w:hint="eastAsia" w:ascii="仿宋_GB2312" w:eastAsia="仿宋_GB2312"/>
                <w:sz w:val="24"/>
                <w:highlight w:val="none"/>
              </w:rPr>
              <w:t>每个问题扣3000元。</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0621E4C">
            <w:pPr>
              <w:spacing w:line="280" w:lineRule="exact"/>
              <w:rPr>
                <w:rFonts w:hint="eastAsia" w:ascii="仿宋_GB2312" w:eastAsia="仿宋_GB2312"/>
                <w:sz w:val="24"/>
                <w:highlight w:val="none"/>
              </w:rPr>
            </w:pPr>
            <w:r>
              <w:rPr>
                <w:rFonts w:hint="eastAsia" w:ascii="仿宋_GB2312" w:eastAsia="仿宋_GB2312"/>
                <w:sz w:val="24"/>
                <w:highlight w:val="none"/>
              </w:rPr>
              <w:t>每个问题扣3万元，并实施代整治，代整治经费从养护经费中扣除。</w:t>
            </w:r>
          </w:p>
        </w:tc>
        <w:tc>
          <w:tcPr>
            <w:tcW w:w="2036" w:type="dxa"/>
            <w:vMerge w:val="restart"/>
            <w:tcBorders>
              <w:top w:val="single" w:color="auto" w:sz="4" w:space="0"/>
              <w:left w:val="single" w:color="auto" w:sz="4" w:space="0"/>
              <w:bottom w:val="single" w:color="auto" w:sz="4" w:space="0"/>
              <w:right w:val="single" w:color="auto" w:sz="4" w:space="0"/>
            </w:tcBorders>
            <w:noWrap w:val="0"/>
            <w:vAlign w:val="center"/>
          </w:tcPr>
          <w:p w14:paraId="0E3B345E">
            <w:pPr>
              <w:spacing w:line="280" w:lineRule="exact"/>
              <w:rPr>
                <w:rFonts w:hint="eastAsia" w:ascii="仿宋_GB2312" w:eastAsia="仿宋_GB2312"/>
                <w:sz w:val="24"/>
                <w:highlight w:val="none"/>
              </w:rPr>
            </w:pPr>
          </w:p>
        </w:tc>
      </w:tr>
      <w:tr w14:paraId="2BB31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1C7868F5">
            <w:pPr>
              <w:spacing w:line="280" w:lineRule="exact"/>
              <w:jc w:val="center"/>
              <w:rPr>
                <w:rFonts w:hint="eastAsia" w:ascii="黑体" w:eastAsia="黑体"/>
                <w:b/>
                <w:sz w:val="24"/>
                <w:highlight w:val="none"/>
              </w:rPr>
            </w:pPr>
            <w:r>
              <w:rPr>
                <w:rFonts w:hint="eastAsia" w:ascii="黑体" w:eastAsia="黑体"/>
                <w:b/>
                <w:sz w:val="24"/>
                <w:highlight w:val="none"/>
              </w:rPr>
              <w:t>专项检查市级检查环境整治亚运保障信访投诉</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4682B3AE">
            <w:pPr>
              <w:spacing w:line="280" w:lineRule="exact"/>
              <w:rPr>
                <w:rFonts w:hint="eastAsia" w:ascii="仿宋_GB2312" w:eastAsia="仿宋_GB2312"/>
                <w:sz w:val="24"/>
                <w:highlight w:val="none"/>
              </w:rPr>
            </w:pPr>
            <w:r>
              <w:rPr>
                <w:rFonts w:hint="eastAsia" w:ascii="仿宋_GB2312" w:eastAsia="仿宋_GB2312"/>
                <w:sz w:val="24"/>
                <w:highlight w:val="none"/>
              </w:rPr>
              <w:t>每个问题扣3000元。</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E198551">
            <w:pPr>
              <w:spacing w:line="280" w:lineRule="exact"/>
              <w:rPr>
                <w:rFonts w:hint="eastAsia" w:ascii="仿宋_GB2312" w:eastAsia="仿宋_GB2312"/>
                <w:sz w:val="24"/>
                <w:highlight w:val="none"/>
              </w:rPr>
            </w:pPr>
            <w:r>
              <w:rPr>
                <w:rFonts w:hint="eastAsia" w:ascii="仿宋_GB2312" w:eastAsia="仿宋_GB2312"/>
                <w:sz w:val="24"/>
                <w:highlight w:val="none"/>
              </w:rPr>
              <w:t>每个问题扣30000元。</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947D472">
            <w:pPr>
              <w:spacing w:line="280" w:lineRule="exact"/>
              <w:rPr>
                <w:rFonts w:hint="eastAsia" w:ascii="仿宋_GB2312" w:eastAsia="仿宋_GB2312"/>
                <w:sz w:val="24"/>
                <w:highlight w:val="none"/>
              </w:rPr>
            </w:pPr>
            <w:r>
              <w:rPr>
                <w:rFonts w:hint="eastAsia" w:ascii="仿宋_GB2312" w:eastAsia="仿宋_GB2312"/>
                <w:sz w:val="24"/>
                <w:highlight w:val="none"/>
              </w:rPr>
              <w:t>每个问题扣10万元，并实施代整治，代整治经费从养护经费中扣除。</w:t>
            </w:r>
          </w:p>
        </w:tc>
        <w:tc>
          <w:tcPr>
            <w:tcW w:w="2036" w:type="dxa"/>
            <w:vMerge w:val="continue"/>
            <w:tcBorders>
              <w:top w:val="single" w:color="auto" w:sz="4" w:space="0"/>
              <w:left w:val="single" w:color="auto" w:sz="4" w:space="0"/>
              <w:bottom w:val="single" w:color="auto" w:sz="4" w:space="0"/>
              <w:right w:val="single" w:color="auto" w:sz="4" w:space="0"/>
            </w:tcBorders>
            <w:noWrap w:val="0"/>
            <w:vAlign w:val="center"/>
          </w:tcPr>
          <w:p w14:paraId="0A2FD08F">
            <w:pPr>
              <w:spacing w:line="280" w:lineRule="exact"/>
              <w:rPr>
                <w:rFonts w:hint="eastAsia" w:ascii="仿宋_GB2312" w:eastAsia="仿宋_GB2312"/>
                <w:sz w:val="24"/>
                <w:highlight w:val="none"/>
              </w:rPr>
            </w:pPr>
          </w:p>
        </w:tc>
      </w:tr>
      <w:tr w14:paraId="59632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1368" w:type="dxa"/>
            <w:tcBorders>
              <w:top w:val="single" w:color="auto" w:sz="4" w:space="0"/>
              <w:left w:val="single" w:color="auto" w:sz="4" w:space="0"/>
              <w:right w:val="single" w:color="auto" w:sz="4" w:space="0"/>
            </w:tcBorders>
            <w:noWrap w:val="0"/>
            <w:vAlign w:val="center"/>
          </w:tcPr>
          <w:p w14:paraId="66AF2F0D">
            <w:pPr>
              <w:spacing w:line="280" w:lineRule="exact"/>
              <w:jc w:val="center"/>
              <w:rPr>
                <w:rFonts w:hint="eastAsia" w:ascii="黑体" w:eastAsia="黑体"/>
                <w:b/>
                <w:sz w:val="24"/>
                <w:highlight w:val="none"/>
              </w:rPr>
            </w:pPr>
            <w:r>
              <w:rPr>
                <w:rFonts w:hint="eastAsia" w:ascii="黑体" w:eastAsia="黑体"/>
                <w:b/>
                <w:sz w:val="24"/>
                <w:highlight w:val="none"/>
              </w:rPr>
              <w:t>负面清单考核</w:t>
            </w:r>
          </w:p>
        </w:tc>
        <w:tc>
          <w:tcPr>
            <w:tcW w:w="1800" w:type="dxa"/>
            <w:gridSpan w:val="2"/>
            <w:tcBorders>
              <w:top w:val="single" w:color="auto" w:sz="4" w:space="0"/>
              <w:left w:val="single" w:color="auto" w:sz="4" w:space="0"/>
              <w:right w:val="single" w:color="auto" w:sz="4" w:space="0"/>
            </w:tcBorders>
            <w:noWrap w:val="0"/>
            <w:vAlign w:val="center"/>
          </w:tcPr>
          <w:p w14:paraId="1B92BB1A">
            <w:pPr>
              <w:spacing w:line="280" w:lineRule="exact"/>
              <w:rPr>
                <w:rFonts w:hint="eastAsia" w:ascii="仿宋_GB2312" w:eastAsia="仿宋_GB2312"/>
                <w:sz w:val="24"/>
                <w:highlight w:val="none"/>
              </w:rPr>
            </w:pPr>
            <w:r>
              <w:rPr>
                <w:rFonts w:hint="eastAsia" w:ascii="仿宋_GB2312" w:eastAsia="仿宋_GB2312"/>
                <w:sz w:val="24"/>
                <w:highlight w:val="none"/>
              </w:rPr>
              <w:t>每个问题扣5000元</w:t>
            </w:r>
          </w:p>
        </w:tc>
        <w:tc>
          <w:tcPr>
            <w:tcW w:w="1800" w:type="dxa"/>
            <w:tcBorders>
              <w:top w:val="single" w:color="auto" w:sz="4" w:space="0"/>
              <w:left w:val="single" w:color="auto" w:sz="4" w:space="0"/>
              <w:right w:val="single" w:color="auto" w:sz="4" w:space="0"/>
            </w:tcBorders>
            <w:noWrap w:val="0"/>
            <w:vAlign w:val="center"/>
          </w:tcPr>
          <w:p w14:paraId="7D8F26A2">
            <w:pPr>
              <w:spacing w:line="280" w:lineRule="exact"/>
              <w:rPr>
                <w:rFonts w:hint="eastAsia" w:ascii="仿宋_GB2312" w:eastAsia="仿宋_GB2312"/>
                <w:sz w:val="24"/>
                <w:highlight w:val="none"/>
              </w:rPr>
            </w:pPr>
            <w:r>
              <w:rPr>
                <w:rFonts w:hint="eastAsia" w:ascii="仿宋_GB2312" w:eastAsia="仿宋_GB2312"/>
                <w:sz w:val="24"/>
                <w:highlight w:val="none"/>
              </w:rPr>
              <w:t>每个问题扣10000元</w:t>
            </w:r>
          </w:p>
        </w:tc>
        <w:tc>
          <w:tcPr>
            <w:tcW w:w="2880" w:type="dxa"/>
            <w:tcBorders>
              <w:top w:val="single" w:color="auto" w:sz="4" w:space="0"/>
              <w:left w:val="single" w:color="auto" w:sz="4" w:space="0"/>
              <w:right w:val="single" w:color="auto" w:sz="4" w:space="0"/>
            </w:tcBorders>
            <w:noWrap w:val="0"/>
            <w:vAlign w:val="center"/>
          </w:tcPr>
          <w:p w14:paraId="3106028C">
            <w:pPr>
              <w:spacing w:line="280" w:lineRule="exact"/>
              <w:rPr>
                <w:rFonts w:hint="eastAsia" w:ascii="仿宋_GB2312" w:eastAsia="仿宋_GB2312"/>
                <w:sz w:val="24"/>
                <w:highlight w:val="none"/>
              </w:rPr>
            </w:pPr>
            <w:r>
              <w:rPr>
                <w:rFonts w:hint="eastAsia" w:ascii="仿宋_GB2312" w:eastAsia="仿宋_GB2312"/>
                <w:sz w:val="24"/>
                <w:highlight w:val="none"/>
              </w:rPr>
              <w:t>每个问题扣10万元，实施代整治，代整治经费从养护经费中扣除。并视情况通报相关部门。</w:t>
            </w:r>
          </w:p>
        </w:tc>
        <w:tc>
          <w:tcPr>
            <w:tcW w:w="2036" w:type="dxa"/>
            <w:tcBorders>
              <w:top w:val="single" w:color="auto" w:sz="4" w:space="0"/>
              <w:left w:val="single" w:color="auto" w:sz="4" w:space="0"/>
              <w:bottom w:val="single" w:color="auto" w:sz="4" w:space="0"/>
              <w:right w:val="single" w:color="auto" w:sz="4" w:space="0"/>
            </w:tcBorders>
            <w:noWrap w:val="0"/>
            <w:vAlign w:val="center"/>
          </w:tcPr>
          <w:p w14:paraId="0196BFC9">
            <w:pPr>
              <w:spacing w:line="280" w:lineRule="exact"/>
              <w:rPr>
                <w:rFonts w:hint="eastAsia" w:ascii="仿宋_GB2312" w:eastAsia="仿宋_GB2312"/>
                <w:sz w:val="24"/>
                <w:highlight w:val="none"/>
              </w:rPr>
            </w:pPr>
          </w:p>
        </w:tc>
      </w:tr>
      <w:tr w14:paraId="735B5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1368" w:type="dxa"/>
            <w:tcBorders>
              <w:left w:val="single" w:color="auto" w:sz="4" w:space="0"/>
              <w:bottom w:val="single" w:color="auto" w:sz="4" w:space="0"/>
              <w:right w:val="single" w:color="auto" w:sz="4" w:space="0"/>
            </w:tcBorders>
            <w:noWrap w:val="0"/>
            <w:vAlign w:val="center"/>
          </w:tcPr>
          <w:p w14:paraId="58D9CCE3">
            <w:pPr>
              <w:spacing w:line="280" w:lineRule="exact"/>
              <w:jc w:val="center"/>
              <w:rPr>
                <w:rFonts w:hint="eastAsia" w:ascii="黑体" w:eastAsia="黑体"/>
                <w:b/>
                <w:sz w:val="24"/>
                <w:highlight w:val="none"/>
              </w:rPr>
            </w:pPr>
            <w:r>
              <w:rPr>
                <w:rFonts w:hint="eastAsia" w:ascii="黑体" w:eastAsia="黑体"/>
                <w:b/>
                <w:sz w:val="24"/>
                <w:highlight w:val="none"/>
              </w:rPr>
              <w:t>数字城管考核</w:t>
            </w:r>
          </w:p>
        </w:tc>
        <w:tc>
          <w:tcPr>
            <w:tcW w:w="8516" w:type="dxa"/>
            <w:gridSpan w:val="5"/>
            <w:tcBorders>
              <w:left w:val="single" w:color="auto" w:sz="4" w:space="0"/>
              <w:bottom w:val="single" w:color="auto" w:sz="4" w:space="0"/>
              <w:right w:val="single" w:color="auto" w:sz="4" w:space="0"/>
            </w:tcBorders>
            <w:noWrap w:val="0"/>
            <w:vAlign w:val="center"/>
          </w:tcPr>
          <w:p w14:paraId="10CCAC45">
            <w:pPr>
              <w:spacing w:line="280" w:lineRule="exact"/>
              <w:rPr>
                <w:rFonts w:hint="eastAsia" w:ascii="仿宋_GB2312" w:eastAsia="仿宋_GB2312"/>
                <w:sz w:val="24"/>
                <w:highlight w:val="none"/>
              </w:rPr>
            </w:pPr>
            <w:r>
              <w:rPr>
                <w:rFonts w:hint="eastAsia" w:ascii="仿宋_GB2312" w:eastAsia="仿宋_GB2312"/>
                <w:sz w:val="24"/>
                <w:highlight w:val="none"/>
              </w:rPr>
              <w:t>数字城管抄告每月20个（含）以内不予扣款；20个（不含）-30个（含）每个问题扣300元；30个（不含）-40个（含）每个问题扣400元；40个（不含）-50个（含）每个问题扣500元；50个（不含）以上每个问题扣600元。</w:t>
            </w:r>
          </w:p>
        </w:tc>
      </w:tr>
      <w:tr w14:paraId="4E24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3225B0F6">
            <w:pPr>
              <w:spacing w:line="280" w:lineRule="exact"/>
              <w:jc w:val="center"/>
              <w:rPr>
                <w:rFonts w:hint="eastAsia" w:ascii="黑体" w:eastAsia="黑体"/>
                <w:b/>
                <w:sz w:val="24"/>
                <w:highlight w:val="none"/>
              </w:rPr>
            </w:pPr>
            <w:r>
              <w:rPr>
                <w:rFonts w:hint="eastAsia" w:ascii="黑体" w:eastAsia="黑体"/>
                <w:b/>
                <w:sz w:val="24"/>
                <w:highlight w:val="none"/>
              </w:rPr>
              <w:t>其他</w:t>
            </w:r>
          </w:p>
        </w:tc>
        <w:tc>
          <w:tcPr>
            <w:tcW w:w="8516" w:type="dxa"/>
            <w:gridSpan w:val="5"/>
            <w:tcBorders>
              <w:top w:val="single" w:color="auto" w:sz="4" w:space="0"/>
              <w:left w:val="single" w:color="auto" w:sz="4" w:space="0"/>
              <w:bottom w:val="single" w:color="auto" w:sz="4" w:space="0"/>
              <w:right w:val="single" w:color="auto" w:sz="4" w:space="0"/>
            </w:tcBorders>
            <w:noWrap w:val="0"/>
            <w:vAlign w:val="center"/>
          </w:tcPr>
          <w:p w14:paraId="2493A1C3">
            <w:pPr>
              <w:spacing w:line="280" w:lineRule="exact"/>
              <w:rPr>
                <w:rFonts w:hint="eastAsia" w:ascii="仿宋_GB2312" w:eastAsia="仿宋_GB2312"/>
                <w:sz w:val="24"/>
                <w:highlight w:val="none"/>
              </w:rPr>
            </w:pPr>
            <w:r>
              <w:rPr>
                <w:rFonts w:hint="eastAsia" w:ascii="仿宋_GB2312" w:eastAsia="仿宋_GB2312"/>
                <w:sz w:val="24"/>
                <w:highlight w:val="none"/>
              </w:rPr>
              <w:t>未响应区执法局其他相关养护内容或要求，每次扣5000元。</w:t>
            </w:r>
          </w:p>
        </w:tc>
      </w:tr>
      <w:tr w14:paraId="56813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884" w:type="dxa"/>
            <w:gridSpan w:val="6"/>
            <w:tcBorders>
              <w:top w:val="single" w:color="auto" w:sz="4" w:space="0"/>
              <w:left w:val="single" w:color="auto" w:sz="4" w:space="0"/>
              <w:bottom w:val="single" w:color="auto" w:sz="4" w:space="0"/>
              <w:right w:val="single" w:color="auto" w:sz="4" w:space="0"/>
            </w:tcBorders>
            <w:noWrap w:val="0"/>
            <w:vAlign w:val="center"/>
          </w:tcPr>
          <w:p w14:paraId="1058F040">
            <w:pPr>
              <w:jc w:val="center"/>
              <w:rPr>
                <w:rFonts w:hint="eastAsia"/>
                <w:w w:val="90"/>
                <w:highlight w:val="none"/>
              </w:rPr>
            </w:pPr>
            <w:r>
              <w:rPr>
                <w:rFonts w:hint="eastAsia" w:ascii="黑体" w:eastAsia="黑体"/>
                <w:b/>
                <w:sz w:val="28"/>
                <w:szCs w:val="28"/>
                <w:highlight w:val="none"/>
              </w:rPr>
              <w:t>内业考核扣款标准</w:t>
            </w:r>
          </w:p>
        </w:tc>
      </w:tr>
      <w:tr w14:paraId="577AE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489B4D0E">
            <w:pPr>
              <w:jc w:val="center"/>
              <w:rPr>
                <w:rFonts w:hint="eastAsia" w:ascii="黑体" w:hAnsi="黑体" w:eastAsia="黑体"/>
                <w:b/>
                <w:w w:val="90"/>
                <w:sz w:val="24"/>
                <w:highlight w:val="none"/>
              </w:rPr>
            </w:pPr>
            <w:r>
              <w:rPr>
                <w:rFonts w:hint="eastAsia" w:ascii="黑体" w:hAnsi="黑体" w:eastAsia="黑体"/>
                <w:b/>
                <w:w w:val="90"/>
                <w:sz w:val="24"/>
                <w:highlight w:val="none"/>
              </w:rPr>
              <w:t>制度建设</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727951F9">
            <w:pPr>
              <w:rPr>
                <w:rFonts w:hint="eastAsia" w:ascii="仿宋_GB2312" w:eastAsia="仿宋_GB2312"/>
                <w:w w:val="90"/>
                <w:sz w:val="24"/>
                <w:highlight w:val="none"/>
              </w:rPr>
            </w:pPr>
            <w:r>
              <w:rPr>
                <w:rFonts w:hint="eastAsia" w:ascii="仿宋_GB2312" w:eastAsia="仿宋_GB2312"/>
                <w:sz w:val="24"/>
                <w:highlight w:val="none"/>
              </w:rPr>
              <w:t>未建立相关制度</w:t>
            </w:r>
            <w:r>
              <w:rPr>
                <w:rFonts w:hint="eastAsia" w:ascii="仿宋_GB2312" w:eastAsia="仿宋_GB2312"/>
                <w:sz w:val="24"/>
                <w:highlight w:val="none"/>
                <w:lang w:eastAsia="zh-CN"/>
              </w:rPr>
              <w:t>、管理内容及</w:t>
            </w:r>
            <w:r>
              <w:rPr>
                <w:rFonts w:hint="eastAsia" w:ascii="仿宋_GB2312" w:eastAsia="仿宋_GB2312"/>
                <w:sz w:val="24"/>
                <w:highlight w:val="none"/>
              </w:rPr>
              <w:t>未明确内部处置流程，每项扣5000元，未按相关制度落实各项工作或要求，每次扣5000元。</w:t>
            </w:r>
          </w:p>
        </w:tc>
      </w:tr>
      <w:tr w14:paraId="47D7B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560EE05D">
            <w:pPr>
              <w:jc w:val="center"/>
              <w:rPr>
                <w:rFonts w:hint="eastAsia" w:ascii="黑体" w:hAnsi="黑体" w:eastAsia="黑体"/>
                <w:b/>
                <w:w w:val="90"/>
                <w:sz w:val="24"/>
                <w:highlight w:val="none"/>
              </w:rPr>
            </w:pPr>
            <w:r>
              <w:rPr>
                <w:rFonts w:hint="eastAsia" w:ascii="黑体" w:hAnsi="黑体" w:eastAsia="黑体"/>
                <w:b/>
                <w:w w:val="90"/>
                <w:sz w:val="24"/>
                <w:highlight w:val="none"/>
              </w:rPr>
              <w:t>应急处置</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038BCBFF">
            <w:pPr>
              <w:rPr>
                <w:rFonts w:hint="eastAsia" w:ascii="仿宋_GB2312" w:eastAsia="仿宋_GB2312"/>
                <w:w w:val="90"/>
                <w:sz w:val="24"/>
                <w:highlight w:val="none"/>
              </w:rPr>
            </w:pPr>
            <w:r>
              <w:rPr>
                <w:rFonts w:hint="eastAsia" w:ascii="仿宋_GB2312" w:eastAsia="仿宋_GB2312"/>
                <w:sz w:val="24"/>
                <w:highlight w:val="none"/>
              </w:rPr>
              <w:t>未制定应急预案的每少一项扣5000元；应急处置人员、设备未按要求落实到位的每次视情扣2000-10000元；应急措施未按预案要求落实或落实不力每次扣20000元；造成严重后果的视情扣50000</w:t>
            </w:r>
            <w:r>
              <w:rPr>
                <w:rFonts w:hint="eastAsia" w:ascii="仿宋_GB2312" w:eastAsia="仿宋_GB2312"/>
                <w:sz w:val="24"/>
                <w:highlight w:val="none"/>
                <w:lang w:val="en-US" w:eastAsia="zh-CN"/>
              </w:rPr>
              <w:t>-</w:t>
            </w:r>
            <w:r>
              <w:rPr>
                <w:rFonts w:hint="eastAsia" w:ascii="仿宋_GB2312" w:eastAsia="仿宋_GB2312"/>
                <w:sz w:val="24"/>
                <w:highlight w:val="none"/>
              </w:rPr>
              <w:t>100000元。</w:t>
            </w:r>
          </w:p>
        </w:tc>
      </w:tr>
      <w:tr w14:paraId="31BF0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4553E168">
            <w:pPr>
              <w:jc w:val="center"/>
              <w:rPr>
                <w:rFonts w:hint="eastAsia" w:ascii="黑体" w:hAnsi="黑体" w:eastAsia="黑体"/>
                <w:b/>
                <w:w w:val="90"/>
                <w:sz w:val="24"/>
                <w:highlight w:val="none"/>
              </w:rPr>
            </w:pPr>
            <w:r>
              <w:rPr>
                <w:rFonts w:hint="eastAsia" w:ascii="黑体" w:hAnsi="黑体" w:eastAsia="黑体"/>
                <w:b/>
                <w:w w:val="90"/>
                <w:sz w:val="24"/>
                <w:highlight w:val="none"/>
              </w:rPr>
              <w:t>基础资料</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3C41F00C">
            <w:pPr>
              <w:rPr>
                <w:rFonts w:hint="eastAsia" w:ascii="仿宋_GB2312" w:eastAsia="仿宋_GB2312"/>
                <w:sz w:val="24"/>
                <w:highlight w:val="none"/>
              </w:rPr>
            </w:pPr>
            <w:r>
              <w:rPr>
                <w:rFonts w:hint="eastAsia" w:ascii="仿宋_GB2312" w:eastAsia="仿宋_GB2312"/>
                <w:sz w:val="24"/>
                <w:highlight w:val="none"/>
              </w:rPr>
              <w:t>相关资料不</w:t>
            </w:r>
            <w:r>
              <w:rPr>
                <w:rFonts w:hint="eastAsia" w:ascii="仿宋_GB2312" w:eastAsia="仿宋_GB2312"/>
                <w:sz w:val="24"/>
                <w:highlight w:val="none"/>
                <w:lang w:eastAsia="zh-CN"/>
              </w:rPr>
              <w:t>齐全、相关工作不落实</w:t>
            </w:r>
            <w:r>
              <w:rPr>
                <w:rFonts w:hint="eastAsia" w:ascii="仿宋_GB2312" w:eastAsia="仿宋_GB2312"/>
                <w:sz w:val="24"/>
                <w:highlight w:val="none"/>
              </w:rPr>
              <w:t>，每项视情扣2000</w:t>
            </w:r>
            <w:r>
              <w:rPr>
                <w:rFonts w:hint="eastAsia" w:ascii="仿宋_GB2312" w:eastAsia="仿宋_GB2312"/>
                <w:sz w:val="24"/>
                <w:highlight w:val="none"/>
                <w:lang w:val="en-US" w:eastAsia="zh-CN"/>
              </w:rPr>
              <w:t>-</w:t>
            </w:r>
            <w:r>
              <w:rPr>
                <w:rFonts w:hint="eastAsia" w:ascii="仿宋_GB2312" w:eastAsia="仿宋_GB2312"/>
                <w:sz w:val="24"/>
                <w:highlight w:val="none"/>
              </w:rPr>
              <w:t>10000元。</w:t>
            </w:r>
          </w:p>
        </w:tc>
      </w:tr>
      <w:tr w14:paraId="543D8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700C12BE">
            <w:pPr>
              <w:jc w:val="center"/>
              <w:rPr>
                <w:rFonts w:hint="eastAsia" w:ascii="黑体" w:hAnsi="黑体" w:eastAsia="黑体"/>
                <w:b/>
                <w:w w:val="90"/>
                <w:sz w:val="24"/>
                <w:highlight w:val="none"/>
              </w:rPr>
            </w:pPr>
            <w:r>
              <w:rPr>
                <w:rFonts w:hint="eastAsia" w:ascii="黑体" w:hAnsi="黑体" w:eastAsia="黑体"/>
                <w:b/>
                <w:w w:val="90"/>
                <w:sz w:val="24"/>
                <w:highlight w:val="none"/>
              </w:rPr>
              <w:t>安全保障</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779700B0">
            <w:pPr>
              <w:rPr>
                <w:rFonts w:hint="eastAsia" w:ascii="仿宋_GB2312" w:eastAsia="仿宋_GB2312"/>
                <w:sz w:val="24"/>
                <w:highlight w:val="none"/>
              </w:rPr>
            </w:pPr>
            <w:r>
              <w:rPr>
                <w:rFonts w:hint="eastAsia" w:ascii="仿宋_GB2312" w:eastAsia="仿宋_GB2312"/>
                <w:sz w:val="24"/>
                <w:highlight w:val="none"/>
              </w:rPr>
              <w:t>制度未建立、作业不规范、施工不文明、监督不到位、</w:t>
            </w:r>
            <w:r>
              <w:rPr>
                <w:rFonts w:hint="eastAsia" w:ascii="仿宋_GB2312" w:eastAsia="仿宋_GB2312"/>
                <w:sz w:val="24"/>
                <w:highlight w:val="none"/>
                <w:lang w:eastAsia="zh-CN"/>
              </w:rPr>
              <w:t>管理不到位、</w:t>
            </w:r>
            <w:r>
              <w:rPr>
                <w:rFonts w:hint="eastAsia" w:ascii="仿宋_GB2312" w:eastAsia="仿宋_GB2312"/>
                <w:sz w:val="24"/>
                <w:highlight w:val="none"/>
              </w:rPr>
              <w:t>处置不及时、未按要求购买作业人员保险及第三者责任险、特殊工种作业人员证照不齐全,每次视情扣5000</w:t>
            </w:r>
            <w:r>
              <w:rPr>
                <w:rFonts w:hint="eastAsia" w:ascii="仿宋_GB2312" w:eastAsia="仿宋_GB2312"/>
                <w:sz w:val="24"/>
                <w:highlight w:val="none"/>
                <w:lang w:val="en-US" w:eastAsia="zh-CN"/>
              </w:rPr>
              <w:t>-</w:t>
            </w:r>
            <w:r>
              <w:rPr>
                <w:rFonts w:hint="eastAsia" w:ascii="仿宋_GB2312" w:eastAsia="仿宋_GB2312"/>
                <w:sz w:val="24"/>
                <w:highlight w:val="none"/>
              </w:rPr>
              <w:t>50000元。</w:t>
            </w:r>
          </w:p>
        </w:tc>
      </w:tr>
      <w:tr w14:paraId="4D59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6B3E134">
            <w:pPr>
              <w:jc w:val="center"/>
              <w:rPr>
                <w:rFonts w:hint="eastAsia" w:ascii="黑体" w:hAnsi="黑体" w:eastAsia="黑体"/>
                <w:b/>
                <w:w w:val="90"/>
                <w:sz w:val="24"/>
                <w:highlight w:val="none"/>
              </w:rPr>
            </w:pPr>
            <w:r>
              <w:rPr>
                <w:rFonts w:hint="eastAsia" w:ascii="黑体" w:hAnsi="黑体" w:eastAsia="黑体"/>
                <w:b/>
                <w:w w:val="90"/>
                <w:sz w:val="24"/>
                <w:highlight w:val="none"/>
              </w:rPr>
              <w:t>其他</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7AEFDF61">
            <w:pPr>
              <w:rPr>
                <w:rFonts w:hint="eastAsia" w:ascii="仿宋_GB2312" w:eastAsia="仿宋_GB2312"/>
                <w:sz w:val="24"/>
                <w:highlight w:val="none"/>
              </w:rPr>
            </w:pPr>
            <w:r>
              <w:rPr>
                <w:rFonts w:hint="eastAsia" w:ascii="仿宋_GB2312" w:eastAsia="仿宋_GB2312"/>
                <w:sz w:val="24"/>
                <w:highlight w:val="none"/>
              </w:rPr>
              <w:t>未响应区执法局其他内业相关养护内容或工作要求，每次扣5000元。</w:t>
            </w:r>
          </w:p>
        </w:tc>
      </w:tr>
      <w:tr w14:paraId="5F5AD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9884" w:type="dxa"/>
            <w:gridSpan w:val="6"/>
            <w:tcBorders>
              <w:top w:val="single" w:color="auto" w:sz="4" w:space="0"/>
              <w:left w:val="single" w:color="auto" w:sz="4" w:space="0"/>
              <w:bottom w:val="single" w:color="auto" w:sz="4" w:space="0"/>
              <w:right w:val="single" w:color="auto" w:sz="4" w:space="0"/>
            </w:tcBorders>
            <w:noWrap w:val="0"/>
            <w:vAlign w:val="center"/>
          </w:tcPr>
          <w:p w14:paraId="1C7AD0A0">
            <w:pPr>
              <w:jc w:val="center"/>
              <w:rPr>
                <w:rFonts w:hint="eastAsia" w:ascii="仿宋_GB2312" w:eastAsia="仿宋_GB2312"/>
                <w:w w:val="90"/>
                <w:sz w:val="24"/>
                <w:highlight w:val="none"/>
              </w:rPr>
            </w:pPr>
            <w:r>
              <w:rPr>
                <w:rFonts w:hint="eastAsia" w:ascii="黑体" w:eastAsia="黑体"/>
                <w:b/>
                <w:sz w:val="28"/>
                <w:szCs w:val="28"/>
                <w:highlight w:val="none"/>
              </w:rPr>
              <w:t>创新创优考核奖励标准</w:t>
            </w:r>
          </w:p>
        </w:tc>
      </w:tr>
      <w:tr w14:paraId="56D62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6"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E3909C4">
            <w:pPr>
              <w:jc w:val="center"/>
              <w:rPr>
                <w:rFonts w:hint="eastAsia" w:ascii="黑体" w:hAnsi="黑体" w:eastAsia="黑体"/>
                <w:b/>
                <w:w w:val="90"/>
                <w:sz w:val="24"/>
                <w:highlight w:val="none"/>
              </w:rPr>
            </w:pPr>
            <w:r>
              <w:rPr>
                <w:rFonts w:hint="eastAsia" w:ascii="黑体" w:hAnsi="黑体" w:eastAsia="黑体"/>
                <w:b/>
                <w:w w:val="90"/>
                <w:sz w:val="24"/>
                <w:highlight w:val="none"/>
              </w:rPr>
              <w:t>表彰奖励</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1B406E9C">
            <w:pPr>
              <w:rPr>
                <w:rFonts w:hint="eastAsia" w:ascii="仿宋_GB2312" w:eastAsia="仿宋_GB2312"/>
                <w:sz w:val="24"/>
                <w:highlight w:val="none"/>
              </w:rPr>
            </w:pPr>
            <w:r>
              <w:rPr>
                <w:rFonts w:hint="eastAsia" w:ascii="仿宋_GB2312" w:eastAsia="仿宋_GB2312"/>
                <w:sz w:val="24"/>
                <w:highlight w:val="none"/>
              </w:rPr>
              <w:t>养护单位所在钱塘区养护工作获得区级相关荣誉奖励，每次核减区级一次抄告问题5个；获得市级相关荣誉奖励，每次核减区级一次抄告问题10个；获得省级相关荣誉奖励，每次核减区级一次抄告问题20个。</w:t>
            </w:r>
          </w:p>
        </w:tc>
      </w:tr>
      <w:tr w14:paraId="149D6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6FFC37F2">
            <w:pPr>
              <w:jc w:val="center"/>
              <w:rPr>
                <w:rFonts w:hint="eastAsia" w:ascii="黑体" w:hAnsi="黑体" w:eastAsia="黑体"/>
                <w:b/>
                <w:w w:val="90"/>
                <w:sz w:val="24"/>
                <w:highlight w:val="none"/>
              </w:rPr>
            </w:pPr>
            <w:r>
              <w:rPr>
                <w:rFonts w:hint="eastAsia" w:ascii="黑体" w:hAnsi="黑体" w:eastAsia="黑体"/>
                <w:b/>
                <w:w w:val="90"/>
                <w:sz w:val="24"/>
                <w:highlight w:val="none"/>
              </w:rPr>
              <w:t>领导批示</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428FAF25">
            <w:pPr>
              <w:rPr>
                <w:rFonts w:hint="eastAsia" w:ascii="仿宋_GB2312" w:eastAsia="仿宋_GB2312"/>
                <w:sz w:val="24"/>
                <w:highlight w:val="none"/>
              </w:rPr>
            </w:pPr>
            <w:r>
              <w:rPr>
                <w:rFonts w:hint="eastAsia" w:ascii="仿宋_GB2312" w:eastAsia="仿宋_GB2312"/>
                <w:sz w:val="24"/>
                <w:highlight w:val="none"/>
              </w:rPr>
              <w:t>养护单位所在钱塘区养护工作获得区级领导批示的，每次核减区级抄告问题10个；获得市级领导批示的，每次核减区级抄告问题20个；获得省级领导批示的，每次核减区级抄告问题30个；</w:t>
            </w:r>
          </w:p>
        </w:tc>
      </w:tr>
      <w:tr w14:paraId="6E097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23E1BF4C">
            <w:pPr>
              <w:jc w:val="center"/>
              <w:rPr>
                <w:rFonts w:hint="eastAsia" w:ascii="黑体" w:hAnsi="黑体" w:eastAsia="黑体"/>
                <w:b/>
                <w:w w:val="90"/>
                <w:sz w:val="24"/>
                <w:highlight w:val="none"/>
              </w:rPr>
            </w:pPr>
            <w:r>
              <w:rPr>
                <w:rFonts w:hint="eastAsia" w:ascii="黑体" w:hAnsi="黑体" w:eastAsia="黑体"/>
                <w:b/>
                <w:w w:val="90"/>
                <w:sz w:val="24"/>
                <w:highlight w:val="none"/>
              </w:rPr>
              <w:t>创新评优</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14:paraId="2961AB77">
            <w:pPr>
              <w:rPr>
                <w:rFonts w:hint="eastAsia" w:ascii="仿宋_GB2312" w:eastAsia="仿宋_GB2312"/>
                <w:sz w:val="24"/>
                <w:highlight w:val="none"/>
              </w:rPr>
            </w:pPr>
            <w:r>
              <w:rPr>
                <w:rFonts w:hint="eastAsia" w:ascii="仿宋_GB2312" w:eastAsia="仿宋_GB2312"/>
                <w:sz w:val="24"/>
                <w:highlight w:val="none"/>
              </w:rPr>
              <w:t>养护单位养护工作获得先进工作法、先进做法等奖励的</w:t>
            </w:r>
            <w:r>
              <w:rPr>
                <w:rFonts w:hint="eastAsia" w:ascii="仿宋_GB2312" w:eastAsia="仿宋_GB2312"/>
                <w:sz w:val="24"/>
                <w:highlight w:val="none"/>
                <w:lang w:eastAsia="zh-CN"/>
              </w:rPr>
              <w:t>；养护单位积极响应除景观灯养护工作外事项并取得一定成效或者执法局认可的，</w:t>
            </w:r>
            <w:r>
              <w:rPr>
                <w:rFonts w:hint="eastAsia" w:ascii="仿宋_GB2312" w:eastAsia="仿宋_GB2312"/>
                <w:sz w:val="24"/>
                <w:highlight w:val="none"/>
              </w:rPr>
              <w:t>每次核减区级抄告20个。</w:t>
            </w:r>
          </w:p>
        </w:tc>
      </w:tr>
    </w:tbl>
    <w:p w14:paraId="19DCA87C">
      <w:pPr>
        <w:ind w:firstLine="434" w:firstLineChars="200"/>
        <w:rPr>
          <w:rFonts w:hint="eastAsia" w:ascii="黑体" w:hAnsi="黑体" w:eastAsia="黑体"/>
          <w:b/>
          <w:w w:val="90"/>
          <w:sz w:val="24"/>
          <w:highlight w:val="none"/>
        </w:rPr>
      </w:pPr>
    </w:p>
    <w:p w14:paraId="07BFF699">
      <w:pPr>
        <w:rPr>
          <w:rFonts w:hint="eastAsia" w:ascii="仿宋" w:hAnsi="仿宋" w:eastAsia="仿宋" w:cs="仿宋"/>
          <w:highlight w:val="none"/>
        </w:rPr>
      </w:pPr>
      <w:r>
        <w:rPr>
          <w:rFonts w:hint="eastAsia" w:ascii="黑体" w:hAnsi="黑体" w:eastAsia="黑体"/>
          <w:b/>
          <w:w w:val="90"/>
          <w:sz w:val="24"/>
          <w:highlight w:val="none"/>
        </w:rPr>
        <w:t>备注：</w:t>
      </w:r>
      <w:r>
        <w:rPr>
          <w:rFonts w:hint="eastAsia" w:ascii="仿宋_GB2312" w:eastAsia="仿宋_GB2312"/>
          <w:sz w:val="24"/>
          <w:highlight w:val="none"/>
        </w:rPr>
        <w:t>发生有责事故，养护单位除承担相关法律责任和经济赔偿外，每次视情轻重再扣除100000-500000元养护款。</w:t>
      </w:r>
      <w:r>
        <w:rPr>
          <w:rFonts w:hint="eastAsia" w:ascii="仿宋_GB2312" w:hAnsi="仿宋" w:eastAsia="仿宋_GB2312" w:cs="仿宋"/>
          <w:highlight w:val="none"/>
        </w:rPr>
        <w:br w:type="page"/>
      </w:r>
    </w:p>
    <w:p w14:paraId="2DA15F5D">
      <w:pPr>
        <w:rPr>
          <w:highlight w:val="none"/>
        </w:rPr>
      </w:pPr>
    </w:p>
    <w:bookmarkEnd w:id="69"/>
    <w:bookmarkEnd w:id="70"/>
    <w:bookmarkEnd w:id="71"/>
    <w:bookmarkEnd w:id="72"/>
    <w:p w14:paraId="3EEBA598">
      <w:pPr>
        <w:adjustRightInd w:val="0"/>
        <w:snapToGrid w:val="0"/>
        <w:spacing w:before="120" w:beforeLines="50" w:after="120" w:afterLines="50" w:line="360" w:lineRule="auto"/>
        <w:jc w:val="center"/>
        <w:outlineLvl w:val="0"/>
        <w:rPr>
          <w:rFonts w:ascii="仿宋_GB2312" w:hAnsi="仿宋" w:eastAsia="仿宋_GB2312" w:cs="仿宋"/>
          <w:b/>
          <w:color w:val="000000" w:themeColor="text1"/>
          <w:sz w:val="30"/>
          <w:szCs w:val="30"/>
          <w:highlight w:val="none"/>
          <w14:textFill>
            <w14:solidFill>
              <w14:schemeClr w14:val="tx1"/>
            </w14:solidFill>
          </w14:textFill>
        </w:rPr>
      </w:pPr>
      <w:bookmarkStart w:id="90" w:name="_Toc14349"/>
      <w:bookmarkStart w:id="91" w:name="_Toc25398"/>
      <w:r>
        <w:rPr>
          <w:rFonts w:hint="eastAsia" w:ascii="仿宋_GB2312" w:hAnsi="仿宋" w:eastAsia="仿宋_GB2312" w:cs="仿宋"/>
          <w:b/>
          <w:color w:val="000000" w:themeColor="text1"/>
          <w:sz w:val="30"/>
          <w:szCs w:val="30"/>
          <w:highlight w:val="none"/>
          <w14:textFill>
            <w14:solidFill>
              <w14:schemeClr w14:val="tx1"/>
            </w14:solidFill>
          </w14:textFill>
        </w:rPr>
        <w:t>第四部分  评标办法</w:t>
      </w:r>
      <w:bookmarkEnd w:id="90"/>
      <w:bookmarkEnd w:id="91"/>
    </w:p>
    <w:p w14:paraId="21D2C0F3">
      <w:pPr>
        <w:pStyle w:val="4"/>
        <w:snapToGrid w:val="0"/>
        <w:spacing w:before="120" w:beforeLines="50" w:after="120" w:afterLines="50" w:line="360" w:lineRule="auto"/>
        <w:rPr>
          <w:rFonts w:ascii="仿宋_GB2312" w:hAnsi="仿宋" w:eastAsia="仿宋_GB2312" w:cs="仿宋"/>
          <w:sz w:val="24"/>
          <w:szCs w:val="24"/>
          <w:highlight w:val="none"/>
        </w:rPr>
      </w:pPr>
      <w:bookmarkStart w:id="92" w:name="_Toc16598"/>
      <w:bookmarkStart w:id="93" w:name="_Toc11969"/>
      <w:r>
        <w:rPr>
          <w:rFonts w:hint="eastAsia" w:ascii="仿宋_GB2312" w:hAnsi="仿宋" w:eastAsia="仿宋_GB2312" w:cs="仿宋"/>
          <w:sz w:val="24"/>
          <w:szCs w:val="24"/>
          <w:highlight w:val="none"/>
        </w:rPr>
        <w:t>评标办法前附表</w:t>
      </w:r>
      <w:bookmarkEnd w:id="92"/>
      <w:bookmarkEnd w:id="93"/>
    </w:p>
    <w:p w14:paraId="7BDBA1AC">
      <w:pPr>
        <w:pStyle w:val="17"/>
        <w:adjustRightInd w:val="0"/>
        <w:snapToGrid w:val="0"/>
        <w:spacing w:line="360" w:lineRule="auto"/>
        <w:ind w:firstLine="420" w:firstLineChars="200"/>
        <w:rPr>
          <w:highlight w:val="none"/>
        </w:rPr>
      </w:pPr>
    </w:p>
    <w:tbl>
      <w:tblPr>
        <w:tblStyle w:val="4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5112"/>
        <w:gridCol w:w="1177"/>
        <w:gridCol w:w="2010"/>
      </w:tblGrid>
      <w:tr w14:paraId="1DED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39" w:type="dxa"/>
            <w:vAlign w:val="center"/>
          </w:tcPr>
          <w:p w14:paraId="2DB0C1D7">
            <w:pPr>
              <w:jc w:val="center"/>
              <w:outlineLvl w:val="0"/>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112" w:type="dxa"/>
            <w:vAlign w:val="center"/>
          </w:tcPr>
          <w:p w14:paraId="03282D63">
            <w:pPr>
              <w:ind w:firstLine="1365" w:firstLineChars="650"/>
              <w:outlineLvl w:val="0"/>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评标标准</w:t>
            </w:r>
          </w:p>
        </w:tc>
        <w:tc>
          <w:tcPr>
            <w:tcW w:w="1177" w:type="dxa"/>
            <w:vAlign w:val="center"/>
          </w:tcPr>
          <w:p w14:paraId="42C2C3F6">
            <w:pPr>
              <w:jc w:val="center"/>
              <w:outlineLvl w:val="0"/>
              <w:rPr>
                <w:rFonts w:hint="eastAsia" w:ascii="仿宋" w:hAnsi="仿宋" w:eastAsia="仿宋" w:cs="仿宋"/>
                <w:bCs/>
                <w:sz w:val="21"/>
                <w:szCs w:val="21"/>
                <w:highlight w:val="none"/>
              </w:rPr>
            </w:pPr>
            <w:r>
              <w:rPr>
                <w:rFonts w:hint="eastAsia" w:ascii="仿宋" w:hAnsi="仿宋" w:eastAsia="仿宋" w:cs="仿宋"/>
                <w:bCs/>
                <w:sz w:val="21"/>
                <w:szCs w:val="21"/>
                <w:highlight w:val="none"/>
              </w:rPr>
              <w:t>权重</w:t>
            </w:r>
          </w:p>
          <w:p w14:paraId="14305C9A">
            <w:pPr>
              <w:jc w:val="center"/>
              <w:outlineLvl w:val="0"/>
              <w:rPr>
                <w:rFonts w:hint="eastAsia" w:ascii="仿宋" w:hAnsi="仿宋" w:eastAsia="仿宋" w:cs="仿宋"/>
                <w:bCs/>
                <w:sz w:val="21"/>
                <w:szCs w:val="21"/>
                <w:highlight w:val="none"/>
              </w:rPr>
            </w:pPr>
            <w:r>
              <w:rPr>
                <w:rFonts w:hint="eastAsia" w:ascii="仿宋" w:hAnsi="仿宋" w:eastAsia="仿宋" w:cs="仿宋"/>
                <w:bCs/>
                <w:sz w:val="21"/>
                <w:szCs w:val="21"/>
                <w:highlight w:val="none"/>
              </w:rPr>
              <w:t>主观分/客观分属性</w:t>
            </w:r>
          </w:p>
        </w:tc>
        <w:tc>
          <w:tcPr>
            <w:tcW w:w="2010" w:type="dxa"/>
            <w:vAlign w:val="center"/>
          </w:tcPr>
          <w:p w14:paraId="1FECE49C">
            <w:pPr>
              <w:jc w:val="center"/>
              <w:outlineLvl w:val="0"/>
              <w:rPr>
                <w:rFonts w:hint="eastAsia" w:ascii="仿宋" w:hAnsi="仿宋" w:eastAsia="仿宋" w:cs="仿宋"/>
                <w:bCs/>
                <w:sz w:val="21"/>
                <w:szCs w:val="21"/>
                <w:highlight w:val="none"/>
              </w:rPr>
            </w:pPr>
            <w:r>
              <w:rPr>
                <w:rFonts w:hint="eastAsia" w:ascii="仿宋" w:hAnsi="仿宋" w:eastAsia="仿宋" w:cs="仿宋"/>
                <w:bCs/>
                <w:sz w:val="21"/>
                <w:szCs w:val="21"/>
                <w:highlight w:val="none"/>
              </w:rPr>
              <w:t>投标文件中评标标准相应的商务技术资料目录</w:t>
            </w:r>
            <w:r>
              <w:rPr>
                <w:rFonts w:hint="eastAsia" w:ascii="仿宋" w:hAnsi="仿宋" w:eastAsia="仿宋" w:cs="仿宋"/>
                <w:sz w:val="21"/>
                <w:szCs w:val="21"/>
                <w:highlight w:val="none"/>
                <w:shd w:val="clear" w:color="auto" w:fill="FFFFFF"/>
              </w:rPr>
              <w:t>*</w:t>
            </w:r>
          </w:p>
        </w:tc>
      </w:tr>
      <w:tr w14:paraId="3062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39" w:type="dxa"/>
            <w:vMerge w:val="restart"/>
            <w:vAlign w:val="center"/>
          </w:tcPr>
          <w:p w14:paraId="29EA5F57">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112" w:type="dxa"/>
            <w:vAlign w:val="center"/>
          </w:tcPr>
          <w:p w14:paraId="0E001105">
            <w:pPr>
              <w:widowControl/>
              <w:snapToGrid/>
              <w:jc w:val="left"/>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lang w:val="en-GB" w:eastAsia="zh-CN"/>
              </w:rPr>
              <w:t>本项目养护的整体认知</w:t>
            </w:r>
            <w:r>
              <w:rPr>
                <w:rFonts w:hint="eastAsia" w:ascii="仿宋" w:hAnsi="仿宋" w:eastAsia="仿宋" w:cs="仿宋"/>
                <w:sz w:val="21"/>
                <w:szCs w:val="21"/>
                <w:highlight w:val="none"/>
                <w:lang w:val="zh-CN" w:eastAsia="zh-CN"/>
              </w:rPr>
              <w:t>情况</w:t>
            </w:r>
            <w:r>
              <w:rPr>
                <w:rFonts w:hint="eastAsia" w:ascii="仿宋" w:hAnsi="仿宋" w:eastAsia="仿宋" w:cs="仿宋"/>
                <w:sz w:val="21"/>
                <w:szCs w:val="21"/>
                <w:highlight w:val="none"/>
                <w:lang w:val="en-GB" w:eastAsia="zh-CN"/>
              </w:rPr>
              <w:t>分析形成分析</w:t>
            </w:r>
            <w:r>
              <w:rPr>
                <w:rFonts w:hint="eastAsia" w:ascii="仿宋" w:hAnsi="仿宋" w:eastAsia="仿宋" w:cs="仿宋"/>
                <w:sz w:val="21"/>
                <w:szCs w:val="21"/>
                <w:highlight w:val="none"/>
                <w:lang w:val="zh-CN" w:eastAsia="zh-CN"/>
              </w:rPr>
              <w:t>方案</w:t>
            </w:r>
            <w:r>
              <w:rPr>
                <w:rFonts w:hint="eastAsia" w:ascii="仿宋" w:hAnsi="仿宋" w:eastAsia="仿宋" w:cs="仿宋"/>
                <w:sz w:val="21"/>
                <w:szCs w:val="21"/>
                <w:highlight w:val="none"/>
                <w:lang w:val="en-US" w:eastAsia="zh-CN"/>
              </w:rPr>
              <w:t>。</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497E55D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28AFD246">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restart"/>
            <w:vAlign w:val="center"/>
          </w:tcPr>
          <w:p w14:paraId="4752D8B3">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t>养护分析</w:t>
            </w:r>
          </w:p>
        </w:tc>
      </w:tr>
      <w:tr w14:paraId="2A0A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39" w:type="dxa"/>
            <w:vMerge w:val="continue"/>
            <w:vAlign w:val="center"/>
          </w:tcPr>
          <w:p w14:paraId="4E6169ED">
            <w:pPr>
              <w:jc w:val="center"/>
              <w:outlineLvl w:val="0"/>
              <w:rPr>
                <w:rFonts w:hint="eastAsia" w:ascii="仿宋" w:hAnsi="仿宋" w:eastAsia="仿宋" w:cs="仿宋"/>
                <w:sz w:val="21"/>
                <w:szCs w:val="21"/>
                <w:highlight w:val="none"/>
              </w:rPr>
            </w:pPr>
          </w:p>
        </w:tc>
        <w:tc>
          <w:tcPr>
            <w:tcW w:w="5112" w:type="dxa"/>
            <w:vAlign w:val="center"/>
          </w:tcPr>
          <w:p w14:paraId="5A58C935">
            <w:pPr>
              <w:widowControl/>
              <w:snapToGrid w:val="0"/>
              <w:jc w:val="left"/>
              <w:rPr>
                <w:rFonts w:hint="eastAsia" w:ascii="仿宋" w:hAnsi="仿宋" w:eastAsia="仿宋" w:cs="仿宋"/>
                <w:kern w:val="2"/>
                <w:sz w:val="21"/>
                <w:szCs w:val="21"/>
                <w:highlight w:val="none"/>
                <w:lang w:val="en-GB" w:eastAsia="zh-CN" w:bidi="ar-SA"/>
              </w:rPr>
            </w:pPr>
            <w:r>
              <w:rPr>
                <w:rFonts w:hint="eastAsia" w:ascii="仿宋" w:hAnsi="仿宋" w:eastAsia="仿宋" w:cs="仿宋"/>
                <w:sz w:val="21"/>
                <w:szCs w:val="21"/>
                <w:highlight w:val="none"/>
                <w:lang w:val="en-GB" w:eastAsia="zh-CN"/>
              </w:rPr>
              <w:t>本项目养护的疑难点情</w:t>
            </w:r>
            <w:r>
              <w:rPr>
                <w:rFonts w:hint="eastAsia" w:ascii="仿宋" w:hAnsi="仿宋" w:eastAsia="仿宋" w:cs="仿宋"/>
                <w:sz w:val="21"/>
                <w:szCs w:val="21"/>
                <w:highlight w:val="none"/>
                <w:lang w:val="en-US" w:eastAsia="zh-CN"/>
              </w:rPr>
              <w:t>况</w:t>
            </w:r>
            <w:r>
              <w:rPr>
                <w:rFonts w:hint="eastAsia" w:ascii="仿宋" w:hAnsi="仿宋" w:eastAsia="仿宋" w:cs="仿宋"/>
                <w:sz w:val="21"/>
                <w:szCs w:val="21"/>
                <w:highlight w:val="none"/>
                <w:lang w:val="en-GB" w:eastAsia="zh-CN"/>
              </w:rPr>
              <w:t>分析形成分析</w:t>
            </w:r>
            <w:r>
              <w:rPr>
                <w:rFonts w:hint="eastAsia" w:ascii="仿宋" w:hAnsi="仿宋" w:eastAsia="仿宋" w:cs="仿宋"/>
                <w:sz w:val="21"/>
                <w:szCs w:val="21"/>
                <w:highlight w:val="none"/>
                <w:lang w:val="en-US" w:eastAsia="zh-CN"/>
              </w:rPr>
              <w:t>方案。</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4360D84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4B2A6F57">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0098C9DF">
            <w:pPr>
              <w:jc w:val="center"/>
              <w:outlineLvl w:val="0"/>
              <w:rPr>
                <w:rFonts w:hint="eastAsia" w:ascii="仿宋" w:hAnsi="仿宋" w:eastAsia="仿宋" w:cs="仿宋"/>
                <w:sz w:val="21"/>
                <w:szCs w:val="21"/>
                <w:highlight w:val="none"/>
              </w:rPr>
            </w:pPr>
          </w:p>
        </w:tc>
      </w:tr>
      <w:tr w14:paraId="369D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39" w:type="dxa"/>
            <w:vMerge w:val="restart"/>
            <w:vAlign w:val="center"/>
          </w:tcPr>
          <w:p w14:paraId="2B735B0D">
            <w:pPr>
              <w:jc w:val="center"/>
              <w:rPr>
                <w:rFonts w:hint="eastAsia" w:ascii="仿宋" w:hAnsi="仿宋" w:eastAsia="仿宋" w:cs="仿宋"/>
                <w:sz w:val="21"/>
                <w:szCs w:val="21"/>
                <w:highlight w:val="none"/>
              </w:rPr>
            </w:pPr>
          </w:p>
          <w:p w14:paraId="713F7D6F">
            <w:pPr>
              <w:jc w:val="center"/>
              <w:rPr>
                <w:rFonts w:hint="eastAsia" w:ascii="仿宋" w:hAnsi="仿宋" w:eastAsia="仿宋" w:cs="仿宋"/>
                <w:sz w:val="21"/>
                <w:szCs w:val="21"/>
                <w:highlight w:val="none"/>
              </w:rPr>
            </w:pPr>
          </w:p>
          <w:p w14:paraId="7C179716">
            <w:pPr>
              <w:jc w:val="center"/>
              <w:rPr>
                <w:rFonts w:hint="eastAsia" w:ascii="仿宋" w:hAnsi="仿宋" w:eastAsia="仿宋" w:cs="仿宋"/>
                <w:sz w:val="21"/>
                <w:szCs w:val="21"/>
                <w:highlight w:val="none"/>
              </w:rPr>
            </w:pPr>
          </w:p>
          <w:p w14:paraId="033F4B31">
            <w:pPr>
              <w:jc w:val="center"/>
              <w:rPr>
                <w:rFonts w:hint="eastAsia" w:ascii="仿宋" w:hAnsi="仿宋" w:eastAsia="仿宋" w:cs="仿宋"/>
                <w:sz w:val="21"/>
                <w:szCs w:val="21"/>
                <w:highlight w:val="none"/>
              </w:rPr>
            </w:pPr>
          </w:p>
          <w:p w14:paraId="1C8BE8CF">
            <w:pPr>
              <w:jc w:val="center"/>
              <w:rPr>
                <w:rFonts w:hint="eastAsia" w:ascii="仿宋" w:hAnsi="仿宋" w:eastAsia="仿宋" w:cs="仿宋"/>
                <w:sz w:val="21"/>
                <w:szCs w:val="21"/>
                <w:highlight w:val="none"/>
              </w:rPr>
            </w:pPr>
          </w:p>
          <w:p w14:paraId="082FAB96">
            <w:pPr>
              <w:jc w:val="center"/>
              <w:rPr>
                <w:rFonts w:hint="eastAsia" w:ascii="仿宋" w:hAnsi="仿宋" w:eastAsia="仿宋" w:cs="仿宋"/>
                <w:sz w:val="21"/>
                <w:szCs w:val="21"/>
                <w:highlight w:val="none"/>
              </w:rPr>
            </w:pPr>
          </w:p>
          <w:p w14:paraId="5EC05156">
            <w:pPr>
              <w:jc w:val="center"/>
              <w:rPr>
                <w:rFonts w:hint="eastAsia" w:ascii="仿宋" w:hAnsi="仿宋" w:eastAsia="仿宋" w:cs="仿宋"/>
                <w:sz w:val="21"/>
                <w:szCs w:val="21"/>
                <w:highlight w:val="none"/>
              </w:rPr>
            </w:pPr>
          </w:p>
          <w:p w14:paraId="0D65203A">
            <w:pPr>
              <w:jc w:val="center"/>
              <w:rPr>
                <w:rFonts w:hint="eastAsia" w:ascii="仿宋" w:hAnsi="仿宋" w:eastAsia="仿宋" w:cs="仿宋"/>
                <w:sz w:val="21"/>
                <w:szCs w:val="21"/>
                <w:highlight w:val="none"/>
              </w:rPr>
            </w:pPr>
          </w:p>
          <w:p w14:paraId="5AB6BD3C">
            <w:pPr>
              <w:jc w:val="center"/>
              <w:rPr>
                <w:rFonts w:hint="eastAsia" w:ascii="仿宋" w:hAnsi="仿宋" w:eastAsia="仿宋" w:cs="仿宋"/>
                <w:sz w:val="21"/>
                <w:szCs w:val="21"/>
                <w:highlight w:val="none"/>
              </w:rPr>
            </w:pPr>
          </w:p>
          <w:p w14:paraId="79FE86B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112" w:type="dxa"/>
            <w:vAlign w:val="center"/>
          </w:tcPr>
          <w:p w14:paraId="61919CB3">
            <w:pPr>
              <w:widowControl/>
              <w:snapToGrid w:val="0"/>
              <w:jc w:val="left"/>
              <w:rPr>
                <w:rFonts w:hint="eastAsia" w:ascii="仿宋" w:hAnsi="仿宋" w:eastAsia="仿宋" w:cs="仿宋"/>
                <w:bCs/>
                <w:color w:val="000000"/>
                <w:kern w:val="2"/>
                <w:sz w:val="21"/>
                <w:szCs w:val="21"/>
                <w:highlight w:val="none"/>
                <w:lang w:val="en-GB" w:eastAsia="zh-CN" w:bidi="ar-SA"/>
              </w:rPr>
            </w:pPr>
            <w:r>
              <w:rPr>
                <w:rFonts w:hint="eastAsia" w:ascii="仿宋" w:hAnsi="仿宋" w:eastAsia="仿宋" w:cs="仿宋"/>
                <w:sz w:val="21"/>
                <w:szCs w:val="21"/>
                <w:highlight w:val="none"/>
                <w:lang w:val="en-GB"/>
              </w:rPr>
              <w:t>针对本</w:t>
            </w:r>
            <w:r>
              <w:rPr>
                <w:rFonts w:hint="eastAsia" w:ascii="仿宋" w:hAnsi="仿宋" w:eastAsia="仿宋" w:cs="仿宋"/>
                <w:sz w:val="21"/>
                <w:szCs w:val="21"/>
                <w:highlight w:val="none"/>
                <w:lang w:val="zh-CN"/>
              </w:rPr>
              <w:t>项目</w:t>
            </w:r>
            <w:r>
              <w:rPr>
                <w:rFonts w:hint="eastAsia" w:ascii="仿宋" w:hAnsi="仿宋" w:eastAsia="仿宋" w:cs="仿宋"/>
                <w:sz w:val="21"/>
                <w:szCs w:val="21"/>
                <w:highlight w:val="none"/>
                <w:lang w:val="en-GB"/>
              </w:rPr>
              <w:t>特点、养护标准所制定的养护方案</w:t>
            </w:r>
            <w:r>
              <w:rPr>
                <w:rFonts w:hint="eastAsia" w:ascii="仿宋" w:hAnsi="仿宋" w:eastAsia="仿宋" w:cs="仿宋"/>
                <w:sz w:val="21"/>
                <w:szCs w:val="21"/>
                <w:highlight w:val="none"/>
                <w:lang w:val="en-US" w:eastAsia="zh-CN"/>
              </w:rPr>
              <w:t>。</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0374AE4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4A55019C">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restart"/>
            <w:vAlign w:val="center"/>
          </w:tcPr>
          <w:p w14:paraId="063BEAA3">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养护</w:t>
            </w:r>
            <w:r>
              <w:rPr>
                <w:rFonts w:hint="eastAsia" w:ascii="仿宋" w:hAnsi="仿宋" w:eastAsia="仿宋" w:cs="仿宋"/>
                <w:sz w:val="21"/>
                <w:szCs w:val="21"/>
                <w:highlight w:val="none"/>
                <w:lang w:val="en-GB"/>
              </w:rPr>
              <w:t>服务</w:t>
            </w:r>
            <w:r>
              <w:rPr>
                <w:rFonts w:hint="eastAsia" w:ascii="仿宋" w:hAnsi="仿宋" w:eastAsia="仿宋" w:cs="仿宋"/>
                <w:sz w:val="21"/>
                <w:szCs w:val="21"/>
                <w:highlight w:val="none"/>
                <w:lang w:val="zh-CN"/>
              </w:rPr>
              <w:t>方案</w:t>
            </w:r>
          </w:p>
        </w:tc>
      </w:tr>
      <w:tr w14:paraId="7913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9" w:type="dxa"/>
            <w:vMerge w:val="continue"/>
            <w:vAlign w:val="center"/>
          </w:tcPr>
          <w:p w14:paraId="0F3546C5">
            <w:pPr>
              <w:jc w:val="center"/>
              <w:outlineLvl w:val="0"/>
              <w:rPr>
                <w:rFonts w:hint="eastAsia" w:ascii="仿宋" w:hAnsi="仿宋" w:eastAsia="仿宋" w:cs="仿宋"/>
                <w:sz w:val="21"/>
                <w:szCs w:val="21"/>
                <w:highlight w:val="none"/>
              </w:rPr>
            </w:pPr>
          </w:p>
        </w:tc>
        <w:tc>
          <w:tcPr>
            <w:tcW w:w="5112" w:type="dxa"/>
            <w:vAlign w:val="center"/>
          </w:tcPr>
          <w:p w14:paraId="242160CE">
            <w:pPr>
              <w:widowControl/>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针对光源、灯具及配件、箱变、电器、杆件、标识牌、配电设施、灯具外壳、支架、电缆（含电缆管道）、开关控制箱、工作井、</w:t>
            </w:r>
            <w:r>
              <w:rPr>
                <w:rFonts w:hint="eastAsia" w:ascii="仿宋" w:hAnsi="仿宋" w:eastAsia="仿宋" w:cs="仿宋"/>
                <w:sz w:val="21"/>
                <w:szCs w:val="21"/>
                <w:highlight w:val="none"/>
                <w:lang w:val="en-US"/>
              </w:rPr>
              <w:t>配电室、低压配电柜、控制器、</w:t>
            </w:r>
            <w:r>
              <w:rPr>
                <w:rFonts w:hint="eastAsia" w:ascii="仿宋" w:hAnsi="仿宋" w:eastAsia="仿宋" w:cs="仿宋"/>
                <w:sz w:val="21"/>
                <w:szCs w:val="21"/>
                <w:highlight w:val="none"/>
                <w:lang w:val="en-US" w:eastAsia="zh-CN"/>
              </w:rPr>
              <w:t>穿线管、配电箱、线卡、绳索、螺栓、电源适配器、防雷装置等设施设备的养护特点，编制相应的养护质量保证体系和实施方案。</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4BCC81F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64622D73">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474658D7">
            <w:pPr>
              <w:jc w:val="center"/>
              <w:outlineLvl w:val="0"/>
              <w:rPr>
                <w:rFonts w:hint="eastAsia" w:ascii="仿宋" w:hAnsi="仿宋" w:eastAsia="仿宋" w:cs="仿宋"/>
                <w:sz w:val="21"/>
                <w:szCs w:val="21"/>
                <w:highlight w:val="none"/>
              </w:rPr>
            </w:pPr>
          </w:p>
        </w:tc>
      </w:tr>
      <w:tr w14:paraId="495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39" w:type="dxa"/>
            <w:vMerge w:val="continue"/>
            <w:vAlign w:val="center"/>
          </w:tcPr>
          <w:p w14:paraId="732F27EE">
            <w:pPr>
              <w:jc w:val="center"/>
              <w:outlineLvl w:val="0"/>
              <w:rPr>
                <w:rFonts w:hint="eastAsia" w:ascii="仿宋" w:hAnsi="仿宋" w:eastAsia="仿宋" w:cs="仿宋"/>
                <w:sz w:val="21"/>
                <w:szCs w:val="21"/>
                <w:highlight w:val="none"/>
              </w:rPr>
            </w:pPr>
          </w:p>
        </w:tc>
        <w:tc>
          <w:tcPr>
            <w:tcW w:w="5112" w:type="dxa"/>
            <w:vAlign w:val="center"/>
          </w:tcPr>
          <w:p w14:paraId="68412C3C">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sz w:val="21"/>
                <w:szCs w:val="21"/>
                <w:highlight w:val="none"/>
                <w:lang w:val="zh-CN"/>
              </w:rPr>
              <w:t>投标人</w:t>
            </w:r>
            <w:r>
              <w:rPr>
                <w:rFonts w:hint="eastAsia" w:ascii="仿宋" w:hAnsi="仿宋" w:eastAsia="仿宋" w:cs="仿宋"/>
                <w:sz w:val="21"/>
                <w:szCs w:val="21"/>
                <w:highlight w:val="none"/>
                <w:lang w:val="zh-CN" w:eastAsia="zh-CN"/>
              </w:rPr>
              <w:t>对</w:t>
            </w:r>
            <w:r>
              <w:rPr>
                <w:rFonts w:hint="eastAsia" w:ascii="仿宋" w:hAnsi="仿宋" w:eastAsia="仿宋" w:cs="仿宋"/>
                <w:sz w:val="21"/>
                <w:szCs w:val="21"/>
                <w:highlight w:val="none"/>
                <w:lang w:val="en-US" w:eastAsia="zh-CN"/>
              </w:rPr>
              <w:t>光源、灯具及配件、箱变、电器、杆件、标识牌、配电设施、灯具外壳、支架、电缆（含电缆管道）、开关控制箱、工作井、</w:t>
            </w:r>
            <w:r>
              <w:rPr>
                <w:rFonts w:hint="eastAsia" w:ascii="仿宋" w:hAnsi="仿宋" w:eastAsia="仿宋" w:cs="仿宋"/>
                <w:sz w:val="21"/>
                <w:szCs w:val="21"/>
                <w:highlight w:val="none"/>
                <w:lang w:val="en-US"/>
              </w:rPr>
              <w:t>配电室、低压配电柜、控制器、</w:t>
            </w:r>
            <w:r>
              <w:rPr>
                <w:rFonts w:hint="eastAsia" w:ascii="仿宋" w:hAnsi="仿宋" w:eastAsia="仿宋" w:cs="仿宋"/>
                <w:sz w:val="21"/>
                <w:szCs w:val="21"/>
                <w:highlight w:val="none"/>
                <w:lang w:val="en-US" w:eastAsia="zh-CN"/>
              </w:rPr>
              <w:t>穿线管、配电箱、线卡、绳索、螺栓、电源适配器、防雷装置等</w:t>
            </w:r>
            <w:r>
              <w:rPr>
                <w:rFonts w:hint="eastAsia" w:ascii="仿宋" w:hAnsi="仿宋" w:eastAsia="仿宋" w:cs="仿宋"/>
                <w:sz w:val="21"/>
                <w:szCs w:val="21"/>
                <w:highlight w:val="none"/>
                <w:lang w:val="en-GB" w:eastAsia="zh-CN"/>
              </w:rPr>
              <w:t>设施设备的防盗看护方案</w:t>
            </w:r>
            <w:r>
              <w:rPr>
                <w:rFonts w:hint="eastAsia" w:ascii="仿宋" w:hAnsi="仿宋" w:eastAsia="仿宋" w:cs="仿宋"/>
                <w:sz w:val="21"/>
                <w:szCs w:val="21"/>
                <w:highlight w:val="none"/>
                <w:lang w:val="en-US" w:eastAsia="zh-CN"/>
              </w:rPr>
              <w:t>。</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0F891163">
            <w:pPr>
              <w:ind w:left="239" w:leftChars="114" w:firstLine="630" w:firstLineChars="30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2.5</w:t>
            </w:r>
            <w:r>
              <w:rPr>
                <w:rFonts w:hint="eastAsia" w:ascii="仿宋" w:hAnsi="仿宋" w:eastAsia="仿宋" w:cs="仿宋"/>
                <w:sz w:val="21"/>
                <w:szCs w:val="21"/>
                <w:highlight w:val="none"/>
              </w:rPr>
              <w:t>分</w:t>
            </w:r>
          </w:p>
          <w:p w14:paraId="53406C45">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2A609DFE">
            <w:pPr>
              <w:jc w:val="center"/>
              <w:outlineLvl w:val="0"/>
              <w:rPr>
                <w:rFonts w:hint="eastAsia" w:ascii="仿宋" w:hAnsi="仿宋" w:eastAsia="仿宋" w:cs="仿宋"/>
                <w:sz w:val="21"/>
                <w:szCs w:val="21"/>
                <w:highlight w:val="none"/>
              </w:rPr>
            </w:pPr>
          </w:p>
        </w:tc>
      </w:tr>
      <w:tr w14:paraId="0FDF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39" w:type="dxa"/>
            <w:vMerge w:val="continue"/>
            <w:vAlign w:val="center"/>
          </w:tcPr>
          <w:p w14:paraId="50242AC7">
            <w:pPr>
              <w:jc w:val="center"/>
              <w:outlineLvl w:val="0"/>
              <w:rPr>
                <w:rFonts w:hint="eastAsia" w:ascii="仿宋" w:hAnsi="仿宋" w:eastAsia="仿宋" w:cs="仿宋"/>
                <w:sz w:val="21"/>
                <w:szCs w:val="21"/>
                <w:highlight w:val="none"/>
              </w:rPr>
            </w:pPr>
          </w:p>
        </w:tc>
        <w:tc>
          <w:tcPr>
            <w:tcW w:w="5112" w:type="dxa"/>
            <w:vAlign w:val="center"/>
          </w:tcPr>
          <w:p w14:paraId="7039D599">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sz w:val="21"/>
                <w:szCs w:val="21"/>
                <w:highlight w:val="none"/>
                <w:lang w:val="en-GB" w:eastAsia="zh-CN"/>
              </w:rPr>
              <w:t>针对本项目所处区域的重要性，编制景观灯及其相关设施设备系统化的及时性养护保障体系与实施方案</w:t>
            </w:r>
            <w:r>
              <w:rPr>
                <w:rFonts w:hint="eastAsia" w:ascii="仿宋" w:hAnsi="仿宋" w:eastAsia="仿宋" w:cs="仿宋"/>
                <w:sz w:val="21"/>
                <w:szCs w:val="21"/>
                <w:highlight w:val="none"/>
                <w:lang w:val="en-US" w:eastAsia="zh-CN"/>
              </w:rPr>
              <w:t>。</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48FEC3A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795B7667">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18A6ED69">
            <w:pPr>
              <w:jc w:val="center"/>
              <w:outlineLvl w:val="0"/>
              <w:rPr>
                <w:rFonts w:hint="eastAsia" w:ascii="仿宋" w:hAnsi="仿宋" w:eastAsia="仿宋" w:cs="仿宋"/>
                <w:sz w:val="21"/>
                <w:szCs w:val="21"/>
                <w:highlight w:val="none"/>
              </w:rPr>
            </w:pPr>
          </w:p>
        </w:tc>
      </w:tr>
      <w:tr w14:paraId="2695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39" w:type="dxa"/>
            <w:vMerge w:val="continue"/>
            <w:vAlign w:val="center"/>
          </w:tcPr>
          <w:p w14:paraId="4E5376C7">
            <w:pPr>
              <w:jc w:val="center"/>
              <w:outlineLvl w:val="0"/>
              <w:rPr>
                <w:rFonts w:hint="eastAsia" w:ascii="仿宋" w:hAnsi="仿宋" w:eastAsia="仿宋" w:cs="仿宋"/>
                <w:sz w:val="21"/>
                <w:szCs w:val="21"/>
                <w:highlight w:val="none"/>
              </w:rPr>
            </w:pPr>
          </w:p>
        </w:tc>
        <w:tc>
          <w:tcPr>
            <w:tcW w:w="5112" w:type="dxa"/>
            <w:vAlign w:val="center"/>
          </w:tcPr>
          <w:p w14:paraId="1B5F1BBD">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sz w:val="21"/>
                <w:szCs w:val="21"/>
                <w:highlight w:val="none"/>
                <w:lang w:val="en-GB"/>
              </w:rPr>
              <w:t>针对</w:t>
            </w:r>
            <w:r>
              <w:rPr>
                <w:rFonts w:hint="eastAsia" w:ascii="仿宋" w:hAnsi="仿宋" w:eastAsia="仿宋" w:cs="仿宋"/>
                <w:sz w:val="21"/>
                <w:szCs w:val="21"/>
                <w:highlight w:val="none"/>
                <w:lang w:val="en-GB" w:eastAsia="zh-CN"/>
              </w:rPr>
              <w:t>设施设备</w:t>
            </w:r>
            <w:r>
              <w:rPr>
                <w:rFonts w:hint="eastAsia" w:ascii="仿宋" w:hAnsi="仿宋" w:eastAsia="仿宋" w:cs="仿宋"/>
                <w:sz w:val="21"/>
                <w:szCs w:val="21"/>
                <w:highlight w:val="none"/>
                <w:lang w:val="en-GB"/>
              </w:rPr>
              <w:t>的运行建立全覆盖日常巡查制度。</w:t>
            </w:r>
            <w:r>
              <w:rPr>
                <w:rFonts w:hint="eastAsia" w:ascii="仿宋" w:hAnsi="仿宋" w:eastAsia="仿宋" w:cs="仿宋"/>
                <w:i w:val="0"/>
                <w:iCs w:val="0"/>
                <w:caps w:val="0"/>
                <w:spacing w:val="0"/>
                <w:kern w:val="2"/>
                <w:sz w:val="21"/>
                <w:szCs w:val="21"/>
                <w:highlight w:val="none"/>
                <w:shd w:val="clear"/>
                <w:lang w:val="en-GB" w:eastAsia="zh-CN" w:bidi="ar"/>
              </w:rPr>
              <w:t>制度</w:t>
            </w:r>
            <w:r>
              <w:rPr>
                <w:rFonts w:hint="eastAsia" w:ascii="仿宋" w:hAnsi="仿宋" w:eastAsia="仿宋" w:cs="仿宋"/>
                <w:i w:val="0"/>
                <w:iCs w:val="0"/>
                <w:caps w:val="0"/>
                <w:color w:val="auto"/>
                <w:spacing w:val="0"/>
                <w:kern w:val="2"/>
                <w:sz w:val="21"/>
                <w:szCs w:val="21"/>
                <w:highlight w:val="none"/>
                <w:shd w:val="clear" w:fill="auto"/>
                <w:lang w:val="en-GB" w:eastAsia="zh-CN" w:bidi="ar"/>
              </w:rPr>
              <w:t>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分；制度略有欠缺，整体可行得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分；制度有欠缺，可行性一般的得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分；制度欠缺较多，可行性较差的得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4CF1C7A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287CC347">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42C79AC1">
            <w:pPr>
              <w:jc w:val="center"/>
              <w:outlineLvl w:val="0"/>
              <w:rPr>
                <w:rFonts w:hint="eastAsia" w:ascii="仿宋" w:hAnsi="仿宋" w:eastAsia="仿宋" w:cs="仿宋"/>
                <w:sz w:val="21"/>
                <w:szCs w:val="21"/>
                <w:highlight w:val="none"/>
              </w:rPr>
            </w:pPr>
          </w:p>
        </w:tc>
      </w:tr>
      <w:tr w14:paraId="0049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9" w:type="dxa"/>
            <w:vMerge w:val="continue"/>
            <w:vAlign w:val="center"/>
          </w:tcPr>
          <w:p w14:paraId="717DC300">
            <w:pPr>
              <w:jc w:val="center"/>
              <w:outlineLvl w:val="0"/>
              <w:rPr>
                <w:rFonts w:hint="eastAsia" w:ascii="仿宋" w:hAnsi="仿宋" w:eastAsia="仿宋" w:cs="仿宋"/>
                <w:sz w:val="21"/>
                <w:szCs w:val="21"/>
                <w:highlight w:val="none"/>
              </w:rPr>
            </w:pPr>
          </w:p>
        </w:tc>
        <w:tc>
          <w:tcPr>
            <w:tcW w:w="5112" w:type="dxa"/>
            <w:vAlign w:val="center"/>
          </w:tcPr>
          <w:p w14:paraId="4F1B6621">
            <w:pPr>
              <w:widowControl/>
              <w:snapToGrid w:val="0"/>
              <w:jc w:val="left"/>
              <w:rPr>
                <w:rFonts w:hint="eastAsia" w:ascii="仿宋" w:hAnsi="仿宋" w:eastAsia="仿宋" w:cs="仿宋"/>
                <w:bCs/>
                <w:color w:val="000000"/>
                <w:kern w:val="2"/>
                <w:sz w:val="21"/>
                <w:szCs w:val="21"/>
                <w:highlight w:val="none"/>
                <w:lang w:val="en-GB" w:eastAsia="zh-CN" w:bidi="ar-SA"/>
              </w:rPr>
            </w:pPr>
            <w:r>
              <w:rPr>
                <w:rFonts w:hint="eastAsia" w:ascii="仿宋" w:hAnsi="仿宋" w:eastAsia="仿宋" w:cs="仿宋"/>
                <w:sz w:val="21"/>
                <w:szCs w:val="21"/>
                <w:highlight w:val="none"/>
                <w:lang w:val="en-US" w:eastAsia="zh-CN"/>
              </w:rPr>
              <w:t>投标人对承担政府大型活动、重大会议保障，以及重大节假日的保障方案。</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0F49868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677F596C">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13A028A8">
            <w:pPr>
              <w:jc w:val="center"/>
              <w:outlineLvl w:val="0"/>
              <w:rPr>
                <w:rFonts w:hint="eastAsia" w:ascii="仿宋" w:hAnsi="仿宋" w:eastAsia="仿宋" w:cs="仿宋"/>
                <w:sz w:val="21"/>
                <w:szCs w:val="21"/>
                <w:highlight w:val="none"/>
              </w:rPr>
            </w:pPr>
          </w:p>
        </w:tc>
      </w:tr>
      <w:tr w14:paraId="54C7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9" w:type="dxa"/>
            <w:vMerge w:val="continue"/>
            <w:vAlign w:val="center"/>
          </w:tcPr>
          <w:p w14:paraId="147994BD">
            <w:pPr>
              <w:jc w:val="center"/>
              <w:outlineLvl w:val="0"/>
              <w:rPr>
                <w:rFonts w:hint="eastAsia" w:ascii="仿宋" w:hAnsi="仿宋" w:eastAsia="仿宋" w:cs="仿宋"/>
                <w:sz w:val="21"/>
                <w:szCs w:val="21"/>
                <w:highlight w:val="none"/>
              </w:rPr>
            </w:pPr>
          </w:p>
        </w:tc>
        <w:tc>
          <w:tcPr>
            <w:tcW w:w="5112" w:type="dxa"/>
            <w:vAlign w:val="center"/>
          </w:tcPr>
          <w:p w14:paraId="0AEBF116">
            <w:pPr>
              <w:widowControl/>
              <w:snapToGrid w:val="0"/>
              <w:jc w:val="left"/>
              <w:rPr>
                <w:rFonts w:hint="eastAsia" w:ascii="仿宋" w:hAnsi="仿宋" w:eastAsia="仿宋" w:cs="仿宋"/>
                <w:bCs/>
                <w:color w:val="000000"/>
                <w:kern w:val="2"/>
                <w:sz w:val="21"/>
                <w:szCs w:val="21"/>
                <w:highlight w:val="none"/>
                <w:lang w:val="en-GB" w:eastAsia="zh-CN" w:bidi="ar-SA"/>
              </w:rPr>
            </w:pPr>
            <w:r>
              <w:rPr>
                <w:rFonts w:hint="eastAsia" w:ascii="仿宋" w:hAnsi="仿宋" w:eastAsia="仿宋" w:cs="仿宋"/>
                <w:sz w:val="21"/>
                <w:szCs w:val="21"/>
                <w:highlight w:val="none"/>
                <w:lang w:val="zh-CN" w:eastAsia="zh-CN"/>
              </w:rPr>
              <w:t>投标人对数字城管、12345、市民来电等处置保障方案</w:t>
            </w:r>
            <w:r>
              <w:rPr>
                <w:rFonts w:hint="eastAsia" w:ascii="仿宋" w:hAnsi="仿宋" w:eastAsia="仿宋" w:cs="仿宋"/>
                <w:sz w:val="21"/>
                <w:szCs w:val="21"/>
                <w:highlight w:val="none"/>
                <w:lang w:val="en-US" w:eastAsia="zh-CN"/>
              </w:rPr>
              <w:t>。</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19A2614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4D7E6A63">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044FBEFC">
            <w:pPr>
              <w:jc w:val="center"/>
              <w:outlineLvl w:val="0"/>
              <w:rPr>
                <w:rFonts w:hint="eastAsia" w:ascii="仿宋" w:hAnsi="仿宋" w:eastAsia="仿宋" w:cs="仿宋"/>
                <w:sz w:val="21"/>
                <w:szCs w:val="21"/>
                <w:highlight w:val="none"/>
              </w:rPr>
            </w:pPr>
          </w:p>
        </w:tc>
      </w:tr>
      <w:tr w14:paraId="7E5C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39" w:type="dxa"/>
            <w:vMerge w:val="continue"/>
            <w:vAlign w:val="center"/>
          </w:tcPr>
          <w:p w14:paraId="2494F91A">
            <w:pPr>
              <w:jc w:val="center"/>
              <w:outlineLvl w:val="0"/>
              <w:rPr>
                <w:rFonts w:hint="eastAsia" w:ascii="仿宋" w:hAnsi="仿宋" w:eastAsia="仿宋" w:cs="仿宋"/>
                <w:sz w:val="21"/>
                <w:szCs w:val="21"/>
                <w:highlight w:val="none"/>
              </w:rPr>
            </w:pPr>
          </w:p>
        </w:tc>
        <w:tc>
          <w:tcPr>
            <w:tcW w:w="5112" w:type="dxa"/>
            <w:vAlign w:val="center"/>
          </w:tcPr>
          <w:p w14:paraId="37173035">
            <w:pPr>
              <w:widowControl/>
              <w:snapToGrid w:val="0"/>
              <w:jc w:val="left"/>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lang w:val="zh-CN" w:eastAsia="zh-CN"/>
              </w:rPr>
              <w:t>投标人对</w:t>
            </w:r>
            <w:r>
              <w:rPr>
                <w:rFonts w:hint="eastAsia" w:ascii="仿宋" w:hAnsi="仿宋" w:eastAsia="仿宋" w:cs="仿宋"/>
                <w:sz w:val="21"/>
                <w:szCs w:val="21"/>
                <w:highlight w:val="none"/>
                <w:lang w:val="en-GB" w:eastAsia="zh-CN"/>
              </w:rPr>
              <w:t>设施设备</w:t>
            </w:r>
            <w:r>
              <w:rPr>
                <w:rFonts w:hint="eastAsia" w:ascii="仿宋" w:hAnsi="仿宋" w:eastAsia="仿宋" w:cs="仿宋"/>
                <w:sz w:val="21"/>
                <w:szCs w:val="21"/>
                <w:highlight w:val="none"/>
                <w:lang w:val="en-GB"/>
              </w:rPr>
              <w:t>的运行建立</w:t>
            </w:r>
            <w:r>
              <w:rPr>
                <w:rFonts w:hint="eastAsia" w:ascii="仿宋" w:hAnsi="仿宋" w:eastAsia="仿宋" w:cs="仿宋"/>
                <w:sz w:val="21"/>
                <w:szCs w:val="21"/>
                <w:highlight w:val="none"/>
                <w:lang w:val="zh-CN" w:eastAsia="zh-CN"/>
              </w:rPr>
              <w:t>应急处置方案，</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2742D58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7ED007A9">
            <w:pPr>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1113D048">
            <w:pPr>
              <w:jc w:val="center"/>
              <w:outlineLvl w:val="0"/>
              <w:rPr>
                <w:rFonts w:hint="eastAsia" w:ascii="仿宋" w:hAnsi="仿宋" w:eastAsia="仿宋" w:cs="仿宋"/>
                <w:sz w:val="21"/>
                <w:szCs w:val="21"/>
                <w:highlight w:val="none"/>
              </w:rPr>
            </w:pPr>
          </w:p>
        </w:tc>
      </w:tr>
      <w:tr w14:paraId="2A1D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9" w:type="dxa"/>
            <w:vMerge w:val="continue"/>
            <w:vAlign w:val="center"/>
          </w:tcPr>
          <w:p w14:paraId="77AFB1BB">
            <w:pPr>
              <w:jc w:val="center"/>
              <w:rPr>
                <w:rFonts w:hint="eastAsia" w:ascii="仿宋" w:hAnsi="仿宋" w:eastAsia="仿宋" w:cs="仿宋"/>
                <w:sz w:val="21"/>
                <w:szCs w:val="21"/>
                <w:highlight w:val="none"/>
              </w:rPr>
            </w:pPr>
          </w:p>
        </w:tc>
        <w:tc>
          <w:tcPr>
            <w:tcW w:w="5112" w:type="dxa"/>
            <w:vAlign w:val="center"/>
          </w:tcPr>
          <w:p w14:paraId="6BC15A77">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val="0"/>
                <w:color w:val="auto"/>
                <w:sz w:val="21"/>
                <w:szCs w:val="21"/>
                <w:highlight w:val="none"/>
                <w:lang w:val="en-GB"/>
              </w:rPr>
              <w:t>对箱变、开关箱、电缆、电器元器件等设备设施建立的定期维护检测方案</w:t>
            </w:r>
            <w:r>
              <w:rPr>
                <w:rFonts w:hint="eastAsia" w:ascii="仿宋" w:hAnsi="仿宋" w:eastAsia="仿宋" w:cs="仿宋"/>
                <w:sz w:val="21"/>
                <w:szCs w:val="21"/>
                <w:highlight w:val="none"/>
                <w:lang w:val="en-US" w:eastAsia="zh-CN"/>
              </w:rPr>
              <w:t>。</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3D84955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5CB70FC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6C32D375">
            <w:pPr>
              <w:jc w:val="center"/>
              <w:rPr>
                <w:rFonts w:hint="eastAsia" w:ascii="仿宋" w:hAnsi="仿宋" w:eastAsia="仿宋" w:cs="仿宋"/>
                <w:sz w:val="21"/>
                <w:szCs w:val="21"/>
                <w:highlight w:val="none"/>
              </w:rPr>
            </w:pPr>
          </w:p>
        </w:tc>
      </w:tr>
      <w:tr w14:paraId="2560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Merge w:val="continue"/>
            <w:vAlign w:val="center"/>
          </w:tcPr>
          <w:p w14:paraId="7F165A08">
            <w:pPr>
              <w:jc w:val="center"/>
              <w:rPr>
                <w:rFonts w:hint="eastAsia" w:ascii="仿宋" w:hAnsi="仿宋" w:eastAsia="仿宋" w:cs="仿宋"/>
                <w:sz w:val="21"/>
                <w:szCs w:val="21"/>
                <w:highlight w:val="none"/>
              </w:rPr>
            </w:pPr>
          </w:p>
        </w:tc>
        <w:tc>
          <w:tcPr>
            <w:tcW w:w="5112" w:type="dxa"/>
            <w:vAlign w:val="center"/>
          </w:tcPr>
          <w:p w14:paraId="697B54BB">
            <w:pPr>
              <w:pStyle w:val="16"/>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zh-CN" w:eastAsia="zh-CN"/>
              </w:rPr>
              <w:t>投标人建立</w:t>
            </w:r>
            <w:r>
              <w:rPr>
                <w:rFonts w:hint="eastAsia" w:ascii="仿宋" w:hAnsi="仿宋" w:eastAsia="仿宋" w:cs="仿宋"/>
                <w:sz w:val="21"/>
                <w:szCs w:val="21"/>
                <w:highlight w:val="none"/>
                <w:lang w:val="en-GB" w:eastAsia="zh-CN"/>
              </w:rPr>
              <w:t>内部管理、内部工作流程、考核监督等制度</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GB" w:eastAsia="zh-CN"/>
              </w:rPr>
              <w:t>制度</w:t>
            </w:r>
            <w:r>
              <w:rPr>
                <w:rFonts w:hint="eastAsia" w:ascii="仿宋" w:hAnsi="仿宋" w:eastAsia="仿宋" w:cs="仿宋"/>
                <w:i w:val="0"/>
                <w:iCs w:val="0"/>
                <w:caps w:val="0"/>
                <w:color w:val="auto"/>
                <w:spacing w:val="0"/>
                <w:kern w:val="2"/>
                <w:sz w:val="21"/>
                <w:szCs w:val="21"/>
                <w:highlight w:val="none"/>
                <w:shd w:val="clear" w:fill="auto"/>
                <w:lang w:val="en-GB" w:eastAsia="zh-CN" w:bidi="ar"/>
              </w:rPr>
              <w:t>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分；制度略有欠缺，整体可行得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分；制度有欠缺，可行性一般的得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分；制度欠缺较多，可行性较差的得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7EE0600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598E4220">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Merge w:val="continue"/>
            <w:vAlign w:val="center"/>
          </w:tcPr>
          <w:p w14:paraId="582B905A">
            <w:pPr>
              <w:jc w:val="center"/>
              <w:rPr>
                <w:rFonts w:hint="eastAsia" w:ascii="仿宋" w:hAnsi="仿宋" w:eastAsia="仿宋" w:cs="仿宋"/>
                <w:sz w:val="21"/>
                <w:szCs w:val="21"/>
                <w:highlight w:val="none"/>
              </w:rPr>
            </w:pPr>
          </w:p>
        </w:tc>
      </w:tr>
      <w:tr w14:paraId="4F24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0E750179">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5112" w:type="dxa"/>
            <w:vAlign w:val="center"/>
          </w:tcPr>
          <w:p w14:paraId="329CDCDA">
            <w:pPr>
              <w:pStyle w:val="16"/>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sz w:val="21"/>
                <w:szCs w:val="21"/>
                <w:highlight w:val="none"/>
                <w:lang w:val="en-US" w:eastAsia="zh-CN"/>
              </w:rPr>
              <w:t>针对光源、灯具及配件、箱变、电器、杆件、标识牌、配电设施、灯具外壳、支架、电缆（含电缆管道）、开关控制箱、工作井、</w:t>
            </w:r>
            <w:r>
              <w:rPr>
                <w:rFonts w:hint="eastAsia" w:ascii="仿宋" w:hAnsi="仿宋" w:eastAsia="仿宋" w:cs="仿宋"/>
                <w:sz w:val="21"/>
                <w:szCs w:val="21"/>
                <w:highlight w:val="none"/>
                <w:lang w:val="en-US"/>
              </w:rPr>
              <w:t>配电室、低压配电柜、控制器、</w:t>
            </w:r>
            <w:r>
              <w:rPr>
                <w:rFonts w:hint="eastAsia" w:ascii="仿宋" w:hAnsi="仿宋" w:eastAsia="仿宋" w:cs="仿宋"/>
                <w:sz w:val="21"/>
                <w:szCs w:val="21"/>
                <w:highlight w:val="none"/>
                <w:lang w:val="en-US" w:eastAsia="zh-CN"/>
              </w:rPr>
              <w:t>穿线管、配电箱、线卡、绳索、螺栓、电源适配器、防雷装置等设施设备的养护特点，结合本项目实际情况，编制相应的安全文明养护作业方案及安全生产制度（配备科学的维护班组和机械设备）。</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06022818">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lang w:eastAsia="zh-CN"/>
              </w:rPr>
              <w:t>分</w:t>
            </w:r>
          </w:p>
          <w:p w14:paraId="69000CE4">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主观</w:t>
            </w:r>
          </w:p>
        </w:tc>
        <w:tc>
          <w:tcPr>
            <w:tcW w:w="2010" w:type="dxa"/>
            <w:vAlign w:val="center"/>
          </w:tcPr>
          <w:p w14:paraId="7AF3A8F0">
            <w:pPr>
              <w:snapToGrid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安全文明作业</w:t>
            </w:r>
          </w:p>
        </w:tc>
      </w:tr>
      <w:tr w14:paraId="11BD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68D9EB78">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5112" w:type="dxa"/>
            <w:vAlign w:val="center"/>
          </w:tcPr>
          <w:p w14:paraId="6C49A740">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投标人</w:t>
            </w:r>
            <w:r>
              <w:rPr>
                <w:rFonts w:hint="eastAsia" w:ascii="仿宋" w:hAnsi="仿宋" w:eastAsia="仿宋" w:cs="仿宋"/>
                <w:kern w:val="2"/>
                <w:sz w:val="21"/>
                <w:szCs w:val="21"/>
                <w:highlight w:val="none"/>
                <w:lang w:val="en-GB" w:eastAsia="zh-CN" w:bidi="ar-SA"/>
              </w:rPr>
              <w:t>建立景观照明设施资料管理方案，</w:t>
            </w:r>
            <w:r>
              <w:rPr>
                <w:rFonts w:hint="eastAsia" w:ascii="仿宋" w:hAnsi="仿宋" w:eastAsia="仿宋" w:cs="仿宋"/>
                <w:kern w:val="2"/>
                <w:sz w:val="21"/>
                <w:szCs w:val="21"/>
                <w:highlight w:val="none"/>
                <w:lang w:val="en-US" w:eastAsia="zh-CN" w:bidi="ar-SA"/>
              </w:rPr>
              <w:t>就</w:t>
            </w:r>
            <w:r>
              <w:rPr>
                <w:rFonts w:hint="eastAsia" w:ascii="仿宋" w:hAnsi="仿宋" w:eastAsia="仿宋" w:cs="仿宋"/>
                <w:kern w:val="2"/>
                <w:sz w:val="21"/>
                <w:szCs w:val="21"/>
                <w:highlight w:val="none"/>
                <w:lang w:val="en-GB" w:eastAsia="zh-CN" w:bidi="ar-SA"/>
              </w:rPr>
              <w:t>景观照明设施基础台账、日常运维台账、技术档案资料、安全生产台账、专项台账等资料的整理归档。</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3AD122ED">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lang w:eastAsia="zh-CN"/>
              </w:rPr>
              <w:t>分</w:t>
            </w:r>
          </w:p>
          <w:p w14:paraId="1087E191">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主观</w:t>
            </w:r>
          </w:p>
        </w:tc>
        <w:tc>
          <w:tcPr>
            <w:tcW w:w="2010" w:type="dxa"/>
            <w:vAlign w:val="center"/>
          </w:tcPr>
          <w:p w14:paraId="754ACFE2">
            <w:pPr>
              <w:widowControl/>
              <w:snapToGrid w:val="0"/>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kern w:val="2"/>
                <w:sz w:val="21"/>
                <w:szCs w:val="21"/>
                <w:highlight w:val="none"/>
                <w:lang w:val="en-GB" w:eastAsia="zh-CN" w:bidi="ar-SA"/>
              </w:rPr>
              <w:t>资料管理方案</w:t>
            </w:r>
          </w:p>
        </w:tc>
      </w:tr>
      <w:tr w14:paraId="3272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5DE47684">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5112" w:type="dxa"/>
            <w:vAlign w:val="center"/>
          </w:tcPr>
          <w:p w14:paraId="598782CE">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sz w:val="21"/>
                <w:szCs w:val="21"/>
                <w:highlight w:val="none"/>
                <w:lang w:val="zh-CN" w:eastAsia="zh-CN"/>
              </w:rPr>
              <w:t>投标人针对防汛、抗台、抗雪、防冻等灾害性天气建立的景观照明设施应急巡查、应急抢修、值班值守等应急响应方案。</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2</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2AD6273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57160A14">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Align w:val="center"/>
          </w:tcPr>
          <w:p w14:paraId="1E207FBD">
            <w:pPr>
              <w:widowControl/>
              <w:snapToGrid w:val="0"/>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kern w:val="2"/>
                <w:sz w:val="21"/>
                <w:szCs w:val="21"/>
                <w:highlight w:val="none"/>
                <w:lang w:val="en-GB" w:eastAsia="zh-CN" w:bidi="ar-SA"/>
              </w:rPr>
              <w:t>应急响应方案</w:t>
            </w:r>
          </w:p>
        </w:tc>
      </w:tr>
      <w:tr w14:paraId="2A03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143A0768">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5112" w:type="dxa"/>
            <w:vAlign w:val="center"/>
          </w:tcPr>
          <w:p w14:paraId="054DBCE0">
            <w:pPr>
              <w:widowControl/>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zh-CN" w:eastAsia="zh-CN"/>
              </w:rPr>
              <w:t>投标人对项目灯光秀整体运营及养护方案。</w:t>
            </w:r>
            <w:r>
              <w:rPr>
                <w:rFonts w:hint="eastAsia" w:ascii="仿宋" w:hAnsi="仿宋" w:eastAsia="仿宋" w:cs="仿宋"/>
                <w:i w:val="0"/>
                <w:iCs w:val="0"/>
                <w:caps w:val="0"/>
                <w:color w:val="auto"/>
                <w:spacing w:val="0"/>
                <w:kern w:val="2"/>
                <w:sz w:val="21"/>
                <w:szCs w:val="21"/>
                <w:highlight w:val="none"/>
                <w:shd w:val="clear" w:fill="auto"/>
                <w:lang w:val="en-GB" w:eastAsia="zh-CN" w:bidi="ar"/>
              </w:rPr>
              <w:t>方案全面，科学合理，操作方便的得2</w:t>
            </w:r>
            <w:r>
              <w:rPr>
                <w:rFonts w:hint="eastAsia" w:ascii="仿宋" w:hAnsi="仿宋" w:eastAsia="仿宋" w:cs="仿宋"/>
                <w:i w:val="0"/>
                <w:iCs w:val="0"/>
                <w:caps w:val="0"/>
                <w:color w:val="auto"/>
                <w:spacing w:val="0"/>
                <w:kern w:val="2"/>
                <w:sz w:val="21"/>
                <w:szCs w:val="21"/>
                <w:highlight w:val="none"/>
                <w:shd w:val="clear" w:fill="auto"/>
                <w:lang w:val="en-US" w:eastAsia="zh-CN" w:bidi="ar"/>
              </w:rPr>
              <w:t>.5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分；方案略有欠缺，整体可行得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分；方案有欠缺，可行性一般的得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1</w:t>
            </w:r>
            <w:r>
              <w:rPr>
                <w:rFonts w:hint="eastAsia" w:ascii="仿宋" w:hAnsi="仿宋" w:eastAsia="仿宋" w:cs="仿宋"/>
                <w:i w:val="0"/>
                <w:iCs w:val="0"/>
                <w:caps w:val="0"/>
                <w:color w:val="auto"/>
                <w:spacing w:val="0"/>
                <w:kern w:val="2"/>
                <w:sz w:val="21"/>
                <w:szCs w:val="21"/>
                <w:highlight w:val="none"/>
                <w:shd w:val="clear" w:fill="auto"/>
                <w:lang w:val="en-GB" w:eastAsia="zh-CN" w:bidi="ar"/>
              </w:rPr>
              <w:t>分；方案欠缺较多，可行性较差的得</w:t>
            </w:r>
            <w:r>
              <w:rPr>
                <w:rFonts w:hint="eastAsia" w:ascii="仿宋" w:hAnsi="仿宋" w:eastAsia="仿宋" w:cs="仿宋"/>
                <w:i w:val="0"/>
                <w:iCs w:val="0"/>
                <w:caps w:val="0"/>
                <w:color w:val="auto"/>
                <w:spacing w:val="0"/>
                <w:kern w:val="2"/>
                <w:sz w:val="21"/>
                <w:szCs w:val="21"/>
                <w:highlight w:val="none"/>
                <w:shd w:val="clear" w:fill="auto"/>
                <w:lang w:val="en-US" w:eastAsia="zh-CN" w:bidi="ar"/>
              </w:rPr>
              <w:t>0.5</w:t>
            </w:r>
            <w:r>
              <w:rPr>
                <w:rFonts w:hint="eastAsia" w:ascii="仿宋" w:hAnsi="仿宋" w:eastAsia="仿宋" w:cs="仿宋"/>
                <w:i w:val="0"/>
                <w:iCs w:val="0"/>
                <w:caps w:val="0"/>
                <w:color w:val="auto"/>
                <w:spacing w:val="0"/>
                <w:kern w:val="2"/>
                <w:sz w:val="21"/>
                <w:szCs w:val="21"/>
                <w:highlight w:val="none"/>
                <w:shd w:val="clear" w:fill="auto"/>
                <w:lang w:val="en-GB" w:eastAsia="zh-CN" w:bidi="ar"/>
              </w:rPr>
              <w:t>分；</w:t>
            </w:r>
            <w:r>
              <w:rPr>
                <w:rFonts w:hint="eastAsia" w:ascii="仿宋" w:hAnsi="仿宋" w:eastAsia="仿宋" w:cs="仿宋"/>
                <w:bCs w:val="0"/>
                <w:color w:val="auto"/>
                <w:sz w:val="21"/>
                <w:szCs w:val="21"/>
                <w:highlight w:val="none"/>
                <w:lang w:val="en-GB" w:eastAsia="zh-CN"/>
              </w:rPr>
              <w:t>未提供不得分</w:t>
            </w:r>
            <w:r>
              <w:rPr>
                <w:rFonts w:hint="eastAsia" w:ascii="仿宋" w:hAnsi="仿宋" w:eastAsia="仿宋" w:cs="仿宋"/>
                <w:sz w:val="21"/>
                <w:szCs w:val="21"/>
                <w:highlight w:val="none"/>
                <w:lang w:val="en-US" w:eastAsia="zh-CN"/>
              </w:rPr>
              <w:t>（0-2.5分）</w:t>
            </w:r>
          </w:p>
        </w:tc>
        <w:tc>
          <w:tcPr>
            <w:tcW w:w="1177" w:type="dxa"/>
            <w:vAlign w:val="center"/>
          </w:tcPr>
          <w:p w14:paraId="5072AC67">
            <w:pPr>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2.5</w:t>
            </w:r>
            <w:r>
              <w:rPr>
                <w:rFonts w:hint="eastAsia" w:ascii="仿宋" w:hAnsi="仿宋" w:eastAsia="仿宋" w:cs="仿宋"/>
                <w:sz w:val="21"/>
                <w:szCs w:val="21"/>
                <w:highlight w:val="none"/>
              </w:rPr>
              <w:t>分</w:t>
            </w:r>
          </w:p>
          <w:p w14:paraId="2B0161F2">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Align w:val="center"/>
          </w:tcPr>
          <w:p w14:paraId="2BF36270">
            <w:pPr>
              <w:widowControl/>
              <w:snapToGrid w:val="0"/>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sz w:val="21"/>
                <w:szCs w:val="21"/>
                <w:highlight w:val="none"/>
                <w:lang w:val="en-GB" w:eastAsia="zh-CN"/>
              </w:rPr>
              <w:t>其他相关设施养护方案</w:t>
            </w:r>
          </w:p>
        </w:tc>
      </w:tr>
      <w:tr w14:paraId="694B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7C8A7FDE">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5112" w:type="dxa"/>
            <w:vAlign w:val="center"/>
          </w:tcPr>
          <w:p w14:paraId="0363C181">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auto"/>
                <w:sz w:val="21"/>
                <w:szCs w:val="21"/>
                <w:highlight w:val="none"/>
                <w:lang w:val="en-GB" w:eastAsia="zh-CN"/>
              </w:rPr>
              <w:t>本项目景观灯及相关设施设备</w:t>
            </w:r>
            <w:r>
              <w:rPr>
                <w:rFonts w:hint="eastAsia" w:ascii="仿宋" w:hAnsi="仿宋" w:eastAsia="仿宋" w:cs="仿宋"/>
                <w:bCs/>
                <w:color w:val="auto"/>
                <w:sz w:val="21"/>
                <w:szCs w:val="21"/>
                <w:highlight w:val="none"/>
                <w:lang w:val="en-GB"/>
              </w:rPr>
              <w:t>堆放仓库管理制度（包含人员、设备、消防</w:t>
            </w:r>
            <w:r>
              <w:rPr>
                <w:rFonts w:hint="eastAsia" w:ascii="仿宋" w:hAnsi="仿宋" w:eastAsia="仿宋" w:cs="仿宋"/>
                <w:bCs/>
                <w:color w:val="auto"/>
                <w:sz w:val="21"/>
                <w:szCs w:val="21"/>
                <w:highlight w:val="none"/>
                <w:lang w:val="en-GB" w:eastAsia="zh-CN"/>
              </w:rPr>
              <w:t>等</w:t>
            </w:r>
            <w:r>
              <w:rPr>
                <w:rFonts w:hint="eastAsia" w:ascii="仿宋" w:hAnsi="仿宋" w:eastAsia="仿宋" w:cs="仿宋"/>
                <w:bCs/>
                <w:color w:val="auto"/>
                <w:sz w:val="21"/>
                <w:szCs w:val="21"/>
                <w:highlight w:val="none"/>
                <w:lang w:val="en-GB"/>
              </w:rPr>
              <w:t>）</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lang w:val="en-GB" w:eastAsia="zh-CN"/>
              </w:rPr>
              <w:t>制度</w:t>
            </w:r>
            <w:r>
              <w:rPr>
                <w:rFonts w:hint="eastAsia" w:ascii="仿宋" w:hAnsi="仿宋" w:eastAsia="仿宋" w:cs="仿宋"/>
                <w:i w:val="0"/>
                <w:iCs w:val="0"/>
                <w:caps w:val="0"/>
                <w:spacing w:val="0"/>
                <w:kern w:val="2"/>
                <w:sz w:val="21"/>
                <w:szCs w:val="21"/>
                <w:highlight w:val="none"/>
                <w:shd w:val="clear"/>
                <w:lang w:val="en-GB" w:eastAsia="zh-CN" w:bidi="ar"/>
              </w:rPr>
              <w:t>全面，科学合理，操作方便的得2分；制度略有欠缺，整体可行得1.5分；制度有欠缺，可行性一般的得1分；制度欠缺较多，可行性较差的得0.5分；</w:t>
            </w:r>
            <w:r>
              <w:rPr>
                <w:rFonts w:hint="eastAsia" w:ascii="仿宋" w:hAnsi="仿宋" w:eastAsia="仿宋" w:cs="仿宋"/>
                <w:bCs w:val="0"/>
                <w:sz w:val="21"/>
                <w:szCs w:val="21"/>
                <w:highlight w:val="none"/>
                <w:lang w:val="en-GB" w:eastAsia="zh-CN"/>
              </w:rPr>
              <w:t>未提供不得分。</w:t>
            </w:r>
            <w:r>
              <w:rPr>
                <w:rFonts w:hint="eastAsia" w:ascii="仿宋" w:hAnsi="仿宋" w:eastAsia="仿宋" w:cs="仿宋"/>
                <w:sz w:val="21"/>
                <w:szCs w:val="21"/>
                <w:highlight w:val="none"/>
                <w:lang w:val="en-GB" w:eastAsia="zh-CN"/>
              </w:rPr>
              <w:t>（0-2分）</w:t>
            </w:r>
          </w:p>
        </w:tc>
        <w:tc>
          <w:tcPr>
            <w:tcW w:w="1177" w:type="dxa"/>
            <w:vAlign w:val="center"/>
          </w:tcPr>
          <w:p w14:paraId="6924A922">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2分</w:t>
            </w:r>
          </w:p>
          <w:p w14:paraId="2910BEDE">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主观</w:t>
            </w:r>
          </w:p>
        </w:tc>
        <w:tc>
          <w:tcPr>
            <w:tcW w:w="2010" w:type="dxa"/>
            <w:vAlign w:val="center"/>
          </w:tcPr>
          <w:p w14:paraId="3FD387F0">
            <w:pPr>
              <w:widowControl/>
              <w:snapToGrid w:val="0"/>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kern w:val="2"/>
                <w:sz w:val="21"/>
                <w:szCs w:val="21"/>
                <w:highlight w:val="none"/>
                <w:lang w:val="en-GB" w:eastAsia="zh-CN" w:bidi="ar-SA"/>
              </w:rPr>
              <w:t>仓库管理</w:t>
            </w:r>
          </w:p>
        </w:tc>
      </w:tr>
      <w:tr w14:paraId="5154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451C8A54">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5112" w:type="dxa"/>
            <w:vAlign w:val="center"/>
          </w:tcPr>
          <w:p w14:paraId="21F2AA70">
            <w:pPr>
              <w:widowControl/>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zh-CN" w:eastAsia="zh-CN"/>
              </w:rPr>
              <w:t>对本项目的合理化建议</w:t>
            </w:r>
            <w:r>
              <w:rPr>
                <w:rFonts w:hint="eastAsia" w:ascii="仿宋" w:hAnsi="仿宋" w:eastAsia="仿宋" w:cs="仿宋"/>
                <w:sz w:val="21"/>
                <w:szCs w:val="21"/>
                <w:highlight w:val="none"/>
                <w:lang w:val="en-GB" w:eastAsia="zh-CN"/>
              </w:rPr>
              <w:t>情况</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GB" w:eastAsia="zh-CN"/>
              </w:rPr>
              <w:t>建议</w:t>
            </w:r>
            <w:r>
              <w:rPr>
                <w:rFonts w:hint="eastAsia" w:ascii="仿宋" w:hAnsi="仿宋" w:eastAsia="仿宋" w:cs="仿宋"/>
                <w:i w:val="0"/>
                <w:iCs w:val="0"/>
                <w:caps w:val="0"/>
                <w:spacing w:val="0"/>
                <w:kern w:val="2"/>
                <w:sz w:val="21"/>
                <w:szCs w:val="21"/>
                <w:highlight w:val="none"/>
                <w:shd w:val="clear"/>
                <w:lang w:val="en-GB" w:eastAsia="zh-CN" w:bidi="ar"/>
              </w:rPr>
              <w:t>全面，科学合理，操作方便的得2分；建议略有欠缺，整体可行得1.5分；建议有欠缺，可行性一般的得1分；建议欠缺较多，可行性较差的得0.5分；</w:t>
            </w:r>
            <w:r>
              <w:rPr>
                <w:rFonts w:hint="eastAsia" w:ascii="仿宋" w:hAnsi="仿宋" w:eastAsia="仿宋" w:cs="仿宋"/>
                <w:bCs w:val="0"/>
                <w:sz w:val="21"/>
                <w:szCs w:val="21"/>
                <w:highlight w:val="none"/>
                <w:lang w:val="en-GB" w:eastAsia="zh-CN"/>
              </w:rPr>
              <w:t>未提供不得分。</w:t>
            </w:r>
            <w:r>
              <w:rPr>
                <w:rFonts w:hint="eastAsia" w:ascii="仿宋" w:hAnsi="仿宋" w:eastAsia="仿宋" w:cs="仿宋"/>
                <w:sz w:val="21"/>
                <w:szCs w:val="21"/>
                <w:highlight w:val="none"/>
                <w:lang w:val="en-GB" w:eastAsia="zh-CN"/>
              </w:rPr>
              <w:t>（0-2分）</w:t>
            </w:r>
          </w:p>
        </w:tc>
        <w:tc>
          <w:tcPr>
            <w:tcW w:w="1177" w:type="dxa"/>
            <w:vAlign w:val="center"/>
          </w:tcPr>
          <w:p w14:paraId="1C028BD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26B03432">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主</w:t>
            </w:r>
            <w:r>
              <w:rPr>
                <w:rFonts w:hint="eastAsia" w:ascii="仿宋" w:hAnsi="仿宋" w:eastAsia="仿宋" w:cs="仿宋"/>
                <w:sz w:val="21"/>
                <w:szCs w:val="21"/>
                <w:highlight w:val="none"/>
              </w:rPr>
              <w:t>观</w:t>
            </w:r>
          </w:p>
        </w:tc>
        <w:tc>
          <w:tcPr>
            <w:tcW w:w="2010" w:type="dxa"/>
            <w:vAlign w:val="center"/>
          </w:tcPr>
          <w:p w14:paraId="3A5DCD9A">
            <w:pPr>
              <w:widowControl/>
              <w:snapToGrid w:val="0"/>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sz w:val="21"/>
                <w:szCs w:val="21"/>
                <w:highlight w:val="none"/>
                <w:lang w:val="en-GB" w:eastAsia="zh-CN"/>
              </w:rPr>
              <w:t>合理化建议</w:t>
            </w:r>
          </w:p>
        </w:tc>
      </w:tr>
      <w:tr w14:paraId="2660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7AB8C160">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5112" w:type="dxa"/>
            <w:vAlign w:val="center"/>
          </w:tcPr>
          <w:p w14:paraId="10F270CE">
            <w:pPr>
              <w:widowControl/>
              <w:snapToGrid w:val="0"/>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（1）配置1辆</w:t>
            </w:r>
            <w:r>
              <w:rPr>
                <w:rFonts w:hint="eastAsia" w:ascii="仿宋" w:hAnsi="仿宋" w:eastAsia="仿宋" w:cs="仿宋"/>
                <w:bCs/>
                <w:color w:val="auto"/>
                <w:sz w:val="21"/>
                <w:szCs w:val="21"/>
                <w:highlight w:val="none"/>
              </w:rPr>
              <w:t>15米及以上登高车</w:t>
            </w:r>
            <w:r>
              <w:rPr>
                <w:rFonts w:hint="eastAsia" w:ascii="仿宋" w:hAnsi="仿宋" w:eastAsia="仿宋" w:cs="仿宋"/>
                <w:sz w:val="21"/>
                <w:szCs w:val="21"/>
                <w:highlight w:val="none"/>
                <w:lang w:val="zh-CN" w:eastAsia="zh-CN"/>
              </w:rPr>
              <w:t>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eastAsia="zh-CN"/>
              </w:rPr>
              <w:t>分,每增加1辆</w:t>
            </w:r>
            <w:r>
              <w:rPr>
                <w:rFonts w:hint="eastAsia" w:ascii="仿宋" w:hAnsi="仿宋" w:eastAsia="仿宋" w:cs="仿宋"/>
                <w:bCs/>
                <w:color w:val="auto"/>
                <w:sz w:val="21"/>
                <w:szCs w:val="21"/>
                <w:highlight w:val="none"/>
              </w:rPr>
              <w:t>15米及以上登高车</w:t>
            </w:r>
            <w:r>
              <w:rPr>
                <w:rFonts w:hint="eastAsia" w:ascii="仿宋" w:hAnsi="仿宋" w:eastAsia="仿宋" w:cs="仿宋"/>
                <w:sz w:val="21"/>
                <w:szCs w:val="21"/>
                <w:highlight w:val="none"/>
                <w:lang w:val="zh-CN" w:eastAsia="zh-CN"/>
              </w:rPr>
              <w:t>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eastAsia="zh-CN"/>
              </w:rPr>
              <w:t>分，最高得6分;（0-</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val="zh-CN" w:eastAsia="zh-CN"/>
              </w:rPr>
              <w:t>分）</w:t>
            </w:r>
          </w:p>
          <w:p w14:paraId="3C2EF176">
            <w:pPr>
              <w:widowControl/>
              <w:snapToGrid w:val="0"/>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（2）</w:t>
            </w:r>
            <w:r>
              <w:rPr>
                <w:rFonts w:hint="eastAsia" w:ascii="仿宋" w:hAnsi="仿宋" w:eastAsia="仿宋" w:cs="仿宋"/>
                <w:bCs w:val="0"/>
                <w:color w:val="auto"/>
                <w:sz w:val="21"/>
                <w:szCs w:val="21"/>
                <w:highlight w:val="none"/>
                <w:lang w:val="zh-CN"/>
              </w:rPr>
              <w:t>配置</w:t>
            </w:r>
            <w:r>
              <w:rPr>
                <w:rFonts w:hint="eastAsia" w:ascii="仿宋" w:hAnsi="仿宋" w:eastAsia="仿宋" w:cs="仿宋"/>
                <w:bCs w:val="0"/>
                <w:color w:val="auto"/>
                <w:sz w:val="21"/>
                <w:szCs w:val="21"/>
                <w:highlight w:val="none"/>
                <w:lang w:val="zh-CN" w:eastAsia="zh-CN"/>
              </w:rPr>
              <w:t>1</w:t>
            </w:r>
            <w:r>
              <w:rPr>
                <w:rFonts w:hint="eastAsia" w:ascii="仿宋" w:hAnsi="仿宋" w:eastAsia="仿宋" w:cs="仿宋"/>
                <w:bCs w:val="0"/>
                <w:color w:val="auto"/>
                <w:sz w:val="21"/>
                <w:szCs w:val="21"/>
                <w:highlight w:val="none"/>
                <w:lang w:val="zh-CN"/>
              </w:rPr>
              <w:t>辆</w:t>
            </w:r>
            <w:r>
              <w:rPr>
                <w:rFonts w:hint="eastAsia" w:ascii="仿宋" w:hAnsi="仿宋" w:eastAsia="仿宋" w:cs="仿宋"/>
                <w:bCs w:val="0"/>
                <w:color w:val="auto"/>
                <w:sz w:val="21"/>
                <w:szCs w:val="21"/>
                <w:highlight w:val="none"/>
                <w:lang w:val="zh-CN" w:eastAsia="zh-CN"/>
              </w:rPr>
              <w:t>功率在50千瓦及以上</w:t>
            </w:r>
            <w:r>
              <w:rPr>
                <w:rFonts w:hint="eastAsia" w:ascii="仿宋" w:hAnsi="仿宋" w:eastAsia="仿宋" w:cs="仿宋"/>
                <w:bCs w:val="0"/>
                <w:color w:val="auto"/>
                <w:sz w:val="21"/>
                <w:szCs w:val="21"/>
                <w:highlight w:val="none"/>
                <w:lang w:val="zh-CN"/>
              </w:rPr>
              <w:t>发电车基础上，每增加1辆</w:t>
            </w:r>
            <w:r>
              <w:rPr>
                <w:rFonts w:hint="eastAsia" w:ascii="仿宋" w:hAnsi="仿宋" w:eastAsia="仿宋" w:cs="仿宋"/>
                <w:bCs w:val="0"/>
                <w:color w:val="auto"/>
                <w:sz w:val="21"/>
                <w:szCs w:val="21"/>
                <w:highlight w:val="none"/>
                <w:lang w:val="zh-CN" w:eastAsia="zh-CN"/>
              </w:rPr>
              <w:t>功率在50千瓦及以上</w:t>
            </w:r>
            <w:r>
              <w:rPr>
                <w:rFonts w:hint="eastAsia" w:ascii="仿宋" w:hAnsi="仿宋" w:eastAsia="仿宋" w:cs="仿宋"/>
                <w:bCs w:val="0"/>
                <w:color w:val="auto"/>
                <w:sz w:val="21"/>
                <w:szCs w:val="21"/>
                <w:highlight w:val="none"/>
                <w:lang w:val="zh-CN"/>
              </w:rPr>
              <w:t>发电车得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分，本项最高得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分。（0-</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w:t>
            </w:r>
          </w:p>
          <w:p w14:paraId="4CEADD27">
            <w:pPr>
              <w:widowControl/>
              <w:snapToGrid w:val="0"/>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（3）</w:t>
            </w:r>
            <w:r>
              <w:rPr>
                <w:rFonts w:hint="eastAsia" w:ascii="仿宋" w:hAnsi="仿宋" w:eastAsia="仿宋" w:cs="仿宋"/>
                <w:bCs w:val="0"/>
                <w:color w:val="auto"/>
                <w:sz w:val="21"/>
                <w:szCs w:val="21"/>
                <w:highlight w:val="none"/>
                <w:lang w:val="zh-CN"/>
              </w:rPr>
              <w:t>配置</w:t>
            </w:r>
            <w:r>
              <w:rPr>
                <w:rFonts w:hint="eastAsia" w:ascii="仿宋" w:hAnsi="仿宋" w:eastAsia="仿宋" w:cs="仿宋"/>
                <w:bCs w:val="0"/>
                <w:color w:val="auto"/>
                <w:sz w:val="21"/>
                <w:szCs w:val="21"/>
                <w:highlight w:val="none"/>
                <w:lang w:val="zh-CN" w:eastAsia="zh-CN"/>
              </w:rPr>
              <w:t>1</w:t>
            </w:r>
            <w:r>
              <w:rPr>
                <w:rFonts w:hint="eastAsia" w:ascii="仿宋" w:hAnsi="仿宋" w:eastAsia="仿宋" w:cs="仿宋"/>
                <w:bCs w:val="0"/>
                <w:color w:val="auto"/>
                <w:sz w:val="21"/>
                <w:szCs w:val="21"/>
                <w:highlight w:val="none"/>
                <w:lang w:val="zh-CN"/>
              </w:rPr>
              <w:t>辆带电作业车</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分，本项最高得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分。（0-</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w:t>
            </w:r>
          </w:p>
          <w:p w14:paraId="0C60897D">
            <w:pPr>
              <w:widowControl/>
              <w:snapToGrid w:val="0"/>
              <w:jc w:val="left"/>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val="zh-CN" w:eastAsia="zh-CN"/>
              </w:rPr>
              <w:t>（4）</w:t>
            </w:r>
            <w:r>
              <w:rPr>
                <w:rFonts w:hint="eastAsia" w:ascii="仿宋" w:hAnsi="仿宋" w:eastAsia="仿宋" w:cs="仿宋"/>
                <w:bCs w:val="0"/>
                <w:color w:val="auto"/>
                <w:sz w:val="21"/>
                <w:szCs w:val="21"/>
                <w:highlight w:val="none"/>
                <w:lang w:val="zh-CN"/>
              </w:rPr>
              <w:t>配置</w:t>
            </w:r>
            <w:r>
              <w:rPr>
                <w:rFonts w:hint="eastAsia" w:ascii="仿宋" w:hAnsi="仿宋" w:eastAsia="仿宋" w:cs="仿宋"/>
                <w:bCs w:val="0"/>
                <w:color w:val="auto"/>
                <w:sz w:val="21"/>
                <w:szCs w:val="21"/>
                <w:highlight w:val="none"/>
                <w:lang w:val="zh-CN" w:eastAsia="zh-CN"/>
              </w:rPr>
              <w:t>1</w:t>
            </w:r>
            <w:r>
              <w:rPr>
                <w:rFonts w:hint="eastAsia" w:ascii="仿宋" w:hAnsi="仿宋" w:eastAsia="仿宋" w:cs="仿宋"/>
                <w:bCs w:val="0"/>
                <w:color w:val="auto"/>
                <w:sz w:val="21"/>
                <w:szCs w:val="21"/>
                <w:highlight w:val="none"/>
                <w:lang w:val="zh-CN"/>
              </w:rPr>
              <w:t>辆</w:t>
            </w:r>
            <w:r>
              <w:rPr>
                <w:rFonts w:hint="eastAsia" w:ascii="仿宋" w:hAnsi="仿宋" w:eastAsia="仿宋" w:cs="仿宋"/>
                <w:sz w:val="21"/>
                <w:szCs w:val="21"/>
                <w:highlight w:val="none"/>
                <w:lang w:val="zh-CN"/>
              </w:rPr>
              <w:t>额定载重量1.45吨（含）以上运输车</w:t>
            </w:r>
            <w:r>
              <w:rPr>
                <w:rFonts w:hint="eastAsia" w:ascii="仿宋" w:hAnsi="仿宋" w:eastAsia="仿宋" w:cs="仿宋"/>
                <w:bCs w:val="0"/>
                <w:color w:val="auto"/>
                <w:sz w:val="21"/>
                <w:szCs w:val="21"/>
                <w:highlight w:val="none"/>
                <w:lang w:val="zh-CN"/>
              </w:rPr>
              <w:t>基础上，每增加1辆</w:t>
            </w:r>
            <w:r>
              <w:rPr>
                <w:rFonts w:hint="eastAsia" w:ascii="仿宋" w:hAnsi="仿宋" w:eastAsia="仿宋" w:cs="仿宋"/>
                <w:sz w:val="21"/>
                <w:szCs w:val="21"/>
                <w:highlight w:val="none"/>
                <w:lang w:val="zh-CN"/>
              </w:rPr>
              <w:t>额定载重量1.45吨（含）以上运输车</w:t>
            </w:r>
            <w:r>
              <w:rPr>
                <w:rFonts w:hint="eastAsia" w:ascii="仿宋" w:hAnsi="仿宋" w:eastAsia="仿宋" w:cs="仿宋"/>
                <w:bCs w:val="0"/>
                <w:color w:val="auto"/>
                <w:sz w:val="21"/>
                <w:szCs w:val="21"/>
                <w:highlight w:val="none"/>
                <w:lang w:val="zh-CN"/>
              </w:rPr>
              <w:t>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分，本项最高得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分。（0-</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w:t>
            </w:r>
          </w:p>
          <w:p w14:paraId="4A3B29F7">
            <w:pPr>
              <w:widowControl/>
              <w:snapToGrid w:val="0"/>
              <w:jc w:val="left"/>
              <w:rPr>
                <w:rFonts w:hint="eastAsia" w:ascii="仿宋" w:hAnsi="仿宋" w:eastAsia="仿宋" w:cs="仿宋"/>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以上车辆自有或者租赁均可。</w:t>
            </w:r>
          </w:p>
          <w:p w14:paraId="35E406C2">
            <w:pPr>
              <w:widowControl/>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zh-CN" w:eastAsia="zh-CN"/>
              </w:rPr>
              <w:t>有效证明材料：</w:t>
            </w:r>
            <w:r>
              <w:rPr>
                <w:rFonts w:hint="eastAsia" w:ascii="仿宋" w:hAnsi="仿宋" w:eastAsia="仿宋" w:cs="仿宋"/>
                <w:bCs w:val="0"/>
                <w:color w:val="auto"/>
                <w:sz w:val="21"/>
                <w:szCs w:val="21"/>
                <w:highlight w:val="none"/>
                <w:lang w:val="zh-CN"/>
              </w:rPr>
              <w:t>①车辆行驶证扫描件</w:t>
            </w:r>
            <w:r>
              <w:rPr>
                <w:rFonts w:hint="eastAsia" w:ascii="仿宋" w:hAnsi="仿宋" w:eastAsia="仿宋" w:cs="仿宋"/>
                <w:bCs w:val="0"/>
                <w:color w:val="auto"/>
                <w:sz w:val="21"/>
                <w:szCs w:val="21"/>
                <w:highlight w:val="none"/>
                <w:lang w:val="zh-CN" w:eastAsia="zh-CN"/>
              </w:rPr>
              <w:t>,</w:t>
            </w:r>
            <w:r>
              <w:rPr>
                <w:rFonts w:hint="eastAsia" w:ascii="仿宋" w:hAnsi="仿宋" w:eastAsia="仿宋" w:cs="仿宋"/>
                <w:bCs w:val="0"/>
                <w:color w:val="auto"/>
                <w:sz w:val="21"/>
                <w:szCs w:val="21"/>
                <w:highlight w:val="none"/>
                <w:lang w:val="zh-CN"/>
              </w:rPr>
              <w:t>②有效期内的车辆保险证明扫描件，③有效期内的车辆年检合格证扫描件，④发电车功率相关证明材料</w:t>
            </w:r>
            <w:r>
              <w:rPr>
                <w:rFonts w:hint="eastAsia" w:ascii="仿宋" w:hAnsi="仿宋" w:eastAsia="仿宋" w:cs="仿宋"/>
                <w:bCs w:val="0"/>
                <w:sz w:val="21"/>
                <w:szCs w:val="21"/>
                <w:highlight w:val="none"/>
                <w:lang w:val="zh-CN"/>
              </w:rPr>
              <w:t>扫描件</w:t>
            </w:r>
            <w:r>
              <w:rPr>
                <w:rFonts w:hint="eastAsia" w:ascii="仿宋" w:hAnsi="仿宋" w:eastAsia="仿宋" w:cs="仿宋"/>
                <w:bCs w:val="0"/>
                <w:color w:val="auto"/>
                <w:sz w:val="21"/>
                <w:szCs w:val="21"/>
                <w:highlight w:val="none"/>
                <w:lang w:val="zh-CN"/>
              </w:rPr>
              <w:t>，⑤运输车</w:t>
            </w:r>
            <w:r>
              <w:rPr>
                <w:rFonts w:hint="eastAsia" w:ascii="仿宋" w:hAnsi="仿宋" w:eastAsia="仿宋" w:cs="仿宋"/>
                <w:sz w:val="21"/>
                <w:szCs w:val="21"/>
                <w:highlight w:val="none"/>
                <w:lang w:val="zh-CN"/>
              </w:rPr>
              <w:t>额定载重量</w:t>
            </w:r>
            <w:r>
              <w:rPr>
                <w:rFonts w:hint="eastAsia" w:ascii="仿宋" w:hAnsi="仿宋" w:eastAsia="仿宋" w:cs="仿宋"/>
                <w:bCs w:val="0"/>
                <w:color w:val="auto"/>
                <w:sz w:val="21"/>
                <w:szCs w:val="21"/>
                <w:highlight w:val="none"/>
                <w:lang w:val="zh-CN"/>
              </w:rPr>
              <w:t>相关证明材料</w:t>
            </w:r>
            <w:r>
              <w:rPr>
                <w:rFonts w:hint="eastAsia" w:ascii="仿宋" w:hAnsi="仿宋" w:eastAsia="仿宋" w:cs="仿宋"/>
                <w:bCs w:val="0"/>
                <w:sz w:val="21"/>
                <w:szCs w:val="21"/>
                <w:highlight w:val="none"/>
                <w:lang w:val="zh-CN"/>
              </w:rPr>
              <w:t>扫描件</w:t>
            </w:r>
            <w:r>
              <w:rPr>
                <w:rFonts w:hint="eastAsia" w:ascii="仿宋" w:hAnsi="仿宋" w:eastAsia="仿宋" w:cs="仿宋"/>
                <w:bCs w:val="0"/>
                <w:color w:val="auto"/>
                <w:sz w:val="21"/>
                <w:szCs w:val="21"/>
                <w:highlight w:val="none"/>
                <w:lang w:val="zh-CN"/>
              </w:rPr>
              <w:t>，</w:t>
            </w:r>
            <w:r>
              <w:rPr>
                <w:rFonts w:hint="eastAsia" w:ascii="仿宋" w:hAnsi="仿宋" w:eastAsia="仿宋" w:cs="仿宋"/>
                <w:bCs w:val="0"/>
                <w:sz w:val="21"/>
                <w:szCs w:val="21"/>
                <w:highlight w:val="none"/>
                <w:lang w:val="zh-CN"/>
              </w:rPr>
              <w:t>⑥</w:t>
            </w:r>
            <w:r>
              <w:rPr>
                <w:rFonts w:hint="eastAsia" w:ascii="仿宋" w:hAnsi="仿宋" w:eastAsia="仿宋" w:cs="仿宋"/>
                <w:bCs w:val="0"/>
                <w:color w:val="auto"/>
                <w:sz w:val="21"/>
                <w:szCs w:val="21"/>
                <w:highlight w:val="none"/>
                <w:lang w:val="zh-CN"/>
              </w:rPr>
              <w:t>若车辆自有，则需提供车辆购置发票扫描件</w:t>
            </w:r>
            <w:r>
              <w:rPr>
                <w:rFonts w:hint="eastAsia" w:ascii="仿宋" w:hAnsi="仿宋" w:eastAsia="仿宋" w:cs="仿宋"/>
                <w:bCs w:val="0"/>
                <w:color w:val="auto"/>
                <w:sz w:val="21"/>
                <w:szCs w:val="21"/>
                <w:highlight w:val="none"/>
                <w:lang w:val="zh-CN" w:eastAsia="zh-CN"/>
              </w:rPr>
              <w:t>；若车辆租赁，则需提供租赁协议扫描件，租赁期限不少于本项目服务合同期。</w:t>
            </w:r>
            <w:r>
              <w:rPr>
                <w:rFonts w:hint="eastAsia" w:ascii="仿宋" w:hAnsi="仿宋" w:eastAsia="仿宋" w:cs="仿宋"/>
                <w:bCs w:val="0"/>
                <w:sz w:val="21"/>
                <w:szCs w:val="21"/>
                <w:highlight w:val="none"/>
                <w:lang w:val="zh-CN" w:eastAsia="zh-CN"/>
              </w:rPr>
              <w:t>⑦若上述材料无法完整证明评分要求，投标人可结合实际情况，补充提交其他能够有效证明其满足要求的相关材料</w:t>
            </w:r>
            <w:r>
              <w:rPr>
                <w:rFonts w:hint="eastAsia" w:ascii="仿宋" w:hAnsi="仿宋" w:eastAsia="仿宋" w:cs="仿宋"/>
                <w:bCs w:val="0"/>
                <w:sz w:val="21"/>
                <w:szCs w:val="21"/>
                <w:highlight w:val="none"/>
                <w:lang w:val="zh-CN"/>
              </w:rPr>
              <w:t>扫描件</w:t>
            </w:r>
            <w:r>
              <w:rPr>
                <w:rFonts w:hint="eastAsia" w:ascii="仿宋" w:hAnsi="仿宋" w:eastAsia="仿宋" w:cs="仿宋"/>
                <w:bCs w:val="0"/>
                <w:sz w:val="21"/>
                <w:szCs w:val="21"/>
                <w:highlight w:val="none"/>
                <w:lang w:val="zh-CN" w:eastAsia="zh-CN"/>
              </w:rPr>
              <w:t>，所提交材料须真实有效且具备证明效力。</w:t>
            </w:r>
            <w:r>
              <w:rPr>
                <w:rFonts w:hint="eastAsia" w:ascii="仿宋" w:hAnsi="仿宋" w:eastAsia="仿宋" w:cs="仿宋"/>
                <w:sz w:val="21"/>
                <w:szCs w:val="21"/>
                <w:highlight w:val="none"/>
                <w:lang w:val="en-GB" w:eastAsia="zh-CN"/>
              </w:rPr>
              <w:t>上述证明材料加盖投标单位公章，未提供或不符合要求的不得分。</w:t>
            </w:r>
          </w:p>
        </w:tc>
        <w:tc>
          <w:tcPr>
            <w:tcW w:w="1177" w:type="dxa"/>
            <w:vAlign w:val="center"/>
          </w:tcPr>
          <w:p w14:paraId="4338FBC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分</w:t>
            </w:r>
          </w:p>
          <w:p w14:paraId="24057699">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客</w:t>
            </w:r>
            <w:r>
              <w:rPr>
                <w:rFonts w:hint="eastAsia" w:ascii="仿宋" w:hAnsi="仿宋" w:eastAsia="仿宋" w:cs="仿宋"/>
                <w:sz w:val="21"/>
                <w:szCs w:val="21"/>
                <w:highlight w:val="none"/>
              </w:rPr>
              <w:t>观</w:t>
            </w:r>
          </w:p>
        </w:tc>
        <w:tc>
          <w:tcPr>
            <w:tcW w:w="2010" w:type="dxa"/>
            <w:vAlign w:val="center"/>
          </w:tcPr>
          <w:p w14:paraId="4882F318">
            <w:pPr>
              <w:adjustRightInd w:val="0"/>
              <w:spacing w:line="360" w:lineRule="auto"/>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sz w:val="21"/>
                <w:szCs w:val="21"/>
                <w:highlight w:val="none"/>
                <w:lang w:val="en-GB" w:eastAsia="zh-CN"/>
              </w:rPr>
              <w:t>企业投入机具设备情况</w:t>
            </w:r>
          </w:p>
        </w:tc>
      </w:tr>
      <w:tr w14:paraId="1356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Merge w:val="restart"/>
            <w:vAlign w:val="center"/>
          </w:tcPr>
          <w:p w14:paraId="6882F839">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w:t>
            </w:r>
          </w:p>
        </w:tc>
        <w:tc>
          <w:tcPr>
            <w:tcW w:w="5112" w:type="dxa"/>
            <w:vAlign w:val="center"/>
          </w:tcPr>
          <w:p w14:paraId="69D6062B">
            <w:pPr>
              <w:widowControl/>
              <w:numPr>
                <w:ilvl w:val="-1"/>
                <w:numId w:val="0"/>
              </w:numPr>
              <w:snapToGrid w:val="0"/>
              <w:spacing w:line="240" w:lineRule="auto"/>
              <w:jc w:val="left"/>
              <w:rPr>
                <w:rFonts w:hint="eastAsia" w:ascii="仿宋" w:hAnsi="仿宋" w:eastAsia="仿宋" w:cs="仿宋"/>
                <w:bCs w:val="0"/>
                <w:color w:val="auto"/>
                <w:sz w:val="21"/>
                <w:szCs w:val="21"/>
                <w:highlight w:val="none"/>
                <w:lang w:val="zh-CN" w:eastAsia="zh-CN"/>
              </w:rPr>
            </w:pPr>
            <w:r>
              <w:rPr>
                <w:rFonts w:hint="eastAsia" w:ascii="仿宋" w:hAnsi="仿宋" w:eastAsia="仿宋" w:cs="仿宋"/>
                <w:bCs w:val="0"/>
                <w:color w:val="auto"/>
                <w:sz w:val="21"/>
                <w:szCs w:val="21"/>
                <w:highlight w:val="none"/>
                <w:lang w:val="zh-CN"/>
              </w:rPr>
              <w:t>项目负责人满足</w:t>
            </w:r>
            <w:r>
              <w:rPr>
                <w:rFonts w:hint="eastAsia" w:ascii="仿宋" w:hAnsi="仿宋" w:eastAsia="仿宋" w:cs="仿宋"/>
                <w:color w:val="auto"/>
                <w:sz w:val="21"/>
                <w:szCs w:val="21"/>
                <w:highlight w:val="none"/>
                <w:lang w:val="zh-CN"/>
              </w:rPr>
              <w:t>具有</w:t>
            </w:r>
            <w:r>
              <w:rPr>
                <w:rFonts w:hint="eastAsia" w:ascii="仿宋" w:hAnsi="仿宋" w:eastAsia="仿宋" w:cs="仿宋"/>
                <w:strike w:val="0"/>
                <w:sz w:val="21"/>
                <w:szCs w:val="21"/>
                <w:highlight w:val="none"/>
                <w:lang w:val="zh-CN"/>
              </w:rPr>
              <w:t>国家注册</w:t>
            </w:r>
            <w:r>
              <w:rPr>
                <w:rFonts w:hint="eastAsia" w:ascii="仿宋" w:hAnsi="仿宋" w:eastAsia="仿宋" w:cs="仿宋"/>
                <w:strike w:val="0"/>
                <w:sz w:val="21"/>
                <w:szCs w:val="21"/>
                <w:highlight w:val="none"/>
                <w:lang w:val="zh-CN" w:eastAsia="zh-CN"/>
              </w:rPr>
              <w:t>二级</w:t>
            </w:r>
            <w:r>
              <w:rPr>
                <w:rFonts w:hint="eastAsia" w:ascii="仿宋" w:hAnsi="仿宋" w:eastAsia="仿宋" w:cs="仿宋"/>
                <w:strike w:val="0"/>
                <w:sz w:val="21"/>
                <w:szCs w:val="21"/>
                <w:highlight w:val="none"/>
                <w:lang w:val="zh-CN"/>
              </w:rPr>
              <w:t>建造师（机电工程）资格</w:t>
            </w:r>
            <w:r>
              <w:rPr>
                <w:rFonts w:hint="eastAsia" w:ascii="仿宋" w:hAnsi="仿宋" w:eastAsia="仿宋" w:cs="仿宋"/>
                <w:strike w:val="0"/>
                <w:sz w:val="21"/>
                <w:szCs w:val="21"/>
                <w:highlight w:val="none"/>
                <w:lang w:val="zh-CN" w:eastAsia="zh-CN"/>
              </w:rPr>
              <w:t>和大专学历基础上</w:t>
            </w:r>
            <w:r>
              <w:rPr>
                <w:rFonts w:hint="eastAsia" w:ascii="仿宋" w:hAnsi="仿宋" w:eastAsia="仿宋" w:cs="仿宋"/>
                <w:bCs w:val="0"/>
                <w:color w:val="auto"/>
                <w:sz w:val="21"/>
                <w:szCs w:val="21"/>
                <w:highlight w:val="none"/>
                <w:lang w:val="zh-CN" w:eastAsia="zh-CN"/>
              </w:rPr>
              <w:t>:</w:t>
            </w:r>
          </w:p>
          <w:p w14:paraId="5DE37C1F">
            <w:pPr>
              <w:widowControl/>
              <w:numPr>
                <w:ilvl w:val="-1"/>
                <w:numId w:val="0"/>
              </w:numPr>
              <w:snapToGrid w:val="0"/>
              <w:spacing w:line="240" w:lineRule="auto"/>
              <w:jc w:val="left"/>
              <w:rPr>
                <w:rFonts w:hint="eastAsia" w:ascii="仿宋" w:hAnsi="仿宋" w:eastAsia="仿宋" w:cs="仿宋"/>
                <w:bCs w:val="0"/>
                <w:color w:val="auto"/>
                <w:sz w:val="21"/>
                <w:szCs w:val="21"/>
                <w:highlight w:val="none"/>
                <w:lang w:val="zh-CN" w:eastAsia="zh-CN"/>
              </w:rPr>
            </w:pPr>
            <w:r>
              <w:rPr>
                <w:rFonts w:hint="eastAsia" w:ascii="仿宋" w:hAnsi="仿宋" w:eastAsia="仿宋" w:cs="仿宋"/>
                <w:bCs w:val="0"/>
                <w:color w:val="auto"/>
                <w:sz w:val="21"/>
                <w:szCs w:val="21"/>
                <w:highlight w:val="none"/>
                <w:lang w:val="zh-CN"/>
              </w:rPr>
              <w:t>（1）项目负责人具</w:t>
            </w:r>
            <w:r>
              <w:rPr>
                <w:rFonts w:hint="eastAsia" w:ascii="仿宋" w:hAnsi="仿宋" w:eastAsia="仿宋" w:cs="仿宋"/>
                <w:bCs w:val="0"/>
                <w:sz w:val="21"/>
                <w:szCs w:val="21"/>
                <w:highlight w:val="none"/>
                <w:lang w:val="zh-CN"/>
              </w:rPr>
              <w:t>有</w:t>
            </w:r>
            <w:r>
              <w:rPr>
                <w:rFonts w:hint="eastAsia" w:ascii="仿宋" w:hAnsi="仿宋" w:eastAsia="仿宋" w:cs="仿宋"/>
                <w:strike w:val="0"/>
                <w:sz w:val="21"/>
                <w:szCs w:val="21"/>
                <w:highlight w:val="none"/>
                <w:lang w:val="zh-CN"/>
              </w:rPr>
              <w:t>机电工程</w:t>
            </w:r>
            <w:r>
              <w:rPr>
                <w:rFonts w:hint="eastAsia" w:ascii="仿宋" w:hAnsi="仿宋" w:eastAsia="仿宋" w:cs="仿宋"/>
                <w:strike w:val="0"/>
                <w:sz w:val="21"/>
                <w:szCs w:val="21"/>
                <w:highlight w:val="none"/>
                <w:lang w:val="zh-CN" w:eastAsia="zh-CN"/>
              </w:rPr>
              <w:t>类</w:t>
            </w:r>
            <w:r>
              <w:rPr>
                <w:rFonts w:hint="eastAsia" w:ascii="仿宋" w:hAnsi="仿宋" w:eastAsia="仿宋" w:cs="仿宋"/>
                <w:bCs w:val="0"/>
                <w:sz w:val="21"/>
                <w:szCs w:val="21"/>
                <w:highlight w:val="none"/>
                <w:lang w:val="zh-CN"/>
              </w:rPr>
              <w:t>工程师职称得</w:t>
            </w:r>
            <w:r>
              <w:rPr>
                <w:rFonts w:hint="eastAsia" w:ascii="仿宋" w:hAnsi="仿宋" w:eastAsia="仿宋" w:cs="仿宋"/>
                <w:bCs w:val="0"/>
                <w:sz w:val="21"/>
                <w:szCs w:val="21"/>
                <w:highlight w:val="none"/>
                <w:lang w:val="en-US" w:eastAsia="zh-CN"/>
              </w:rPr>
              <w:t>1</w:t>
            </w:r>
            <w:r>
              <w:rPr>
                <w:rFonts w:hint="eastAsia" w:ascii="仿宋" w:hAnsi="仿宋" w:eastAsia="仿宋" w:cs="仿宋"/>
                <w:bCs w:val="0"/>
                <w:sz w:val="21"/>
                <w:szCs w:val="21"/>
                <w:highlight w:val="none"/>
                <w:lang w:val="zh-CN" w:eastAsia="zh-CN"/>
              </w:rPr>
              <w:t>分，具有</w:t>
            </w:r>
            <w:r>
              <w:rPr>
                <w:rFonts w:hint="eastAsia" w:ascii="仿宋" w:hAnsi="仿宋" w:eastAsia="仿宋" w:cs="仿宋"/>
                <w:strike w:val="0"/>
                <w:sz w:val="21"/>
                <w:szCs w:val="21"/>
                <w:highlight w:val="none"/>
                <w:lang w:val="zh-CN"/>
              </w:rPr>
              <w:t>机电工程</w:t>
            </w:r>
            <w:r>
              <w:rPr>
                <w:rFonts w:hint="eastAsia" w:ascii="仿宋" w:hAnsi="仿宋" w:eastAsia="仿宋" w:cs="仿宋"/>
                <w:strike w:val="0"/>
                <w:sz w:val="21"/>
                <w:szCs w:val="21"/>
                <w:highlight w:val="none"/>
                <w:lang w:val="zh-CN" w:eastAsia="zh-CN"/>
              </w:rPr>
              <w:t>类</w:t>
            </w:r>
            <w:r>
              <w:rPr>
                <w:rFonts w:hint="eastAsia" w:ascii="仿宋" w:hAnsi="仿宋" w:eastAsia="仿宋" w:cs="仿宋"/>
                <w:bCs w:val="0"/>
                <w:color w:val="auto"/>
                <w:sz w:val="21"/>
                <w:szCs w:val="21"/>
                <w:highlight w:val="none"/>
                <w:lang w:val="zh-CN"/>
              </w:rPr>
              <w:t>高级工程师的得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color w:val="auto"/>
                <w:sz w:val="21"/>
                <w:szCs w:val="21"/>
                <w:highlight w:val="none"/>
                <w:lang w:val="zh-CN"/>
              </w:rPr>
              <w:t>分，本项最高得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color w:val="auto"/>
                <w:sz w:val="21"/>
                <w:szCs w:val="21"/>
                <w:highlight w:val="none"/>
                <w:lang w:val="zh-CN"/>
              </w:rPr>
              <w:t>分。（0-</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color w:val="auto"/>
                <w:sz w:val="21"/>
                <w:szCs w:val="21"/>
                <w:highlight w:val="none"/>
                <w:lang w:val="zh-CN"/>
              </w:rPr>
              <w:t>分）</w:t>
            </w:r>
          </w:p>
          <w:p w14:paraId="44F02A7E">
            <w:pPr>
              <w:widowControl/>
              <w:numPr>
                <w:ilvl w:val="-1"/>
                <w:numId w:val="0"/>
              </w:numPr>
              <w:snapToGrid w:val="0"/>
              <w:spacing w:line="240" w:lineRule="auto"/>
              <w:jc w:val="left"/>
              <w:rPr>
                <w:rFonts w:hint="eastAsia" w:ascii="仿宋" w:hAnsi="仿宋" w:eastAsia="仿宋" w:cs="仿宋"/>
                <w:bCs w:val="0"/>
                <w:sz w:val="21"/>
                <w:szCs w:val="21"/>
                <w:highlight w:val="none"/>
                <w:lang w:val="zh-CN"/>
              </w:rPr>
            </w:pPr>
            <w:r>
              <w:rPr>
                <w:rFonts w:hint="eastAsia" w:ascii="仿宋" w:hAnsi="仿宋" w:eastAsia="仿宋" w:cs="仿宋"/>
                <w:bCs w:val="0"/>
                <w:color w:val="auto"/>
                <w:sz w:val="21"/>
                <w:szCs w:val="21"/>
                <w:highlight w:val="none"/>
                <w:lang w:val="zh-CN"/>
              </w:rPr>
              <w:t>（2）</w:t>
            </w:r>
            <w:r>
              <w:rPr>
                <w:rFonts w:hint="eastAsia" w:ascii="仿宋" w:hAnsi="仿宋" w:eastAsia="仿宋" w:cs="仿宋"/>
                <w:bCs w:val="0"/>
                <w:color w:val="auto"/>
                <w:sz w:val="21"/>
                <w:szCs w:val="21"/>
                <w:highlight w:val="none"/>
                <w:lang w:val="zh-CN" w:eastAsia="zh-CN"/>
              </w:rPr>
              <w:t>项目负责人具有</w:t>
            </w:r>
            <w:r>
              <w:rPr>
                <w:rFonts w:hint="eastAsia" w:ascii="仿宋" w:hAnsi="仿宋" w:eastAsia="仿宋" w:cs="仿宋"/>
                <w:color w:val="auto"/>
                <w:sz w:val="21"/>
                <w:szCs w:val="21"/>
                <w:highlight w:val="none"/>
                <w:lang w:val="zh-CN"/>
              </w:rPr>
              <w:t>国家注册</w:t>
            </w:r>
            <w:r>
              <w:rPr>
                <w:rFonts w:hint="eastAsia" w:ascii="仿宋" w:hAnsi="仿宋" w:eastAsia="仿宋" w:cs="仿宋"/>
                <w:color w:val="auto"/>
                <w:sz w:val="21"/>
                <w:szCs w:val="21"/>
                <w:highlight w:val="none"/>
                <w:lang w:val="zh-CN" w:eastAsia="zh-CN"/>
              </w:rPr>
              <w:t>一</w:t>
            </w:r>
            <w:r>
              <w:rPr>
                <w:rFonts w:hint="eastAsia" w:ascii="仿宋" w:hAnsi="仿宋" w:eastAsia="仿宋" w:cs="仿宋"/>
                <w:color w:val="auto"/>
                <w:sz w:val="21"/>
                <w:szCs w:val="21"/>
                <w:highlight w:val="none"/>
                <w:lang w:val="zh-CN"/>
              </w:rPr>
              <w:t>级建造师（机电工程）资格</w:t>
            </w:r>
            <w:r>
              <w:rPr>
                <w:rFonts w:hint="eastAsia" w:ascii="仿宋" w:hAnsi="仿宋" w:eastAsia="仿宋" w:cs="仿宋"/>
                <w:bCs w:val="0"/>
                <w:color w:val="auto"/>
                <w:sz w:val="21"/>
                <w:szCs w:val="21"/>
                <w:highlight w:val="none"/>
                <w:lang w:val="zh-CN"/>
              </w:rPr>
              <w:t>的得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w:t>
            </w:r>
            <w:r>
              <w:rPr>
                <w:rFonts w:hint="eastAsia" w:ascii="仿宋" w:hAnsi="仿宋" w:eastAsia="仿宋" w:cs="仿宋"/>
                <w:bCs w:val="0"/>
                <w:color w:val="auto"/>
                <w:sz w:val="21"/>
                <w:szCs w:val="21"/>
                <w:highlight w:val="none"/>
                <w:lang w:val="zh-CN" w:eastAsia="zh-CN"/>
              </w:rPr>
              <w:t>，本项</w:t>
            </w:r>
            <w:r>
              <w:rPr>
                <w:rFonts w:hint="eastAsia" w:ascii="仿宋" w:hAnsi="仿宋" w:eastAsia="仿宋" w:cs="仿宋"/>
                <w:bCs w:val="0"/>
                <w:color w:val="auto"/>
                <w:sz w:val="21"/>
                <w:szCs w:val="21"/>
                <w:highlight w:val="none"/>
                <w:lang w:val="zh-CN"/>
              </w:rPr>
              <w:t>最高得</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分。（0-</w:t>
            </w:r>
            <w:r>
              <w:rPr>
                <w:rFonts w:hint="eastAsia" w:ascii="仿宋" w:hAnsi="仿宋" w:eastAsia="仿宋" w:cs="仿宋"/>
                <w:bCs w:val="0"/>
                <w:color w:val="auto"/>
                <w:sz w:val="21"/>
                <w:szCs w:val="21"/>
                <w:highlight w:val="none"/>
                <w:lang w:val="en-US" w:eastAsia="zh-CN"/>
              </w:rPr>
              <w:t>2</w:t>
            </w:r>
            <w:r>
              <w:rPr>
                <w:rFonts w:hint="eastAsia" w:ascii="仿宋" w:hAnsi="仿宋" w:eastAsia="仿宋" w:cs="仿宋"/>
                <w:bCs w:val="0"/>
                <w:color w:val="auto"/>
                <w:sz w:val="21"/>
                <w:szCs w:val="21"/>
                <w:highlight w:val="none"/>
                <w:lang w:val="zh-CN"/>
              </w:rPr>
              <w:t>分）</w:t>
            </w:r>
          </w:p>
          <w:p w14:paraId="4E7F6B1F">
            <w:pPr>
              <w:widowControl/>
              <w:numPr>
                <w:ilvl w:val="-1"/>
                <w:numId w:val="0"/>
              </w:numPr>
              <w:snapToGrid w:val="0"/>
              <w:spacing w:line="240" w:lineRule="auto"/>
              <w:jc w:val="left"/>
              <w:rPr>
                <w:rFonts w:hint="eastAsia" w:ascii="仿宋" w:hAnsi="仿宋" w:eastAsia="仿宋" w:cs="仿宋"/>
                <w:bCs w:val="0"/>
                <w:sz w:val="21"/>
                <w:szCs w:val="21"/>
                <w:highlight w:val="none"/>
                <w:lang w:val="zh-CN"/>
              </w:rPr>
            </w:pPr>
            <w:r>
              <w:rPr>
                <w:rFonts w:hint="eastAsia" w:ascii="仿宋" w:hAnsi="仿宋" w:eastAsia="仿宋" w:cs="仿宋"/>
                <w:bCs w:val="0"/>
                <w:sz w:val="21"/>
                <w:szCs w:val="21"/>
                <w:highlight w:val="none"/>
                <w:lang w:val="zh-CN"/>
              </w:rPr>
              <w:t>（</w:t>
            </w:r>
            <w:r>
              <w:rPr>
                <w:rFonts w:hint="eastAsia" w:ascii="仿宋" w:hAnsi="仿宋" w:eastAsia="仿宋" w:cs="仿宋"/>
                <w:bCs w:val="0"/>
                <w:sz w:val="21"/>
                <w:szCs w:val="21"/>
                <w:highlight w:val="none"/>
                <w:lang w:val="zh-CN" w:eastAsia="zh-CN"/>
              </w:rPr>
              <w:t>3</w:t>
            </w:r>
            <w:r>
              <w:rPr>
                <w:rFonts w:hint="eastAsia" w:ascii="仿宋" w:hAnsi="仿宋" w:eastAsia="仿宋" w:cs="仿宋"/>
                <w:bCs w:val="0"/>
                <w:sz w:val="21"/>
                <w:szCs w:val="21"/>
                <w:highlight w:val="none"/>
                <w:lang w:val="zh-CN"/>
              </w:rPr>
              <w:t>）</w:t>
            </w:r>
            <w:r>
              <w:rPr>
                <w:rFonts w:hint="eastAsia" w:ascii="仿宋" w:hAnsi="仿宋" w:eastAsia="仿宋" w:cs="仿宋"/>
                <w:bCs w:val="0"/>
                <w:sz w:val="21"/>
                <w:szCs w:val="21"/>
                <w:highlight w:val="none"/>
                <w:lang w:val="zh-CN" w:eastAsia="zh-CN"/>
              </w:rPr>
              <w:t>项目负责人具有本科及以上学历的得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eastAsia="zh-CN"/>
              </w:rPr>
              <w:t>分，本项最高</w:t>
            </w:r>
            <w:r>
              <w:rPr>
                <w:rFonts w:hint="eastAsia" w:ascii="仿宋" w:hAnsi="仿宋" w:eastAsia="仿宋" w:cs="仿宋"/>
                <w:bCs w:val="0"/>
                <w:sz w:val="21"/>
                <w:szCs w:val="21"/>
                <w:highlight w:val="none"/>
                <w:lang w:val="zh-CN"/>
              </w:rPr>
              <w:t>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分。（0-</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w:t>
            </w:r>
          </w:p>
          <w:p w14:paraId="533F47BD">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val="0"/>
                <w:color w:val="auto"/>
                <w:sz w:val="21"/>
                <w:szCs w:val="21"/>
                <w:highlight w:val="none"/>
                <w:lang w:val="zh-CN"/>
              </w:rPr>
              <w:t>有效证明材料：提供相关职称</w:t>
            </w:r>
            <w:r>
              <w:rPr>
                <w:rFonts w:hint="eastAsia" w:ascii="仿宋" w:hAnsi="仿宋" w:eastAsia="仿宋" w:cs="仿宋"/>
                <w:bCs w:val="0"/>
                <w:color w:val="auto"/>
                <w:sz w:val="21"/>
                <w:szCs w:val="21"/>
                <w:highlight w:val="none"/>
                <w:lang w:val="zh-CN" w:eastAsia="zh-CN"/>
              </w:rPr>
              <w:t>证书、毕业证书、建造师证书、近3个月任意1个月社保缴纳证明材料、劳动合同以及其他相关证明材料扫描件。不得与其他岗位兼职，否则本项不得分。未提供或不符合要求的不得分。</w:t>
            </w:r>
          </w:p>
        </w:tc>
        <w:tc>
          <w:tcPr>
            <w:tcW w:w="1177" w:type="dxa"/>
            <w:vAlign w:val="center"/>
          </w:tcPr>
          <w:p w14:paraId="6AD072E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p>
          <w:p w14:paraId="0D4F6E81">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客</w:t>
            </w:r>
            <w:r>
              <w:rPr>
                <w:rFonts w:hint="eastAsia" w:ascii="仿宋" w:hAnsi="仿宋" w:eastAsia="仿宋" w:cs="仿宋"/>
                <w:sz w:val="21"/>
                <w:szCs w:val="21"/>
                <w:highlight w:val="none"/>
              </w:rPr>
              <w:t>观</w:t>
            </w:r>
          </w:p>
        </w:tc>
        <w:tc>
          <w:tcPr>
            <w:tcW w:w="2010" w:type="dxa"/>
            <w:vMerge w:val="restart"/>
            <w:vAlign w:val="center"/>
          </w:tcPr>
          <w:p w14:paraId="496DE70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GB" w:eastAsia="zh-CN"/>
              </w:rPr>
              <w:t>项目组成成员情况</w:t>
            </w:r>
          </w:p>
        </w:tc>
      </w:tr>
      <w:tr w14:paraId="754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Merge w:val="continue"/>
            <w:vAlign w:val="center"/>
          </w:tcPr>
          <w:p w14:paraId="00CFF314">
            <w:pPr>
              <w:jc w:val="center"/>
              <w:rPr>
                <w:rFonts w:hint="eastAsia" w:ascii="仿宋" w:hAnsi="仿宋" w:eastAsia="仿宋" w:cs="仿宋"/>
                <w:sz w:val="21"/>
                <w:szCs w:val="21"/>
                <w:highlight w:val="none"/>
              </w:rPr>
            </w:pPr>
          </w:p>
        </w:tc>
        <w:tc>
          <w:tcPr>
            <w:tcW w:w="5112" w:type="dxa"/>
            <w:vAlign w:val="center"/>
          </w:tcPr>
          <w:p w14:paraId="0FD5DED2">
            <w:pPr>
              <w:widowControl/>
              <w:numPr>
                <w:ilvl w:val="-1"/>
                <w:numId w:val="0"/>
              </w:numPr>
              <w:snapToGrid w:val="0"/>
              <w:spacing w:line="240" w:lineRule="auto"/>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GB" w:eastAsia="zh-CN"/>
              </w:rPr>
              <w:t>项目技术负责人（非项目负责人）</w:t>
            </w:r>
            <w:r>
              <w:rPr>
                <w:rFonts w:hint="eastAsia" w:ascii="仿宋" w:hAnsi="仿宋" w:eastAsia="仿宋" w:cs="仿宋"/>
                <w:bCs w:val="0"/>
                <w:sz w:val="21"/>
                <w:szCs w:val="21"/>
                <w:highlight w:val="none"/>
                <w:lang w:val="zh-CN"/>
              </w:rPr>
              <w:t>满足</w:t>
            </w:r>
            <w:r>
              <w:rPr>
                <w:rFonts w:hint="eastAsia" w:ascii="仿宋" w:hAnsi="仿宋" w:eastAsia="仿宋" w:cs="仿宋"/>
                <w:sz w:val="21"/>
                <w:szCs w:val="21"/>
                <w:highlight w:val="none"/>
                <w:lang w:val="zh-CN"/>
              </w:rPr>
              <w:t>具有</w:t>
            </w:r>
            <w:r>
              <w:rPr>
                <w:rFonts w:hint="eastAsia" w:ascii="仿宋" w:hAnsi="仿宋" w:eastAsia="仿宋" w:cs="仿宋"/>
                <w:strike w:val="0"/>
                <w:sz w:val="21"/>
                <w:szCs w:val="21"/>
                <w:highlight w:val="none"/>
              </w:rPr>
              <w:t>机电工程</w:t>
            </w:r>
            <w:r>
              <w:rPr>
                <w:rFonts w:hint="eastAsia" w:ascii="仿宋" w:hAnsi="仿宋" w:eastAsia="仿宋" w:cs="仿宋"/>
                <w:strike w:val="0"/>
                <w:sz w:val="21"/>
                <w:szCs w:val="21"/>
                <w:highlight w:val="none"/>
                <w:lang w:eastAsia="zh-CN"/>
              </w:rPr>
              <w:t>类</w:t>
            </w:r>
            <w:r>
              <w:rPr>
                <w:rFonts w:hint="eastAsia" w:ascii="仿宋" w:hAnsi="仿宋" w:eastAsia="仿宋" w:cs="仿宋"/>
                <w:sz w:val="21"/>
                <w:szCs w:val="21"/>
                <w:highlight w:val="none"/>
              </w:rPr>
              <w:t>工程师职称，并有</w:t>
            </w:r>
            <w:r>
              <w:rPr>
                <w:rFonts w:hint="eastAsia" w:ascii="仿宋" w:hAnsi="仿宋" w:eastAsia="仿宋" w:cs="仿宋"/>
                <w:sz w:val="21"/>
                <w:szCs w:val="21"/>
                <w:highlight w:val="none"/>
                <w:lang w:eastAsia="zh-CN"/>
              </w:rPr>
              <w:t>大学专</w:t>
            </w:r>
            <w:r>
              <w:rPr>
                <w:rFonts w:hint="eastAsia" w:ascii="仿宋" w:hAnsi="仿宋" w:eastAsia="仿宋" w:cs="仿宋"/>
                <w:sz w:val="21"/>
                <w:szCs w:val="21"/>
                <w:highlight w:val="none"/>
              </w:rPr>
              <w:t>科学历</w:t>
            </w:r>
            <w:r>
              <w:rPr>
                <w:rFonts w:hint="eastAsia" w:ascii="仿宋" w:hAnsi="仿宋" w:eastAsia="仿宋" w:cs="仿宋"/>
                <w:strike w:val="0"/>
                <w:sz w:val="21"/>
                <w:szCs w:val="21"/>
                <w:highlight w:val="none"/>
                <w:lang w:val="zh-CN" w:eastAsia="zh-CN"/>
              </w:rPr>
              <w:t>基础上</w:t>
            </w:r>
            <w:r>
              <w:rPr>
                <w:rFonts w:hint="eastAsia" w:ascii="仿宋" w:hAnsi="仿宋" w:eastAsia="仿宋" w:cs="仿宋"/>
                <w:bCs w:val="0"/>
                <w:sz w:val="21"/>
                <w:szCs w:val="21"/>
                <w:highlight w:val="none"/>
                <w:lang w:val="zh-CN" w:eastAsia="zh-CN"/>
              </w:rPr>
              <w:t>:</w:t>
            </w:r>
          </w:p>
          <w:p w14:paraId="1D4CE01D">
            <w:pPr>
              <w:widowControl/>
              <w:numPr>
                <w:ilvl w:val="-1"/>
                <w:numId w:val="0"/>
              </w:numPr>
              <w:snapToGrid w:val="0"/>
              <w:spacing w:line="240" w:lineRule="auto"/>
              <w:jc w:val="left"/>
              <w:rPr>
                <w:rFonts w:hint="eastAsia" w:ascii="仿宋" w:hAnsi="仿宋" w:eastAsia="仿宋" w:cs="仿宋"/>
                <w:bCs w:val="0"/>
                <w:sz w:val="21"/>
                <w:szCs w:val="21"/>
                <w:highlight w:val="none"/>
                <w:lang w:val="zh-CN"/>
              </w:rPr>
            </w:pPr>
            <w:r>
              <w:rPr>
                <w:rFonts w:hint="eastAsia" w:ascii="仿宋" w:hAnsi="仿宋" w:eastAsia="仿宋" w:cs="仿宋"/>
                <w:strike w:val="0"/>
                <w:sz w:val="21"/>
                <w:szCs w:val="21"/>
                <w:highlight w:val="none"/>
                <w:lang w:val="zh-CN"/>
              </w:rPr>
              <w:t>（</w:t>
            </w:r>
            <w:r>
              <w:rPr>
                <w:rFonts w:hint="eastAsia" w:ascii="仿宋" w:hAnsi="仿宋" w:eastAsia="仿宋" w:cs="仿宋"/>
                <w:strike w:val="0"/>
                <w:sz w:val="21"/>
                <w:szCs w:val="21"/>
                <w:highlight w:val="none"/>
                <w:lang w:val="en-US" w:eastAsia="zh-CN"/>
              </w:rPr>
              <w:t>1</w:t>
            </w:r>
            <w:r>
              <w:rPr>
                <w:rFonts w:hint="eastAsia" w:ascii="仿宋" w:hAnsi="仿宋" w:eastAsia="仿宋" w:cs="仿宋"/>
                <w:strike w:val="0"/>
                <w:sz w:val="21"/>
                <w:szCs w:val="21"/>
                <w:highlight w:val="none"/>
                <w:lang w:val="zh-CN"/>
              </w:rPr>
              <w:t>）项目技术</w:t>
            </w:r>
            <w:r>
              <w:rPr>
                <w:rFonts w:hint="eastAsia" w:ascii="仿宋" w:hAnsi="仿宋" w:eastAsia="仿宋" w:cs="仿宋"/>
                <w:bCs w:val="0"/>
                <w:sz w:val="21"/>
                <w:szCs w:val="21"/>
                <w:highlight w:val="none"/>
                <w:lang w:val="zh-CN"/>
              </w:rPr>
              <w:t>负责人具有</w:t>
            </w:r>
            <w:r>
              <w:rPr>
                <w:rFonts w:hint="eastAsia" w:ascii="仿宋" w:hAnsi="仿宋" w:eastAsia="仿宋" w:cs="仿宋"/>
                <w:strike w:val="0"/>
                <w:sz w:val="21"/>
                <w:szCs w:val="21"/>
                <w:highlight w:val="none"/>
                <w:lang w:val="zh-CN"/>
              </w:rPr>
              <w:t>机电工程</w:t>
            </w:r>
            <w:r>
              <w:rPr>
                <w:rFonts w:hint="eastAsia" w:ascii="仿宋" w:hAnsi="仿宋" w:eastAsia="仿宋" w:cs="仿宋"/>
                <w:strike w:val="0"/>
                <w:sz w:val="21"/>
                <w:szCs w:val="21"/>
                <w:highlight w:val="none"/>
                <w:lang w:val="zh-CN" w:eastAsia="zh-CN"/>
              </w:rPr>
              <w:t>类</w:t>
            </w:r>
            <w:r>
              <w:rPr>
                <w:rFonts w:hint="eastAsia" w:ascii="仿宋" w:hAnsi="仿宋" w:eastAsia="仿宋" w:cs="仿宋"/>
                <w:bCs w:val="0"/>
                <w:sz w:val="21"/>
                <w:szCs w:val="21"/>
                <w:highlight w:val="none"/>
                <w:lang w:val="zh-CN"/>
              </w:rPr>
              <w:t>高级工程师的得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分，本项最高得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分。（0-</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w:t>
            </w:r>
          </w:p>
          <w:p w14:paraId="64D605DB">
            <w:pPr>
              <w:snapToGrid w:val="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w:t>
            </w:r>
            <w:r>
              <w:rPr>
                <w:rFonts w:hint="eastAsia" w:ascii="仿宋" w:hAnsi="仿宋" w:eastAsia="仿宋" w:cs="仿宋"/>
                <w:bCs w:val="0"/>
                <w:sz w:val="21"/>
                <w:szCs w:val="21"/>
                <w:highlight w:val="none"/>
                <w:lang w:val="zh-CN" w:eastAsia="zh-CN"/>
              </w:rPr>
              <w:t>项目技术负责人具有本科及以上学历的得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eastAsia="zh-CN"/>
              </w:rPr>
              <w:t>分，本项</w:t>
            </w:r>
            <w:r>
              <w:rPr>
                <w:rFonts w:hint="eastAsia" w:ascii="仿宋" w:hAnsi="仿宋" w:eastAsia="仿宋" w:cs="仿宋"/>
                <w:bCs w:val="0"/>
                <w:sz w:val="21"/>
                <w:szCs w:val="21"/>
                <w:highlight w:val="none"/>
                <w:lang w:val="zh-CN"/>
              </w:rPr>
              <w:t>最高得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分。（0-</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w:t>
            </w:r>
          </w:p>
          <w:p w14:paraId="58C7A336">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val="0"/>
                <w:sz w:val="21"/>
                <w:szCs w:val="21"/>
                <w:highlight w:val="none"/>
                <w:lang w:val="zh-CN"/>
              </w:rPr>
              <w:t>有效证明材料：提供相关职称</w:t>
            </w:r>
            <w:r>
              <w:rPr>
                <w:rFonts w:hint="eastAsia" w:ascii="仿宋" w:hAnsi="仿宋" w:eastAsia="仿宋" w:cs="仿宋"/>
                <w:bCs w:val="0"/>
                <w:sz w:val="21"/>
                <w:szCs w:val="21"/>
                <w:highlight w:val="none"/>
                <w:lang w:val="zh-CN" w:eastAsia="zh-CN"/>
              </w:rPr>
              <w:t>证书、毕业证书、近3个月任意1个月社保缴纳证明材料、劳动合同以及其他相关证明材料扫描件。不得与其他岗位兼职，否则本项不得分。未提供或不符合要求的不得分。</w:t>
            </w:r>
          </w:p>
        </w:tc>
        <w:tc>
          <w:tcPr>
            <w:tcW w:w="1177" w:type="dxa"/>
            <w:vAlign w:val="center"/>
          </w:tcPr>
          <w:p w14:paraId="2D1FF8A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3CC25EAD">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客</w:t>
            </w:r>
            <w:r>
              <w:rPr>
                <w:rFonts w:hint="eastAsia" w:ascii="仿宋" w:hAnsi="仿宋" w:eastAsia="仿宋" w:cs="仿宋"/>
                <w:sz w:val="21"/>
                <w:szCs w:val="21"/>
                <w:highlight w:val="none"/>
              </w:rPr>
              <w:t>观</w:t>
            </w:r>
          </w:p>
        </w:tc>
        <w:tc>
          <w:tcPr>
            <w:tcW w:w="2010" w:type="dxa"/>
            <w:vMerge w:val="continue"/>
            <w:vAlign w:val="center"/>
          </w:tcPr>
          <w:p w14:paraId="0943A9C0">
            <w:pPr>
              <w:jc w:val="center"/>
              <w:rPr>
                <w:rFonts w:hint="eastAsia" w:ascii="仿宋" w:hAnsi="仿宋" w:eastAsia="仿宋" w:cs="仿宋"/>
                <w:sz w:val="21"/>
                <w:szCs w:val="21"/>
                <w:highlight w:val="none"/>
              </w:rPr>
            </w:pPr>
          </w:p>
        </w:tc>
      </w:tr>
      <w:tr w14:paraId="24FE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Merge w:val="continue"/>
            <w:vAlign w:val="center"/>
          </w:tcPr>
          <w:p w14:paraId="6236C44C">
            <w:pPr>
              <w:jc w:val="center"/>
              <w:rPr>
                <w:rFonts w:hint="eastAsia" w:ascii="仿宋" w:hAnsi="仿宋" w:eastAsia="仿宋" w:cs="仿宋"/>
                <w:sz w:val="21"/>
                <w:szCs w:val="21"/>
                <w:highlight w:val="none"/>
              </w:rPr>
            </w:pPr>
          </w:p>
        </w:tc>
        <w:tc>
          <w:tcPr>
            <w:tcW w:w="5112" w:type="dxa"/>
            <w:vAlign w:val="center"/>
          </w:tcPr>
          <w:p w14:paraId="00D284B3">
            <w:pPr>
              <w:widowControl/>
              <w:snapToGrid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项目智能化网络技术负责人具有软件专业中级职称和大专学历基础上：</w:t>
            </w:r>
          </w:p>
          <w:p w14:paraId="4250A38A">
            <w:pPr>
              <w:widowControl/>
              <w:numPr>
                <w:ilvl w:val="-1"/>
                <w:numId w:val="0"/>
              </w:numPr>
              <w:snapToGrid w:val="0"/>
              <w:spacing w:line="240" w:lineRule="auto"/>
              <w:jc w:val="left"/>
              <w:rPr>
                <w:rFonts w:hint="eastAsia" w:ascii="仿宋" w:hAnsi="仿宋" w:eastAsia="仿宋" w:cs="仿宋"/>
                <w:bCs w:val="0"/>
                <w:sz w:val="21"/>
                <w:szCs w:val="21"/>
                <w:highlight w:val="none"/>
                <w:lang w:val="zh-CN"/>
              </w:rPr>
            </w:pPr>
            <w:r>
              <w:rPr>
                <w:rFonts w:hint="eastAsia" w:ascii="仿宋" w:hAnsi="仿宋" w:eastAsia="仿宋" w:cs="仿宋"/>
                <w:sz w:val="21"/>
                <w:szCs w:val="21"/>
                <w:highlight w:val="none"/>
                <w:lang w:val="en-US" w:eastAsia="zh-CN"/>
              </w:rPr>
              <w:t>（1）项目智能化网络技术负责人</w:t>
            </w:r>
            <w:r>
              <w:rPr>
                <w:rFonts w:hint="eastAsia" w:ascii="仿宋" w:hAnsi="仿宋" w:eastAsia="仿宋" w:cs="仿宋"/>
                <w:bCs w:val="0"/>
                <w:sz w:val="21"/>
                <w:szCs w:val="21"/>
                <w:highlight w:val="none"/>
                <w:lang w:val="zh-CN"/>
              </w:rPr>
              <w:t>具有</w:t>
            </w:r>
            <w:r>
              <w:rPr>
                <w:rFonts w:hint="eastAsia" w:ascii="仿宋" w:hAnsi="仿宋" w:eastAsia="仿宋" w:cs="仿宋"/>
                <w:bCs w:val="0"/>
                <w:sz w:val="21"/>
                <w:szCs w:val="21"/>
                <w:highlight w:val="none"/>
                <w:lang w:val="en-US" w:eastAsia="zh-CN"/>
              </w:rPr>
              <w:t>软件</w:t>
            </w:r>
            <w:r>
              <w:rPr>
                <w:rFonts w:hint="eastAsia" w:ascii="仿宋" w:hAnsi="仿宋" w:eastAsia="仿宋" w:cs="仿宋"/>
                <w:bCs w:val="0"/>
                <w:sz w:val="21"/>
                <w:szCs w:val="21"/>
                <w:highlight w:val="none"/>
                <w:lang w:val="zh-CN"/>
              </w:rPr>
              <w:t>专业高级职称的得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分，本项最高得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分。（0-</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w:t>
            </w:r>
          </w:p>
          <w:p w14:paraId="2DB97112">
            <w:pPr>
              <w:widowControl/>
              <w:snapToGrid w:val="0"/>
              <w:jc w:val="left"/>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项目智能化网络技术负责人</w:t>
            </w:r>
            <w:r>
              <w:rPr>
                <w:rFonts w:hint="eastAsia" w:ascii="仿宋" w:hAnsi="仿宋" w:eastAsia="仿宋" w:cs="仿宋"/>
                <w:bCs w:val="0"/>
                <w:sz w:val="21"/>
                <w:szCs w:val="21"/>
                <w:highlight w:val="none"/>
                <w:lang w:val="zh-CN" w:eastAsia="zh-CN"/>
              </w:rPr>
              <w:t>具有本科及以上学历的得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eastAsia="zh-CN"/>
              </w:rPr>
              <w:t>分，本项</w:t>
            </w:r>
            <w:r>
              <w:rPr>
                <w:rFonts w:hint="eastAsia" w:ascii="仿宋" w:hAnsi="仿宋" w:eastAsia="仿宋" w:cs="仿宋"/>
                <w:bCs w:val="0"/>
                <w:sz w:val="21"/>
                <w:szCs w:val="21"/>
                <w:highlight w:val="none"/>
                <w:lang w:val="zh-CN"/>
              </w:rPr>
              <w:t>最高得</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分。（0-</w:t>
            </w:r>
            <w:r>
              <w:rPr>
                <w:rFonts w:hint="eastAsia" w:ascii="仿宋" w:hAnsi="仿宋" w:eastAsia="仿宋" w:cs="仿宋"/>
                <w:bCs w:val="0"/>
                <w:sz w:val="21"/>
                <w:szCs w:val="21"/>
                <w:highlight w:val="none"/>
                <w:lang w:val="en-US" w:eastAsia="zh-CN"/>
              </w:rPr>
              <w:t>2</w:t>
            </w:r>
            <w:r>
              <w:rPr>
                <w:rFonts w:hint="eastAsia" w:ascii="仿宋" w:hAnsi="仿宋" w:eastAsia="仿宋" w:cs="仿宋"/>
                <w:bCs w:val="0"/>
                <w:sz w:val="21"/>
                <w:szCs w:val="21"/>
                <w:highlight w:val="none"/>
                <w:lang w:val="zh-CN"/>
              </w:rPr>
              <w:t>分）</w:t>
            </w:r>
          </w:p>
          <w:p w14:paraId="0AFBAD61">
            <w:pPr>
              <w:widowControl/>
              <w:snapToGrid w:val="0"/>
              <w:jc w:val="left"/>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有效证明材料：提供软件专业相关资格证书、</w:t>
            </w:r>
            <w:r>
              <w:rPr>
                <w:rFonts w:hint="eastAsia" w:ascii="仿宋" w:hAnsi="仿宋" w:eastAsia="仿宋" w:cs="仿宋"/>
                <w:bCs w:val="0"/>
                <w:sz w:val="21"/>
                <w:szCs w:val="21"/>
                <w:highlight w:val="none"/>
                <w:lang w:val="zh-CN" w:eastAsia="zh-CN"/>
              </w:rPr>
              <w:t>毕业证书、近3个月任意1个月社保缴纳证明材料、劳动合同以及其他相关证明材料扫描件。不得与其他岗位兼职，否则本项不得分。未提供或不符合要求的不得分。</w:t>
            </w:r>
          </w:p>
        </w:tc>
        <w:tc>
          <w:tcPr>
            <w:tcW w:w="1177" w:type="dxa"/>
            <w:vAlign w:val="center"/>
          </w:tcPr>
          <w:p w14:paraId="66D4519E">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4分</w:t>
            </w:r>
          </w:p>
          <w:p w14:paraId="1A94E421">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客观</w:t>
            </w:r>
          </w:p>
        </w:tc>
        <w:tc>
          <w:tcPr>
            <w:tcW w:w="2010" w:type="dxa"/>
            <w:vMerge w:val="continue"/>
            <w:vAlign w:val="center"/>
          </w:tcPr>
          <w:p w14:paraId="5347A6D6">
            <w:pPr>
              <w:jc w:val="center"/>
              <w:rPr>
                <w:rFonts w:hint="eastAsia" w:ascii="仿宋" w:hAnsi="仿宋" w:eastAsia="仿宋" w:cs="仿宋"/>
                <w:sz w:val="21"/>
                <w:szCs w:val="21"/>
                <w:highlight w:val="none"/>
              </w:rPr>
            </w:pPr>
          </w:p>
        </w:tc>
      </w:tr>
      <w:tr w14:paraId="121F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Merge w:val="continue"/>
            <w:vAlign w:val="center"/>
          </w:tcPr>
          <w:p w14:paraId="4354465C">
            <w:pPr>
              <w:jc w:val="center"/>
              <w:rPr>
                <w:rFonts w:hint="eastAsia" w:ascii="仿宋" w:hAnsi="仿宋" w:eastAsia="仿宋" w:cs="仿宋"/>
                <w:sz w:val="21"/>
                <w:szCs w:val="21"/>
                <w:highlight w:val="none"/>
              </w:rPr>
            </w:pPr>
          </w:p>
        </w:tc>
        <w:tc>
          <w:tcPr>
            <w:tcW w:w="5112" w:type="dxa"/>
            <w:vAlign w:val="center"/>
          </w:tcPr>
          <w:p w14:paraId="43DEACF1">
            <w:pPr>
              <w:widowControl/>
              <w:snapToGrid w:val="0"/>
              <w:spacing w:line="240" w:lineRule="auto"/>
              <w:jc w:val="left"/>
              <w:rPr>
                <w:rFonts w:hint="eastAsia" w:ascii="仿宋" w:hAnsi="仿宋" w:eastAsia="仿宋" w:cs="仿宋"/>
                <w:bCs w:val="0"/>
                <w:color w:val="auto"/>
                <w:sz w:val="21"/>
                <w:szCs w:val="21"/>
                <w:highlight w:val="none"/>
                <w:lang w:val="zh-CN"/>
              </w:rPr>
            </w:pPr>
            <w:r>
              <w:rPr>
                <w:rFonts w:hint="eastAsia" w:ascii="仿宋" w:hAnsi="仿宋" w:eastAsia="仿宋" w:cs="仿宋"/>
                <w:bCs w:val="0"/>
                <w:color w:val="auto"/>
                <w:sz w:val="21"/>
                <w:szCs w:val="21"/>
                <w:highlight w:val="none"/>
                <w:lang w:val="zh-CN"/>
              </w:rPr>
              <w:t>投标单位拟派的项目团队情况：</w:t>
            </w:r>
          </w:p>
          <w:p w14:paraId="53E4D86D">
            <w:pPr>
              <w:widowControl/>
              <w:snapToGrid w:val="0"/>
              <w:spacing w:line="240" w:lineRule="auto"/>
              <w:jc w:val="left"/>
              <w:rPr>
                <w:rFonts w:hint="eastAsia" w:ascii="仿宋" w:hAnsi="仿宋" w:eastAsia="仿宋" w:cs="仿宋"/>
                <w:bCs w:val="0"/>
                <w:color w:val="auto"/>
                <w:sz w:val="21"/>
                <w:szCs w:val="21"/>
                <w:highlight w:val="none"/>
                <w:lang w:val="zh-CN"/>
              </w:rPr>
            </w:pPr>
            <w:r>
              <w:rPr>
                <w:rFonts w:hint="eastAsia" w:ascii="仿宋" w:hAnsi="仿宋" w:eastAsia="仿宋" w:cs="仿宋"/>
                <w:bCs w:val="0"/>
                <w:color w:val="auto"/>
                <w:sz w:val="21"/>
                <w:szCs w:val="21"/>
                <w:highlight w:val="none"/>
                <w:lang w:val="zh-CN"/>
              </w:rPr>
              <w:t>（</w:t>
            </w:r>
            <w:r>
              <w:rPr>
                <w:rFonts w:hint="eastAsia" w:ascii="仿宋" w:hAnsi="仿宋" w:eastAsia="仿宋" w:cs="仿宋"/>
                <w:bCs w:val="0"/>
                <w:color w:val="auto"/>
                <w:sz w:val="21"/>
                <w:szCs w:val="21"/>
                <w:highlight w:val="none"/>
                <w:lang w:val="zh-CN" w:eastAsia="zh-CN"/>
              </w:rPr>
              <w:t>1</w:t>
            </w:r>
            <w:r>
              <w:rPr>
                <w:rFonts w:hint="eastAsia" w:ascii="仿宋" w:hAnsi="仿宋" w:eastAsia="仿宋" w:cs="仿宋"/>
                <w:bCs w:val="0"/>
                <w:color w:val="auto"/>
                <w:sz w:val="21"/>
                <w:szCs w:val="21"/>
                <w:highlight w:val="none"/>
                <w:lang w:val="zh-CN"/>
              </w:rPr>
              <w:t>）项目组成员中</w:t>
            </w:r>
            <w:r>
              <w:rPr>
                <w:rFonts w:hint="eastAsia" w:ascii="仿宋" w:hAnsi="仿宋" w:eastAsia="仿宋" w:cs="仿宋"/>
                <w:bCs w:val="0"/>
                <w:color w:val="auto"/>
                <w:sz w:val="21"/>
                <w:szCs w:val="21"/>
                <w:highlight w:val="none"/>
                <w:lang w:val="zh-CN" w:eastAsia="zh-CN"/>
              </w:rPr>
              <w:t>（不含项目负责人、项目技术负责人和</w:t>
            </w:r>
            <w:r>
              <w:rPr>
                <w:rFonts w:hint="eastAsia" w:ascii="仿宋" w:hAnsi="仿宋" w:eastAsia="仿宋" w:cs="仿宋"/>
                <w:sz w:val="21"/>
                <w:szCs w:val="21"/>
                <w:highlight w:val="none"/>
                <w:lang w:val="zh-CN" w:eastAsia="zh-CN"/>
              </w:rPr>
              <w:t>项目智能化网络技术负责人</w:t>
            </w:r>
            <w:r>
              <w:rPr>
                <w:rFonts w:hint="eastAsia" w:ascii="仿宋" w:hAnsi="仿宋" w:eastAsia="仿宋" w:cs="仿宋"/>
                <w:bCs w:val="0"/>
                <w:color w:val="auto"/>
                <w:sz w:val="21"/>
                <w:szCs w:val="21"/>
                <w:highlight w:val="none"/>
                <w:lang w:val="zh-CN" w:eastAsia="zh-CN"/>
              </w:rPr>
              <w:t>）</w:t>
            </w:r>
            <w:r>
              <w:rPr>
                <w:rFonts w:hint="eastAsia" w:ascii="仿宋" w:hAnsi="仿宋" w:eastAsia="仿宋" w:cs="仿宋"/>
                <w:bCs w:val="0"/>
                <w:color w:val="auto"/>
                <w:sz w:val="21"/>
                <w:szCs w:val="21"/>
                <w:highlight w:val="none"/>
                <w:lang w:val="zh-CN"/>
              </w:rPr>
              <w:t>，同时具</w:t>
            </w:r>
            <w:r>
              <w:rPr>
                <w:rFonts w:hint="eastAsia" w:ascii="仿宋" w:hAnsi="仿宋" w:eastAsia="仿宋" w:cs="仿宋"/>
                <w:bCs w:val="0"/>
                <w:color w:val="auto"/>
                <w:sz w:val="21"/>
                <w:szCs w:val="21"/>
                <w:highlight w:val="none"/>
                <w:lang w:val="zh-CN" w:eastAsia="zh-CN"/>
              </w:rPr>
              <w:t>有低压</w:t>
            </w:r>
            <w:r>
              <w:rPr>
                <w:rFonts w:hint="eastAsia" w:ascii="仿宋" w:hAnsi="仿宋" w:eastAsia="仿宋" w:cs="仿宋"/>
                <w:bCs w:val="0"/>
                <w:color w:val="auto"/>
                <w:sz w:val="21"/>
                <w:szCs w:val="21"/>
                <w:highlight w:val="none"/>
                <w:lang w:val="zh-CN"/>
              </w:rPr>
              <w:t>电工特种作业操作证和高空作业证</w:t>
            </w:r>
            <w:r>
              <w:rPr>
                <w:rFonts w:hint="eastAsia" w:ascii="仿宋" w:hAnsi="仿宋" w:eastAsia="仿宋" w:cs="仿宋"/>
                <w:bCs w:val="0"/>
                <w:color w:val="auto"/>
                <w:sz w:val="21"/>
                <w:szCs w:val="21"/>
                <w:highlight w:val="none"/>
                <w:lang w:val="zh-CN" w:eastAsia="zh-CN"/>
              </w:rPr>
              <w:t>3</w:t>
            </w:r>
            <w:r>
              <w:rPr>
                <w:rFonts w:hint="eastAsia" w:ascii="仿宋" w:hAnsi="仿宋" w:eastAsia="仿宋" w:cs="仿宋"/>
                <w:bCs w:val="0"/>
                <w:color w:val="auto"/>
                <w:sz w:val="21"/>
                <w:szCs w:val="21"/>
                <w:highlight w:val="none"/>
                <w:lang w:val="zh-CN"/>
              </w:rPr>
              <w:t>人</w:t>
            </w:r>
            <w:r>
              <w:rPr>
                <w:rFonts w:hint="eastAsia" w:ascii="仿宋" w:hAnsi="仿宋" w:eastAsia="仿宋" w:cs="仿宋"/>
                <w:bCs w:val="0"/>
                <w:color w:val="auto"/>
                <w:sz w:val="21"/>
                <w:szCs w:val="21"/>
                <w:highlight w:val="none"/>
                <w:lang w:val="zh-CN" w:eastAsia="zh-CN"/>
              </w:rPr>
              <w:t>基础上，每增加1人得2分，本项最高得</w:t>
            </w:r>
            <w:r>
              <w:rPr>
                <w:rFonts w:hint="eastAsia" w:ascii="仿宋" w:hAnsi="仿宋" w:eastAsia="仿宋" w:cs="仿宋"/>
                <w:bCs w:val="0"/>
                <w:sz w:val="21"/>
                <w:szCs w:val="21"/>
                <w:highlight w:val="none"/>
                <w:lang w:val="en-US" w:eastAsia="zh-CN"/>
              </w:rPr>
              <w:t>8</w:t>
            </w:r>
            <w:r>
              <w:rPr>
                <w:rFonts w:hint="eastAsia" w:ascii="仿宋" w:hAnsi="仿宋" w:eastAsia="仿宋" w:cs="仿宋"/>
                <w:bCs w:val="0"/>
                <w:color w:val="auto"/>
                <w:sz w:val="21"/>
                <w:szCs w:val="21"/>
                <w:highlight w:val="none"/>
                <w:lang w:val="zh-CN" w:eastAsia="zh-CN"/>
              </w:rPr>
              <w:t>分。</w:t>
            </w:r>
            <w:r>
              <w:rPr>
                <w:rFonts w:hint="eastAsia" w:ascii="仿宋" w:hAnsi="仿宋" w:eastAsia="仿宋" w:cs="仿宋"/>
                <w:bCs w:val="0"/>
                <w:color w:val="auto"/>
                <w:sz w:val="21"/>
                <w:szCs w:val="21"/>
                <w:highlight w:val="none"/>
                <w:lang w:val="zh-CN"/>
              </w:rPr>
              <w:t>（0-</w:t>
            </w:r>
            <w:r>
              <w:rPr>
                <w:rFonts w:hint="eastAsia" w:ascii="仿宋" w:hAnsi="仿宋" w:eastAsia="仿宋" w:cs="仿宋"/>
                <w:bCs w:val="0"/>
                <w:sz w:val="21"/>
                <w:szCs w:val="21"/>
                <w:highlight w:val="none"/>
                <w:lang w:val="en-US" w:eastAsia="zh-CN"/>
              </w:rPr>
              <w:t>8</w:t>
            </w:r>
            <w:r>
              <w:rPr>
                <w:rFonts w:hint="eastAsia" w:ascii="仿宋" w:hAnsi="仿宋" w:eastAsia="仿宋" w:cs="仿宋"/>
                <w:bCs w:val="0"/>
                <w:color w:val="auto"/>
                <w:sz w:val="21"/>
                <w:szCs w:val="21"/>
                <w:highlight w:val="none"/>
                <w:lang w:val="zh-CN"/>
              </w:rPr>
              <w:t>分）</w:t>
            </w:r>
          </w:p>
          <w:p w14:paraId="62FC3585">
            <w:pPr>
              <w:widowControl/>
              <w:snapToGrid w:val="0"/>
              <w:spacing w:line="240" w:lineRule="auto"/>
              <w:jc w:val="left"/>
              <w:rPr>
                <w:rFonts w:hint="eastAsia" w:ascii="仿宋" w:hAnsi="仿宋" w:eastAsia="仿宋" w:cs="仿宋"/>
                <w:bCs w:val="0"/>
                <w:color w:val="auto"/>
                <w:sz w:val="21"/>
                <w:szCs w:val="21"/>
                <w:highlight w:val="none"/>
                <w:lang w:val="zh-CN"/>
              </w:rPr>
            </w:pPr>
            <w:r>
              <w:rPr>
                <w:rFonts w:hint="eastAsia" w:ascii="仿宋" w:hAnsi="仿宋" w:eastAsia="仿宋" w:cs="仿宋"/>
                <w:bCs w:val="0"/>
                <w:color w:val="auto"/>
                <w:sz w:val="21"/>
                <w:szCs w:val="21"/>
                <w:highlight w:val="none"/>
                <w:lang w:val="zh-CN"/>
              </w:rPr>
              <w:t>（</w:t>
            </w:r>
            <w:r>
              <w:rPr>
                <w:rFonts w:hint="eastAsia" w:ascii="仿宋" w:hAnsi="仿宋" w:eastAsia="仿宋" w:cs="仿宋"/>
                <w:bCs w:val="0"/>
                <w:color w:val="auto"/>
                <w:sz w:val="21"/>
                <w:szCs w:val="21"/>
                <w:highlight w:val="none"/>
                <w:lang w:val="zh-CN" w:eastAsia="zh-CN"/>
              </w:rPr>
              <w:t>2</w:t>
            </w:r>
            <w:r>
              <w:rPr>
                <w:rFonts w:hint="eastAsia" w:ascii="仿宋" w:hAnsi="仿宋" w:eastAsia="仿宋" w:cs="仿宋"/>
                <w:bCs w:val="0"/>
                <w:color w:val="auto"/>
                <w:sz w:val="21"/>
                <w:szCs w:val="21"/>
                <w:highlight w:val="none"/>
                <w:lang w:val="zh-CN"/>
              </w:rPr>
              <w:t>）项目组成员中</w:t>
            </w:r>
            <w:r>
              <w:rPr>
                <w:rFonts w:hint="eastAsia" w:ascii="仿宋" w:hAnsi="仿宋" w:eastAsia="仿宋" w:cs="仿宋"/>
                <w:bCs w:val="0"/>
                <w:color w:val="auto"/>
                <w:sz w:val="21"/>
                <w:szCs w:val="21"/>
                <w:highlight w:val="none"/>
                <w:lang w:val="zh-CN" w:eastAsia="zh-CN"/>
              </w:rPr>
              <w:t>（不含项目负责人、项目技术负责人和</w:t>
            </w:r>
            <w:r>
              <w:rPr>
                <w:rFonts w:hint="eastAsia" w:ascii="仿宋" w:hAnsi="仿宋" w:eastAsia="仿宋" w:cs="仿宋"/>
                <w:sz w:val="21"/>
                <w:szCs w:val="21"/>
                <w:highlight w:val="none"/>
                <w:lang w:val="zh-CN" w:eastAsia="zh-CN"/>
              </w:rPr>
              <w:t>项目智能化网络技术负责人</w:t>
            </w:r>
            <w:r>
              <w:rPr>
                <w:rFonts w:hint="eastAsia" w:ascii="仿宋" w:hAnsi="仿宋" w:eastAsia="仿宋" w:cs="仿宋"/>
                <w:bCs w:val="0"/>
                <w:color w:val="auto"/>
                <w:sz w:val="21"/>
                <w:szCs w:val="21"/>
                <w:highlight w:val="none"/>
                <w:lang w:val="zh-CN" w:eastAsia="zh-CN"/>
              </w:rPr>
              <w:t>）</w:t>
            </w:r>
            <w:r>
              <w:rPr>
                <w:rFonts w:hint="eastAsia" w:ascii="仿宋" w:hAnsi="仿宋" w:eastAsia="仿宋" w:cs="仿宋"/>
                <w:bCs w:val="0"/>
                <w:color w:val="auto"/>
                <w:sz w:val="21"/>
                <w:szCs w:val="21"/>
                <w:highlight w:val="none"/>
                <w:lang w:val="zh-CN"/>
              </w:rPr>
              <w:t>，</w:t>
            </w:r>
            <w:r>
              <w:rPr>
                <w:rFonts w:hint="eastAsia" w:ascii="仿宋" w:hAnsi="仿宋" w:eastAsia="仿宋" w:cs="仿宋"/>
                <w:sz w:val="21"/>
                <w:szCs w:val="21"/>
                <w:highlight w:val="none"/>
                <w:lang w:val="zh-CN" w:eastAsia="zh-CN"/>
              </w:rPr>
              <w:t>具有电工特种证人员每增加1人，得2分，本项最高得4分。（0-4分）</w:t>
            </w:r>
          </w:p>
          <w:p w14:paraId="1345CC41">
            <w:pPr>
              <w:widowControl/>
              <w:snapToGrid w:val="0"/>
              <w:spacing w:line="240" w:lineRule="auto"/>
              <w:jc w:val="left"/>
              <w:rPr>
                <w:rFonts w:hint="eastAsia" w:ascii="仿宋" w:hAnsi="仿宋" w:eastAsia="仿宋" w:cs="仿宋"/>
                <w:bCs w:val="0"/>
                <w:color w:val="auto"/>
                <w:sz w:val="21"/>
                <w:szCs w:val="21"/>
                <w:highlight w:val="none"/>
                <w:lang w:val="zh-CN" w:eastAsia="zh-CN"/>
              </w:rPr>
            </w:pPr>
            <w:r>
              <w:rPr>
                <w:rFonts w:hint="eastAsia" w:ascii="仿宋" w:hAnsi="仿宋" w:eastAsia="仿宋" w:cs="仿宋"/>
                <w:bCs w:val="0"/>
                <w:color w:val="auto"/>
                <w:sz w:val="21"/>
                <w:szCs w:val="21"/>
                <w:highlight w:val="none"/>
                <w:lang w:val="zh-CN" w:eastAsia="zh-CN"/>
              </w:rPr>
              <w:t>（3）</w:t>
            </w:r>
            <w:r>
              <w:rPr>
                <w:rFonts w:hint="eastAsia" w:ascii="仿宋" w:hAnsi="仿宋" w:eastAsia="仿宋" w:cs="仿宋"/>
                <w:bCs w:val="0"/>
                <w:color w:val="auto"/>
                <w:sz w:val="21"/>
                <w:szCs w:val="21"/>
                <w:highlight w:val="none"/>
                <w:lang w:val="zh-CN"/>
              </w:rPr>
              <w:t>项目组成员中</w:t>
            </w:r>
            <w:r>
              <w:rPr>
                <w:rFonts w:hint="eastAsia" w:ascii="仿宋" w:hAnsi="仿宋" w:eastAsia="仿宋" w:cs="仿宋"/>
                <w:bCs w:val="0"/>
                <w:color w:val="auto"/>
                <w:sz w:val="21"/>
                <w:szCs w:val="21"/>
                <w:highlight w:val="none"/>
                <w:lang w:val="zh-CN" w:eastAsia="zh-CN"/>
              </w:rPr>
              <w:t>（不含项目负责人、项目技术负责人和</w:t>
            </w:r>
            <w:r>
              <w:rPr>
                <w:rFonts w:hint="eastAsia" w:ascii="仿宋" w:hAnsi="仿宋" w:eastAsia="仿宋" w:cs="仿宋"/>
                <w:sz w:val="21"/>
                <w:szCs w:val="21"/>
                <w:highlight w:val="none"/>
                <w:lang w:val="zh-CN" w:eastAsia="zh-CN"/>
              </w:rPr>
              <w:t>项目智能化网络技术负责人</w:t>
            </w:r>
            <w:r>
              <w:rPr>
                <w:rFonts w:hint="eastAsia" w:ascii="仿宋" w:hAnsi="仿宋" w:eastAsia="仿宋" w:cs="仿宋"/>
                <w:bCs w:val="0"/>
                <w:color w:val="auto"/>
                <w:sz w:val="21"/>
                <w:szCs w:val="21"/>
                <w:highlight w:val="none"/>
                <w:lang w:val="zh-CN" w:eastAsia="zh-CN"/>
              </w:rPr>
              <w:t>）</w:t>
            </w:r>
            <w:r>
              <w:rPr>
                <w:rFonts w:hint="eastAsia" w:ascii="仿宋" w:hAnsi="仿宋" w:eastAsia="仿宋" w:cs="仿宋"/>
                <w:bCs w:val="0"/>
                <w:color w:val="auto"/>
                <w:sz w:val="21"/>
                <w:szCs w:val="21"/>
                <w:highlight w:val="none"/>
                <w:lang w:val="zh-CN"/>
              </w:rPr>
              <w:t>，</w:t>
            </w:r>
            <w:r>
              <w:rPr>
                <w:rFonts w:hint="eastAsia" w:ascii="仿宋" w:hAnsi="仿宋" w:eastAsia="仿宋" w:cs="仿宋"/>
                <w:sz w:val="21"/>
                <w:szCs w:val="21"/>
                <w:highlight w:val="none"/>
                <w:lang w:val="zh-CN" w:eastAsia="zh-CN"/>
              </w:rPr>
              <w:t>具有</w:t>
            </w:r>
            <w:r>
              <w:rPr>
                <w:rFonts w:hint="eastAsia" w:ascii="仿宋" w:hAnsi="仿宋" w:eastAsia="仿宋" w:cs="仿宋"/>
                <w:bCs w:val="0"/>
                <w:color w:val="auto"/>
                <w:sz w:val="21"/>
                <w:szCs w:val="21"/>
                <w:highlight w:val="none"/>
                <w:lang w:val="zh-CN"/>
              </w:rPr>
              <w:t>高空作业证</w:t>
            </w:r>
            <w:r>
              <w:rPr>
                <w:rFonts w:hint="eastAsia" w:ascii="仿宋" w:hAnsi="仿宋" w:eastAsia="仿宋" w:cs="仿宋"/>
                <w:sz w:val="21"/>
                <w:szCs w:val="21"/>
                <w:highlight w:val="none"/>
                <w:lang w:val="zh-CN" w:eastAsia="zh-CN"/>
              </w:rPr>
              <w:t>人员每增加1人，得2分，本项最高得4分。（0-4分）</w:t>
            </w:r>
          </w:p>
          <w:p w14:paraId="0A04545F">
            <w:pPr>
              <w:widowControl/>
              <w:snapToGrid w:val="0"/>
              <w:jc w:val="left"/>
              <w:rPr>
                <w:rFonts w:hint="eastAsia" w:ascii="仿宋" w:hAnsi="仿宋" w:eastAsia="仿宋" w:cs="仿宋"/>
                <w:color w:val="auto"/>
                <w:sz w:val="21"/>
                <w:szCs w:val="21"/>
                <w:highlight w:val="none"/>
                <w:lang w:val="zh-CN"/>
              </w:rPr>
            </w:pPr>
            <w:r>
              <w:rPr>
                <w:rFonts w:hint="eastAsia" w:ascii="仿宋" w:hAnsi="仿宋" w:eastAsia="仿宋" w:cs="仿宋"/>
                <w:bCs w:val="0"/>
                <w:color w:val="auto"/>
                <w:sz w:val="21"/>
                <w:szCs w:val="21"/>
                <w:highlight w:val="none"/>
                <w:lang w:val="zh-CN"/>
              </w:rPr>
              <w:t>注：上述（</w:t>
            </w:r>
            <w:r>
              <w:rPr>
                <w:rFonts w:hint="eastAsia" w:ascii="仿宋" w:hAnsi="仿宋" w:eastAsia="仿宋" w:cs="仿宋"/>
                <w:bCs w:val="0"/>
                <w:color w:val="auto"/>
                <w:sz w:val="21"/>
                <w:szCs w:val="21"/>
                <w:highlight w:val="none"/>
                <w:lang w:val="zh-CN" w:eastAsia="zh-CN"/>
              </w:rPr>
              <w:t>1</w:t>
            </w:r>
            <w:r>
              <w:rPr>
                <w:rFonts w:hint="eastAsia" w:ascii="仿宋" w:hAnsi="仿宋" w:eastAsia="仿宋" w:cs="仿宋"/>
                <w:bCs w:val="0"/>
                <w:color w:val="auto"/>
                <w:sz w:val="21"/>
                <w:szCs w:val="21"/>
                <w:highlight w:val="none"/>
                <w:lang w:val="zh-CN"/>
              </w:rPr>
              <w:t>）、（</w:t>
            </w:r>
            <w:r>
              <w:rPr>
                <w:rFonts w:hint="eastAsia" w:ascii="仿宋" w:hAnsi="仿宋" w:eastAsia="仿宋" w:cs="仿宋"/>
                <w:bCs w:val="0"/>
                <w:color w:val="auto"/>
                <w:sz w:val="21"/>
                <w:szCs w:val="21"/>
                <w:highlight w:val="none"/>
                <w:lang w:val="zh-CN" w:eastAsia="zh-CN"/>
              </w:rPr>
              <w:t>2</w:t>
            </w:r>
            <w:r>
              <w:rPr>
                <w:rFonts w:hint="eastAsia" w:ascii="仿宋" w:hAnsi="仿宋" w:eastAsia="仿宋" w:cs="仿宋"/>
                <w:bCs w:val="0"/>
                <w:color w:val="auto"/>
                <w:sz w:val="21"/>
                <w:szCs w:val="21"/>
                <w:highlight w:val="none"/>
                <w:lang w:val="zh-CN"/>
              </w:rPr>
              <w:t>）和（</w:t>
            </w:r>
            <w:r>
              <w:rPr>
                <w:rFonts w:hint="eastAsia" w:ascii="仿宋" w:hAnsi="仿宋" w:eastAsia="仿宋" w:cs="仿宋"/>
                <w:bCs w:val="0"/>
                <w:color w:val="auto"/>
                <w:sz w:val="21"/>
                <w:szCs w:val="21"/>
                <w:highlight w:val="none"/>
                <w:lang w:val="zh-CN" w:eastAsia="zh-CN"/>
              </w:rPr>
              <w:t>3</w:t>
            </w:r>
            <w:r>
              <w:rPr>
                <w:rFonts w:hint="eastAsia" w:ascii="仿宋" w:hAnsi="仿宋" w:eastAsia="仿宋" w:cs="仿宋"/>
                <w:bCs w:val="0"/>
                <w:color w:val="auto"/>
                <w:sz w:val="21"/>
                <w:szCs w:val="21"/>
                <w:highlight w:val="none"/>
                <w:lang w:val="zh-CN"/>
              </w:rPr>
              <w:t>）中提供的同一人员只能计一次分。</w:t>
            </w:r>
          </w:p>
          <w:p w14:paraId="13AA4966">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val="0"/>
                <w:color w:val="auto"/>
                <w:sz w:val="21"/>
                <w:szCs w:val="21"/>
                <w:highlight w:val="none"/>
                <w:lang w:val="zh-CN"/>
              </w:rPr>
              <w:t>有效证明材料：上述人员需提供</w:t>
            </w:r>
            <w:r>
              <w:rPr>
                <w:rFonts w:hint="eastAsia" w:ascii="仿宋" w:hAnsi="仿宋" w:eastAsia="仿宋" w:cs="仿宋"/>
                <w:bCs w:val="0"/>
                <w:color w:val="auto"/>
                <w:sz w:val="21"/>
                <w:szCs w:val="21"/>
                <w:highlight w:val="none"/>
                <w:lang w:val="zh-CN" w:eastAsia="zh-CN"/>
              </w:rPr>
              <w:t>近3个月任意1个月社保缴纳证明材料、劳动合同以及其</w:t>
            </w:r>
            <w:r>
              <w:rPr>
                <w:rFonts w:hint="eastAsia" w:ascii="仿宋" w:hAnsi="仿宋" w:eastAsia="仿宋" w:cs="仿宋"/>
                <w:bCs w:val="0"/>
                <w:color w:val="auto"/>
                <w:sz w:val="21"/>
                <w:szCs w:val="21"/>
                <w:highlight w:val="none"/>
                <w:lang w:val="zh-CN"/>
              </w:rPr>
              <w:t>相应的岗位作业证书（</w:t>
            </w:r>
            <w:r>
              <w:rPr>
                <w:rFonts w:hint="eastAsia" w:ascii="仿宋" w:hAnsi="仿宋" w:eastAsia="仿宋" w:cs="仿宋"/>
                <w:bCs w:val="0"/>
                <w:color w:val="auto"/>
                <w:sz w:val="21"/>
                <w:szCs w:val="21"/>
                <w:highlight w:val="none"/>
                <w:lang w:val="zh-CN" w:eastAsia="zh-CN"/>
              </w:rPr>
              <w:t>低压</w:t>
            </w:r>
            <w:r>
              <w:rPr>
                <w:rFonts w:hint="eastAsia" w:ascii="仿宋" w:hAnsi="仿宋" w:eastAsia="仿宋" w:cs="仿宋"/>
                <w:bCs w:val="0"/>
                <w:color w:val="auto"/>
                <w:sz w:val="21"/>
                <w:szCs w:val="21"/>
                <w:highlight w:val="none"/>
                <w:lang w:val="zh-CN"/>
              </w:rPr>
              <w:t>电工特种作业操作证、高空作业证</w:t>
            </w:r>
            <w:r>
              <w:rPr>
                <w:rFonts w:hint="eastAsia" w:ascii="仿宋" w:hAnsi="仿宋" w:eastAsia="仿宋" w:cs="仿宋"/>
                <w:bCs w:val="0"/>
                <w:color w:val="auto"/>
                <w:sz w:val="21"/>
                <w:szCs w:val="21"/>
                <w:highlight w:val="none"/>
                <w:lang w:val="zh-CN" w:eastAsia="zh-CN"/>
              </w:rPr>
              <w:t>等相关岗位证书</w:t>
            </w:r>
            <w:r>
              <w:rPr>
                <w:rFonts w:hint="eastAsia" w:ascii="仿宋" w:hAnsi="仿宋" w:eastAsia="仿宋" w:cs="仿宋"/>
                <w:bCs w:val="0"/>
                <w:color w:val="auto"/>
                <w:sz w:val="21"/>
                <w:szCs w:val="21"/>
                <w:highlight w:val="none"/>
                <w:lang w:val="zh-CN"/>
              </w:rPr>
              <w:t>）扫描件，未提供或不符合要求的不得分。</w:t>
            </w:r>
          </w:p>
        </w:tc>
        <w:tc>
          <w:tcPr>
            <w:tcW w:w="1177" w:type="dxa"/>
            <w:vAlign w:val="center"/>
          </w:tcPr>
          <w:p w14:paraId="25A7BD4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16</w:t>
            </w:r>
            <w:r>
              <w:rPr>
                <w:rFonts w:hint="eastAsia" w:ascii="仿宋" w:hAnsi="仿宋" w:eastAsia="仿宋" w:cs="仿宋"/>
                <w:sz w:val="21"/>
                <w:szCs w:val="21"/>
                <w:highlight w:val="none"/>
              </w:rPr>
              <w:t>分</w:t>
            </w:r>
          </w:p>
          <w:p w14:paraId="1089E438">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客</w:t>
            </w:r>
            <w:r>
              <w:rPr>
                <w:rFonts w:hint="eastAsia" w:ascii="仿宋" w:hAnsi="仿宋" w:eastAsia="仿宋" w:cs="仿宋"/>
                <w:sz w:val="21"/>
                <w:szCs w:val="21"/>
                <w:highlight w:val="none"/>
              </w:rPr>
              <w:t>观</w:t>
            </w:r>
          </w:p>
        </w:tc>
        <w:tc>
          <w:tcPr>
            <w:tcW w:w="2010" w:type="dxa"/>
            <w:vMerge w:val="continue"/>
            <w:vAlign w:val="center"/>
          </w:tcPr>
          <w:p w14:paraId="43FA7D99">
            <w:pPr>
              <w:jc w:val="center"/>
              <w:rPr>
                <w:rFonts w:hint="eastAsia" w:ascii="仿宋" w:hAnsi="仿宋" w:eastAsia="仿宋" w:cs="仿宋"/>
                <w:sz w:val="21"/>
                <w:szCs w:val="21"/>
                <w:highlight w:val="none"/>
              </w:rPr>
            </w:pPr>
          </w:p>
        </w:tc>
      </w:tr>
      <w:tr w14:paraId="51CA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69E0951E">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5112" w:type="dxa"/>
            <w:vAlign w:val="center"/>
          </w:tcPr>
          <w:p w14:paraId="3D6396D3">
            <w:pPr>
              <w:widowControl/>
              <w:snapToGrid w:val="0"/>
              <w:jc w:val="left"/>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val="en-GB" w:eastAsia="zh-CN"/>
              </w:rPr>
              <w:t>获得质量管理体系认证证书，得1分；获得环境管理体系认证证书，得1分；获得职业健康安全管理体系认证证书，得1分，本项最高得3分。（0-3分）</w:t>
            </w:r>
          </w:p>
          <w:p w14:paraId="55A87275">
            <w:pPr>
              <w:widowControl/>
              <w:snapToGrid w:val="0"/>
              <w:jc w:val="left"/>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sz w:val="21"/>
                <w:szCs w:val="21"/>
                <w:highlight w:val="none"/>
                <w:lang w:val="en-GB" w:eastAsia="zh-CN"/>
              </w:rPr>
              <w:t>有效证明材料：提供有效证书复印件和在国家认证认可信息公共服务平台查询截图，并加盖投标人公章,不提供不得分。由评标委员会</w:t>
            </w:r>
            <w:r>
              <w:rPr>
                <w:rFonts w:hint="eastAsia" w:ascii="仿宋" w:hAnsi="仿宋" w:eastAsia="仿宋" w:cs="仿宋"/>
                <w:sz w:val="21"/>
                <w:szCs w:val="21"/>
                <w:highlight w:val="none"/>
                <w:lang w:val="en-US" w:eastAsia="zh-CN"/>
              </w:rPr>
              <w:t>评审当天</w:t>
            </w:r>
            <w:r>
              <w:rPr>
                <w:rFonts w:hint="eastAsia" w:ascii="仿宋" w:hAnsi="仿宋" w:eastAsia="仿宋" w:cs="仿宋"/>
                <w:sz w:val="21"/>
                <w:szCs w:val="21"/>
                <w:highlight w:val="none"/>
                <w:lang w:val="en-GB" w:eastAsia="zh-CN"/>
              </w:rPr>
              <w:t>在国家认监委网站www.cnca.gov.cn核实，</w:t>
            </w:r>
            <w:r>
              <w:rPr>
                <w:rFonts w:hint="eastAsia" w:ascii="仿宋" w:hAnsi="仿宋" w:eastAsia="仿宋" w:cs="仿宋"/>
                <w:sz w:val="21"/>
                <w:szCs w:val="21"/>
                <w:highlight w:val="none"/>
                <w:lang w:val="en-US" w:eastAsia="zh-CN"/>
              </w:rPr>
              <w:t>且状态为有效。</w:t>
            </w:r>
            <w:r>
              <w:rPr>
                <w:rFonts w:hint="eastAsia" w:ascii="仿宋" w:hAnsi="仿宋" w:eastAsia="仿宋" w:cs="仿宋"/>
                <w:sz w:val="21"/>
                <w:szCs w:val="21"/>
                <w:highlight w:val="none"/>
                <w:lang w:val="en-GB" w:eastAsia="zh-CN"/>
              </w:rPr>
              <w:t>未在该网站上查询到的，不得分。</w:t>
            </w:r>
          </w:p>
        </w:tc>
        <w:tc>
          <w:tcPr>
            <w:tcW w:w="1177" w:type="dxa"/>
            <w:vAlign w:val="center"/>
          </w:tcPr>
          <w:p w14:paraId="64F0835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1C1E0C2B">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客</w:t>
            </w:r>
            <w:r>
              <w:rPr>
                <w:rFonts w:hint="eastAsia" w:ascii="仿宋" w:hAnsi="仿宋" w:eastAsia="仿宋" w:cs="仿宋"/>
                <w:sz w:val="21"/>
                <w:szCs w:val="21"/>
                <w:highlight w:val="none"/>
              </w:rPr>
              <w:t>观</w:t>
            </w:r>
          </w:p>
        </w:tc>
        <w:tc>
          <w:tcPr>
            <w:tcW w:w="2010" w:type="dxa"/>
            <w:vAlign w:val="center"/>
          </w:tcPr>
          <w:p w14:paraId="396FC642">
            <w:pPr>
              <w:adjustRightInd w:val="0"/>
              <w:spacing w:line="360" w:lineRule="auto"/>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lang w:val="en-GB"/>
              </w:rPr>
              <w:t>企业</w:t>
            </w:r>
          </w:p>
          <w:p w14:paraId="7C551F3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GB"/>
              </w:rPr>
              <w:t>认证</w:t>
            </w:r>
          </w:p>
        </w:tc>
      </w:tr>
      <w:tr w14:paraId="410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9" w:type="dxa"/>
            <w:vAlign w:val="center"/>
          </w:tcPr>
          <w:p w14:paraId="5F074025">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p>
        </w:tc>
        <w:tc>
          <w:tcPr>
            <w:tcW w:w="5112" w:type="dxa"/>
            <w:vAlign w:val="center"/>
          </w:tcPr>
          <w:p w14:paraId="0632F8D8">
            <w:pPr>
              <w:widowControl/>
              <w:snapToGrid w:val="0"/>
              <w:jc w:val="left"/>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val="en-GB" w:eastAsia="zh-CN"/>
              </w:rPr>
              <w:t>自</w:t>
            </w:r>
            <w:r>
              <w:rPr>
                <w:rFonts w:hint="eastAsia" w:ascii="仿宋" w:hAnsi="仿宋" w:eastAsia="仿宋" w:cs="仿宋"/>
                <w:sz w:val="21"/>
                <w:szCs w:val="21"/>
                <w:highlight w:val="none"/>
                <w:lang w:val="en-US" w:eastAsia="zh-CN"/>
              </w:rPr>
              <w:t>2022</w:t>
            </w:r>
            <w:r>
              <w:rPr>
                <w:rFonts w:hint="eastAsia" w:ascii="仿宋" w:hAnsi="仿宋" w:eastAsia="仿宋" w:cs="仿宋"/>
                <w:sz w:val="21"/>
                <w:szCs w:val="21"/>
                <w:highlight w:val="none"/>
                <w:lang w:val="en-GB" w:eastAsia="zh-CN"/>
              </w:rPr>
              <w:t xml:space="preserve"> 年1月1日以来投标单位承担过与本项目类似的单个景观灯（非路灯照明）养护业绩，每个得</w:t>
            </w:r>
            <w:r>
              <w:rPr>
                <w:rFonts w:hint="eastAsia" w:ascii="仿宋" w:hAnsi="仿宋" w:eastAsia="仿宋" w:cs="仿宋"/>
                <w:sz w:val="21"/>
                <w:szCs w:val="21"/>
                <w:highlight w:val="none"/>
                <w:lang w:val="en-US" w:eastAsia="zh-CN"/>
              </w:rPr>
              <w:t>0.5分，最多</w:t>
            </w:r>
            <w:r>
              <w:rPr>
                <w:rFonts w:hint="eastAsia" w:ascii="仿宋" w:hAnsi="仿宋" w:eastAsia="仿宋" w:cs="仿宋"/>
                <w:sz w:val="21"/>
                <w:szCs w:val="21"/>
                <w:highlight w:val="none"/>
                <w:lang w:val="en-GB" w:eastAsia="zh-CN"/>
              </w:rPr>
              <w:t>得1分。（0-1分）</w:t>
            </w:r>
          </w:p>
          <w:p w14:paraId="20088610">
            <w:pPr>
              <w:widowControl/>
              <w:snapToGrid w:val="0"/>
              <w:jc w:val="left"/>
              <w:rPr>
                <w:rFonts w:hint="eastAsia" w:ascii="仿宋" w:hAnsi="仿宋" w:eastAsia="仿宋" w:cs="仿宋"/>
                <w:b/>
                <w:bCs/>
                <w:sz w:val="21"/>
                <w:szCs w:val="21"/>
                <w:highlight w:val="none"/>
                <w:lang w:val="en-GB" w:eastAsia="zh-CN"/>
              </w:rPr>
            </w:pPr>
            <w:r>
              <w:rPr>
                <w:rFonts w:hint="eastAsia" w:ascii="仿宋" w:hAnsi="仿宋" w:eastAsia="仿宋" w:cs="仿宋"/>
                <w:b/>
                <w:bCs/>
                <w:sz w:val="21"/>
                <w:szCs w:val="21"/>
                <w:highlight w:val="none"/>
                <w:lang w:val="en-GB" w:eastAsia="zh-CN"/>
              </w:rPr>
              <w:t>注：业绩合同要求为景观灯养护单个合同，提供路灯照明的业绩视为无效。</w:t>
            </w:r>
          </w:p>
          <w:p w14:paraId="65377370">
            <w:pPr>
              <w:widowControl/>
              <w:snapToGrid w:val="0"/>
              <w:spacing w:line="240" w:lineRule="auto"/>
              <w:jc w:val="left"/>
              <w:rPr>
                <w:rFonts w:hint="eastAsia" w:ascii="仿宋" w:hAnsi="仿宋" w:eastAsia="仿宋" w:cs="仿宋"/>
                <w:bCs w:val="0"/>
                <w:color w:val="auto"/>
                <w:sz w:val="21"/>
                <w:szCs w:val="21"/>
                <w:highlight w:val="none"/>
                <w:lang w:val="en-GB"/>
              </w:rPr>
            </w:pPr>
            <w:r>
              <w:rPr>
                <w:rFonts w:hint="eastAsia" w:ascii="仿宋" w:hAnsi="仿宋" w:eastAsia="仿宋" w:cs="仿宋"/>
                <w:bCs w:val="0"/>
                <w:color w:val="auto"/>
                <w:sz w:val="21"/>
                <w:szCs w:val="21"/>
                <w:highlight w:val="none"/>
                <w:lang w:val="en-GB"/>
              </w:rPr>
              <w:t>（1）</w:t>
            </w:r>
            <w:r>
              <w:rPr>
                <w:rFonts w:hint="eastAsia" w:ascii="仿宋" w:hAnsi="仿宋" w:eastAsia="仿宋" w:cs="仿宋"/>
                <w:bCs w:val="0"/>
                <w:sz w:val="21"/>
                <w:szCs w:val="21"/>
                <w:highlight w:val="none"/>
                <w:lang w:val="en-GB"/>
              </w:rPr>
              <w:t>业绩认定时间以合同签订日期为准；若合同未载明签订日期，投标人须提供由业主单位出具的业绩合同签订日期证明文件扫描件（加盖投标人公章），证明文件应明确标注甲方经办人姓名、有效联系电话，以供核验。</w:t>
            </w:r>
          </w:p>
          <w:p w14:paraId="57F54E9A">
            <w:pPr>
              <w:widowControl/>
              <w:numPr>
                <w:ilvl w:val="-1"/>
                <w:numId w:val="0"/>
              </w:numPr>
              <w:snapToGrid w:val="0"/>
              <w:spacing w:line="240" w:lineRule="auto"/>
              <w:jc w:val="left"/>
              <w:rPr>
                <w:rFonts w:hint="eastAsia" w:ascii="仿宋" w:hAnsi="仿宋" w:eastAsia="仿宋" w:cs="仿宋"/>
                <w:bCs w:val="0"/>
                <w:color w:val="auto"/>
                <w:sz w:val="21"/>
                <w:szCs w:val="21"/>
                <w:highlight w:val="none"/>
                <w:lang w:val="en-GB"/>
              </w:rPr>
            </w:pPr>
            <w:r>
              <w:rPr>
                <w:rFonts w:hint="eastAsia" w:ascii="仿宋" w:hAnsi="仿宋" w:eastAsia="仿宋" w:cs="仿宋"/>
                <w:bCs w:val="0"/>
                <w:color w:val="auto"/>
                <w:sz w:val="21"/>
                <w:szCs w:val="21"/>
                <w:highlight w:val="none"/>
                <w:lang w:val="en-GB" w:eastAsia="zh-CN"/>
              </w:rPr>
              <w:t>（2）</w:t>
            </w:r>
            <w:r>
              <w:rPr>
                <w:rFonts w:hint="eastAsia" w:ascii="仿宋" w:hAnsi="仿宋" w:eastAsia="仿宋" w:cs="仿宋"/>
                <w:bCs w:val="0"/>
                <w:color w:val="auto"/>
                <w:sz w:val="21"/>
                <w:szCs w:val="21"/>
                <w:highlight w:val="none"/>
                <w:lang w:val="en-GB"/>
              </w:rPr>
              <w:t>投标文件中须提供合同材料扫描件。如上述材料不能体现</w:t>
            </w:r>
            <w:r>
              <w:rPr>
                <w:rFonts w:hint="eastAsia" w:ascii="仿宋" w:hAnsi="仿宋" w:eastAsia="仿宋" w:cs="仿宋"/>
                <w:b w:val="0"/>
                <w:bCs w:val="0"/>
                <w:sz w:val="21"/>
                <w:szCs w:val="21"/>
                <w:highlight w:val="none"/>
                <w:lang w:val="en-GB" w:eastAsia="zh-CN"/>
              </w:rPr>
              <w:t>景观灯</w:t>
            </w:r>
            <w:r>
              <w:rPr>
                <w:rFonts w:hint="eastAsia" w:ascii="仿宋" w:hAnsi="仿宋" w:eastAsia="仿宋" w:cs="仿宋"/>
                <w:bCs w:val="0"/>
                <w:color w:val="auto"/>
                <w:sz w:val="21"/>
                <w:szCs w:val="21"/>
                <w:highlight w:val="none"/>
                <w:lang w:val="en-GB" w:eastAsia="zh-CN"/>
              </w:rPr>
              <w:t>养护</w:t>
            </w:r>
            <w:r>
              <w:rPr>
                <w:rFonts w:hint="eastAsia" w:ascii="仿宋" w:hAnsi="仿宋" w:eastAsia="仿宋" w:cs="仿宋"/>
                <w:bCs w:val="0"/>
                <w:color w:val="auto"/>
                <w:sz w:val="21"/>
                <w:szCs w:val="21"/>
                <w:highlight w:val="none"/>
                <w:lang w:val="en-GB"/>
              </w:rPr>
              <w:t>的内容，另需提供业主证明等证明文件的扫描件并加盖投标人公章，且有业绩甲方经办人姓名、联系电话。提供的材料需能体现</w:t>
            </w:r>
            <w:r>
              <w:rPr>
                <w:rFonts w:hint="eastAsia" w:ascii="仿宋" w:hAnsi="仿宋" w:eastAsia="仿宋" w:cs="仿宋"/>
                <w:b w:val="0"/>
                <w:bCs w:val="0"/>
                <w:sz w:val="21"/>
                <w:szCs w:val="21"/>
                <w:highlight w:val="none"/>
                <w:lang w:val="en-GB" w:eastAsia="zh-CN"/>
              </w:rPr>
              <w:t>景观灯</w:t>
            </w:r>
            <w:r>
              <w:rPr>
                <w:rFonts w:hint="eastAsia" w:ascii="仿宋" w:hAnsi="仿宋" w:eastAsia="仿宋" w:cs="仿宋"/>
                <w:bCs w:val="0"/>
                <w:color w:val="auto"/>
                <w:sz w:val="21"/>
                <w:szCs w:val="21"/>
                <w:highlight w:val="none"/>
                <w:lang w:val="en-GB" w:eastAsia="zh-CN"/>
              </w:rPr>
              <w:t>养护</w:t>
            </w:r>
            <w:r>
              <w:rPr>
                <w:rFonts w:hint="eastAsia" w:ascii="仿宋" w:hAnsi="仿宋" w:eastAsia="仿宋" w:cs="仿宋"/>
                <w:bCs w:val="0"/>
                <w:color w:val="auto"/>
                <w:sz w:val="21"/>
                <w:szCs w:val="21"/>
                <w:highlight w:val="none"/>
                <w:lang w:val="en-GB"/>
              </w:rPr>
              <w:t>内容，未提供或提供的材料不符合要求不得分。</w:t>
            </w:r>
          </w:p>
          <w:p w14:paraId="69E95076">
            <w:pPr>
              <w:widowControl/>
              <w:snapToGrid w:val="0"/>
              <w:spacing w:line="240" w:lineRule="auto"/>
              <w:jc w:val="left"/>
              <w:rPr>
                <w:rFonts w:hint="eastAsia" w:ascii="仿宋" w:hAnsi="仿宋" w:eastAsia="仿宋" w:cs="仿宋"/>
                <w:bCs w:val="0"/>
                <w:color w:val="auto"/>
                <w:sz w:val="21"/>
                <w:szCs w:val="21"/>
                <w:highlight w:val="none"/>
                <w:lang w:val="en-GB"/>
              </w:rPr>
            </w:pPr>
            <w:r>
              <w:rPr>
                <w:rFonts w:hint="eastAsia" w:ascii="仿宋" w:hAnsi="仿宋" w:eastAsia="仿宋" w:cs="仿宋"/>
                <w:bCs w:val="0"/>
                <w:color w:val="auto"/>
                <w:sz w:val="21"/>
                <w:szCs w:val="21"/>
                <w:highlight w:val="none"/>
                <w:lang w:val="en-GB"/>
              </w:rPr>
              <w:t>（</w:t>
            </w:r>
            <w:r>
              <w:rPr>
                <w:rFonts w:hint="eastAsia" w:ascii="仿宋" w:hAnsi="仿宋" w:eastAsia="仿宋" w:cs="仿宋"/>
                <w:bCs w:val="0"/>
                <w:color w:val="auto"/>
                <w:sz w:val="21"/>
                <w:szCs w:val="21"/>
                <w:highlight w:val="none"/>
                <w:lang w:val="en-GB" w:eastAsia="zh-CN"/>
              </w:rPr>
              <w:t>3</w:t>
            </w:r>
            <w:r>
              <w:rPr>
                <w:rFonts w:hint="eastAsia" w:ascii="仿宋" w:hAnsi="仿宋" w:eastAsia="仿宋" w:cs="仿宋"/>
                <w:bCs w:val="0"/>
                <w:color w:val="auto"/>
                <w:sz w:val="21"/>
                <w:szCs w:val="21"/>
                <w:highlight w:val="none"/>
                <w:lang w:val="en-GB"/>
              </w:rPr>
              <w:t>）若为联合体业绩的，另需提供联合体协议扫描件加盖投标人公章，且有业绩甲方经办人姓名、联系电话，且联合体协议中投标人的分工内容为</w:t>
            </w:r>
            <w:r>
              <w:rPr>
                <w:rFonts w:hint="eastAsia" w:ascii="仿宋" w:hAnsi="仿宋" w:eastAsia="仿宋" w:cs="仿宋"/>
                <w:b w:val="0"/>
                <w:bCs w:val="0"/>
                <w:sz w:val="21"/>
                <w:szCs w:val="21"/>
                <w:highlight w:val="none"/>
                <w:lang w:val="en-GB" w:eastAsia="zh-CN"/>
              </w:rPr>
              <w:t>景观灯</w:t>
            </w:r>
            <w:r>
              <w:rPr>
                <w:rFonts w:hint="eastAsia" w:ascii="仿宋" w:hAnsi="仿宋" w:eastAsia="仿宋" w:cs="仿宋"/>
                <w:bCs w:val="0"/>
                <w:color w:val="auto"/>
                <w:sz w:val="21"/>
                <w:szCs w:val="21"/>
                <w:highlight w:val="none"/>
                <w:lang w:val="en-GB"/>
              </w:rPr>
              <w:t>养护，能体现投标单位</w:t>
            </w:r>
            <w:r>
              <w:rPr>
                <w:rFonts w:hint="eastAsia" w:ascii="仿宋" w:hAnsi="仿宋" w:eastAsia="仿宋" w:cs="仿宋"/>
                <w:b w:val="0"/>
                <w:bCs w:val="0"/>
                <w:sz w:val="21"/>
                <w:szCs w:val="21"/>
                <w:highlight w:val="none"/>
                <w:lang w:val="en-GB" w:eastAsia="zh-CN"/>
              </w:rPr>
              <w:t>景观灯</w:t>
            </w:r>
            <w:r>
              <w:rPr>
                <w:rFonts w:hint="eastAsia" w:ascii="仿宋" w:hAnsi="仿宋" w:eastAsia="仿宋" w:cs="仿宋"/>
                <w:bCs w:val="0"/>
                <w:color w:val="auto"/>
                <w:sz w:val="21"/>
                <w:szCs w:val="21"/>
                <w:highlight w:val="none"/>
                <w:lang w:val="en-GB"/>
              </w:rPr>
              <w:t>养护内容等，若协议无法体现该内容，另需提供业主证明等证明文件的扫描件并加盖投标人公章，且有业绩甲方经办人姓名、联系电话，否则不得分。</w:t>
            </w:r>
          </w:p>
          <w:p w14:paraId="48C7FA42">
            <w:pPr>
              <w:widowControl/>
              <w:snapToGrid w:val="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bCs w:val="0"/>
                <w:color w:val="auto"/>
                <w:sz w:val="21"/>
                <w:szCs w:val="21"/>
                <w:highlight w:val="none"/>
                <w:lang w:val="en-GB"/>
              </w:rPr>
              <w:t>（</w:t>
            </w:r>
            <w:r>
              <w:rPr>
                <w:rFonts w:hint="eastAsia" w:ascii="仿宋" w:hAnsi="仿宋" w:eastAsia="仿宋" w:cs="仿宋"/>
                <w:bCs w:val="0"/>
                <w:color w:val="auto"/>
                <w:sz w:val="21"/>
                <w:szCs w:val="21"/>
                <w:highlight w:val="none"/>
                <w:lang w:val="en-GB" w:eastAsia="zh-CN"/>
              </w:rPr>
              <w:t>4</w:t>
            </w:r>
            <w:r>
              <w:rPr>
                <w:rFonts w:hint="eastAsia" w:ascii="仿宋" w:hAnsi="仿宋" w:eastAsia="仿宋" w:cs="仿宋"/>
                <w:bCs w:val="0"/>
                <w:color w:val="auto"/>
                <w:sz w:val="21"/>
                <w:szCs w:val="21"/>
                <w:highlight w:val="none"/>
                <w:lang w:val="en-GB"/>
              </w:rPr>
              <w:t>）若为</w:t>
            </w:r>
            <w:r>
              <w:rPr>
                <w:rFonts w:hint="eastAsia" w:ascii="仿宋" w:hAnsi="仿宋" w:eastAsia="仿宋" w:cs="仿宋"/>
                <w:bCs w:val="0"/>
                <w:color w:val="auto"/>
                <w:sz w:val="21"/>
                <w:szCs w:val="21"/>
                <w:highlight w:val="none"/>
                <w:lang w:val="en-GB" w:eastAsia="zh-CN"/>
              </w:rPr>
              <w:t>分包</w:t>
            </w:r>
            <w:r>
              <w:rPr>
                <w:rFonts w:hint="eastAsia" w:ascii="仿宋" w:hAnsi="仿宋" w:eastAsia="仿宋" w:cs="仿宋"/>
                <w:bCs w:val="0"/>
                <w:color w:val="auto"/>
                <w:sz w:val="21"/>
                <w:szCs w:val="21"/>
                <w:highlight w:val="none"/>
                <w:lang w:val="en-GB"/>
              </w:rPr>
              <w:t>业绩的，另需提供</w:t>
            </w:r>
            <w:r>
              <w:rPr>
                <w:rFonts w:hint="eastAsia" w:ascii="仿宋" w:hAnsi="仿宋" w:eastAsia="仿宋" w:cs="仿宋"/>
                <w:bCs w:val="0"/>
                <w:color w:val="auto"/>
                <w:sz w:val="21"/>
                <w:szCs w:val="21"/>
                <w:highlight w:val="none"/>
                <w:lang w:val="en-GB" w:eastAsia="zh-CN"/>
              </w:rPr>
              <w:t>分包</w:t>
            </w:r>
            <w:r>
              <w:rPr>
                <w:rFonts w:hint="eastAsia" w:ascii="仿宋" w:hAnsi="仿宋" w:eastAsia="仿宋" w:cs="仿宋"/>
                <w:bCs w:val="0"/>
                <w:color w:val="auto"/>
                <w:sz w:val="21"/>
                <w:szCs w:val="21"/>
                <w:highlight w:val="none"/>
                <w:lang w:val="en-GB"/>
              </w:rPr>
              <w:t>协议扫描件加盖投标人公章，且有业绩甲方经办人姓名、联系电话，且</w:t>
            </w:r>
            <w:r>
              <w:rPr>
                <w:rFonts w:hint="eastAsia" w:ascii="仿宋" w:hAnsi="仿宋" w:eastAsia="仿宋" w:cs="仿宋"/>
                <w:bCs w:val="0"/>
                <w:color w:val="auto"/>
                <w:sz w:val="21"/>
                <w:szCs w:val="21"/>
                <w:highlight w:val="none"/>
                <w:lang w:val="en-GB" w:eastAsia="zh-CN"/>
              </w:rPr>
              <w:t>分包</w:t>
            </w:r>
            <w:r>
              <w:rPr>
                <w:rFonts w:hint="eastAsia" w:ascii="仿宋" w:hAnsi="仿宋" w:eastAsia="仿宋" w:cs="仿宋"/>
                <w:bCs w:val="0"/>
                <w:color w:val="auto"/>
                <w:sz w:val="21"/>
                <w:szCs w:val="21"/>
                <w:highlight w:val="none"/>
                <w:lang w:val="en-GB"/>
              </w:rPr>
              <w:t>协议中投标人的分工内容为</w:t>
            </w:r>
            <w:r>
              <w:rPr>
                <w:rFonts w:hint="eastAsia" w:ascii="仿宋" w:hAnsi="仿宋" w:eastAsia="仿宋" w:cs="仿宋"/>
                <w:b w:val="0"/>
                <w:bCs w:val="0"/>
                <w:sz w:val="21"/>
                <w:szCs w:val="21"/>
                <w:highlight w:val="none"/>
                <w:lang w:val="en-GB" w:eastAsia="zh-CN"/>
              </w:rPr>
              <w:t>景观灯</w:t>
            </w:r>
            <w:r>
              <w:rPr>
                <w:rFonts w:hint="eastAsia" w:ascii="仿宋" w:hAnsi="仿宋" w:eastAsia="仿宋" w:cs="仿宋"/>
                <w:bCs w:val="0"/>
                <w:color w:val="auto"/>
                <w:sz w:val="21"/>
                <w:szCs w:val="21"/>
                <w:highlight w:val="none"/>
                <w:lang w:val="en-GB"/>
              </w:rPr>
              <w:t>养护，能体现投标单位</w:t>
            </w:r>
            <w:r>
              <w:rPr>
                <w:rFonts w:hint="eastAsia" w:ascii="仿宋" w:hAnsi="仿宋" w:eastAsia="仿宋" w:cs="仿宋"/>
                <w:b w:val="0"/>
                <w:bCs w:val="0"/>
                <w:sz w:val="21"/>
                <w:szCs w:val="21"/>
                <w:highlight w:val="none"/>
                <w:lang w:val="en-GB" w:eastAsia="zh-CN"/>
              </w:rPr>
              <w:t>景观灯</w:t>
            </w:r>
            <w:r>
              <w:rPr>
                <w:rFonts w:hint="eastAsia" w:ascii="仿宋" w:hAnsi="仿宋" w:eastAsia="仿宋" w:cs="仿宋"/>
                <w:bCs w:val="0"/>
                <w:color w:val="auto"/>
                <w:sz w:val="21"/>
                <w:szCs w:val="21"/>
                <w:highlight w:val="none"/>
                <w:lang w:val="en-GB"/>
              </w:rPr>
              <w:t>养护内容等，若协议无法体现该内容，另需提供业主证明等证明文件的扫描件并加盖投标人公章，且有业绩甲方经办人姓名、联系电话，否则不得分。</w:t>
            </w:r>
          </w:p>
        </w:tc>
        <w:tc>
          <w:tcPr>
            <w:tcW w:w="1177" w:type="dxa"/>
            <w:vAlign w:val="center"/>
          </w:tcPr>
          <w:p w14:paraId="67D7804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62671379">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客</w:t>
            </w:r>
            <w:r>
              <w:rPr>
                <w:rFonts w:hint="eastAsia" w:ascii="仿宋" w:hAnsi="仿宋" w:eastAsia="仿宋" w:cs="仿宋"/>
                <w:sz w:val="21"/>
                <w:szCs w:val="21"/>
                <w:highlight w:val="none"/>
              </w:rPr>
              <w:t>观</w:t>
            </w:r>
          </w:p>
        </w:tc>
        <w:tc>
          <w:tcPr>
            <w:tcW w:w="2010" w:type="dxa"/>
            <w:vAlign w:val="center"/>
          </w:tcPr>
          <w:p w14:paraId="2936ED3C">
            <w:pPr>
              <w:adjustRightInd w:val="0"/>
              <w:spacing w:line="360" w:lineRule="auto"/>
              <w:jc w:val="center"/>
              <w:rPr>
                <w:rFonts w:hint="eastAsia" w:ascii="仿宋" w:hAnsi="仿宋" w:eastAsia="仿宋" w:cs="仿宋"/>
                <w:sz w:val="21"/>
                <w:szCs w:val="21"/>
                <w:highlight w:val="none"/>
                <w:lang w:val="en-GB"/>
              </w:rPr>
            </w:pPr>
            <w:r>
              <w:rPr>
                <w:rFonts w:hint="eastAsia" w:ascii="仿宋" w:hAnsi="仿宋" w:eastAsia="仿宋" w:cs="仿宋"/>
                <w:sz w:val="21"/>
                <w:szCs w:val="21"/>
                <w:highlight w:val="none"/>
                <w:lang w:val="en-GB"/>
              </w:rPr>
              <w:t>类似</w:t>
            </w:r>
          </w:p>
          <w:p w14:paraId="65EC1349">
            <w:pPr>
              <w:adjustRightInd w:val="0"/>
              <w:spacing w:line="360" w:lineRule="auto"/>
              <w:jc w:val="center"/>
              <w:rPr>
                <w:rFonts w:hint="eastAsia" w:ascii="仿宋" w:hAnsi="仿宋" w:eastAsia="仿宋" w:cs="仿宋"/>
                <w:kern w:val="2"/>
                <w:sz w:val="21"/>
                <w:szCs w:val="21"/>
                <w:highlight w:val="none"/>
                <w:lang w:val="en-GB" w:eastAsia="zh-CN" w:bidi="ar-SA"/>
              </w:rPr>
            </w:pPr>
            <w:r>
              <w:rPr>
                <w:rFonts w:hint="eastAsia" w:ascii="仿宋" w:hAnsi="仿宋" w:eastAsia="仿宋" w:cs="仿宋"/>
                <w:sz w:val="21"/>
                <w:szCs w:val="21"/>
                <w:highlight w:val="none"/>
                <w:lang w:val="en-GB"/>
              </w:rPr>
              <w:t>业绩</w:t>
            </w:r>
          </w:p>
        </w:tc>
      </w:tr>
      <w:tr w14:paraId="2BC3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9" w:type="dxa"/>
            <w:vAlign w:val="center"/>
          </w:tcPr>
          <w:p w14:paraId="62448EED">
            <w:pPr>
              <w:spacing w:line="360" w:lineRule="auto"/>
              <w:jc w:val="center"/>
              <w:rPr>
                <w:rFonts w:hint="eastAsia" w:ascii="仿宋" w:hAnsi="仿宋" w:eastAsia="仿宋" w:cs="仿宋"/>
                <w:sz w:val="21"/>
                <w:szCs w:val="21"/>
                <w:highlight w:val="none"/>
                <w:lang w:val="en-US" w:eastAsia="zh-CN"/>
              </w:rPr>
            </w:pPr>
          </w:p>
        </w:tc>
        <w:tc>
          <w:tcPr>
            <w:tcW w:w="5112" w:type="dxa"/>
            <w:vAlign w:val="center"/>
          </w:tcPr>
          <w:p w14:paraId="524F20B3">
            <w:pPr>
              <w:spacing w:line="360" w:lineRule="auto"/>
              <w:jc w:val="center"/>
              <w:rPr>
                <w:rFonts w:hint="default" w:ascii="仿宋" w:hAnsi="仿宋" w:eastAsia="仿宋" w:cs="仿宋"/>
                <w:kern w:val="2"/>
                <w:sz w:val="21"/>
                <w:szCs w:val="21"/>
                <w:highlight w:val="none"/>
                <w:u w:val="none"/>
                <w:lang w:val="en-US" w:eastAsia="zh-CN" w:bidi="ar-SA"/>
              </w:rPr>
            </w:pPr>
            <w:r>
              <w:rPr>
                <w:rFonts w:hint="eastAsia" w:ascii="仿宋" w:hAnsi="仿宋" w:eastAsia="仿宋" w:cs="仿宋"/>
                <w:kern w:val="2"/>
                <w:sz w:val="21"/>
                <w:szCs w:val="21"/>
                <w:highlight w:val="none"/>
                <w:u w:val="none"/>
                <w:lang w:val="en-US" w:eastAsia="zh-CN" w:bidi="ar-SA"/>
              </w:rPr>
              <w:t>合计</w:t>
            </w:r>
          </w:p>
        </w:tc>
        <w:tc>
          <w:tcPr>
            <w:tcW w:w="1177" w:type="dxa"/>
            <w:vAlign w:val="center"/>
          </w:tcPr>
          <w:p w14:paraId="48E9D25F">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90</w:t>
            </w:r>
          </w:p>
        </w:tc>
        <w:tc>
          <w:tcPr>
            <w:tcW w:w="2010" w:type="dxa"/>
            <w:vAlign w:val="center"/>
          </w:tcPr>
          <w:p w14:paraId="29537772">
            <w:pP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bl>
    <w:p w14:paraId="2E1FAF90">
      <w:pPr>
        <w:snapToGrid w:val="0"/>
        <w:spacing w:line="360" w:lineRule="auto"/>
        <w:rPr>
          <w:rFonts w:ascii="仿宋_GB2312" w:hAnsi="仿宋" w:eastAsia="仿宋_GB2312" w:cs="仿宋"/>
          <w:sz w:val="24"/>
          <w:highlight w:val="none"/>
        </w:rPr>
      </w:pPr>
    </w:p>
    <w:p w14:paraId="465D17A9">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报价部分（权重为10）</w:t>
      </w:r>
    </w:p>
    <w:p w14:paraId="736637EF">
      <w:pPr>
        <w:snapToGrid w:val="0"/>
        <w:spacing w:line="360" w:lineRule="auto"/>
        <w:rPr>
          <w:rFonts w:ascii="仿宋_GB2312" w:hAnsi="仿宋" w:eastAsia="仿宋_GB2312" w:cs="仿宋"/>
          <w:sz w:val="24"/>
          <w:highlight w:val="none"/>
        </w:rPr>
      </w:pPr>
      <w:r>
        <w:rPr>
          <w:rFonts w:hint="eastAsia" w:ascii="仿宋_GB2312" w:hAnsi="仿宋" w:eastAsia="仿宋_GB2312" w:cs="仿宋"/>
          <w:color w:val="000000" w:themeColor="text1"/>
          <w:sz w:val="24"/>
          <w:highlight w:val="none"/>
          <w14:textFill>
            <w14:solidFill>
              <w14:schemeClr w14:val="tx1"/>
            </w14:solidFill>
          </w14:textFill>
        </w:rPr>
        <w:t>有效投标报价的最低价作为评标基准价，其最低报价为满分；按［投标报</w:t>
      </w:r>
      <w:r>
        <w:rPr>
          <w:rFonts w:hint="eastAsia" w:ascii="仿宋_GB2312" w:hAnsi="仿宋" w:eastAsia="仿宋_GB2312" w:cs="仿宋"/>
          <w:sz w:val="24"/>
          <w:highlight w:val="none"/>
        </w:rPr>
        <w:t>价得分=（评标基准价/投标报价）*权重］的计算公式计算。</w:t>
      </w:r>
    </w:p>
    <w:p w14:paraId="0F3B022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评标过程中，不得去掉报价中的最高报价和最低报价。</w:t>
      </w:r>
    </w:p>
    <w:p w14:paraId="51685496">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因落实政府采购政策需要进行价格调整的，以调整后的价格计算评标基准价和投标报价。（因专门面向中小企业，价格调整在本次项目不适用）</w:t>
      </w:r>
    </w:p>
    <w:p w14:paraId="02F7F707">
      <w:pPr>
        <w:pStyle w:val="18"/>
        <w:rPr>
          <w:rFonts w:ascii="仿宋_GB2312" w:hAnsi="仿宋" w:eastAsia="仿宋_GB2312" w:cs="仿宋"/>
          <w:highlight w:val="none"/>
        </w:rPr>
      </w:pPr>
    </w:p>
    <w:p w14:paraId="4FDC1E09">
      <w:pPr>
        <w:pStyle w:val="17"/>
        <w:rPr>
          <w:rFonts w:ascii="仿宋_GB2312" w:hAnsi="仿宋" w:eastAsia="仿宋_GB2312" w:cs="仿宋"/>
          <w:b/>
          <w:sz w:val="32"/>
          <w:highlight w:val="none"/>
        </w:rPr>
      </w:pPr>
      <w:r>
        <w:rPr>
          <w:rFonts w:hint="eastAsia" w:ascii="仿宋_GB2312" w:hAnsi="仿宋" w:eastAsia="仿宋_GB2312" w:cs="仿宋"/>
          <w:sz w:val="20"/>
          <w:szCs w:val="20"/>
          <w:highlight w:val="none"/>
          <w:shd w:val="clear" w:color="auto" w:fill="FFFFFF"/>
        </w:rPr>
        <w:t> *</w:t>
      </w:r>
      <w:r>
        <w:rPr>
          <w:rFonts w:hint="eastAsia" w:ascii="仿宋_GB2312" w:hAnsi="仿宋" w:eastAsia="仿宋_GB2312" w:cs="仿宋"/>
          <w:b/>
          <w:sz w:val="24"/>
          <w:highlight w:val="none"/>
        </w:rPr>
        <w:t>备注：</w:t>
      </w:r>
      <w:r>
        <w:rPr>
          <w:rFonts w:hint="eastAsia" w:ascii="仿宋_GB2312" w:hAnsi="仿宋" w:eastAsia="仿宋_GB2312" w:cs="仿宋"/>
          <w:sz w:val="24"/>
          <w:highlight w:val="none"/>
        </w:rPr>
        <w:t>投标人编制投标文件（商务技术文件部分）时，建议按此目录（序号和内容）提供评标标准相应的商务技术资料。 </w:t>
      </w:r>
    </w:p>
    <w:p w14:paraId="37DCE796">
      <w:pPr>
        <w:rPr>
          <w:rFonts w:ascii="仿宋_GB2312" w:hAnsi="仿宋" w:eastAsia="仿宋_GB2312" w:cs="仿宋"/>
          <w:b/>
          <w:sz w:val="32"/>
          <w:highlight w:val="none"/>
        </w:rPr>
      </w:pPr>
    </w:p>
    <w:p w14:paraId="42FE7BC2">
      <w:pPr>
        <w:numPr>
          <w:ilvl w:val="0"/>
          <w:numId w:val="5"/>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94" w:name="_Toc9192"/>
      <w:r>
        <w:rPr>
          <w:rFonts w:hint="eastAsia" w:ascii="仿宋_GB2312" w:hAnsi="仿宋" w:eastAsia="仿宋_GB2312" w:cs="仿宋"/>
          <w:sz w:val="24"/>
          <w:highlight w:val="none"/>
        </w:rPr>
        <w:br w:type="page"/>
      </w:r>
      <w:bookmarkEnd w:id="94"/>
      <w:bookmarkStart w:id="95" w:name="_Toc19686"/>
      <w:bookmarkStart w:id="96" w:name="_Toc14163"/>
      <w:bookmarkStart w:id="97" w:name="_Toc28508"/>
      <w:r>
        <w:rPr>
          <w:rFonts w:hint="eastAsia" w:ascii="仿宋_GB2312" w:hAnsi="仿宋" w:eastAsia="仿宋_GB2312" w:cs="仿宋"/>
          <w:b/>
          <w:sz w:val="28"/>
          <w:szCs w:val="28"/>
          <w:highlight w:val="none"/>
        </w:rPr>
        <w:t>评标方法</w:t>
      </w:r>
      <w:bookmarkEnd w:id="95"/>
      <w:bookmarkEnd w:id="96"/>
      <w:bookmarkEnd w:id="97"/>
    </w:p>
    <w:p w14:paraId="179B5F05">
      <w:pPr>
        <w:numPr>
          <w:ilvl w:val="0"/>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仿宋"/>
          <w:color w:val="000000" w:themeColor="text1"/>
          <w:kern w:val="0"/>
          <w:sz w:val="24"/>
          <w:highlight w:val="none"/>
          <w14:textFill>
            <w14:solidFill>
              <w14:schemeClr w14:val="tx1"/>
            </w14:solidFill>
          </w14:textFill>
        </w:rPr>
        <w:t>综合评分法，是指投标文件</w:t>
      </w:r>
      <w:r>
        <w:rPr>
          <w:rFonts w:hint="eastAsia" w:ascii="仿宋_GB2312" w:hAnsi="仿宋" w:eastAsia="仿宋_GB2312" w:cs="仿宋"/>
          <w:kern w:val="0"/>
          <w:sz w:val="24"/>
          <w:highlight w:val="none"/>
        </w:rPr>
        <w:t>满足招标文件全部实质性要求，且按照评审因素的量化指标评审得分最高的投标人为中标候选人的评标方法。</w:t>
      </w:r>
    </w:p>
    <w:p w14:paraId="33BE204D">
      <w:pPr>
        <w:numPr>
          <w:ilvl w:val="0"/>
          <w:numId w:val="5"/>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98" w:name="_Toc5897"/>
      <w:bookmarkStart w:id="99" w:name="_Toc19233"/>
      <w:bookmarkStart w:id="100" w:name="_Toc25354"/>
      <w:bookmarkStart w:id="101" w:name="_Toc9220"/>
      <w:bookmarkStart w:id="102" w:name="_Toc9518"/>
      <w:r>
        <w:rPr>
          <w:rFonts w:hint="eastAsia" w:ascii="仿宋_GB2312" w:hAnsi="仿宋" w:eastAsia="仿宋_GB2312" w:cs="仿宋"/>
          <w:b/>
          <w:sz w:val="28"/>
          <w:szCs w:val="28"/>
          <w:highlight w:val="none"/>
        </w:rPr>
        <w:t>评标标准</w:t>
      </w:r>
      <w:bookmarkEnd w:id="98"/>
      <w:bookmarkEnd w:id="99"/>
      <w:bookmarkEnd w:id="100"/>
      <w:bookmarkEnd w:id="101"/>
      <w:bookmarkEnd w:id="102"/>
    </w:p>
    <w:p w14:paraId="70A799A8">
      <w:pPr>
        <w:numPr>
          <w:ilvl w:val="0"/>
          <w:numId w:val="6"/>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评标标准：</w:t>
      </w:r>
      <w:r>
        <w:rPr>
          <w:rFonts w:hint="eastAsia" w:ascii="仿宋_GB2312" w:hAnsi="仿宋" w:eastAsia="仿宋_GB2312" w:cs="仿宋"/>
          <w:kern w:val="0"/>
          <w:sz w:val="24"/>
          <w:highlight w:val="none"/>
        </w:rPr>
        <w:t>见评标办法前附表。</w:t>
      </w:r>
    </w:p>
    <w:p w14:paraId="14D75A59">
      <w:pPr>
        <w:numPr>
          <w:ilvl w:val="0"/>
          <w:numId w:val="5"/>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103" w:name="_Toc4050"/>
      <w:bookmarkStart w:id="104" w:name="_Toc26738"/>
      <w:bookmarkStart w:id="105" w:name="_Toc17122"/>
      <w:bookmarkStart w:id="106" w:name="_Toc10741"/>
      <w:bookmarkStart w:id="107" w:name="_Toc1897"/>
      <w:r>
        <w:rPr>
          <w:rFonts w:hint="eastAsia" w:ascii="仿宋_GB2312" w:hAnsi="仿宋" w:eastAsia="仿宋_GB2312" w:cs="仿宋"/>
          <w:b/>
          <w:sz w:val="28"/>
          <w:szCs w:val="28"/>
          <w:highlight w:val="none"/>
        </w:rPr>
        <w:t>评标程序</w:t>
      </w:r>
      <w:bookmarkEnd w:id="103"/>
      <w:bookmarkEnd w:id="104"/>
      <w:bookmarkEnd w:id="105"/>
      <w:bookmarkEnd w:id="106"/>
      <w:bookmarkEnd w:id="107"/>
    </w:p>
    <w:p w14:paraId="5E1B2C45">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符合性审查。</w:t>
      </w:r>
      <w:r>
        <w:rPr>
          <w:rFonts w:hint="eastAsia" w:ascii="仿宋_GB2312" w:hAnsi="仿宋" w:eastAsia="仿宋_GB2312" w:cs="仿宋"/>
          <w:kern w:val="0"/>
          <w:sz w:val="24"/>
          <w:highlight w:val="none"/>
        </w:rPr>
        <w:t>评标委员会应当对符合资格的投标人的投标文件进行符合性审查，以确定其是否满足招标文件的实质性要求。不满足招标文件的实质性要求的，投标无效。</w:t>
      </w:r>
    </w:p>
    <w:p w14:paraId="4854B8AB">
      <w:pPr>
        <w:numPr>
          <w:ilvl w:val="1"/>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比较与评价。</w:t>
      </w:r>
      <w:r>
        <w:rPr>
          <w:rFonts w:hint="eastAsia" w:ascii="仿宋_GB2312" w:hAnsi="仿宋" w:eastAsia="仿宋_GB2312" w:cs="仿宋"/>
          <w:kern w:val="0"/>
          <w:sz w:val="24"/>
          <w:highlight w:val="none"/>
        </w:rPr>
        <w:t>评标委员会应当按照招标文件中规定的评标方法和标准，对符合性审查合格的投标文件进行商务和技术评估，综合比较与评价。</w:t>
      </w:r>
    </w:p>
    <w:p w14:paraId="6AA83E92">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汇总商务技术得分。</w:t>
      </w:r>
      <w:r>
        <w:rPr>
          <w:rFonts w:hint="eastAsia" w:ascii="仿宋_GB2312" w:hAnsi="仿宋" w:eastAsia="仿宋_GB2312" w:cs="仿宋"/>
          <w:kern w:val="0"/>
          <w:sz w:val="24"/>
          <w:highlight w:val="none"/>
        </w:rPr>
        <w:t>评标委员会各成员应当独立对每个投标人的商务和技术文件进行评价，并汇总商务技术得分情况。</w:t>
      </w:r>
    </w:p>
    <w:p w14:paraId="4B92FA12">
      <w:pPr>
        <w:tabs>
          <w:tab w:val="left" w:pos="210"/>
        </w:tabs>
        <w:spacing w:line="360" w:lineRule="auto"/>
        <w:ind w:firstLine="480" w:firstLineChars="200"/>
        <w:rPr>
          <w:rFonts w:ascii="仿宋_GB2312" w:hAnsi="仿宋" w:eastAsia="仿宋_GB2312" w:cs="仿宋"/>
          <w:b/>
          <w:bCs/>
          <w:kern w:val="0"/>
          <w:sz w:val="24"/>
          <w:highlight w:val="none"/>
        </w:rPr>
      </w:pPr>
      <w:r>
        <w:rPr>
          <w:rFonts w:hint="eastAsia" w:ascii="仿宋_GB2312" w:hAnsi="仿宋" w:eastAsia="仿宋_GB2312" w:cs="仿宋"/>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F9C1039">
      <w:pPr>
        <w:numPr>
          <w:ilvl w:val="1"/>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报价评审。</w:t>
      </w:r>
    </w:p>
    <w:p w14:paraId="18401A11">
      <w:pPr>
        <w:numPr>
          <w:ilvl w:val="2"/>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投标文件报价出现前后不一致的，按照下列规定修正：</w:t>
      </w:r>
    </w:p>
    <w:p w14:paraId="056133F4">
      <w:pPr>
        <w:numPr>
          <w:ilvl w:val="3"/>
          <w:numId w:val="7"/>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投标文件中开标一览表(报价表)内容与投标文件中相应内容不一致的，以开标一览表(报价表)为准;</w:t>
      </w:r>
    </w:p>
    <w:p w14:paraId="1257F33E">
      <w:pPr>
        <w:numPr>
          <w:ilvl w:val="3"/>
          <w:numId w:val="7"/>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大写金额和小写金额不一致的，以大写金额为准;</w:t>
      </w:r>
    </w:p>
    <w:p w14:paraId="503B6C99">
      <w:pPr>
        <w:numPr>
          <w:ilvl w:val="3"/>
          <w:numId w:val="7"/>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单价金额小数点或者百分比有明显错位的，以开标一览表的总价为准，并修改单价;</w:t>
      </w:r>
    </w:p>
    <w:p w14:paraId="7936D5F8">
      <w:pPr>
        <w:numPr>
          <w:ilvl w:val="3"/>
          <w:numId w:val="7"/>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总价金额与按单价汇总金额不一致的，以单价金额计算结果为准。</w:t>
      </w:r>
    </w:p>
    <w:p w14:paraId="6B7D3ACB">
      <w:pPr>
        <w:numPr>
          <w:ilvl w:val="3"/>
          <w:numId w:val="7"/>
        </w:numPr>
        <w:tabs>
          <w:tab w:val="left" w:pos="210"/>
          <w:tab w:val="left" w:pos="1050"/>
        </w:tabs>
        <w:spacing w:line="360" w:lineRule="auto"/>
        <w:ind w:left="1050" w:hanging="105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E4A7054">
      <w:pPr>
        <w:numPr>
          <w:ilvl w:val="2"/>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投标文件出现不是唯一的、有选择性投标报价的，投标无效。</w:t>
      </w:r>
    </w:p>
    <w:p w14:paraId="194777CE">
      <w:pPr>
        <w:numPr>
          <w:ilvl w:val="2"/>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投标报价超过招标文件中规定的预算金额或者最高限价的，投标无效。</w:t>
      </w:r>
    </w:p>
    <w:p w14:paraId="66358918">
      <w:pPr>
        <w:numPr>
          <w:ilvl w:val="2"/>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A0CD8A">
      <w:pPr>
        <w:numPr>
          <w:ilvl w:val="2"/>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仿宋"/>
          <w:b/>
          <w:bCs/>
          <w:kern w:val="0"/>
          <w:sz w:val="24"/>
          <w:highlight w:val="none"/>
        </w:rPr>
        <w:t>10%</w:t>
      </w:r>
      <w:r>
        <w:rPr>
          <w:rFonts w:hint="eastAsia" w:ascii="仿宋_GB2312" w:hAnsi="仿宋" w:eastAsia="仿宋_GB2312" w:cs="仿宋"/>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仿宋"/>
          <w:b/>
          <w:bCs/>
          <w:kern w:val="0"/>
          <w:sz w:val="24"/>
          <w:highlight w:val="none"/>
        </w:rPr>
        <w:t>4%</w:t>
      </w:r>
      <w:r>
        <w:rPr>
          <w:rFonts w:hint="eastAsia" w:ascii="仿宋_GB2312" w:hAnsi="仿宋" w:eastAsia="仿宋_GB2312" w:cs="仿宋"/>
          <w:kern w:val="0"/>
          <w:sz w:val="24"/>
          <w:highlight w:val="none"/>
        </w:rPr>
        <w:t>的扣除，用扣除后的价格参加评审。组成联合体或者接受分包的小微企业与联合体内其他企业、分包企业之间存在直接控股、管理关系的，不享受价格扣除优惠政策。</w:t>
      </w:r>
    </w:p>
    <w:p w14:paraId="131DACBF">
      <w:pPr>
        <w:numPr>
          <w:ilvl w:val="1"/>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排序与推荐。</w:t>
      </w:r>
    </w:p>
    <w:p w14:paraId="603BB4AA">
      <w:pPr>
        <w:adjustRightInd w:val="0"/>
        <w:snapToGrid w:val="0"/>
        <w:spacing w:line="360" w:lineRule="auto"/>
        <w:ind w:firstLine="480" w:firstLineChars="200"/>
        <w:rPr>
          <w:rFonts w:ascii="仿宋_GB2312" w:hAnsi="仿宋" w:eastAsia="仿宋_GB2312" w:cs="仿宋"/>
          <w:kern w:val="0"/>
          <w:sz w:val="24"/>
          <w:highlight w:val="none"/>
        </w:rPr>
      </w:pPr>
      <w:r>
        <w:rPr>
          <w:rFonts w:hint="eastAsia" w:ascii="仿宋_GB2312" w:hAnsi="仿宋" w:eastAsia="仿宋_GB2312"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3A6148">
      <w:pPr>
        <w:adjustRightInd w:val="0"/>
        <w:snapToGrid w:val="0"/>
        <w:spacing w:line="360" w:lineRule="auto"/>
        <w:ind w:firstLine="482" w:firstLineChars="200"/>
        <w:rPr>
          <w:rFonts w:ascii="仿宋_GB2312" w:hAnsi="仿宋" w:eastAsia="仿宋_GB2312" w:cs="仿宋"/>
          <w:snapToGrid w:val="0"/>
          <w:kern w:val="28"/>
          <w:sz w:val="24"/>
          <w:highlight w:val="none"/>
        </w:rPr>
      </w:pPr>
      <w:r>
        <w:rPr>
          <w:rFonts w:hint="eastAsia" w:ascii="仿宋_GB2312" w:hAnsi="仿宋" w:eastAsia="仿宋_GB2312" w:cs="仿宋"/>
          <w:b/>
          <w:bCs/>
          <w:kern w:val="0"/>
          <w:sz w:val="24"/>
          <w:highlight w:val="none"/>
        </w:rPr>
        <w:t>注：采购文件中未特别说明的，评标委员会推荐的中标候选人数量为1名。</w:t>
      </w:r>
    </w:p>
    <w:p w14:paraId="5ABF8C16">
      <w:pPr>
        <w:numPr>
          <w:ilvl w:val="1"/>
          <w:numId w:val="7"/>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评分时保留小数点后1位小数（客观分有2位小数的可保留2位），计算评分值时保留小数点后2位小数。</w:t>
      </w:r>
    </w:p>
    <w:p w14:paraId="799A500A">
      <w:pPr>
        <w:numPr>
          <w:ilvl w:val="1"/>
          <w:numId w:val="7"/>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编写评标报告。</w:t>
      </w:r>
      <w:r>
        <w:rPr>
          <w:rFonts w:hint="eastAsia" w:ascii="仿宋_GB2312" w:hAnsi="仿宋" w:eastAsia="仿宋_GB2312"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86FBAB">
      <w:pPr>
        <w:numPr>
          <w:ilvl w:val="0"/>
          <w:numId w:val="5"/>
        </w:numPr>
        <w:adjustRightInd w:val="0"/>
        <w:snapToGrid w:val="0"/>
        <w:spacing w:before="120" w:beforeLines="50" w:after="120" w:afterLines="50" w:line="360" w:lineRule="auto"/>
        <w:ind w:firstLine="0"/>
        <w:jc w:val="left"/>
        <w:outlineLvl w:val="1"/>
        <w:rPr>
          <w:rFonts w:ascii="仿宋_GB2312" w:hAnsi="仿宋" w:eastAsia="仿宋_GB2312" w:cs="仿宋"/>
          <w:b/>
          <w:sz w:val="28"/>
          <w:szCs w:val="28"/>
          <w:highlight w:val="none"/>
        </w:rPr>
      </w:pPr>
      <w:bookmarkStart w:id="108" w:name="_Toc6871"/>
      <w:bookmarkStart w:id="109" w:name="_Toc5821"/>
      <w:bookmarkStart w:id="110" w:name="_Toc25049"/>
      <w:bookmarkStart w:id="111" w:name="_Toc16391"/>
      <w:bookmarkStart w:id="112" w:name="_Toc14486"/>
      <w:r>
        <w:rPr>
          <w:rFonts w:hint="eastAsia" w:ascii="仿宋_GB2312" w:hAnsi="仿宋" w:eastAsia="仿宋_GB2312" w:cs="仿宋"/>
          <w:b/>
          <w:sz w:val="28"/>
          <w:szCs w:val="28"/>
          <w:highlight w:val="none"/>
        </w:rPr>
        <w:t>评标中的其他事项</w:t>
      </w:r>
      <w:bookmarkEnd w:id="108"/>
      <w:bookmarkEnd w:id="109"/>
      <w:bookmarkEnd w:id="110"/>
      <w:bookmarkEnd w:id="111"/>
      <w:bookmarkEnd w:id="112"/>
    </w:p>
    <w:p w14:paraId="5C6F73EB">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投标人澄清、说明或者补正。</w:t>
      </w:r>
      <w:r>
        <w:rPr>
          <w:rFonts w:hint="eastAsia" w:ascii="仿宋_GB2312" w:hAnsi="仿宋" w:eastAsia="仿宋_GB2312" w:cs="仿宋"/>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EF295D">
      <w:pPr>
        <w:numPr>
          <w:ilvl w:val="1"/>
          <w:numId w:val="8"/>
        </w:numPr>
        <w:tabs>
          <w:tab w:val="left" w:pos="210"/>
        </w:tabs>
        <w:spacing w:line="360" w:lineRule="auto"/>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投标无效。有下列情况之一的，投标无效：</w:t>
      </w:r>
    </w:p>
    <w:p w14:paraId="25619C75">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投标人不具备招标文件中规定的资格要求的（投标人未提供有效的资格文件的，视为投标人不具备招标文件中规定的资格要求）；</w:t>
      </w:r>
    </w:p>
    <w:p w14:paraId="16D6DAE2">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投标文件未按照招标文件要求签署、盖章的；</w:t>
      </w:r>
    </w:p>
    <w:p w14:paraId="60AE84F4">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6FADE756">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投标文件含有采购人不能接受的附加条件的；</w:t>
      </w:r>
    </w:p>
    <w:p w14:paraId="32C932F4">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投标文件中承诺的投标有效期少于招标文件中载明的投标有效期的；</w:t>
      </w:r>
    </w:p>
    <w:p w14:paraId="7704C7AA">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投标文件出现不是唯一的、有选择性投标报价的;</w:t>
      </w:r>
    </w:p>
    <w:p w14:paraId="69D6B60F">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投标报价超过招标文件中规定的预算金额或者最高限价的;</w:t>
      </w:r>
    </w:p>
    <w:p w14:paraId="208471A1">
      <w:pPr>
        <w:numPr>
          <w:ilvl w:val="2"/>
          <w:numId w:val="8"/>
        </w:numPr>
        <w:tabs>
          <w:tab w:val="left" w:pos="210"/>
          <w:tab w:val="left" w:pos="84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投标人对根据修正原则修正后的报价不确认的；</w:t>
      </w:r>
    </w:p>
    <w:p w14:paraId="7D22B370">
      <w:pPr>
        <w:numPr>
          <w:ilvl w:val="2"/>
          <w:numId w:val="8"/>
        </w:numPr>
        <w:tabs>
          <w:tab w:val="left" w:pos="210"/>
          <w:tab w:val="left" w:pos="840"/>
          <w:tab w:val="left" w:pos="1050"/>
          <w:tab w:val="left" w:pos="126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投标人提供虚假材料投标的；</w:t>
      </w:r>
    </w:p>
    <w:p w14:paraId="3DF6A2E7">
      <w:pPr>
        <w:numPr>
          <w:ilvl w:val="2"/>
          <w:numId w:val="8"/>
        </w:numPr>
        <w:tabs>
          <w:tab w:val="left" w:pos="210"/>
          <w:tab w:val="left" w:pos="840"/>
          <w:tab w:val="left" w:pos="1050"/>
          <w:tab w:val="left" w:pos="1260"/>
        </w:tabs>
        <w:spacing w:line="360" w:lineRule="auto"/>
        <w:ind w:left="829" w:hanging="82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投标人有恶意串通、妨碍其他投标人的竞争行为、损害采购人或者其他投标人的合法权益情形的；</w:t>
      </w:r>
    </w:p>
    <w:p w14:paraId="2F93D07E">
      <w:pPr>
        <w:numPr>
          <w:ilvl w:val="2"/>
          <w:numId w:val="8"/>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人的数字证书加密的，或者加盖本项目其他投标（响应）人的电子印章的；（3）不同供应商的投标（响应）文件的内容存在3处（含）以上错误一致的；（4）不同供应商联系人为同一人或不同联系人的联系电话一致的；</w:t>
      </w:r>
    </w:p>
    <w:p w14:paraId="451520F7">
      <w:pPr>
        <w:numPr>
          <w:ilvl w:val="2"/>
          <w:numId w:val="8"/>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投标人仅提交备份投标文件，没有在电子交易平台传输递交投标文件的，投标无效；</w:t>
      </w:r>
    </w:p>
    <w:p w14:paraId="1BD11E86">
      <w:pPr>
        <w:numPr>
          <w:ilvl w:val="2"/>
          <w:numId w:val="8"/>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投标文件不满足招标文件的其它实质性要求的；</w:t>
      </w:r>
    </w:p>
    <w:p w14:paraId="382738B0">
      <w:pPr>
        <w:numPr>
          <w:ilvl w:val="2"/>
          <w:numId w:val="8"/>
        </w:numPr>
        <w:tabs>
          <w:tab w:val="left" w:pos="210"/>
          <w:tab w:val="left" w:pos="840"/>
          <w:tab w:val="left" w:pos="1050"/>
          <w:tab w:val="left" w:pos="1260"/>
        </w:tabs>
        <w:spacing w:line="360" w:lineRule="auto"/>
        <w:ind w:left="1049" w:hanging="1049"/>
        <w:rPr>
          <w:rFonts w:ascii="仿宋_GB2312" w:hAnsi="仿宋" w:eastAsia="仿宋_GB2312" w:cs="仿宋"/>
          <w:b/>
          <w:bCs/>
          <w:kern w:val="0"/>
          <w:sz w:val="24"/>
          <w:highlight w:val="none"/>
        </w:rPr>
      </w:pPr>
      <w:r>
        <w:rPr>
          <w:rFonts w:hint="eastAsia" w:ascii="仿宋_GB2312" w:hAnsi="仿宋" w:eastAsia="仿宋_GB2312" w:cs="仿宋"/>
          <w:b/>
          <w:bCs/>
          <w:kern w:val="0"/>
          <w:sz w:val="24"/>
          <w:highlight w:val="none"/>
        </w:rPr>
        <w:t>法律、法规、规章（适用本市的）及省级以上规范性文件（适用本市的）规定的其他无效情形。</w:t>
      </w:r>
    </w:p>
    <w:p w14:paraId="707C1AE5">
      <w:pPr>
        <w:numPr>
          <w:ilvl w:val="0"/>
          <w:numId w:val="8"/>
        </w:numPr>
        <w:tabs>
          <w:tab w:val="left" w:pos="210"/>
          <w:tab w:val="clear" w:pos="399"/>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废标。</w:t>
      </w:r>
      <w:r>
        <w:rPr>
          <w:rFonts w:hint="eastAsia" w:ascii="仿宋_GB2312" w:hAnsi="仿宋" w:eastAsia="仿宋_GB2312" w:cs="仿宋"/>
          <w:kern w:val="0"/>
          <w:sz w:val="24"/>
          <w:highlight w:val="none"/>
        </w:rPr>
        <w:t>根据《中华人民共和国政府采购法》第三十六条之规定，在采购中，出现下列情形之一的，应予废标：</w:t>
      </w:r>
    </w:p>
    <w:p w14:paraId="40D60B2D">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符合专业条件的供应商或者对招标文件作实质响应的供应商不足3家的；</w:t>
      </w:r>
    </w:p>
    <w:p w14:paraId="604B387B">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出现影响采购公正的违法、违规行为的；</w:t>
      </w:r>
    </w:p>
    <w:p w14:paraId="47EAA882">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投标人的报价均超过了采购预算，采购人不能支付的；</w:t>
      </w:r>
    </w:p>
    <w:p w14:paraId="45345095">
      <w:pPr>
        <w:numPr>
          <w:ilvl w:val="1"/>
          <w:numId w:val="8"/>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因重大变故，采购任务取消的。</w:t>
      </w:r>
    </w:p>
    <w:p w14:paraId="3535C6D2">
      <w:pPr>
        <w:pStyle w:val="18"/>
        <w:snapToGrid w:val="0"/>
        <w:rPr>
          <w:rFonts w:ascii="仿宋_GB2312" w:hAnsi="仿宋" w:eastAsia="仿宋_GB2312" w:cs="仿宋"/>
          <w:highlight w:val="none"/>
        </w:rPr>
      </w:pPr>
      <w:r>
        <w:rPr>
          <w:rFonts w:hint="eastAsia" w:ascii="仿宋_GB2312" w:hAnsi="仿宋" w:eastAsia="仿宋_GB2312" w:cs="仿宋"/>
          <w:highlight w:val="none"/>
        </w:rPr>
        <w:t>废标后，采购代理机构应当将废标理由通知所有投标人。</w:t>
      </w:r>
    </w:p>
    <w:p w14:paraId="27B0E980">
      <w:pPr>
        <w:numPr>
          <w:ilvl w:val="0"/>
          <w:numId w:val="8"/>
        </w:numPr>
        <w:tabs>
          <w:tab w:val="left" w:pos="210"/>
          <w:tab w:val="clear" w:pos="399"/>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修改招标文件，重新组织采购活动。</w:t>
      </w:r>
      <w:r>
        <w:rPr>
          <w:rFonts w:hint="eastAsia" w:ascii="仿宋_GB2312" w:hAnsi="仿宋" w:eastAsia="仿宋_GB2312" w:cs="仿宋"/>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118144">
      <w:pPr>
        <w:numPr>
          <w:ilvl w:val="0"/>
          <w:numId w:val="8"/>
        </w:numPr>
        <w:tabs>
          <w:tab w:val="left" w:pos="210"/>
          <w:tab w:val="clear" w:pos="399"/>
        </w:tabs>
        <w:spacing w:line="360" w:lineRule="auto"/>
        <w:rPr>
          <w:rFonts w:ascii="仿宋_GB2312" w:hAnsi="仿宋" w:eastAsia="仿宋_GB2312" w:cs="仿宋"/>
          <w:kern w:val="0"/>
          <w:sz w:val="24"/>
          <w:highlight w:val="none"/>
        </w:rPr>
      </w:pPr>
      <w:r>
        <w:rPr>
          <w:rFonts w:hint="eastAsia" w:ascii="仿宋_GB2312" w:hAnsi="仿宋" w:eastAsia="仿宋_GB2312" w:cs="仿宋"/>
          <w:b/>
          <w:bCs/>
          <w:kern w:val="0"/>
          <w:sz w:val="24"/>
          <w:highlight w:val="none"/>
        </w:rPr>
        <w:t>重新开展采购。</w:t>
      </w:r>
      <w:r>
        <w:rPr>
          <w:rFonts w:hint="eastAsia" w:ascii="仿宋_GB2312" w:hAnsi="仿宋" w:eastAsia="仿宋_GB2312" w:cs="仿宋"/>
          <w:kern w:val="0"/>
          <w:sz w:val="24"/>
          <w:highlight w:val="none"/>
        </w:rPr>
        <w:t>有政府采购法第七十一条、第七十二条规定的违法行为之一，影响或者可能影响中标、成交结果的，依照下列规定处理：</w:t>
      </w:r>
    </w:p>
    <w:p w14:paraId="6F7594CD">
      <w:pPr>
        <w:numPr>
          <w:ilvl w:val="1"/>
          <w:numId w:val="9"/>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未确定中标或者中标人的，终止本次政府采购活动，重新开展政府采购活动。</w:t>
      </w:r>
    </w:p>
    <w:p w14:paraId="3A4F9D8C">
      <w:pPr>
        <w:numPr>
          <w:ilvl w:val="1"/>
          <w:numId w:val="9"/>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75BD3369">
      <w:pPr>
        <w:numPr>
          <w:ilvl w:val="1"/>
          <w:numId w:val="9"/>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政府采购合同已签订但尚未履行的，撤销合同，从合格的中标或者成交候选人中另行确定中标或者中标人；没有合格的中标或者成交候选人的，重新开展政府采购活动。</w:t>
      </w:r>
    </w:p>
    <w:p w14:paraId="48F68151">
      <w:pPr>
        <w:numPr>
          <w:ilvl w:val="1"/>
          <w:numId w:val="9"/>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政府采购合同已经履行，给采购人、供应商造成损失的，由责任人承担赔偿责任。</w:t>
      </w:r>
    </w:p>
    <w:p w14:paraId="12684E45">
      <w:pPr>
        <w:numPr>
          <w:ilvl w:val="1"/>
          <w:numId w:val="9"/>
        </w:numPr>
        <w:tabs>
          <w:tab w:val="left" w:pos="210"/>
        </w:tabs>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7F9DD79A">
      <w:pPr>
        <w:rPr>
          <w:rFonts w:ascii="仿宋_GB2312" w:hAnsi="仿宋" w:eastAsia="仿宋_GB2312" w:cs="仿宋"/>
          <w:kern w:val="0"/>
          <w:sz w:val="24"/>
          <w:highlight w:val="none"/>
        </w:rPr>
      </w:pPr>
      <w:r>
        <w:rPr>
          <w:rFonts w:hint="eastAsia" w:ascii="仿宋_GB2312" w:hAnsi="仿宋" w:eastAsia="仿宋_GB2312" w:cs="仿宋"/>
          <w:kern w:val="0"/>
          <w:sz w:val="24"/>
          <w:highlight w:val="none"/>
        </w:rPr>
        <w:br w:type="page"/>
      </w:r>
    </w:p>
    <w:bookmarkEnd w:id="73"/>
    <w:p w14:paraId="7D4C3B66">
      <w:pPr>
        <w:adjustRightInd w:val="0"/>
        <w:snapToGrid w:val="0"/>
        <w:spacing w:before="120" w:beforeLines="50" w:after="120" w:afterLines="50" w:line="360" w:lineRule="auto"/>
        <w:jc w:val="center"/>
        <w:outlineLvl w:val="0"/>
        <w:rPr>
          <w:rFonts w:ascii="仿宋_GB2312" w:hAnsi="仿宋" w:eastAsia="仿宋_GB2312" w:cs="仿宋"/>
          <w:sz w:val="36"/>
          <w:highlight w:val="none"/>
        </w:rPr>
      </w:pPr>
      <w:bookmarkStart w:id="113" w:name="_Toc242012824"/>
      <w:bookmarkStart w:id="114" w:name="_Toc19650"/>
      <w:bookmarkStart w:id="115" w:name="_Toc2880"/>
      <w:r>
        <w:rPr>
          <w:rFonts w:hint="eastAsia" w:ascii="仿宋_GB2312" w:hAnsi="仿宋" w:eastAsia="仿宋_GB2312" w:cs="仿宋"/>
          <w:b/>
          <w:sz w:val="30"/>
          <w:szCs w:val="30"/>
          <w:highlight w:val="none"/>
        </w:rPr>
        <w:t>第五部分  合同条款</w:t>
      </w:r>
      <w:bookmarkEnd w:id="113"/>
      <w:bookmarkEnd w:id="114"/>
      <w:bookmarkEnd w:id="115"/>
    </w:p>
    <w:p w14:paraId="59140606">
      <w:pPr>
        <w:adjustRightInd w:val="0"/>
        <w:snapToGrid w:val="0"/>
        <w:spacing w:line="360" w:lineRule="auto"/>
        <w:ind w:firstLine="420" w:firstLineChars="200"/>
        <w:rPr>
          <w:rFonts w:ascii="仿宋_GB2312" w:hAnsi="仿宋" w:eastAsia="仿宋_GB2312" w:cs="仿宋"/>
          <w:snapToGrid w:val="0"/>
          <w:kern w:val="0"/>
          <w:szCs w:val="21"/>
          <w:highlight w:val="none"/>
        </w:rPr>
      </w:pPr>
      <w:bookmarkStart w:id="116" w:name="_Toc251566661"/>
      <w:bookmarkStart w:id="117" w:name="_Hlk534720381"/>
      <w:bookmarkStart w:id="118" w:name="_Toc249760790"/>
      <w:r>
        <w:rPr>
          <w:rFonts w:hint="eastAsia" w:ascii="仿宋_GB2312" w:hAnsi="仿宋" w:eastAsia="仿宋_GB2312" w:cs="仿宋"/>
          <w:snapToGrid w:val="0"/>
          <w:kern w:val="0"/>
          <w:szCs w:val="21"/>
          <w:highlight w:val="none"/>
        </w:rPr>
        <w:t>合同将由</w:t>
      </w:r>
      <w:r>
        <w:rPr>
          <w:rFonts w:hint="eastAsia" w:ascii="仿宋_GB2312" w:hAnsi="仿宋" w:eastAsia="仿宋_GB2312" w:cs="仿宋"/>
          <w:snapToGrid w:val="0"/>
          <w:kern w:val="0"/>
          <w:szCs w:val="21"/>
          <w:highlight w:val="none"/>
          <w:lang w:eastAsia="zh-CN"/>
        </w:rPr>
        <w:t>杭州市钱塘区综合行政执法局</w:t>
      </w:r>
      <w:r>
        <w:rPr>
          <w:rFonts w:hint="eastAsia" w:ascii="仿宋_GB2312" w:hAnsi="仿宋" w:eastAsia="仿宋_GB2312" w:cs="仿宋"/>
          <w:snapToGrid w:val="0"/>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45DF3208">
      <w:pPr>
        <w:snapToGrid w:val="0"/>
        <w:spacing w:before="120" w:beforeLines="50" w:after="120" w:afterLines="50"/>
        <w:jc w:val="center"/>
        <w:rPr>
          <w:rFonts w:ascii="仿宋_GB2312" w:hAnsi="仿宋" w:eastAsia="仿宋_GB2312" w:cs="仿宋"/>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_GB2312" w:hAnsi="仿宋" w:eastAsia="仿宋_GB2312" w:cs="仿宋"/>
          <w:spacing w:val="-6"/>
          <w:highlight w:val="none"/>
        </w:rPr>
        <w:t>（本合同为合同样稿）</w:t>
      </w:r>
    </w:p>
    <w:bookmarkEnd w:id="116"/>
    <w:bookmarkEnd w:id="117"/>
    <w:bookmarkEnd w:id="118"/>
    <w:p w14:paraId="576EA65D">
      <w:pPr>
        <w:adjustRightInd w:val="0"/>
        <w:snapToGrid w:val="0"/>
        <w:spacing w:line="360" w:lineRule="auto"/>
        <w:ind w:firstLine="482" w:firstLineChars="200"/>
        <w:rPr>
          <w:rFonts w:ascii="仿宋_GB2312" w:hAnsi="仿宋" w:eastAsia="仿宋_GB2312" w:cs="仿宋"/>
          <w:b/>
          <w:bCs/>
          <w:sz w:val="24"/>
          <w:highlight w:val="none"/>
        </w:rPr>
      </w:pPr>
      <w:bookmarkStart w:id="119" w:name="_Toc367274988"/>
      <w:bookmarkStart w:id="120" w:name="_Toc295465366"/>
      <w:bookmarkStart w:id="121" w:name="_Toc251566662"/>
      <w:bookmarkStart w:id="122" w:name="_Toc249760791"/>
      <w:bookmarkStart w:id="123" w:name="_Toc415814139"/>
      <w:r>
        <w:rPr>
          <w:rFonts w:hint="eastAsia" w:ascii="仿宋_GB2312" w:hAnsi="仿宋" w:eastAsia="仿宋_GB2312" w:cs="仿宋"/>
          <w:b/>
          <w:bCs/>
          <w:sz w:val="24"/>
          <w:highlight w:val="none"/>
        </w:rPr>
        <w:t>合同参考格式</w:t>
      </w:r>
    </w:p>
    <w:p w14:paraId="438415D7">
      <w:pPr>
        <w:snapToGrid w:val="0"/>
        <w:spacing w:before="120" w:beforeLines="50" w:after="120" w:afterLines="50"/>
        <w:jc w:val="center"/>
        <w:rPr>
          <w:rFonts w:ascii="仿宋_GB2312" w:hAnsi="仿宋" w:eastAsia="仿宋_GB2312" w:cs="仿宋"/>
          <w:b/>
          <w:color w:val="000000" w:themeColor="text1"/>
          <w:sz w:val="32"/>
          <w:szCs w:val="32"/>
          <w:highlight w:val="none"/>
          <w:lang w:val="zh-CN"/>
          <w14:textFill>
            <w14:solidFill>
              <w14:schemeClr w14:val="tx1"/>
            </w14:solidFill>
          </w14:textFill>
        </w:rPr>
      </w:pPr>
    </w:p>
    <w:p w14:paraId="23FEA4B4">
      <w:pPr>
        <w:snapToGrid w:val="0"/>
        <w:spacing w:before="120" w:beforeLines="50" w:after="120" w:afterLines="50"/>
        <w:jc w:val="center"/>
        <w:rPr>
          <w:rFonts w:hint="eastAsia" w:ascii="仿宋_GB2312" w:hAnsi="仿宋" w:eastAsia="仿宋_GB2312" w:cs="仿宋"/>
          <w:b/>
          <w:color w:val="000000" w:themeColor="text1"/>
          <w:sz w:val="32"/>
          <w:szCs w:val="32"/>
          <w:highlight w:val="none"/>
          <w:lang w:val="zh-CN"/>
          <w14:textFill>
            <w14:solidFill>
              <w14:schemeClr w14:val="tx1"/>
            </w14:solidFill>
          </w14:textFill>
        </w:rPr>
      </w:pPr>
      <w:r>
        <w:rPr>
          <w:rFonts w:hint="eastAsia" w:ascii="仿宋_GB2312" w:hAnsi="仿宋" w:eastAsia="仿宋_GB2312" w:cs="仿宋"/>
          <w:b/>
          <w:color w:val="000000" w:themeColor="text1"/>
          <w:sz w:val="32"/>
          <w:szCs w:val="32"/>
          <w:highlight w:val="none"/>
          <w:lang w:val="zh-CN"/>
          <w14:textFill>
            <w14:solidFill>
              <w14:schemeClr w14:val="tx1"/>
            </w14:solidFill>
          </w14:textFill>
        </w:rPr>
        <w:t>2025-2028年钱塘区</w:t>
      </w:r>
    </w:p>
    <w:p w14:paraId="3A4E3681">
      <w:pPr>
        <w:snapToGrid w:val="0"/>
        <w:spacing w:before="120" w:beforeLines="50" w:after="120" w:afterLines="50"/>
        <w:jc w:val="center"/>
        <w:rPr>
          <w:rFonts w:ascii="仿宋_GB2312" w:hAnsi="仿宋" w:eastAsia="仿宋_GB2312" w:cs="仿宋"/>
          <w:b/>
          <w:color w:val="000000" w:themeColor="text1"/>
          <w:sz w:val="32"/>
          <w:szCs w:val="32"/>
          <w:highlight w:val="none"/>
          <w:lang w:val="zh-CN"/>
          <w14:textFill>
            <w14:solidFill>
              <w14:schemeClr w14:val="tx1"/>
            </w14:solidFill>
          </w14:textFill>
        </w:rPr>
      </w:pPr>
      <w:r>
        <w:rPr>
          <w:rFonts w:hint="eastAsia" w:ascii="仿宋_GB2312" w:hAnsi="仿宋" w:eastAsia="仿宋_GB2312" w:cs="仿宋"/>
          <w:b/>
          <w:color w:val="000000" w:themeColor="text1"/>
          <w:sz w:val="32"/>
          <w:szCs w:val="32"/>
          <w:highlight w:val="none"/>
          <w:lang w:val="zh-CN"/>
          <w14:textFill>
            <w14:solidFill>
              <w14:schemeClr w14:val="tx1"/>
            </w14:solidFill>
          </w14:textFill>
        </w:rPr>
        <w:t>特色街区景观灯及其附属设施养护服务项目合同</w:t>
      </w:r>
    </w:p>
    <w:p w14:paraId="5D433125">
      <w:pPr>
        <w:pageBreakBefore w:val="0"/>
        <w:kinsoku/>
        <w:wordWrap/>
        <w:overflowPunct/>
        <w:topLinePunct w:val="0"/>
        <w:bidi w:val="0"/>
        <w:adjustRightInd w:val="0"/>
        <w:snapToGrid w:val="0"/>
        <w:spacing w:line="360" w:lineRule="auto"/>
        <w:ind w:left="0" w:leftChars="0" w:right="0" w:rightChars="0" w:firstLine="482" w:firstLineChars="200"/>
        <w:textAlignment w:val="auto"/>
        <w:outlineLvl w:val="9"/>
        <w:rPr>
          <w:rFonts w:hint="eastAsia" w:ascii="仿宋" w:hAnsi="仿宋" w:eastAsia="仿宋" w:cs="仿宋"/>
          <w:b/>
          <w:i w:val="0"/>
          <w:iCs w:val="0"/>
          <w:sz w:val="24"/>
          <w:szCs w:val="24"/>
          <w:highlight w:val="none"/>
        </w:rPr>
      </w:pPr>
    </w:p>
    <w:p w14:paraId="6EC4DC90">
      <w:pPr>
        <w:pStyle w:val="62"/>
        <w:pageBreakBefore w:val="0"/>
        <w:kinsoku/>
        <w:wordWrap/>
        <w:overflowPunct/>
        <w:topLinePunct w:val="0"/>
        <w:bidi w:val="0"/>
        <w:adjustRightInd w:val="0"/>
        <w:snapToGrid w:val="0"/>
        <w:spacing w:after="0" w:line="360" w:lineRule="auto"/>
        <w:ind w:left="0" w:leftChars="0" w:right="0" w:rightChars="0" w:firstLine="2843" w:firstLineChars="1180"/>
        <w:textAlignment w:val="auto"/>
        <w:outlineLvl w:val="9"/>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第一部分 合同书</w:t>
      </w:r>
    </w:p>
    <w:p w14:paraId="097C1440">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74677297">
      <w:pPr>
        <w:pageBreakBefore w:val="0"/>
        <w:tabs>
          <w:tab w:val="left" w:pos="432"/>
        </w:tabs>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2666DC6E">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项目名称：</w:t>
      </w:r>
      <w:r>
        <w:rPr>
          <w:rFonts w:hint="eastAsia" w:ascii="仿宋" w:hAnsi="仿宋" w:eastAsia="仿宋" w:cs="仿宋"/>
          <w:i w:val="0"/>
          <w:iCs w:val="0"/>
          <w:color w:val="auto"/>
          <w:sz w:val="24"/>
          <w:szCs w:val="24"/>
          <w:highlight w:val="none"/>
          <w:u w:val="single"/>
        </w:rPr>
        <w:t xml:space="preserve">                                   </w:t>
      </w:r>
    </w:p>
    <w:p w14:paraId="08818DF3">
      <w:pPr>
        <w:pStyle w:val="154"/>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412D7DFC">
      <w:pPr>
        <w:pStyle w:val="154"/>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6BE3B1CF">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4872304D">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甲方：</w:t>
      </w:r>
      <w:r>
        <w:rPr>
          <w:rFonts w:hint="eastAsia" w:ascii="仿宋" w:hAnsi="仿宋" w:eastAsia="仿宋" w:cs="仿宋"/>
          <w:i w:val="0"/>
          <w:iCs w:val="0"/>
          <w:color w:val="auto"/>
          <w:sz w:val="24"/>
          <w:szCs w:val="24"/>
          <w:highlight w:val="none"/>
          <w:u w:val="single"/>
        </w:rPr>
        <w:t xml:space="preserve">                                       </w:t>
      </w:r>
    </w:p>
    <w:p w14:paraId="6BE7068D">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1F595830">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乙方：</w:t>
      </w:r>
      <w:r>
        <w:rPr>
          <w:rFonts w:hint="eastAsia" w:ascii="仿宋" w:hAnsi="仿宋" w:eastAsia="仿宋" w:cs="仿宋"/>
          <w:i w:val="0"/>
          <w:iCs w:val="0"/>
          <w:color w:val="auto"/>
          <w:sz w:val="24"/>
          <w:szCs w:val="24"/>
          <w:highlight w:val="none"/>
          <w:u w:val="single"/>
        </w:rPr>
        <w:t xml:space="preserve">                                       </w:t>
      </w:r>
    </w:p>
    <w:p w14:paraId="5FF591F5">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2392C391">
      <w:pPr>
        <w:pageBreakBefore w:val="0"/>
        <w:kinsoku/>
        <w:wordWrap/>
        <w:overflowPunct/>
        <w:topLinePunct w:val="0"/>
        <w:bidi w:val="0"/>
        <w:adjustRightInd w:val="0"/>
        <w:snapToGrid w:val="0"/>
        <w:spacing w:line="360" w:lineRule="auto"/>
        <w:ind w:right="0" w:rightChars="0"/>
        <w:textAlignment w:val="auto"/>
        <w:outlineLvl w:val="9"/>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签订地：</w:t>
      </w:r>
      <w:r>
        <w:rPr>
          <w:rFonts w:hint="eastAsia" w:ascii="仿宋" w:hAnsi="仿宋" w:eastAsia="仿宋" w:cs="仿宋"/>
          <w:i w:val="0"/>
          <w:iCs w:val="0"/>
          <w:color w:val="auto"/>
          <w:sz w:val="24"/>
          <w:szCs w:val="24"/>
          <w:highlight w:val="none"/>
          <w:u w:val="single"/>
        </w:rPr>
        <w:t xml:space="preserve">                                     </w:t>
      </w:r>
    </w:p>
    <w:p w14:paraId="0041BED4">
      <w:pPr>
        <w:pageBreakBefore w:val="0"/>
        <w:kinsoku/>
        <w:wordWrap/>
        <w:overflowPunct/>
        <w:topLinePunct w:val="0"/>
        <w:bidi w:val="0"/>
        <w:adjustRightInd w:val="0"/>
        <w:snapToGrid w:val="0"/>
        <w:spacing w:line="360" w:lineRule="auto"/>
        <w:ind w:left="0" w:leftChars="0" w:right="0" w:rightChars="0"/>
        <w:textAlignment w:val="auto"/>
        <w:outlineLvl w:val="9"/>
        <w:rPr>
          <w:rFonts w:hint="eastAsia" w:ascii="仿宋" w:hAnsi="仿宋" w:eastAsia="仿宋" w:cs="仿宋"/>
          <w:i w:val="0"/>
          <w:iCs w:val="0"/>
          <w:color w:val="auto"/>
          <w:sz w:val="24"/>
          <w:szCs w:val="24"/>
          <w:highlight w:val="none"/>
        </w:rPr>
      </w:pPr>
    </w:p>
    <w:p w14:paraId="76E6DBA6">
      <w:pPr>
        <w:pageBreakBefore w:val="0"/>
        <w:kinsoku/>
        <w:wordWrap/>
        <w:overflowPunct/>
        <w:topLinePunct w:val="0"/>
        <w:bidi w:val="0"/>
        <w:adjustRightInd w:val="0"/>
        <w:snapToGrid w:val="0"/>
        <w:spacing w:line="360" w:lineRule="auto"/>
        <w:ind w:right="0" w:rightChars="0"/>
        <w:textAlignment w:val="auto"/>
        <w:outlineLvl w:val="9"/>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签订日期：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日</w:t>
      </w:r>
    </w:p>
    <w:p w14:paraId="62A40504">
      <w:pPr>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仿宋" w:hAnsi="仿宋" w:eastAsia="仿宋" w:cs="仿宋"/>
          <w:i w:val="0"/>
          <w:iCs w:val="0"/>
          <w:color w:val="auto"/>
          <w:kern w:val="0"/>
          <w:sz w:val="24"/>
          <w:szCs w:val="24"/>
          <w:highlight w:val="none"/>
        </w:rPr>
        <w:sectPr>
          <w:pgSz w:w="11907" w:h="16840"/>
          <w:pgMar w:top="1474" w:right="1814" w:bottom="1474" w:left="1814" w:header="851" w:footer="851" w:gutter="0"/>
          <w:cols w:space="720" w:num="1"/>
        </w:sectPr>
      </w:pPr>
    </w:p>
    <w:p w14:paraId="10E1000F">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i w:val="0"/>
          <w:iCs w:val="0"/>
          <w:color w:val="auto"/>
          <w:sz w:val="24"/>
          <w:szCs w:val="24"/>
          <w:highlight w:val="none"/>
          <w:u w:val="single"/>
        </w:rPr>
        <w:t xml:space="preserve">   （采购人）   </w:t>
      </w:r>
      <w:r>
        <w:rPr>
          <w:rFonts w:hint="eastAsia" w:ascii="仿宋" w:hAnsi="仿宋" w:eastAsia="仿宋" w:cs="仿宋"/>
          <w:i w:val="0"/>
          <w:iCs w:val="0"/>
          <w:color w:val="auto"/>
          <w:sz w:val="24"/>
          <w:szCs w:val="24"/>
          <w:highlight w:val="none"/>
          <w:lang w:val="zh-CN"/>
        </w:rPr>
        <w:t>(以下简称：甲方)和</w:t>
      </w:r>
      <w:r>
        <w:rPr>
          <w:rFonts w:hint="eastAsia" w:ascii="仿宋" w:hAnsi="仿宋" w:eastAsia="仿宋" w:cs="仿宋"/>
          <w:i w:val="0"/>
          <w:iCs w:val="0"/>
          <w:color w:val="auto"/>
          <w:sz w:val="24"/>
          <w:szCs w:val="24"/>
          <w:highlight w:val="none"/>
          <w:u w:val="single"/>
        </w:rPr>
        <w:t xml:space="preserve">   （中或者成交标供应商名称）   </w:t>
      </w:r>
      <w:r>
        <w:rPr>
          <w:rFonts w:hint="eastAsia" w:ascii="仿宋" w:hAnsi="仿宋" w:eastAsia="仿宋" w:cs="仿宋"/>
          <w:i w:val="0"/>
          <w:iCs w:val="0"/>
          <w:color w:val="auto"/>
          <w:sz w:val="24"/>
          <w:szCs w:val="24"/>
          <w:highlight w:val="none"/>
          <w:lang w:val="zh-CN"/>
        </w:rPr>
        <w:t>(以下简称：乙方)协商一致，约定以下合同</w:t>
      </w:r>
      <w:r>
        <w:rPr>
          <w:rFonts w:hint="eastAsia" w:ascii="仿宋" w:hAnsi="仿宋" w:eastAsia="仿宋" w:cs="仿宋"/>
          <w:i w:val="0"/>
          <w:iCs w:val="0"/>
          <w:color w:val="auto"/>
          <w:sz w:val="24"/>
          <w:szCs w:val="24"/>
          <w:highlight w:val="none"/>
        </w:rPr>
        <w:t>条款，以兹共同遵守、全面履行。</w:t>
      </w:r>
    </w:p>
    <w:p w14:paraId="2EA11F8C">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一</w:t>
      </w:r>
      <w:r>
        <w:rPr>
          <w:rFonts w:hint="eastAsia" w:ascii="仿宋" w:hAnsi="仿宋" w:eastAsia="仿宋" w:cs="仿宋"/>
          <w:b/>
          <w:bCs/>
          <w:snapToGrid w:val="0"/>
          <w:sz w:val="24"/>
          <w:szCs w:val="24"/>
          <w:highlight w:val="none"/>
        </w:rPr>
        <w:t>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服务内容、质量标准和要求</w:t>
      </w:r>
    </w:p>
    <w:p w14:paraId="49F74D6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（一）服务内容</w:t>
      </w:r>
    </w:p>
    <w:p w14:paraId="41248B7A">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基本情况：本项目范围包含金沙世纪（1栋）、泰美国际（2栋）、滟澜星座（2栋）、金沙湖1号（3栋）、财通大厦（1栋）、东方铭楼（1栋）、晓城天地（4栋）、龙湖天街（1栋）、湖景居（5栋）、锦湖家园（22栋）、永裕大厦（8栋），共11处建筑群计50栋楼宇及1处互动灯光装置。</w:t>
      </w:r>
    </w:p>
    <w:p w14:paraId="2E470357">
      <w:pPr>
        <w:tabs>
          <w:tab w:val="left" w:pos="0"/>
        </w:tabs>
        <w:adjustRightInd w:val="0"/>
        <w:snapToGrid w:val="0"/>
        <w:spacing w:line="360" w:lineRule="auto"/>
        <w:ind w:firstLine="480" w:firstLineChars="200"/>
        <w:rPr>
          <w:rFonts w:hint="eastAsia"/>
        </w:rPr>
      </w:pPr>
      <w:r>
        <w:rPr>
          <w:rFonts w:hint="eastAsia" w:ascii="仿宋" w:hAnsi="仿宋" w:eastAsia="仿宋" w:cs="仿宋"/>
          <w:color w:val="auto"/>
          <w:sz w:val="24"/>
          <w:highlight w:val="none"/>
        </w:rPr>
        <w:t>项目设施量：本项目均为楼宇灯具，像素灯占多数，像素灯数量计算方式以及单盏价格对养护费有较大的影响（规格：长度1米，8个灯珠，功率16w），本项目共有灯具73138盏，均为楼宇灯具（其中像素灯按参照"1米=1盏"标准计量，共63912米,即63912盏），总功率为1182.625千瓦。具体工程量详见</w:t>
      </w:r>
      <w:r>
        <w:rPr>
          <w:rFonts w:hint="eastAsia" w:ascii="仿宋" w:hAnsi="仿宋" w:eastAsia="仿宋" w:cs="仿宋"/>
          <w:color w:val="auto"/>
          <w:sz w:val="24"/>
          <w:highlight w:val="none"/>
          <w:lang w:eastAsia="zh-CN"/>
        </w:rPr>
        <w:t>本项目采购文件</w:t>
      </w:r>
      <w:r>
        <w:rPr>
          <w:rFonts w:hint="eastAsia" w:ascii="仿宋" w:hAnsi="仿宋" w:eastAsia="仿宋" w:cs="仿宋"/>
          <w:color w:val="auto"/>
          <w:sz w:val="24"/>
          <w:highlight w:val="none"/>
        </w:rPr>
        <w:t>，最终以</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项目现场实际情况为准。</w:t>
      </w:r>
    </w:p>
    <w:p w14:paraId="6C31FEC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通过维修、维护、设施设备更新等方式保障景观灯设施的正常运行，并及时发现景观灯存在的安全隐患，及时解决，确保景观灯设施、作业人员及第三方人身财产的安全。</w:t>
      </w:r>
    </w:p>
    <w:p w14:paraId="76D5D5E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主要包括</w:t>
      </w:r>
      <w:r>
        <w:rPr>
          <w:rFonts w:hint="eastAsia" w:ascii="仿宋" w:hAnsi="仿宋" w:eastAsia="仿宋" w:cs="仿宋"/>
          <w:sz w:val="24"/>
          <w:szCs w:val="24"/>
          <w:highlight w:val="none"/>
          <w:lang w:val="en-US" w:eastAsia="zh-CN"/>
        </w:rPr>
        <w:t>:1.光源、灯具及配件、箱变、电器、杆件、标识牌、配电设施、灯具外壳、支架、电缆（含电缆管道）、开关控制箱、工作井、</w:t>
      </w:r>
      <w:r>
        <w:rPr>
          <w:rFonts w:hint="eastAsia" w:ascii="仿宋" w:hAnsi="仿宋" w:eastAsia="仿宋" w:cs="仿宋"/>
          <w:color w:val="auto"/>
          <w:sz w:val="24"/>
          <w:szCs w:val="24"/>
          <w:highlight w:val="none"/>
          <w:lang w:val="en-US"/>
        </w:rPr>
        <w:t>配电室、低压配电柜、控制器、</w:t>
      </w:r>
      <w:r>
        <w:rPr>
          <w:rFonts w:hint="eastAsia" w:ascii="仿宋" w:hAnsi="仿宋" w:eastAsia="仿宋" w:cs="仿宋"/>
          <w:sz w:val="24"/>
          <w:szCs w:val="24"/>
          <w:highlight w:val="none"/>
          <w:lang w:val="en-US" w:eastAsia="zh-CN"/>
        </w:rPr>
        <w:t>穿线管、配电箱、线卡、绳索、螺栓、电源适配器、防雷装置、防水密封材料等涉及景观灯及其附属设施设备所有内容</w:t>
      </w:r>
      <w:r>
        <w:rPr>
          <w:rFonts w:hint="eastAsia" w:ascii="仿宋" w:hAnsi="仿宋" w:eastAsia="仿宋" w:cs="仿宋"/>
          <w:color w:val="auto"/>
          <w:sz w:val="24"/>
          <w:szCs w:val="24"/>
          <w:highlight w:val="none"/>
          <w:lang w:val="en-US"/>
        </w:rPr>
        <w:t>进行日常维修、检测、更换、保洁、保养、油漆、设施巡查、防盗（看护、处理）</w:t>
      </w:r>
      <w:r>
        <w:rPr>
          <w:rFonts w:hint="eastAsia" w:ascii="仿宋" w:hAnsi="仿宋" w:eastAsia="仿宋" w:cs="仿宋"/>
          <w:color w:val="auto"/>
          <w:sz w:val="24"/>
          <w:szCs w:val="24"/>
          <w:highlight w:val="none"/>
          <w:lang w:val="en-US" w:eastAsia="zh-CN"/>
        </w:rPr>
        <w:t>等维护工作</w:t>
      </w:r>
      <w:r>
        <w:rPr>
          <w:rFonts w:hint="eastAsia" w:ascii="仿宋" w:hAnsi="仿宋" w:eastAsia="仿宋" w:cs="仿宋"/>
          <w:sz w:val="24"/>
          <w:szCs w:val="24"/>
          <w:highlight w:val="none"/>
          <w:lang w:val="en-US" w:eastAsia="zh-CN"/>
        </w:rPr>
        <w:t>；2.对项目进行日常巡查、安全</w:t>
      </w:r>
      <w:r>
        <w:rPr>
          <w:rFonts w:hint="eastAsia" w:ascii="仿宋" w:hAnsi="仿宋" w:eastAsia="仿宋" w:cs="仿宋"/>
          <w:sz w:val="24"/>
          <w:szCs w:val="24"/>
          <w:highlight w:val="none"/>
        </w:rPr>
        <w:t>检查、防盗管理等工作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防汛抗台、抗雪防冻</w:t>
      </w:r>
      <w:r>
        <w:rPr>
          <w:rFonts w:hint="eastAsia" w:ascii="仿宋" w:hAnsi="仿宋" w:eastAsia="仿宋" w:cs="仿宋"/>
          <w:sz w:val="24"/>
          <w:szCs w:val="24"/>
          <w:highlight w:val="none"/>
          <w:lang w:eastAsia="zh-CN"/>
        </w:rPr>
        <w:t>、临时或重大任务</w:t>
      </w:r>
      <w:r>
        <w:rPr>
          <w:rFonts w:hint="eastAsia" w:ascii="仿宋" w:hAnsi="仿宋" w:eastAsia="仿宋" w:cs="仿宋"/>
          <w:sz w:val="24"/>
          <w:szCs w:val="24"/>
          <w:highlight w:val="none"/>
        </w:rPr>
        <w:t>等应急保障工作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本项目养护区域范围内社会产权亮灯项目巡查及问题反馈；5.养护范围内，新增景观亮灯项目移交接收，质保期内，质量问题由施工单位负责外，另外与正常养护内容一致，该工作产生的养护费用（不含电费）由投标单位在本次投标报价中同步考虑；6.服务器租赁费、宽带租赁费、灯光秀制作费用及各楼宇亮灯电费（不含从公共箱变接电电费）等涉及本项目亮灯养护的相关费用；7.本项目涉及的</w:t>
      </w:r>
      <w:r>
        <w:rPr>
          <w:rFonts w:hint="eastAsia" w:ascii="仿宋" w:hAnsi="仿宋" w:eastAsia="仿宋" w:cs="仿宋"/>
          <w:color w:val="auto"/>
          <w:sz w:val="24"/>
          <w:szCs w:val="24"/>
          <w:highlight w:val="none"/>
        </w:rPr>
        <w:t>区属箱变（范围为围栏区域内）及附属设施的</w:t>
      </w:r>
      <w:r>
        <w:rPr>
          <w:rFonts w:hint="eastAsia" w:ascii="仿宋" w:hAnsi="仿宋" w:eastAsia="仿宋" w:cs="仿宋"/>
          <w:color w:val="auto"/>
          <w:kern w:val="2"/>
          <w:sz w:val="24"/>
          <w:szCs w:val="24"/>
          <w:highlight w:val="none"/>
        </w:rPr>
        <w:t>日常巡查、保洁、维护、维修、外接电管理、抄表、费用追缴等涉及箱变的所有工作</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在养护期内</w:t>
      </w:r>
      <w:r>
        <w:rPr>
          <w:rFonts w:hint="eastAsia" w:ascii="仿宋" w:hAnsi="仿宋" w:eastAsia="仿宋" w:cs="仿宋"/>
          <w:color w:val="auto"/>
          <w:kern w:val="2"/>
          <w:sz w:val="24"/>
          <w:szCs w:val="24"/>
          <w:highlight w:val="none"/>
          <w:lang w:eastAsia="zh-CN"/>
        </w:rPr>
        <w:t>（第三年正常养护期）</w:t>
      </w:r>
      <w:r>
        <w:rPr>
          <w:rFonts w:hint="eastAsia" w:ascii="仿宋" w:hAnsi="仿宋" w:eastAsia="仿宋" w:cs="仿宋"/>
          <w:color w:val="auto"/>
          <w:kern w:val="2"/>
          <w:sz w:val="24"/>
          <w:szCs w:val="24"/>
          <w:highlight w:val="none"/>
        </w:rPr>
        <w:t>维修费累计在</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万元以内（以电力设施设备的信息价或定额计算为准）由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不再另行支付；</w:t>
      </w:r>
      <w:r>
        <w:rPr>
          <w:rFonts w:hint="eastAsia" w:ascii="仿宋" w:hAnsi="仿宋" w:eastAsia="仿宋" w:cs="仿宋"/>
          <w:color w:val="auto"/>
          <w:kern w:val="2"/>
          <w:sz w:val="24"/>
          <w:szCs w:val="24"/>
          <w:highlight w:val="none"/>
          <w:lang w:eastAsia="zh-CN"/>
        </w:rPr>
        <w:t>超过</w:t>
      </w:r>
      <w:r>
        <w:rPr>
          <w:rFonts w:hint="eastAsia" w:ascii="仿宋" w:hAnsi="仿宋" w:eastAsia="仿宋" w:cs="仿宋"/>
          <w:color w:val="auto"/>
          <w:kern w:val="2"/>
          <w:sz w:val="24"/>
          <w:szCs w:val="24"/>
          <w:highlight w:val="none"/>
          <w:lang w:val="en-US" w:eastAsia="zh-CN"/>
        </w:rPr>
        <w:t>20万元的，双方另协商解决</w:t>
      </w:r>
      <w:r>
        <w:rPr>
          <w:rFonts w:hint="eastAsia" w:ascii="仿宋" w:hAnsi="仿宋" w:eastAsia="仿宋" w:cs="仿宋"/>
          <w:sz w:val="24"/>
          <w:szCs w:val="24"/>
          <w:highlight w:val="none"/>
          <w:lang w:val="en-US" w:eastAsia="zh-CN"/>
        </w:rPr>
        <w:t>；8.合同期间甲方落实的其他相关事宜。</w:t>
      </w:r>
    </w:p>
    <w:p w14:paraId="3FD50B02">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w:t>
      </w:r>
      <w:r>
        <w:rPr>
          <w:rFonts w:hint="eastAsia" w:ascii="仿宋" w:hAnsi="仿宋" w:eastAsia="仿宋" w:cs="仿宋"/>
          <w:b/>
          <w:bCs/>
          <w:color w:val="000000"/>
          <w:sz w:val="24"/>
          <w:szCs w:val="24"/>
          <w:highlight w:val="none"/>
        </w:rPr>
        <w:t>养护具体内容</w:t>
      </w:r>
      <w:r>
        <w:rPr>
          <w:rFonts w:hint="eastAsia" w:ascii="仿宋" w:hAnsi="仿宋" w:eastAsia="仿宋" w:cs="仿宋"/>
          <w:b/>
          <w:bCs/>
          <w:color w:val="000000"/>
          <w:sz w:val="24"/>
          <w:szCs w:val="24"/>
          <w:highlight w:val="none"/>
          <w:lang w:eastAsia="zh-CN"/>
        </w:rPr>
        <w:t>：</w:t>
      </w:r>
    </w:p>
    <w:p w14:paraId="4AE6BBD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rPr>
        <w:t>（1）运行与控制：对景观灯及附属设施进行日常运行与控制。</w:t>
      </w:r>
    </w:p>
    <w:p w14:paraId="003769E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rPr>
        <w:t>（2）总体要求：</w:t>
      </w:r>
      <w:r>
        <w:rPr>
          <w:rFonts w:hint="eastAsia" w:ascii="仿宋" w:hAnsi="仿宋" w:eastAsia="仿宋" w:cs="仿宋"/>
          <w:color w:val="auto"/>
          <w:kern w:val="2"/>
          <w:sz w:val="24"/>
          <w:szCs w:val="24"/>
          <w:highlight w:val="none"/>
          <w:lang w:eastAsia="zh-CN"/>
        </w:rPr>
        <w:t>保障照明设施安全正常运行</w:t>
      </w:r>
      <w:r>
        <w:rPr>
          <w:rFonts w:hint="eastAsia" w:ascii="仿宋" w:hAnsi="仿宋" w:eastAsia="仿宋" w:cs="仿宋"/>
          <w:color w:val="auto"/>
          <w:kern w:val="2"/>
          <w:sz w:val="24"/>
          <w:szCs w:val="24"/>
          <w:highlight w:val="none"/>
          <w:lang w:val="en-US"/>
        </w:rPr>
        <w:t>，照明亮灯率达到98%，设施完好率应达到98%。</w:t>
      </w:r>
    </w:p>
    <w:p w14:paraId="504D62FE">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rPr>
        <w:t>（</w:t>
      </w:r>
      <w:r>
        <w:rPr>
          <w:rFonts w:hint="eastAsia" w:ascii="仿宋" w:hAnsi="仿宋" w:eastAsia="仿宋" w:cs="仿宋"/>
          <w:color w:val="auto"/>
          <w:kern w:val="2"/>
          <w:sz w:val="24"/>
          <w:szCs w:val="24"/>
          <w:highlight w:val="none"/>
        </w:rPr>
        <w:t>3</w:t>
      </w:r>
      <w:r>
        <w:rPr>
          <w:rFonts w:hint="eastAsia" w:ascii="仿宋" w:hAnsi="仿宋" w:eastAsia="仿宋" w:cs="仿宋"/>
          <w:color w:val="auto"/>
          <w:kern w:val="2"/>
          <w:sz w:val="24"/>
          <w:szCs w:val="24"/>
          <w:highlight w:val="none"/>
          <w:lang w:val="en-US"/>
        </w:rPr>
        <w:t>）巡查及清洗</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en-US"/>
        </w:rPr>
        <w:t>对养护内容进行日常巡查，对设备的运行情况及时记录，</w:t>
      </w:r>
      <w:r>
        <w:rPr>
          <w:rFonts w:hint="eastAsia" w:ascii="仿宋" w:hAnsi="仿宋" w:eastAsia="仿宋" w:cs="仿宋"/>
          <w:color w:val="auto"/>
          <w:sz w:val="24"/>
          <w:szCs w:val="24"/>
          <w:highlight w:val="none"/>
        </w:rPr>
        <w:t>要求对养护范围的</w:t>
      </w:r>
      <w:r>
        <w:rPr>
          <w:rFonts w:hint="eastAsia" w:ascii="仿宋" w:hAnsi="仿宋" w:eastAsia="仿宋" w:cs="仿宋"/>
          <w:color w:val="auto"/>
          <w:sz w:val="24"/>
          <w:szCs w:val="24"/>
          <w:highlight w:val="none"/>
          <w:lang w:eastAsia="zh-CN"/>
        </w:rPr>
        <w:t>景观灯</w:t>
      </w:r>
      <w:r>
        <w:rPr>
          <w:rFonts w:hint="eastAsia" w:ascii="仿宋" w:hAnsi="仿宋" w:eastAsia="仿宋" w:cs="仿宋"/>
          <w:color w:val="auto"/>
          <w:sz w:val="24"/>
          <w:szCs w:val="24"/>
          <w:highlight w:val="none"/>
        </w:rPr>
        <w:t>等设施进行全方位巡查，</w:t>
      </w:r>
      <w:r>
        <w:rPr>
          <w:rFonts w:hint="eastAsia" w:ascii="仿宋" w:hAnsi="仿宋" w:eastAsia="仿宋" w:cs="仿宋"/>
          <w:color w:val="auto"/>
          <w:sz w:val="24"/>
          <w:szCs w:val="24"/>
          <w:highlight w:val="none"/>
          <w:lang w:eastAsia="zh-CN"/>
        </w:rPr>
        <w:t>做好每日巡查</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lang w:eastAsia="zh-CN"/>
        </w:rPr>
        <w:t>其中每次亮灯期间的巡查覆盖率为</w:t>
      </w:r>
      <w:r>
        <w:rPr>
          <w:rFonts w:hint="eastAsia" w:ascii="仿宋" w:hAnsi="仿宋" w:eastAsia="仿宋" w:cs="仿宋"/>
          <w:sz w:val="24"/>
          <w:szCs w:val="24"/>
          <w:highlight w:val="none"/>
          <w:lang w:val="en-US" w:eastAsia="zh-CN"/>
        </w:rPr>
        <w:t>100%，</w:t>
      </w:r>
      <w:r>
        <w:rPr>
          <w:rFonts w:hint="eastAsia" w:ascii="仿宋" w:hAnsi="仿宋" w:eastAsia="仿宋" w:cs="仿宋"/>
          <w:color w:val="auto"/>
          <w:sz w:val="24"/>
          <w:szCs w:val="24"/>
          <w:highlight w:val="none"/>
        </w:rPr>
        <w:t>巡查过程中将断亮缺亮等问题拍照记录编辑；</w:t>
      </w:r>
      <w:r>
        <w:rPr>
          <w:rFonts w:hint="eastAsia" w:ascii="仿宋" w:hAnsi="仿宋" w:eastAsia="仿宋" w:cs="仿宋"/>
          <w:color w:val="auto"/>
          <w:kern w:val="2"/>
          <w:sz w:val="24"/>
          <w:szCs w:val="24"/>
          <w:highlight w:val="none"/>
          <w:lang w:val="en-US"/>
        </w:rPr>
        <w:t>变压器、配电箱(柜)每月巡检一次；地埋电缆线路每半年巡检一次；接地(或接零)装置每年在干燥季节（冬季）巡检一次；独立的防雷装置应在每年的雷雨季节前（春季）巡检一次；漏电保护装置应每季巡检一次；灯杆、灯罩、设备等亮灯设施每</w:t>
      </w:r>
      <w:r>
        <w:rPr>
          <w:rFonts w:hint="eastAsia" w:ascii="仿宋" w:hAnsi="仿宋" w:eastAsia="仿宋" w:cs="仿宋"/>
          <w:color w:val="auto"/>
          <w:kern w:val="2"/>
          <w:sz w:val="24"/>
          <w:szCs w:val="24"/>
          <w:highlight w:val="none"/>
          <w:lang w:val="en-US" w:eastAsia="zh-CN"/>
        </w:rPr>
        <w:t>季度系统性</w:t>
      </w:r>
      <w:r>
        <w:rPr>
          <w:rFonts w:hint="eastAsia" w:ascii="仿宋" w:hAnsi="仿宋" w:eastAsia="仿宋" w:cs="仿宋"/>
          <w:color w:val="auto"/>
          <w:kern w:val="2"/>
          <w:sz w:val="24"/>
          <w:szCs w:val="24"/>
          <w:highlight w:val="none"/>
          <w:lang w:val="en-US"/>
        </w:rPr>
        <w:t>清洗一次，或设施明显积尘</w:t>
      </w:r>
      <w:r>
        <w:rPr>
          <w:rFonts w:hint="eastAsia" w:ascii="仿宋" w:hAnsi="仿宋" w:eastAsia="仿宋" w:cs="仿宋"/>
          <w:color w:val="auto"/>
          <w:kern w:val="2"/>
          <w:sz w:val="24"/>
          <w:szCs w:val="24"/>
          <w:highlight w:val="none"/>
          <w:lang w:val="en-US" w:eastAsia="zh-CN"/>
        </w:rPr>
        <w:t>时</w:t>
      </w:r>
      <w:r>
        <w:rPr>
          <w:rFonts w:hint="eastAsia" w:ascii="仿宋" w:hAnsi="仿宋" w:eastAsia="仿宋" w:cs="仿宋"/>
          <w:color w:val="auto"/>
          <w:sz w:val="24"/>
          <w:highlight w:val="none"/>
          <w:lang w:val="en-US" w:eastAsia="zh-CN"/>
        </w:rPr>
        <w:t>应立即启动清洗</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en-US"/>
        </w:rPr>
        <w:t>及时清除灯柱乱张贴</w:t>
      </w:r>
      <w:r>
        <w:rPr>
          <w:rFonts w:hint="eastAsia" w:ascii="仿宋" w:hAnsi="仿宋" w:eastAsia="仿宋" w:cs="仿宋"/>
          <w:color w:val="auto"/>
          <w:kern w:val="2"/>
          <w:sz w:val="24"/>
          <w:szCs w:val="24"/>
          <w:highlight w:val="none"/>
          <w:lang w:val="en-US" w:eastAsia="zh-CN"/>
        </w:rPr>
        <w:t>、乱涂鸦</w:t>
      </w:r>
      <w:r>
        <w:rPr>
          <w:rFonts w:hint="eastAsia" w:ascii="仿宋" w:hAnsi="仿宋" w:eastAsia="仿宋" w:cs="仿宋"/>
          <w:color w:val="auto"/>
          <w:kern w:val="2"/>
          <w:sz w:val="24"/>
          <w:szCs w:val="24"/>
          <w:highlight w:val="none"/>
          <w:lang w:val="en-US"/>
        </w:rPr>
        <w:t>，</w:t>
      </w:r>
      <w:r>
        <w:rPr>
          <w:rFonts w:hint="eastAsia" w:ascii="仿宋" w:hAnsi="仿宋" w:eastAsia="仿宋" w:cs="仿宋"/>
          <w:color w:val="auto"/>
          <w:sz w:val="24"/>
          <w:szCs w:val="24"/>
          <w:highlight w:val="none"/>
        </w:rPr>
        <w:t>污染严重地段加大清洁工作频率；</w:t>
      </w:r>
      <w:r>
        <w:rPr>
          <w:rFonts w:hint="eastAsia" w:ascii="仿宋" w:hAnsi="仿宋" w:eastAsia="仿宋" w:cs="仿宋"/>
          <w:color w:val="auto"/>
          <w:kern w:val="2"/>
          <w:sz w:val="24"/>
          <w:szCs w:val="24"/>
          <w:highlight w:val="none"/>
          <w:lang w:val="en-US"/>
        </w:rPr>
        <w:t>集中控制装置、照明节电装置或其他智慧照明装置每半年巡检一次；设施被盜频发地段应安排人员每天巡查；连续高温、台风、雷雨或冰雪等特殊自然灾害性气候，应按城市照明监管机构要求进行防火、防汛、防台、防雷、抗雪等专项检查，并增加巡检次数，必要时作临时断电处理。</w:t>
      </w:r>
    </w:p>
    <w:p w14:paraId="502A3F0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rPr>
        <w:t>（</w:t>
      </w:r>
      <w:r>
        <w:rPr>
          <w:rFonts w:hint="eastAsia" w:ascii="仿宋" w:hAnsi="仿宋" w:eastAsia="仿宋" w:cs="仿宋"/>
          <w:color w:val="auto"/>
          <w:kern w:val="2"/>
          <w:sz w:val="24"/>
          <w:szCs w:val="24"/>
          <w:highlight w:val="none"/>
        </w:rPr>
        <w:t>4</w:t>
      </w:r>
      <w:r>
        <w:rPr>
          <w:rFonts w:hint="eastAsia" w:ascii="仿宋" w:hAnsi="仿宋" w:eastAsia="仿宋" w:cs="仿宋"/>
          <w:color w:val="auto"/>
          <w:kern w:val="2"/>
          <w:sz w:val="24"/>
          <w:szCs w:val="24"/>
          <w:highlight w:val="none"/>
          <w:lang w:val="en-US"/>
        </w:rPr>
        <w:t>）喷漆翻新</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en-US"/>
        </w:rPr>
        <w:t>灯具、灯架和配电箱柜等锈蚀或油漆脱落面积10%以内的补漆，灯具、箱体及其他影响观瞻的设备表面喷漆每年一次。</w:t>
      </w:r>
    </w:p>
    <w:p w14:paraId="00A24EF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rPr>
        <w:t>（</w:t>
      </w: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rPr>
        <w:t>）设备设施维护检测</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lang w:val="en-US"/>
        </w:rPr>
        <w:t>按维护要求，</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lang w:val="en-US"/>
        </w:rPr>
        <w:t>做好春、秋两季定期常规检</w:t>
      </w:r>
      <w:r>
        <w:rPr>
          <w:rFonts w:hint="eastAsia" w:ascii="仿宋" w:hAnsi="仿宋" w:eastAsia="仿宋" w:cs="仿宋"/>
          <w:color w:val="auto"/>
          <w:kern w:val="2"/>
          <w:sz w:val="24"/>
          <w:szCs w:val="24"/>
          <w:highlight w:val="none"/>
          <w:lang w:val="en-US" w:eastAsia="zh-CN"/>
        </w:rPr>
        <w:t>测</w:t>
      </w:r>
      <w:r>
        <w:rPr>
          <w:rFonts w:hint="eastAsia" w:ascii="仿宋" w:hAnsi="仿宋" w:eastAsia="仿宋" w:cs="仿宋"/>
          <w:color w:val="auto"/>
          <w:kern w:val="2"/>
          <w:sz w:val="24"/>
          <w:szCs w:val="24"/>
          <w:highlight w:val="none"/>
          <w:lang w:val="en-US"/>
        </w:rPr>
        <w:t>电缆、开关控制箱、箱变各一次；箱变预防性检测两年一次</w:t>
      </w:r>
      <w:r>
        <w:rPr>
          <w:rFonts w:hint="eastAsia" w:ascii="仿宋" w:hAnsi="仿宋" w:eastAsia="仿宋" w:cs="仿宋"/>
          <w:color w:val="auto"/>
          <w:sz w:val="24"/>
          <w:szCs w:val="24"/>
          <w:highlight w:val="none"/>
        </w:rPr>
        <w:t>。</w:t>
      </w:r>
    </w:p>
    <w:p w14:paraId="32F64CD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6）</w:t>
      </w:r>
      <w:r>
        <w:rPr>
          <w:rFonts w:hint="eastAsia" w:ascii="仿宋" w:hAnsi="仿宋" w:eastAsia="仿宋" w:cs="仿宋"/>
          <w:snapToGrid/>
          <w:color w:val="auto"/>
          <w:kern w:val="2"/>
          <w:sz w:val="24"/>
          <w:szCs w:val="24"/>
          <w:highlight w:val="none"/>
          <w:lang w:val="en-US"/>
        </w:rPr>
        <w:t>照</w:t>
      </w:r>
      <w:r>
        <w:rPr>
          <w:rFonts w:hint="eastAsia" w:ascii="仿宋" w:hAnsi="仿宋" w:eastAsia="仿宋" w:cs="仿宋"/>
          <w:color w:val="auto"/>
          <w:sz w:val="24"/>
          <w:szCs w:val="24"/>
          <w:highlight w:val="none"/>
          <w:lang w:val="en-US"/>
        </w:rPr>
        <w:t>明设施故障修复时间：单灯缺亮，2个工作日内修复；电线裸露、杆线吊挂、灯具脱落、电缆井盖缺失等，应在2个小时内进行安全预措施，并在24小时内修复；城市照明设施专用变压器(本体损坏外)、配电箱故障，2个工作日内修复；发生大面积熄灯故障，24小时内修复；因照明设施被盗引起的故障，应及时采取安全措施，并在具备修复条件后3个工作日内修复；设施标牌脱落及时恢复;集中控制装置或其他智慧照明装置损坏，或控制时间、地点出现差错的，应在24小时内修复；因特殊情况可在规定时间内提出延期申请。</w:t>
      </w:r>
    </w:p>
    <w:p w14:paraId="61A6E6D7">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7）设施防腐处理：灯架、吊线等受力受压件，以及依附其上的承重螺丝，和控制柜等附属设施，锈蚀深度不超过10%，其他非受力零部件，锈蚀深度不超过25%。锈蚀深度超过要求的零部件，应予以更换。</w:t>
      </w:r>
    </w:p>
    <w:p w14:paraId="473B9E5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）日常维护</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光源、灯具及配件、箱变、电器、杆件、标识牌、配电设施、灯具外壳、支架、电缆（含电缆管道）、开关控制箱、工作井、</w:t>
      </w:r>
      <w:r>
        <w:rPr>
          <w:rFonts w:hint="eastAsia" w:ascii="仿宋" w:hAnsi="仿宋" w:eastAsia="仿宋" w:cs="仿宋"/>
          <w:sz w:val="24"/>
          <w:szCs w:val="24"/>
          <w:highlight w:val="none"/>
          <w:lang w:val="en-US"/>
        </w:rPr>
        <w:t>配电室、低压配电柜、控制器、</w:t>
      </w:r>
      <w:r>
        <w:rPr>
          <w:rFonts w:hint="eastAsia" w:ascii="仿宋" w:hAnsi="仿宋" w:eastAsia="仿宋" w:cs="仿宋"/>
          <w:sz w:val="24"/>
          <w:szCs w:val="24"/>
          <w:highlight w:val="none"/>
          <w:lang w:val="en-US" w:eastAsia="zh-CN"/>
        </w:rPr>
        <w:t>穿线管、配电箱、线卡、绳索、螺栓、电源适配器、防雷装置、防水密封材料等涉及景观灯及其附属设施设备所有内容</w:t>
      </w:r>
      <w:r>
        <w:rPr>
          <w:rFonts w:hint="eastAsia" w:ascii="仿宋" w:hAnsi="仿宋" w:eastAsia="仿宋" w:cs="仿宋"/>
          <w:color w:val="auto"/>
          <w:sz w:val="24"/>
          <w:szCs w:val="24"/>
          <w:highlight w:val="none"/>
          <w:lang w:val="en-US"/>
        </w:rPr>
        <w:t>进行日常维修、检测、更换、保洁、保养、油漆、设施巡查、防盗（看护、处理）</w:t>
      </w:r>
      <w:r>
        <w:rPr>
          <w:rFonts w:hint="eastAsia" w:ascii="仿宋" w:hAnsi="仿宋" w:eastAsia="仿宋" w:cs="仿宋"/>
          <w:color w:val="auto"/>
          <w:sz w:val="24"/>
          <w:szCs w:val="24"/>
          <w:highlight w:val="none"/>
          <w:lang w:val="en-US" w:eastAsia="zh-CN"/>
        </w:rPr>
        <w:t>等维护工作</w:t>
      </w:r>
      <w:r>
        <w:rPr>
          <w:rFonts w:hint="eastAsia" w:ascii="仿宋" w:hAnsi="仿宋" w:eastAsia="仿宋" w:cs="仿宋"/>
          <w:sz w:val="24"/>
          <w:szCs w:val="24"/>
          <w:highlight w:val="none"/>
          <w:lang w:eastAsia="zh-CN"/>
        </w:rPr>
        <w:t>。</w:t>
      </w:r>
    </w:p>
    <w:p w14:paraId="4F51D75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对项目进行日常巡查、安全</w:t>
      </w:r>
      <w:r>
        <w:rPr>
          <w:rFonts w:hint="eastAsia" w:ascii="仿宋" w:hAnsi="仿宋" w:eastAsia="仿宋" w:cs="仿宋"/>
          <w:sz w:val="24"/>
          <w:szCs w:val="24"/>
          <w:highlight w:val="none"/>
        </w:rPr>
        <w:t>检查、防盗管理等工作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防汛抗台、抗雪防冻</w:t>
      </w:r>
      <w:r>
        <w:rPr>
          <w:rFonts w:hint="eastAsia" w:ascii="仿宋" w:hAnsi="仿宋" w:eastAsia="仿宋" w:cs="仿宋"/>
          <w:sz w:val="24"/>
          <w:szCs w:val="24"/>
          <w:highlight w:val="none"/>
          <w:lang w:eastAsia="zh-CN"/>
        </w:rPr>
        <w:t>、临时或重大任务</w:t>
      </w:r>
      <w:r>
        <w:rPr>
          <w:rFonts w:hint="eastAsia" w:ascii="仿宋" w:hAnsi="仿宋" w:eastAsia="仿宋" w:cs="仿宋"/>
          <w:sz w:val="24"/>
          <w:szCs w:val="24"/>
          <w:highlight w:val="none"/>
        </w:rPr>
        <w:t>等应急保障工作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项目养护区域范围内产权亮灯项目巡查及问题反馈。养护范围内，新增亮灯项目移交接收，质保期内，质量问题由施工单位负责外，另外与正常养护内容一致，该工作产生的养护费用（不含电费）由投标单位在本次投标报价中同步考虑。</w:t>
      </w:r>
      <w:r>
        <w:rPr>
          <w:rFonts w:hint="eastAsia" w:ascii="仿宋" w:hAnsi="仿宋" w:eastAsia="仿宋" w:cs="仿宋"/>
          <w:color w:val="auto"/>
          <w:sz w:val="24"/>
          <w:szCs w:val="24"/>
          <w:highlight w:val="none"/>
        </w:rPr>
        <w:t>对政府大型活动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外事活动</w:t>
      </w:r>
      <w:r>
        <w:rPr>
          <w:rFonts w:hint="eastAsia" w:ascii="仿宋" w:hAnsi="仿宋" w:eastAsia="仿宋" w:cs="仿宋"/>
          <w:color w:val="auto"/>
          <w:sz w:val="24"/>
          <w:szCs w:val="24"/>
          <w:highlight w:val="none"/>
          <w:lang w:eastAsia="zh-CN"/>
        </w:rPr>
        <w:t>、节假日、重大节庆等重要节会期间，</w:t>
      </w:r>
      <w:r>
        <w:rPr>
          <w:rFonts w:hint="eastAsia" w:ascii="仿宋" w:hAnsi="仿宋" w:eastAsia="仿宋" w:cs="仿宋"/>
          <w:color w:val="auto"/>
          <w:sz w:val="24"/>
          <w:szCs w:val="24"/>
          <w:highlight w:val="none"/>
        </w:rPr>
        <w:t>提供完善的保障方案和实施24小时值班制度，并确保设施完好率、亮灯率、整洁率达到100%。</w:t>
      </w:r>
    </w:p>
    <w:p w14:paraId="30393AE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本项目涉及的</w:t>
      </w:r>
      <w:r>
        <w:rPr>
          <w:rFonts w:hint="eastAsia" w:ascii="仿宋" w:hAnsi="仿宋" w:eastAsia="仿宋" w:cs="仿宋"/>
          <w:color w:val="auto"/>
          <w:sz w:val="24"/>
          <w:szCs w:val="24"/>
          <w:highlight w:val="none"/>
        </w:rPr>
        <w:t>区属箱变（范围为围栏区域内）及附属设施的</w:t>
      </w:r>
      <w:r>
        <w:rPr>
          <w:rFonts w:hint="eastAsia" w:ascii="仿宋" w:hAnsi="仿宋" w:eastAsia="仿宋" w:cs="仿宋"/>
          <w:color w:val="auto"/>
          <w:kern w:val="2"/>
          <w:sz w:val="24"/>
          <w:szCs w:val="24"/>
          <w:highlight w:val="none"/>
        </w:rPr>
        <w:t>日常巡查、保洁、维护、维修、外接电管理、抄表、费用追缴等涉及箱变的所有工作</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在养护期内</w:t>
      </w:r>
      <w:r>
        <w:rPr>
          <w:rFonts w:hint="eastAsia" w:ascii="仿宋" w:hAnsi="仿宋" w:eastAsia="仿宋" w:cs="仿宋"/>
          <w:color w:val="auto"/>
          <w:kern w:val="2"/>
          <w:sz w:val="24"/>
          <w:szCs w:val="24"/>
          <w:highlight w:val="none"/>
          <w:lang w:eastAsia="zh-CN"/>
        </w:rPr>
        <w:t>（第三年正常养护期）</w:t>
      </w:r>
      <w:r>
        <w:rPr>
          <w:rFonts w:hint="eastAsia" w:ascii="仿宋" w:hAnsi="仿宋" w:eastAsia="仿宋" w:cs="仿宋"/>
          <w:color w:val="auto"/>
          <w:kern w:val="2"/>
          <w:sz w:val="24"/>
          <w:szCs w:val="24"/>
          <w:highlight w:val="none"/>
        </w:rPr>
        <w:t>维修费累计在</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万元以内（以电力设施设备的信息价或定额计算为准）由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不再另行支付；</w:t>
      </w:r>
      <w:r>
        <w:rPr>
          <w:rFonts w:hint="eastAsia" w:ascii="仿宋" w:hAnsi="仿宋" w:eastAsia="仿宋" w:cs="仿宋"/>
          <w:color w:val="auto"/>
          <w:kern w:val="2"/>
          <w:sz w:val="24"/>
          <w:szCs w:val="24"/>
          <w:highlight w:val="none"/>
          <w:lang w:eastAsia="zh-CN"/>
        </w:rPr>
        <w:t>超过</w:t>
      </w:r>
      <w:r>
        <w:rPr>
          <w:rFonts w:hint="eastAsia" w:ascii="仿宋" w:hAnsi="仿宋" w:eastAsia="仿宋" w:cs="仿宋"/>
          <w:color w:val="auto"/>
          <w:kern w:val="2"/>
          <w:sz w:val="24"/>
          <w:szCs w:val="24"/>
          <w:highlight w:val="none"/>
          <w:lang w:val="en-US" w:eastAsia="zh-CN"/>
        </w:rPr>
        <w:t>20万元的，双方另协商解决</w:t>
      </w:r>
      <w:r>
        <w:rPr>
          <w:rFonts w:hint="eastAsia" w:ascii="仿宋" w:hAnsi="仿宋" w:eastAsia="仿宋" w:cs="仿宋"/>
          <w:color w:val="auto"/>
          <w:sz w:val="24"/>
          <w:szCs w:val="24"/>
          <w:highlight w:val="none"/>
        </w:rPr>
        <w:t>。</w:t>
      </w:r>
    </w:p>
    <w:p w14:paraId="250C7C1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（10）服务器租赁费、宽带租赁费、灯光秀制作费用及各楼宇亮灯电费（不含从公共箱变接电电费）等涉及本项目亮灯养护的相关费用。</w:t>
      </w:r>
    </w:p>
    <w:p w14:paraId="29E12A5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承担抄表及电费支付，电费支付时间为从上一轮责任单位末次抄表之日起算至本轮养护期末次抄表后止。</w:t>
      </w:r>
    </w:p>
    <w:p w14:paraId="72CC673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本项目前两年为项目质保期，质保期内，乙方做好项目日常巡查、安全检查、抄表、防盗管理及维修等正常养护的所有工作（除因工程质量问题引起的维修工作由本项目施工单位负责，其他工作与正常养护内容一致，均由乙方负责）</w:t>
      </w:r>
    </w:p>
    <w:p w14:paraId="00216AD5">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（13）做好项目灯光互动装置等相关设施设备的养护工作。</w:t>
      </w:r>
    </w:p>
    <w:p w14:paraId="04849FC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做好项目媒体墙灯光秀巡查检查、日常运行管理，服务器租赁、宽带租赁、灯光秀制作等相关工作，并做好上述相应设施设备的运行、维护、维修、更新等工作，制定突发事件应急处置预案，确保媒体墙灯光秀安全正常运行。其中灯光秀灯光秀制作基本要求每年不少于3条，灯光秀视频时长根据实际情况而定，以甲方确认为主，因各级部门另有需求，根据书面任务要求，按实制作，每年度不超过10条，相关费用不予以增加。</w:t>
      </w:r>
    </w:p>
    <w:p w14:paraId="295FA85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乙方须严格依据相关法律法规、技术标准及行业主管部门要求，全面做好本项目养护期间安全等级保护等网络安全工作。包括但不限于：组织专业机构开展等级测评，针对测评结果进行安全整改加固，落实身份鉴别、访问控制、安全审计、数据加密等安全技术措施，建立健全网络安全管理制度、应急预案及安全运维体系，并定期开展安全培训与应急演练，确保项目网络、系统及数据全生命周期安全，满足等保合规要求。相关费用由乙方承担，甲方不再另行支付。最终相关要求将结合项目后期运行阶段的实际需求、技术发展趋势及监管政策变化执行。</w:t>
      </w:r>
    </w:p>
    <w:p w14:paraId="1F5E81A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规定设定或调整亮灯时间</w:t>
      </w:r>
      <w:r>
        <w:rPr>
          <w:rFonts w:hint="eastAsia" w:ascii="仿宋" w:hAnsi="仿宋" w:eastAsia="仿宋" w:cs="仿宋"/>
          <w:sz w:val="24"/>
          <w:szCs w:val="24"/>
          <w:highlight w:val="none"/>
          <w:lang w:eastAsia="zh-CN"/>
        </w:rPr>
        <w:t>。</w:t>
      </w:r>
    </w:p>
    <w:p w14:paraId="3B6126C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kern w:val="2"/>
          <w:sz w:val="24"/>
          <w:szCs w:val="24"/>
          <w:highlight w:val="none"/>
          <w:lang w:val="en-US"/>
        </w:rPr>
        <w:t>（1</w:t>
      </w:r>
      <w:r>
        <w:rPr>
          <w:rFonts w:hint="eastAsia" w:ascii="仿宋" w:hAnsi="仿宋" w:eastAsia="仿宋" w:cs="仿宋"/>
          <w:kern w:val="2"/>
          <w:sz w:val="24"/>
          <w:szCs w:val="24"/>
          <w:highlight w:val="none"/>
          <w:lang w:val="en-US" w:eastAsia="zh-CN"/>
        </w:rPr>
        <w:t>7</w:t>
      </w:r>
      <w:r>
        <w:rPr>
          <w:rFonts w:hint="eastAsia" w:ascii="仿宋" w:hAnsi="仿宋" w:eastAsia="仿宋" w:cs="仿宋"/>
          <w:color w:val="auto"/>
          <w:kern w:val="2"/>
          <w:sz w:val="24"/>
          <w:szCs w:val="24"/>
          <w:highlight w:val="none"/>
          <w:lang w:val="en-US"/>
        </w:rPr>
        <w:t>）整个合同期内，</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lang w:val="en-US"/>
        </w:rPr>
        <w:t>应根据实际需要处置管辖范围内的照明设施投诉案件（增亮、微改造）或亮灯景观节点</w:t>
      </w:r>
      <w:r>
        <w:rPr>
          <w:rFonts w:hint="eastAsia" w:ascii="仿宋" w:hAnsi="仿宋" w:eastAsia="仿宋" w:cs="仿宋"/>
          <w:color w:val="auto"/>
          <w:kern w:val="2"/>
          <w:sz w:val="24"/>
          <w:szCs w:val="24"/>
          <w:highlight w:val="none"/>
          <w:lang w:val="en-US" w:eastAsia="zh-CN"/>
        </w:rPr>
        <w:t>改造</w:t>
      </w:r>
      <w:r>
        <w:rPr>
          <w:rFonts w:hint="eastAsia" w:ascii="仿宋" w:hAnsi="仿宋" w:eastAsia="仿宋" w:cs="仿宋"/>
          <w:color w:val="auto"/>
          <w:kern w:val="2"/>
          <w:sz w:val="24"/>
          <w:szCs w:val="24"/>
          <w:highlight w:val="none"/>
          <w:lang w:val="en-US"/>
        </w:rPr>
        <w:t>，</w:t>
      </w:r>
      <w:r>
        <w:rPr>
          <w:rFonts w:hint="eastAsia" w:ascii="仿宋" w:hAnsi="仿宋" w:eastAsia="仿宋" w:cs="仿宋"/>
          <w:color w:val="auto"/>
          <w:kern w:val="2"/>
          <w:sz w:val="24"/>
          <w:szCs w:val="24"/>
          <w:highlight w:val="none"/>
          <w:lang w:val="en-US" w:eastAsia="zh-CN"/>
        </w:rPr>
        <w:t>根据案件投诉情况和节点改造任务相关要求，总费用</w:t>
      </w:r>
      <w:r>
        <w:rPr>
          <w:rFonts w:hint="eastAsia" w:ascii="仿宋" w:hAnsi="仿宋" w:eastAsia="仿宋" w:cs="仿宋"/>
          <w:color w:val="auto"/>
          <w:kern w:val="2"/>
          <w:sz w:val="24"/>
          <w:szCs w:val="24"/>
          <w:highlight w:val="none"/>
          <w:lang w:val="en-US"/>
        </w:rPr>
        <w:t>不超过</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lang w:val="en-US"/>
        </w:rPr>
        <w:t>万元，该费用由</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kern w:val="2"/>
          <w:sz w:val="24"/>
          <w:szCs w:val="24"/>
          <w:highlight w:val="none"/>
          <w:lang w:val="en-US"/>
        </w:rPr>
        <w:t>承担，</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lang w:val="en-US"/>
        </w:rPr>
        <w:t>不再另行支付。</w:t>
      </w:r>
    </w:p>
    <w:p w14:paraId="2ED3EC7E">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rPr>
        <w:t>（1</w:t>
      </w:r>
      <w:r>
        <w:rPr>
          <w:rFonts w:hint="eastAsia" w:ascii="仿宋" w:hAnsi="仿宋" w:eastAsia="仿宋" w:cs="仿宋"/>
          <w:kern w:val="2"/>
          <w:sz w:val="24"/>
          <w:szCs w:val="24"/>
          <w:highlight w:val="none"/>
          <w:lang w:val="en-US" w:eastAsia="zh-CN"/>
        </w:rPr>
        <w:t>8</w:t>
      </w:r>
      <w:r>
        <w:rPr>
          <w:rFonts w:hint="eastAsia" w:ascii="仿宋" w:hAnsi="仿宋" w:eastAsia="仿宋" w:cs="仿宋"/>
          <w:color w:val="auto"/>
          <w:kern w:val="2"/>
          <w:sz w:val="24"/>
          <w:szCs w:val="24"/>
          <w:highlight w:val="none"/>
          <w:lang w:val="en-US"/>
        </w:rPr>
        <w:t>）</w:t>
      </w:r>
      <w:r>
        <w:rPr>
          <w:rFonts w:hint="eastAsia" w:ascii="仿宋" w:hAnsi="仿宋" w:eastAsia="仿宋" w:cs="仿宋"/>
          <w:color w:val="auto"/>
          <w:kern w:val="2"/>
          <w:sz w:val="24"/>
          <w:szCs w:val="24"/>
          <w:highlight w:val="none"/>
          <w:lang w:val="en-US" w:eastAsia="zh-CN"/>
        </w:rPr>
        <w:t>乙方</w:t>
      </w:r>
      <w:r>
        <w:rPr>
          <w:rFonts w:hint="eastAsia" w:ascii="仿宋" w:hAnsi="仿宋" w:eastAsia="仿宋" w:cs="仿宋"/>
          <w:color w:val="auto"/>
          <w:sz w:val="24"/>
          <w:szCs w:val="24"/>
          <w:highlight w:val="none"/>
          <w:lang w:val="en-US"/>
        </w:rPr>
        <w:t>第一年合同期内做好养护区域内所属变压器护栏内部硬化工作以及安全设施配备（绝缘手套、灭火器等电力部门要求的设施）</w:t>
      </w:r>
      <w:r>
        <w:rPr>
          <w:rFonts w:hint="eastAsia" w:ascii="仿宋" w:hAnsi="仿宋" w:eastAsia="仿宋" w:cs="仿宋"/>
          <w:color w:val="auto"/>
          <w:sz w:val="24"/>
          <w:szCs w:val="24"/>
          <w:highlight w:val="none"/>
          <w:lang w:val="en-US" w:eastAsia="zh-CN"/>
        </w:rPr>
        <w:t>。</w:t>
      </w:r>
    </w:p>
    <w:p w14:paraId="1C184FC8">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sz w:val="24"/>
          <w:szCs w:val="24"/>
          <w:highlight w:val="none"/>
          <w:lang w:val="en-US" w:eastAsia="zh-CN"/>
        </w:rPr>
        <w:t>9</w:t>
      </w:r>
      <w:r>
        <w:rPr>
          <w:rFonts w:hint="eastAsia" w:ascii="仿宋" w:hAnsi="仿宋" w:eastAsia="仿宋" w:cs="仿宋"/>
          <w:color w:val="auto"/>
          <w:sz w:val="24"/>
          <w:szCs w:val="24"/>
          <w:highlight w:val="none"/>
        </w:rPr>
        <w:t>）养护期间</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提出的关于养护质量、更换设施设备、响应时间等方面的相关要求。</w:t>
      </w:r>
    </w:p>
    <w:p w14:paraId="0F05B1D2">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highlight w:val="none"/>
          <w:lang w:val="en-US" w:eastAsia="zh-CN"/>
        </w:rPr>
        <w:t>20</w:t>
      </w:r>
      <w:r>
        <w:rPr>
          <w:rFonts w:hint="eastAsia" w:ascii="仿宋" w:hAnsi="仿宋" w:eastAsia="仿宋" w:cs="仿宋"/>
          <w:color w:val="auto"/>
          <w:sz w:val="24"/>
          <w:szCs w:val="24"/>
          <w:highlight w:val="none"/>
          <w:lang w:val="en-US" w:eastAsia="zh-CN"/>
        </w:rPr>
        <w:t>）乙方需在中标后6个月内，将养护区域内的箱变、开关箱、亮灯楼宇准确标注于电子版地图上。标注时应采用差异化图标清晰区分各类设施，并确保使用高清版地图，以全面、直观地呈现楼宇及设施的空间分布与整体状况 ，实现对养护区域的可视化高效管理。</w:t>
      </w:r>
    </w:p>
    <w:p w14:paraId="76F18C2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21</w:t>
      </w:r>
      <w:r>
        <w:rPr>
          <w:rFonts w:hint="eastAsia" w:ascii="仿宋" w:hAnsi="仿宋" w:eastAsia="仿宋" w:cs="仿宋"/>
          <w:color w:val="auto"/>
          <w:sz w:val="24"/>
          <w:szCs w:val="24"/>
          <w:highlight w:val="none"/>
          <w:lang w:eastAsia="zh-CN"/>
        </w:rPr>
        <w:t>）设立仓库区，并做好各类因改建、迁改、更新等淘汰的老旧设施设备堆放和管理。</w:t>
      </w:r>
    </w:p>
    <w:p w14:paraId="0189BB4E">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22</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合同期间甲方落实的其他相关事宜。</w:t>
      </w:r>
    </w:p>
    <w:p w14:paraId="4982DFD3">
      <w:pPr>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）养护质量标准和要求</w:t>
      </w:r>
    </w:p>
    <w:p w14:paraId="3EDB0820">
      <w:pPr>
        <w:pStyle w:val="17"/>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按照《城市道路照明设计标准》（CJJ45-2015）、《城市夜景照明设计规范》(JGJ/T163-2008)》、《杭州市城市照明设施养护维修服务标准》（DB 3301/T 0165-2015）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《杭州市城市照明管理办法》、《杭州市亮化长效管理实施意见（</w:t>
      </w:r>
      <w:r>
        <w:rPr>
          <w:rFonts w:hint="eastAsia" w:ascii="仿宋" w:hAnsi="仿宋" w:eastAsia="仿宋" w:cs="仿宋"/>
          <w:sz w:val="24"/>
          <w:szCs w:val="24"/>
          <w:highlight w:val="none"/>
          <w:lang w:eastAsia="zh-CN"/>
        </w:rPr>
        <w:t>试行</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《杭州市钱塘区综合行政执法局景观照明设施养护作业标准及考核办法（2023年修订）》、《</w:t>
      </w:r>
      <w:r>
        <w:rPr>
          <w:rFonts w:hint="eastAsia" w:ascii="仿宋" w:hAnsi="仿宋" w:eastAsia="仿宋" w:cs="仿宋"/>
          <w:sz w:val="24"/>
          <w:szCs w:val="24"/>
          <w:highlight w:val="none"/>
          <w:lang w:eastAsia="zh-CN"/>
        </w:rPr>
        <w:t>城市照明自动控制系统技术规范》（CJJ/T227-2014）</w:t>
      </w:r>
      <w:r>
        <w:rPr>
          <w:rFonts w:hint="eastAsia" w:ascii="仿宋" w:hAnsi="仿宋" w:eastAsia="仿宋" w:cs="仿宋"/>
          <w:sz w:val="24"/>
          <w:szCs w:val="24"/>
          <w:highlight w:val="none"/>
        </w:rPr>
        <w:t>及国家有关强制性标准的规定执行。若</w:t>
      </w:r>
      <w:r>
        <w:rPr>
          <w:rFonts w:hint="eastAsia" w:ascii="仿宋" w:hAnsi="仿宋" w:eastAsia="仿宋" w:cs="仿宋"/>
          <w:sz w:val="24"/>
          <w:szCs w:val="24"/>
          <w:highlight w:val="none"/>
          <w:lang w:eastAsia="zh-CN"/>
        </w:rPr>
        <w:t>上述文件</w:t>
      </w:r>
      <w:r>
        <w:rPr>
          <w:rFonts w:hint="eastAsia" w:ascii="仿宋" w:hAnsi="仿宋" w:eastAsia="仿宋" w:cs="仿宋"/>
          <w:sz w:val="24"/>
          <w:szCs w:val="24"/>
          <w:highlight w:val="none"/>
        </w:rPr>
        <w:t>有调整，以最新发布的为准。</w:t>
      </w:r>
    </w:p>
    <w:p w14:paraId="61287394">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考核依据：《杭州市亮化长效管理实施意见（试行）》、《杭州市人民政府办公厅关于印发杭州市市区景观亮化运行管理工作方案的通知》、《杭州市公共部位照明设施养护评价标准》和钱塘区景观照明设施考核办法等相关规定要求。</w:t>
      </w:r>
    </w:p>
    <w:p w14:paraId="0AA2A74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档案资料保管：</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应建立养护档案，健全日常养护作业记录，认真做好台帐的整理和归档工作；</w:t>
      </w:r>
      <w:r>
        <w:rPr>
          <w:rFonts w:hint="eastAsia" w:ascii="仿宋" w:hAnsi="仿宋" w:eastAsia="仿宋" w:cs="仿宋"/>
          <w:sz w:val="24"/>
          <w:szCs w:val="24"/>
          <w:highlight w:val="none"/>
          <w:lang w:eastAsia="zh-CN"/>
        </w:rPr>
        <w:t>每月前</w:t>
      </w:r>
      <w:r>
        <w:rPr>
          <w:rFonts w:hint="eastAsia" w:ascii="仿宋" w:hAnsi="仿宋" w:eastAsia="仿宋" w:cs="仿宋"/>
          <w:sz w:val="24"/>
          <w:szCs w:val="24"/>
          <w:highlight w:val="none"/>
          <w:lang w:val="en-US" w:eastAsia="zh-CN"/>
        </w:rPr>
        <w:t>5个工作日</w:t>
      </w:r>
      <w:r>
        <w:rPr>
          <w:rFonts w:hint="eastAsia" w:ascii="仿宋" w:hAnsi="仿宋" w:eastAsia="仿宋" w:cs="仿宋"/>
          <w:sz w:val="24"/>
          <w:szCs w:val="24"/>
          <w:highlight w:val="none"/>
        </w:rPr>
        <w:t>将</w:t>
      </w:r>
      <w:r>
        <w:rPr>
          <w:rFonts w:hint="eastAsia" w:ascii="仿宋" w:hAnsi="仿宋" w:eastAsia="仿宋" w:cs="仿宋"/>
          <w:sz w:val="24"/>
          <w:szCs w:val="24"/>
          <w:highlight w:val="none"/>
          <w:lang w:eastAsia="zh-CN"/>
        </w:rPr>
        <w:t>上月</w:t>
      </w:r>
      <w:r>
        <w:rPr>
          <w:rFonts w:hint="eastAsia" w:ascii="仿宋" w:hAnsi="仿宋" w:eastAsia="仿宋" w:cs="仿宋"/>
          <w:sz w:val="24"/>
          <w:szCs w:val="24"/>
          <w:highlight w:val="none"/>
        </w:rPr>
        <w:t>养护档案资料移交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一份。</w:t>
      </w:r>
    </w:p>
    <w:p w14:paraId="1351F6C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以包工包料的方式实施养护总包干，养护所需的人员、材料、</w:t>
      </w:r>
      <w:r>
        <w:rPr>
          <w:rFonts w:hint="eastAsia" w:ascii="仿宋" w:hAnsi="仿宋" w:eastAsia="仿宋" w:cs="仿宋"/>
          <w:sz w:val="24"/>
          <w:szCs w:val="24"/>
          <w:highlight w:val="none"/>
          <w:lang w:eastAsia="zh-CN"/>
        </w:rPr>
        <w:t>设备、</w:t>
      </w:r>
      <w:r>
        <w:rPr>
          <w:rFonts w:hint="eastAsia" w:ascii="仿宋" w:hAnsi="仿宋" w:eastAsia="仿宋" w:cs="仿宋"/>
          <w:sz w:val="24"/>
          <w:szCs w:val="24"/>
          <w:highlight w:val="none"/>
        </w:rPr>
        <w:t>机械等均由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自行解决。</w:t>
      </w:r>
    </w:p>
    <w:p w14:paraId="51A8A594">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须确保养护灯具质量及亮灯质量，针对养护过程中出现的影响亮灯效果的问题，</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应及时制定整改方案，报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同意后有效解决问题。</w:t>
      </w:r>
    </w:p>
    <w:p w14:paraId="4E3791D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合同期内，</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负责的灯具</w:t>
      </w:r>
      <w:r>
        <w:rPr>
          <w:rFonts w:hint="eastAsia" w:ascii="仿宋" w:hAnsi="仿宋" w:eastAsia="仿宋" w:cs="仿宋"/>
          <w:sz w:val="24"/>
          <w:szCs w:val="24"/>
          <w:highlight w:val="none"/>
          <w:lang w:eastAsia="zh-CN"/>
        </w:rPr>
        <w:t>等设施设备</w:t>
      </w:r>
      <w:r>
        <w:rPr>
          <w:rFonts w:hint="eastAsia" w:ascii="仿宋" w:hAnsi="仿宋" w:eastAsia="仿宋" w:cs="仿宋"/>
          <w:sz w:val="24"/>
          <w:szCs w:val="24"/>
          <w:highlight w:val="none"/>
        </w:rPr>
        <w:t>如有损坏、故障的，</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可采用修理、修补、更换等方式进行处理，更换的设备品牌、样式、规格等须与原项目相同,且更换灯具必须为新灯具。对无法采购到的光源、电器等设备，经报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同意后可更换相同</w:t>
      </w:r>
      <w:r>
        <w:rPr>
          <w:rFonts w:hint="eastAsia" w:ascii="仿宋" w:hAnsi="仿宋" w:eastAsia="仿宋" w:cs="仿宋"/>
          <w:sz w:val="24"/>
          <w:szCs w:val="24"/>
          <w:highlight w:val="none"/>
          <w:lang w:eastAsia="zh-CN"/>
        </w:rPr>
        <w:t>或以上</w:t>
      </w:r>
      <w:r>
        <w:rPr>
          <w:rFonts w:hint="eastAsia" w:ascii="仿宋" w:hAnsi="仿宋" w:eastAsia="仿宋" w:cs="仿宋"/>
          <w:sz w:val="24"/>
          <w:szCs w:val="24"/>
          <w:highlight w:val="none"/>
        </w:rPr>
        <w:t>标准的设备，确保亮灯效果一致。</w:t>
      </w:r>
    </w:p>
    <w:p w14:paraId="38D0E78F">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市、区两级亮灯管理部门发出的保障通知、临时要求，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必须落实响应并限期反馈。严格执行《杭州市建筑物景观照明设施养护评价办法》、《城市照明设施养护维修服务标准》</w:t>
      </w:r>
      <w:r>
        <w:rPr>
          <w:rFonts w:hint="eastAsia" w:ascii="仿宋" w:hAnsi="仿宋" w:eastAsia="仿宋" w:cs="仿宋"/>
          <w:sz w:val="24"/>
          <w:szCs w:val="24"/>
          <w:highlight w:val="none"/>
          <w:lang w:eastAsia="zh-CN"/>
        </w:rPr>
        <w:t>及</w:t>
      </w:r>
      <w:r>
        <w:rPr>
          <w:rFonts w:hint="eastAsia" w:ascii="仿宋" w:hAnsi="仿宋" w:eastAsia="仿宋" w:cs="仿宋"/>
          <w:sz w:val="24"/>
          <w:szCs w:val="24"/>
          <w:highlight w:val="none"/>
        </w:rPr>
        <w:t>钱塘区景观照明设施相关规定要求。</w:t>
      </w:r>
    </w:p>
    <w:p w14:paraId="5564B61F">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将亮灯问题整改处置后必须进行拍照，将问题与完成的对比照片按月度编辑报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。要求巡查、养护的效果及工作照片</w:t>
      </w:r>
      <w:r>
        <w:rPr>
          <w:rFonts w:hint="eastAsia" w:ascii="仿宋" w:hAnsi="仿宋" w:eastAsia="仿宋" w:cs="仿宋"/>
          <w:sz w:val="24"/>
          <w:szCs w:val="24"/>
          <w:highlight w:val="none"/>
          <w:lang w:eastAsia="zh-CN"/>
        </w:rPr>
        <w:t>清晰</w:t>
      </w:r>
      <w:r>
        <w:rPr>
          <w:rFonts w:hint="eastAsia" w:ascii="仿宋" w:hAnsi="仿宋" w:eastAsia="仿宋" w:cs="仿宋"/>
          <w:sz w:val="24"/>
          <w:szCs w:val="24"/>
          <w:highlight w:val="none"/>
        </w:rPr>
        <w:t>直观。</w:t>
      </w:r>
    </w:p>
    <w:p w14:paraId="40C0A6A1">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建立健全安全管理、人员管理等制度，配备合格、齐全的养护队伍、养护设备、劳保用品等。建立养护档案，健全日常养护（包括防盗及修复）作业记录，认真做好台帐的整理和归档工作；养护档案资料接受</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定期检查，</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rPr>
        <w:t>将养护档案资料移交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一份。</w:t>
      </w:r>
    </w:p>
    <w:p w14:paraId="42002663">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设施设备更换过程中需做好防护、围挡、警示</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工作。</w:t>
      </w:r>
    </w:p>
    <w:p w14:paraId="2047547D">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重大活动保障要求现场值班保障，要求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在保障期间有专人现场巡查，并保证景观设施正常亮灯，如重大活动及节假日期间，</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须做好应急保障措施，安排人员24小时值班，</w:t>
      </w:r>
      <w:r>
        <w:rPr>
          <w:rFonts w:hint="eastAsia" w:ascii="仿宋" w:hAnsi="仿宋" w:eastAsia="仿宋" w:cs="仿宋"/>
          <w:sz w:val="24"/>
          <w:szCs w:val="24"/>
          <w:highlight w:val="none"/>
          <w:lang w:eastAsia="zh-CN"/>
        </w:rPr>
        <w:t>按照养护及设施完好率、亮灯率、整洁率达到</w:t>
      </w:r>
      <w:r>
        <w:rPr>
          <w:rFonts w:hint="eastAsia" w:ascii="仿宋" w:hAnsi="仿宋" w:eastAsia="仿宋" w:cs="仿宋"/>
          <w:sz w:val="24"/>
          <w:szCs w:val="24"/>
          <w:highlight w:val="none"/>
          <w:lang w:val="en-US" w:eastAsia="zh-CN"/>
        </w:rPr>
        <w:t>100%等保障相关要求，储备足量备货，确保物资供应的及时性和稳定性。</w:t>
      </w:r>
    </w:p>
    <w:p w14:paraId="11D5F7D7">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养护到期后，</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须与新的养护单位做好工作交接；若养护到期，但单个项目未通过移交，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仍有权按考核办法在合同期外对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实施监管考核及代整治工作，相关费用从养护尾款中扣除。</w:t>
      </w:r>
    </w:p>
    <w:p w14:paraId="31AC1C8F">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）乙方</w:t>
      </w:r>
      <w:r>
        <w:rPr>
          <w:rFonts w:hint="eastAsia" w:ascii="仿宋" w:hAnsi="仿宋" w:eastAsia="仿宋" w:cs="仿宋"/>
          <w:color w:val="auto"/>
          <w:sz w:val="24"/>
          <w:highlight w:val="none"/>
          <w:lang w:val="en-US" w:eastAsia="zh-CN"/>
        </w:rPr>
        <w:t>开始养护时间按甲方书面通知要求执行，确保养护工作及时有序开展</w:t>
      </w:r>
      <w:r>
        <w:rPr>
          <w:rFonts w:hint="eastAsia" w:ascii="仿宋" w:hAnsi="仿宋" w:eastAsia="仿宋" w:cs="仿宋"/>
          <w:sz w:val="24"/>
          <w:szCs w:val="24"/>
          <w:highlight w:val="none"/>
        </w:rPr>
        <w:t>。因改建等原因单个子项目需停止养护的则费用相应扣除。</w:t>
      </w:r>
    </w:p>
    <w:p w14:paraId="04001C32">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与养护项目相关的所有内容进行核实，一经发现有与采购要求不符的，</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应立即按</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要求限期进行整改；若未按要求整改到位的，</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有权终止合同，并上报区采购监管部门。</w:t>
      </w:r>
    </w:p>
    <w:p w14:paraId="30BCE656">
      <w:pPr>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b/>
          <w:snapToGrid w:val="0"/>
          <w:color w:val="000000"/>
          <w:kern w:val="0"/>
          <w:sz w:val="24"/>
          <w:szCs w:val="24"/>
          <w:highlight w:val="none"/>
        </w:rPr>
      </w:pPr>
      <w:r>
        <w:rPr>
          <w:rFonts w:hint="eastAsia" w:ascii="仿宋" w:hAnsi="仿宋" w:eastAsia="仿宋" w:cs="仿宋"/>
          <w:b/>
          <w:snapToGrid w:val="0"/>
          <w:color w:val="000000"/>
          <w:kern w:val="0"/>
          <w:sz w:val="24"/>
          <w:szCs w:val="24"/>
          <w:highlight w:val="none"/>
        </w:rPr>
        <w:t xml:space="preserve">    （</w:t>
      </w:r>
      <w:r>
        <w:rPr>
          <w:rFonts w:hint="eastAsia" w:ascii="仿宋" w:hAnsi="仿宋" w:eastAsia="仿宋" w:cs="仿宋"/>
          <w:b/>
          <w:snapToGrid w:val="0"/>
          <w:color w:val="000000"/>
          <w:kern w:val="0"/>
          <w:sz w:val="24"/>
          <w:szCs w:val="24"/>
          <w:highlight w:val="none"/>
          <w:lang w:eastAsia="zh-CN"/>
        </w:rPr>
        <w:t>四</w:t>
      </w:r>
      <w:r>
        <w:rPr>
          <w:rFonts w:hint="eastAsia" w:ascii="仿宋" w:hAnsi="仿宋" w:eastAsia="仿宋" w:cs="仿宋"/>
          <w:b/>
          <w:snapToGrid w:val="0"/>
          <w:color w:val="000000"/>
          <w:kern w:val="0"/>
          <w:sz w:val="24"/>
          <w:szCs w:val="24"/>
          <w:highlight w:val="none"/>
        </w:rPr>
        <w:t>）突发事件处理及防汛、抗台、抗雪、防冻</w:t>
      </w:r>
    </w:p>
    <w:p w14:paraId="23C49BA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应成立突发事件应急处理领导小组和应急抢险</w:t>
      </w:r>
      <w:r>
        <w:rPr>
          <w:rFonts w:hint="eastAsia" w:ascii="仿宋" w:hAnsi="仿宋" w:eastAsia="仿宋" w:cs="仿宋"/>
          <w:sz w:val="24"/>
          <w:szCs w:val="24"/>
          <w:highlight w:val="none"/>
          <w:lang w:eastAsia="zh-CN"/>
        </w:rPr>
        <w:t>队伍</w:t>
      </w:r>
      <w:r>
        <w:rPr>
          <w:rFonts w:hint="eastAsia" w:ascii="仿宋" w:hAnsi="仿宋" w:eastAsia="仿宋" w:cs="仿宋"/>
          <w:sz w:val="24"/>
          <w:szCs w:val="24"/>
          <w:highlight w:val="none"/>
        </w:rPr>
        <w:t>，切实按照《杭州市突发事件应急抢险预案》等相关政策文件制定的相关预案组织实施。认真做好防汛、抗台、</w:t>
      </w:r>
      <w:r>
        <w:rPr>
          <w:rFonts w:hint="eastAsia" w:ascii="仿宋" w:hAnsi="仿宋" w:eastAsia="仿宋" w:cs="仿宋"/>
          <w:sz w:val="24"/>
          <w:szCs w:val="24"/>
          <w:highlight w:val="none"/>
          <w:lang w:eastAsia="zh-CN"/>
        </w:rPr>
        <w:t>抗旱、</w:t>
      </w:r>
      <w:r>
        <w:rPr>
          <w:rFonts w:hint="eastAsia" w:ascii="仿宋" w:hAnsi="仿宋" w:eastAsia="仿宋" w:cs="仿宋"/>
          <w:sz w:val="24"/>
          <w:szCs w:val="24"/>
          <w:highlight w:val="none"/>
        </w:rPr>
        <w:t>抗雪、防冻及突发事件应急抢险工作，确保人员、设备、材料“三落实”，并做好数据、图片和台帐的记录、存档，及时反映情况，严格服从</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的统一指挥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安排</w:t>
      </w:r>
      <w:r>
        <w:rPr>
          <w:rFonts w:hint="eastAsia" w:ascii="仿宋" w:hAnsi="仿宋" w:eastAsia="仿宋" w:cs="仿宋"/>
          <w:sz w:val="24"/>
          <w:szCs w:val="24"/>
          <w:highlight w:val="none"/>
          <w:lang w:eastAsia="zh-CN"/>
        </w:rPr>
        <w:t>和要求</w:t>
      </w:r>
      <w:r>
        <w:rPr>
          <w:rFonts w:hint="eastAsia" w:ascii="仿宋" w:hAnsi="仿宋" w:eastAsia="仿宋" w:cs="仿宋"/>
          <w:sz w:val="24"/>
          <w:szCs w:val="24"/>
          <w:highlight w:val="none"/>
        </w:rPr>
        <w:t>。若发生非养护原因引起的意外事故或人为破坏造成的设施损坏，</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应立即采取相关措施或临时应急措施，并通知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和相关部门。</w:t>
      </w:r>
    </w:p>
    <w:p w14:paraId="1CF2EC25">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二</w:t>
      </w:r>
      <w:r>
        <w:rPr>
          <w:rFonts w:hint="eastAsia" w:ascii="仿宋" w:hAnsi="仿宋" w:eastAsia="仿宋" w:cs="仿宋"/>
          <w:b/>
          <w:bCs/>
          <w:snapToGrid w:val="0"/>
          <w:sz w:val="24"/>
          <w:szCs w:val="24"/>
          <w:highlight w:val="none"/>
        </w:rPr>
        <w:t>条 服务期限</w:t>
      </w:r>
    </w:p>
    <w:p w14:paraId="743F5189">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整体服务期为三年。合同采取“2+1”模式，前2年为质保期，第3年为正常养护期，即第一轮合同为2年，该合同期内每年年度考核评定为优秀，方可签订第3年合同。考核办法现根据杭钱综执【2023】48号执行（附招标文件内），合同期内若出台新的考核办法，考核标准，则按照新的考核办法执行。</w:t>
      </w:r>
    </w:p>
    <w:p w14:paraId="2D021598">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本次合同</w:t>
      </w:r>
      <w:r>
        <w:rPr>
          <w:rFonts w:hint="eastAsia" w:ascii="仿宋" w:hAnsi="仿宋" w:eastAsia="仿宋" w:cs="仿宋"/>
          <w:snapToGrid w:val="0"/>
          <w:sz w:val="24"/>
          <w:szCs w:val="24"/>
          <w:highlight w:val="none"/>
        </w:rPr>
        <w:t>服务期限：自  年 月 日至  年  月  日。</w:t>
      </w:r>
    </w:p>
    <w:p w14:paraId="6FF9E4B7">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第三条</w:t>
      </w:r>
      <w:r>
        <w:rPr>
          <w:rFonts w:hint="eastAsia" w:ascii="仿宋" w:hAnsi="仿宋" w:eastAsia="仿宋" w:cs="仿宋"/>
          <w:snapToGrid w:val="0"/>
          <w:sz w:val="24"/>
          <w:szCs w:val="24"/>
          <w:highlight w:val="none"/>
        </w:rPr>
        <w:t xml:space="preserve"> </w:t>
      </w:r>
      <w:r>
        <w:rPr>
          <w:rFonts w:hint="eastAsia" w:ascii="仿宋" w:hAnsi="仿宋" w:eastAsia="仿宋" w:cs="仿宋"/>
          <w:b/>
          <w:bCs/>
          <w:snapToGrid w:val="0"/>
          <w:sz w:val="24"/>
          <w:szCs w:val="24"/>
          <w:highlight w:val="none"/>
        </w:rPr>
        <w:t>合同金额及履约保证金</w:t>
      </w:r>
    </w:p>
    <w:p w14:paraId="3D14FA6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val="0"/>
          <w:sz w:val="24"/>
          <w:szCs w:val="24"/>
          <w:highlight w:val="none"/>
          <w:lang w:eastAsia="zh-CN"/>
        </w:rPr>
        <w:t>质保期</w:t>
      </w:r>
      <w:r>
        <w:rPr>
          <w:rFonts w:hint="eastAsia" w:ascii="仿宋" w:hAnsi="仿宋" w:eastAsia="仿宋" w:cs="仿宋"/>
          <w:snapToGrid w:val="0"/>
          <w:sz w:val="24"/>
          <w:szCs w:val="24"/>
          <w:highlight w:val="none"/>
        </w:rPr>
        <w:t>合同金额：</w:t>
      </w:r>
      <w:r>
        <w:rPr>
          <w:rFonts w:hint="eastAsia" w:ascii="仿宋" w:hAnsi="仿宋" w:eastAsia="仿宋" w:cs="仿宋"/>
          <w:snapToGrid w:val="0"/>
          <w:sz w:val="24"/>
          <w:szCs w:val="24"/>
          <w:highlight w:val="none"/>
          <w:lang w:eastAsia="zh-CN"/>
        </w:rPr>
        <w:t>每年</w:t>
      </w:r>
      <w:r>
        <w:rPr>
          <w:rFonts w:hint="eastAsia" w:ascii="仿宋" w:hAnsi="仿宋" w:eastAsia="仿宋" w:cs="仿宋"/>
          <w:snapToGrid w:val="0"/>
          <w:sz w:val="24"/>
          <w:szCs w:val="24"/>
          <w:highlight w:val="none"/>
        </w:rPr>
        <w:t>人民币       元整（¥    .00元）</w:t>
      </w:r>
      <w:r>
        <w:rPr>
          <w:rFonts w:hint="eastAsia" w:ascii="仿宋" w:hAnsi="仿宋" w:eastAsia="仿宋" w:cs="仿宋"/>
          <w:snapToGrid w:val="0"/>
          <w:sz w:val="24"/>
          <w:szCs w:val="24"/>
          <w:highlight w:val="none"/>
          <w:lang w:eastAsia="zh-CN"/>
        </w:rPr>
        <w:t>（此内容为质保期合同文本），正常养护期合同金额：</w:t>
      </w:r>
      <w:r>
        <w:rPr>
          <w:rFonts w:hint="eastAsia" w:ascii="仿宋" w:hAnsi="仿宋" w:eastAsia="仿宋" w:cs="仿宋"/>
          <w:snapToGrid w:val="0"/>
          <w:sz w:val="24"/>
          <w:szCs w:val="24"/>
          <w:highlight w:val="none"/>
        </w:rPr>
        <w:t>人民币       元整（¥    .00元）</w:t>
      </w:r>
      <w:r>
        <w:rPr>
          <w:rFonts w:hint="eastAsia" w:ascii="仿宋" w:hAnsi="仿宋" w:eastAsia="仿宋" w:cs="仿宋"/>
          <w:snapToGrid w:val="0"/>
          <w:sz w:val="24"/>
          <w:szCs w:val="24"/>
          <w:highlight w:val="none"/>
          <w:lang w:eastAsia="zh-CN"/>
        </w:rPr>
        <w:t>（此内容为正常养护期合同文本）。</w:t>
      </w:r>
      <w:r>
        <w:rPr>
          <w:rFonts w:hint="eastAsia" w:ascii="仿宋" w:hAnsi="仿宋" w:eastAsia="仿宋" w:cs="仿宋"/>
          <w:snapToGrid w:val="0"/>
          <w:sz w:val="24"/>
          <w:szCs w:val="24"/>
          <w:highlight w:val="none"/>
          <w:lang w:val="en-US" w:eastAsia="zh-CN"/>
        </w:rPr>
        <w:t>该费用</w:t>
      </w:r>
      <w:r>
        <w:rPr>
          <w:rFonts w:hint="eastAsia" w:ascii="仿宋" w:hAnsi="仿宋" w:eastAsia="仿宋" w:cs="仿宋"/>
          <w:sz w:val="24"/>
          <w:szCs w:val="24"/>
          <w:highlight w:val="none"/>
        </w:rPr>
        <w:t>包括本项目一个服务年度所需的一切人工、工具、设备、保险、交通、利润、税金（包含须由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承担的各种税费）、设施偷盗风险费用、</w:t>
      </w:r>
      <w:r>
        <w:rPr>
          <w:rFonts w:hint="eastAsia" w:ascii="仿宋" w:hAnsi="仿宋" w:eastAsia="仿宋" w:cs="仿宋"/>
          <w:b w:val="0"/>
          <w:bCs w:val="0"/>
          <w:kern w:val="2"/>
          <w:sz w:val="24"/>
          <w:szCs w:val="24"/>
          <w:highlight w:val="none"/>
          <w:lang w:val="en-US" w:eastAsia="zh-CN" w:bidi="ar-SA"/>
        </w:rPr>
        <w:t>服务器租赁费、宽带租赁费、灯光秀制作费用、电费、</w:t>
      </w:r>
      <w:r>
        <w:rPr>
          <w:rFonts w:hint="eastAsia" w:ascii="仿宋" w:hAnsi="仿宋" w:eastAsia="仿宋" w:cs="仿宋"/>
          <w:snapToGrid/>
          <w:kern w:val="2"/>
          <w:sz w:val="24"/>
          <w:szCs w:val="24"/>
          <w:highlight w:val="none"/>
          <w:lang w:val="en-US" w:eastAsia="zh-CN" w:bidi="ar-SA"/>
        </w:rPr>
        <w:t>其它需乙方承担的费用、本项目采购文件第三部分采购需求涉及的相关内容及潜在满足甲方监管要求可能涉及的一切费用。</w:t>
      </w:r>
    </w:p>
    <w:p w14:paraId="4DB070F9">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56"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rPr>
        <w:t>合同生效后</w:t>
      </w:r>
      <w:r>
        <w:rPr>
          <w:rFonts w:hint="eastAsia" w:ascii="仿宋" w:hAnsi="仿宋" w:eastAsia="仿宋" w:cs="仿宋"/>
          <w:spacing w:val="-6"/>
          <w:sz w:val="24"/>
          <w:szCs w:val="24"/>
          <w:highlight w:val="none"/>
          <w:lang w:val="en-US" w:eastAsia="zh-CN"/>
        </w:rPr>
        <w:t>【15】日内</w:t>
      </w:r>
      <w:r>
        <w:rPr>
          <w:rFonts w:hint="eastAsia" w:ascii="仿宋" w:hAnsi="仿宋" w:eastAsia="仿宋" w:cs="仿宋"/>
          <w:spacing w:val="-6"/>
          <w:sz w:val="24"/>
          <w:szCs w:val="24"/>
          <w:highlight w:val="none"/>
          <w:lang w:val="en-US"/>
        </w:rPr>
        <w:t>，</w:t>
      </w:r>
      <w:r>
        <w:rPr>
          <w:rFonts w:hint="eastAsia" w:ascii="仿宋" w:hAnsi="仿宋" w:eastAsia="仿宋" w:cs="仿宋"/>
          <w:spacing w:val="-6"/>
          <w:sz w:val="24"/>
          <w:szCs w:val="24"/>
          <w:highlight w:val="none"/>
          <w:lang w:val="en-US" w:eastAsia="zh-CN"/>
        </w:rPr>
        <w:t>乙方</w:t>
      </w:r>
      <w:r>
        <w:rPr>
          <w:rFonts w:hint="eastAsia" w:ascii="仿宋" w:hAnsi="仿宋" w:eastAsia="仿宋" w:cs="仿宋"/>
          <w:spacing w:val="-6"/>
          <w:sz w:val="24"/>
          <w:szCs w:val="24"/>
          <w:highlight w:val="none"/>
          <w:lang w:val="en-US"/>
        </w:rPr>
        <w:t>向</w:t>
      </w:r>
      <w:r>
        <w:rPr>
          <w:rFonts w:hint="eastAsia" w:ascii="仿宋" w:hAnsi="仿宋" w:eastAsia="仿宋" w:cs="仿宋"/>
          <w:spacing w:val="-6"/>
          <w:sz w:val="24"/>
          <w:szCs w:val="24"/>
          <w:highlight w:val="none"/>
          <w:lang w:val="en-US" w:eastAsia="zh-CN"/>
        </w:rPr>
        <w:t>甲方</w:t>
      </w:r>
      <w:r>
        <w:rPr>
          <w:rFonts w:hint="eastAsia" w:ascii="仿宋" w:hAnsi="仿宋" w:eastAsia="仿宋" w:cs="仿宋"/>
          <w:spacing w:val="-6"/>
          <w:sz w:val="24"/>
          <w:szCs w:val="24"/>
          <w:highlight w:val="none"/>
          <w:lang w:val="en-US"/>
        </w:rPr>
        <w:t>缴纳中标价的1%履约保证金，</w:t>
      </w:r>
      <w:r>
        <w:rPr>
          <w:rFonts w:hint="eastAsia" w:ascii="仿宋" w:hAnsi="仿宋" w:eastAsia="仿宋" w:cs="仿宋"/>
          <w:spacing w:val="-6"/>
          <w:sz w:val="24"/>
          <w:szCs w:val="24"/>
          <w:highlight w:val="none"/>
          <w:lang w:val="en-US" w:eastAsia="zh-CN"/>
        </w:rPr>
        <w:t>乙方</w:t>
      </w:r>
      <w:r>
        <w:rPr>
          <w:rFonts w:hint="eastAsia" w:ascii="仿宋" w:hAnsi="仿宋" w:eastAsia="仿宋" w:cs="仿宋"/>
          <w:spacing w:val="-6"/>
          <w:sz w:val="24"/>
          <w:szCs w:val="24"/>
          <w:highlight w:val="none"/>
          <w:lang w:val="en-US"/>
        </w:rPr>
        <w:t>应当以支票、汇票、本票或者金融机构、担保机构出具的保函等非现金形式提交，鼓励和支持</w:t>
      </w:r>
      <w:r>
        <w:rPr>
          <w:rFonts w:hint="eastAsia" w:ascii="仿宋" w:hAnsi="仿宋" w:eastAsia="仿宋" w:cs="仿宋"/>
          <w:spacing w:val="-6"/>
          <w:sz w:val="24"/>
          <w:szCs w:val="24"/>
          <w:highlight w:val="none"/>
          <w:lang w:val="en-US" w:eastAsia="zh-CN"/>
        </w:rPr>
        <w:t>乙方</w:t>
      </w:r>
      <w:r>
        <w:rPr>
          <w:rFonts w:hint="eastAsia" w:ascii="仿宋" w:hAnsi="仿宋" w:eastAsia="仿宋" w:cs="仿宋"/>
          <w:spacing w:val="-6"/>
          <w:sz w:val="24"/>
          <w:szCs w:val="24"/>
          <w:highlight w:val="none"/>
          <w:lang w:val="en-US"/>
        </w:rPr>
        <w:t>以银行、保险公司出具的保函形式提供履约保证金。</w:t>
      </w:r>
      <w:r>
        <w:rPr>
          <w:rFonts w:hint="eastAsia" w:ascii="仿宋" w:hAnsi="仿宋" w:eastAsia="仿宋" w:cs="仿宋"/>
          <w:bCs/>
          <w:color w:val="auto"/>
          <w:sz w:val="24"/>
          <w:szCs w:val="24"/>
          <w:highlight w:val="none"/>
          <w:lang w:val="en-US" w:eastAsia="zh-CN"/>
        </w:rPr>
        <w:t>服务期结束，履约保证金按规定无息退回。（服务期内有违约款项的，从应付合同款中扣除）</w:t>
      </w:r>
    </w:p>
    <w:p w14:paraId="53A2BE51">
      <w:pPr>
        <w:pageBreakBefore w:val="0"/>
        <w:widowControl w:val="0"/>
        <w:kinsoku/>
        <w:wordWrap/>
        <w:overflowPunct/>
        <w:topLinePunct w:val="0"/>
        <w:autoSpaceDE/>
        <w:autoSpaceDN/>
        <w:bidi w:val="0"/>
        <w:adjustRightInd w:val="0"/>
        <w:snapToGrid w:val="0"/>
        <w:spacing w:line="360" w:lineRule="auto"/>
        <w:ind w:right="0" w:rightChars="0" w:firstLine="456" w:firstLineChars="200"/>
        <w:textAlignment w:val="auto"/>
        <w:outlineLvl w:val="9"/>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eastAsia="zh-CN"/>
        </w:rPr>
        <w:t>服务期届满后，</w:t>
      </w:r>
      <w:r>
        <w:rPr>
          <w:rFonts w:hint="eastAsia" w:ascii="仿宋" w:hAnsi="仿宋" w:eastAsia="仿宋" w:cs="仿宋"/>
          <w:spacing w:val="-6"/>
          <w:sz w:val="24"/>
          <w:szCs w:val="24"/>
          <w:highlight w:val="none"/>
        </w:rPr>
        <w:t>乙方没有履行本合同项下约定的责任和义务所需承担的违约金、赔偿金及其他费用，</w:t>
      </w:r>
      <w:r>
        <w:rPr>
          <w:rFonts w:hint="eastAsia" w:ascii="仿宋" w:hAnsi="仿宋" w:eastAsia="仿宋" w:cs="仿宋"/>
          <w:spacing w:val="-6"/>
          <w:sz w:val="24"/>
          <w:szCs w:val="24"/>
          <w:highlight w:val="none"/>
          <w:lang w:val="en-US" w:eastAsia="zh-CN"/>
        </w:rPr>
        <w:t>除本合同另有约定外，甲</w:t>
      </w:r>
      <w:r>
        <w:rPr>
          <w:rFonts w:hint="eastAsia" w:ascii="仿宋" w:hAnsi="仿宋" w:eastAsia="仿宋" w:cs="仿宋"/>
          <w:spacing w:val="-6"/>
          <w:sz w:val="24"/>
          <w:szCs w:val="24"/>
          <w:highlight w:val="none"/>
        </w:rPr>
        <w:t>方有权直接从履约保证金中</w:t>
      </w:r>
      <w:r>
        <w:rPr>
          <w:rFonts w:hint="eastAsia" w:ascii="仿宋" w:hAnsi="仿宋" w:eastAsia="仿宋" w:cs="仿宋"/>
          <w:spacing w:val="-6"/>
          <w:sz w:val="24"/>
          <w:szCs w:val="24"/>
          <w:highlight w:val="none"/>
          <w:lang w:val="en-US" w:eastAsia="zh-CN"/>
        </w:rPr>
        <w:t>提取</w:t>
      </w:r>
      <w:r>
        <w:rPr>
          <w:rFonts w:hint="eastAsia" w:ascii="仿宋" w:hAnsi="仿宋" w:eastAsia="仿宋" w:cs="仿宋"/>
          <w:spacing w:val="-6"/>
          <w:sz w:val="24"/>
          <w:szCs w:val="24"/>
          <w:highlight w:val="none"/>
        </w:rPr>
        <w:t>，履约保证金中不足以</w:t>
      </w:r>
      <w:r>
        <w:rPr>
          <w:rFonts w:hint="eastAsia" w:ascii="仿宋" w:hAnsi="仿宋" w:eastAsia="仿宋" w:cs="仿宋"/>
          <w:spacing w:val="-6"/>
          <w:sz w:val="24"/>
          <w:szCs w:val="24"/>
          <w:highlight w:val="none"/>
          <w:lang w:val="en-US" w:eastAsia="zh-CN"/>
        </w:rPr>
        <w:t>支付</w:t>
      </w:r>
      <w:r>
        <w:rPr>
          <w:rFonts w:hint="eastAsia" w:ascii="仿宋" w:hAnsi="仿宋" w:eastAsia="仿宋" w:cs="仿宋"/>
          <w:spacing w:val="-6"/>
          <w:sz w:val="24"/>
          <w:szCs w:val="24"/>
          <w:highlight w:val="none"/>
        </w:rPr>
        <w:t>的，</w:t>
      </w:r>
      <w:r>
        <w:rPr>
          <w:rFonts w:hint="eastAsia" w:ascii="仿宋" w:hAnsi="仿宋" w:eastAsia="仿宋" w:cs="仿宋"/>
          <w:spacing w:val="-6"/>
          <w:sz w:val="24"/>
          <w:szCs w:val="24"/>
          <w:highlight w:val="none"/>
          <w:lang w:val="en-US" w:eastAsia="zh-CN"/>
        </w:rPr>
        <w:t>甲</w:t>
      </w:r>
      <w:r>
        <w:rPr>
          <w:rFonts w:hint="eastAsia" w:ascii="仿宋" w:hAnsi="仿宋" w:eastAsia="仿宋" w:cs="仿宋"/>
          <w:spacing w:val="-6"/>
          <w:sz w:val="24"/>
          <w:szCs w:val="24"/>
          <w:highlight w:val="none"/>
        </w:rPr>
        <w:t>方有权从</w:t>
      </w:r>
      <w:r>
        <w:rPr>
          <w:rFonts w:hint="eastAsia" w:ascii="仿宋" w:hAnsi="仿宋" w:eastAsia="仿宋" w:cs="仿宋"/>
          <w:spacing w:val="-6"/>
          <w:sz w:val="24"/>
          <w:szCs w:val="24"/>
          <w:highlight w:val="none"/>
          <w:lang w:val="en-US" w:eastAsia="zh-CN"/>
        </w:rPr>
        <w:t>合同</w:t>
      </w:r>
      <w:r>
        <w:rPr>
          <w:rFonts w:hint="eastAsia" w:ascii="仿宋" w:hAnsi="仿宋" w:eastAsia="仿宋" w:cs="仿宋"/>
          <w:spacing w:val="-6"/>
          <w:sz w:val="24"/>
          <w:szCs w:val="24"/>
          <w:highlight w:val="none"/>
        </w:rPr>
        <w:t>款中扣除。</w:t>
      </w:r>
    </w:p>
    <w:p w14:paraId="6E7906C5">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遇特殊情况停运，根据停运数量及日期扣除（按照中标综合单价）停运部分维护费，但乙方不得减少巡检次数和质量。</w:t>
      </w:r>
    </w:p>
    <w:p w14:paraId="4FB69447">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本项目招标灯具养护设施量为暂定数量，养护费用结算最终按实际增（减）数量为准。</w:t>
      </w:r>
    </w:p>
    <w:p w14:paraId="2EAC62D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合同期内，若景观灯设施减少或增加的，由甲方书面告知并按实际养护量予以结算，具体结算时间要以财政落实为准。</w:t>
      </w:r>
    </w:p>
    <w:p w14:paraId="4A0FEC51">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b/>
          <w:bCs/>
          <w:snapToGrid w:val="0"/>
          <w:sz w:val="24"/>
          <w:szCs w:val="24"/>
          <w:highlight w:val="none"/>
        </w:rPr>
        <w:t>第四条</w:t>
      </w:r>
      <w:r>
        <w:rPr>
          <w:rFonts w:hint="eastAsia" w:ascii="仿宋" w:hAnsi="仿宋" w:eastAsia="仿宋" w:cs="仿宋"/>
          <w:snapToGrid w:val="0"/>
          <w:sz w:val="24"/>
          <w:szCs w:val="24"/>
          <w:highlight w:val="none"/>
        </w:rPr>
        <w:t xml:space="preserve"> </w:t>
      </w:r>
      <w:r>
        <w:rPr>
          <w:rFonts w:hint="eastAsia" w:ascii="仿宋" w:hAnsi="仿宋" w:eastAsia="仿宋" w:cs="仿宋"/>
          <w:b/>
          <w:bCs/>
          <w:snapToGrid w:val="0"/>
          <w:sz w:val="24"/>
          <w:szCs w:val="24"/>
          <w:highlight w:val="none"/>
        </w:rPr>
        <w:t>付款方式</w:t>
      </w:r>
    </w:p>
    <w:p w14:paraId="486564F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合同签订、承包人递交以银行、保险公司等金融机构出具的预付款保函后，且乙方具备实施条件后5个工作日内，乙方向甲方申请支付当年合同金额50%的预付款。</w:t>
      </w:r>
    </w:p>
    <w:p w14:paraId="0351C5B7">
      <w:pPr>
        <w:pageBreakBefore w:val="0"/>
        <w:widowControl w:val="0"/>
        <w:kinsoku/>
        <w:wordWrap/>
        <w:overflowPunct/>
        <w:topLinePunct w:val="0"/>
        <w:autoSpaceDE/>
        <w:autoSpaceDN/>
        <w:bidi w:val="0"/>
        <w:adjustRightInd w:val="0"/>
        <w:snapToGrid w:val="0"/>
        <w:spacing w:line="360" w:lineRule="auto"/>
        <w:ind w:right="0" w:rightChars="0" w:firstLine="456" w:firstLineChars="200"/>
        <w:textAlignment w:val="auto"/>
        <w:outlineLvl w:val="9"/>
      </w:pPr>
      <w:r>
        <w:rPr>
          <w:rFonts w:hint="eastAsia" w:ascii="仿宋" w:hAnsi="仿宋" w:eastAsia="仿宋" w:cs="仿宋"/>
          <w:spacing w:val="-6"/>
          <w:sz w:val="24"/>
          <w:szCs w:val="24"/>
          <w:highlight w:val="none"/>
        </w:rPr>
        <w:t>养护费用按季度支付，</w:t>
      </w:r>
      <w:r>
        <w:rPr>
          <w:rFonts w:hint="eastAsia" w:ascii="仿宋" w:hAnsi="仿宋" w:eastAsia="仿宋" w:cs="仿宋"/>
          <w:spacing w:val="-6"/>
          <w:sz w:val="24"/>
          <w:szCs w:val="24"/>
          <w:highlight w:val="none"/>
          <w:lang w:eastAsia="zh-CN"/>
        </w:rPr>
        <w:t>每季度期满后的第一个月支付季度合同金额的</w:t>
      </w:r>
      <w:r>
        <w:rPr>
          <w:rFonts w:hint="eastAsia" w:ascii="仿宋" w:hAnsi="仿宋" w:eastAsia="仿宋" w:cs="仿宋"/>
          <w:spacing w:val="-6"/>
          <w:sz w:val="24"/>
          <w:szCs w:val="24"/>
          <w:highlight w:val="none"/>
          <w:lang w:val="en-US" w:eastAsia="zh-CN"/>
        </w:rPr>
        <w:t>80%，一年合同期满后的第一个季度根据养护考核扣款情况、设施量核增（减）情况结算尾款。</w:t>
      </w:r>
      <w:r>
        <w:rPr>
          <w:rFonts w:hint="eastAsia" w:ascii="仿宋" w:hAnsi="仿宋" w:eastAsia="仿宋" w:cs="仿宋"/>
          <w:spacing w:val="-6"/>
          <w:sz w:val="24"/>
          <w:szCs w:val="24"/>
          <w:highlight w:val="none"/>
        </w:rPr>
        <w:t>同时预付款从第一个季度养护费中进行扣除，若第一季度养护费不足，则顺延至第二</w:t>
      </w:r>
      <w:r>
        <w:rPr>
          <w:rFonts w:hint="eastAsia" w:ascii="仿宋" w:hAnsi="仿宋" w:eastAsia="仿宋" w:cs="仿宋"/>
          <w:spacing w:val="-6"/>
          <w:sz w:val="24"/>
          <w:szCs w:val="24"/>
          <w:highlight w:val="none"/>
          <w:lang w:eastAsia="zh-CN"/>
        </w:rPr>
        <w:t>、三</w:t>
      </w:r>
      <w:r>
        <w:rPr>
          <w:rFonts w:hint="eastAsia" w:ascii="仿宋" w:hAnsi="仿宋" w:eastAsia="仿宋" w:cs="仿宋"/>
          <w:spacing w:val="-6"/>
          <w:sz w:val="24"/>
          <w:szCs w:val="24"/>
          <w:highlight w:val="none"/>
        </w:rPr>
        <w:t>季</w:t>
      </w:r>
      <w:r>
        <w:rPr>
          <w:rFonts w:hint="eastAsia" w:ascii="仿宋" w:hAnsi="仿宋" w:eastAsia="仿宋" w:cs="仿宋"/>
          <w:spacing w:val="-6"/>
          <w:sz w:val="24"/>
          <w:szCs w:val="24"/>
          <w:highlight w:val="none"/>
          <w:lang w:eastAsia="zh-CN"/>
        </w:rPr>
        <w:t>度</w:t>
      </w:r>
      <w:r>
        <w:rPr>
          <w:rFonts w:hint="eastAsia" w:ascii="仿宋" w:hAnsi="仿宋" w:eastAsia="仿宋" w:cs="仿宋"/>
          <w:spacing w:val="-6"/>
          <w:sz w:val="24"/>
          <w:szCs w:val="24"/>
          <w:highlight w:val="none"/>
        </w:rPr>
        <w:t>进行扣除。</w:t>
      </w:r>
      <w:r>
        <w:rPr>
          <w:rFonts w:hint="eastAsia" w:ascii="仿宋" w:hAnsi="仿宋" w:eastAsia="仿宋" w:cs="仿宋"/>
          <w:spacing w:val="-6"/>
          <w:sz w:val="24"/>
          <w:szCs w:val="24"/>
          <w:highlight w:val="none"/>
          <w:lang w:eastAsia="zh-CN"/>
        </w:rPr>
        <w:t>第二年、第三年付款方式同第一年。</w:t>
      </w:r>
      <w:r>
        <w:rPr>
          <w:rFonts w:hint="eastAsia" w:ascii="仿宋" w:hAnsi="仿宋" w:eastAsia="仿宋" w:cs="仿宋"/>
          <w:spacing w:val="-6"/>
          <w:sz w:val="24"/>
          <w:szCs w:val="24"/>
          <w:highlight w:val="none"/>
        </w:rPr>
        <w:t>具体支付时间要以财政落实为准。</w:t>
      </w:r>
    </w:p>
    <w:p w14:paraId="40D5DE42">
      <w:pPr>
        <w:pageBreakBefore w:val="0"/>
        <w:widowControl w:val="0"/>
        <w:kinsoku/>
        <w:wordWrap/>
        <w:overflowPunct/>
        <w:topLinePunct w:val="0"/>
        <w:autoSpaceDE/>
        <w:autoSpaceDN/>
        <w:bidi w:val="0"/>
        <w:adjustRightInd w:val="0"/>
        <w:snapToGrid w:val="0"/>
        <w:spacing w:line="360" w:lineRule="auto"/>
        <w:ind w:right="0" w:rightChars="0" w:firstLine="456" w:firstLineChars="200"/>
        <w:textAlignment w:val="auto"/>
        <w:outlineLvl w:val="9"/>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lang w:val="en-US" w:eastAsia="zh-Hans"/>
        </w:rPr>
        <w:t>甲方</w:t>
      </w:r>
      <w:r>
        <w:rPr>
          <w:rFonts w:hint="eastAsia" w:ascii="仿宋" w:hAnsi="仿宋" w:eastAsia="仿宋" w:cs="仿宋"/>
          <w:spacing w:val="-6"/>
          <w:sz w:val="24"/>
          <w:szCs w:val="24"/>
          <w:highlight w:val="none"/>
          <w:lang w:val="en-US" w:eastAsia="zh-CN"/>
        </w:rPr>
        <w:t>每次</w:t>
      </w:r>
      <w:r>
        <w:rPr>
          <w:rFonts w:hint="eastAsia" w:ascii="仿宋" w:hAnsi="仿宋" w:eastAsia="仿宋" w:cs="仿宋"/>
          <w:spacing w:val="-6"/>
          <w:sz w:val="24"/>
          <w:szCs w:val="24"/>
          <w:highlight w:val="none"/>
          <w:lang w:val="en-US" w:eastAsia="zh-Hans"/>
        </w:rPr>
        <w:t>付款</w:t>
      </w:r>
      <w:r>
        <w:rPr>
          <w:rFonts w:hint="eastAsia" w:ascii="仿宋" w:hAnsi="仿宋" w:eastAsia="仿宋" w:cs="仿宋"/>
          <w:spacing w:val="-6"/>
          <w:sz w:val="24"/>
          <w:szCs w:val="24"/>
          <w:highlight w:val="none"/>
          <w:lang w:val="en-US" w:eastAsia="zh-CN"/>
        </w:rPr>
        <w:t>的【5】个工作日</w:t>
      </w:r>
      <w:r>
        <w:rPr>
          <w:rFonts w:hint="eastAsia" w:ascii="仿宋" w:hAnsi="仿宋" w:eastAsia="仿宋" w:cs="仿宋"/>
          <w:spacing w:val="-6"/>
          <w:sz w:val="24"/>
          <w:szCs w:val="24"/>
          <w:highlight w:val="none"/>
          <w:lang w:val="en-US" w:eastAsia="zh-Hans"/>
        </w:rPr>
        <w:t>前</w:t>
      </w:r>
      <w:r>
        <w:rPr>
          <w:rFonts w:hint="eastAsia" w:ascii="仿宋" w:hAnsi="仿宋" w:eastAsia="仿宋" w:cs="仿宋"/>
          <w:spacing w:val="-6"/>
          <w:sz w:val="24"/>
          <w:szCs w:val="24"/>
          <w:highlight w:val="none"/>
          <w:lang w:eastAsia="zh-Hans"/>
        </w:rPr>
        <w:t>，</w:t>
      </w:r>
      <w:r>
        <w:rPr>
          <w:rFonts w:hint="eastAsia" w:ascii="仿宋" w:hAnsi="仿宋" w:eastAsia="仿宋" w:cs="仿宋"/>
          <w:spacing w:val="-6"/>
          <w:sz w:val="24"/>
          <w:szCs w:val="24"/>
          <w:highlight w:val="none"/>
          <w:lang w:val="en-US" w:eastAsia="zh-Hans"/>
        </w:rPr>
        <w:t>乙方应当向甲方提供等额合法有效的增值税发票</w:t>
      </w:r>
      <w:r>
        <w:rPr>
          <w:rFonts w:hint="eastAsia" w:ascii="仿宋" w:hAnsi="仿宋" w:eastAsia="仿宋" w:cs="仿宋"/>
          <w:spacing w:val="-6"/>
          <w:sz w:val="24"/>
          <w:szCs w:val="24"/>
          <w:highlight w:val="none"/>
          <w:lang w:eastAsia="zh-Hans"/>
        </w:rPr>
        <w:t>，</w:t>
      </w:r>
      <w:r>
        <w:rPr>
          <w:rFonts w:hint="eastAsia" w:ascii="仿宋" w:hAnsi="仿宋" w:eastAsia="仿宋" w:cs="仿宋"/>
          <w:spacing w:val="-6"/>
          <w:sz w:val="24"/>
          <w:szCs w:val="24"/>
          <w:highlight w:val="none"/>
          <w:lang w:val="en-US" w:eastAsia="zh-Hans"/>
        </w:rPr>
        <w:t>乙方未提供发票的</w:t>
      </w:r>
      <w:r>
        <w:rPr>
          <w:rFonts w:hint="eastAsia" w:ascii="仿宋" w:hAnsi="仿宋" w:eastAsia="仿宋" w:cs="仿宋"/>
          <w:spacing w:val="-6"/>
          <w:sz w:val="24"/>
          <w:szCs w:val="24"/>
          <w:highlight w:val="none"/>
          <w:lang w:eastAsia="zh-Hans"/>
        </w:rPr>
        <w:t>，</w:t>
      </w:r>
      <w:r>
        <w:rPr>
          <w:rFonts w:hint="eastAsia" w:ascii="仿宋" w:hAnsi="仿宋" w:eastAsia="仿宋" w:cs="仿宋"/>
          <w:spacing w:val="-6"/>
          <w:sz w:val="24"/>
          <w:szCs w:val="24"/>
          <w:highlight w:val="none"/>
          <w:lang w:val="en-US" w:eastAsia="zh-Hans"/>
        </w:rPr>
        <w:t>甲方有权拒绝付款且无需承担迟延付款的违约责任</w:t>
      </w:r>
      <w:r>
        <w:rPr>
          <w:rFonts w:hint="eastAsia" w:ascii="仿宋" w:hAnsi="仿宋" w:eastAsia="仿宋" w:cs="仿宋"/>
          <w:spacing w:val="-6"/>
          <w:sz w:val="24"/>
          <w:szCs w:val="24"/>
          <w:highlight w:val="none"/>
          <w:lang w:val="en-US" w:eastAsia="zh-CN"/>
        </w:rPr>
        <w:t>，且乙方不得以此为由中止履行</w:t>
      </w:r>
      <w:r>
        <w:rPr>
          <w:rFonts w:hint="eastAsia" w:ascii="仿宋" w:hAnsi="仿宋" w:eastAsia="仿宋" w:cs="仿宋"/>
          <w:spacing w:val="-6"/>
          <w:sz w:val="24"/>
          <w:szCs w:val="24"/>
          <w:highlight w:val="none"/>
          <w:lang w:eastAsia="zh-Hans"/>
        </w:rPr>
        <w:t>。</w:t>
      </w:r>
      <w:r>
        <w:rPr>
          <w:rFonts w:hint="eastAsia" w:ascii="仿宋" w:hAnsi="仿宋" w:eastAsia="仿宋" w:cs="仿宋"/>
          <w:spacing w:val="-6"/>
          <w:sz w:val="24"/>
          <w:szCs w:val="24"/>
          <w:highlight w:val="none"/>
          <w:lang w:val="en-US" w:eastAsia="zh-Hans"/>
        </w:rPr>
        <w:t>发票认证通过是甲方付款的必要前提之一</w:t>
      </w:r>
      <w:r>
        <w:rPr>
          <w:rFonts w:hint="eastAsia" w:ascii="仿宋" w:hAnsi="仿宋" w:eastAsia="仿宋" w:cs="仿宋"/>
          <w:spacing w:val="-6"/>
          <w:sz w:val="24"/>
          <w:szCs w:val="24"/>
          <w:highlight w:val="none"/>
          <w:lang w:eastAsia="zh-Hans"/>
        </w:rPr>
        <w:t>。</w:t>
      </w:r>
    </w:p>
    <w:p w14:paraId="2E43B696">
      <w:pPr>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outlineLvl w:val="9"/>
        <w:rPr>
          <w:rFonts w:hint="eastAsia"/>
        </w:rPr>
      </w:pPr>
    </w:p>
    <w:p w14:paraId="1C49AE1C">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五</w:t>
      </w:r>
      <w:r>
        <w:rPr>
          <w:rFonts w:hint="eastAsia" w:ascii="仿宋" w:hAnsi="仿宋" w:eastAsia="仿宋" w:cs="仿宋"/>
          <w:b/>
          <w:bCs/>
          <w:snapToGrid w:val="0"/>
          <w:sz w:val="24"/>
          <w:szCs w:val="24"/>
          <w:highlight w:val="none"/>
        </w:rPr>
        <w:t>条 甲方的权利和义务</w:t>
      </w:r>
    </w:p>
    <w:p w14:paraId="15F902F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负责对设施运行情况、日常养护（包括防盗及修复）质量、安全和巡查工作及资料台帐等进行检查，对设施完好状况进行</w:t>
      </w:r>
      <w:r>
        <w:rPr>
          <w:rFonts w:hint="eastAsia" w:ascii="仿宋" w:hAnsi="仿宋" w:eastAsia="仿宋" w:cs="仿宋"/>
          <w:sz w:val="24"/>
          <w:szCs w:val="24"/>
          <w:highlight w:val="none"/>
          <w:lang w:eastAsia="zh-CN"/>
        </w:rPr>
        <w:t>核查，按月进行考核</w:t>
      </w:r>
      <w:r>
        <w:rPr>
          <w:rFonts w:hint="eastAsia" w:ascii="仿宋" w:hAnsi="仿宋" w:eastAsia="仿宋" w:cs="仿宋"/>
          <w:sz w:val="24"/>
          <w:szCs w:val="24"/>
          <w:highlight w:val="none"/>
        </w:rPr>
        <w:t>。对于检查发现的景观</w:t>
      </w:r>
      <w:r>
        <w:rPr>
          <w:rFonts w:hint="eastAsia" w:ascii="仿宋" w:hAnsi="仿宋" w:eastAsia="仿宋" w:cs="仿宋"/>
          <w:sz w:val="24"/>
          <w:szCs w:val="24"/>
          <w:highlight w:val="none"/>
          <w:lang w:eastAsia="zh-CN"/>
        </w:rPr>
        <w:t>灯</w:t>
      </w:r>
      <w:r>
        <w:rPr>
          <w:rFonts w:hint="eastAsia" w:ascii="仿宋" w:hAnsi="仿宋" w:eastAsia="仿宋" w:cs="仿宋"/>
          <w:sz w:val="24"/>
          <w:szCs w:val="24"/>
          <w:highlight w:val="none"/>
        </w:rPr>
        <w:t>设施各类问题，有权要求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按要求及时修复。</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以及其委派的任何人，均可对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养护范围内的设施养护状况进行检查。</w:t>
      </w:r>
    </w:p>
    <w:p w14:paraId="6316ADB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负责向</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提供有关景观</w:t>
      </w:r>
      <w:r>
        <w:rPr>
          <w:rFonts w:hint="eastAsia" w:ascii="仿宋" w:hAnsi="仿宋" w:eastAsia="仿宋" w:cs="仿宋"/>
          <w:sz w:val="24"/>
          <w:szCs w:val="24"/>
          <w:highlight w:val="none"/>
          <w:lang w:eastAsia="zh-CN"/>
        </w:rPr>
        <w:t>灯</w:t>
      </w:r>
      <w:r>
        <w:rPr>
          <w:rFonts w:hint="eastAsia" w:ascii="仿宋" w:hAnsi="仿宋" w:eastAsia="仿宋" w:cs="仿宋"/>
          <w:sz w:val="24"/>
          <w:szCs w:val="24"/>
          <w:highlight w:val="none"/>
        </w:rPr>
        <w:t>设施养护的规范性文件、相关的技术规程、考核办法及各类相关文件，并对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工作进行指导。</w:t>
      </w:r>
    </w:p>
    <w:p w14:paraId="45FC215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负责审定</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的年度和月度养护计划，检查养护计划执行情况，并根据各项考核及保障要求明确养护任务。</w:t>
      </w:r>
    </w:p>
    <w:p w14:paraId="4011A58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在认为有必要的情况下，可要求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对设施进行特殊养护。</w:t>
      </w:r>
    </w:p>
    <w:p w14:paraId="03498D95">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负责对</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养护工作进行检查，发现</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未按规范要求进行养护时，有权按合同约定</w:t>
      </w:r>
      <w:r>
        <w:rPr>
          <w:rFonts w:hint="eastAsia" w:ascii="仿宋" w:hAnsi="仿宋" w:eastAsia="仿宋" w:cs="仿宋"/>
          <w:sz w:val="24"/>
          <w:szCs w:val="24"/>
          <w:highlight w:val="none"/>
          <w:lang w:eastAsia="zh-CN"/>
        </w:rPr>
        <w:t>、考核办法进行考核扣款</w:t>
      </w:r>
      <w:r>
        <w:rPr>
          <w:rFonts w:hint="eastAsia" w:ascii="仿宋" w:hAnsi="仿宋" w:eastAsia="仿宋" w:cs="仿宋"/>
          <w:sz w:val="24"/>
          <w:szCs w:val="24"/>
          <w:highlight w:val="none"/>
        </w:rPr>
        <w:t>；发现设施处于危急状况时立即限期要求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按应急预案采取相关措施；对于无法胜任工作或玩忽职守、工作不负责的人员有权要求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进行更换。</w:t>
      </w:r>
    </w:p>
    <w:p w14:paraId="3C076F4A">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有权对养护工作中采用新工艺、新材料、新方法的适用性、安全性进行审查。</w:t>
      </w:r>
    </w:p>
    <w:p w14:paraId="0C1C73A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负责协调处理因不可抗力的自然因素造成的设施损坏事件。</w:t>
      </w:r>
    </w:p>
    <w:p w14:paraId="7A4906DC">
      <w:pPr>
        <w:pStyle w:val="17"/>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2"/>
          <w:sz w:val="24"/>
          <w:szCs w:val="24"/>
          <w:highlight w:val="none"/>
          <w:lang w:val="en-US" w:eastAsia="zh-CN" w:bidi="ar-SA"/>
        </w:rPr>
        <w:t xml:space="preserve">   8.合同期间甲方落实的其他相关事宜。</w:t>
      </w:r>
    </w:p>
    <w:p w14:paraId="183A29D1">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六</w:t>
      </w:r>
      <w:r>
        <w:rPr>
          <w:rFonts w:hint="eastAsia" w:ascii="仿宋" w:hAnsi="仿宋" w:eastAsia="仿宋" w:cs="仿宋"/>
          <w:b/>
          <w:bCs/>
          <w:snapToGrid w:val="0"/>
          <w:sz w:val="24"/>
          <w:szCs w:val="24"/>
          <w:highlight w:val="none"/>
        </w:rPr>
        <w:t>条 乙方的权利和义务</w:t>
      </w:r>
    </w:p>
    <w:p w14:paraId="51AC411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1.按照养护设施范围、实际养护设施量及考核等情况取得相应养护经费。</w:t>
      </w:r>
    </w:p>
    <w:p w14:paraId="296B8DD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2.编制年度、月度养护计划，按照现行的有关规范要求及合同各项规定，精心组织养护，保证设施正常运行，并按要求报送养护台账。</w:t>
      </w:r>
    </w:p>
    <w:p w14:paraId="6C55FD7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3.对景观照明设施按有关规定进行巡查，掌握设施动态，及时发现、防止和处理设施缺陷，确保景观照明设施完好和安全运行。</w:t>
      </w:r>
    </w:p>
    <w:p w14:paraId="7FF8D3E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在实施养护作业过程中，应遵守国家、省、市颁布的法律、法令、条例以及有关规定，遵守有关部门的规章细则等，负责办理养护操作中涉及的有关审批及协调手续。由于乙方违反上述规定而导致的所有责任，由乙方自行承担。</w:t>
      </w:r>
    </w:p>
    <w:p w14:paraId="063211B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5.配合做好亮灯的服务及安全保障工作，制定应急预案并报甲方备案。在重大活动期间、节假日、应急保障中应加大巡查频率，必要时采取监护措施，并无条件按照甲方要求开展保障工作。</w:t>
      </w:r>
    </w:p>
    <w:p w14:paraId="3A9A5E4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为确保安全、文明养护，乙方应该本着“安全第一，预防为主”的原则，建全安全管理组织体系；严格贯彻国家、省、市和劳动保护、安全生产部门颁发的有关安全生产、消防工作的方针、政策、法规、条例、规定等执行。</w:t>
      </w:r>
    </w:p>
    <w:p w14:paraId="578EEA9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eastAsia="zh-CN"/>
        </w:rPr>
        <w:t>要制定应急预案，配合做好亮灯的服务及安全保障工作。</w:t>
      </w:r>
    </w:p>
    <w:p w14:paraId="1662486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合同期间，由于乙方安全措施不力、养护工作不到位、违反安全操作规程而导致责任事故或甲方</w:t>
      </w:r>
      <w:r>
        <w:rPr>
          <w:rFonts w:hint="eastAsia" w:ascii="仿宋" w:hAnsi="仿宋" w:eastAsia="仿宋" w:cs="仿宋"/>
          <w:sz w:val="24"/>
          <w:szCs w:val="24"/>
          <w:highlight w:val="none"/>
          <w:lang w:val="en-US" w:eastAsia="zh-CN"/>
        </w:rPr>
        <w:t>、乙方或</w:t>
      </w:r>
      <w:r>
        <w:rPr>
          <w:rFonts w:hint="eastAsia" w:ascii="仿宋" w:hAnsi="仿宋" w:eastAsia="仿宋" w:cs="仿宋"/>
          <w:sz w:val="24"/>
          <w:szCs w:val="24"/>
          <w:highlight w:val="none"/>
          <w:lang w:eastAsia="zh-CN"/>
        </w:rPr>
        <w:t>第三方人身和财产损失，乙方应负责予以妥善处理，所发生的费用均由乙方自负，甲方保留追究责任的权利。如甲方因此遭到第三方索赔的，有权全额向乙方追偿。</w:t>
      </w:r>
    </w:p>
    <w:p w14:paraId="67F65734">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.对全部现场作业和施工方法的适应、稳妥和安全性承担全部责任。在养护工作中，力求采用成熟的工艺、材料和方法。合同期间，发生养护相关的质量、安全事故，均由乙方承担全部责任。</w:t>
      </w:r>
    </w:p>
    <w:p w14:paraId="6701851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乙方建立健全安全体制、安全学习、人员管理等制度，不断提高工作人员的安全意识；工作人员必须经过专业培训并持证上岗，设专人负责。甲方有权要求乙方撤换工作不能胜任或玩忽职守、工作不负责的人员直至满意，配备合格、齐全的养护队伍、养护设备、劳保用品等。建立养护档案，健全日常养护（包括防盗及修复）作业记录，认真做好台帐的整理和归档工作；养护台账资料接受甲方定期检查，每月前5个工作日内将上月养护台账资料移交甲方一份。</w:t>
      </w:r>
    </w:p>
    <w:p w14:paraId="61A2A83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成立突发事件应急处理领导小组和应急抢险队伍，切实按照《杭州市突发事件应急抢险预案》等相关政策文件制定的相关预案组织实施。认真做好防汛、抗台、抗雪及突发事件应急抢险工作，确保人员、设备、材料“三落实”，并做好数据、图片和台帐的记录、存档，及时反映情况，严格服从甲方的统一指挥、安排和要求。</w:t>
      </w:r>
    </w:p>
    <w:p w14:paraId="59720282">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.负责发现并及时制止养护范围内的所有设施免遭人为等因素导致的损坏和侵害，并做好赔偿、修复工作。</w:t>
      </w:r>
    </w:p>
    <w:p w14:paraId="322EE75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结合项目具体情况，科学组织养护范围内设施安全检查</w:t>
      </w:r>
      <w:r>
        <w:rPr>
          <w:rFonts w:hint="eastAsia" w:ascii="仿宋" w:hAnsi="仿宋" w:eastAsia="仿宋" w:cs="仿宋"/>
          <w:sz w:val="24"/>
          <w:szCs w:val="24"/>
          <w:highlight w:val="none"/>
          <w:lang w:eastAsia="zh-CN"/>
        </w:rPr>
        <w:t>，确保设施安全稳定运行。重大保障期间增加专项检查。乙方应切实加强养护区域现场管理，确保安全生产，养护期内，因被养护设施掉落、炫光、漏电等造成的人身或财产等损失，一律由乙方负责赔偿。养护期内，若发生任何故障和问题，乙方应立即采取相关应急措施，并通知甲方和相关部门。任何原因造成的景观照明设施缺损和第三方损失，均由乙方负责及时更换、维修及赔偿，并承担相关费用。</w:t>
      </w:r>
    </w:p>
    <w:p w14:paraId="7259207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.乙方按照现状接收的标准进行中标养护，在中标公示结束起</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天内完成交接进入养护。交接过程中有问题，乙方提供影像资料佐证，落实原责任单位修复。</w:t>
      </w:r>
    </w:p>
    <w:p w14:paraId="15A7947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.负责合同生效起一个月内完成所有设备资料复核调整和标识工作，按照采购要求落实贴牌标示、合同范围内设施量及设施现状调查等工作，并及时向甲方提供资料和设备清单。做好定期核对相关资料等工作。</w:t>
      </w:r>
    </w:p>
    <w:p w14:paraId="77A2198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.负责对发现的缺亮、故障和缺陷等问题进行及时修复并做好反馈工作，确保设施设备完好可靠，确保亮灯率达到</w:t>
      </w:r>
      <w:r>
        <w:rPr>
          <w:rFonts w:hint="eastAsia" w:ascii="仿宋" w:hAnsi="仿宋" w:eastAsia="仿宋" w:cs="仿宋"/>
          <w:sz w:val="24"/>
          <w:szCs w:val="24"/>
          <w:highlight w:val="none"/>
          <w:lang w:val="en-US" w:eastAsia="zh-CN"/>
        </w:rPr>
        <w:t>98%以上</w:t>
      </w:r>
      <w:r>
        <w:rPr>
          <w:rFonts w:hint="eastAsia" w:ascii="仿宋" w:hAnsi="仿宋" w:eastAsia="仿宋" w:cs="仿宋"/>
          <w:sz w:val="24"/>
          <w:szCs w:val="24"/>
          <w:highlight w:val="none"/>
          <w:lang w:eastAsia="zh-CN"/>
        </w:rPr>
        <w:t>。</w:t>
      </w:r>
    </w:p>
    <w:p w14:paraId="2938528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.负责保持照明设施的清洁，及时清除未经许可的悬挂物。</w:t>
      </w:r>
    </w:p>
    <w:p w14:paraId="0D39EC04">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.建立24小时值班制度，及时处理“三来件”事项，要求办结率达到100%，否则按考核办法扣款处理。</w:t>
      </w:r>
    </w:p>
    <w:p w14:paraId="3930CDC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.乙方须确保养护灯具质量及亮灯质量，针对养护过程中出现的影响亮灯效果的问题，乙方应及时制定整改方案，报甲方同意后有效解决问题。</w:t>
      </w:r>
    </w:p>
    <w:p w14:paraId="1F9B560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合同期内，乙方负责的灯具如有损坏、故障的，乙方可采用修理、修补、更换等方式进行处理，更换的设备品牌、样式、规格等须与原项目相同,且更换灯具必须为新灯具。对无法采购到的光源、电器等设备，经报甲方同意后可更换相同标准的设备，确保亮灯效果一致。</w:t>
      </w:r>
    </w:p>
    <w:p w14:paraId="0FB7A14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eastAsia="zh-CN"/>
        </w:rPr>
        <w:t>.亮灯时间必须严格按照规定时间实施；每次亮灯期间的巡查覆盖率为</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lang w:eastAsia="zh-CN"/>
        </w:rPr>
        <w:t>巡查过程中将断亮缺亮等问题拍照记录编辑。</w:t>
      </w:r>
    </w:p>
    <w:p w14:paraId="10DA97B7">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eastAsia="zh-CN"/>
        </w:rPr>
        <w:t>.市、区两级亮灯管理部门发出的保障通知、临时要求，乙方必须落实响应并限期反馈。严格执行《杭州市建筑物景观照明设施养护评价办法》、《城市照明设施养护维修服务标准》。</w:t>
      </w:r>
      <w:r>
        <w:rPr>
          <w:rFonts w:hint="eastAsia" w:ascii="仿宋" w:hAnsi="仿宋" w:eastAsia="仿宋" w:cs="仿宋"/>
          <w:sz w:val="24"/>
          <w:szCs w:val="24"/>
          <w:highlight w:val="none"/>
          <w:lang w:val="en-US" w:eastAsia="zh-CN"/>
        </w:rPr>
        <w:t>对养护内容进行日常巡查，对设备的运行情况及时记录，</w:t>
      </w:r>
      <w:r>
        <w:rPr>
          <w:rFonts w:hint="eastAsia" w:ascii="仿宋" w:hAnsi="仿宋" w:eastAsia="仿宋" w:cs="仿宋"/>
          <w:sz w:val="24"/>
          <w:szCs w:val="24"/>
          <w:highlight w:val="none"/>
          <w:lang w:eastAsia="zh-CN"/>
        </w:rPr>
        <w:t>要求对养护范围的景观灯等设施进行全方位巡查，做好每日巡查，其中养护区域范围内社会亮灯项目巡查及问题反馈，每周不少于</w:t>
      </w:r>
      <w:r>
        <w:rPr>
          <w:rFonts w:hint="eastAsia" w:ascii="仿宋" w:hAnsi="仿宋" w:eastAsia="仿宋" w:cs="仿宋"/>
          <w:sz w:val="24"/>
          <w:szCs w:val="24"/>
          <w:highlight w:val="none"/>
          <w:lang w:val="en-US" w:eastAsia="zh-CN"/>
        </w:rPr>
        <w:t>1次；变压器、配电箱(柜)每月巡检一次；地埋电缆线路每半年巡检一次；接地(或接零)装置每年在干燥季节（冬季）巡检一次；独立的防雷装置应在每年的雷雨季节前（春季）巡检一次；漏电保护装置应每季巡检一次；灯杆、灯罩、设备等亮灯设施每季度系统性清洗一次，或设施明显积尘</w:t>
      </w:r>
      <w:r>
        <w:rPr>
          <w:rFonts w:hint="eastAsia" w:ascii="仿宋" w:hAnsi="仿宋" w:eastAsia="仿宋" w:cs="仿宋"/>
          <w:color w:val="auto"/>
          <w:sz w:val="24"/>
          <w:highlight w:val="none"/>
          <w:lang w:val="en-US" w:eastAsia="zh-CN"/>
        </w:rPr>
        <w:t>时应立即启动清洗</w:t>
      </w:r>
      <w:r>
        <w:rPr>
          <w:rFonts w:hint="eastAsia" w:ascii="仿宋" w:hAnsi="仿宋" w:eastAsia="仿宋" w:cs="仿宋"/>
          <w:sz w:val="24"/>
          <w:szCs w:val="24"/>
          <w:highlight w:val="none"/>
          <w:lang w:val="en-US" w:eastAsia="zh-CN"/>
        </w:rPr>
        <w:t>，及时清除灯柱乱张贴、乱涂鸦，</w:t>
      </w:r>
      <w:r>
        <w:rPr>
          <w:rFonts w:hint="eastAsia" w:ascii="仿宋" w:hAnsi="仿宋" w:eastAsia="仿宋" w:cs="仿宋"/>
          <w:sz w:val="24"/>
          <w:szCs w:val="24"/>
          <w:highlight w:val="none"/>
          <w:lang w:eastAsia="zh-CN"/>
        </w:rPr>
        <w:t>污染严重地段加大清洁工作频率；</w:t>
      </w:r>
      <w:r>
        <w:rPr>
          <w:rFonts w:hint="eastAsia" w:ascii="仿宋" w:hAnsi="仿宋" w:eastAsia="仿宋" w:cs="仿宋"/>
          <w:sz w:val="24"/>
          <w:szCs w:val="24"/>
          <w:highlight w:val="none"/>
          <w:lang w:val="en-US" w:eastAsia="zh-CN"/>
        </w:rPr>
        <w:t>集中控制装置、照明节电装置或其他智慧照明装置每半年巡检一次；设施被盜频发地段应安排人员每天巡查；连续高温、台风、雷雨或冰雪等特殊自然灾害性气候，应按城市照明监管机构要求进行防火、防汛、防台、防雷、抗雪等专项检查，并增加巡检次数，必要时作临时断电处理。</w:t>
      </w:r>
    </w:p>
    <w:p w14:paraId="6F449CC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25.作业人员需持有相应上岗证书方可上岗，且证书在有效期内并复审合格。每次作业时，乙方须严格按照国家相关安全规范、行业标准等要求，做好作业准备、实施、收尾全流程各项工作。</w:t>
      </w:r>
    </w:p>
    <w:p w14:paraId="203EB999">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乙方制定完善的高空作业安全管理制度和应急预案，定期组织作业人员开展安全培训与应急演练，为作业人员提供必要的安全培训和技术指导。定期对作业设备进行维护和更新，确保其安全性。为作业人员购买足额的工伤保险和意外伤害保险，降低事故风险。对作业现场进行监督管理，及时发现和消除安全隐患。若发生安全事故，承担相应的法律责任和经济赔偿责任。</w:t>
      </w:r>
    </w:p>
    <w:p w14:paraId="0A0C8F2B">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27.合同履行期间，在本项目管养范围内发生涉及本项目相关的安全事故，包括乙方人员作业发生安全事故，乙方负全责，承担相应的经济赔偿和法律责任。</w:t>
      </w:r>
    </w:p>
    <w:p w14:paraId="17CE7312">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.乙方将亮灯问题整改处置后必须进行拍照，将问题与完成的对比照片按月度编辑报甲方。要求巡查、养护的效果及工作照片</w:t>
      </w:r>
      <w:r>
        <w:rPr>
          <w:rFonts w:hint="eastAsia" w:ascii="仿宋" w:hAnsi="仿宋" w:eastAsia="仿宋" w:cs="仿宋"/>
          <w:sz w:val="24"/>
          <w:szCs w:val="24"/>
          <w:highlight w:val="none"/>
          <w:lang w:val="en-US" w:eastAsia="zh-CN"/>
        </w:rPr>
        <w:t>清晰</w:t>
      </w:r>
      <w:r>
        <w:rPr>
          <w:rFonts w:hint="eastAsia" w:ascii="仿宋" w:hAnsi="仿宋" w:eastAsia="仿宋" w:cs="仿宋"/>
          <w:sz w:val="24"/>
          <w:szCs w:val="24"/>
          <w:highlight w:val="none"/>
          <w:lang w:eastAsia="zh-CN"/>
        </w:rPr>
        <w:t>直观。</w:t>
      </w:r>
    </w:p>
    <w:p w14:paraId="30783B6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lang w:eastAsia="zh-CN"/>
        </w:rPr>
        <w:t>.建立安全管理、人员管理等制度，配备合格、齐全的养护队伍、养护设备、劳保用品等。建立养护档案，健全日常养护（包括防盗及修复）作业记录，认真做好台帐的整理和归档工作；养护档案资料接受甲方定期检查，按月将养护档案资料移交甲方一份。</w:t>
      </w:r>
    </w:p>
    <w:p w14:paraId="08433E30">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eastAsia="zh-CN"/>
        </w:rPr>
        <w:t>.设施设备更换、维修、维护等作业过程中需做好防护、围挡、警示等工作。</w:t>
      </w:r>
    </w:p>
    <w:p w14:paraId="5F391211">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eastAsia="zh-CN"/>
        </w:rPr>
        <w:t>.重大活动保障要求现场值班保障，要求乙方在保障期间有专人现场巡查，并保证景观设施正常亮灯，如重大活动及节假日期间，乙方须做好应急保障措施，安排人员24小时值班，按照养护及设施完好率、亮灯率、整洁率达到</w:t>
      </w:r>
      <w:r>
        <w:rPr>
          <w:rFonts w:hint="eastAsia" w:ascii="仿宋" w:hAnsi="仿宋" w:eastAsia="仿宋" w:cs="仿宋"/>
          <w:sz w:val="24"/>
          <w:szCs w:val="24"/>
          <w:highlight w:val="none"/>
          <w:lang w:val="en-US" w:eastAsia="zh-CN"/>
        </w:rPr>
        <w:t>100%等保障相关要求，储备足量备货，确保物质供应的及时性与稳定性。</w:t>
      </w:r>
    </w:p>
    <w:p w14:paraId="2EB1887F">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lang w:eastAsia="zh-CN"/>
        </w:rPr>
        <w:t>.养护期间，新移交的质保期内灯具及相关附属设施的养护标准与其他灯具、设施一致。但质保期内的养护费不予支付，乙方可先联系施工单位进行维修，最后由乙方兜底处置。</w:t>
      </w:r>
    </w:p>
    <w:p w14:paraId="726BFA73">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lang w:eastAsia="zh-CN"/>
        </w:rPr>
        <w:t>养护项目中标后不得将投标中自有要求的内容转包、分包，包括人员、车辆、高空作业等内容，甲方有权对乙方与养护项目相关的所有内容进行核实，一经发现有与采购要求不符的，乙方应立即按甲方要求限期进行整改；若未按要求整改到位的，甲方有权终止合同</w:t>
      </w:r>
      <w:r>
        <w:rPr>
          <w:rFonts w:hint="eastAsia" w:ascii="仿宋" w:hAnsi="仿宋" w:eastAsia="仿宋" w:cs="仿宋"/>
          <w:sz w:val="24"/>
          <w:szCs w:val="24"/>
          <w:highlight w:val="none"/>
          <w:lang w:val="en-US" w:eastAsia="zh-CN"/>
        </w:rPr>
        <w:t>并要求乙方支付本合同金额（即本合同第三条所述合同金额）【10】%的违约金</w:t>
      </w:r>
      <w:r>
        <w:rPr>
          <w:rFonts w:hint="eastAsia" w:ascii="仿宋" w:hAnsi="仿宋" w:eastAsia="仿宋" w:cs="仿宋"/>
          <w:sz w:val="24"/>
          <w:szCs w:val="24"/>
          <w:highlight w:val="none"/>
          <w:lang w:eastAsia="zh-CN"/>
        </w:rPr>
        <w:t>，并上报采购监管部门。</w:t>
      </w:r>
    </w:p>
    <w:p w14:paraId="6237185D">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eastAsia="zh-CN"/>
        </w:rPr>
        <w:t>养护期内，涉及被占用、拆除、迁移等的设施，需经甲方同意，并及时向甲方提供变更后的资料和设备清单；涉及新增、拆除的景观灯设施，以甲方书面通知为准，并从新增、拆除之日起，调整设施养护费。</w:t>
      </w:r>
    </w:p>
    <w:p w14:paraId="74E17922">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lang w:eastAsia="zh-CN"/>
        </w:rPr>
        <w:t>.养护到期后，乙方须与新的养护单位做好工作交接；若养护到期，但单个子项目未通过移交，甲方仍有权按考核办法在合同期外对乙方实施监管考核及代整治工作，相关费用从养护尾款中扣除。</w:t>
      </w:r>
    </w:p>
    <w:p w14:paraId="2EB1C008">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lang w:eastAsia="zh-CN"/>
        </w:rPr>
        <w:t>.乙方开始养护时间按甲方书面通知要求执行，确保养护工作及时有序开展，因改建等原因单个子项目需停止养护的则费用相应扣除。</w:t>
      </w:r>
    </w:p>
    <w:p w14:paraId="2D77CA76">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lang w:eastAsia="zh-CN"/>
        </w:rPr>
        <w:t>.甲方有权对乙方与养护项目相关的所有内容进行核实，一经发现有与采购要求、</w:t>
      </w:r>
      <w:r>
        <w:rPr>
          <w:rFonts w:hint="eastAsia" w:ascii="仿宋" w:hAnsi="仿宋" w:eastAsia="仿宋" w:cs="仿宋"/>
          <w:sz w:val="24"/>
          <w:szCs w:val="24"/>
          <w:highlight w:val="none"/>
          <w:lang w:val="en-US" w:eastAsia="zh-CN"/>
        </w:rPr>
        <w:t>投标承诺或合同要求</w:t>
      </w:r>
      <w:r>
        <w:rPr>
          <w:rFonts w:hint="eastAsia" w:ascii="仿宋" w:hAnsi="仿宋" w:eastAsia="仿宋" w:cs="仿宋"/>
          <w:sz w:val="24"/>
          <w:szCs w:val="24"/>
          <w:highlight w:val="none"/>
          <w:lang w:eastAsia="zh-CN"/>
        </w:rPr>
        <w:t>不符的，乙方应立即按甲方要求限期进行整改；若未按要求整改到位的，甲方有权终止合同</w:t>
      </w:r>
      <w:r>
        <w:rPr>
          <w:rFonts w:hint="eastAsia" w:ascii="仿宋" w:hAnsi="仿宋" w:eastAsia="仿宋" w:cs="仿宋"/>
          <w:sz w:val="24"/>
          <w:szCs w:val="24"/>
          <w:highlight w:val="none"/>
          <w:lang w:val="en-US" w:eastAsia="zh-CN"/>
        </w:rPr>
        <w:t>并要求乙方支付本合同金额</w:t>
      </w:r>
      <w:r>
        <w:rPr>
          <w:rFonts w:hint="eastAsia" w:ascii="仿宋" w:hAnsi="仿宋" w:eastAsia="仿宋" w:cs="仿宋"/>
          <w:sz w:val="24"/>
          <w:szCs w:val="24"/>
          <w:highlight w:val="none"/>
          <w:lang w:eastAsia="zh-CN"/>
        </w:rPr>
        <w:t>（即本合同第三条所述合同金额）</w:t>
      </w:r>
      <w:r>
        <w:rPr>
          <w:rFonts w:hint="eastAsia" w:ascii="仿宋" w:hAnsi="仿宋" w:eastAsia="仿宋" w:cs="仿宋"/>
          <w:sz w:val="24"/>
          <w:szCs w:val="24"/>
          <w:highlight w:val="none"/>
          <w:lang w:val="en-US" w:eastAsia="zh-CN"/>
        </w:rPr>
        <w:t>【10】%的违约金</w:t>
      </w:r>
      <w:r>
        <w:rPr>
          <w:rFonts w:hint="eastAsia" w:ascii="仿宋" w:hAnsi="仿宋" w:eastAsia="仿宋" w:cs="仿宋"/>
          <w:sz w:val="24"/>
          <w:szCs w:val="24"/>
          <w:highlight w:val="none"/>
          <w:lang w:eastAsia="zh-CN"/>
        </w:rPr>
        <w:t>，并上报区采购监管部门。</w:t>
      </w:r>
    </w:p>
    <w:p w14:paraId="49470154">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38.乙方在养护期内对项目进行一次配电箱接地电阻专项检测、三相平衡专项检测。</w:t>
      </w:r>
    </w:p>
    <w:p w14:paraId="1E5A8D7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39.本项目采购文件第三部分采购需求中第二点</w:t>
      </w:r>
      <w:r>
        <w:rPr>
          <w:rFonts w:hint="eastAsia" w:ascii="仿宋" w:hAnsi="仿宋" w:eastAsia="仿宋" w:cs="仿宋"/>
          <w:sz w:val="24"/>
          <w:szCs w:val="24"/>
          <w:highlight w:val="none"/>
          <w:lang w:eastAsia="zh-CN"/>
        </w:rPr>
        <w:t>服务内容、要求和范围中涉及的所有内容。</w:t>
      </w:r>
    </w:p>
    <w:p w14:paraId="0D93F81B">
      <w:pPr>
        <w:pageBreakBefore w:val="0"/>
        <w:widowControl w:val="0"/>
        <w:numPr>
          <w:ilvl w:val="0"/>
          <w:numId w:val="0"/>
        </w:numPr>
        <w:tabs>
          <w:tab w:val="left" w:pos="706"/>
        </w:tabs>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第七条 其他要求及规定</w:t>
      </w:r>
    </w:p>
    <w:p w14:paraId="5B0C5606">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.投入本项目的班组成员需能熟练使用手机APP。</w:t>
      </w:r>
    </w:p>
    <w:p w14:paraId="6EFB665C">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.乙方需更换项目班组成员的，须</w:t>
      </w:r>
      <w:r>
        <w:rPr>
          <w:rFonts w:hint="eastAsia" w:ascii="仿宋" w:hAnsi="仿宋" w:eastAsia="仿宋" w:cs="仿宋"/>
          <w:sz w:val="24"/>
          <w:szCs w:val="24"/>
          <w:highlight w:val="none"/>
          <w:lang w:val="en-US" w:eastAsia="zh-CN"/>
        </w:rPr>
        <w:t>提前【5】日</w:t>
      </w:r>
      <w:r>
        <w:rPr>
          <w:rFonts w:hint="eastAsia" w:ascii="仿宋" w:hAnsi="仿宋" w:eastAsia="仿宋" w:cs="仿宋"/>
          <w:sz w:val="24"/>
          <w:szCs w:val="24"/>
          <w:highlight w:val="none"/>
          <w:lang w:eastAsia="zh-CN"/>
        </w:rPr>
        <w:t>向甲方报备并取得甲方书面同意后进行更换，更换的人员的资历、工作经验、资质等不得低于原班组成员。</w:t>
      </w:r>
    </w:p>
    <w:p w14:paraId="654F6450">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.甲方有权要求乙方撤换工作不能胜任或玩忽职守、工作不负责的人员</w:t>
      </w:r>
      <w:r>
        <w:rPr>
          <w:rFonts w:hint="eastAsia" w:ascii="仿宋" w:hAnsi="仿宋" w:eastAsia="仿宋" w:cs="仿宋"/>
          <w:sz w:val="24"/>
          <w:szCs w:val="24"/>
          <w:highlight w:val="none"/>
          <w:lang w:val="en-US" w:eastAsia="zh-CN"/>
        </w:rPr>
        <w:t>并在【3】日内完成更换</w:t>
      </w:r>
      <w:r>
        <w:rPr>
          <w:rFonts w:hint="eastAsia" w:ascii="仿宋" w:hAnsi="仿宋" w:eastAsia="仿宋" w:cs="仿宋"/>
          <w:sz w:val="24"/>
          <w:szCs w:val="24"/>
          <w:highlight w:val="none"/>
          <w:lang w:eastAsia="zh-CN"/>
        </w:rPr>
        <w:t>，更换的人员的资历、工作经验、资质等不得低于原班组成员。</w:t>
      </w:r>
    </w:p>
    <w:p w14:paraId="357712F2">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以月为时间节点按</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要求报送各类</w:t>
      </w:r>
      <w:r>
        <w:rPr>
          <w:rFonts w:hint="eastAsia" w:ascii="仿宋" w:hAnsi="仿宋" w:eastAsia="仿宋" w:cs="仿宋"/>
          <w:color w:val="auto"/>
          <w:sz w:val="24"/>
          <w:szCs w:val="24"/>
          <w:highlight w:val="none"/>
          <w:lang w:eastAsia="zh-CN"/>
        </w:rPr>
        <w:t>本项目相关</w:t>
      </w:r>
      <w:r>
        <w:rPr>
          <w:rFonts w:hint="eastAsia" w:ascii="仿宋" w:hAnsi="仿宋" w:eastAsia="仿宋" w:cs="仿宋"/>
          <w:color w:val="auto"/>
          <w:sz w:val="24"/>
          <w:szCs w:val="24"/>
          <w:highlight w:val="none"/>
        </w:rPr>
        <w:t>的宣传资料，</w:t>
      </w:r>
      <w:r>
        <w:rPr>
          <w:rFonts w:hint="eastAsia" w:ascii="仿宋" w:hAnsi="仿宋" w:eastAsia="仿宋" w:cs="仿宋"/>
          <w:color w:val="auto"/>
          <w:sz w:val="24"/>
          <w:szCs w:val="24"/>
          <w:highlight w:val="none"/>
          <w:lang w:eastAsia="zh-CN"/>
        </w:rPr>
        <w:t>每月宣传要求以甲方发布的要求为准，乙方必须按发布要求执行到位。若乙方未能按要求完成，甲方根据考核办法对乙方完成情况进行考核扣款</w:t>
      </w:r>
      <w:r>
        <w:rPr>
          <w:rFonts w:hint="eastAsia" w:ascii="仿宋" w:hAnsi="仿宋" w:eastAsia="仿宋" w:cs="仿宋"/>
          <w:color w:val="auto"/>
          <w:sz w:val="24"/>
          <w:szCs w:val="24"/>
          <w:highlight w:val="none"/>
          <w:lang w:val="en-US" w:eastAsia="zh-CN"/>
        </w:rPr>
        <w:t>。</w:t>
      </w:r>
    </w:p>
    <w:p w14:paraId="4B429B62">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.养护作业人员需统一着装，相关费用由乙方自行承担。</w:t>
      </w:r>
    </w:p>
    <w:p w14:paraId="7AD9B991">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.乙方在中标公示结束后</w:t>
      </w:r>
      <w:r>
        <w:rPr>
          <w:rFonts w:hint="eastAsia" w:ascii="仿宋" w:hAnsi="仿宋" w:eastAsia="仿宋" w:cs="仿宋"/>
          <w:sz w:val="24"/>
          <w:szCs w:val="24"/>
          <w:highlight w:val="none"/>
          <w:lang w:val="en-US" w:eastAsia="zh-CN"/>
        </w:rPr>
        <w:t>15天</w:t>
      </w:r>
      <w:r>
        <w:rPr>
          <w:rFonts w:hint="eastAsia" w:ascii="仿宋" w:hAnsi="仿宋" w:eastAsia="仿宋" w:cs="仿宋"/>
          <w:sz w:val="24"/>
          <w:szCs w:val="24"/>
          <w:highlight w:val="none"/>
          <w:lang w:eastAsia="zh-CN"/>
        </w:rPr>
        <w:t>内完成与原责任单位的设施量清点及设施移交工作。</w:t>
      </w:r>
    </w:p>
    <w:p w14:paraId="2E96BC56">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.乙方</w:t>
      </w:r>
      <w:r>
        <w:rPr>
          <w:rFonts w:hint="eastAsia" w:ascii="仿宋" w:hAnsi="仿宋" w:eastAsia="仿宋" w:cs="仿宋"/>
          <w:color w:val="auto"/>
          <w:sz w:val="24"/>
          <w:szCs w:val="24"/>
          <w:highlight w:val="none"/>
          <w:lang w:val="en-US" w:eastAsia="zh-CN"/>
        </w:rPr>
        <w:t>需在中标后6个月内，将养护区域内的箱变、开关箱、亮灯楼宇准确标注于电子版地图上。标注时应采用差异化图标清晰区分各类设施，并确保使用高清版地图，以全面、直观地呈现楼宇及设施的空间分布与整体状况 ，实现对养护区域的可视化高效管理。</w:t>
      </w:r>
    </w:p>
    <w:p w14:paraId="7B11A0FB">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本合同终止时，</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lang w:val="en-US" w:eastAsia="zh-CN"/>
        </w:rPr>
        <w:t>在【15】日内</w:t>
      </w:r>
      <w:r>
        <w:rPr>
          <w:rFonts w:hint="eastAsia" w:ascii="仿宋" w:hAnsi="仿宋" w:eastAsia="仿宋" w:cs="仿宋"/>
          <w:sz w:val="24"/>
          <w:szCs w:val="24"/>
          <w:highlight w:val="none"/>
          <w:lang w:eastAsia="zh-CN"/>
        </w:rPr>
        <w:t>向甲方移交全部档案资料</w:t>
      </w:r>
      <w:r>
        <w:rPr>
          <w:rFonts w:hint="eastAsia" w:ascii="仿宋" w:hAnsi="仿宋" w:eastAsia="仿宋" w:cs="仿宋"/>
          <w:sz w:val="24"/>
          <w:szCs w:val="24"/>
          <w:highlight w:val="none"/>
          <w:lang w:val="en-US" w:eastAsia="zh-CN"/>
        </w:rPr>
        <w:t>以及移交清单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每逾期一日，乙方应当承担【1000】元的违约金；经甲方签署确认后方可视为完成移交</w:t>
      </w:r>
      <w:r>
        <w:rPr>
          <w:rFonts w:hint="eastAsia" w:ascii="仿宋" w:hAnsi="仿宋" w:eastAsia="仿宋" w:cs="仿宋"/>
          <w:sz w:val="24"/>
          <w:szCs w:val="24"/>
          <w:highlight w:val="none"/>
          <w:lang w:eastAsia="zh-CN"/>
        </w:rPr>
        <w:t>。</w:t>
      </w:r>
    </w:p>
    <w:p w14:paraId="4659CC77">
      <w:pPr>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9.乙方落实场地和人员，做好养护范围内因各种原因引起的淘汰老旧灯具保管工作，期限为合同养护期。</w:t>
      </w:r>
    </w:p>
    <w:p w14:paraId="164F7E91">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第八条 违约责任</w:t>
      </w:r>
    </w:p>
    <w:p w14:paraId="5DC96524">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按照钱塘区相关规定及考核办法进行处理。</w:t>
      </w:r>
    </w:p>
    <w:p w14:paraId="648952F8">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其他违约责任按《中华人民共和国民法典》处理。</w:t>
      </w:r>
    </w:p>
    <w:p w14:paraId="6ADA3484">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第九条 知识产权归属</w:t>
      </w:r>
    </w:p>
    <w:p w14:paraId="3DE1E073">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b w:val="0"/>
          <w:bCs w:val="0"/>
          <w:snapToGrid w:val="0"/>
          <w:color w:val="auto"/>
          <w:sz w:val="24"/>
          <w:szCs w:val="24"/>
          <w:highlight w:val="none"/>
          <w:u w:val="none"/>
        </w:rPr>
      </w:pPr>
      <w:r>
        <w:rPr>
          <w:rFonts w:hint="eastAsia" w:ascii="仿宋" w:hAnsi="仿宋" w:eastAsia="仿宋" w:cs="仿宋"/>
          <w:b w:val="0"/>
          <w:bCs w:val="0"/>
          <w:snapToGrid w:val="0"/>
          <w:color w:val="auto"/>
          <w:sz w:val="24"/>
          <w:szCs w:val="24"/>
          <w:highlight w:val="none"/>
          <w:u w:val="none"/>
          <w:lang w:val="en-US" w:eastAsia="zh"/>
        </w:rPr>
        <w:t>1.</w:t>
      </w:r>
      <w:r>
        <w:rPr>
          <w:rFonts w:hint="eastAsia" w:ascii="仿宋" w:hAnsi="仿宋" w:eastAsia="仿宋" w:cs="仿宋"/>
          <w:b w:val="0"/>
          <w:bCs w:val="0"/>
          <w:snapToGrid w:val="0"/>
          <w:color w:val="auto"/>
          <w:sz w:val="24"/>
          <w:szCs w:val="24"/>
          <w:highlight w:val="none"/>
          <w:u w:val="none"/>
        </w:rPr>
        <w:t>甲方向乙方支付完毕本合同约定的所有费用后，乙方之设计成果所有权和著作权归甲方所有，但乙方享有在其设计成果上的署名权</w:t>
      </w:r>
      <w:r>
        <w:rPr>
          <w:rFonts w:hint="eastAsia" w:ascii="仿宋" w:hAnsi="仿宋" w:eastAsia="仿宋" w:cs="仿宋"/>
          <w:b w:val="0"/>
          <w:bCs w:val="0"/>
          <w:snapToGrid w:val="0"/>
          <w:color w:val="auto"/>
          <w:sz w:val="24"/>
          <w:szCs w:val="24"/>
          <w:highlight w:val="none"/>
          <w:u w:val="none"/>
          <w:lang w:eastAsia="zh-CN"/>
        </w:rPr>
        <w:t>，</w:t>
      </w:r>
      <w:r>
        <w:rPr>
          <w:rFonts w:hint="eastAsia" w:ascii="仿宋" w:hAnsi="仿宋" w:eastAsia="仿宋" w:cs="仿宋"/>
          <w:b w:val="0"/>
          <w:bCs w:val="0"/>
          <w:snapToGrid w:val="0"/>
          <w:color w:val="auto"/>
          <w:sz w:val="24"/>
          <w:szCs w:val="24"/>
          <w:highlight w:val="none"/>
          <w:u w:val="none"/>
        </w:rPr>
        <w:t>乙方未经甲方同意不得擅自修改、复制、向第三者转让</w:t>
      </w:r>
      <w:r>
        <w:rPr>
          <w:rFonts w:hint="eastAsia" w:ascii="仿宋" w:hAnsi="仿宋" w:eastAsia="仿宋" w:cs="仿宋"/>
          <w:b w:val="0"/>
          <w:bCs w:val="0"/>
          <w:snapToGrid w:val="0"/>
          <w:color w:val="auto"/>
          <w:sz w:val="24"/>
          <w:szCs w:val="24"/>
          <w:highlight w:val="none"/>
          <w:u w:val="none"/>
          <w:lang w:eastAsia="zh-CN"/>
        </w:rPr>
        <w:t>、</w:t>
      </w:r>
      <w:r>
        <w:rPr>
          <w:rFonts w:hint="eastAsia" w:ascii="仿宋" w:hAnsi="仿宋" w:eastAsia="仿宋" w:cs="仿宋"/>
          <w:b w:val="0"/>
          <w:bCs w:val="0"/>
          <w:snapToGrid w:val="0"/>
          <w:color w:val="auto"/>
          <w:sz w:val="24"/>
          <w:szCs w:val="24"/>
          <w:highlight w:val="none"/>
          <w:u w:val="none"/>
          <w:lang w:val="en-US" w:eastAsia="zh-CN"/>
        </w:rPr>
        <w:t>披露</w:t>
      </w:r>
      <w:r>
        <w:rPr>
          <w:rFonts w:hint="eastAsia" w:ascii="仿宋" w:hAnsi="仿宋" w:eastAsia="仿宋" w:cs="仿宋"/>
          <w:b w:val="0"/>
          <w:bCs w:val="0"/>
          <w:snapToGrid w:val="0"/>
          <w:color w:val="auto"/>
          <w:sz w:val="24"/>
          <w:szCs w:val="24"/>
          <w:highlight w:val="none"/>
          <w:u w:val="none"/>
        </w:rPr>
        <w:t>或用于本合同以外的项目。</w:t>
      </w:r>
    </w:p>
    <w:p w14:paraId="20D70B24">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b w:val="0"/>
          <w:bCs w:val="0"/>
          <w:snapToGrid w:val="0"/>
          <w:color w:val="auto"/>
          <w:sz w:val="24"/>
          <w:szCs w:val="24"/>
          <w:highlight w:val="none"/>
          <w:u w:val="none"/>
        </w:rPr>
      </w:pPr>
      <w:r>
        <w:rPr>
          <w:rFonts w:hint="eastAsia" w:ascii="仿宋" w:hAnsi="仿宋" w:eastAsia="仿宋" w:cs="仿宋"/>
          <w:b w:val="0"/>
          <w:bCs w:val="0"/>
          <w:snapToGrid w:val="0"/>
          <w:color w:val="auto"/>
          <w:sz w:val="24"/>
          <w:szCs w:val="24"/>
          <w:highlight w:val="none"/>
          <w:u w:val="none"/>
          <w:lang w:val="en-US" w:eastAsia="zh"/>
        </w:rPr>
        <w:t>2.</w:t>
      </w:r>
      <w:r>
        <w:rPr>
          <w:rFonts w:hint="eastAsia" w:ascii="仿宋" w:hAnsi="仿宋" w:eastAsia="仿宋" w:cs="仿宋"/>
          <w:b w:val="0"/>
          <w:bCs w:val="0"/>
          <w:snapToGrid w:val="0"/>
          <w:color w:val="auto"/>
          <w:sz w:val="24"/>
          <w:szCs w:val="24"/>
          <w:highlight w:val="none"/>
          <w:u w:val="none"/>
        </w:rPr>
        <w:t>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2A397722">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b w:val="0"/>
          <w:bCs w:val="0"/>
          <w:snapToGrid w:val="0"/>
          <w:color w:val="auto"/>
          <w:sz w:val="24"/>
          <w:szCs w:val="24"/>
          <w:highlight w:val="none"/>
          <w:u w:val="none"/>
        </w:rPr>
      </w:pPr>
      <w:r>
        <w:rPr>
          <w:rFonts w:hint="eastAsia" w:ascii="仿宋" w:hAnsi="仿宋" w:eastAsia="仿宋" w:cs="仿宋"/>
          <w:b w:val="0"/>
          <w:bCs w:val="0"/>
          <w:snapToGrid w:val="0"/>
          <w:color w:val="auto"/>
          <w:sz w:val="24"/>
          <w:szCs w:val="24"/>
          <w:highlight w:val="none"/>
          <w:u w:val="none"/>
          <w:lang w:val="en-US" w:eastAsia="zh"/>
        </w:rPr>
        <w:t>3.</w:t>
      </w:r>
      <w:r>
        <w:rPr>
          <w:rFonts w:hint="eastAsia" w:ascii="仿宋" w:hAnsi="仿宋" w:eastAsia="仿宋" w:cs="仿宋"/>
          <w:b w:val="0"/>
          <w:bCs w:val="0"/>
          <w:snapToGrid w:val="0"/>
          <w:color w:val="auto"/>
          <w:sz w:val="24"/>
          <w:szCs w:val="24"/>
          <w:highlight w:val="none"/>
          <w:u w:val="none"/>
        </w:rPr>
        <w:t>如乙方发现任何交付成果的知识产权可能有瑕疵，应立即书面通知甲方，并立即采取一切必要措施使交付成果合法化。</w:t>
      </w:r>
    </w:p>
    <w:p w14:paraId="38552B31">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b w:val="0"/>
          <w:bCs w:val="0"/>
          <w:snapToGrid w:val="0"/>
          <w:color w:val="auto"/>
          <w:sz w:val="24"/>
          <w:szCs w:val="24"/>
          <w:highlight w:val="none"/>
          <w:u w:val="none"/>
        </w:rPr>
      </w:pPr>
      <w:r>
        <w:rPr>
          <w:rFonts w:hint="eastAsia" w:ascii="仿宋" w:hAnsi="仿宋" w:eastAsia="仿宋" w:cs="仿宋"/>
          <w:b w:val="0"/>
          <w:bCs w:val="0"/>
          <w:snapToGrid w:val="0"/>
          <w:color w:val="auto"/>
          <w:sz w:val="24"/>
          <w:szCs w:val="24"/>
          <w:highlight w:val="none"/>
          <w:u w:val="none"/>
          <w:lang w:val="en-US" w:eastAsia="zh"/>
        </w:rPr>
        <w:t>4.</w:t>
      </w:r>
      <w:r>
        <w:rPr>
          <w:rFonts w:hint="eastAsia" w:ascii="仿宋" w:hAnsi="仿宋" w:eastAsia="仿宋" w:cs="仿宋"/>
          <w:b w:val="0"/>
          <w:bCs w:val="0"/>
          <w:snapToGrid w:val="0"/>
          <w:color w:val="auto"/>
          <w:sz w:val="24"/>
          <w:szCs w:val="24"/>
          <w:highlight w:val="none"/>
          <w:u w:val="none"/>
        </w:rPr>
        <w:t>本条规定自本合同生效之日起即应履行，长期有效，并且不受本合同届满、提前终止或本合同中其他条款的无效或履行完毕等情形的影响。</w:t>
      </w:r>
    </w:p>
    <w:p w14:paraId="4CB4C2B1">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第十条 保密条款</w:t>
      </w:r>
    </w:p>
    <w:p w14:paraId="5277579B">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乙方应遵守国家有关保密的法律法规和行业规定，并对甲方提供的资料负有保密义务。未经甲方同意，不得将承接政府公共服务项目获得的政府、公民个人等各种信息和资料提供给其他单位和个人或用于本合同以外的</w:t>
      </w:r>
      <w:r>
        <w:rPr>
          <w:rFonts w:hint="eastAsia" w:ascii="仿宋" w:hAnsi="仿宋" w:eastAsia="仿宋" w:cs="仿宋"/>
          <w:snapToGrid w:val="0"/>
          <w:sz w:val="24"/>
          <w:szCs w:val="24"/>
          <w:highlight w:val="none"/>
          <w:lang w:val="en-US" w:eastAsia="zh-CN"/>
        </w:rPr>
        <w:t>用途</w:t>
      </w:r>
      <w:r>
        <w:rPr>
          <w:rFonts w:hint="eastAsia" w:ascii="仿宋" w:hAnsi="仿宋" w:eastAsia="仿宋" w:cs="仿宋"/>
          <w:snapToGrid w:val="0"/>
          <w:sz w:val="24"/>
          <w:szCs w:val="24"/>
          <w:highlight w:val="none"/>
        </w:rPr>
        <w:t>。如发生以上情况，甲方有权索赔。</w:t>
      </w:r>
    </w:p>
    <w:p w14:paraId="42461928">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C460F93">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bCs w:val="0"/>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w:t>
      </w:r>
      <w:r>
        <w:rPr>
          <w:rFonts w:hint="eastAsia" w:ascii="仿宋" w:hAnsi="仿宋" w:eastAsia="仿宋" w:cs="仿宋"/>
          <w:bCs w:val="0"/>
          <w:snapToGrid w:val="0"/>
          <w:sz w:val="24"/>
          <w:szCs w:val="24"/>
          <w:highlight w:val="none"/>
          <w:lang w:val="en-US" w:eastAsia="zh-CN"/>
        </w:rPr>
        <w:t>因乙方原因导致</w:t>
      </w:r>
      <w:r>
        <w:rPr>
          <w:rFonts w:hint="eastAsia" w:ascii="仿宋" w:hAnsi="仿宋" w:eastAsia="仿宋" w:cs="仿宋"/>
          <w:bCs w:val="0"/>
          <w:snapToGrid w:val="0"/>
          <w:sz w:val="24"/>
          <w:szCs w:val="24"/>
          <w:highlight w:val="none"/>
        </w:rPr>
        <w:t>本合同的内容、因履行本合同或在本合同期间接触或知悉的甲方保密信息</w:t>
      </w:r>
      <w:r>
        <w:rPr>
          <w:rFonts w:hint="eastAsia" w:ascii="仿宋" w:hAnsi="仿宋" w:eastAsia="仿宋" w:cs="仿宋"/>
          <w:bCs w:val="0"/>
          <w:snapToGrid w:val="0"/>
          <w:sz w:val="24"/>
          <w:szCs w:val="24"/>
          <w:highlight w:val="none"/>
          <w:lang w:val="en-US" w:eastAsia="zh-CN"/>
        </w:rPr>
        <w:t>等保密资料未经甲方许可泄露的，甲方有权要求乙方承担【10000】元违约金，造成甲方损失的，还应当承担全部损失。</w:t>
      </w:r>
    </w:p>
    <w:p w14:paraId="03233744">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bCs w:val="0"/>
          <w:snapToGrid w:val="0"/>
          <w:sz w:val="24"/>
          <w:szCs w:val="24"/>
          <w:highlight w:val="none"/>
          <w:lang w:val="en-US" w:eastAsia="zh-CN"/>
        </w:rPr>
        <w:t>4.本</w:t>
      </w:r>
      <w:r>
        <w:rPr>
          <w:rFonts w:hint="eastAsia" w:ascii="仿宋" w:hAnsi="仿宋" w:eastAsia="仿宋" w:cs="仿宋"/>
          <w:bCs w:val="0"/>
          <w:snapToGrid w:val="0"/>
          <w:sz w:val="24"/>
          <w:szCs w:val="24"/>
          <w:highlight w:val="none"/>
        </w:rPr>
        <w:t>条</w:t>
      </w:r>
      <w:r>
        <w:rPr>
          <w:rFonts w:hint="eastAsia" w:ascii="仿宋" w:hAnsi="仿宋" w:eastAsia="仿宋" w:cs="仿宋"/>
          <w:bCs w:val="0"/>
          <w:snapToGrid w:val="0"/>
          <w:sz w:val="24"/>
          <w:szCs w:val="24"/>
          <w:highlight w:val="none"/>
          <w:lang w:val="en-US" w:eastAsia="zh-CN"/>
        </w:rPr>
        <w:t>约</w:t>
      </w:r>
      <w:r>
        <w:rPr>
          <w:rFonts w:hint="eastAsia" w:ascii="仿宋" w:hAnsi="仿宋" w:eastAsia="仿宋" w:cs="仿宋"/>
          <w:bCs w:val="0"/>
          <w:snapToGrid w:val="0"/>
          <w:sz w:val="24"/>
          <w:szCs w:val="24"/>
          <w:highlight w:val="none"/>
        </w:rPr>
        <w:t>定自本合同生效之日起即应履行，长期有效，并且不受本合同届满、提前终止或本合同中其他条款的无效或履行完毕等情形的影响</w:t>
      </w:r>
      <w:r>
        <w:rPr>
          <w:rFonts w:hint="eastAsia" w:ascii="仿宋" w:hAnsi="仿宋" w:eastAsia="仿宋" w:cs="仿宋"/>
          <w:snapToGrid w:val="0"/>
          <w:sz w:val="24"/>
          <w:szCs w:val="24"/>
          <w:highlight w:val="none"/>
          <w:lang w:val="en-US" w:eastAsia="zh-CN"/>
        </w:rPr>
        <w:t>。</w:t>
      </w:r>
    </w:p>
    <w:p w14:paraId="56A76DCB">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第十一条 争议的解决</w:t>
      </w:r>
    </w:p>
    <w:p w14:paraId="010D11B9">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本合同在履行过程中发生的任何争议，如双方不能通过友好协商解决，通过甲方所在地有管辖权的人民法院诉讼处理。败诉方应承担另一方因主张权利而实际支出的律师费、诉讼费、财产保全费、保全担保费</w:t>
      </w:r>
      <w:r>
        <w:rPr>
          <w:rFonts w:hint="eastAsia" w:ascii="仿宋" w:hAnsi="仿宋" w:eastAsia="仿宋" w:cs="仿宋"/>
          <w:snapToGrid w:val="0"/>
          <w:sz w:val="24"/>
          <w:szCs w:val="24"/>
          <w:highlight w:val="none"/>
          <w:lang w:eastAsia="zh-CN"/>
        </w:rPr>
        <w:t>、</w:t>
      </w:r>
      <w:r>
        <w:rPr>
          <w:rFonts w:hint="eastAsia" w:ascii="仿宋" w:hAnsi="仿宋" w:eastAsia="仿宋" w:cs="仿宋"/>
          <w:snapToGrid w:val="0"/>
          <w:sz w:val="24"/>
          <w:szCs w:val="24"/>
          <w:highlight w:val="none"/>
          <w:lang w:val="en-US" w:eastAsia="zh-CN"/>
        </w:rPr>
        <w:t>执行费</w:t>
      </w:r>
      <w:r>
        <w:rPr>
          <w:rFonts w:hint="eastAsia" w:ascii="仿宋" w:hAnsi="仿宋" w:eastAsia="仿宋" w:cs="仿宋"/>
          <w:snapToGrid w:val="0"/>
          <w:sz w:val="24"/>
          <w:szCs w:val="24"/>
          <w:highlight w:val="none"/>
        </w:rPr>
        <w:t>等全部费用</w:t>
      </w:r>
      <w:r>
        <w:rPr>
          <w:rFonts w:hint="eastAsia" w:ascii="仿宋" w:hAnsi="仿宋" w:eastAsia="仿宋" w:cs="仿宋"/>
          <w:snapToGrid w:val="0"/>
          <w:sz w:val="24"/>
          <w:szCs w:val="24"/>
          <w:highlight w:val="none"/>
          <w:lang w:eastAsia="zh-CN"/>
        </w:rPr>
        <w:t>。</w:t>
      </w:r>
    </w:p>
    <w:p w14:paraId="40A795F5">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第十二条 不可抗力</w:t>
      </w:r>
    </w:p>
    <w:p w14:paraId="319750CF">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任何一方由于不可抗力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14:paraId="73E71BAF">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第十三条 合同的终止</w:t>
      </w:r>
    </w:p>
    <w:p w14:paraId="49C1D2EE">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有下列情形之一的，本合同</w:t>
      </w:r>
      <w:r>
        <w:rPr>
          <w:rFonts w:hint="eastAsia" w:ascii="仿宋" w:hAnsi="仿宋" w:eastAsia="仿宋" w:cs="仿宋"/>
          <w:snapToGrid w:val="0"/>
          <w:sz w:val="24"/>
          <w:szCs w:val="24"/>
          <w:highlight w:val="none"/>
          <w:lang w:val="en-US" w:eastAsia="zh-CN"/>
        </w:rPr>
        <w:t>终止：</w:t>
      </w:r>
    </w:p>
    <w:p w14:paraId="6F19532F">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1、本合同期满，双方未续签合同的；</w:t>
      </w:r>
    </w:p>
    <w:p w14:paraId="2DC7E5F5">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2、乙方服务能力丧失，致使本合同服务无法正常提供的；</w:t>
      </w:r>
    </w:p>
    <w:p w14:paraId="23EA84A3">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3、在履行合同过程中，发现乙方已不符合承接主体应具备的条件，造成合同无法履行的；</w:t>
      </w:r>
    </w:p>
    <w:p w14:paraId="1A9F6B7A">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4、变更、中止或者终止本合同应按《浙江省合同管理办法》向财政部门备案。</w:t>
      </w:r>
    </w:p>
    <w:p w14:paraId="3FB4C47F">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第十四条 税费发生与履行</w:t>
      </w:r>
    </w:p>
    <w:p w14:paraId="00F966E3">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本合同有关的一切税费均由乙方负担。</w:t>
      </w:r>
    </w:p>
    <w:p w14:paraId="664DE82A">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 xml:space="preserve">第十五条 </w:t>
      </w:r>
      <w:r>
        <w:rPr>
          <w:rFonts w:hint="eastAsia" w:ascii="仿宋" w:hAnsi="仿宋" w:eastAsia="仿宋" w:cs="仿宋"/>
          <w:b/>
          <w:bCs/>
          <w:snapToGrid w:val="0"/>
          <w:sz w:val="24"/>
          <w:szCs w:val="24"/>
          <w:highlight w:val="none"/>
          <w:lang w:eastAsia="zh-CN"/>
        </w:rPr>
        <w:t>其他</w:t>
      </w:r>
      <w:r>
        <w:rPr>
          <w:rFonts w:hint="eastAsia" w:ascii="仿宋" w:hAnsi="仿宋" w:eastAsia="仿宋" w:cs="仿宋"/>
          <w:b/>
          <w:bCs/>
          <w:snapToGrid w:val="0"/>
          <w:sz w:val="24"/>
          <w:szCs w:val="24"/>
          <w:highlight w:val="none"/>
        </w:rPr>
        <w:t>条款</w:t>
      </w:r>
    </w:p>
    <w:p w14:paraId="2D72C75E">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1、本合同</w:t>
      </w:r>
      <w:r>
        <w:rPr>
          <w:rFonts w:hint="eastAsia" w:ascii="仿宋" w:hAnsi="仿宋" w:eastAsia="仿宋" w:cs="仿宋"/>
          <w:snapToGrid w:val="0"/>
          <w:sz w:val="24"/>
          <w:szCs w:val="24"/>
          <w:highlight w:val="none"/>
          <w:lang w:eastAsia="zh-CN"/>
        </w:rPr>
        <w:t>自</w:t>
      </w:r>
      <w:r>
        <w:rPr>
          <w:rFonts w:hint="eastAsia" w:ascii="仿宋" w:hAnsi="仿宋" w:eastAsia="仿宋" w:cs="仿宋"/>
          <w:snapToGrid w:val="0"/>
          <w:sz w:val="24"/>
          <w:szCs w:val="24"/>
          <w:highlight w:val="none"/>
        </w:rPr>
        <w:t>甲、乙双方</w:t>
      </w:r>
      <w:r>
        <w:rPr>
          <w:rFonts w:hint="eastAsia" w:ascii="仿宋" w:hAnsi="仿宋" w:eastAsia="仿宋" w:cs="仿宋"/>
          <w:snapToGrid w:val="0"/>
          <w:sz w:val="24"/>
          <w:szCs w:val="24"/>
          <w:highlight w:val="none"/>
          <w:lang w:eastAsia="zh-CN"/>
        </w:rPr>
        <w:t>签订之日起</w:t>
      </w:r>
      <w:r>
        <w:rPr>
          <w:rFonts w:hint="eastAsia" w:ascii="仿宋" w:hAnsi="仿宋" w:eastAsia="仿宋" w:cs="仿宋"/>
          <w:snapToGrid w:val="0"/>
          <w:sz w:val="24"/>
          <w:szCs w:val="24"/>
          <w:highlight w:val="none"/>
        </w:rPr>
        <w:t>生效。</w:t>
      </w:r>
    </w:p>
    <w:p w14:paraId="359447A6">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2、本合同所有附件及采购文件、响应文件均为本合同的有效组成部分，与本合同具有同等法律效力。</w:t>
      </w:r>
    </w:p>
    <w:p w14:paraId="567DC83A">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3、合同执行过程中涉及采购资金和采购内容修改或补充的，须经财政部门审批，并签书面补充协议，经报政府采购监督管理部门备案后，方可作为主合同不可分割的一部分。</w:t>
      </w:r>
    </w:p>
    <w:p w14:paraId="49F4E265">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4、本合同未尽事宜，遵照《</w:t>
      </w:r>
      <w:r>
        <w:rPr>
          <w:rFonts w:hint="eastAsia" w:ascii="仿宋" w:hAnsi="仿宋" w:eastAsia="仿宋" w:cs="仿宋"/>
          <w:snapToGrid w:val="0"/>
          <w:sz w:val="24"/>
          <w:szCs w:val="24"/>
          <w:highlight w:val="none"/>
          <w:lang w:val="en-US" w:eastAsia="zh-CN"/>
        </w:rPr>
        <w:t>中华人民共和国民法典</w:t>
      </w:r>
      <w:r>
        <w:rPr>
          <w:rFonts w:hint="eastAsia" w:ascii="仿宋" w:hAnsi="仿宋" w:eastAsia="仿宋" w:cs="仿宋"/>
          <w:snapToGrid w:val="0"/>
          <w:sz w:val="24"/>
          <w:szCs w:val="24"/>
          <w:highlight w:val="none"/>
        </w:rPr>
        <w:t>》有关条文执行。</w:t>
      </w:r>
    </w:p>
    <w:p w14:paraId="7F0F981E">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5、本合同一式</w:t>
      </w:r>
      <w:r>
        <w:rPr>
          <w:rFonts w:hint="eastAsia" w:ascii="仿宋" w:hAnsi="仿宋" w:eastAsia="仿宋" w:cs="仿宋"/>
          <w:snapToGrid w:val="0"/>
          <w:sz w:val="24"/>
          <w:szCs w:val="24"/>
          <w:highlight w:val="none"/>
          <w:lang w:eastAsia="zh-CN"/>
        </w:rPr>
        <w:t>柒</w:t>
      </w:r>
      <w:r>
        <w:rPr>
          <w:rFonts w:hint="eastAsia" w:ascii="仿宋" w:hAnsi="仿宋" w:eastAsia="仿宋" w:cs="仿宋"/>
          <w:snapToGrid w:val="0"/>
          <w:sz w:val="24"/>
          <w:szCs w:val="24"/>
          <w:highlight w:val="none"/>
        </w:rPr>
        <w:t>份，具有同等法律效力，甲方执</w:t>
      </w:r>
      <w:r>
        <w:rPr>
          <w:rFonts w:hint="eastAsia" w:ascii="仿宋" w:hAnsi="仿宋" w:eastAsia="仿宋" w:cs="仿宋"/>
          <w:snapToGrid w:val="0"/>
          <w:sz w:val="24"/>
          <w:szCs w:val="24"/>
          <w:highlight w:val="none"/>
          <w:lang w:eastAsia="zh-CN"/>
        </w:rPr>
        <w:t>肆</w:t>
      </w:r>
      <w:r>
        <w:rPr>
          <w:rFonts w:hint="eastAsia" w:ascii="仿宋" w:hAnsi="仿宋" w:eastAsia="仿宋" w:cs="仿宋"/>
          <w:snapToGrid w:val="0"/>
          <w:sz w:val="24"/>
          <w:szCs w:val="24"/>
          <w:highlight w:val="none"/>
        </w:rPr>
        <w:t>份，</w:t>
      </w:r>
      <w:r>
        <w:rPr>
          <w:rFonts w:hint="eastAsia" w:ascii="仿宋" w:hAnsi="仿宋" w:eastAsia="仿宋" w:cs="仿宋"/>
          <w:snapToGrid w:val="0"/>
          <w:sz w:val="24"/>
          <w:szCs w:val="24"/>
          <w:highlight w:val="none"/>
          <w:lang w:eastAsia="zh-CN"/>
        </w:rPr>
        <w:t>乙方执叁份。</w:t>
      </w:r>
    </w:p>
    <w:p w14:paraId="5B1D6634">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napToGrid w:val="0"/>
          <w:sz w:val="24"/>
          <w:szCs w:val="24"/>
          <w:highlight w:val="none"/>
        </w:rPr>
        <w:t>6、如一方地址、电话及乙方银行账户信息有变更，应在变更当日书面通知对方，否则，应承担相应责任。</w:t>
      </w:r>
    </w:p>
    <w:tbl>
      <w:tblPr>
        <w:tblStyle w:val="45"/>
        <w:tblW w:w="935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678"/>
        <w:gridCol w:w="4678"/>
      </w:tblGrid>
      <w:tr w14:paraId="4ED595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4728E80">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甲方（需方）：（公章）</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527B071">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乙方（供方）：（公章）</w:t>
            </w:r>
          </w:p>
        </w:tc>
      </w:tr>
      <w:tr w14:paraId="684A4C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7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E126D3D">
            <w:pPr>
              <w:spacing w:line="288" w:lineRule="auto"/>
              <w:rPr>
                <w:rStyle w:val="228"/>
                <w:rFonts w:hint="eastAsia" w:ascii="仿宋" w:hAnsi="仿宋" w:eastAsia="仿宋" w:cs="仿宋"/>
                <w:spacing w:val="-6"/>
                <w:sz w:val="24"/>
                <w:szCs w:val="24"/>
                <w:highlight w:val="none"/>
                <w:lang w:val="zh-TW" w:eastAsia="zh-TW"/>
              </w:rPr>
            </w:pPr>
            <w:r>
              <w:rPr>
                <w:rStyle w:val="228"/>
                <w:rFonts w:hint="eastAsia" w:ascii="仿宋" w:hAnsi="仿宋" w:eastAsia="仿宋" w:cs="仿宋"/>
                <w:spacing w:val="-6"/>
                <w:sz w:val="24"/>
                <w:szCs w:val="24"/>
                <w:highlight w:val="none"/>
                <w:lang w:val="zh-TW" w:eastAsia="zh-TW"/>
              </w:rPr>
              <w:t>法人或授权代表：</w:t>
            </w:r>
          </w:p>
          <w:p w14:paraId="7BB4565D">
            <w:pPr>
              <w:spacing w:line="288" w:lineRule="auto"/>
              <w:rPr>
                <w:rStyle w:val="228"/>
                <w:rFonts w:hint="eastAsia" w:ascii="仿宋" w:hAnsi="仿宋" w:eastAsia="仿宋" w:cs="仿宋"/>
                <w:spacing w:val="-6"/>
                <w:sz w:val="24"/>
                <w:szCs w:val="24"/>
                <w:highlight w:val="none"/>
                <w:lang w:val="zh-TW" w:eastAsia="zh-CN"/>
              </w:rPr>
            </w:pPr>
            <w:r>
              <w:rPr>
                <w:rStyle w:val="228"/>
                <w:rFonts w:hint="eastAsia" w:ascii="仿宋" w:hAnsi="仿宋" w:eastAsia="仿宋" w:cs="仿宋"/>
                <w:spacing w:val="-6"/>
                <w:sz w:val="24"/>
                <w:szCs w:val="24"/>
                <w:highlight w:val="none"/>
                <w:lang w:val="zh-TW" w:eastAsia="zh-CN"/>
              </w:rPr>
              <w:t>（签字或盖章）</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D9A72E3">
            <w:pPr>
              <w:spacing w:line="288" w:lineRule="auto"/>
              <w:rPr>
                <w:rStyle w:val="228"/>
                <w:rFonts w:hint="eastAsia" w:ascii="仿宋" w:hAnsi="仿宋" w:eastAsia="仿宋" w:cs="仿宋"/>
                <w:spacing w:val="-6"/>
                <w:sz w:val="24"/>
                <w:szCs w:val="24"/>
                <w:highlight w:val="none"/>
                <w:lang w:val="zh-TW" w:eastAsia="zh-TW"/>
              </w:rPr>
            </w:pPr>
            <w:r>
              <w:rPr>
                <w:rStyle w:val="228"/>
                <w:rFonts w:hint="eastAsia" w:ascii="仿宋" w:hAnsi="仿宋" w:eastAsia="仿宋" w:cs="仿宋"/>
                <w:spacing w:val="-6"/>
                <w:sz w:val="24"/>
                <w:szCs w:val="24"/>
                <w:highlight w:val="none"/>
                <w:lang w:val="zh-TW" w:eastAsia="zh-TW"/>
              </w:rPr>
              <w:t>法人或授权代表：</w:t>
            </w:r>
          </w:p>
          <w:p w14:paraId="4D5F5633">
            <w:pPr>
              <w:spacing w:line="288" w:lineRule="auto"/>
              <w:rPr>
                <w:rStyle w:val="228"/>
                <w:rFonts w:hint="eastAsia" w:ascii="仿宋" w:hAnsi="仿宋" w:eastAsia="仿宋" w:cs="仿宋"/>
                <w:spacing w:val="-6"/>
                <w:sz w:val="24"/>
                <w:szCs w:val="24"/>
                <w:highlight w:val="none"/>
                <w:lang w:val="zh-TW" w:eastAsia="zh-TW"/>
              </w:rPr>
            </w:pPr>
            <w:r>
              <w:rPr>
                <w:rStyle w:val="228"/>
                <w:rFonts w:hint="eastAsia" w:ascii="仿宋" w:hAnsi="仿宋" w:eastAsia="仿宋" w:cs="仿宋"/>
                <w:spacing w:val="-6"/>
                <w:sz w:val="24"/>
                <w:szCs w:val="24"/>
                <w:highlight w:val="none"/>
                <w:lang w:val="zh-TW" w:eastAsia="zh-CN"/>
              </w:rPr>
              <w:t>（签字或盖章）</w:t>
            </w:r>
          </w:p>
        </w:tc>
      </w:tr>
      <w:tr w14:paraId="55EC55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D39D806">
            <w:pPr>
              <w:spacing w:line="288" w:lineRule="auto"/>
              <w:rPr>
                <w:rFonts w:ascii="仿宋" w:hAnsi="仿宋" w:eastAsia="仿宋" w:cs="仿宋"/>
                <w:sz w:val="24"/>
                <w:szCs w:val="24"/>
                <w:highlight w:val="none"/>
              </w:rPr>
            </w:pPr>
            <w:r>
              <w:rPr>
                <w:rStyle w:val="228"/>
                <w:rFonts w:hint="eastAsia" w:ascii="仿宋" w:hAnsi="仿宋" w:eastAsia="仿宋" w:cs="仿宋"/>
                <w:sz w:val="24"/>
                <w:szCs w:val="24"/>
                <w:highlight w:val="none"/>
                <w:lang w:val="zh-TW" w:eastAsia="zh-CN"/>
              </w:rPr>
              <w:t>通讯</w:t>
            </w:r>
            <w:r>
              <w:rPr>
                <w:rStyle w:val="228"/>
                <w:rFonts w:hint="eastAsia" w:ascii="仿宋" w:hAnsi="仿宋" w:eastAsia="仿宋" w:cs="仿宋"/>
                <w:sz w:val="24"/>
                <w:szCs w:val="24"/>
                <w:highlight w:val="none"/>
                <w:lang w:val="zh-TW" w:eastAsia="zh-TW"/>
              </w:rPr>
              <w:t>地址：</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CFF8D80">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CN"/>
              </w:rPr>
              <w:t>通讯</w:t>
            </w:r>
            <w:r>
              <w:rPr>
                <w:rStyle w:val="228"/>
                <w:rFonts w:hint="eastAsia" w:ascii="仿宋" w:hAnsi="仿宋" w:eastAsia="仿宋" w:cs="仿宋"/>
                <w:spacing w:val="-6"/>
                <w:sz w:val="24"/>
                <w:szCs w:val="24"/>
                <w:highlight w:val="none"/>
                <w:lang w:val="zh-TW" w:eastAsia="zh-TW"/>
              </w:rPr>
              <w:t>地址：</w:t>
            </w:r>
          </w:p>
        </w:tc>
      </w:tr>
      <w:tr w14:paraId="5BF22A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6200A66">
            <w:pPr>
              <w:spacing w:line="288" w:lineRule="auto"/>
              <w:rPr>
                <w:rFonts w:ascii="仿宋" w:hAnsi="仿宋" w:eastAsia="仿宋" w:cs="仿宋"/>
                <w:sz w:val="24"/>
                <w:szCs w:val="24"/>
                <w:highlight w:val="none"/>
              </w:rPr>
            </w:pPr>
            <w:r>
              <w:rPr>
                <w:rStyle w:val="228"/>
                <w:rFonts w:hint="eastAsia" w:ascii="仿宋" w:hAnsi="仿宋" w:eastAsia="仿宋" w:cs="仿宋"/>
                <w:sz w:val="24"/>
                <w:szCs w:val="24"/>
                <w:highlight w:val="none"/>
                <w:lang w:val="zh-TW" w:eastAsia="zh-TW"/>
              </w:rPr>
              <w:t>电话：</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6740F7B">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电话：</w:t>
            </w:r>
          </w:p>
        </w:tc>
      </w:tr>
      <w:tr w14:paraId="18C94E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80C4102">
            <w:pPr>
              <w:spacing w:line="288" w:lineRule="auto"/>
              <w:rPr>
                <w:rFonts w:ascii="仿宋" w:hAnsi="仿宋" w:eastAsia="仿宋" w:cs="仿宋"/>
                <w:sz w:val="24"/>
                <w:szCs w:val="24"/>
                <w:highlight w:val="none"/>
              </w:rPr>
            </w:pPr>
            <w:r>
              <w:rPr>
                <w:rStyle w:val="228"/>
                <w:rFonts w:hint="eastAsia" w:ascii="仿宋" w:hAnsi="仿宋" w:eastAsia="仿宋" w:cs="仿宋"/>
                <w:sz w:val="24"/>
                <w:szCs w:val="24"/>
                <w:highlight w:val="none"/>
                <w:lang w:val="zh-TW" w:eastAsia="zh-TW"/>
              </w:rPr>
              <w:t>开户银行：</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7DC5053">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开户银行：</w:t>
            </w:r>
          </w:p>
        </w:tc>
      </w:tr>
      <w:tr w14:paraId="428693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02110D3">
            <w:pPr>
              <w:spacing w:line="288" w:lineRule="auto"/>
              <w:rPr>
                <w:rFonts w:ascii="仿宋" w:hAnsi="仿宋" w:eastAsia="仿宋" w:cs="仿宋"/>
                <w:sz w:val="24"/>
                <w:szCs w:val="24"/>
                <w:highlight w:val="none"/>
              </w:rPr>
            </w:pPr>
            <w:r>
              <w:rPr>
                <w:rStyle w:val="228"/>
                <w:rFonts w:hint="eastAsia" w:ascii="仿宋" w:hAnsi="仿宋" w:eastAsia="仿宋" w:cs="仿宋"/>
                <w:sz w:val="24"/>
                <w:szCs w:val="24"/>
                <w:highlight w:val="none"/>
                <w:lang w:val="zh-TW" w:eastAsia="zh-TW"/>
              </w:rPr>
              <w:t>帐号：</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8E30662">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帐号：</w:t>
            </w:r>
          </w:p>
        </w:tc>
      </w:tr>
      <w:tr w14:paraId="26EAB9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AA18BE0">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签字日期：</w:t>
            </w:r>
            <w:r>
              <w:rPr>
                <w:rStyle w:val="229"/>
                <w:rFonts w:ascii="仿宋" w:hAnsi="仿宋" w:eastAsia="仿宋" w:cs="仿宋"/>
                <w:spacing w:val="-6"/>
                <w:sz w:val="24"/>
                <w:szCs w:val="24"/>
                <w:highlight w:val="none"/>
                <w:lang w:eastAsia="zh-CN"/>
              </w:rPr>
              <w:t xml:space="preserve">      </w:t>
            </w:r>
            <w:r>
              <w:rPr>
                <w:rStyle w:val="228"/>
                <w:rFonts w:hint="eastAsia" w:ascii="仿宋" w:hAnsi="仿宋" w:eastAsia="仿宋" w:cs="仿宋"/>
                <w:spacing w:val="-6"/>
                <w:sz w:val="24"/>
                <w:szCs w:val="24"/>
                <w:highlight w:val="none"/>
                <w:lang w:val="zh-TW" w:eastAsia="zh-TW"/>
              </w:rPr>
              <w:t>年</w:t>
            </w:r>
            <w:r>
              <w:rPr>
                <w:rStyle w:val="229"/>
                <w:rFonts w:ascii="仿宋" w:hAnsi="仿宋" w:eastAsia="仿宋" w:cs="仿宋"/>
                <w:spacing w:val="-6"/>
                <w:sz w:val="24"/>
                <w:szCs w:val="24"/>
                <w:highlight w:val="none"/>
                <w:lang w:eastAsia="zh-CN"/>
              </w:rPr>
              <w:t xml:space="preserve">    </w:t>
            </w:r>
            <w:r>
              <w:rPr>
                <w:rStyle w:val="228"/>
                <w:rFonts w:hint="eastAsia" w:ascii="仿宋" w:hAnsi="仿宋" w:eastAsia="仿宋" w:cs="仿宋"/>
                <w:spacing w:val="-6"/>
                <w:sz w:val="24"/>
                <w:szCs w:val="24"/>
                <w:highlight w:val="none"/>
                <w:lang w:val="zh-TW" w:eastAsia="zh-TW"/>
              </w:rPr>
              <w:t>月</w:t>
            </w:r>
            <w:r>
              <w:rPr>
                <w:rStyle w:val="229"/>
                <w:rFonts w:ascii="仿宋" w:hAnsi="仿宋" w:eastAsia="仿宋" w:cs="仿宋"/>
                <w:spacing w:val="-6"/>
                <w:sz w:val="24"/>
                <w:szCs w:val="24"/>
                <w:highlight w:val="none"/>
                <w:lang w:eastAsia="zh-CN"/>
              </w:rPr>
              <w:t xml:space="preserve">    </w:t>
            </w:r>
            <w:r>
              <w:rPr>
                <w:rStyle w:val="228"/>
                <w:rFonts w:hint="eastAsia" w:ascii="仿宋" w:hAnsi="仿宋" w:eastAsia="仿宋" w:cs="仿宋"/>
                <w:spacing w:val="-6"/>
                <w:sz w:val="24"/>
                <w:szCs w:val="24"/>
                <w:highlight w:val="none"/>
                <w:lang w:val="zh-TW" w:eastAsia="zh-TW"/>
              </w:rPr>
              <w:t>日</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66F7681">
            <w:pPr>
              <w:spacing w:line="288" w:lineRule="auto"/>
              <w:rPr>
                <w:rFonts w:ascii="仿宋" w:hAnsi="仿宋" w:eastAsia="仿宋" w:cs="仿宋"/>
                <w:sz w:val="24"/>
                <w:szCs w:val="24"/>
                <w:highlight w:val="none"/>
              </w:rPr>
            </w:pPr>
            <w:r>
              <w:rPr>
                <w:rStyle w:val="228"/>
                <w:rFonts w:hint="eastAsia" w:ascii="仿宋" w:hAnsi="仿宋" w:eastAsia="仿宋" w:cs="仿宋"/>
                <w:spacing w:val="-6"/>
                <w:sz w:val="24"/>
                <w:szCs w:val="24"/>
                <w:highlight w:val="none"/>
                <w:lang w:val="zh-TW" w:eastAsia="zh-TW"/>
              </w:rPr>
              <w:t>签字日期：</w:t>
            </w:r>
            <w:r>
              <w:rPr>
                <w:rStyle w:val="229"/>
                <w:rFonts w:ascii="仿宋" w:hAnsi="仿宋" w:eastAsia="仿宋" w:cs="仿宋"/>
                <w:spacing w:val="-6"/>
                <w:sz w:val="24"/>
                <w:szCs w:val="24"/>
                <w:highlight w:val="none"/>
                <w:lang w:eastAsia="zh-CN"/>
              </w:rPr>
              <w:t xml:space="preserve">      </w:t>
            </w:r>
            <w:r>
              <w:rPr>
                <w:rStyle w:val="228"/>
                <w:rFonts w:hint="eastAsia" w:ascii="仿宋" w:hAnsi="仿宋" w:eastAsia="仿宋" w:cs="仿宋"/>
                <w:spacing w:val="-6"/>
                <w:sz w:val="24"/>
                <w:szCs w:val="24"/>
                <w:highlight w:val="none"/>
                <w:lang w:val="zh-TW" w:eastAsia="zh-TW"/>
              </w:rPr>
              <w:t>年</w:t>
            </w:r>
            <w:r>
              <w:rPr>
                <w:rStyle w:val="229"/>
                <w:rFonts w:ascii="仿宋" w:hAnsi="仿宋" w:eastAsia="仿宋" w:cs="仿宋"/>
                <w:spacing w:val="-6"/>
                <w:sz w:val="24"/>
                <w:szCs w:val="24"/>
                <w:highlight w:val="none"/>
                <w:lang w:eastAsia="zh-CN"/>
              </w:rPr>
              <w:t xml:space="preserve">    </w:t>
            </w:r>
            <w:r>
              <w:rPr>
                <w:rStyle w:val="228"/>
                <w:rFonts w:hint="eastAsia" w:ascii="仿宋" w:hAnsi="仿宋" w:eastAsia="仿宋" w:cs="仿宋"/>
                <w:spacing w:val="-6"/>
                <w:sz w:val="24"/>
                <w:szCs w:val="24"/>
                <w:highlight w:val="none"/>
                <w:lang w:val="zh-TW" w:eastAsia="zh-TW"/>
              </w:rPr>
              <w:t>月</w:t>
            </w:r>
            <w:r>
              <w:rPr>
                <w:rStyle w:val="229"/>
                <w:rFonts w:ascii="仿宋" w:hAnsi="仿宋" w:eastAsia="仿宋" w:cs="仿宋"/>
                <w:spacing w:val="-6"/>
                <w:sz w:val="24"/>
                <w:szCs w:val="24"/>
                <w:highlight w:val="none"/>
                <w:lang w:eastAsia="zh-CN"/>
              </w:rPr>
              <w:t xml:space="preserve">    </w:t>
            </w:r>
            <w:r>
              <w:rPr>
                <w:rStyle w:val="228"/>
                <w:rFonts w:hint="eastAsia" w:ascii="仿宋" w:hAnsi="仿宋" w:eastAsia="仿宋" w:cs="仿宋"/>
                <w:spacing w:val="-6"/>
                <w:sz w:val="24"/>
                <w:szCs w:val="24"/>
                <w:highlight w:val="none"/>
                <w:lang w:val="zh-TW" w:eastAsia="zh-TW"/>
              </w:rPr>
              <w:t>日</w:t>
            </w:r>
          </w:p>
        </w:tc>
      </w:tr>
    </w:tbl>
    <w:p w14:paraId="08BD5861">
      <w:pPr>
        <w:adjustRightInd w:val="0"/>
        <w:snapToGrid w:val="0"/>
        <w:spacing w:line="360" w:lineRule="auto"/>
        <w:rPr>
          <w:rFonts w:ascii="仿宋_GB2312" w:hAnsi="仿宋" w:eastAsia="仿宋_GB2312" w:cs="仿宋"/>
          <w:kern w:val="0"/>
          <w:sz w:val="24"/>
          <w:highlight w:val="none"/>
        </w:rPr>
      </w:pPr>
    </w:p>
    <w:p w14:paraId="3B261619">
      <w:pPr>
        <w:rPr>
          <w:rFonts w:ascii="仿宋_GB2312" w:hAnsi="仿宋" w:eastAsia="仿宋_GB2312" w:cs="仿宋"/>
          <w:bCs/>
          <w:kern w:val="0"/>
          <w:sz w:val="24"/>
          <w:highlight w:val="none"/>
          <w:lang w:bidi="zh-CN"/>
        </w:rPr>
      </w:pPr>
      <w:r>
        <w:rPr>
          <w:rFonts w:hint="eastAsia" w:ascii="仿宋_GB2312" w:hAnsi="仿宋" w:eastAsia="仿宋_GB2312" w:cs="仿宋"/>
          <w:bCs/>
          <w:kern w:val="0"/>
          <w:sz w:val="24"/>
          <w:highlight w:val="none"/>
          <w:lang w:bidi="zh-CN"/>
        </w:rPr>
        <w:br w:type="page"/>
      </w:r>
    </w:p>
    <w:bookmarkEnd w:id="119"/>
    <w:bookmarkEnd w:id="120"/>
    <w:bookmarkEnd w:id="121"/>
    <w:bookmarkEnd w:id="122"/>
    <w:bookmarkEnd w:id="123"/>
    <w:p w14:paraId="16533C93">
      <w:pPr>
        <w:adjustRightInd w:val="0"/>
        <w:snapToGrid w:val="0"/>
        <w:spacing w:before="120" w:beforeLines="50" w:after="120" w:afterLines="50" w:line="360" w:lineRule="auto"/>
        <w:jc w:val="center"/>
        <w:outlineLvl w:val="0"/>
        <w:rPr>
          <w:rFonts w:ascii="仿宋_GB2312" w:hAnsi="仿宋" w:eastAsia="仿宋_GB2312" w:cs="仿宋"/>
          <w:b/>
          <w:bCs/>
          <w:sz w:val="32"/>
          <w:szCs w:val="32"/>
          <w:highlight w:val="none"/>
        </w:rPr>
      </w:pPr>
      <w:bookmarkStart w:id="124" w:name="_Toc251566668"/>
      <w:bookmarkStart w:id="125" w:name="_Toc21370"/>
      <w:bookmarkStart w:id="126" w:name="_Toc234764855"/>
      <w:bookmarkStart w:id="127" w:name="_Toc1306"/>
      <w:bookmarkStart w:id="128" w:name="_Toc249760797"/>
      <w:r>
        <w:rPr>
          <w:rFonts w:hint="eastAsia" w:ascii="仿宋_GB2312" w:hAnsi="仿宋" w:eastAsia="仿宋_GB2312" w:cs="仿宋"/>
          <w:b/>
          <w:sz w:val="30"/>
          <w:szCs w:val="30"/>
          <w:highlight w:val="none"/>
        </w:rPr>
        <w:t>第六部分  投标文件格式</w:t>
      </w:r>
      <w:bookmarkEnd w:id="124"/>
      <w:bookmarkEnd w:id="125"/>
      <w:bookmarkEnd w:id="126"/>
      <w:bookmarkEnd w:id="127"/>
      <w:bookmarkEnd w:id="128"/>
    </w:p>
    <w:p w14:paraId="50FF9568">
      <w:pPr>
        <w:autoSpaceDE w:val="0"/>
        <w:autoSpaceDN w:val="0"/>
        <w:adjustRightInd w:val="0"/>
        <w:spacing w:line="360" w:lineRule="auto"/>
        <w:ind w:firstLine="480"/>
        <w:rPr>
          <w:rFonts w:ascii="仿宋_GB2312" w:hAnsi="仿宋" w:eastAsia="仿宋_GB2312" w:cs="仿宋"/>
          <w:sz w:val="24"/>
          <w:highlight w:val="none"/>
        </w:rPr>
      </w:pPr>
    </w:p>
    <w:p w14:paraId="553CCBC2">
      <w:pPr>
        <w:spacing w:line="360" w:lineRule="auto"/>
        <w:jc w:val="center"/>
        <w:outlineLvl w:val="1"/>
        <w:rPr>
          <w:rFonts w:ascii="仿宋_GB2312" w:hAnsi="仿宋" w:eastAsia="仿宋_GB2312" w:cs="仿宋"/>
          <w:b/>
          <w:kern w:val="0"/>
          <w:sz w:val="36"/>
          <w:szCs w:val="36"/>
          <w:highlight w:val="none"/>
        </w:rPr>
      </w:pPr>
      <w:bookmarkStart w:id="129" w:name="_Toc25507"/>
      <w:bookmarkStart w:id="130" w:name="_Toc18065"/>
      <w:bookmarkStart w:id="131" w:name="_Toc23772"/>
      <w:bookmarkStart w:id="132" w:name="_Toc23013"/>
      <w:r>
        <w:rPr>
          <w:rFonts w:hint="eastAsia" w:ascii="仿宋_GB2312" w:hAnsi="仿宋" w:eastAsia="仿宋_GB2312" w:cs="仿宋"/>
          <w:b/>
          <w:kern w:val="0"/>
          <w:sz w:val="36"/>
          <w:szCs w:val="36"/>
          <w:highlight w:val="none"/>
        </w:rPr>
        <w:t>资格文件部分</w:t>
      </w:r>
      <w:bookmarkEnd w:id="129"/>
      <w:bookmarkEnd w:id="130"/>
      <w:bookmarkEnd w:id="131"/>
      <w:bookmarkEnd w:id="132"/>
    </w:p>
    <w:p w14:paraId="5C8608E4">
      <w:pPr>
        <w:spacing w:line="360" w:lineRule="auto"/>
        <w:jc w:val="center"/>
        <w:rPr>
          <w:rFonts w:ascii="仿宋_GB2312" w:hAnsi="仿宋" w:eastAsia="仿宋_GB2312" w:cs="仿宋"/>
          <w:b/>
          <w:kern w:val="0"/>
          <w:sz w:val="36"/>
          <w:szCs w:val="36"/>
          <w:highlight w:val="none"/>
        </w:rPr>
      </w:pPr>
      <w:r>
        <w:rPr>
          <w:rFonts w:hint="eastAsia" w:ascii="仿宋_GB2312" w:hAnsi="仿宋" w:eastAsia="仿宋_GB2312" w:cs="仿宋"/>
          <w:b/>
          <w:kern w:val="0"/>
          <w:sz w:val="36"/>
          <w:szCs w:val="36"/>
          <w:highlight w:val="none"/>
        </w:rPr>
        <w:t>目录</w:t>
      </w:r>
    </w:p>
    <w:p w14:paraId="71ED666E">
      <w:pPr>
        <w:spacing w:line="360" w:lineRule="auto"/>
        <w:jc w:val="center"/>
        <w:rPr>
          <w:rFonts w:ascii="仿宋_GB2312" w:hAnsi="仿宋" w:eastAsia="仿宋_GB2312" w:cs="仿宋"/>
          <w:b/>
          <w:kern w:val="0"/>
          <w:sz w:val="36"/>
          <w:szCs w:val="36"/>
          <w:highlight w:val="none"/>
        </w:rPr>
      </w:pPr>
    </w:p>
    <w:p w14:paraId="2A8BD8D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（1）符合参加政府采购活动应当具备的一般条件的承诺函……………（页码）</w:t>
      </w:r>
    </w:p>
    <w:p w14:paraId="64FA55A5">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（2）联合协议………………………………………………………………（页码）</w:t>
      </w:r>
    </w:p>
    <w:p w14:paraId="4204FBA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（3）落实政府采购政策需满足的资格要求………………………………（页码）</w:t>
      </w:r>
    </w:p>
    <w:p w14:paraId="311B31AE">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（4）本项目的特定资格要求………………………………………………（页码）</w:t>
      </w:r>
    </w:p>
    <w:p w14:paraId="70AB1788">
      <w:pPr>
        <w:snapToGrid w:val="0"/>
        <w:spacing w:line="360" w:lineRule="auto"/>
        <w:ind w:firstLine="480" w:firstLineChars="200"/>
        <w:rPr>
          <w:rFonts w:ascii="仿宋_GB2312" w:hAnsi="仿宋" w:eastAsia="仿宋_GB2312" w:cs="仿宋"/>
          <w:sz w:val="24"/>
          <w:highlight w:val="none"/>
        </w:rPr>
      </w:pPr>
    </w:p>
    <w:p w14:paraId="27BAC772">
      <w:pPr>
        <w:spacing w:line="360" w:lineRule="auto"/>
        <w:ind w:firstLine="480" w:firstLineChars="200"/>
        <w:rPr>
          <w:rFonts w:ascii="仿宋_GB2312" w:hAnsi="仿宋" w:eastAsia="仿宋_GB2312" w:cs="仿宋"/>
          <w:sz w:val="24"/>
          <w:highlight w:val="none"/>
        </w:rPr>
      </w:pPr>
    </w:p>
    <w:p w14:paraId="010C44D1">
      <w:pPr>
        <w:snapToGrid w:val="0"/>
        <w:spacing w:line="360" w:lineRule="auto"/>
        <w:ind w:right="480"/>
        <w:rPr>
          <w:rFonts w:ascii="仿宋_GB2312" w:hAnsi="仿宋" w:eastAsia="仿宋_GB2312" w:cs="仿宋"/>
          <w:b/>
          <w:kern w:val="0"/>
          <w:sz w:val="32"/>
          <w:szCs w:val="32"/>
          <w:highlight w:val="none"/>
        </w:rPr>
      </w:pPr>
      <w:r>
        <w:rPr>
          <w:rFonts w:hint="eastAsia" w:ascii="仿宋_GB2312" w:hAnsi="仿宋" w:eastAsia="仿宋_GB2312" w:cs="仿宋"/>
          <w:kern w:val="0"/>
          <w:sz w:val="24"/>
          <w:highlight w:val="none"/>
        </w:rPr>
        <w:br w:type="page"/>
      </w:r>
      <w:r>
        <w:rPr>
          <w:rFonts w:hint="eastAsia" w:ascii="仿宋_GB2312" w:hAnsi="仿宋" w:eastAsia="仿宋_GB2312" w:cs="仿宋"/>
          <w:b/>
          <w:kern w:val="0"/>
          <w:sz w:val="32"/>
          <w:szCs w:val="32"/>
          <w:highlight w:val="none"/>
        </w:rPr>
        <w:t>一、 符合参加政府采购活动应当具备的一般条件的承诺函</w:t>
      </w:r>
    </w:p>
    <w:p w14:paraId="0734B106">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sz w:val="24"/>
          <w:highlight w:val="none"/>
        </w:rPr>
        <w:t>：</w:t>
      </w:r>
    </w:p>
    <w:p w14:paraId="51C9C3DD">
      <w:pPr>
        <w:snapToGrid w:val="0"/>
        <w:spacing w:line="360" w:lineRule="auto"/>
        <w:ind w:firstLine="420"/>
        <w:rPr>
          <w:rFonts w:ascii="仿宋_GB2312" w:hAnsi="仿宋" w:eastAsia="仿宋_GB2312" w:cs="仿宋"/>
          <w:sz w:val="24"/>
          <w:highlight w:val="none"/>
        </w:rPr>
      </w:pPr>
      <w:r>
        <w:rPr>
          <w:rFonts w:hint="eastAsia" w:ascii="仿宋_GB2312" w:hAnsi="仿宋" w:eastAsia="仿宋_GB2312" w:cs="仿宋"/>
          <w:sz w:val="24"/>
          <w:highlight w:val="none"/>
        </w:rPr>
        <w:t>我方参与</w:t>
      </w:r>
      <w:r>
        <w:rPr>
          <w:rFonts w:hint="eastAsia" w:ascii="仿宋_GB2312" w:hAnsi="仿宋" w:eastAsia="仿宋_GB2312" w:cs="仿宋"/>
          <w:sz w:val="24"/>
          <w:highlight w:val="none"/>
          <w:u w:val="single"/>
        </w:rPr>
        <w:t>（项目名称）</w:t>
      </w:r>
      <w:r>
        <w:rPr>
          <w:rFonts w:hint="eastAsia" w:ascii="仿宋_GB2312" w:hAnsi="仿宋" w:eastAsia="仿宋_GB2312" w:cs="仿宋"/>
          <w:sz w:val="24"/>
          <w:highlight w:val="none"/>
        </w:rPr>
        <w:t>【招标编号：</w:t>
      </w:r>
      <w:r>
        <w:rPr>
          <w:rFonts w:hint="eastAsia" w:ascii="仿宋_GB2312" w:hAnsi="仿宋" w:eastAsia="仿宋_GB2312" w:cs="仿宋"/>
          <w:sz w:val="24"/>
          <w:highlight w:val="none"/>
          <w:u w:val="single"/>
        </w:rPr>
        <w:t>（采购编号）</w:t>
      </w:r>
      <w:r>
        <w:rPr>
          <w:rFonts w:hint="eastAsia" w:ascii="仿宋_GB2312" w:hAnsi="仿宋" w:eastAsia="仿宋_GB2312" w:cs="仿宋"/>
          <w:sz w:val="24"/>
          <w:highlight w:val="none"/>
        </w:rPr>
        <w:t>】政府采购活动，郑重承诺：</w:t>
      </w:r>
    </w:p>
    <w:p w14:paraId="6DB259E3">
      <w:pPr>
        <w:snapToGrid w:val="0"/>
        <w:spacing w:line="360" w:lineRule="auto"/>
        <w:ind w:firstLine="360" w:firstLineChars="150"/>
        <w:rPr>
          <w:rFonts w:ascii="仿宋_GB2312" w:hAnsi="仿宋" w:eastAsia="仿宋_GB2312" w:cs="仿宋"/>
          <w:sz w:val="24"/>
          <w:highlight w:val="none"/>
        </w:rPr>
      </w:pPr>
      <w:r>
        <w:rPr>
          <w:rFonts w:hint="eastAsia" w:ascii="仿宋_GB2312" w:hAnsi="仿宋" w:eastAsia="仿宋_GB2312" w:cs="仿宋"/>
          <w:sz w:val="24"/>
          <w:highlight w:val="none"/>
        </w:rPr>
        <w:t>（一）具备《中华人民共和国政府采购法》第二十二条第一款规定的条件：</w:t>
      </w:r>
    </w:p>
    <w:p w14:paraId="2CD902B8">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1、具有独立承担民事责任的能力；</w:t>
      </w:r>
    </w:p>
    <w:p w14:paraId="79375715">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2、具有良好的商业信誉和健全的财务会计制度； </w:t>
      </w:r>
    </w:p>
    <w:p w14:paraId="74E5303B">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3、具有履行合同所必需的设备和专业技术能力；</w:t>
      </w:r>
    </w:p>
    <w:p w14:paraId="7D69DF9F">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4、有依法缴纳税收和社会保障资金的良好记录；</w:t>
      </w:r>
    </w:p>
    <w:p w14:paraId="4F14A77C">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5、参加政府采购活动前三年内，在经营活动中没有重大违法记录；</w:t>
      </w:r>
    </w:p>
    <w:p w14:paraId="6D50C404">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6、具有法律、行政法规规定的其他条件。</w:t>
      </w:r>
    </w:p>
    <w:p w14:paraId="4A0C501A">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（二）未被信用中国（www.creditchina.gov.cn）、中国政府采购网（www.ccgp.gov.cn）列入失信被执行人、重大税收违法案件当事人名单、政府采购严重违法失信行为记录名单。</w:t>
      </w:r>
    </w:p>
    <w:p w14:paraId="16468213">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（三）不存在以下情况：</w:t>
      </w:r>
    </w:p>
    <w:p w14:paraId="0AA79D63">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1、单位负责人为同一人或者存在直接控股、管理关系的不同供应商参加同一合同项下的政府采购活动的；</w:t>
      </w:r>
    </w:p>
    <w:p w14:paraId="08842534">
      <w:pPr>
        <w:snapToGrid w:val="0"/>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2、为采购项目提供整体设计、规范编制或者项目管理、监理、检测等服务后再参加该采购项目的其他采购活动的。</w:t>
      </w:r>
    </w:p>
    <w:p w14:paraId="0808A0BA">
      <w:pPr>
        <w:pStyle w:val="18"/>
        <w:rPr>
          <w:rFonts w:ascii="仿宋_GB2312" w:hAnsi="仿宋" w:eastAsia="仿宋_GB2312" w:cs="仿宋"/>
          <w:highlight w:val="none"/>
        </w:rPr>
      </w:pPr>
    </w:p>
    <w:p w14:paraId="1C163FAB">
      <w:pPr>
        <w:rPr>
          <w:rFonts w:ascii="仿宋_GB2312" w:hAnsi="仿宋" w:eastAsia="仿宋_GB2312" w:cs="仿宋"/>
          <w:highlight w:val="none"/>
        </w:rPr>
      </w:pPr>
    </w:p>
    <w:p w14:paraId="3AE076A6">
      <w:pPr>
        <w:snapToGrid w:val="0"/>
        <w:spacing w:line="360" w:lineRule="auto"/>
        <w:ind w:firstLine="5520" w:firstLineChars="2300"/>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投标人名称(电子签名)：</w:t>
      </w:r>
    </w:p>
    <w:p w14:paraId="6D5D6081">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 xml:space="preserve">                        </w:t>
      </w: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日期</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w:t>
      </w:r>
    </w:p>
    <w:p w14:paraId="72C0354D">
      <w:pPr>
        <w:snapToGrid w:val="0"/>
        <w:spacing w:line="360" w:lineRule="auto"/>
        <w:ind w:right="480"/>
        <w:jc w:val="center"/>
        <w:rPr>
          <w:rFonts w:ascii="仿宋_GB2312" w:hAnsi="仿宋" w:eastAsia="仿宋_GB2312" w:cs="仿宋"/>
          <w:b/>
          <w:kern w:val="0"/>
          <w:sz w:val="32"/>
          <w:szCs w:val="32"/>
          <w:highlight w:val="none"/>
        </w:rPr>
      </w:pPr>
    </w:p>
    <w:p w14:paraId="10EBC70F">
      <w:pPr>
        <w:snapToGrid w:val="0"/>
        <w:spacing w:line="360" w:lineRule="auto"/>
        <w:ind w:right="480"/>
        <w:jc w:val="center"/>
        <w:rPr>
          <w:rFonts w:ascii="仿宋_GB2312" w:hAnsi="仿宋" w:eastAsia="仿宋_GB2312" w:cs="仿宋"/>
          <w:b/>
          <w:kern w:val="0"/>
          <w:sz w:val="32"/>
          <w:szCs w:val="32"/>
          <w:highlight w:val="none"/>
        </w:rPr>
      </w:pPr>
    </w:p>
    <w:p w14:paraId="5965768E">
      <w:pPr>
        <w:rPr>
          <w:rFonts w:ascii="仿宋_GB2312" w:hAnsi="仿宋" w:eastAsia="仿宋_GB2312" w:cs="仿宋"/>
          <w:highlight w:val="none"/>
        </w:rPr>
      </w:pPr>
    </w:p>
    <w:p w14:paraId="17135394">
      <w:pPr>
        <w:snapToGrid w:val="0"/>
        <w:spacing w:line="360" w:lineRule="auto"/>
        <w:ind w:right="480"/>
        <w:jc w:val="center"/>
        <w:rPr>
          <w:rFonts w:ascii="仿宋_GB2312" w:hAnsi="仿宋" w:eastAsia="仿宋_GB2312" w:cs="仿宋"/>
          <w:b/>
          <w:kern w:val="0"/>
          <w:sz w:val="32"/>
          <w:szCs w:val="32"/>
          <w:highlight w:val="none"/>
        </w:rPr>
      </w:pPr>
    </w:p>
    <w:p w14:paraId="5B1660DF">
      <w:pPr>
        <w:snapToGrid w:val="0"/>
        <w:spacing w:line="360" w:lineRule="auto"/>
        <w:ind w:right="480"/>
        <w:jc w:val="center"/>
        <w:rPr>
          <w:rFonts w:ascii="仿宋_GB2312" w:hAnsi="仿宋" w:eastAsia="仿宋_GB2312" w:cs="仿宋"/>
          <w:b/>
          <w:kern w:val="0"/>
          <w:sz w:val="32"/>
          <w:szCs w:val="32"/>
          <w:highlight w:val="none"/>
        </w:rPr>
      </w:pPr>
    </w:p>
    <w:p w14:paraId="0D3FB617">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6DC6BA62">
      <w:pPr>
        <w:snapToGrid w:val="0"/>
        <w:spacing w:line="360" w:lineRule="auto"/>
        <w:ind w:right="480"/>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二、联合协议（如果有）</w:t>
      </w:r>
    </w:p>
    <w:p w14:paraId="600A0B11">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[以联合体形式投标的，提供联合协议（附件5）；本项目不接受联合体投标或者投标人不以联合体形式投标的，则不需要提供）]</w:t>
      </w:r>
    </w:p>
    <w:p w14:paraId="7E6819D8">
      <w:pPr>
        <w:snapToGrid w:val="0"/>
        <w:spacing w:line="360" w:lineRule="auto"/>
        <w:ind w:right="480"/>
        <w:jc w:val="center"/>
        <w:rPr>
          <w:rFonts w:ascii="仿宋_GB2312" w:hAnsi="仿宋" w:eastAsia="仿宋_GB2312" w:cs="仿宋"/>
          <w:b/>
          <w:kern w:val="0"/>
          <w:sz w:val="32"/>
          <w:szCs w:val="32"/>
          <w:highlight w:val="none"/>
        </w:rPr>
      </w:pPr>
    </w:p>
    <w:p w14:paraId="375FB14C">
      <w:pPr>
        <w:snapToGrid w:val="0"/>
        <w:spacing w:line="360" w:lineRule="auto"/>
        <w:ind w:right="480"/>
        <w:jc w:val="center"/>
        <w:rPr>
          <w:rFonts w:ascii="仿宋_GB2312" w:hAnsi="仿宋" w:eastAsia="仿宋_GB2312" w:cs="仿宋"/>
          <w:b/>
          <w:kern w:val="0"/>
          <w:sz w:val="32"/>
          <w:szCs w:val="32"/>
          <w:highlight w:val="none"/>
        </w:rPr>
      </w:pPr>
    </w:p>
    <w:p w14:paraId="4D548545">
      <w:pPr>
        <w:snapToGrid w:val="0"/>
        <w:spacing w:line="360" w:lineRule="auto"/>
        <w:ind w:right="480"/>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三、落实政府采购政策需满足的资格要求</w:t>
      </w:r>
    </w:p>
    <w:p w14:paraId="7B96F01B">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（根据招标公告落实政府采购政策需满足的资格要求选择提供相应的材料；未要求的，无需提供）</w:t>
      </w:r>
    </w:p>
    <w:p w14:paraId="1FB56142">
      <w:pPr>
        <w:snapToGrid w:val="0"/>
        <w:spacing w:before="50" w:after="50" w:line="360" w:lineRule="auto"/>
        <w:ind w:firstLine="472" w:firstLineChars="196"/>
        <w:jc w:val="left"/>
        <w:rPr>
          <w:rFonts w:ascii="仿宋_GB2312" w:hAnsi="仿宋" w:eastAsia="仿宋_GB2312" w:cs="仿宋"/>
          <w:sz w:val="24"/>
          <w:highlight w:val="none"/>
        </w:rPr>
      </w:pPr>
      <w:r>
        <w:rPr>
          <w:rFonts w:hint="eastAsia" w:ascii="仿宋_GB2312" w:hAnsi="仿宋" w:eastAsia="仿宋_GB2312" w:cs="仿宋"/>
          <w:b/>
          <w:sz w:val="24"/>
          <w:highlight w:val="none"/>
        </w:rPr>
        <w:t>A</w:t>
      </w:r>
      <w:r>
        <w:rPr>
          <w:rFonts w:hint="eastAsia" w:ascii="仿宋_GB2312" w:hAnsi="仿宋" w:eastAsia="仿宋_GB2312" w:cs="仿宋"/>
          <w:sz w:val="24"/>
          <w:highlight w:val="none"/>
        </w:rPr>
        <w:t xml:space="preserve">.专门面向中小企业，服务全部由符合政策要求的中小企业（或小微企业）承接的，提供相应的中小企业声明函（附件7）。 </w:t>
      </w:r>
    </w:p>
    <w:p w14:paraId="10FD78FC">
      <w:pPr>
        <w:widowControl/>
        <w:spacing w:line="360" w:lineRule="auto"/>
        <w:ind w:firstLine="480"/>
        <w:jc w:val="left"/>
        <w:rPr>
          <w:rFonts w:ascii="仿宋_GB2312" w:hAnsi="仿宋" w:eastAsia="仿宋_GB2312" w:cs="仿宋"/>
          <w:sz w:val="24"/>
          <w:highlight w:val="none"/>
        </w:rPr>
      </w:pPr>
    </w:p>
    <w:p w14:paraId="5E4285A0">
      <w:pPr>
        <w:widowControl/>
        <w:spacing w:line="360" w:lineRule="auto"/>
        <w:ind w:firstLine="472" w:firstLineChars="196"/>
        <w:jc w:val="left"/>
        <w:rPr>
          <w:rFonts w:ascii="仿宋_GB2312" w:hAnsi="仿宋" w:eastAsia="仿宋_GB2312" w:cs="仿宋"/>
          <w:sz w:val="24"/>
          <w:highlight w:val="none"/>
        </w:rPr>
      </w:pPr>
      <w:r>
        <w:rPr>
          <w:rFonts w:hint="eastAsia" w:ascii="仿宋_GB2312" w:hAnsi="仿宋" w:eastAsia="仿宋_GB2312" w:cs="仿宋"/>
          <w:b/>
          <w:sz w:val="24"/>
          <w:highlight w:val="none"/>
        </w:rPr>
        <w:t>B.</w:t>
      </w:r>
      <w:r>
        <w:rPr>
          <w:rFonts w:hint="eastAsia" w:ascii="仿宋_GB2312" w:hAnsi="仿宋" w:eastAsia="仿宋_GB2312"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_GB2312" w:hAnsi="仿宋" w:eastAsia="仿宋_GB2312" w:cs="仿宋"/>
          <w:spacing w:val="8"/>
          <w:kern w:val="0"/>
          <w:sz w:val="24"/>
          <w:highlight w:val="none"/>
        </w:rPr>
        <w:t>并相应达到了前述比例要求，</w:t>
      </w:r>
      <w:r>
        <w:rPr>
          <w:rFonts w:hint="eastAsia" w:ascii="仿宋_GB2312" w:hAnsi="仿宋" w:eastAsia="仿宋_GB2312" w:cs="仿宋"/>
          <w:sz w:val="24"/>
          <w:highlight w:val="none"/>
        </w:rPr>
        <w:t>视同符合了资格条件，无需再与其他中小企业组成联合体参加政府采购活动，无需提供联合协议。</w:t>
      </w:r>
    </w:p>
    <w:p w14:paraId="5788C294">
      <w:pPr>
        <w:snapToGrid w:val="0"/>
        <w:spacing w:before="50" w:after="50" w:line="360" w:lineRule="auto"/>
        <w:jc w:val="center"/>
        <w:rPr>
          <w:rFonts w:ascii="仿宋_GB2312" w:hAnsi="仿宋" w:eastAsia="仿宋_GB2312" w:cs="仿宋"/>
          <w:sz w:val="24"/>
          <w:highlight w:val="none"/>
        </w:rPr>
      </w:pPr>
      <w:r>
        <w:rPr>
          <w:rFonts w:hint="eastAsia" w:ascii="仿宋_GB2312" w:hAnsi="仿宋" w:eastAsia="仿宋_GB2312" w:cs="仿宋"/>
          <w:b/>
          <w:sz w:val="24"/>
          <w:highlight w:val="none"/>
        </w:rPr>
        <w:t xml:space="preserve">    </w:t>
      </w:r>
    </w:p>
    <w:p w14:paraId="0920F998">
      <w:pPr>
        <w:adjustRightInd w:val="0"/>
        <w:snapToGrid w:val="0"/>
        <w:spacing w:line="360" w:lineRule="auto"/>
        <w:jc w:val="left"/>
        <w:rPr>
          <w:rFonts w:ascii="仿宋_GB2312" w:hAnsi="仿宋" w:eastAsia="仿宋_GB2312" w:cs="仿宋"/>
          <w:sz w:val="24"/>
          <w:highlight w:val="none"/>
        </w:rPr>
      </w:pPr>
      <w:r>
        <w:rPr>
          <w:rFonts w:hint="eastAsia" w:ascii="仿宋_GB2312" w:hAnsi="仿宋" w:eastAsia="仿宋_GB2312" w:cs="仿宋"/>
          <w:b/>
          <w:sz w:val="24"/>
          <w:highlight w:val="none"/>
        </w:rPr>
        <w:t>C、</w:t>
      </w:r>
      <w:r>
        <w:rPr>
          <w:rFonts w:hint="eastAsia" w:ascii="仿宋_GB2312" w:hAnsi="仿宋" w:eastAsia="仿宋_GB2312"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_GB2312" w:hAnsi="仿宋" w:eastAsia="仿宋_GB2312" w:cs="仿宋"/>
          <w:spacing w:val="8"/>
          <w:kern w:val="0"/>
          <w:sz w:val="24"/>
          <w:highlight w:val="none"/>
        </w:rPr>
        <w:t>并相应达到了前述比例要求，</w:t>
      </w:r>
      <w:r>
        <w:rPr>
          <w:rFonts w:hint="eastAsia" w:ascii="仿宋_GB2312" w:hAnsi="仿宋" w:eastAsia="仿宋_GB2312" w:cs="仿宋"/>
          <w:sz w:val="24"/>
          <w:highlight w:val="none"/>
        </w:rPr>
        <w:t>视同符合了资格条件，无需再向中小企业分包，无需提供分包意向协议。</w:t>
      </w:r>
    </w:p>
    <w:p w14:paraId="679F5DBC">
      <w:pPr>
        <w:rPr>
          <w:rFonts w:ascii="仿宋_GB2312" w:hAnsi="仿宋" w:eastAsia="仿宋_GB2312" w:cs="仿宋"/>
          <w:highlight w:val="none"/>
          <w:lang w:val="zh-CN"/>
        </w:rPr>
      </w:pPr>
      <w:r>
        <w:rPr>
          <w:rFonts w:hint="eastAsia" w:ascii="仿宋_GB2312" w:hAnsi="仿宋" w:eastAsia="仿宋_GB2312" w:cs="仿宋"/>
          <w:highlight w:val="none"/>
          <w:lang w:val="zh-CN"/>
        </w:rPr>
        <w:br w:type="page"/>
      </w:r>
    </w:p>
    <w:p w14:paraId="5ED4E353">
      <w:pPr>
        <w:keepNext/>
        <w:keepLines/>
        <w:adjustRightInd w:val="0"/>
        <w:spacing w:line="416" w:lineRule="auto"/>
        <w:rPr>
          <w:rFonts w:ascii="仿宋_GB2312" w:hAnsi="仿宋" w:eastAsia="仿宋_GB2312" w:cs="仿宋"/>
          <w:highlight w:val="none"/>
          <w:lang w:val="zh-CN"/>
        </w:rPr>
      </w:pPr>
    </w:p>
    <w:p w14:paraId="5AB9606A">
      <w:pP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本项目专门面向中小企业，中小企业声明函示范格式如下：</w:t>
      </w:r>
    </w:p>
    <w:p w14:paraId="449A9A11">
      <w:pPr>
        <w:adjustRightInd w:val="0"/>
        <w:snapToGrid w:val="0"/>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中小企业声明函（服务）</w:t>
      </w:r>
    </w:p>
    <w:p w14:paraId="1057249B">
      <w:pPr>
        <w:adjustRightInd w:val="0"/>
        <w:snapToGrid w:val="0"/>
        <w:spacing w:line="360" w:lineRule="auto"/>
        <w:rPr>
          <w:rFonts w:ascii="仿宋_GB2312" w:hAnsi="仿宋" w:eastAsia="仿宋_GB2312" w:cs="仿宋"/>
          <w:highlight w:val="none"/>
        </w:rPr>
      </w:pPr>
    </w:p>
    <w:p w14:paraId="14F7B6C7">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本公司（联合体）郑重声明，根据《政府采购促进中小企业发展管理办法》（财库</w:t>
      </w:r>
      <w:r>
        <w:rPr>
          <w:rFonts w:hint="eastAsia" w:ascii="宋体" w:hAnsi="宋体" w:cs="宋体"/>
          <w:sz w:val="24"/>
          <w:highlight w:val="none"/>
        </w:rPr>
        <w:t>﹝</w:t>
      </w:r>
      <w:r>
        <w:rPr>
          <w:rFonts w:hint="eastAsia" w:ascii="仿宋_GB2312" w:hAnsi="仿宋" w:eastAsia="仿宋_GB2312" w:cs="仿宋"/>
          <w:sz w:val="24"/>
          <w:highlight w:val="none"/>
        </w:rPr>
        <w:t>2020</w:t>
      </w:r>
      <w:r>
        <w:rPr>
          <w:rFonts w:hint="eastAsia" w:ascii="宋体" w:hAnsi="宋体" w:cs="宋体"/>
          <w:sz w:val="24"/>
          <w:highlight w:val="none"/>
        </w:rPr>
        <w:t>﹞</w:t>
      </w:r>
      <w:r>
        <w:rPr>
          <w:rFonts w:hint="eastAsia" w:ascii="仿宋_GB2312" w:hAnsi="仿宋" w:eastAsia="仿宋_GB2312" w:cs="仿宋"/>
          <w:sz w:val="24"/>
          <w:highlight w:val="none"/>
        </w:rPr>
        <w:t>46 号）的规定，本公司（联合体）参加</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eastAsia="zh-CN"/>
        </w:rPr>
        <w:t>杭州市钱塘区综合行政执法局</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的</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eastAsia="zh-CN"/>
        </w:rPr>
        <w:t>2025-2028年钱塘区特色街区景观灯及其附属设施养护服务项目</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sz w:val="24"/>
          <w:highlight w:val="none"/>
        </w:rPr>
        <w:t>采购活动，服务全部由符合政策要求的中小企业承接。相关企业（含联合体中的中小企业、签订分包意向协议的中小企业）的具体情况如下：</w:t>
      </w:r>
    </w:p>
    <w:p w14:paraId="27E1C617">
      <w:pPr>
        <w:numPr>
          <w:ilvl w:val="0"/>
          <w:numId w:val="10"/>
        </w:num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eastAsia="zh-CN"/>
        </w:rPr>
        <w:t>2025-2028年钱塘区特色街区景观灯及其附属设施养护服务项目</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，属于</w:t>
      </w:r>
      <w:r>
        <w:rPr>
          <w:rFonts w:hint="eastAsia" w:ascii="仿宋_GB2312" w:hAnsi="仿宋" w:eastAsia="仿宋_GB2312" w:cs="仿宋"/>
          <w:sz w:val="24"/>
          <w:highlight w:val="none"/>
          <w:u w:val="single"/>
        </w:rPr>
        <w:t xml:space="preserve"> </w:t>
      </w:r>
      <w:r>
        <w:rPr>
          <w:rFonts w:hint="eastAsia" w:ascii="仿宋_GB2312" w:hAnsi="宋体" w:eastAsia="仿宋_GB2312"/>
          <w:color w:val="auto"/>
          <w:sz w:val="24"/>
          <w:highlight w:val="none"/>
          <w:u w:val="single"/>
          <w:lang w:val="en-US" w:eastAsia="zh-CN"/>
        </w:rPr>
        <w:t>其他未列明行业</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；承接企业为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u w:val="single"/>
        </w:rPr>
        <w:t xml:space="preserve">  （企业名称）</w:t>
      </w:r>
      <w:r>
        <w:rPr>
          <w:rFonts w:hint="eastAsia" w:ascii="仿宋_GB2312" w:hAnsi="仿宋" w:eastAsia="仿宋_GB2312" w:cs="仿宋"/>
          <w:sz w:val="24"/>
          <w:highlight w:val="none"/>
        </w:rPr>
        <w:t xml:space="preserve"> ，从业人员</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人，营业收入为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万元，资产总额为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万元，属于</w:t>
      </w:r>
      <w:r>
        <w:rPr>
          <w:rFonts w:hint="eastAsia" w:ascii="仿宋_GB2312" w:hAnsi="仿宋" w:eastAsia="仿宋_GB2312" w:cs="仿宋"/>
          <w:sz w:val="24"/>
          <w:highlight w:val="none"/>
          <w:u w:val="single"/>
        </w:rPr>
        <w:t xml:space="preserve">          （填写中型企业或小型企业或微型企业的一种） </w:t>
      </w:r>
    </w:p>
    <w:p w14:paraId="1B39D500">
      <w:pPr>
        <w:adjustRightInd w:val="0"/>
        <w:snapToGrid w:val="0"/>
        <w:spacing w:line="360" w:lineRule="auto"/>
        <w:ind w:firstLine="480" w:firstLineChars="200"/>
        <w:jc w:val="left"/>
        <w:rPr>
          <w:rFonts w:ascii="仿宋_GB2312" w:hAnsi="仿宋" w:eastAsia="仿宋_GB2312" w:cs="仿宋"/>
          <w:sz w:val="24"/>
          <w:highlight w:val="none"/>
        </w:rPr>
      </w:pPr>
    </w:p>
    <w:p w14:paraId="0BAF29DE">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w:t>
      </w:r>
    </w:p>
    <w:p w14:paraId="756B01F2">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以上企业，不属于大企业的分支机构，不存在控股股东为大企业的情形，也不存在与大企业的负责人为同一人的情形。</w:t>
      </w:r>
    </w:p>
    <w:p w14:paraId="6EE81914">
      <w:pPr>
        <w:adjustRightInd w:val="0"/>
        <w:snapToGrid w:val="0"/>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本企业对上述声明内容的真实性负责。如有虚假，将依法承担相应责任。</w:t>
      </w:r>
    </w:p>
    <w:p w14:paraId="39164A64">
      <w:pPr>
        <w:adjustRightInd w:val="0"/>
        <w:snapToGrid w:val="0"/>
        <w:spacing w:line="360" w:lineRule="auto"/>
        <w:jc w:val="right"/>
        <w:rPr>
          <w:rFonts w:ascii="仿宋_GB2312" w:hAnsi="仿宋" w:eastAsia="仿宋_GB2312" w:cs="仿宋"/>
          <w:sz w:val="24"/>
          <w:highlight w:val="none"/>
        </w:rPr>
      </w:pPr>
      <w:r>
        <w:rPr>
          <w:rFonts w:hint="eastAsia" w:ascii="仿宋_GB2312" w:hAnsi="仿宋" w:eastAsia="仿宋_GB2312" w:cs="仿宋"/>
          <w:sz w:val="24"/>
          <w:highlight w:val="none"/>
        </w:rPr>
        <w:t>投标人名称（电子签名）：</w:t>
      </w:r>
    </w:p>
    <w:p w14:paraId="1DA0ED05">
      <w:pPr>
        <w:keepNext/>
        <w:keepLines/>
        <w:adjustRightInd w:val="0"/>
        <w:snapToGrid w:val="0"/>
        <w:spacing w:line="360" w:lineRule="auto"/>
        <w:ind w:firstLine="6240" w:firstLineChars="2600"/>
        <w:rPr>
          <w:rFonts w:ascii="仿宋_GB2312" w:hAnsi="仿宋" w:eastAsia="仿宋_GB2312" w:cs="仿宋"/>
          <w:sz w:val="24"/>
          <w:highlight w:val="none"/>
        </w:rPr>
      </w:pPr>
      <w:r>
        <w:rPr>
          <w:rFonts w:hint="eastAsia" w:ascii="仿宋_GB2312" w:hAnsi="仿宋" w:eastAsia="仿宋_GB2312" w:cs="仿宋"/>
          <w:sz w:val="24"/>
          <w:highlight w:val="none"/>
        </w:rPr>
        <w:t>日 期：</w:t>
      </w:r>
    </w:p>
    <w:p w14:paraId="5FB5039A">
      <w:pPr>
        <w:keepNext/>
        <w:keepLines/>
        <w:adjustRightInd w:val="0"/>
        <w:spacing w:line="416" w:lineRule="auto"/>
        <w:rPr>
          <w:rFonts w:ascii="仿宋_GB2312" w:hAnsi="仿宋" w:eastAsia="仿宋_GB2312" w:cs="仿宋"/>
          <w:highlight w:val="none"/>
          <w:lang w:val="zh-CN"/>
        </w:rPr>
      </w:pPr>
    </w:p>
    <w:p w14:paraId="01FC18A1">
      <w:pPr>
        <w:keepNext/>
        <w:keepLines/>
        <w:adjustRightInd w:val="0"/>
        <w:spacing w:line="416" w:lineRule="auto"/>
        <w:rPr>
          <w:rFonts w:ascii="仿宋_GB2312" w:hAnsi="仿宋" w:eastAsia="仿宋_GB2312" w:cs="仿宋"/>
          <w:b/>
          <w:bCs/>
          <w:color w:val="FF0000"/>
          <w:szCs w:val="21"/>
          <w:highlight w:val="none"/>
        </w:rPr>
      </w:pPr>
    </w:p>
    <w:p w14:paraId="68C85F53">
      <w:pPr>
        <w:keepNext/>
        <w:keepLines/>
        <w:adjustRightInd w:val="0"/>
        <w:spacing w:line="416" w:lineRule="auto"/>
        <w:rPr>
          <w:rFonts w:ascii="仿宋_GB2312" w:hAnsi="仿宋" w:eastAsia="仿宋_GB2312" w:cs="仿宋"/>
          <w:color w:val="000000" w:themeColor="text1"/>
          <w:szCs w:val="21"/>
          <w:highlight w:val="none"/>
          <w:lang w:val="zh-CN"/>
          <w14:textFill>
            <w14:solidFill>
              <w14:schemeClr w14:val="tx1"/>
            </w14:solidFill>
          </w14:textFill>
        </w:rPr>
      </w:pPr>
      <w:r>
        <w:rPr>
          <w:rFonts w:hint="eastAsia" w:ascii="仿宋_GB2312" w:hAnsi="仿宋" w:eastAsia="仿宋_GB2312" w:cs="仿宋"/>
          <w:color w:val="000000" w:themeColor="text1"/>
          <w:szCs w:val="21"/>
          <w:highlight w:val="none"/>
          <w:lang w:val="zh-CN"/>
          <w14:textFill>
            <w14:solidFill>
              <w14:schemeClr w14:val="tx1"/>
            </w14:solidFill>
          </w14:textFill>
        </w:rPr>
        <w:t>注</w:t>
      </w:r>
      <w:r>
        <w:rPr>
          <w:rFonts w:hint="eastAsia" w:ascii="仿宋_GB2312" w:hAnsi="仿宋" w:eastAsia="仿宋_GB2312" w:cs="仿宋"/>
          <w:color w:val="000000" w:themeColor="text1"/>
          <w:szCs w:val="21"/>
          <w:highlight w:val="none"/>
          <w:lang w:val="zh-CN" w:eastAsia="zh-CN"/>
          <w14:textFill>
            <w14:solidFill>
              <w14:schemeClr w14:val="tx1"/>
            </w14:solidFill>
          </w14:textFill>
        </w:rPr>
        <w:t>：①</w:t>
      </w:r>
      <w:r>
        <w:rPr>
          <w:rFonts w:hint="eastAsia" w:ascii="仿宋_GB2312" w:hAnsi="仿宋" w:eastAsia="仿宋_GB2312"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_GB2312" w:hAnsi="仿宋" w:eastAsia="仿宋_GB2312" w:cs="仿宋"/>
          <w:color w:val="000000" w:themeColor="text1"/>
          <w:szCs w:val="21"/>
          <w:highlight w:val="none"/>
          <w:lang w:val="zh-CN" w:eastAsia="zh-CN"/>
          <w14:textFill>
            <w14:solidFill>
              <w14:schemeClr w14:val="tx1"/>
            </w14:solidFill>
          </w14:textFill>
        </w:rPr>
        <w:t>。②</w:t>
      </w:r>
      <w:r>
        <w:rPr>
          <w:rFonts w:hint="eastAsia" w:ascii="仿宋_GB2312" w:hAnsi="仿宋" w:eastAsia="仿宋_GB2312"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6EDB2882">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6FBB7C8E">
      <w:pPr>
        <w:widowControl/>
        <w:spacing w:line="360" w:lineRule="auto"/>
        <w:ind w:left="150"/>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t>四、本项目的特定资格要求</w:t>
      </w:r>
    </w:p>
    <w:p w14:paraId="51C428EE">
      <w:pPr>
        <w:spacing w:line="360" w:lineRule="auto"/>
        <w:jc w:val="center"/>
        <w:rPr>
          <w:rFonts w:ascii="仿宋_GB2312" w:hAnsi="仿宋" w:eastAsia="仿宋_GB2312" w:cs="仿宋"/>
          <w:sz w:val="24"/>
          <w:highlight w:val="none"/>
        </w:rPr>
      </w:pPr>
      <w:r>
        <w:rPr>
          <w:rFonts w:hint="eastAsia" w:ascii="仿宋_GB2312" w:hAnsi="仿宋" w:eastAsia="仿宋_GB2312" w:cs="仿宋"/>
          <w:sz w:val="24"/>
          <w:highlight w:val="none"/>
        </w:rPr>
        <w:t>（根据招标公告本项目的特定资格要求提供相应的材料；未要求的，无需提供）</w:t>
      </w:r>
    </w:p>
    <w:p w14:paraId="4A829A8C">
      <w:pPr>
        <w:spacing w:line="360" w:lineRule="auto"/>
        <w:jc w:val="center"/>
        <w:rPr>
          <w:rFonts w:hint="eastAsia" w:ascii="仿宋_GB2312" w:hAnsi="仿宋" w:eastAsia="仿宋_GB2312" w:cs="仿宋"/>
          <w:sz w:val="24"/>
          <w:highlight w:val="none"/>
        </w:rPr>
      </w:pPr>
    </w:p>
    <w:p w14:paraId="416F1037">
      <w:pPr>
        <w:spacing w:line="360" w:lineRule="auto"/>
        <w:jc w:val="center"/>
        <w:rPr>
          <w:rFonts w:hint="eastAsia" w:ascii="仿宋_GB2312" w:hAnsi="仿宋" w:eastAsia="仿宋_GB2312" w:cs="仿宋"/>
          <w:sz w:val="24"/>
          <w:highlight w:val="none"/>
        </w:rPr>
      </w:pPr>
    </w:p>
    <w:p w14:paraId="56648B28">
      <w:pPr>
        <w:spacing w:line="360" w:lineRule="auto"/>
        <w:jc w:val="left"/>
        <w:rPr>
          <w:rFonts w:ascii="仿宋_GB2312" w:hAnsi="仿宋" w:eastAsia="仿宋_GB2312" w:cs="仿宋"/>
          <w:sz w:val="24"/>
          <w:highlight w:val="none"/>
        </w:rPr>
      </w:pPr>
      <w:r>
        <w:rPr>
          <w:rFonts w:hint="eastAsia" w:ascii="仿宋_GB2312" w:hAnsi="仿宋" w:eastAsia="仿宋_GB2312" w:cs="仿宋"/>
          <w:sz w:val="24"/>
          <w:highlight w:val="none"/>
        </w:rPr>
        <w:t>具有机电工程施工总承包三级及以上或城市及道路照明工程专业承包三级及以上资质，且具有承装（修、试）电力设施许可证</w:t>
      </w:r>
      <w:r>
        <w:rPr>
          <w:rFonts w:hint="eastAsia" w:ascii="仿宋_GB2312" w:hAnsi="仿宋" w:eastAsia="仿宋_GB2312" w:cs="仿宋"/>
          <w:sz w:val="24"/>
          <w:highlight w:val="none"/>
        </w:rPr>
        <w:br w:type="page"/>
      </w:r>
    </w:p>
    <w:p w14:paraId="66B26609">
      <w:pPr>
        <w:spacing w:line="360" w:lineRule="auto"/>
        <w:ind w:right="420"/>
        <w:jc w:val="center"/>
        <w:outlineLvl w:val="1"/>
        <w:rPr>
          <w:rFonts w:ascii="仿宋_GB2312" w:hAnsi="仿宋" w:eastAsia="仿宋_GB2312" w:cs="仿宋"/>
          <w:b/>
          <w:kern w:val="0"/>
          <w:sz w:val="36"/>
          <w:szCs w:val="36"/>
          <w:highlight w:val="none"/>
        </w:rPr>
      </w:pPr>
      <w:bookmarkStart w:id="133" w:name="_Toc28076"/>
      <w:bookmarkStart w:id="134" w:name="_Toc3036"/>
      <w:bookmarkStart w:id="135" w:name="_Toc4272"/>
      <w:bookmarkStart w:id="136" w:name="_Toc23502"/>
      <w:r>
        <w:rPr>
          <w:rFonts w:hint="eastAsia" w:ascii="仿宋_GB2312" w:hAnsi="仿宋" w:eastAsia="仿宋_GB2312" w:cs="仿宋"/>
          <w:b/>
          <w:kern w:val="0"/>
          <w:sz w:val="36"/>
          <w:szCs w:val="36"/>
          <w:highlight w:val="none"/>
        </w:rPr>
        <w:t>商务技术文件部分</w:t>
      </w:r>
      <w:bookmarkEnd w:id="133"/>
      <w:bookmarkEnd w:id="134"/>
      <w:bookmarkEnd w:id="135"/>
      <w:bookmarkEnd w:id="136"/>
    </w:p>
    <w:p w14:paraId="3BD1A6CE">
      <w:pPr>
        <w:spacing w:line="360" w:lineRule="auto"/>
        <w:jc w:val="center"/>
        <w:rPr>
          <w:rFonts w:ascii="仿宋_GB2312" w:hAnsi="仿宋" w:eastAsia="仿宋_GB2312" w:cs="仿宋"/>
          <w:b/>
          <w:kern w:val="0"/>
          <w:sz w:val="24"/>
          <w:highlight w:val="none"/>
        </w:rPr>
      </w:pPr>
    </w:p>
    <w:p w14:paraId="7ECB2B0B">
      <w:pPr>
        <w:spacing w:line="360" w:lineRule="auto"/>
        <w:jc w:val="center"/>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目录</w:t>
      </w:r>
    </w:p>
    <w:p w14:paraId="076AB058">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投标函…………………………………………………………………………（页码）</w:t>
      </w:r>
    </w:p>
    <w:p w14:paraId="1C438FEE">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授权委托书或法定代表人（单位负责人、自然人本人）身份证明………（页码）</w:t>
      </w:r>
    </w:p>
    <w:p w14:paraId="70B9FA3F">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分包意向协议…………………………………………………………………（页码）</w:t>
      </w:r>
    </w:p>
    <w:p w14:paraId="5E6D059D">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符合性审查资料………………………………………………………………（页码）</w:t>
      </w:r>
    </w:p>
    <w:p w14:paraId="22D546CE">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评标标准相应的商务技术资料………………………………………………（页码）</w:t>
      </w:r>
    </w:p>
    <w:p w14:paraId="28741CE1">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投标标的清单…………………………………………………………………（页码）</w:t>
      </w:r>
    </w:p>
    <w:p w14:paraId="2E7FAE37">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rPr>
        <w:t>商务技术偏离表………………………………………………………………（页码）</w:t>
      </w:r>
    </w:p>
    <w:p w14:paraId="5FDF4A2B">
      <w:pPr>
        <w:numPr>
          <w:ilvl w:val="0"/>
          <w:numId w:val="11"/>
        </w:numPr>
        <w:snapToGrid w:val="0"/>
        <w:spacing w:line="360" w:lineRule="auto"/>
        <w:ind w:hanging="5"/>
        <w:rPr>
          <w:rFonts w:ascii="仿宋_GB2312" w:hAnsi="仿宋" w:eastAsia="仿宋_GB2312" w:cs="仿宋"/>
          <w:sz w:val="24"/>
          <w:highlight w:val="none"/>
        </w:rPr>
      </w:pPr>
      <w:r>
        <w:rPr>
          <w:rFonts w:hint="eastAsia" w:ascii="仿宋_GB2312" w:hAnsi="仿宋" w:eastAsia="仿宋_GB2312" w:cs="仿宋"/>
          <w:sz w:val="24"/>
          <w:highlight w:val="none"/>
          <w:lang w:val="zh-CN"/>
        </w:rPr>
        <w:t>政府采购供应商廉洁自律承诺书</w:t>
      </w:r>
      <w:r>
        <w:rPr>
          <w:rFonts w:hint="eastAsia" w:ascii="仿宋_GB2312" w:hAnsi="仿宋" w:eastAsia="仿宋_GB2312" w:cs="仿宋"/>
          <w:sz w:val="24"/>
          <w:highlight w:val="none"/>
        </w:rPr>
        <w:t>……………………………………………（页码）</w:t>
      </w:r>
    </w:p>
    <w:p w14:paraId="58418BDD">
      <w:pPr>
        <w:rPr>
          <w:rFonts w:ascii="仿宋_GB2312" w:hAnsi="仿宋" w:eastAsia="仿宋_GB2312" w:cs="仿宋"/>
          <w:highlight w:val="none"/>
          <w:lang w:val="zh-CN"/>
        </w:rPr>
      </w:pPr>
    </w:p>
    <w:p w14:paraId="555C5884">
      <w:pPr>
        <w:rPr>
          <w:rFonts w:ascii="仿宋_GB2312" w:hAnsi="仿宋" w:eastAsia="仿宋_GB2312" w:cs="仿宋"/>
          <w:highlight w:val="none"/>
          <w:lang w:val="zh-CN"/>
        </w:rPr>
      </w:pPr>
    </w:p>
    <w:p w14:paraId="5F844E7C">
      <w:pPr>
        <w:rPr>
          <w:rFonts w:ascii="仿宋_GB2312" w:hAnsi="仿宋" w:eastAsia="仿宋_GB2312" w:cs="仿宋"/>
          <w:highlight w:val="none"/>
          <w:lang w:val="zh-CN"/>
        </w:rPr>
      </w:pPr>
    </w:p>
    <w:p w14:paraId="53363986">
      <w:pPr>
        <w:rPr>
          <w:rFonts w:ascii="仿宋_GB2312" w:hAnsi="仿宋" w:eastAsia="仿宋_GB2312" w:cs="仿宋"/>
          <w:highlight w:val="none"/>
          <w:lang w:val="zh-CN"/>
        </w:rPr>
      </w:pPr>
    </w:p>
    <w:p w14:paraId="0996D32C">
      <w:pPr>
        <w:rPr>
          <w:rFonts w:ascii="仿宋_GB2312" w:hAnsi="仿宋" w:eastAsia="仿宋_GB2312" w:cs="仿宋"/>
          <w:highlight w:val="none"/>
          <w:lang w:val="zh-CN"/>
        </w:rPr>
      </w:pPr>
    </w:p>
    <w:p w14:paraId="23A5B4C4">
      <w:pPr>
        <w:rPr>
          <w:rFonts w:ascii="仿宋_GB2312" w:hAnsi="仿宋" w:eastAsia="仿宋_GB2312" w:cs="仿宋"/>
          <w:highlight w:val="none"/>
        </w:rPr>
      </w:pPr>
    </w:p>
    <w:p w14:paraId="7E481EA1">
      <w:pPr>
        <w:rPr>
          <w:rFonts w:ascii="仿宋_GB2312" w:hAnsi="仿宋" w:eastAsia="仿宋_GB2312" w:cs="仿宋"/>
          <w:highlight w:val="none"/>
        </w:rPr>
      </w:pPr>
    </w:p>
    <w:p w14:paraId="7E59EF5F">
      <w:pPr>
        <w:rPr>
          <w:rFonts w:ascii="仿宋_GB2312" w:hAnsi="仿宋" w:eastAsia="仿宋_GB2312" w:cs="仿宋"/>
          <w:highlight w:val="none"/>
        </w:rPr>
      </w:pPr>
    </w:p>
    <w:p w14:paraId="79436701">
      <w:pPr>
        <w:rPr>
          <w:rFonts w:ascii="仿宋_GB2312" w:hAnsi="仿宋" w:eastAsia="仿宋_GB2312" w:cs="仿宋"/>
          <w:highlight w:val="none"/>
        </w:rPr>
      </w:pPr>
    </w:p>
    <w:p w14:paraId="4CBD8119">
      <w:pPr>
        <w:rPr>
          <w:rFonts w:ascii="仿宋_GB2312" w:hAnsi="仿宋" w:eastAsia="仿宋_GB2312" w:cs="仿宋"/>
          <w:highlight w:val="none"/>
        </w:rPr>
      </w:pPr>
    </w:p>
    <w:p w14:paraId="06846CD9">
      <w:pPr>
        <w:rPr>
          <w:rFonts w:ascii="仿宋_GB2312" w:hAnsi="仿宋" w:eastAsia="仿宋_GB2312" w:cs="仿宋"/>
          <w:highlight w:val="none"/>
        </w:rPr>
      </w:pPr>
    </w:p>
    <w:p w14:paraId="1404632E">
      <w:pPr>
        <w:rPr>
          <w:rFonts w:ascii="仿宋_GB2312" w:hAnsi="仿宋" w:eastAsia="仿宋_GB2312" w:cs="仿宋"/>
          <w:highlight w:val="none"/>
        </w:rPr>
      </w:pPr>
    </w:p>
    <w:p w14:paraId="48DA4B8F">
      <w:pPr>
        <w:rPr>
          <w:rFonts w:ascii="仿宋_GB2312" w:hAnsi="仿宋" w:eastAsia="仿宋_GB2312" w:cs="仿宋"/>
          <w:highlight w:val="none"/>
        </w:rPr>
      </w:pPr>
    </w:p>
    <w:p w14:paraId="02CEF89B">
      <w:pPr>
        <w:rPr>
          <w:rFonts w:ascii="仿宋_GB2312" w:hAnsi="仿宋" w:eastAsia="仿宋_GB2312" w:cs="仿宋"/>
          <w:highlight w:val="none"/>
        </w:rPr>
      </w:pPr>
    </w:p>
    <w:p w14:paraId="084C0FB7">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4ACF7B33">
      <w:pPr>
        <w:snapToGrid w:val="0"/>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kern w:val="0"/>
          <w:sz w:val="32"/>
          <w:szCs w:val="32"/>
          <w:highlight w:val="none"/>
        </w:rPr>
        <w:t>一、投标</w:t>
      </w:r>
      <w:r>
        <w:rPr>
          <w:rFonts w:hint="eastAsia" w:ascii="仿宋_GB2312" w:hAnsi="仿宋" w:eastAsia="仿宋_GB2312" w:cs="仿宋"/>
          <w:b/>
          <w:sz w:val="32"/>
          <w:szCs w:val="32"/>
          <w:highlight w:val="none"/>
        </w:rPr>
        <w:t>函</w:t>
      </w:r>
    </w:p>
    <w:p w14:paraId="3C9AA658">
      <w:pPr>
        <w:adjustRightInd w:val="0"/>
        <w:snapToGrid w:val="0"/>
        <w:spacing w:line="360" w:lineRule="exact"/>
        <w:rPr>
          <w:rFonts w:ascii="仿宋_GB2312" w:hAnsi="仿宋" w:eastAsia="仿宋_GB2312" w:cs="仿宋"/>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sz w:val="24"/>
          <w:highlight w:val="none"/>
        </w:rPr>
        <w:t>：</w:t>
      </w:r>
    </w:p>
    <w:p w14:paraId="558B5AB0">
      <w:pPr>
        <w:adjustRightInd w:val="0"/>
        <w:snapToGrid w:val="0"/>
        <w:spacing w:line="360" w:lineRule="exact"/>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我方参加你方组织的（项目名称）【招标编号：（采购编号）】招标的有关活动，并对此项目进行投标。为此：</w:t>
      </w:r>
    </w:p>
    <w:p w14:paraId="5578B096">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1、我方承诺投标有效期从提交投标文件的截止之日起</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天（不少于90天）</w:t>
      </w:r>
      <w:r>
        <w:rPr>
          <w:rFonts w:hint="eastAsia" w:ascii="仿宋_GB2312" w:hAnsi="仿宋" w:eastAsia="仿宋_GB2312" w:cs="仿宋"/>
          <w:highlight w:val="none"/>
        </w:rPr>
        <w:t>，</w:t>
      </w:r>
      <w:r>
        <w:rPr>
          <w:rFonts w:hint="eastAsia" w:ascii="仿宋_GB2312" w:hAnsi="仿宋" w:eastAsia="仿宋_GB2312" w:cs="仿宋"/>
          <w:sz w:val="24"/>
          <w:highlight w:val="none"/>
        </w:rPr>
        <w:t>本投标文件在投标有效期满之前均具有约束力。</w:t>
      </w:r>
    </w:p>
    <w:p w14:paraId="2B9246DD">
      <w:pPr>
        <w:adjustRightInd w:val="0"/>
        <w:snapToGrid w:val="0"/>
        <w:spacing w:line="360" w:lineRule="exact"/>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2、我方的投标文件包括以下内容：</w:t>
      </w:r>
    </w:p>
    <w:p w14:paraId="3C66C98B">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2.1资格文件：</w:t>
      </w:r>
    </w:p>
    <w:p w14:paraId="79017AF3">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2.1.1符合参加政府采购活动应当具备的一般条件的承诺函；</w:t>
      </w:r>
    </w:p>
    <w:p w14:paraId="0D5B04B0">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2.1.2联合协议；（如果有)</w:t>
      </w:r>
    </w:p>
    <w:p w14:paraId="39F2DC09">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2.1.3落实政府采购政策需满足的资格要求</w:t>
      </w:r>
      <w:r>
        <w:rPr>
          <w:rFonts w:hint="eastAsia" w:ascii="仿宋_GB2312" w:hAnsi="仿宋" w:eastAsia="仿宋_GB2312" w:cs="仿宋"/>
          <w:bCs/>
          <w:sz w:val="24"/>
          <w:highlight w:val="none"/>
        </w:rPr>
        <w:t>；（提供中小企业声明函）</w:t>
      </w:r>
    </w:p>
    <w:p w14:paraId="2177EFEC">
      <w:pPr>
        <w:adjustRightInd w:val="0"/>
        <w:snapToGrid w:val="0"/>
        <w:spacing w:line="360" w:lineRule="exact"/>
        <w:ind w:left="420" w:leftChars="200" w:firstLine="480" w:firstLineChars="200"/>
        <w:rPr>
          <w:rFonts w:hint="eastAsia" w:ascii="仿宋_GB2312" w:hAnsi="仿宋" w:eastAsia="仿宋_GB2312" w:cs="仿宋"/>
          <w:bCs/>
          <w:sz w:val="24"/>
          <w:highlight w:val="none"/>
          <w:lang w:eastAsia="zh-CN"/>
        </w:rPr>
      </w:pPr>
      <w:r>
        <w:rPr>
          <w:rFonts w:hint="eastAsia" w:ascii="仿宋_GB2312" w:hAnsi="仿宋" w:eastAsia="仿宋_GB2312" w:cs="仿宋"/>
          <w:sz w:val="24"/>
          <w:highlight w:val="none"/>
        </w:rPr>
        <w:t>2.1.4本项目的特定资格要求</w:t>
      </w:r>
      <w:r>
        <w:rPr>
          <w:rFonts w:hint="eastAsia" w:ascii="仿宋_GB2312" w:hAnsi="仿宋" w:eastAsia="仿宋_GB2312" w:cs="仿宋"/>
          <w:bCs/>
          <w:sz w:val="24"/>
          <w:highlight w:val="none"/>
        </w:rPr>
        <w:t>。</w:t>
      </w:r>
      <w:r>
        <w:rPr>
          <w:rFonts w:hint="eastAsia" w:ascii="仿宋_GB2312" w:hAnsi="仿宋" w:eastAsia="仿宋_GB2312" w:cs="仿宋"/>
          <w:bCs/>
          <w:sz w:val="24"/>
          <w:highlight w:val="none"/>
          <w:lang w:eastAsia="zh-CN"/>
        </w:rPr>
        <w:t>（具有机电工程施工总承包三级及以上或城市及道路照明工程专业承包三级及以上资质，且具有承装（修、试）电力设施许可证）</w:t>
      </w:r>
    </w:p>
    <w:p w14:paraId="2DBE72A3">
      <w:pPr>
        <w:adjustRightInd w:val="0"/>
        <w:snapToGrid w:val="0"/>
        <w:spacing w:line="360" w:lineRule="exact"/>
        <w:ind w:left="210" w:leftChars="100"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 xml:space="preserve"> </w:t>
      </w:r>
      <w:r>
        <w:rPr>
          <w:rFonts w:hint="eastAsia" w:ascii="仿宋_GB2312" w:hAnsi="仿宋" w:eastAsia="仿宋_GB2312" w:cs="仿宋"/>
          <w:sz w:val="24"/>
          <w:highlight w:val="none"/>
        </w:rPr>
        <w:t>商务技术</w:t>
      </w:r>
      <w:r>
        <w:rPr>
          <w:rFonts w:hint="eastAsia" w:ascii="仿宋_GB2312" w:hAnsi="仿宋" w:eastAsia="仿宋_GB2312" w:cs="仿宋"/>
          <w:sz w:val="24"/>
          <w:highlight w:val="none"/>
          <w:lang w:val="zh-CN"/>
        </w:rPr>
        <w:t>文件：</w:t>
      </w:r>
    </w:p>
    <w:p w14:paraId="53649592">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2.2.1投标函；</w:t>
      </w:r>
      <w:r>
        <w:rPr>
          <w:rFonts w:hint="eastAsia" w:ascii="仿宋_GB2312" w:hAnsi="仿宋" w:eastAsia="仿宋_GB2312" w:cs="仿宋"/>
          <w:sz w:val="24"/>
          <w:highlight w:val="none"/>
          <w:lang w:val="zh-CN"/>
        </w:rPr>
        <w:t xml:space="preserve"> </w:t>
      </w:r>
    </w:p>
    <w:p w14:paraId="76F5BDD7">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2.2.2授权委托书或法定代表人（单位负责人）身份证明，</w:t>
      </w:r>
      <w:r>
        <w:rPr>
          <w:rFonts w:hint="eastAsia" w:ascii="仿宋_GB2312" w:hAnsi="仿宋" w:eastAsia="仿宋_GB2312" w:cs="仿宋"/>
          <w:bCs/>
          <w:sz w:val="24"/>
          <w:highlight w:val="none"/>
        </w:rPr>
        <w:t>以及为授权代表缴纳、距投标截止时间3个月内任意时间出具的社保证明材料</w:t>
      </w:r>
      <w:r>
        <w:rPr>
          <w:rFonts w:hint="eastAsia" w:ascii="仿宋_GB2312" w:hAnsi="仿宋" w:eastAsia="仿宋_GB2312" w:cs="仿宋"/>
          <w:sz w:val="24"/>
          <w:highlight w:val="none"/>
        </w:rPr>
        <w:t>；</w:t>
      </w:r>
    </w:p>
    <w:p w14:paraId="20C5EE3A">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2.2.3分包意向协议；（</w:t>
      </w:r>
      <w:r>
        <w:rPr>
          <w:rFonts w:hint="eastAsia" w:ascii="仿宋_GB2312" w:hAnsi="仿宋" w:eastAsia="仿宋_GB2312" w:cs="仿宋"/>
          <w:bCs/>
          <w:sz w:val="24"/>
          <w:highlight w:val="none"/>
        </w:rPr>
        <w:t>如果有</w:t>
      </w:r>
      <w:r>
        <w:rPr>
          <w:rFonts w:hint="eastAsia" w:ascii="仿宋_GB2312" w:hAnsi="仿宋" w:eastAsia="仿宋_GB2312" w:cs="仿宋"/>
          <w:sz w:val="24"/>
          <w:highlight w:val="none"/>
        </w:rPr>
        <w:t>）</w:t>
      </w:r>
    </w:p>
    <w:p w14:paraId="799B20DF">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2.2.4符合性审查资料；</w:t>
      </w:r>
    </w:p>
    <w:p w14:paraId="15B33E46">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2.2.5评标标准相应的商务技术资料；</w:t>
      </w:r>
    </w:p>
    <w:p w14:paraId="70CA9F58">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2.2.6投标标的清单；</w:t>
      </w:r>
    </w:p>
    <w:p w14:paraId="50F65866">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2.2.7商务技术偏离表；</w:t>
      </w:r>
    </w:p>
    <w:p w14:paraId="434AA5AB">
      <w:pPr>
        <w:adjustRightInd w:val="0"/>
        <w:snapToGrid w:val="0"/>
        <w:spacing w:line="360" w:lineRule="exact"/>
        <w:ind w:left="420" w:leftChars="200"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8</w:t>
      </w:r>
      <w:r>
        <w:rPr>
          <w:rFonts w:hint="eastAsia" w:ascii="仿宋_GB2312" w:hAnsi="仿宋" w:eastAsia="仿宋_GB2312" w:cs="仿宋"/>
          <w:sz w:val="24"/>
          <w:highlight w:val="none"/>
          <w:lang w:val="zh-CN"/>
        </w:rPr>
        <w:t>政府采购供应商廉洁自律承诺书；</w:t>
      </w:r>
    </w:p>
    <w:p w14:paraId="260CFE4F">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w:t>
      </w:r>
      <w:r>
        <w:rPr>
          <w:rFonts w:hint="eastAsia" w:ascii="仿宋_GB2312" w:hAnsi="仿宋" w:eastAsia="仿宋_GB2312" w:cs="仿宋"/>
          <w:sz w:val="24"/>
          <w:highlight w:val="none"/>
          <w:lang w:val="zh-CN"/>
        </w:rPr>
        <w:t>.</w:t>
      </w:r>
      <w:r>
        <w:rPr>
          <w:rFonts w:hint="eastAsia" w:ascii="仿宋_GB2312" w:hAnsi="仿宋" w:eastAsia="仿宋_GB2312" w:cs="仿宋"/>
          <w:sz w:val="24"/>
          <w:highlight w:val="none"/>
        </w:rPr>
        <w:t>3报价文件</w:t>
      </w:r>
    </w:p>
    <w:p w14:paraId="784AE885">
      <w:pPr>
        <w:adjustRightInd w:val="0"/>
        <w:snapToGrid w:val="0"/>
        <w:spacing w:line="40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2.3.1开标一览表（报价表）；</w:t>
      </w:r>
    </w:p>
    <w:p w14:paraId="52D2E822">
      <w:pPr>
        <w:adjustRightInd w:val="0"/>
        <w:snapToGrid w:val="0"/>
        <w:spacing w:line="360" w:lineRule="exact"/>
        <w:ind w:left="420" w:leftChars="2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2.3.2报价明细表。（自拟）</w:t>
      </w:r>
    </w:p>
    <w:p w14:paraId="580FF502">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3、我方承诺除商务技术偏离表列出的偏离外，我方响应招标文件的全部要求。</w:t>
      </w:r>
    </w:p>
    <w:p w14:paraId="02976138">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4、如我方中标，我方承诺：</w:t>
      </w:r>
    </w:p>
    <w:p w14:paraId="63235849">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4.1在收到中标通知书后，在中标通知书规定的期限内与你方签订合同； </w:t>
      </w:r>
    </w:p>
    <w:p w14:paraId="0436F430">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4.2在签订合同时不向你方提出附加条件； </w:t>
      </w:r>
    </w:p>
    <w:p w14:paraId="3BB83D30">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4.3按照招标文件要求提交履约保证金； </w:t>
      </w:r>
    </w:p>
    <w:p w14:paraId="2F913B04">
      <w:pPr>
        <w:adjustRightInd w:val="0"/>
        <w:snapToGrid w:val="0"/>
        <w:spacing w:line="360" w:lineRule="exact"/>
        <w:ind w:left="210" w:leftChars="100"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 xml:space="preserve">4.4在合同约定的期限内完成合同规定的全部义务。 </w:t>
      </w:r>
    </w:p>
    <w:p w14:paraId="2D3339CE">
      <w:pPr>
        <w:adjustRightInd w:val="0"/>
        <w:snapToGrid w:val="0"/>
        <w:spacing w:line="360" w:lineRule="exact"/>
        <w:ind w:firstLine="420"/>
        <w:rPr>
          <w:rFonts w:ascii="仿宋_GB2312" w:hAnsi="仿宋" w:eastAsia="仿宋_GB2312" w:cs="仿宋"/>
          <w:sz w:val="24"/>
          <w:highlight w:val="none"/>
        </w:rPr>
      </w:pPr>
      <w:r>
        <w:rPr>
          <w:rFonts w:hint="eastAsia" w:ascii="仿宋_GB2312" w:hAnsi="仿宋" w:eastAsia="仿宋_GB2312" w:cs="仿宋"/>
          <w:sz w:val="24"/>
          <w:highlight w:val="none"/>
        </w:rPr>
        <w:t>5、其他补充说明:</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p>
    <w:p w14:paraId="59640A98">
      <w:pPr>
        <w:adjustRightInd w:val="0"/>
        <w:snapToGrid w:val="0"/>
        <w:spacing w:line="360" w:lineRule="exact"/>
        <w:ind w:firstLine="3600" w:firstLineChars="1500"/>
        <w:rPr>
          <w:rFonts w:ascii="仿宋_GB2312" w:hAnsi="仿宋" w:eastAsia="仿宋_GB2312" w:cs="仿宋"/>
          <w:sz w:val="24"/>
          <w:highlight w:val="none"/>
        </w:rPr>
      </w:pPr>
    </w:p>
    <w:p w14:paraId="26D6C6D5">
      <w:pPr>
        <w:adjustRightInd w:val="0"/>
        <w:snapToGrid w:val="0"/>
        <w:spacing w:line="360" w:lineRule="exact"/>
        <w:ind w:firstLine="3600" w:firstLineChars="1500"/>
        <w:rPr>
          <w:rFonts w:ascii="仿宋_GB2312" w:hAnsi="仿宋" w:eastAsia="仿宋_GB2312" w:cs="仿宋"/>
          <w:sz w:val="24"/>
          <w:highlight w:val="none"/>
        </w:rPr>
      </w:pPr>
      <w:r>
        <w:rPr>
          <w:rFonts w:hint="eastAsia" w:ascii="仿宋_GB2312" w:hAnsi="仿宋" w:eastAsia="仿宋_GB2312" w:cs="仿宋"/>
          <w:sz w:val="24"/>
          <w:highlight w:val="none"/>
        </w:rPr>
        <w:t xml:space="preserve">投标人名称（电子签名）：                          </w:t>
      </w:r>
    </w:p>
    <w:p w14:paraId="057797EA">
      <w:pPr>
        <w:adjustRightInd w:val="0"/>
        <w:snapToGrid w:val="0"/>
        <w:spacing w:line="360" w:lineRule="exact"/>
        <w:jc w:val="center"/>
        <w:rPr>
          <w:rFonts w:ascii="仿宋_GB2312" w:hAnsi="仿宋" w:eastAsia="仿宋_GB2312" w:cs="仿宋"/>
          <w:kern w:val="0"/>
          <w:sz w:val="24"/>
          <w:highlight w:val="none"/>
          <w:u w:val="single"/>
          <w:lang w:val="zh-CN"/>
        </w:rPr>
      </w:pPr>
      <w:r>
        <w:rPr>
          <w:rFonts w:hint="eastAsia" w:ascii="仿宋_GB2312" w:hAnsi="仿宋" w:eastAsia="仿宋_GB2312" w:cs="仿宋"/>
          <w:sz w:val="24"/>
          <w:highlight w:val="none"/>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5749D4B0">
      <w:pPr>
        <w:spacing w:line="360" w:lineRule="auto"/>
        <w:ind w:right="420"/>
        <w:rPr>
          <w:rFonts w:ascii="仿宋_GB2312" w:hAnsi="仿宋" w:eastAsia="仿宋_GB2312" w:cs="仿宋"/>
          <w:sz w:val="24"/>
          <w:highlight w:val="none"/>
        </w:rPr>
      </w:pPr>
    </w:p>
    <w:p w14:paraId="1914B06E">
      <w:pP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br w:type="page"/>
      </w:r>
    </w:p>
    <w:p w14:paraId="083002DC">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二、授权委托书或法定代表人（单位负责人、自然人本人）身份证明</w:t>
      </w:r>
    </w:p>
    <w:p w14:paraId="02B0A9AE">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                                </w:t>
      </w:r>
    </w:p>
    <w:p w14:paraId="7BB206C8">
      <w:pPr>
        <w:snapToGrid w:val="0"/>
        <w:spacing w:line="360" w:lineRule="auto"/>
        <w:jc w:val="center"/>
        <w:rPr>
          <w:rFonts w:ascii="仿宋_GB2312" w:hAnsi="仿宋" w:eastAsia="仿宋_GB2312" w:cs="仿宋"/>
          <w:highlight w:val="none"/>
        </w:rPr>
      </w:pPr>
      <w:r>
        <w:rPr>
          <w:rFonts w:hint="eastAsia" w:ascii="仿宋_GB2312" w:hAnsi="仿宋" w:eastAsia="仿宋_GB2312" w:cs="仿宋"/>
          <w:b/>
          <w:kern w:val="0"/>
          <w:sz w:val="32"/>
          <w:szCs w:val="32"/>
          <w:highlight w:val="none"/>
          <w:lang w:val="zh-CN"/>
        </w:rPr>
        <w:t>授权委托书（适用于非联合体投标）</w:t>
      </w:r>
    </w:p>
    <w:p w14:paraId="0FF47C75">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kern w:val="0"/>
          <w:sz w:val="24"/>
          <w:highlight w:val="none"/>
          <w:lang w:val="zh-CN"/>
        </w:rPr>
        <w:t>：</w:t>
      </w:r>
    </w:p>
    <w:p w14:paraId="52C1A98E">
      <w:pPr>
        <w:snapToGrid w:val="0"/>
        <w:spacing w:line="360" w:lineRule="auto"/>
        <w:ind w:firstLine="576"/>
        <w:rPr>
          <w:rFonts w:ascii="仿宋_GB2312" w:hAnsi="仿宋" w:eastAsia="仿宋_GB2312" w:cs="仿宋"/>
          <w:kern w:val="0"/>
          <w:sz w:val="24"/>
          <w:highlight w:val="none"/>
        </w:rPr>
      </w:pPr>
      <w:r>
        <w:rPr>
          <w:rFonts w:hint="eastAsia" w:ascii="仿宋_GB2312" w:hAnsi="仿宋" w:eastAsia="仿宋_GB2312" w:cs="仿宋"/>
          <w:kern w:val="0"/>
          <w:sz w:val="24"/>
          <w:highlight w:val="none"/>
        </w:rPr>
        <w:t>现</w:t>
      </w:r>
      <w:r>
        <w:rPr>
          <w:rFonts w:hint="eastAsia" w:ascii="仿宋_GB2312" w:hAnsi="仿宋" w:eastAsia="仿宋_GB2312" w:cs="仿宋"/>
          <w:kern w:val="0"/>
          <w:sz w:val="24"/>
          <w:highlight w:val="none"/>
          <w:lang w:val="zh-CN"/>
        </w:rPr>
        <w:t>委托</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（姓名）为我方代理人（身份证号码：</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，手机：</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，所在单位：</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），以我方名义处理</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政府采购投标的一切事项，其法律后果由我方承担。</w:t>
      </w:r>
    </w:p>
    <w:p w14:paraId="3CBFFA90">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委托期限</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lang w:val="zh-CN"/>
        </w:rPr>
        <w:t>自</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日起至</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日止。</w:t>
      </w:r>
    </w:p>
    <w:p w14:paraId="139BDED3">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特此告知。</w:t>
      </w:r>
    </w:p>
    <w:p w14:paraId="05C458C5">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 xml:space="preserve">                                                 投标人名称(电子签名)：</w:t>
      </w:r>
    </w:p>
    <w:p w14:paraId="687CDD97">
      <w:pPr>
        <w:snapToGrid w:val="0"/>
        <w:spacing w:line="360" w:lineRule="auto"/>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签发日期：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7E76C031">
      <w:pPr>
        <w:snapToGrid w:val="0"/>
        <w:spacing w:line="360" w:lineRule="auto"/>
        <w:rPr>
          <w:rFonts w:ascii="仿宋_GB2312" w:hAnsi="仿宋" w:eastAsia="仿宋_GB2312" w:cs="仿宋"/>
          <w:sz w:val="24"/>
          <w:highlight w:val="none"/>
        </w:rPr>
      </w:pPr>
    </w:p>
    <w:p w14:paraId="0F5FC3CF">
      <w:pPr>
        <w:snapToGrid w:val="0"/>
        <w:spacing w:line="360" w:lineRule="auto"/>
        <w:rPr>
          <w:rFonts w:ascii="仿宋_GB2312" w:hAnsi="仿宋" w:eastAsia="仿宋_GB2312" w:cs="仿宋"/>
          <w:sz w:val="24"/>
          <w:highlight w:val="none"/>
        </w:rPr>
      </w:pPr>
    </w:p>
    <w:p w14:paraId="0903928D">
      <w:pPr>
        <w:jc w:val="cente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lang w:val="zh-CN"/>
        </w:rPr>
        <w:t xml:space="preserve">      </w:t>
      </w:r>
      <w:r>
        <w:rPr>
          <w:rFonts w:hint="eastAsia" w:ascii="仿宋_GB2312" w:hAnsi="仿宋" w:eastAsia="仿宋_GB2312" w:cs="仿宋"/>
          <w:b/>
          <w:kern w:val="0"/>
          <w:sz w:val="32"/>
          <w:szCs w:val="32"/>
          <w:highlight w:val="none"/>
        </w:rPr>
        <w:t xml:space="preserve"> </w:t>
      </w:r>
      <w:r>
        <w:rPr>
          <w:rFonts w:hint="eastAsia" w:ascii="仿宋_GB2312" w:hAnsi="仿宋" w:eastAsia="仿宋_GB2312" w:cs="仿宋"/>
          <w:b/>
          <w:kern w:val="0"/>
          <w:sz w:val="32"/>
          <w:szCs w:val="32"/>
          <w:highlight w:val="none"/>
          <w:lang w:val="zh-CN"/>
        </w:rPr>
        <w:t>授权委托书（适用于联合体投标）</w:t>
      </w:r>
    </w:p>
    <w:p w14:paraId="79A64F82">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rPr>
        <w:t>（采购人）、（采购代理机构）</w:t>
      </w:r>
      <w:r>
        <w:rPr>
          <w:rFonts w:hint="eastAsia" w:ascii="仿宋_GB2312" w:hAnsi="仿宋" w:eastAsia="仿宋_GB2312" w:cs="仿宋"/>
          <w:kern w:val="0"/>
          <w:sz w:val="24"/>
          <w:highlight w:val="none"/>
          <w:lang w:val="zh-CN"/>
        </w:rPr>
        <w:t>：</w:t>
      </w:r>
    </w:p>
    <w:p w14:paraId="01306D0B">
      <w:pPr>
        <w:snapToGrid w:val="0"/>
        <w:spacing w:line="360" w:lineRule="auto"/>
        <w:ind w:firstLine="576"/>
        <w:rPr>
          <w:rFonts w:ascii="仿宋_GB2312" w:hAnsi="仿宋" w:eastAsia="仿宋_GB2312" w:cs="仿宋"/>
          <w:kern w:val="0"/>
          <w:sz w:val="24"/>
          <w:highlight w:val="none"/>
        </w:rPr>
      </w:pPr>
      <w:r>
        <w:rPr>
          <w:rFonts w:hint="eastAsia" w:ascii="仿宋_GB2312" w:hAnsi="仿宋" w:eastAsia="仿宋_GB2312" w:cs="仿宋"/>
          <w:kern w:val="0"/>
          <w:sz w:val="24"/>
          <w:highlight w:val="none"/>
        </w:rPr>
        <w:t>现</w:t>
      </w:r>
      <w:r>
        <w:rPr>
          <w:rFonts w:hint="eastAsia" w:ascii="仿宋_GB2312" w:hAnsi="仿宋" w:eastAsia="仿宋_GB2312" w:cs="仿宋"/>
          <w:kern w:val="0"/>
          <w:sz w:val="24"/>
          <w:highlight w:val="none"/>
          <w:lang w:val="zh-CN"/>
        </w:rPr>
        <w:t>委托</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（姓名）为我方代理人（身份证号码：</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，手机：</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，所在单位：</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），以我方名义处理</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政府采购投标的一切事项，其法律后果由我方承担。</w:t>
      </w:r>
    </w:p>
    <w:p w14:paraId="6BBC9426">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委托期限：</w:t>
      </w:r>
      <w:r>
        <w:rPr>
          <w:rFonts w:hint="eastAsia" w:ascii="仿宋_GB2312" w:hAnsi="仿宋" w:eastAsia="仿宋_GB2312" w:cs="仿宋"/>
          <w:kern w:val="0"/>
          <w:sz w:val="24"/>
          <w:highlight w:val="none"/>
          <w:lang w:val="zh-CN"/>
        </w:rPr>
        <w:t>自</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日起至</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lang w:val="zh-CN"/>
        </w:rPr>
        <w:t>日止。</w:t>
      </w:r>
    </w:p>
    <w:p w14:paraId="5764067A">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 xml:space="preserve">    </w:t>
      </w:r>
      <w:r>
        <w:rPr>
          <w:rFonts w:hint="eastAsia" w:ascii="仿宋_GB2312" w:hAnsi="仿宋" w:eastAsia="仿宋_GB2312" w:cs="仿宋"/>
          <w:kern w:val="0"/>
          <w:sz w:val="24"/>
          <w:highlight w:val="none"/>
          <w:lang w:val="zh-CN"/>
        </w:rPr>
        <w:t>特此告知。</w:t>
      </w:r>
    </w:p>
    <w:p w14:paraId="54047BE6">
      <w:pPr>
        <w:jc w:val="center"/>
        <w:rPr>
          <w:rFonts w:ascii="仿宋_GB2312" w:hAnsi="仿宋" w:eastAsia="仿宋_GB2312" w:cs="仿宋"/>
          <w:b/>
          <w:kern w:val="0"/>
          <w:sz w:val="32"/>
          <w:szCs w:val="32"/>
          <w:highlight w:val="none"/>
        </w:rPr>
      </w:pPr>
    </w:p>
    <w:p w14:paraId="5E77C097">
      <w:pPr>
        <w:jc w:val="center"/>
        <w:rPr>
          <w:rFonts w:ascii="仿宋_GB2312" w:hAnsi="仿宋" w:eastAsia="仿宋_GB2312" w:cs="仿宋"/>
          <w:b/>
          <w:kern w:val="0"/>
          <w:sz w:val="32"/>
          <w:szCs w:val="32"/>
          <w:highlight w:val="none"/>
        </w:rPr>
      </w:pPr>
    </w:p>
    <w:p w14:paraId="22DF66B9">
      <w:pPr>
        <w:rPr>
          <w:rFonts w:ascii="仿宋_GB2312" w:hAnsi="仿宋" w:eastAsia="仿宋_GB2312" w:cs="仿宋"/>
          <w:highlight w:val="none"/>
        </w:rPr>
      </w:pPr>
    </w:p>
    <w:p w14:paraId="5CAD2562">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47336938">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4A9C4A9F">
      <w:pPr>
        <w:snapToGrid w:val="0"/>
        <w:spacing w:line="360" w:lineRule="auto"/>
        <w:ind w:firstLine="5760" w:firstLineChars="2400"/>
        <w:rPr>
          <w:rFonts w:ascii="仿宋_GB2312" w:hAnsi="仿宋" w:eastAsia="仿宋_GB2312" w:cs="仿宋"/>
          <w:highlight w:val="none"/>
        </w:rPr>
      </w:pPr>
      <w:r>
        <w:rPr>
          <w:rFonts w:hint="eastAsia" w:ascii="仿宋_GB2312" w:hAnsi="仿宋" w:eastAsia="仿宋_GB2312" w:cs="仿宋"/>
          <w:kern w:val="0"/>
          <w:sz w:val="24"/>
          <w:highlight w:val="none"/>
          <w:lang w:val="zh-CN"/>
        </w:rPr>
        <w:t>……</w:t>
      </w:r>
    </w:p>
    <w:p w14:paraId="6CDC0918">
      <w:pPr>
        <w:snapToGrid w:val="0"/>
        <w:spacing w:line="360" w:lineRule="auto"/>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4F4450C4">
      <w:pP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br w:type="page"/>
      </w:r>
    </w:p>
    <w:p w14:paraId="0BC30318">
      <w:pPr>
        <w:autoSpaceDE w:val="0"/>
        <w:autoSpaceDN w:val="0"/>
        <w:spacing w:line="360" w:lineRule="auto"/>
        <w:jc w:val="center"/>
        <w:rPr>
          <w:rFonts w:ascii="仿宋_GB2312" w:hAnsi="仿宋" w:eastAsia="仿宋_GB2312" w:cs="仿宋"/>
          <w:b/>
          <w:sz w:val="24"/>
          <w:highlight w:val="none"/>
        </w:rPr>
      </w:pPr>
      <w:r>
        <w:rPr>
          <w:rFonts w:hint="eastAsia" w:ascii="仿宋_GB2312" w:hAnsi="仿宋" w:eastAsia="仿宋_GB2312" w:cs="仿宋"/>
          <w:b/>
          <w:kern w:val="0"/>
          <w:sz w:val="32"/>
          <w:szCs w:val="32"/>
          <w:highlight w:val="none"/>
          <w:lang w:val="zh-CN"/>
        </w:rPr>
        <w:t>法定代表人、单位负责人或自然人本人</w:t>
      </w:r>
      <w:r>
        <w:rPr>
          <w:rFonts w:hint="eastAsia" w:ascii="仿宋_GB2312" w:hAnsi="仿宋" w:eastAsia="仿宋_GB2312" w:cs="仿宋"/>
          <w:b/>
          <w:sz w:val="30"/>
          <w:szCs w:val="30"/>
          <w:highlight w:val="none"/>
        </w:rPr>
        <w:t>的身份证明（适用于法定代表人、单位负责人或者自然人本人代表投标人参加投标）</w:t>
      </w:r>
    </w:p>
    <w:p w14:paraId="0ACD3281">
      <w:pPr>
        <w:pStyle w:val="197"/>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90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30ACEF16">
            <w:pPr>
              <w:pStyle w:val="197"/>
              <w:adjustRightIn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正面：                                 反面：</w:t>
            </w:r>
          </w:p>
          <w:p w14:paraId="37AC93F5">
            <w:pPr>
              <w:pStyle w:val="197"/>
              <w:adjustRightInd w:val="0"/>
              <w:spacing w:line="360" w:lineRule="auto"/>
              <w:rPr>
                <w:rFonts w:ascii="仿宋_GB2312" w:hAnsi="仿宋" w:eastAsia="仿宋_GB2312" w:cs="仿宋"/>
                <w:bCs/>
                <w:sz w:val="24"/>
                <w:highlight w:val="none"/>
              </w:rPr>
            </w:pPr>
          </w:p>
        </w:tc>
      </w:tr>
    </w:tbl>
    <w:p w14:paraId="54631A27">
      <w:pPr>
        <w:snapToGrid w:val="0"/>
        <w:spacing w:line="360" w:lineRule="auto"/>
        <w:ind w:firstLine="576"/>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w:t>
      </w:r>
    </w:p>
    <w:p w14:paraId="12B39704">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EC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5" w:hRule="atLeast"/>
          <w:jc w:val="center"/>
        </w:trPr>
        <w:tc>
          <w:tcPr>
            <w:tcW w:w="9207" w:type="dxa"/>
          </w:tcPr>
          <w:p w14:paraId="20C81090">
            <w:pPr>
              <w:pStyle w:val="197"/>
              <w:adjustRightInd w:val="0"/>
              <w:spacing w:line="360" w:lineRule="auto"/>
              <w:rPr>
                <w:rFonts w:ascii="仿宋_GB2312" w:hAnsi="仿宋" w:eastAsia="仿宋_GB2312" w:cs="仿宋"/>
                <w:bCs/>
                <w:sz w:val="24"/>
                <w:highlight w:val="none"/>
              </w:rPr>
            </w:pPr>
          </w:p>
        </w:tc>
      </w:tr>
    </w:tbl>
    <w:p w14:paraId="01DAAB7E">
      <w:pPr>
        <w:snapToGrid w:val="0"/>
        <w:spacing w:line="360" w:lineRule="auto"/>
        <w:ind w:firstLine="576"/>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w:t>
      </w:r>
    </w:p>
    <w:p w14:paraId="0C98FE49">
      <w:pPr>
        <w:snapToGrid w:val="0"/>
        <w:spacing w:line="360" w:lineRule="auto"/>
        <w:ind w:firstLine="576"/>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投标人名称(电子签名)：                              </w:t>
      </w:r>
    </w:p>
    <w:p w14:paraId="0EA1B87C">
      <w:pPr>
        <w:spacing w:line="360" w:lineRule="auto"/>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795C3B54">
      <w:pPr>
        <w:jc w:val="center"/>
        <w:rPr>
          <w:rFonts w:ascii="仿宋_GB2312" w:hAnsi="仿宋" w:eastAsia="仿宋_GB2312" w:cs="仿宋"/>
          <w:b/>
          <w:kern w:val="0"/>
          <w:sz w:val="32"/>
          <w:szCs w:val="32"/>
          <w:highlight w:val="none"/>
        </w:rPr>
      </w:pPr>
    </w:p>
    <w:p w14:paraId="53B1197E">
      <w:pPr>
        <w:jc w:val="center"/>
        <w:rPr>
          <w:rFonts w:ascii="仿宋_GB2312" w:hAnsi="仿宋" w:eastAsia="仿宋_GB2312" w:cs="仿宋"/>
          <w:b/>
          <w:kern w:val="0"/>
          <w:sz w:val="32"/>
          <w:szCs w:val="32"/>
          <w:highlight w:val="none"/>
        </w:rPr>
      </w:pPr>
    </w:p>
    <w:p w14:paraId="43D9040A">
      <w:pPr>
        <w:jc w:val="center"/>
        <w:rPr>
          <w:rFonts w:ascii="仿宋_GB2312" w:hAnsi="仿宋" w:eastAsia="仿宋_GB2312" w:cs="仿宋"/>
          <w:b/>
          <w:kern w:val="0"/>
          <w:sz w:val="32"/>
          <w:szCs w:val="32"/>
          <w:highlight w:val="none"/>
        </w:rPr>
      </w:pPr>
    </w:p>
    <w:p w14:paraId="43EC6330">
      <w:pPr>
        <w:jc w:val="center"/>
        <w:rPr>
          <w:rFonts w:ascii="仿宋_GB2312" w:hAnsi="仿宋" w:eastAsia="仿宋_GB2312" w:cs="仿宋"/>
          <w:b/>
          <w:kern w:val="0"/>
          <w:sz w:val="32"/>
          <w:szCs w:val="32"/>
          <w:highlight w:val="none"/>
        </w:rPr>
      </w:pPr>
    </w:p>
    <w:p w14:paraId="03761B19">
      <w:pPr>
        <w:jc w:val="center"/>
        <w:rPr>
          <w:rFonts w:ascii="仿宋_GB2312" w:hAnsi="仿宋" w:eastAsia="仿宋_GB2312" w:cs="仿宋"/>
          <w:b/>
          <w:kern w:val="0"/>
          <w:sz w:val="32"/>
          <w:szCs w:val="32"/>
          <w:highlight w:val="none"/>
        </w:rPr>
      </w:pPr>
    </w:p>
    <w:p w14:paraId="57743412">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三、分包意向协议（如果有）</w:t>
      </w:r>
    </w:p>
    <w:p w14:paraId="3EAB7C20">
      <w:pPr>
        <w:widowControl/>
        <w:spacing w:line="360" w:lineRule="auto"/>
        <w:ind w:firstLine="482" w:firstLineChars="200"/>
        <w:jc w:val="left"/>
        <w:rPr>
          <w:rFonts w:ascii="仿宋_GB2312" w:hAnsi="仿宋" w:eastAsia="仿宋_GB2312" w:cs="仿宋"/>
          <w:sz w:val="24"/>
          <w:highlight w:val="none"/>
        </w:rPr>
      </w:pPr>
      <w:r>
        <w:rPr>
          <w:rFonts w:hint="eastAsia" w:ascii="仿宋_GB2312" w:hAnsi="仿宋" w:eastAsia="仿宋_GB2312" w:cs="仿宋"/>
          <w:b/>
          <w:sz w:val="24"/>
          <w:highlight w:val="none"/>
        </w:rPr>
        <w:t>[中标后以分包方式履行合同的，提供分包意向协议(附件6)；采购人不同意分包或者投标人中标后不以分包方式履行合同的，则不需要提供。]</w:t>
      </w:r>
    </w:p>
    <w:p w14:paraId="7C48BAD5">
      <w:pP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br w:type="page"/>
      </w:r>
    </w:p>
    <w:p w14:paraId="5F0A4EEC">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四、符合性审查资料</w:t>
      </w:r>
    </w:p>
    <w:p w14:paraId="17830CF1">
      <w:pPr>
        <w:jc w:val="center"/>
        <w:rPr>
          <w:rFonts w:ascii="仿宋_GB2312" w:hAnsi="仿宋" w:eastAsia="仿宋_GB2312" w:cs="仿宋"/>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C46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43DCA1">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序号</w:t>
            </w:r>
          </w:p>
        </w:tc>
        <w:tc>
          <w:tcPr>
            <w:tcW w:w="4245" w:type="dxa"/>
            <w:vAlign w:val="center"/>
          </w:tcPr>
          <w:p w14:paraId="78D89D4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实质性要求</w:t>
            </w:r>
          </w:p>
        </w:tc>
        <w:tc>
          <w:tcPr>
            <w:tcW w:w="2551" w:type="dxa"/>
            <w:vAlign w:val="center"/>
          </w:tcPr>
          <w:p w14:paraId="0BBBC708">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需要提供的符合性审查资料</w:t>
            </w:r>
          </w:p>
        </w:tc>
        <w:tc>
          <w:tcPr>
            <w:tcW w:w="1672" w:type="dxa"/>
            <w:vAlign w:val="center"/>
          </w:tcPr>
          <w:p w14:paraId="6060A8F6">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投标文件中的页码位置</w:t>
            </w:r>
          </w:p>
        </w:tc>
      </w:tr>
      <w:tr w14:paraId="354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C6C72E">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Cs/>
                <w:sz w:val="24"/>
                <w:highlight w:val="none"/>
              </w:rPr>
              <w:t>1</w:t>
            </w:r>
          </w:p>
        </w:tc>
        <w:tc>
          <w:tcPr>
            <w:tcW w:w="4245" w:type="dxa"/>
            <w:vAlign w:val="center"/>
          </w:tcPr>
          <w:p w14:paraId="41DFCA36">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投标文件按照招标文件要求签署、盖章。</w:t>
            </w:r>
          </w:p>
        </w:tc>
        <w:tc>
          <w:tcPr>
            <w:tcW w:w="2551" w:type="dxa"/>
            <w:vAlign w:val="center"/>
          </w:tcPr>
          <w:p w14:paraId="1A36679B">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需要使用电子签名或者签字盖章的投标文件的组成部分</w:t>
            </w:r>
          </w:p>
        </w:tc>
        <w:tc>
          <w:tcPr>
            <w:tcW w:w="1672" w:type="dxa"/>
            <w:vAlign w:val="center"/>
          </w:tcPr>
          <w:p w14:paraId="1417B440">
            <w:pPr>
              <w:adjustRightInd w:val="0"/>
              <w:snapToGrid w:val="0"/>
              <w:spacing w:line="400" w:lineRule="exact"/>
              <w:rPr>
                <w:rFonts w:ascii="仿宋_GB2312" w:hAnsi="仿宋" w:eastAsia="仿宋_GB2312" w:cs="仿宋"/>
                <w:sz w:val="24"/>
                <w:highlight w:val="none"/>
              </w:rPr>
            </w:pPr>
          </w:p>
          <w:p w14:paraId="2C4B3311">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见投标文件</w:t>
            </w:r>
          </w:p>
          <w:p w14:paraId="69B4D945">
            <w:pPr>
              <w:adjustRightInd w:val="0"/>
              <w:snapToGrid w:val="0"/>
              <w:spacing w:line="400" w:lineRule="exact"/>
              <w:rPr>
                <w:rFonts w:ascii="仿宋_GB2312" w:hAnsi="仿宋" w:eastAsia="仿宋_GB2312" w:cs="仿宋"/>
                <w:highlight w:val="none"/>
              </w:rPr>
            </w:pPr>
            <w:r>
              <w:rPr>
                <w:rFonts w:hint="eastAsia" w:ascii="仿宋_GB2312" w:hAnsi="仿宋" w:eastAsia="仿宋_GB2312" w:cs="仿宋"/>
                <w:sz w:val="24"/>
                <w:highlight w:val="none"/>
              </w:rPr>
              <w:t>第</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页</w:t>
            </w:r>
          </w:p>
        </w:tc>
      </w:tr>
      <w:tr w14:paraId="678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4360A">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Cs/>
                <w:sz w:val="24"/>
                <w:highlight w:val="none"/>
              </w:rPr>
              <w:t>2</w:t>
            </w:r>
          </w:p>
        </w:tc>
        <w:tc>
          <w:tcPr>
            <w:tcW w:w="4245" w:type="dxa"/>
            <w:vAlign w:val="center"/>
          </w:tcPr>
          <w:p w14:paraId="1C30C81B">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投标文件中承诺的投标有效期不少于招标文件中载明的投标有效期。</w:t>
            </w:r>
          </w:p>
        </w:tc>
        <w:tc>
          <w:tcPr>
            <w:tcW w:w="2551" w:type="dxa"/>
            <w:vAlign w:val="center"/>
          </w:tcPr>
          <w:p w14:paraId="5615E8AC">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投标函</w:t>
            </w:r>
          </w:p>
        </w:tc>
        <w:tc>
          <w:tcPr>
            <w:tcW w:w="1672" w:type="dxa"/>
            <w:vAlign w:val="center"/>
          </w:tcPr>
          <w:p w14:paraId="0AA87C76">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见投标文件</w:t>
            </w:r>
          </w:p>
          <w:p w14:paraId="75C689E2">
            <w:pPr>
              <w:adjustRightInd w:val="0"/>
              <w:snapToGrid w:val="0"/>
              <w:spacing w:line="400" w:lineRule="exact"/>
              <w:rPr>
                <w:rFonts w:ascii="仿宋_GB2312" w:hAnsi="仿宋" w:eastAsia="仿宋_GB2312" w:cs="仿宋"/>
                <w:highlight w:val="none"/>
              </w:rPr>
            </w:pPr>
            <w:r>
              <w:rPr>
                <w:rFonts w:hint="eastAsia" w:ascii="仿宋_GB2312" w:hAnsi="仿宋" w:eastAsia="仿宋_GB2312" w:cs="仿宋"/>
                <w:sz w:val="24"/>
                <w:highlight w:val="none"/>
              </w:rPr>
              <w:t>第</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页</w:t>
            </w:r>
          </w:p>
        </w:tc>
      </w:tr>
      <w:tr w14:paraId="42A9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15EFC7">
            <w:pPr>
              <w:adjustRightInd w:val="0"/>
              <w:snapToGrid w:val="0"/>
              <w:spacing w:line="400" w:lineRule="exact"/>
              <w:jc w:val="center"/>
              <w:rPr>
                <w:rFonts w:ascii="仿宋_GB2312" w:hAnsi="仿宋" w:eastAsia="仿宋_GB2312" w:cs="仿宋"/>
                <w:bCs/>
                <w:sz w:val="24"/>
                <w:highlight w:val="none"/>
              </w:rPr>
            </w:pPr>
            <w:r>
              <w:rPr>
                <w:rFonts w:hint="eastAsia" w:ascii="仿宋_GB2312" w:hAnsi="仿宋" w:eastAsia="仿宋_GB2312" w:cs="仿宋"/>
                <w:bCs/>
                <w:sz w:val="24"/>
                <w:highlight w:val="none"/>
              </w:rPr>
              <w:t>3</w:t>
            </w:r>
          </w:p>
        </w:tc>
        <w:tc>
          <w:tcPr>
            <w:tcW w:w="4245" w:type="dxa"/>
            <w:vAlign w:val="center"/>
          </w:tcPr>
          <w:p w14:paraId="495A1073">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sz w:val="24"/>
                <w:highlight w:val="none"/>
              </w:rPr>
              <w:t>投标文件满足招标文件的其它实质性要求。</w:t>
            </w:r>
          </w:p>
        </w:tc>
        <w:tc>
          <w:tcPr>
            <w:tcW w:w="2551" w:type="dxa"/>
            <w:vAlign w:val="center"/>
          </w:tcPr>
          <w:p w14:paraId="6661A501">
            <w:pPr>
              <w:adjustRightInd w:val="0"/>
              <w:snapToGrid w:val="0"/>
              <w:spacing w:line="400" w:lineRule="exact"/>
              <w:rPr>
                <w:rFonts w:ascii="仿宋_GB2312" w:hAnsi="仿宋" w:eastAsia="仿宋_GB2312" w:cs="仿宋"/>
                <w:sz w:val="24"/>
                <w:highlight w:val="none"/>
              </w:rPr>
            </w:pPr>
            <w:r>
              <w:rPr>
                <w:rFonts w:hint="eastAsia" w:ascii="仿宋_GB2312" w:hAnsi="仿宋" w:eastAsia="仿宋_GB2312" w:cs="仿宋"/>
                <w:kern w:val="0"/>
                <w:sz w:val="24"/>
                <w:highlight w:val="none"/>
              </w:rPr>
              <w:t>招标文件其它实质性要求相应的材料（“▲” 系指实质性要求条款，招标文件无其它实质性要求的，无需提供）</w:t>
            </w:r>
          </w:p>
        </w:tc>
        <w:tc>
          <w:tcPr>
            <w:tcW w:w="1672" w:type="dxa"/>
            <w:vAlign w:val="center"/>
          </w:tcPr>
          <w:p w14:paraId="2F6A6C54">
            <w:pPr>
              <w:adjustRightInd w:val="0"/>
              <w:snapToGrid w:val="0"/>
              <w:spacing w:line="400" w:lineRule="exact"/>
              <w:rPr>
                <w:rFonts w:ascii="仿宋_GB2312" w:hAnsi="仿宋" w:eastAsia="仿宋_GB2312" w:cs="仿宋"/>
                <w:highlight w:val="none"/>
              </w:rPr>
            </w:pPr>
          </w:p>
        </w:tc>
      </w:tr>
      <w:tr w14:paraId="7FE3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2BE57">
            <w:pPr>
              <w:adjustRightInd w:val="0"/>
              <w:snapToGrid w:val="0"/>
              <w:spacing w:line="400" w:lineRule="exact"/>
              <w:jc w:val="center"/>
              <w:rPr>
                <w:rFonts w:ascii="仿宋_GB2312" w:hAnsi="仿宋" w:eastAsia="仿宋_GB2312" w:cs="仿宋"/>
                <w:bCs/>
                <w:sz w:val="24"/>
                <w:highlight w:val="none"/>
              </w:rPr>
            </w:pPr>
          </w:p>
        </w:tc>
        <w:tc>
          <w:tcPr>
            <w:tcW w:w="6796" w:type="dxa"/>
            <w:gridSpan w:val="2"/>
            <w:vAlign w:val="center"/>
          </w:tcPr>
          <w:p w14:paraId="7F5E722C">
            <w:pPr>
              <w:pStyle w:val="17"/>
              <w:adjustRightInd w:val="0"/>
              <w:snapToGrid w:val="0"/>
              <w:spacing w:line="360" w:lineRule="auto"/>
              <w:ind w:firstLine="480" w:firstLineChars="200"/>
              <w:rPr>
                <w:rFonts w:ascii="仿宋_GB2312" w:hAnsi="仿宋" w:eastAsia="仿宋_GB2312" w:cs="仿宋"/>
                <w:kern w:val="0"/>
                <w:sz w:val="24"/>
                <w:highlight w:val="none"/>
              </w:rPr>
            </w:pPr>
          </w:p>
        </w:tc>
        <w:tc>
          <w:tcPr>
            <w:tcW w:w="1672" w:type="dxa"/>
            <w:vAlign w:val="center"/>
          </w:tcPr>
          <w:p w14:paraId="1BEE424B">
            <w:pPr>
              <w:adjustRightInd w:val="0"/>
              <w:snapToGrid w:val="0"/>
              <w:spacing w:line="400" w:lineRule="exact"/>
              <w:rPr>
                <w:rFonts w:ascii="仿宋_GB2312" w:hAnsi="仿宋" w:eastAsia="仿宋_GB2312" w:cs="仿宋"/>
                <w:sz w:val="24"/>
                <w:highlight w:val="none"/>
              </w:rPr>
            </w:pPr>
          </w:p>
        </w:tc>
      </w:tr>
      <w:tr w14:paraId="0D4F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58E3C">
            <w:pPr>
              <w:adjustRightInd w:val="0"/>
              <w:snapToGrid w:val="0"/>
              <w:spacing w:line="400" w:lineRule="exact"/>
              <w:jc w:val="center"/>
              <w:rPr>
                <w:rFonts w:ascii="仿宋_GB2312" w:hAnsi="仿宋" w:eastAsia="仿宋_GB2312" w:cs="仿宋"/>
                <w:bCs/>
                <w:sz w:val="24"/>
                <w:highlight w:val="none"/>
              </w:rPr>
            </w:pPr>
          </w:p>
        </w:tc>
        <w:tc>
          <w:tcPr>
            <w:tcW w:w="6796" w:type="dxa"/>
            <w:gridSpan w:val="2"/>
            <w:vAlign w:val="center"/>
          </w:tcPr>
          <w:p w14:paraId="31A50FB8">
            <w:pPr>
              <w:adjustRightInd w:val="0"/>
              <w:snapToGrid w:val="0"/>
              <w:spacing w:line="400" w:lineRule="exact"/>
              <w:rPr>
                <w:rFonts w:ascii="仿宋_GB2312" w:hAnsi="仿宋" w:eastAsia="仿宋_GB2312" w:cs="仿宋"/>
                <w:snapToGrid w:val="0"/>
                <w:kern w:val="0"/>
                <w:sz w:val="24"/>
                <w:highlight w:val="none"/>
              </w:rPr>
            </w:pPr>
          </w:p>
        </w:tc>
        <w:tc>
          <w:tcPr>
            <w:tcW w:w="1672" w:type="dxa"/>
            <w:vAlign w:val="center"/>
          </w:tcPr>
          <w:p w14:paraId="7BB01AC9">
            <w:pPr>
              <w:adjustRightInd w:val="0"/>
              <w:snapToGrid w:val="0"/>
              <w:spacing w:line="400" w:lineRule="exact"/>
              <w:rPr>
                <w:rFonts w:ascii="仿宋_GB2312" w:hAnsi="仿宋" w:eastAsia="仿宋_GB2312" w:cs="仿宋"/>
                <w:sz w:val="24"/>
                <w:highlight w:val="none"/>
              </w:rPr>
            </w:pPr>
          </w:p>
        </w:tc>
      </w:tr>
    </w:tbl>
    <w:p w14:paraId="0F44B16D">
      <w:pPr>
        <w:spacing w:line="360" w:lineRule="auto"/>
        <w:ind w:right="420"/>
        <w:rPr>
          <w:rFonts w:ascii="仿宋_GB2312" w:hAnsi="仿宋" w:eastAsia="仿宋_GB2312" w:cs="仿宋"/>
          <w:sz w:val="24"/>
          <w:highlight w:val="none"/>
        </w:rPr>
      </w:pPr>
    </w:p>
    <w:p w14:paraId="13EF17C1">
      <w:pPr>
        <w:jc w:val="center"/>
        <w:rPr>
          <w:rFonts w:ascii="仿宋_GB2312" w:hAnsi="仿宋" w:eastAsia="仿宋_GB2312" w:cs="仿宋"/>
          <w:b/>
          <w:kern w:val="0"/>
          <w:sz w:val="32"/>
          <w:szCs w:val="32"/>
          <w:highlight w:val="none"/>
        </w:rPr>
      </w:pPr>
    </w:p>
    <w:p w14:paraId="2A09A275">
      <w:pPr>
        <w:rPr>
          <w:rFonts w:ascii="仿宋_GB2312" w:hAnsi="仿宋" w:eastAsia="仿宋_GB2312" w:cs="仿宋"/>
          <w:b/>
          <w:kern w:val="0"/>
          <w:sz w:val="32"/>
          <w:szCs w:val="32"/>
          <w:highlight w:val="none"/>
        </w:rPr>
      </w:pPr>
    </w:p>
    <w:p w14:paraId="1ACD1140">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五、评标标准相应的商务技术资料</w:t>
      </w:r>
    </w:p>
    <w:p w14:paraId="787C13F1">
      <w:pPr>
        <w:snapToGrid w:val="0"/>
        <w:spacing w:line="360" w:lineRule="auto"/>
        <w:jc w:val="left"/>
        <w:rPr>
          <w:rFonts w:ascii="仿宋_GB2312" w:hAnsi="仿宋" w:eastAsia="仿宋_GB2312" w:cs="仿宋"/>
          <w:b/>
          <w:sz w:val="24"/>
          <w:highlight w:val="none"/>
        </w:rPr>
      </w:pPr>
    </w:p>
    <w:p w14:paraId="3861F4E1">
      <w:pPr>
        <w:snapToGrid w:val="0"/>
        <w:spacing w:line="360" w:lineRule="auto"/>
        <w:jc w:val="left"/>
        <w:rPr>
          <w:rFonts w:ascii="仿宋_GB2312" w:hAnsi="仿宋" w:eastAsia="仿宋_GB2312" w:cs="仿宋"/>
          <w:b/>
          <w:sz w:val="24"/>
          <w:highlight w:val="none"/>
        </w:rPr>
      </w:pPr>
      <w:r>
        <w:rPr>
          <w:rFonts w:hint="eastAsia" w:ascii="仿宋_GB2312" w:hAnsi="仿宋" w:eastAsia="仿宋_GB2312" w:cs="仿宋"/>
          <w:b/>
          <w:sz w:val="24"/>
          <w:highlight w:val="none"/>
        </w:rPr>
        <w:t>（按招标文件第四部分评标办法前附表中“投标文件中评标标准相应的商务技术资料目录”提供资料）</w:t>
      </w:r>
    </w:p>
    <w:p w14:paraId="569D18B1">
      <w:pPr>
        <w:jc w:val="center"/>
        <w:rPr>
          <w:rFonts w:ascii="仿宋_GB2312" w:hAnsi="仿宋" w:eastAsia="仿宋_GB2312" w:cs="仿宋"/>
          <w:b/>
          <w:kern w:val="0"/>
          <w:sz w:val="32"/>
          <w:szCs w:val="32"/>
          <w:highlight w:val="none"/>
        </w:rPr>
      </w:pPr>
    </w:p>
    <w:p w14:paraId="69B3CDBA">
      <w:pPr>
        <w:jc w:val="center"/>
        <w:rPr>
          <w:rFonts w:ascii="仿宋_GB2312" w:hAnsi="仿宋" w:eastAsia="仿宋_GB2312" w:cs="仿宋"/>
          <w:b/>
          <w:kern w:val="0"/>
          <w:sz w:val="32"/>
          <w:szCs w:val="32"/>
          <w:highlight w:val="none"/>
        </w:rPr>
      </w:pPr>
    </w:p>
    <w:p w14:paraId="1277C3DC">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74E70831">
      <w:pPr>
        <w:pStyle w:val="31"/>
        <w:rPr>
          <w:rFonts w:ascii="仿宋_GB2312" w:eastAsia="仿宋_GB2312"/>
          <w:highlight w:val="none"/>
        </w:rPr>
      </w:pPr>
    </w:p>
    <w:p w14:paraId="62158707">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E0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5F9DD0">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ECE4AF">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04D692A">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B14F15D">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520371">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63A319">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4BC69BD">
            <w:pPr>
              <w:adjustRightInd w:val="0"/>
              <w:snapToGrid w:val="0"/>
              <w:spacing w:line="400" w:lineRule="exact"/>
              <w:jc w:val="center"/>
              <w:rPr>
                <w:rFonts w:ascii="仿宋_GB2312" w:hAnsi="仿宋" w:eastAsia="仿宋_GB2312" w:cs="仿宋"/>
                <w:b/>
                <w:sz w:val="24"/>
                <w:highlight w:val="none"/>
              </w:rPr>
            </w:pPr>
            <w:r>
              <w:rPr>
                <w:rFonts w:hint="eastAsia" w:ascii="仿宋_GB2312" w:hAnsi="仿宋" w:eastAsia="仿宋_GB2312" w:cs="仿宋"/>
                <w:b/>
                <w:sz w:val="24"/>
                <w:highlight w:val="none"/>
              </w:rPr>
              <w:t>备注（如果有）</w:t>
            </w:r>
          </w:p>
        </w:tc>
      </w:tr>
      <w:tr w14:paraId="32F4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5A31">
            <w:pPr>
              <w:adjustRightInd w:val="0"/>
              <w:snapToGrid w:val="0"/>
              <w:spacing w:line="400" w:lineRule="exact"/>
              <w:jc w:val="center"/>
              <w:rPr>
                <w:rFonts w:ascii="仿宋_GB2312" w:hAnsi="仿宋" w:eastAsia="仿宋_GB2312" w:cs="仿宋"/>
                <w:sz w:val="24"/>
                <w:highlight w:val="none"/>
              </w:rPr>
            </w:pPr>
            <w:r>
              <w:rPr>
                <w:rFonts w:hint="eastAsia" w:ascii="仿宋_GB2312" w:hAnsi="仿宋" w:eastAsia="仿宋_GB2312"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4F5D08">
            <w:pPr>
              <w:adjustRightInd w:val="0"/>
              <w:snapToGrid w:val="0"/>
              <w:spacing w:line="400" w:lineRule="exact"/>
              <w:jc w:val="center"/>
              <w:rPr>
                <w:rFonts w:hint="eastAsia" w:ascii="仿宋_GB2312" w:hAnsi="仿宋" w:eastAsia="仿宋_GB2312" w:cs="仿宋"/>
                <w:sz w:val="24"/>
                <w:highlight w:val="none"/>
                <w:lang w:eastAsia="zh-CN"/>
              </w:rPr>
            </w:pPr>
            <w:r>
              <w:rPr>
                <w:rFonts w:hint="eastAsia" w:ascii="仿宋_GB2312" w:hAnsi="仿宋" w:eastAsia="仿宋_GB2312" w:cs="仿宋"/>
                <w:sz w:val="24"/>
                <w:highlight w:val="none"/>
                <w:lang w:eastAsia="zh-CN"/>
              </w:rPr>
              <w:t>2025-2028年钱塘区特色街区景观灯及其附属设施养护服务项目</w:t>
            </w:r>
          </w:p>
        </w:tc>
        <w:tc>
          <w:tcPr>
            <w:tcW w:w="1114" w:type="dxa"/>
            <w:tcBorders>
              <w:top w:val="single" w:color="auto" w:sz="4" w:space="0"/>
              <w:left w:val="single" w:color="auto" w:sz="4" w:space="0"/>
              <w:bottom w:val="single" w:color="auto" w:sz="4" w:space="0"/>
              <w:right w:val="single" w:color="auto" w:sz="4" w:space="0"/>
            </w:tcBorders>
            <w:vAlign w:val="center"/>
          </w:tcPr>
          <w:p w14:paraId="379F37E9">
            <w:pPr>
              <w:adjustRightInd w:val="0"/>
              <w:snapToGrid w:val="0"/>
              <w:spacing w:line="400" w:lineRule="exact"/>
              <w:jc w:val="center"/>
              <w:rPr>
                <w:rFonts w:ascii="仿宋_GB2312" w:hAnsi="仿宋" w:eastAsia="仿宋_GB2312"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9ED526">
            <w:pPr>
              <w:adjustRightInd w:val="0"/>
              <w:snapToGrid w:val="0"/>
              <w:spacing w:line="400" w:lineRule="exact"/>
              <w:jc w:val="center"/>
              <w:rPr>
                <w:rFonts w:ascii="仿宋_GB2312" w:hAnsi="仿宋" w:eastAsia="仿宋_GB2312"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A7578E">
            <w:pPr>
              <w:adjustRightInd w:val="0"/>
              <w:snapToGrid w:val="0"/>
              <w:spacing w:line="400" w:lineRule="exact"/>
              <w:jc w:val="center"/>
              <w:rPr>
                <w:rFonts w:ascii="仿宋_GB2312" w:hAnsi="仿宋" w:eastAsia="仿宋_GB2312"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35E2B8">
            <w:pPr>
              <w:adjustRightInd w:val="0"/>
              <w:snapToGrid w:val="0"/>
              <w:spacing w:line="400" w:lineRule="exact"/>
              <w:jc w:val="center"/>
              <w:rPr>
                <w:rFonts w:ascii="仿宋_GB2312" w:hAnsi="仿宋" w:eastAsia="仿宋_GB2312"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D8F752">
            <w:pPr>
              <w:adjustRightInd w:val="0"/>
              <w:snapToGrid w:val="0"/>
              <w:spacing w:line="400" w:lineRule="exact"/>
              <w:jc w:val="center"/>
              <w:rPr>
                <w:rFonts w:ascii="仿宋_GB2312" w:hAnsi="仿宋" w:eastAsia="仿宋_GB2312" w:cs="仿宋"/>
                <w:sz w:val="24"/>
                <w:highlight w:val="none"/>
              </w:rPr>
            </w:pPr>
          </w:p>
        </w:tc>
      </w:tr>
    </w:tbl>
    <w:p w14:paraId="33326853">
      <w:pPr>
        <w:spacing w:line="360" w:lineRule="auto"/>
        <w:ind w:right="420"/>
        <w:rPr>
          <w:rFonts w:ascii="仿宋_GB2312" w:hAnsi="仿宋" w:eastAsia="仿宋_GB2312" w:cs="仿宋"/>
          <w:sz w:val="24"/>
          <w:highlight w:val="none"/>
        </w:rPr>
      </w:pPr>
    </w:p>
    <w:p w14:paraId="6E84B425">
      <w:pPr>
        <w:rPr>
          <w:rFonts w:ascii="仿宋_GB2312" w:hAnsi="仿宋" w:eastAsia="仿宋_GB2312" w:cs="仿宋"/>
          <w:highlight w:val="none"/>
          <w:lang w:val="zh-CN"/>
        </w:rPr>
      </w:pPr>
    </w:p>
    <w:p w14:paraId="052A6E8D">
      <w:pPr>
        <w:rPr>
          <w:rFonts w:ascii="仿宋_GB2312" w:hAnsi="仿宋" w:eastAsia="仿宋_GB2312" w:cs="仿宋"/>
          <w:highlight w:val="none"/>
          <w:lang w:val="zh-CN"/>
        </w:rPr>
      </w:pPr>
    </w:p>
    <w:p w14:paraId="20CD5EB6">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七、商务技术偏离表</w:t>
      </w:r>
    </w:p>
    <w:p w14:paraId="6B2E0E0E">
      <w:pPr>
        <w:jc w:val="center"/>
        <w:rPr>
          <w:rFonts w:ascii="仿宋_GB2312" w:hAnsi="仿宋" w:eastAsia="仿宋_GB2312" w:cs="仿宋"/>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B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59BADCD">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序号</w:t>
            </w:r>
          </w:p>
        </w:tc>
        <w:tc>
          <w:tcPr>
            <w:tcW w:w="3683" w:type="dxa"/>
            <w:vAlign w:val="center"/>
          </w:tcPr>
          <w:p w14:paraId="504805CE">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招标文件章节及具体内容</w:t>
            </w:r>
          </w:p>
        </w:tc>
        <w:tc>
          <w:tcPr>
            <w:tcW w:w="3546" w:type="dxa"/>
            <w:vAlign w:val="center"/>
          </w:tcPr>
          <w:p w14:paraId="41FAE86C">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投标文件章节及具体内容</w:t>
            </w:r>
          </w:p>
        </w:tc>
        <w:tc>
          <w:tcPr>
            <w:tcW w:w="1276" w:type="dxa"/>
            <w:vAlign w:val="center"/>
          </w:tcPr>
          <w:p w14:paraId="04DB5A82">
            <w:pPr>
              <w:adjustRightInd w:val="0"/>
              <w:snapToGrid w:val="0"/>
              <w:spacing w:line="400" w:lineRule="exact"/>
              <w:jc w:val="center"/>
              <w:rPr>
                <w:rFonts w:ascii="仿宋_GB2312" w:hAnsi="仿宋" w:eastAsia="仿宋_GB2312" w:cs="仿宋"/>
                <w:b/>
                <w:bCs/>
                <w:sz w:val="24"/>
                <w:highlight w:val="none"/>
              </w:rPr>
            </w:pPr>
            <w:r>
              <w:rPr>
                <w:rFonts w:hint="eastAsia" w:ascii="仿宋_GB2312" w:hAnsi="仿宋" w:eastAsia="仿宋_GB2312" w:cs="仿宋"/>
                <w:b/>
                <w:bCs/>
                <w:sz w:val="24"/>
                <w:highlight w:val="none"/>
              </w:rPr>
              <w:t>偏离说明</w:t>
            </w:r>
          </w:p>
        </w:tc>
      </w:tr>
      <w:tr w14:paraId="413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E9200BA">
            <w:pPr>
              <w:adjustRightInd w:val="0"/>
              <w:snapToGrid w:val="0"/>
              <w:spacing w:line="400" w:lineRule="exact"/>
              <w:jc w:val="cente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1</w:t>
            </w:r>
          </w:p>
        </w:tc>
        <w:tc>
          <w:tcPr>
            <w:tcW w:w="3683" w:type="dxa"/>
            <w:vAlign w:val="center"/>
          </w:tcPr>
          <w:p w14:paraId="15ADA468">
            <w:pPr>
              <w:adjustRightInd w:val="0"/>
              <w:snapToGrid w:val="0"/>
              <w:spacing w:line="400" w:lineRule="exact"/>
              <w:jc w:val="center"/>
              <w:rPr>
                <w:rFonts w:ascii="仿宋_GB2312" w:hAnsi="仿宋" w:eastAsia="仿宋_GB2312" w:cs="仿宋"/>
                <w:b/>
                <w:kern w:val="0"/>
                <w:sz w:val="32"/>
                <w:szCs w:val="32"/>
                <w:highlight w:val="none"/>
              </w:rPr>
            </w:pPr>
          </w:p>
        </w:tc>
        <w:tc>
          <w:tcPr>
            <w:tcW w:w="3546" w:type="dxa"/>
            <w:vAlign w:val="center"/>
          </w:tcPr>
          <w:p w14:paraId="7F9E8363">
            <w:pPr>
              <w:adjustRightInd w:val="0"/>
              <w:snapToGrid w:val="0"/>
              <w:spacing w:line="400" w:lineRule="exact"/>
              <w:jc w:val="center"/>
              <w:rPr>
                <w:rFonts w:ascii="仿宋_GB2312" w:hAnsi="仿宋" w:eastAsia="仿宋_GB2312" w:cs="仿宋"/>
                <w:b/>
                <w:kern w:val="0"/>
                <w:sz w:val="32"/>
                <w:szCs w:val="32"/>
                <w:highlight w:val="none"/>
              </w:rPr>
            </w:pPr>
          </w:p>
        </w:tc>
        <w:tc>
          <w:tcPr>
            <w:tcW w:w="1276" w:type="dxa"/>
            <w:vAlign w:val="center"/>
          </w:tcPr>
          <w:p w14:paraId="3685294C">
            <w:pPr>
              <w:adjustRightInd w:val="0"/>
              <w:snapToGrid w:val="0"/>
              <w:spacing w:line="400" w:lineRule="exact"/>
              <w:jc w:val="center"/>
              <w:rPr>
                <w:rFonts w:ascii="仿宋_GB2312" w:hAnsi="仿宋" w:eastAsia="仿宋_GB2312" w:cs="仿宋"/>
                <w:b/>
                <w:kern w:val="0"/>
                <w:sz w:val="32"/>
                <w:szCs w:val="32"/>
                <w:highlight w:val="none"/>
              </w:rPr>
            </w:pPr>
          </w:p>
        </w:tc>
      </w:tr>
      <w:tr w14:paraId="730C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FE85D21">
            <w:pPr>
              <w:adjustRightInd w:val="0"/>
              <w:snapToGrid w:val="0"/>
              <w:spacing w:line="400" w:lineRule="exact"/>
              <w:jc w:val="cente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2</w:t>
            </w:r>
          </w:p>
        </w:tc>
        <w:tc>
          <w:tcPr>
            <w:tcW w:w="3683" w:type="dxa"/>
            <w:vAlign w:val="center"/>
          </w:tcPr>
          <w:p w14:paraId="437D2638">
            <w:pPr>
              <w:adjustRightInd w:val="0"/>
              <w:snapToGrid w:val="0"/>
              <w:spacing w:line="400" w:lineRule="exact"/>
              <w:jc w:val="center"/>
              <w:rPr>
                <w:rFonts w:ascii="仿宋_GB2312" w:hAnsi="仿宋" w:eastAsia="仿宋_GB2312" w:cs="仿宋"/>
                <w:b/>
                <w:kern w:val="0"/>
                <w:sz w:val="32"/>
                <w:szCs w:val="32"/>
                <w:highlight w:val="none"/>
              </w:rPr>
            </w:pPr>
          </w:p>
        </w:tc>
        <w:tc>
          <w:tcPr>
            <w:tcW w:w="3546" w:type="dxa"/>
            <w:vAlign w:val="center"/>
          </w:tcPr>
          <w:p w14:paraId="2E1DDD81">
            <w:pPr>
              <w:adjustRightInd w:val="0"/>
              <w:snapToGrid w:val="0"/>
              <w:spacing w:line="400" w:lineRule="exact"/>
              <w:jc w:val="center"/>
              <w:rPr>
                <w:rFonts w:ascii="仿宋_GB2312" w:hAnsi="仿宋" w:eastAsia="仿宋_GB2312" w:cs="仿宋"/>
                <w:b/>
                <w:kern w:val="0"/>
                <w:sz w:val="32"/>
                <w:szCs w:val="32"/>
                <w:highlight w:val="none"/>
              </w:rPr>
            </w:pPr>
          </w:p>
        </w:tc>
        <w:tc>
          <w:tcPr>
            <w:tcW w:w="1276" w:type="dxa"/>
            <w:vAlign w:val="center"/>
          </w:tcPr>
          <w:p w14:paraId="5B0C8C06">
            <w:pPr>
              <w:adjustRightInd w:val="0"/>
              <w:snapToGrid w:val="0"/>
              <w:spacing w:line="400" w:lineRule="exact"/>
              <w:jc w:val="center"/>
              <w:rPr>
                <w:rFonts w:ascii="仿宋_GB2312" w:hAnsi="仿宋" w:eastAsia="仿宋_GB2312" w:cs="仿宋"/>
                <w:b/>
                <w:kern w:val="0"/>
                <w:sz w:val="32"/>
                <w:szCs w:val="32"/>
                <w:highlight w:val="none"/>
              </w:rPr>
            </w:pPr>
          </w:p>
        </w:tc>
      </w:tr>
      <w:tr w14:paraId="146E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02A135F">
            <w:pPr>
              <w:adjustRightInd w:val="0"/>
              <w:snapToGrid w:val="0"/>
              <w:spacing w:line="400" w:lineRule="exact"/>
              <w:jc w:val="center"/>
              <w:rPr>
                <w:rFonts w:ascii="仿宋_GB2312" w:hAnsi="仿宋" w:eastAsia="仿宋_GB2312" w:cs="仿宋"/>
                <w:kern w:val="0"/>
                <w:sz w:val="24"/>
                <w:highlight w:val="none"/>
              </w:rPr>
            </w:pPr>
            <w:r>
              <w:rPr>
                <w:rFonts w:hint="eastAsia" w:ascii="仿宋_GB2312" w:hAnsi="仿宋" w:eastAsia="仿宋_GB2312" w:cs="仿宋"/>
                <w:kern w:val="0"/>
                <w:sz w:val="24"/>
                <w:highlight w:val="none"/>
              </w:rPr>
              <w:t>……</w:t>
            </w:r>
          </w:p>
        </w:tc>
        <w:tc>
          <w:tcPr>
            <w:tcW w:w="3683" w:type="dxa"/>
            <w:vAlign w:val="center"/>
          </w:tcPr>
          <w:p w14:paraId="0B8C2958">
            <w:pPr>
              <w:adjustRightInd w:val="0"/>
              <w:snapToGrid w:val="0"/>
              <w:spacing w:line="400" w:lineRule="exact"/>
              <w:jc w:val="center"/>
              <w:rPr>
                <w:rFonts w:ascii="仿宋_GB2312" w:hAnsi="仿宋" w:eastAsia="仿宋_GB2312" w:cs="仿宋"/>
                <w:b/>
                <w:kern w:val="0"/>
                <w:sz w:val="32"/>
                <w:szCs w:val="32"/>
                <w:highlight w:val="none"/>
              </w:rPr>
            </w:pPr>
          </w:p>
        </w:tc>
        <w:tc>
          <w:tcPr>
            <w:tcW w:w="3546" w:type="dxa"/>
            <w:vAlign w:val="center"/>
          </w:tcPr>
          <w:p w14:paraId="3427507F">
            <w:pPr>
              <w:adjustRightInd w:val="0"/>
              <w:snapToGrid w:val="0"/>
              <w:spacing w:line="400" w:lineRule="exact"/>
              <w:jc w:val="center"/>
              <w:rPr>
                <w:rFonts w:ascii="仿宋_GB2312" w:hAnsi="仿宋" w:eastAsia="仿宋_GB2312" w:cs="仿宋"/>
                <w:b/>
                <w:kern w:val="0"/>
                <w:sz w:val="32"/>
                <w:szCs w:val="32"/>
                <w:highlight w:val="none"/>
              </w:rPr>
            </w:pPr>
          </w:p>
        </w:tc>
        <w:tc>
          <w:tcPr>
            <w:tcW w:w="1276" w:type="dxa"/>
            <w:vAlign w:val="center"/>
          </w:tcPr>
          <w:p w14:paraId="4A2D5BF6">
            <w:pPr>
              <w:adjustRightInd w:val="0"/>
              <w:snapToGrid w:val="0"/>
              <w:spacing w:line="400" w:lineRule="exact"/>
              <w:jc w:val="center"/>
              <w:rPr>
                <w:rFonts w:ascii="仿宋_GB2312" w:hAnsi="仿宋" w:eastAsia="仿宋_GB2312" w:cs="仿宋"/>
                <w:b/>
                <w:kern w:val="0"/>
                <w:sz w:val="32"/>
                <w:szCs w:val="32"/>
                <w:highlight w:val="none"/>
              </w:rPr>
            </w:pPr>
          </w:p>
        </w:tc>
      </w:tr>
    </w:tbl>
    <w:p w14:paraId="51D3F3F8">
      <w:pPr>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rPr>
        <w:t>投标人保证：除商务技术偏离表列出的偏离外，投标人响应招标文件的全部要求</w:t>
      </w:r>
    </w:p>
    <w:p w14:paraId="28120F1F">
      <w:pPr>
        <w:jc w:val="center"/>
        <w:rPr>
          <w:rFonts w:ascii="仿宋_GB2312" w:hAnsi="仿宋" w:eastAsia="仿宋_GB2312" w:cs="仿宋"/>
          <w:b/>
          <w:kern w:val="0"/>
          <w:sz w:val="32"/>
          <w:szCs w:val="32"/>
          <w:highlight w:val="none"/>
        </w:rPr>
      </w:pPr>
    </w:p>
    <w:p w14:paraId="20C9886B">
      <w:pPr>
        <w:spacing w:line="360" w:lineRule="auto"/>
        <w:ind w:right="420"/>
        <w:rPr>
          <w:rFonts w:ascii="仿宋_GB2312" w:hAnsi="仿宋" w:eastAsia="仿宋_GB2312" w:cs="仿宋"/>
          <w:sz w:val="24"/>
          <w:highlight w:val="none"/>
        </w:rPr>
      </w:pPr>
    </w:p>
    <w:p w14:paraId="6E6EAD32">
      <w:pPr>
        <w:rPr>
          <w:rFonts w:ascii="仿宋_GB2312" w:hAnsi="仿宋" w:eastAsia="仿宋_GB2312" w:cs="仿宋"/>
          <w:b/>
          <w:kern w:val="0"/>
          <w:sz w:val="32"/>
          <w:szCs w:val="32"/>
          <w:highlight w:val="none"/>
        </w:rPr>
      </w:pPr>
      <w:r>
        <w:rPr>
          <w:rFonts w:hint="eastAsia" w:ascii="仿宋_GB2312" w:hAnsi="仿宋" w:eastAsia="仿宋_GB2312" w:cs="仿宋"/>
          <w:b/>
          <w:kern w:val="0"/>
          <w:sz w:val="32"/>
          <w:szCs w:val="32"/>
          <w:highlight w:val="none"/>
        </w:rPr>
        <w:br w:type="page"/>
      </w:r>
    </w:p>
    <w:p w14:paraId="4B6127C4">
      <w:pPr>
        <w:snapToGrid w:val="0"/>
        <w:spacing w:line="360" w:lineRule="auto"/>
        <w:jc w:val="center"/>
        <w:rPr>
          <w:rFonts w:ascii="仿宋_GB2312" w:hAnsi="仿宋" w:eastAsia="仿宋_GB2312" w:cs="仿宋"/>
          <w:b/>
          <w:kern w:val="0"/>
          <w:sz w:val="32"/>
          <w:szCs w:val="32"/>
          <w:highlight w:val="none"/>
          <w:lang w:val="zh-CN"/>
        </w:rPr>
      </w:pPr>
      <w:r>
        <w:rPr>
          <w:rFonts w:hint="eastAsia" w:ascii="仿宋_GB2312" w:hAnsi="仿宋" w:eastAsia="仿宋_GB2312" w:cs="仿宋"/>
          <w:b/>
          <w:kern w:val="0"/>
          <w:sz w:val="32"/>
          <w:szCs w:val="32"/>
          <w:highlight w:val="none"/>
          <w:lang w:val="zh-CN"/>
        </w:rPr>
        <w:t>八、政府采购供应商廉洁自律承诺书</w:t>
      </w:r>
    </w:p>
    <w:p w14:paraId="1E800B2E">
      <w:pPr>
        <w:snapToGrid w:val="0"/>
        <w:spacing w:line="360" w:lineRule="auto"/>
        <w:rPr>
          <w:rFonts w:ascii="仿宋_GB2312" w:hAnsi="仿宋" w:eastAsia="仿宋_GB2312" w:cs="仿宋"/>
          <w:sz w:val="24"/>
          <w:highlight w:val="none"/>
        </w:rPr>
      </w:pPr>
    </w:p>
    <w:p w14:paraId="4B328F4B">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kern w:val="0"/>
          <w:sz w:val="24"/>
          <w:highlight w:val="none"/>
          <w:lang w:val="zh-CN"/>
        </w:rPr>
        <w:t>：</w:t>
      </w:r>
    </w:p>
    <w:p w14:paraId="03CBB062">
      <w:pPr>
        <w:autoSpaceDE w:val="0"/>
        <w:autoSpaceDN w:val="0"/>
        <w:spacing w:line="360" w:lineRule="auto"/>
        <w:ind w:left="2" w:leftChars="1"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我单位响应你</w:t>
      </w:r>
      <w:r>
        <w:rPr>
          <w:rFonts w:hint="eastAsia" w:ascii="仿宋_GB2312" w:hAnsi="仿宋" w:eastAsia="仿宋_GB2312" w:cs="仿宋"/>
          <w:sz w:val="24"/>
          <w:highlight w:val="none"/>
        </w:rPr>
        <w:t>单位</w:t>
      </w:r>
      <w:r>
        <w:rPr>
          <w:rFonts w:hint="eastAsia" w:ascii="仿宋_GB2312" w:hAnsi="仿宋" w:eastAsia="仿宋_GB2312" w:cs="仿宋"/>
          <w:kern w:val="0"/>
          <w:sz w:val="24"/>
          <w:highlight w:val="none"/>
          <w:lang w:val="zh-CN"/>
        </w:rPr>
        <w:t>项目招标要求参加投标。在这次投标过程中和中标后，我们将严格遵守国家法律法规要求，并郑重承诺：</w:t>
      </w:r>
    </w:p>
    <w:p w14:paraId="4EC62ECA">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一、不向项目有关人员及部门赠送礼金礼物、有价证券、回扣以及中介费、介绍费、咨询费等好处费； </w:t>
      </w:r>
    </w:p>
    <w:p w14:paraId="7DDE0E15">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二、不为项目有关人员及部门报销应由你方单位或个人支付的费用； </w:t>
      </w:r>
    </w:p>
    <w:p w14:paraId="2222C558">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三、不向项目有关人员及部门提供有可能影响公正的宴请和健身娱乐等活动； </w:t>
      </w:r>
    </w:p>
    <w:p w14:paraId="24DACA28">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四、不为项目有关人员及部门出国（境）、旅游等提供方便；</w:t>
      </w:r>
    </w:p>
    <w:p w14:paraId="3E8A2C0D">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五、不为项目有关人员个人装修住房、婚丧嫁娶、配偶子女工作安排等提供好处；</w:t>
      </w:r>
    </w:p>
    <w:p w14:paraId="5CE581CC">
      <w:pPr>
        <w:autoSpaceDE w:val="0"/>
        <w:autoSpaceDN w:val="0"/>
        <w:adjustRightInd w:val="0"/>
        <w:snapToGrid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六、严格遵守《</w:t>
      </w:r>
      <w:r>
        <w:rPr>
          <w:rFonts w:hint="eastAsia" w:ascii="仿宋_GB2312" w:hAnsi="仿宋" w:eastAsia="仿宋_GB2312" w:cs="仿宋"/>
          <w:sz w:val="24"/>
          <w:highlight w:val="none"/>
          <w:lang w:val="zh-CN"/>
        </w:rPr>
        <w:t>中华人民共和国</w:t>
      </w:r>
      <w:r>
        <w:rPr>
          <w:rFonts w:hint="eastAsia" w:ascii="仿宋_GB2312" w:hAnsi="仿宋" w:eastAsia="仿宋_GB2312" w:cs="仿宋"/>
          <w:kern w:val="0"/>
          <w:sz w:val="24"/>
          <w:highlight w:val="none"/>
          <w:lang w:val="zh-CN"/>
        </w:rPr>
        <w:t>政府采购法》《</w:t>
      </w:r>
      <w:r>
        <w:rPr>
          <w:rFonts w:hint="eastAsia" w:ascii="仿宋_GB2312" w:hAnsi="仿宋" w:eastAsia="仿宋_GB2312" w:cs="仿宋"/>
          <w:sz w:val="24"/>
          <w:highlight w:val="none"/>
          <w:lang w:val="zh-CN"/>
        </w:rPr>
        <w:t>中华人民共和国</w:t>
      </w:r>
      <w:r>
        <w:rPr>
          <w:rFonts w:hint="eastAsia" w:ascii="仿宋_GB2312" w:hAnsi="仿宋" w:eastAsia="仿宋_GB2312" w:cs="仿宋"/>
          <w:kern w:val="0"/>
          <w:sz w:val="24"/>
          <w:highlight w:val="none"/>
          <w:lang w:val="zh-CN"/>
        </w:rPr>
        <w:t>招标投标法》</w:t>
      </w:r>
      <w:r>
        <w:rPr>
          <w:rFonts w:hint="eastAsia" w:ascii="仿宋_GB2312" w:hAnsi="仿宋" w:eastAsia="仿宋_GB2312" w:cs="仿宋"/>
          <w:sz w:val="24"/>
          <w:highlight w:val="none"/>
          <w:lang w:val="zh-CN"/>
        </w:rPr>
        <w:t>《中华人民共和国民法典》</w:t>
      </w:r>
      <w:r>
        <w:rPr>
          <w:rFonts w:hint="eastAsia" w:ascii="仿宋_GB2312" w:hAnsi="仿宋" w:eastAsia="仿宋_GB2312" w:cs="仿宋"/>
          <w:kern w:val="0"/>
          <w:sz w:val="24"/>
          <w:highlight w:val="none"/>
          <w:lang w:val="zh-CN"/>
        </w:rPr>
        <w:t xml:space="preserve">等法律法规，诚实守信，合法经营，坚决抵制各种违法违纪行为。 </w:t>
      </w:r>
    </w:p>
    <w:p w14:paraId="225B18C6">
      <w:pPr>
        <w:autoSpaceDE w:val="0"/>
        <w:autoSpaceDN w:val="0"/>
        <w:spacing w:line="360" w:lineRule="auto"/>
        <w:ind w:firstLine="480" w:firstLineChars="2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如违反上述承诺，你</w:t>
      </w:r>
      <w:r>
        <w:rPr>
          <w:rFonts w:hint="eastAsia" w:ascii="仿宋_GB2312" w:hAnsi="仿宋" w:eastAsia="仿宋_GB2312" w:cs="仿宋"/>
          <w:sz w:val="24"/>
          <w:highlight w:val="none"/>
        </w:rPr>
        <w:t>单位</w:t>
      </w:r>
      <w:r>
        <w:rPr>
          <w:rFonts w:hint="eastAsia" w:ascii="仿宋_GB2312" w:hAnsi="仿宋" w:eastAsia="仿宋_GB2312" w:cs="仿宋"/>
          <w:kern w:val="0"/>
          <w:sz w:val="24"/>
          <w:highlight w:val="none"/>
          <w:lang w:val="zh-CN"/>
        </w:rPr>
        <w:t>有权立即取消我单位投标、中标或在建项目的建设资格，有权拒绝我单位在一定时期内进入你</w:t>
      </w:r>
      <w:r>
        <w:rPr>
          <w:rFonts w:hint="eastAsia" w:ascii="仿宋_GB2312" w:hAnsi="仿宋" w:eastAsia="仿宋_GB2312" w:cs="仿宋"/>
          <w:sz w:val="24"/>
          <w:highlight w:val="none"/>
        </w:rPr>
        <w:t>单位</w:t>
      </w:r>
      <w:r>
        <w:rPr>
          <w:rFonts w:hint="eastAsia" w:ascii="仿宋_GB2312" w:hAnsi="仿宋" w:eastAsia="仿宋_GB2312" w:cs="仿宋"/>
          <w:kern w:val="0"/>
          <w:sz w:val="24"/>
          <w:highlight w:val="none"/>
          <w:lang w:val="zh-CN"/>
        </w:rPr>
        <w:t>进行项目建设或其他经营活动，并通报</w:t>
      </w:r>
      <w:r>
        <w:rPr>
          <w:rFonts w:hint="eastAsia" w:ascii="仿宋_GB2312" w:hAnsi="仿宋" w:eastAsia="仿宋_GB2312" w:cs="仿宋"/>
          <w:kern w:val="0"/>
          <w:sz w:val="24"/>
          <w:highlight w:val="none"/>
        </w:rPr>
        <w:t>监管部门</w:t>
      </w:r>
      <w:r>
        <w:rPr>
          <w:rFonts w:hint="eastAsia" w:ascii="仿宋_GB2312" w:hAnsi="仿宋" w:eastAsia="仿宋_GB2312" w:cs="仿宋"/>
          <w:kern w:val="0"/>
          <w:sz w:val="24"/>
          <w:highlight w:val="none"/>
          <w:lang w:val="zh-CN"/>
        </w:rPr>
        <w:t>。由此引起的相应损失均由我单位承担。</w:t>
      </w:r>
    </w:p>
    <w:p w14:paraId="483B6D0E">
      <w:pPr>
        <w:autoSpaceDE w:val="0"/>
        <w:autoSpaceDN w:val="0"/>
        <w:spacing w:line="360" w:lineRule="auto"/>
        <w:ind w:left="2"/>
        <w:jc w:val="left"/>
        <w:rPr>
          <w:rFonts w:ascii="仿宋_GB2312" w:hAnsi="仿宋" w:eastAsia="仿宋_GB2312" w:cs="仿宋"/>
          <w:kern w:val="0"/>
          <w:sz w:val="24"/>
          <w:highlight w:val="none"/>
          <w:lang w:val="zh-CN"/>
        </w:rPr>
      </w:pPr>
    </w:p>
    <w:p w14:paraId="21151F4E">
      <w:pPr>
        <w:autoSpaceDE w:val="0"/>
        <w:autoSpaceDN w:val="0"/>
        <w:spacing w:line="360" w:lineRule="auto"/>
        <w:ind w:left="2"/>
        <w:jc w:val="left"/>
        <w:rPr>
          <w:rFonts w:ascii="仿宋_GB2312" w:hAnsi="仿宋" w:eastAsia="仿宋_GB2312" w:cs="仿宋"/>
          <w:kern w:val="0"/>
          <w:sz w:val="24"/>
          <w:highlight w:val="none"/>
          <w:lang w:val="zh-CN"/>
        </w:rPr>
      </w:pPr>
    </w:p>
    <w:p w14:paraId="4AD83E07">
      <w:pPr>
        <w:autoSpaceDE w:val="0"/>
        <w:autoSpaceDN w:val="0"/>
        <w:spacing w:line="360" w:lineRule="auto"/>
        <w:ind w:left="2"/>
        <w:jc w:val="left"/>
        <w:rPr>
          <w:rFonts w:ascii="仿宋_GB2312" w:hAnsi="仿宋" w:eastAsia="仿宋_GB2312" w:cs="仿宋"/>
          <w:kern w:val="0"/>
          <w:sz w:val="24"/>
          <w:highlight w:val="none"/>
          <w:lang w:val="zh-CN"/>
        </w:rPr>
      </w:pPr>
    </w:p>
    <w:p w14:paraId="556B7429">
      <w:pPr>
        <w:autoSpaceDE w:val="0"/>
        <w:autoSpaceDN w:val="0"/>
        <w:spacing w:line="360" w:lineRule="auto"/>
        <w:ind w:left="2" w:leftChars="1" w:right="1120" w:firstLine="4560" w:firstLineChars="1900"/>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投标人名称（</w:t>
      </w:r>
      <w:r>
        <w:rPr>
          <w:rFonts w:hint="eastAsia" w:ascii="仿宋_GB2312" w:hAnsi="仿宋" w:eastAsia="仿宋_GB2312" w:cs="仿宋"/>
          <w:sz w:val="24"/>
          <w:highlight w:val="none"/>
        </w:rPr>
        <w:t>电子签名</w:t>
      </w:r>
      <w:r>
        <w:rPr>
          <w:rFonts w:hint="eastAsia" w:ascii="仿宋_GB2312" w:hAnsi="仿宋" w:eastAsia="仿宋_GB2312" w:cs="仿宋"/>
          <w:kern w:val="0"/>
          <w:sz w:val="24"/>
          <w:highlight w:val="none"/>
          <w:lang w:val="zh-CN"/>
        </w:rPr>
        <w:t xml:space="preserve">）：                                                                                                                                                                                                               </w:t>
      </w:r>
    </w:p>
    <w:p w14:paraId="490C33FA">
      <w:pPr>
        <w:spacing w:line="360" w:lineRule="auto"/>
        <w:ind w:left="4620" w:leftChars="2200"/>
        <w:rPr>
          <w:rFonts w:ascii="仿宋_GB2312" w:hAnsi="仿宋" w:eastAsia="仿宋_GB2312" w:cs="仿宋"/>
          <w:sz w:val="24"/>
          <w:highlight w:val="none"/>
        </w:rPr>
      </w:pPr>
      <w:r>
        <w:rPr>
          <w:rFonts w:hint="eastAsia" w:ascii="仿宋_GB2312" w:hAnsi="仿宋" w:eastAsia="仿宋_GB2312" w:cs="仿宋"/>
          <w:kern w:val="0"/>
          <w:sz w:val="24"/>
          <w:highlight w:val="none"/>
          <w:lang w:val="zh-CN"/>
        </w:rPr>
        <w:t>日期</w:t>
      </w:r>
      <w:r>
        <w:rPr>
          <w:rFonts w:hint="eastAsia" w:ascii="仿宋_GB2312" w:hAnsi="仿宋" w:eastAsia="仿宋_GB2312" w:cs="仿宋"/>
          <w:kern w:val="0"/>
          <w:sz w:val="24"/>
          <w:highlight w:val="none"/>
        </w:rPr>
        <w:t>：</w:t>
      </w:r>
      <w:r>
        <w:rPr>
          <w:rFonts w:hint="eastAsia" w:ascii="仿宋_GB2312" w:hAnsi="仿宋" w:eastAsia="仿宋_GB2312" w:cs="仿宋"/>
          <w:kern w:val="0"/>
          <w:sz w:val="24"/>
          <w:highlight w:val="none"/>
          <w:lang w:val="zh-CN"/>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405520C8">
      <w:pPr>
        <w:spacing w:line="360" w:lineRule="auto"/>
        <w:rPr>
          <w:rFonts w:ascii="仿宋_GB2312" w:hAnsi="仿宋" w:eastAsia="仿宋_GB2312" w:cs="仿宋"/>
          <w:sz w:val="24"/>
          <w:highlight w:val="none"/>
        </w:rPr>
      </w:pPr>
    </w:p>
    <w:p w14:paraId="50E26936">
      <w:pPr>
        <w:rPr>
          <w:rFonts w:ascii="仿宋_GB2312" w:hAnsi="仿宋" w:eastAsia="仿宋_GB2312" w:cs="仿宋"/>
          <w:b/>
          <w:kern w:val="0"/>
          <w:sz w:val="36"/>
          <w:szCs w:val="36"/>
          <w:highlight w:val="none"/>
        </w:rPr>
      </w:pPr>
      <w:r>
        <w:rPr>
          <w:rFonts w:hint="eastAsia" w:ascii="仿宋_GB2312" w:hAnsi="仿宋" w:eastAsia="仿宋_GB2312" w:cs="仿宋"/>
          <w:b/>
          <w:kern w:val="0"/>
          <w:sz w:val="36"/>
          <w:szCs w:val="36"/>
          <w:highlight w:val="none"/>
        </w:rPr>
        <w:br w:type="page"/>
      </w:r>
    </w:p>
    <w:p w14:paraId="3F437796">
      <w:pPr>
        <w:spacing w:line="360" w:lineRule="auto"/>
        <w:jc w:val="center"/>
        <w:outlineLvl w:val="1"/>
        <w:rPr>
          <w:rFonts w:ascii="仿宋_GB2312" w:hAnsi="仿宋" w:eastAsia="仿宋_GB2312" w:cs="仿宋"/>
          <w:b/>
          <w:kern w:val="0"/>
          <w:sz w:val="36"/>
          <w:szCs w:val="36"/>
          <w:highlight w:val="none"/>
        </w:rPr>
      </w:pPr>
      <w:bookmarkStart w:id="137" w:name="_Toc29208"/>
      <w:bookmarkStart w:id="138" w:name="_Toc3363"/>
      <w:bookmarkStart w:id="139" w:name="_Toc3114"/>
      <w:bookmarkStart w:id="140" w:name="_Toc5590"/>
      <w:r>
        <w:rPr>
          <w:rFonts w:hint="eastAsia" w:ascii="仿宋_GB2312" w:hAnsi="仿宋" w:eastAsia="仿宋_GB2312" w:cs="仿宋"/>
          <w:b/>
          <w:kern w:val="0"/>
          <w:sz w:val="36"/>
          <w:szCs w:val="36"/>
          <w:highlight w:val="none"/>
        </w:rPr>
        <w:t>报价文件部分</w:t>
      </w:r>
      <w:bookmarkEnd w:id="137"/>
      <w:bookmarkEnd w:id="138"/>
      <w:bookmarkEnd w:id="139"/>
      <w:bookmarkEnd w:id="140"/>
    </w:p>
    <w:p w14:paraId="4EEC189D">
      <w:pPr>
        <w:spacing w:line="360" w:lineRule="auto"/>
        <w:jc w:val="center"/>
        <w:rPr>
          <w:rFonts w:ascii="仿宋_GB2312" w:hAnsi="仿宋" w:eastAsia="仿宋_GB2312" w:cs="仿宋"/>
          <w:b/>
          <w:kern w:val="0"/>
          <w:sz w:val="36"/>
          <w:szCs w:val="36"/>
          <w:highlight w:val="none"/>
        </w:rPr>
      </w:pPr>
      <w:r>
        <w:rPr>
          <w:rFonts w:hint="eastAsia" w:ascii="仿宋_GB2312" w:hAnsi="仿宋" w:eastAsia="仿宋_GB2312" w:cs="仿宋"/>
          <w:b/>
          <w:kern w:val="0"/>
          <w:sz w:val="36"/>
          <w:szCs w:val="36"/>
          <w:highlight w:val="none"/>
        </w:rPr>
        <w:t>目录</w:t>
      </w:r>
    </w:p>
    <w:p w14:paraId="66C71D82">
      <w:pPr>
        <w:spacing w:line="360" w:lineRule="auto"/>
        <w:jc w:val="center"/>
        <w:rPr>
          <w:rFonts w:ascii="仿宋_GB2312" w:hAnsi="仿宋" w:eastAsia="仿宋_GB2312" w:cs="仿宋"/>
          <w:b/>
          <w:kern w:val="0"/>
          <w:sz w:val="36"/>
          <w:szCs w:val="36"/>
          <w:highlight w:val="none"/>
        </w:rPr>
      </w:pPr>
    </w:p>
    <w:p w14:paraId="3AC30F8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（1）开标一览表（报价表）………………………………………………………（页码）</w:t>
      </w:r>
    </w:p>
    <w:p w14:paraId="5184DBB2">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（2）报价明细表……………………………………………………………………（页码）</w:t>
      </w:r>
    </w:p>
    <w:p w14:paraId="6B53C163">
      <w:pPr>
        <w:snapToGrid w:val="0"/>
        <w:spacing w:line="360" w:lineRule="auto"/>
        <w:ind w:right="480"/>
        <w:jc w:val="center"/>
        <w:rPr>
          <w:rFonts w:ascii="仿宋_GB2312" w:hAnsi="仿宋" w:eastAsia="仿宋_GB2312" w:cs="仿宋"/>
          <w:b/>
          <w:kern w:val="0"/>
          <w:sz w:val="32"/>
          <w:szCs w:val="32"/>
          <w:highlight w:val="none"/>
        </w:rPr>
      </w:pPr>
    </w:p>
    <w:p w14:paraId="664C5F54">
      <w:pPr>
        <w:snapToGrid w:val="0"/>
        <w:spacing w:line="360" w:lineRule="auto"/>
        <w:ind w:right="480"/>
        <w:jc w:val="center"/>
        <w:rPr>
          <w:rFonts w:ascii="仿宋_GB2312" w:hAnsi="仿宋" w:eastAsia="仿宋_GB2312" w:cs="仿宋"/>
          <w:b/>
          <w:kern w:val="0"/>
          <w:sz w:val="32"/>
          <w:szCs w:val="32"/>
          <w:highlight w:val="none"/>
        </w:rPr>
      </w:pPr>
    </w:p>
    <w:p w14:paraId="5F3E1D26">
      <w:pPr>
        <w:snapToGrid w:val="0"/>
        <w:spacing w:line="360" w:lineRule="auto"/>
        <w:ind w:right="480"/>
        <w:jc w:val="center"/>
        <w:rPr>
          <w:rFonts w:ascii="仿宋_GB2312" w:hAnsi="仿宋" w:eastAsia="仿宋_GB2312" w:cs="仿宋"/>
          <w:b/>
          <w:kern w:val="0"/>
          <w:sz w:val="32"/>
          <w:szCs w:val="32"/>
          <w:highlight w:val="none"/>
        </w:rPr>
      </w:pPr>
    </w:p>
    <w:p w14:paraId="41211337">
      <w:pPr>
        <w:snapToGrid w:val="0"/>
        <w:spacing w:line="360" w:lineRule="auto"/>
        <w:ind w:right="480"/>
        <w:jc w:val="center"/>
        <w:rPr>
          <w:rFonts w:ascii="仿宋_GB2312" w:hAnsi="仿宋" w:eastAsia="仿宋_GB2312" w:cs="仿宋"/>
          <w:b/>
          <w:kern w:val="0"/>
          <w:sz w:val="32"/>
          <w:szCs w:val="32"/>
          <w:highlight w:val="none"/>
        </w:rPr>
      </w:pPr>
    </w:p>
    <w:p w14:paraId="08CB5BAD">
      <w:pPr>
        <w:snapToGrid w:val="0"/>
        <w:spacing w:line="360" w:lineRule="auto"/>
        <w:ind w:right="480"/>
        <w:jc w:val="center"/>
        <w:rPr>
          <w:rFonts w:ascii="仿宋_GB2312" w:hAnsi="仿宋" w:eastAsia="仿宋_GB2312" w:cs="仿宋"/>
          <w:b/>
          <w:kern w:val="0"/>
          <w:sz w:val="32"/>
          <w:szCs w:val="32"/>
          <w:highlight w:val="none"/>
        </w:rPr>
      </w:pPr>
    </w:p>
    <w:p w14:paraId="44B25E8A">
      <w:pPr>
        <w:snapToGrid w:val="0"/>
        <w:spacing w:line="360" w:lineRule="auto"/>
        <w:ind w:right="480"/>
        <w:jc w:val="center"/>
        <w:rPr>
          <w:rFonts w:ascii="仿宋_GB2312" w:hAnsi="仿宋" w:eastAsia="仿宋_GB2312" w:cs="仿宋"/>
          <w:b/>
          <w:kern w:val="0"/>
          <w:sz w:val="32"/>
          <w:szCs w:val="32"/>
          <w:highlight w:val="none"/>
        </w:rPr>
      </w:pPr>
    </w:p>
    <w:p w14:paraId="5B7E8702">
      <w:pPr>
        <w:snapToGrid w:val="0"/>
        <w:spacing w:line="360" w:lineRule="auto"/>
        <w:ind w:right="480"/>
        <w:jc w:val="center"/>
        <w:rPr>
          <w:rFonts w:ascii="仿宋_GB2312" w:hAnsi="仿宋" w:eastAsia="仿宋_GB2312" w:cs="仿宋"/>
          <w:b/>
          <w:kern w:val="0"/>
          <w:sz w:val="32"/>
          <w:szCs w:val="32"/>
          <w:highlight w:val="none"/>
        </w:rPr>
      </w:pPr>
    </w:p>
    <w:p w14:paraId="07730993">
      <w:pPr>
        <w:snapToGrid w:val="0"/>
        <w:spacing w:line="360" w:lineRule="auto"/>
        <w:ind w:right="480"/>
        <w:jc w:val="center"/>
        <w:rPr>
          <w:rFonts w:ascii="仿宋_GB2312" w:hAnsi="仿宋" w:eastAsia="仿宋_GB2312" w:cs="仿宋"/>
          <w:b/>
          <w:kern w:val="0"/>
          <w:sz w:val="32"/>
          <w:szCs w:val="32"/>
          <w:highlight w:val="none"/>
        </w:rPr>
      </w:pPr>
    </w:p>
    <w:p w14:paraId="7020E0F1">
      <w:pPr>
        <w:snapToGrid w:val="0"/>
        <w:spacing w:line="360" w:lineRule="auto"/>
        <w:ind w:right="480"/>
        <w:jc w:val="center"/>
        <w:rPr>
          <w:rFonts w:ascii="仿宋_GB2312" w:hAnsi="仿宋" w:eastAsia="仿宋_GB2312" w:cs="仿宋"/>
          <w:b/>
          <w:kern w:val="0"/>
          <w:sz w:val="32"/>
          <w:szCs w:val="32"/>
          <w:highlight w:val="none"/>
        </w:rPr>
      </w:pPr>
    </w:p>
    <w:p w14:paraId="024385E0">
      <w:pPr>
        <w:snapToGrid w:val="0"/>
        <w:spacing w:line="360" w:lineRule="auto"/>
        <w:ind w:right="480"/>
        <w:jc w:val="center"/>
        <w:rPr>
          <w:rFonts w:ascii="仿宋_GB2312" w:hAnsi="仿宋" w:eastAsia="仿宋_GB2312" w:cs="仿宋"/>
          <w:b/>
          <w:kern w:val="0"/>
          <w:sz w:val="32"/>
          <w:szCs w:val="32"/>
          <w:highlight w:val="none"/>
        </w:rPr>
      </w:pPr>
    </w:p>
    <w:p w14:paraId="333D0C0E">
      <w:pPr>
        <w:snapToGrid w:val="0"/>
        <w:spacing w:line="360" w:lineRule="auto"/>
        <w:ind w:right="480"/>
        <w:jc w:val="center"/>
        <w:rPr>
          <w:rFonts w:ascii="仿宋_GB2312" w:hAnsi="仿宋" w:eastAsia="仿宋_GB2312" w:cs="仿宋"/>
          <w:b/>
          <w:kern w:val="0"/>
          <w:sz w:val="32"/>
          <w:szCs w:val="32"/>
          <w:highlight w:val="none"/>
        </w:rPr>
      </w:pPr>
    </w:p>
    <w:p w14:paraId="60C19E37">
      <w:pPr>
        <w:snapToGrid w:val="0"/>
        <w:spacing w:line="360" w:lineRule="auto"/>
        <w:ind w:right="480"/>
        <w:jc w:val="center"/>
        <w:rPr>
          <w:rFonts w:ascii="仿宋_GB2312" w:hAnsi="仿宋" w:eastAsia="仿宋_GB2312" w:cs="仿宋"/>
          <w:b/>
          <w:kern w:val="0"/>
          <w:sz w:val="32"/>
          <w:szCs w:val="32"/>
          <w:highlight w:val="none"/>
        </w:rPr>
      </w:pPr>
    </w:p>
    <w:p w14:paraId="60FCA882">
      <w:pPr>
        <w:snapToGrid w:val="0"/>
        <w:spacing w:line="360" w:lineRule="auto"/>
        <w:ind w:right="480"/>
        <w:jc w:val="center"/>
        <w:rPr>
          <w:rFonts w:ascii="仿宋_GB2312" w:hAnsi="仿宋" w:eastAsia="仿宋_GB2312" w:cs="仿宋"/>
          <w:b/>
          <w:kern w:val="0"/>
          <w:sz w:val="32"/>
          <w:szCs w:val="32"/>
          <w:highlight w:val="none"/>
        </w:rPr>
      </w:pPr>
    </w:p>
    <w:p w14:paraId="5C30909D">
      <w:pPr>
        <w:snapToGrid w:val="0"/>
        <w:spacing w:line="360" w:lineRule="auto"/>
        <w:ind w:right="480"/>
        <w:jc w:val="center"/>
        <w:rPr>
          <w:rFonts w:ascii="仿宋_GB2312" w:hAnsi="仿宋" w:eastAsia="仿宋_GB2312" w:cs="仿宋"/>
          <w:b/>
          <w:kern w:val="0"/>
          <w:sz w:val="32"/>
          <w:szCs w:val="32"/>
          <w:highlight w:val="none"/>
        </w:rPr>
      </w:pPr>
    </w:p>
    <w:p w14:paraId="784649EB">
      <w:pPr>
        <w:snapToGrid w:val="0"/>
        <w:spacing w:line="360" w:lineRule="auto"/>
        <w:ind w:right="480"/>
        <w:jc w:val="center"/>
        <w:rPr>
          <w:rFonts w:ascii="仿宋_GB2312" w:hAnsi="仿宋" w:eastAsia="仿宋_GB2312" w:cs="仿宋"/>
          <w:b/>
          <w:kern w:val="0"/>
          <w:sz w:val="32"/>
          <w:szCs w:val="32"/>
          <w:highlight w:val="none"/>
        </w:rPr>
      </w:pPr>
    </w:p>
    <w:p w14:paraId="27B0AE5F">
      <w:pPr>
        <w:pStyle w:val="177"/>
        <w:keepNext w:val="0"/>
        <w:pageBreakBefore w:val="0"/>
        <w:tabs>
          <w:tab w:val="clear" w:pos="720"/>
        </w:tabs>
        <w:snapToGrid w:val="0"/>
        <w:spacing w:before="120" w:after="120"/>
        <w:ind w:firstLine="643"/>
        <w:outlineLvl w:val="9"/>
        <w:rPr>
          <w:rFonts w:ascii="仿宋_GB2312" w:hAnsi="仿宋" w:eastAsia="仿宋_GB2312"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2FD4FDD">
      <w:pPr>
        <w:pStyle w:val="177"/>
        <w:keepNext w:val="0"/>
        <w:pageBreakBefore w:val="0"/>
        <w:tabs>
          <w:tab w:val="clear" w:pos="720"/>
        </w:tabs>
        <w:snapToGrid w:val="0"/>
        <w:spacing w:before="120" w:after="120"/>
        <w:ind w:firstLine="643"/>
        <w:outlineLvl w:val="9"/>
        <w:rPr>
          <w:rFonts w:ascii="仿宋_GB2312" w:hAnsi="仿宋" w:eastAsia="仿宋_GB2312" w:cs="仿宋"/>
          <w:kern w:val="2"/>
          <w:sz w:val="32"/>
          <w:szCs w:val="32"/>
          <w:highlight w:val="none"/>
        </w:rPr>
      </w:pPr>
      <w:bookmarkStart w:id="141" w:name="_Toc19569"/>
      <w:bookmarkStart w:id="142" w:name="_Toc5399"/>
      <w:bookmarkStart w:id="143" w:name="_Toc12875"/>
      <w:bookmarkStart w:id="144" w:name="_Toc5294"/>
      <w:bookmarkStart w:id="145" w:name="_Toc25033"/>
      <w:bookmarkStart w:id="146" w:name="_Toc21682"/>
      <w:bookmarkStart w:id="147" w:name="_Toc26125"/>
      <w:bookmarkStart w:id="148" w:name="_Toc11024"/>
      <w:bookmarkStart w:id="149" w:name="_Toc9655"/>
      <w:bookmarkStart w:id="150" w:name="_Toc11262"/>
      <w:bookmarkStart w:id="151" w:name="_Toc366"/>
      <w:bookmarkStart w:id="152" w:name="_Toc30323"/>
      <w:bookmarkStart w:id="153" w:name="_Toc17498"/>
      <w:bookmarkStart w:id="154" w:name="_Toc21526"/>
      <w:bookmarkStart w:id="155" w:name="_Toc13843"/>
      <w:bookmarkStart w:id="156" w:name="_Toc8039"/>
      <w:bookmarkStart w:id="157" w:name="_Toc15988"/>
      <w:bookmarkStart w:id="158" w:name="_Toc11552"/>
      <w:bookmarkStart w:id="159" w:name="_Toc16414"/>
      <w:r>
        <w:rPr>
          <w:rFonts w:hint="eastAsia" w:ascii="仿宋_GB2312" w:hAnsi="仿宋" w:eastAsia="仿宋_GB2312" w:cs="仿宋"/>
          <w:kern w:val="2"/>
          <w:sz w:val="32"/>
          <w:szCs w:val="32"/>
          <w:highlight w:val="none"/>
        </w:rPr>
        <w:t>一、开标一览表（报价表）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A38B60B">
      <w:pPr>
        <w:snapToGrid w:val="0"/>
        <w:spacing w:line="360" w:lineRule="auto"/>
        <w:rPr>
          <w:rFonts w:ascii="仿宋_GB2312" w:hAnsi="仿宋" w:eastAsia="仿宋_GB2312" w:cs="仿宋"/>
          <w:kern w:val="0"/>
          <w:sz w:val="24"/>
          <w:highlight w:val="none"/>
        </w:rPr>
      </w:pPr>
      <w:r>
        <w:rPr>
          <w:rFonts w:hint="eastAsia" w:ascii="仿宋_GB2312" w:hAnsi="仿宋" w:eastAsia="仿宋_GB2312" w:cs="仿宋"/>
          <w:sz w:val="24"/>
          <w:highlight w:val="none"/>
          <w:u w:val="single"/>
        </w:rPr>
        <w:t>（采购人）、（采购代理机构）</w:t>
      </w:r>
      <w:r>
        <w:rPr>
          <w:rFonts w:hint="eastAsia" w:ascii="仿宋_GB2312" w:hAnsi="仿宋" w:eastAsia="仿宋_GB2312" w:cs="仿宋"/>
          <w:kern w:val="0"/>
          <w:sz w:val="24"/>
          <w:highlight w:val="none"/>
          <w:lang w:val="zh-CN"/>
        </w:rPr>
        <w:t>：</w:t>
      </w:r>
    </w:p>
    <w:p w14:paraId="08ED4E3C">
      <w:pPr>
        <w:snapToGrid w:val="0"/>
        <w:spacing w:line="360" w:lineRule="auto"/>
        <w:ind w:firstLine="482"/>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
          <w:sz w:val="24"/>
          <w:highlight w:val="none"/>
        </w:rPr>
        <w:t>（项目名称）</w:t>
      </w:r>
      <w:r>
        <w:rPr>
          <w:rFonts w:hint="eastAsia" w:ascii="仿宋_GB2312" w:hAnsi="仿宋" w:eastAsia="仿宋_GB2312" w:cs="仿宋"/>
          <w:kern w:val="0"/>
          <w:sz w:val="24"/>
          <w:highlight w:val="none"/>
          <w:lang w:val="zh-CN"/>
        </w:rPr>
        <w:t>【招标编号：</w:t>
      </w:r>
      <w:r>
        <w:rPr>
          <w:rFonts w:hint="eastAsia" w:ascii="仿宋_GB2312" w:hAnsi="仿宋" w:eastAsia="仿宋_GB2312" w:cs="仿宋"/>
          <w:sz w:val="24"/>
          <w:highlight w:val="none"/>
        </w:rPr>
        <w:t>（采购编号）】的实施</w:t>
      </w:r>
      <w:r>
        <w:rPr>
          <w:rFonts w:hint="eastAsia" w:ascii="仿宋_GB2312" w:hAnsi="仿宋" w:eastAsia="仿宋_GB2312" w:cs="仿宋"/>
          <w:kern w:val="0"/>
          <w:sz w:val="24"/>
          <w:highlight w:val="none"/>
          <w:lang w:val="zh-CN"/>
        </w:rPr>
        <w:t>。</w:t>
      </w:r>
    </w:p>
    <w:p w14:paraId="7342E119">
      <w:pPr>
        <w:spacing w:line="360" w:lineRule="auto"/>
        <w:jc w:val="center"/>
        <w:rPr>
          <w:rFonts w:ascii="仿宋_GB2312" w:hAnsi="仿宋" w:eastAsia="仿宋_GB2312" w:cs="仿宋"/>
          <w:b/>
          <w:kern w:val="0"/>
          <w:sz w:val="24"/>
          <w:highlight w:val="none"/>
          <w:lang w:val="zh-CN"/>
        </w:rPr>
      </w:pPr>
      <w:r>
        <w:rPr>
          <w:rFonts w:hint="eastAsia" w:ascii="仿宋_GB2312" w:hAnsi="仿宋" w:eastAsia="仿宋_GB2312" w:cs="仿宋"/>
          <w:b/>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7727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23B5540A">
            <w:pPr>
              <w:adjustRightInd w:val="0"/>
              <w:snapToGrid w:val="0"/>
              <w:rPr>
                <w:rFonts w:ascii="仿宋_GB2312" w:hAnsi="仿宋" w:eastAsia="仿宋_GB2312" w:cs="仿宋"/>
                <w:snapToGrid w:val="0"/>
                <w:kern w:val="0"/>
                <w:szCs w:val="21"/>
                <w:highlight w:val="none"/>
              </w:rPr>
            </w:pPr>
            <w:r>
              <w:rPr>
                <w:rFonts w:hint="eastAsia" w:ascii="仿宋_GB2312" w:hAnsi="仿宋" w:eastAsia="仿宋_GB2312" w:cs="仿宋"/>
                <w:snapToGrid w:val="0"/>
                <w:kern w:val="0"/>
                <w:szCs w:val="21"/>
                <w:highlight w:val="none"/>
                <w:lang w:val="en-US" w:eastAsia="zh-CN"/>
              </w:rPr>
              <w:t>前两年质保期内养护费用（A）</w:t>
            </w:r>
          </w:p>
        </w:tc>
        <w:tc>
          <w:tcPr>
            <w:tcW w:w="6286" w:type="dxa"/>
            <w:noWrap/>
            <w:vAlign w:val="center"/>
          </w:tcPr>
          <w:p w14:paraId="0873EAC3">
            <w:pPr>
              <w:adjustRightInd w:val="0"/>
              <w:snapToGrid w:val="0"/>
              <w:ind w:left="72"/>
              <w:rPr>
                <w:rFonts w:hint="eastAsia" w:ascii="仿宋_GB2312" w:hAnsi="仿宋" w:eastAsia="仿宋_GB2312" w:cs="仿宋"/>
                <w:snapToGrid w:val="0"/>
                <w:kern w:val="0"/>
                <w:szCs w:val="21"/>
                <w:highlight w:val="none"/>
                <w:u w:val="none"/>
                <w:lang w:val="en-US" w:eastAsia="zh-CN"/>
              </w:rPr>
            </w:pPr>
            <w:r>
              <w:rPr>
                <w:rFonts w:hint="eastAsia" w:ascii="仿宋_GB2312" w:hAnsi="仿宋" w:eastAsia="仿宋_GB2312" w:cs="仿宋"/>
                <w:snapToGrid w:val="0"/>
                <w:kern w:val="0"/>
                <w:szCs w:val="21"/>
                <w:highlight w:val="none"/>
                <w:u w:val="single"/>
                <w:lang w:val="en-US" w:eastAsia="zh-CN"/>
              </w:rPr>
              <w:t xml:space="preserve">                     </w:t>
            </w:r>
            <w:r>
              <w:rPr>
                <w:rFonts w:hint="eastAsia" w:ascii="仿宋_GB2312" w:hAnsi="仿宋" w:eastAsia="仿宋_GB2312" w:cs="仿宋"/>
                <w:snapToGrid w:val="0"/>
                <w:kern w:val="0"/>
                <w:szCs w:val="21"/>
                <w:highlight w:val="none"/>
                <w:u w:val="none"/>
                <w:lang w:val="en-US" w:eastAsia="zh-CN"/>
              </w:rPr>
              <w:t>元（两年合计）</w:t>
            </w:r>
          </w:p>
          <w:p w14:paraId="02D75321">
            <w:pPr>
              <w:adjustRightInd w:val="0"/>
              <w:snapToGrid w:val="0"/>
              <w:ind w:left="72"/>
              <w:rPr>
                <w:rFonts w:hint="default" w:ascii="仿宋_GB2312" w:hAnsi="仿宋" w:eastAsia="仿宋_GB2312" w:cs="仿宋"/>
                <w:snapToGrid w:val="0"/>
                <w:kern w:val="0"/>
                <w:szCs w:val="21"/>
                <w:highlight w:val="none"/>
                <w:u w:val="none"/>
                <w:lang w:val="en-US" w:eastAsia="zh-CN"/>
              </w:rPr>
            </w:pPr>
            <w:r>
              <w:rPr>
                <w:rFonts w:hint="eastAsia" w:ascii="仿宋_GB2312" w:hAnsi="仿宋" w:eastAsia="仿宋_GB2312" w:cs="仿宋"/>
                <w:snapToGrid w:val="0"/>
                <w:kern w:val="0"/>
                <w:szCs w:val="21"/>
                <w:highlight w:val="none"/>
                <w:u w:val="single"/>
                <w:lang w:val="en-US" w:eastAsia="zh-CN"/>
              </w:rPr>
              <w:t xml:space="preserve">        </w:t>
            </w:r>
            <w:r>
              <w:rPr>
                <w:rFonts w:hint="eastAsia" w:ascii="仿宋_GB2312" w:hAnsi="仿宋" w:eastAsia="仿宋_GB2312" w:cs="仿宋"/>
                <w:snapToGrid w:val="0"/>
                <w:kern w:val="0"/>
                <w:szCs w:val="21"/>
                <w:highlight w:val="none"/>
                <w:u w:val="none"/>
                <w:lang w:val="en-US" w:eastAsia="zh-CN"/>
              </w:rPr>
              <w:t>元/年</w:t>
            </w:r>
          </w:p>
        </w:tc>
      </w:tr>
      <w:tr w14:paraId="7099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0372232F">
            <w:pPr>
              <w:adjustRightInd w:val="0"/>
              <w:snapToGrid w:val="0"/>
              <w:rPr>
                <w:rFonts w:hint="eastAsia" w:ascii="仿宋_GB2312" w:hAnsi="仿宋" w:eastAsia="仿宋_GB2312" w:cs="仿宋"/>
                <w:snapToGrid w:val="0"/>
                <w:kern w:val="0"/>
                <w:szCs w:val="21"/>
                <w:highlight w:val="none"/>
                <w:lang w:val="en-US" w:eastAsia="zh-CN"/>
              </w:rPr>
            </w:pPr>
            <w:r>
              <w:rPr>
                <w:rFonts w:hint="eastAsia" w:ascii="仿宋_GB2312" w:hAnsi="仿宋" w:eastAsia="仿宋_GB2312" w:cs="仿宋"/>
                <w:snapToGrid w:val="0"/>
                <w:kern w:val="0"/>
                <w:szCs w:val="21"/>
                <w:highlight w:val="none"/>
              </w:rPr>
              <w:t>第三年为正常养护期</w:t>
            </w:r>
            <w:r>
              <w:rPr>
                <w:rFonts w:hint="eastAsia" w:ascii="仿宋_GB2312" w:hAnsi="仿宋" w:eastAsia="仿宋_GB2312" w:cs="仿宋"/>
                <w:snapToGrid w:val="0"/>
                <w:kern w:val="0"/>
                <w:szCs w:val="21"/>
                <w:highlight w:val="none"/>
                <w:lang w:val="en-US" w:eastAsia="zh-CN"/>
              </w:rPr>
              <w:t>费用（B）</w:t>
            </w:r>
          </w:p>
        </w:tc>
        <w:tc>
          <w:tcPr>
            <w:tcW w:w="6286" w:type="dxa"/>
            <w:noWrap/>
            <w:vAlign w:val="center"/>
          </w:tcPr>
          <w:p w14:paraId="30AF4186">
            <w:pPr>
              <w:adjustRightInd w:val="0"/>
              <w:snapToGrid w:val="0"/>
              <w:ind w:left="72"/>
              <w:rPr>
                <w:rFonts w:hint="eastAsia" w:ascii="仿宋_GB2312" w:hAnsi="仿宋" w:eastAsia="仿宋_GB2312" w:cs="仿宋"/>
                <w:snapToGrid w:val="0"/>
                <w:kern w:val="0"/>
                <w:szCs w:val="21"/>
                <w:highlight w:val="none"/>
                <w:u w:val="single"/>
                <w:lang w:val="en-US" w:eastAsia="zh-CN"/>
              </w:rPr>
            </w:pPr>
            <w:r>
              <w:rPr>
                <w:rFonts w:hint="eastAsia" w:ascii="仿宋_GB2312" w:hAnsi="仿宋" w:eastAsia="仿宋_GB2312" w:cs="仿宋"/>
                <w:snapToGrid w:val="0"/>
                <w:kern w:val="0"/>
                <w:szCs w:val="21"/>
                <w:highlight w:val="none"/>
                <w:u w:val="single"/>
                <w:lang w:val="en-US" w:eastAsia="zh-CN"/>
              </w:rPr>
              <w:t xml:space="preserve">                     </w:t>
            </w:r>
            <w:r>
              <w:rPr>
                <w:rFonts w:hint="eastAsia" w:ascii="仿宋_GB2312" w:hAnsi="仿宋" w:eastAsia="仿宋_GB2312" w:cs="仿宋"/>
                <w:snapToGrid w:val="0"/>
                <w:kern w:val="0"/>
                <w:szCs w:val="21"/>
                <w:highlight w:val="none"/>
                <w:u w:val="none"/>
                <w:lang w:val="en-US" w:eastAsia="zh-CN"/>
              </w:rPr>
              <w:t>元（∑综合单价*</w:t>
            </w:r>
            <w:r>
              <w:rPr>
                <w:rFonts w:hint="eastAsia" w:ascii="仿宋" w:hAnsi="仿宋" w:eastAsia="仿宋" w:cs="仿宋"/>
                <w:color w:val="auto"/>
                <w:sz w:val="24"/>
                <w:highlight w:val="none"/>
              </w:rPr>
              <w:t>73138</w:t>
            </w:r>
            <w:r>
              <w:rPr>
                <w:rFonts w:hint="eastAsia" w:ascii="仿宋_GB2312" w:hAnsi="仿宋" w:eastAsia="仿宋_GB2312" w:cs="仿宋"/>
                <w:snapToGrid w:val="0"/>
                <w:kern w:val="0"/>
                <w:szCs w:val="21"/>
                <w:highlight w:val="none"/>
                <w:u w:val="none"/>
                <w:lang w:val="en-US" w:eastAsia="zh-CN"/>
              </w:rPr>
              <w:t>）</w:t>
            </w:r>
          </w:p>
          <w:p w14:paraId="21F47824">
            <w:pPr>
              <w:adjustRightInd w:val="0"/>
              <w:snapToGrid w:val="0"/>
              <w:ind w:left="72"/>
              <w:rPr>
                <w:rFonts w:hint="default" w:ascii="仿宋_GB2312" w:hAnsi="仿宋" w:eastAsia="仿宋_GB2312" w:cs="仿宋"/>
                <w:snapToGrid w:val="0"/>
                <w:kern w:val="0"/>
                <w:szCs w:val="21"/>
                <w:highlight w:val="none"/>
                <w:u w:val="single"/>
                <w:lang w:val="en-US" w:eastAsia="zh-CN"/>
              </w:rPr>
            </w:pPr>
            <w:r>
              <w:rPr>
                <w:rFonts w:hint="eastAsia" w:ascii="仿宋_GB2312" w:hAnsi="仿宋" w:eastAsia="仿宋_GB2312" w:cs="仿宋"/>
                <w:snapToGrid w:val="0"/>
                <w:kern w:val="0"/>
                <w:szCs w:val="21"/>
                <w:highlight w:val="none"/>
                <w:u w:val="single"/>
                <w:lang w:val="en-US" w:eastAsia="zh-CN"/>
              </w:rPr>
              <w:t xml:space="preserve">                     </w:t>
            </w:r>
            <w:r>
              <w:rPr>
                <w:rFonts w:hint="eastAsia" w:ascii="仿宋" w:hAnsi="仿宋" w:eastAsia="仿宋" w:cs="仿宋"/>
                <w:b w:val="0"/>
                <w:bCs w:val="0"/>
                <w:sz w:val="24"/>
                <w:szCs w:val="24"/>
                <w:highlight w:val="none"/>
              </w:rPr>
              <w:t>元</w:t>
            </w:r>
            <w:r>
              <w:rPr>
                <w:rFonts w:ascii="仿宋" w:hAnsi="仿宋" w:eastAsia="仿宋" w:cs="仿宋"/>
                <w:b w:val="0"/>
                <w:bCs w:val="0"/>
                <w:sz w:val="24"/>
                <w:szCs w:val="24"/>
                <w:highlight w:val="none"/>
              </w:rPr>
              <w:t>/</w:t>
            </w:r>
            <w:r>
              <w:rPr>
                <w:rFonts w:hint="eastAsia" w:ascii="仿宋" w:hAnsi="仿宋" w:eastAsia="仿宋" w:cs="仿宋"/>
                <w:b w:val="0"/>
                <w:bCs w:val="0"/>
                <w:sz w:val="24"/>
                <w:szCs w:val="24"/>
                <w:highlight w:val="none"/>
              </w:rPr>
              <w:t>盏</w:t>
            </w:r>
            <w:r>
              <w:rPr>
                <w:rFonts w:ascii="仿宋" w:hAnsi="仿宋" w:eastAsia="仿宋" w:cs="仿宋"/>
                <w:b w:val="0"/>
                <w:bCs w:val="0"/>
                <w:sz w:val="24"/>
                <w:szCs w:val="24"/>
                <w:highlight w:val="none"/>
              </w:rPr>
              <w:t>/</w:t>
            </w:r>
            <w:r>
              <w:rPr>
                <w:rFonts w:hint="eastAsia" w:ascii="仿宋" w:hAnsi="仿宋" w:eastAsia="仿宋" w:cs="仿宋"/>
                <w:b w:val="0"/>
                <w:bCs w:val="0"/>
                <w:sz w:val="24"/>
                <w:szCs w:val="24"/>
                <w:highlight w:val="none"/>
              </w:rPr>
              <w:t>年</w:t>
            </w:r>
          </w:p>
        </w:tc>
      </w:tr>
      <w:tr w14:paraId="3E13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1C31A515">
            <w:pPr>
              <w:adjustRightInd w:val="0"/>
              <w:snapToGrid w:val="0"/>
              <w:rPr>
                <w:rFonts w:hint="default" w:ascii="仿宋_GB2312" w:hAnsi="仿宋" w:eastAsia="仿宋_GB2312" w:cs="仿宋"/>
                <w:snapToGrid w:val="0"/>
                <w:kern w:val="0"/>
                <w:szCs w:val="21"/>
                <w:highlight w:val="none"/>
                <w:lang w:val="en-US" w:eastAsia="zh-CN"/>
              </w:rPr>
            </w:pPr>
            <w:r>
              <w:rPr>
                <w:rFonts w:hint="eastAsia" w:ascii="仿宋_GB2312" w:hAnsi="仿宋" w:eastAsia="仿宋_GB2312" w:cs="仿宋"/>
                <w:snapToGrid w:val="0"/>
                <w:kern w:val="0"/>
                <w:szCs w:val="21"/>
                <w:highlight w:val="none"/>
                <w:lang w:val="en-US" w:eastAsia="zh-CN"/>
              </w:rPr>
              <w:t>评审总价</w:t>
            </w:r>
          </w:p>
        </w:tc>
        <w:tc>
          <w:tcPr>
            <w:tcW w:w="6286" w:type="dxa"/>
            <w:noWrap/>
            <w:vAlign w:val="center"/>
          </w:tcPr>
          <w:p w14:paraId="4472ACF5">
            <w:pPr>
              <w:adjustRightInd w:val="0"/>
              <w:snapToGrid w:val="0"/>
              <w:ind w:left="72"/>
              <w:rPr>
                <w:rFonts w:hint="default" w:ascii="仿宋_GB2312" w:hAnsi="仿宋" w:eastAsia="仿宋_GB2312" w:cs="仿宋"/>
                <w:snapToGrid w:val="0"/>
                <w:kern w:val="0"/>
                <w:szCs w:val="21"/>
                <w:highlight w:val="none"/>
                <w:u w:val="single"/>
                <w:lang w:val="en-US" w:eastAsia="zh-CN"/>
              </w:rPr>
            </w:pPr>
            <w:r>
              <w:rPr>
                <w:rFonts w:hint="eastAsia" w:ascii="仿宋_GB2312" w:hAnsi="仿宋" w:eastAsia="仿宋_GB2312" w:cs="仿宋"/>
                <w:snapToGrid w:val="0"/>
                <w:kern w:val="0"/>
                <w:szCs w:val="21"/>
                <w:highlight w:val="none"/>
                <w:u w:val="single"/>
                <w:lang w:val="en-US" w:eastAsia="zh-CN"/>
              </w:rPr>
              <w:t>（A）+（B）</w:t>
            </w:r>
          </w:p>
        </w:tc>
      </w:tr>
    </w:tbl>
    <w:p w14:paraId="5A036EB2">
      <w:pPr>
        <w:adjustRightInd w:val="0"/>
        <w:snapToGrid w:val="0"/>
        <w:spacing w:line="360" w:lineRule="auto"/>
        <w:ind w:left="480"/>
        <w:rPr>
          <w:rFonts w:ascii="仿宋_GB2312" w:hAnsi="仿宋" w:eastAsia="仿宋_GB2312" w:cs="仿宋"/>
          <w:b/>
          <w:kern w:val="0"/>
          <w:sz w:val="24"/>
          <w:highlight w:val="none"/>
          <w:lang w:val="zh-CN"/>
        </w:rPr>
      </w:pPr>
      <w:r>
        <w:rPr>
          <w:rFonts w:hint="eastAsia" w:ascii="仿宋_GB2312" w:hAnsi="仿宋" w:eastAsia="仿宋_GB2312" w:cs="仿宋"/>
          <w:b/>
          <w:kern w:val="0"/>
          <w:sz w:val="24"/>
          <w:highlight w:val="none"/>
          <w:lang w:val="zh-CN"/>
        </w:rPr>
        <w:t>注：</w:t>
      </w:r>
    </w:p>
    <w:p w14:paraId="279CCCAD">
      <w:pPr>
        <w:adjustRightInd w:val="0"/>
        <w:snapToGrid w:val="0"/>
        <w:spacing w:line="360" w:lineRule="auto"/>
        <w:ind w:left="-2" w:leftChars="-1" w:firstLine="480" w:firstLineChars="2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1、投标人需按本表格式填写，不得自行更改。</w:t>
      </w:r>
    </w:p>
    <w:p w14:paraId="4BF542A3">
      <w:pPr>
        <w:adjustRightInd w:val="0"/>
        <w:snapToGrid w:val="0"/>
        <w:spacing w:line="360" w:lineRule="auto"/>
        <w:ind w:firstLine="480" w:firstLineChars="200"/>
        <w:rPr>
          <w:rFonts w:ascii="仿宋_GB2312" w:hAnsi="仿宋" w:eastAsia="仿宋_GB2312" w:cs="仿宋"/>
          <w:b/>
          <w:kern w:val="0"/>
          <w:sz w:val="24"/>
          <w:highlight w:val="none"/>
          <w:lang w:val="zh-CN"/>
        </w:rPr>
      </w:pPr>
      <w:r>
        <w:rPr>
          <w:rFonts w:hint="eastAsia" w:ascii="仿宋_GB2312" w:hAnsi="仿宋" w:eastAsia="仿宋_GB2312" w:cs="仿宋"/>
          <w:kern w:val="0"/>
          <w:sz w:val="24"/>
          <w:highlight w:val="none"/>
          <w:lang w:val="zh-CN"/>
        </w:rPr>
        <w:t>2、有关本项目实施所涉及的一切费用均计入报价。</w:t>
      </w:r>
      <w:r>
        <w:rPr>
          <w:rFonts w:hint="eastAsia" w:ascii="仿宋_GB2312" w:hAnsi="仿宋" w:eastAsia="仿宋_GB2312" w:cs="仿宋"/>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
          <w:kern w:val="0"/>
          <w:sz w:val="24"/>
          <w:highlight w:val="none"/>
          <w:lang w:val="zh-CN"/>
        </w:rPr>
        <w:t>，</w:t>
      </w:r>
      <w:r>
        <w:rPr>
          <w:rFonts w:hint="eastAsia" w:ascii="仿宋_GB2312" w:hAnsi="仿宋" w:eastAsia="仿宋_GB2312" w:cs="仿宋"/>
          <w:b/>
          <w:kern w:val="0"/>
          <w:sz w:val="24"/>
          <w:highlight w:val="none"/>
          <w:lang w:val="zh-CN"/>
        </w:rPr>
        <w:t>不得出现“0元”“免费赠送”等形式的无偿报价，</w:t>
      </w:r>
      <w:r>
        <w:rPr>
          <w:rFonts w:hint="eastAsia" w:ascii="仿宋_GB2312" w:hAnsi="仿宋" w:eastAsia="仿宋_GB2312" w:cs="仿宋"/>
          <w:b/>
          <w:kern w:val="0"/>
          <w:sz w:val="24"/>
          <w:highlight w:val="none"/>
        </w:rPr>
        <w:t>否则视为</w:t>
      </w:r>
      <w:r>
        <w:rPr>
          <w:rFonts w:hint="eastAsia" w:ascii="仿宋_GB2312" w:hAnsi="仿宋" w:eastAsia="仿宋_GB2312" w:cs="仿宋"/>
          <w:b/>
          <w:sz w:val="24"/>
          <w:highlight w:val="none"/>
        </w:rPr>
        <w:t>投标文件含有采购人不能接受的附加条件的，投标无效</w:t>
      </w:r>
      <w:r>
        <w:rPr>
          <w:rFonts w:hint="eastAsia" w:ascii="仿宋_GB2312" w:hAnsi="仿宋" w:eastAsia="仿宋_GB2312" w:cs="仿宋"/>
          <w:b/>
          <w:kern w:val="0"/>
          <w:sz w:val="24"/>
          <w:highlight w:val="none"/>
          <w:lang w:val="zh-CN"/>
        </w:rPr>
        <w:t>。</w:t>
      </w:r>
    </w:p>
    <w:p w14:paraId="5C0C4D28">
      <w:pPr>
        <w:adjustRightInd w:val="0"/>
        <w:snapToGrid w:val="0"/>
        <w:spacing w:line="360" w:lineRule="auto"/>
        <w:ind w:left="-2" w:leftChars="-1" w:firstLine="480" w:firstLineChars="2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rPr>
        <w:t>3、</w:t>
      </w:r>
      <w:r>
        <w:rPr>
          <w:rFonts w:hint="eastAsia" w:ascii="仿宋_GB2312" w:hAnsi="仿宋" w:eastAsia="仿宋_GB2312" w:cs="仿宋"/>
          <w:kern w:val="0"/>
          <w:sz w:val="24"/>
          <w:highlight w:val="none"/>
          <w:lang w:val="zh-CN"/>
        </w:rPr>
        <w:t>特别说明：</w:t>
      </w:r>
      <w:r>
        <w:rPr>
          <w:rFonts w:hint="eastAsia" w:ascii="仿宋_GB2312" w:hAnsi="仿宋" w:eastAsia="仿宋_GB2312" w:cs="仿宋"/>
          <w:sz w:val="24"/>
          <w:highlight w:val="none"/>
        </w:rPr>
        <w:t>报价低于50%（不含）的，</w:t>
      </w:r>
      <w:r>
        <w:rPr>
          <w:rFonts w:hint="eastAsia" w:ascii="仿宋_GB2312" w:hAnsi="仿宋" w:eastAsia="仿宋_GB2312" w:cs="仿宋"/>
          <w:sz w:val="24"/>
          <w:highlight w:val="none"/>
          <w:lang w:val="zh-CN"/>
        </w:rPr>
        <w:t>应当在报价文件中出具《报价情况说明》，</w:t>
      </w:r>
      <w:r>
        <w:rPr>
          <w:rFonts w:hint="eastAsia" w:ascii="仿宋_GB2312" w:hAnsi="仿宋" w:eastAsia="仿宋_GB2312" w:cs="仿宋"/>
          <w:sz w:val="24"/>
          <w:highlight w:val="none"/>
        </w:rPr>
        <w:t>针对采购需求列出的工作项目内容提供该报价的原因，</w:t>
      </w:r>
      <w:r>
        <w:rPr>
          <w:rFonts w:hint="eastAsia" w:ascii="仿宋_GB2312" w:hAnsi="仿宋" w:eastAsia="仿宋_GB2312" w:cs="仿宋"/>
          <w:sz w:val="24"/>
          <w:highlight w:val="none"/>
          <w:lang w:val="zh-CN"/>
        </w:rPr>
        <w:t>详细阐述不影响服务质量或者诚信履约的具体理由及依据。</w:t>
      </w:r>
    </w:p>
    <w:p w14:paraId="646D5E2F">
      <w:pPr>
        <w:keepNext/>
        <w:keepLines/>
        <w:adjustRightInd w:val="0"/>
        <w:spacing w:line="416" w:lineRule="auto"/>
        <w:rPr>
          <w:rFonts w:ascii="仿宋_GB2312" w:hAnsi="仿宋" w:eastAsia="仿宋_GB2312" w:cs="仿宋"/>
          <w:highlight w:val="none"/>
        </w:rPr>
      </w:pPr>
    </w:p>
    <w:p w14:paraId="1ED3078F">
      <w:pPr>
        <w:snapToGrid w:val="0"/>
        <w:spacing w:line="360" w:lineRule="auto"/>
        <w:ind w:firstLine="576"/>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投标人名称(电子签名)：                              </w:t>
      </w:r>
    </w:p>
    <w:p w14:paraId="49BDD062">
      <w:pPr>
        <w:adjustRightInd w:val="0"/>
        <w:snapToGrid w:val="0"/>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kern w:val="0"/>
          <w:sz w:val="24"/>
          <w:highlight w:val="none"/>
          <w:lang w:val="zh-CN"/>
        </w:rPr>
        <w:t xml:space="preserve"> 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1D23A9B2">
      <w:pPr>
        <w:rPr>
          <w:rFonts w:ascii="仿宋_GB2312" w:hAnsi="仿宋" w:eastAsia="仿宋_GB2312" w:cs="仿宋"/>
          <w:b/>
          <w:kern w:val="0"/>
          <w:sz w:val="24"/>
          <w:highlight w:val="none"/>
        </w:rPr>
      </w:pPr>
      <w:r>
        <w:rPr>
          <w:rFonts w:ascii="仿宋_GB2312" w:hAnsi="仿宋" w:eastAsia="仿宋_GB2312" w:cs="仿宋"/>
          <w:b/>
          <w:kern w:val="0"/>
          <w:sz w:val="24"/>
          <w:highlight w:val="none"/>
        </w:rPr>
        <w:br w:type="page"/>
      </w:r>
    </w:p>
    <w:p w14:paraId="711735E1">
      <w:pPr>
        <w:pStyle w:val="2"/>
      </w:pPr>
    </w:p>
    <w:p w14:paraId="7D5ED6CA">
      <w:pPr>
        <w:pStyle w:val="18"/>
        <w:spacing w:line="600" w:lineRule="exact"/>
        <w:ind w:firstLine="0"/>
        <w:jc w:val="center"/>
        <w:rPr>
          <w:rFonts w:ascii="仿宋_GB2312" w:hAnsi="仿宋" w:eastAsia="仿宋_GB2312" w:cs="仿宋"/>
          <w:b/>
          <w:bCs/>
          <w:snapToGrid w:val="0"/>
          <w:kern w:val="0"/>
          <w:sz w:val="28"/>
          <w:szCs w:val="28"/>
          <w:highlight w:val="none"/>
        </w:rPr>
      </w:pPr>
      <w:r>
        <w:rPr>
          <w:rFonts w:hint="eastAsia" w:ascii="仿宋_GB2312" w:hAnsi="仿宋" w:eastAsia="仿宋_GB2312" w:cs="仿宋"/>
          <w:b/>
          <w:bCs/>
          <w:snapToGrid w:val="0"/>
          <w:kern w:val="0"/>
          <w:sz w:val="28"/>
          <w:szCs w:val="28"/>
          <w:highlight w:val="none"/>
        </w:rPr>
        <w:t>二、</w:t>
      </w:r>
      <w:r>
        <w:rPr>
          <w:rFonts w:hint="eastAsia" w:ascii="仿宋_GB2312" w:hAnsi="仿宋" w:eastAsia="仿宋_GB2312" w:cs="仿宋"/>
          <w:b/>
          <w:bCs/>
          <w:snapToGrid w:val="0"/>
          <w:kern w:val="0"/>
          <w:sz w:val="28"/>
          <w:szCs w:val="28"/>
          <w:highlight w:val="none"/>
          <w:lang w:val="en-US" w:eastAsia="zh-CN"/>
        </w:rPr>
        <w:t>成本分析</w:t>
      </w:r>
    </w:p>
    <w:p w14:paraId="53B6B15B">
      <w:pPr>
        <w:adjustRightInd w:val="0"/>
        <w:spacing w:line="360" w:lineRule="auto"/>
        <w:jc w:val="left"/>
        <w:rPr>
          <w:rFonts w:ascii="仿宋_GB2312" w:hAnsi="仿宋" w:eastAsia="仿宋_GB2312" w:cs="仿宋"/>
          <w:szCs w:val="21"/>
          <w:highlight w:val="none"/>
        </w:rPr>
      </w:pPr>
    </w:p>
    <w:p w14:paraId="01631F58">
      <w:pPr>
        <w:adjustRightInd w:val="0"/>
        <w:spacing w:line="360" w:lineRule="auto"/>
        <w:rPr>
          <w:rFonts w:hint="eastAsia" w:ascii="仿宋_GB2312" w:hAnsi="仿宋" w:eastAsia="仿宋_GB2312" w:cs="仿宋"/>
          <w:szCs w:val="21"/>
          <w:highlight w:val="none"/>
          <w:lang w:eastAsia="zh-CN"/>
        </w:rPr>
      </w:pPr>
      <w:r>
        <w:rPr>
          <w:rFonts w:hint="eastAsia" w:ascii="仿宋_GB2312" w:hAnsi="仿宋" w:eastAsia="仿宋_GB2312" w:cs="仿宋"/>
          <w:szCs w:val="21"/>
          <w:highlight w:val="none"/>
        </w:rPr>
        <w:t>项目名称：</w:t>
      </w:r>
      <w:r>
        <w:rPr>
          <w:rFonts w:hint="eastAsia" w:ascii="仿宋_GB2312" w:hAnsi="仿宋" w:eastAsia="仿宋_GB2312" w:cs="仿宋"/>
          <w:szCs w:val="21"/>
          <w:highlight w:val="none"/>
          <w:lang w:eastAsia="zh-CN"/>
        </w:rPr>
        <w:t>2025-2028年钱塘区特色街区景观灯及其附属设施养护服务项目</w:t>
      </w:r>
    </w:p>
    <w:p w14:paraId="6BD7870D">
      <w:pPr>
        <w:pStyle w:val="17"/>
        <w:rPr>
          <w:rFonts w:hint="eastAsia" w:ascii="仿宋_GB2312" w:hAnsi="仿宋" w:eastAsia="仿宋_GB2312" w:cs="仿宋"/>
          <w:szCs w:val="21"/>
          <w:highlight w:val="none"/>
          <w:lang w:eastAsia="zh-CN"/>
        </w:rPr>
      </w:pPr>
      <w:r>
        <w:rPr>
          <w:rFonts w:hint="eastAsia" w:ascii="仿宋_GB2312" w:hAnsi="仿宋" w:eastAsia="仿宋_GB2312" w:cs="仿宋"/>
          <w:szCs w:val="21"/>
          <w:highlight w:val="none"/>
        </w:rPr>
        <w:t>采购编号：</w:t>
      </w:r>
      <w:r>
        <w:rPr>
          <w:rFonts w:hint="eastAsia" w:ascii="仿宋_GB2312" w:hAnsi="仿宋" w:eastAsia="仿宋_GB2312" w:cs="仿宋"/>
          <w:szCs w:val="21"/>
          <w:highlight w:val="none"/>
          <w:lang w:eastAsia="zh-CN"/>
        </w:rPr>
        <w:t>QTCG-GK-2025-080</w:t>
      </w:r>
    </w:p>
    <w:p w14:paraId="028462F5">
      <w:pPr>
        <w:pStyle w:val="31"/>
        <w:rPr>
          <w:rFonts w:ascii="仿宋_GB2312" w:hAnsi="仿宋" w:eastAsia="仿宋_GB2312" w:cs="仿宋"/>
          <w:szCs w:val="21"/>
          <w:highlight w:val="none"/>
        </w:rPr>
      </w:pPr>
    </w:p>
    <w:p w14:paraId="18D26176">
      <w:pPr>
        <w:pStyle w:val="31"/>
        <w:rPr>
          <w:rFonts w:ascii="仿宋_GB2312" w:hAnsi="仿宋" w:eastAsia="仿宋_GB2312" w:cs="仿宋"/>
          <w:szCs w:val="21"/>
          <w:highlight w:val="none"/>
        </w:rPr>
      </w:pPr>
    </w:p>
    <w:p w14:paraId="250CD266">
      <w:pPr>
        <w:pStyle w:val="31"/>
        <w:rPr>
          <w:rFonts w:ascii="仿宋_GB2312" w:hAnsi="仿宋" w:eastAsia="仿宋_GB2312" w:cs="仿宋"/>
          <w:szCs w:val="21"/>
          <w:highlight w:val="none"/>
        </w:rPr>
      </w:pPr>
      <w:r>
        <w:rPr>
          <w:rFonts w:hint="eastAsia" w:ascii="仿宋_GB2312" w:hAnsi="仿宋" w:eastAsia="仿宋_GB2312" w:cs="仿宋"/>
          <w:szCs w:val="21"/>
          <w:highlight w:val="none"/>
        </w:rPr>
        <w:t>（自拟）</w:t>
      </w:r>
    </w:p>
    <w:p w14:paraId="2CB0D66A">
      <w:pPr>
        <w:spacing w:line="360" w:lineRule="auto"/>
        <w:rPr>
          <w:rFonts w:ascii="仿宋_GB2312" w:hAnsi="仿宋" w:eastAsia="仿宋_GB2312" w:cs="仿宋"/>
          <w:highlight w:val="none"/>
        </w:rPr>
      </w:pPr>
    </w:p>
    <w:p w14:paraId="686E1F0B">
      <w:pPr>
        <w:spacing w:line="360" w:lineRule="auto"/>
        <w:rPr>
          <w:rFonts w:ascii="仿宋_GB2312" w:hAnsi="仿宋" w:eastAsia="仿宋_GB2312" w:cs="仿宋"/>
          <w:highlight w:val="none"/>
        </w:rPr>
      </w:pPr>
    </w:p>
    <w:p w14:paraId="47E399DB">
      <w:pPr>
        <w:adjustRightInd w:val="0"/>
        <w:spacing w:line="360" w:lineRule="auto"/>
        <w:ind w:firstLine="4515" w:firstLineChars="2150"/>
        <w:rPr>
          <w:rFonts w:ascii="仿宋_GB2312" w:hAnsi="仿宋" w:eastAsia="仿宋_GB2312" w:cs="仿宋"/>
          <w:szCs w:val="21"/>
          <w:highlight w:val="none"/>
        </w:rPr>
      </w:pPr>
    </w:p>
    <w:p w14:paraId="5E0AD7FD">
      <w:pPr>
        <w:snapToGrid w:val="0"/>
        <w:spacing w:line="360" w:lineRule="auto"/>
        <w:ind w:firstLine="576"/>
        <w:jc w:val="lef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投标人名称(电子签名)：                              </w:t>
      </w:r>
    </w:p>
    <w:p w14:paraId="25A52574">
      <w:pPr>
        <w:adjustRightInd w:val="0"/>
        <w:ind w:firstLine="720" w:firstLineChars="300"/>
        <w:rPr>
          <w:rFonts w:ascii="仿宋_GB2312" w:hAnsi="仿宋" w:eastAsia="仿宋_GB2312" w:cs="仿宋"/>
          <w:szCs w:val="21"/>
          <w:highlight w:val="none"/>
        </w:rPr>
      </w:pPr>
      <w:r>
        <w:rPr>
          <w:rFonts w:hint="eastAsia" w:ascii="仿宋_GB2312" w:hAnsi="仿宋" w:eastAsia="仿宋_GB2312" w:cs="仿宋"/>
          <w:kern w:val="0"/>
          <w:sz w:val="24"/>
          <w:highlight w:val="none"/>
          <w:lang w:val="zh-CN"/>
        </w:rPr>
        <w:t>日期：</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年</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月</w:t>
      </w:r>
      <w:r>
        <w:rPr>
          <w:rFonts w:hint="eastAsia" w:ascii="仿宋_GB2312" w:hAnsi="仿宋" w:eastAsia="仿宋_GB2312" w:cs="仿宋"/>
          <w:kern w:val="0"/>
          <w:sz w:val="24"/>
          <w:highlight w:val="none"/>
          <w:u w:val="single"/>
          <w:lang w:val="zh-CN"/>
        </w:rPr>
        <w:t xml:space="preserve">   </w:t>
      </w:r>
      <w:r>
        <w:rPr>
          <w:rFonts w:hint="eastAsia" w:ascii="仿宋_GB2312" w:hAnsi="仿宋" w:eastAsia="仿宋_GB2312" w:cs="仿宋"/>
          <w:kern w:val="0"/>
          <w:sz w:val="24"/>
          <w:highlight w:val="none"/>
          <w:lang w:val="zh-CN"/>
        </w:rPr>
        <w:t>日</w:t>
      </w:r>
    </w:p>
    <w:p w14:paraId="1DDA51A5">
      <w:pPr>
        <w:pStyle w:val="177"/>
        <w:keepNext w:val="0"/>
        <w:pageBreakBefore w:val="0"/>
        <w:tabs>
          <w:tab w:val="clear" w:pos="720"/>
        </w:tabs>
        <w:snapToGrid w:val="0"/>
        <w:spacing w:before="120" w:after="120"/>
        <w:ind w:firstLine="643"/>
        <w:outlineLvl w:val="9"/>
        <w:rPr>
          <w:rFonts w:ascii="仿宋_GB2312" w:hAnsi="仿宋" w:eastAsia="仿宋_GB2312" w:cs="仿宋"/>
          <w:highlight w:val="none"/>
        </w:rPr>
        <w:sectPr>
          <w:pgSz w:w="11906" w:h="16838"/>
          <w:pgMar w:top="1247" w:right="1418" w:bottom="1276" w:left="1418" w:header="851" w:footer="992" w:gutter="0"/>
          <w:cols w:space="720" w:num="1"/>
          <w:titlePg/>
          <w:docGrid w:linePitch="312" w:charSpace="0"/>
        </w:sectPr>
      </w:pPr>
    </w:p>
    <w:p w14:paraId="461D216F">
      <w:pPr>
        <w:rPr>
          <w:rFonts w:ascii="仿宋_GB2312" w:hAnsi="仿宋" w:eastAsia="仿宋_GB2312" w:cs="仿宋"/>
          <w:highlight w:val="none"/>
        </w:rPr>
      </w:pPr>
    </w:p>
    <w:p w14:paraId="19669EFA">
      <w:pPr>
        <w:spacing w:line="360" w:lineRule="auto"/>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附件1：</w:t>
      </w:r>
    </w:p>
    <w:p w14:paraId="112DBDED">
      <w:pPr>
        <w:spacing w:line="360" w:lineRule="auto"/>
        <w:jc w:val="center"/>
        <w:rPr>
          <w:rFonts w:ascii="仿宋_GB2312" w:hAnsi="仿宋" w:eastAsia="仿宋_GB2312" w:cs="仿宋"/>
          <w:b/>
          <w:spacing w:val="6"/>
          <w:sz w:val="32"/>
          <w:szCs w:val="32"/>
          <w:highlight w:val="none"/>
        </w:rPr>
      </w:pPr>
      <w:bookmarkStart w:id="160" w:name="OLE_LINK13"/>
      <w:bookmarkStart w:id="161" w:name="OLE_LINK14"/>
      <w:r>
        <w:rPr>
          <w:rFonts w:hint="eastAsia" w:ascii="仿宋_GB2312" w:hAnsi="仿宋" w:eastAsia="仿宋_GB2312" w:cs="仿宋"/>
          <w:b/>
          <w:spacing w:val="6"/>
          <w:sz w:val="32"/>
          <w:szCs w:val="32"/>
          <w:highlight w:val="none"/>
        </w:rPr>
        <w:t>残疾人福利性单位声明函</w:t>
      </w:r>
    </w:p>
    <w:bookmarkEnd w:id="160"/>
    <w:bookmarkEnd w:id="161"/>
    <w:p w14:paraId="3D6DD94F">
      <w:pPr>
        <w:spacing w:line="360" w:lineRule="auto"/>
        <w:rPr>
          <w:rFonts w:ascii="仿宋_GB2312" w:hAnsi="仿宋" w:eastAsia="仿宋_GB2312" w:cs="仿宋"/>
          <w:b/>
          <w:spacing w:val="6"/>
          <w:sz w:val="30"/>
          <w:szCs w:val="30"/>
          <w:highlight w:val="none"/>
        </w:rPr>
      </w:pPr>
    </w:p>
    <w:p w14:paraId="0FE64563">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4FDBD9">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本单位对上述声明的真实性负责。如有虚假，将依法承担相应责任。</w:t>
      </w:r>
    </w:p>
    <w:p w14:paraId="46136F05">
      <w:pPr>
        <w:spacing w:line="360" w:lineRule="auto"/>
        <w:ind w:firstLine="480" w:firstLineChars="200"/>
        <w:rPr>
          <w:rFonts w:ascii="仿宋_GB2312" w:hAnsi="仿宋" w:eastAsia="仿宋_GB2312" w:cs="仿宋"/>
          <w:sz w:val="24"/>
          <w:highlight w:val="none"/>
        </w:rPr>
      </w:pPr>
    </w:p>
    <w:p w14:paraId="3EE4FF73">
      <w:pPr>
        <w:spacing w:line="360" w:lineRule="auto"/>
        <w:ind w:firstLine="480" w:firstLineChars="200"/>
        <w:rPr>
          <w:rFonts w:ascii="仿宋_GB2312" w:hAnsi="仿宋" w:eastAsia="仿宋_GB2312" w:cs="仿宋"/>
          <w:sz w:val="24"/>
          <w:highlight w:val="none"/>
        </w:rPr>
      </w:pPr>
    </w:p>
    <w:p w14:paraId="45E41EB6">
      <w:pPr>
        <w:tabs>
          <w:tab w:val="left" w:pos="4860"/>
        </w:tabs>
        <w:spacing w:line="360" w:lineRule="auto"/>
        <w:ind w:right="1560" w:firstLine="480" w:firstLineChars="200"/>
        <w:jc w:val="center"/>
        <w:rPr>
          <w:rFonts w:ascii="仿宋_GB2312" w:hAnsi="仿宋" w:eastAsia="仿宋_GB2312" w:cs="仿宋"/>
          <w:sz w:val="24"/>
          <w:highlight w:val="none"/>
        </w:rPr>
      </w:pPr>
      <w:r>
        <w:rPr>
          <w:rFonts w:hint="eastAsia" w:ascii="仿宋_GB2312" w:hAnsi="仿宋" w:eastAsia="仿宋_GB2312" w:cs="仿宋"/>
          <w:kern w:val="0"/>
          <w:sz w:val="24"/>
          <w:highlight w:val="none"/>
          <w:lang w:val="zh-CN"/>
        </w:rPr>
        <w:t>投标人名称（电子签名）</w:t>
      </w:r>
      <w:r>
        <w:rPr>
          <w:rFonts w:hint="eastAsia" w:ascii="仿宋_GB2312" w:hAnsi="仿宋" w:eastAsia="仿宋_GB2312" w:cs="仿宋"/>
          <w:sz w:val="24"/>
          <w:highlight w:val="none"/>
        </w:rPr>
        <w:t>：</w:t>
      </w:r>
    </w:p>
    <w:p w14:paraId="38AA7C1E">
      <w:pPr>
        <w:tabs>
          <w:tab w:val="left" w:pos="4860"/>
        </w:tabs>
        <w:spacing w:line="360" w:lineRule="auto"/>
        <w:ind w:right="1560" w:firstLine="480" w:firstLineChars="200"/>
        <w:jc w:val="center"/>
        <w:rPr>
          <w:rFonts w:ascii="仿宋_GB2312" w:hAnsi="仿宋" w:eastAsia="仿宋_GB2312" w:cs="仿宋"/>
          <w:sz w:val="24"/>
          <w:highlight w:val="none"/>
        </w:rPr>
      </w:pPr>
      <w:r>
        <w:rPr>
          <w:rFonts w:hint="eastAsia" w:ascii="仿宋_GB2312" w:hAnsi="仿宋" w:eastAsia="仿宋_GB2312" w:cs="仿宋"/>
          <w:sz w:val="24"/>
          <w:highlight w:val="none"/>
        </w:rPr>
        <w:t xml:space="preserve">       日  期：</w:t>
      </w:r>
    </w:p>
    <w:p w14:paraId="4DF35171">
      <w:pPr>
        <w:spacing w:line="360" w:lineRule="auto"/>
        <w:ind w:firstLine="480" w:firstLineChars="200"/>
        <w:rPr>
          <w:rFonts w:ascii="仿宋_GB2312" w:hAnsi="仿宋" w:eastAsia="仿宋_GB2312" w:cs="仿宋"/>
          <w:sz w:val="24"/>
          <w:highlight w:val="none"/>
        </w:rPr>
      </w:pPr>
    </w:p>
    <w:p w14:paraId="78DFAA6B">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2DF27D56">
      <w:pPr>
        <w:spacing w:line="360" w:lineRule="auto"/>
        <w:jc w:val="left"/>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附件2：质疑函范本及制作说明</w:t>
      </w:r>
    </w:p>
    <w:p w14:paraId="282501A1">
      <w:pPr>
        <w:spacing w:line="360" w:lineRule="auto"/>
        <w:jc w:val="cente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质疑函范本</w:t>
      </w:r>
    </w:p>
    <w:p w14:paraId="1F653779">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1C6F091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p>
    <w:p w14:paraId="6E7A448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地址：邮编：</w:t>
      </w:r>
    </w:p>
    <w:p w14:paraId="2847E692">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联系人：联系电话：</w:t>
      </w:r>
    </w:p>
    <w:p w14:paraId="7315D855">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p>
    <w:p w14:paraId="740C2BCA">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p>
    <w:p w14:paraId="7A0E254C">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 邮编：</w:t>
      </w:r>
    </w:p>
    <w:p w14:paraId="66F0AA5B">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2B993614">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p>
    <w:p w14:paraId="1DB6D7B1">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质疑项目的编号：包号：</w:t>
      </w:r>
    </w:p>
    <w:p w14:paraId="332C9BCE">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p>
    <w:p w14:paraId="0E091761">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p>
    <w:p w14:paraId="52C13A9E">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7AB51EF0">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质疑事项1：</w:t>
      </w:r>
    </w:p>
    <w:p w14:paraId="7F7A11E5">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p>
    <w:p w14:paraId="2FBB9028">
      <w:pPr>
        <w:snapToGrid w:val="0"/>
        <w:spacing w:line="360" w:lineRule="auto"/>
        <w:rPr>
          <w:rFonts w:ascii="仿宋_GB2312" w:hAnsi="仿宋" w:eastAsia="仿宋_GB2312" w:cs="仿宋"/>
          <w:sz w:val="24"/>
          <w:highlight w:val="none"/>
        </w:rPr>
      </w:pPr>
    </w:p>
    <w:p w14:paraId="014F7BA2">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p>
    <w:p w14:paraId="1440AC66">
      <w:pPr>
        <w:snapToGrid w:val="0"/>
        <w:spacing w:line="360" w:lineRule="auto"/>
        <w:rPr>
          <w:rFonts w:ascii="仿宋_GB2312" w:hAnsi="仿宋" w:eastAsia="仿宋_GB2312" w:cs="仿宋"/>
          <w:sz w:val="24"/>
          <w:highlight w:val="none"/>
          <w:u w:val="dotted"/>
        </w:rPr>
      </w:pPr>
    </w:p>
    <w:p w14:paraId="6977E936">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质疑事项2</w:t>
      </w:r>
    </w:p>
    <w:p w14:paraId="4DF41DA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07410F21">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0E92A99B">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p>
    <w:p w14:paraId="219F95A2">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签字(签章)：                   公章：                      </w:t>
      </w:r>
    </w:p>
    <w:p w14:paraId="4C65DE51">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日期：    </w:t>
      </w:r>
    </w:p>
    <w:p w14:paraId="30B9EC3F">
      <w:pPr>
        <w:spacing w:line="360" w:lineRule="auto"/>
        <w:jc w:val="center"/>
        <w:rPr>
          <w:rFonts w:ascii="仿宋_GB2312" w:hAnsi="仿宋" w:eastAsia="仿宋_GB2312" w:cs="仿宋"/>
          <w:b/>
          <w:bCs/>
          <w:sz w:val="24"/>
          <w:highlight w:val="none"/>
        </w:rPr>
      </w:pPr>
    </w:p>
    <w:p w14:paraId="33E142AD">
      <w:pPr>
        <w:spacing w:line="360" w:lineRule="auto"/>
        <w:rPr>
          <w:rFonts w:ascii="仿宋_GB2312" w:hAnsi="仿宋" w:eastAsia="仿宋_GB2312" w:cs="仿宋"/>
          <w:b/>
          <w:sz w:val="24"/>
          <w:highlight w:val="none"/>
        </w:rPr>
      </w:pPr>
    </w:p>
    <w:p w14:paraId="4E9151EB">
      <w:pPr>
        <w:spacing w:line="360" w:lineRule="auto"/>
        <w:rPr>
          <w:rFonts w:ascii="仿宋_GB2312" w:hAnsi="仿宋" w:eastAsia="仿宋_GB2312" w:cs="仿宋"/>
          <w:b/>
          <w:sz w:val="24"/>
          <w:highlight w:val="none"/>
        </w:rPr>
      </w:pPr>
    </w:p>
    <w:p w14:paraId="3C7A9745">
      <w:pPr>
        <w:spacing w:line="360" w:lineRule="auto"/>
        <w:rPr>
          <w:rFonts w:ascii="仿宋_GB2312" w:hAnsi="仿宋" w:eastAsia="仿宋_GB2312" w:cs="仿宋"/>
          <w:b/>
          <w:sz w:val="24"/>
          <w:highlight w:val="none"/>
        </w:rPr>
      </w:pPr>
    </w:p>
    <w:p w14:paraId="147550C3">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rPr>
        <w:t>质疑函制作说明：</w:t>
      </w:r>
    </w:p>
    <w:p w14:paraId="669561F1">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1.供应商提出质疑时，应提交质疑函和必要的证明材料。</w:t>
      </w:r>
    </w:p>
    <w:p w14:paraId="6E6BB864">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2.质疑供应商若委托代理人进行质疑的，质疑函应按要求列明“授权代表”的有关内容，并在附件中提交由质疑</w:t>
      </w:r>
      <w:r>
        <w:rPr>
          <w:rFonts w:hint="eastAsia" w:ascii="仿宋_GB2312" w:hAnsi="仿宋" w:eastAsia="仿宋_GB2312" w:cs="仿宋"/>
          <w:kern w:val="0"/>
          <w:sz w:val="24"/>
          <w:highlight w:val="none"/>
        </w:rPr>
        <w:t>供应商签署的授权委托书。授权委托书应载明代理人的姓名或者名称、代理事项、具体权限、期限和相关事项。</w:t>
      </w:r>
    </w:p>
    <w:p w14:paraId="4D7072CC">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3.质疑供应商若对项目的某一分包进行质疑，质疑函中应列明具体分包号。</w:t>
      </w:r>
    </w:p>
    <w:p w14:paraId="356049F9">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4.质疑函的质疑事项应具体、明确，并有必要的事实依据和法律依据。</w:t>
      </w:r>
    </w:p>
    <w:p w14:paraId="09E06DAE">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5.质疑函的质疑请求应与质疑事项相关。</w:t>
      </w:r>
    </w:p>
    <w:p w14:paraId="362641CE">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6.质疑供应商为自然人的，质疑函应由本人签字；质疑供应商为法人或者其他组织的，质疑函应由法定代表人、主要负责人，或者其授权代表签字或者盖章，并加盖公章。</w:t>
      </w:r>
    </w:p>
    <w:p w14:paraId="10F06033">
      <w:pPr>
        <w:widowControl/>
        <w:spacing w:line="360" w:lineRule="auto"/>
        <w:ind w:firstLine="600" w:firstLineChars="200"/>
        <w:jc w:val="left"/>
        <w:rPr>
          <w:rFonts w:ascii="仿宋_GB2312" w:hAnsi="仿宋" w:eastAsia="仿宋_GB2312" w:cs="仿宋"/>
          <w:sz w:val="30"/>
          <w:szCs w:val="30"/>
          <w:highlight w:val="none"/>
        </w:rPr>
      </w:pPr>
    </w:p>
    <w:p w14:paraId="36CD8E31">
      <w:pPr>
        <w:spacing w:line="360" w:lineRule="auto"/>
        <w:jc w:val="center"/>
        <w:rPr>
          <w:rFonts w:ascii="仿宋_GB2312" w:hAnsi="仿宋" w:eastAsia="仿宋_GB2312" w:cs="仿宋"/>
          <w:b/>
          <w:spacing w:val="6"/>
          <w:sz w:val="32"/>
          <w:szCs w:val="32"/>
          <w:highlight w:val="none"/>
        </w:rPr>
      </w:pPr>
    </w:p>
    <w:p w14:paraId="2338865B">
      <w:pPr>
        <w:spacing w:line="360" w:lineRule="auto"/>
        <w:jc w:val="center"/>
        <w:rPr>
          <w:rFonts w:ascii="仿宋_GB2312" w:hAnsi="仿宋" w:eastAsia="仿宋_GB2312" w:cs="仿宋"/>
          <w:b/>
          <w:spacing w:val="6"/>
          <w:sz w:val="32"/>
          <w:szCs w:val="32"/>
          <w:highlight w:val="none"/>
        </w:rPr>
      </w:pPr>
    </w:p>
    <w:p w14:paraId="5FC6D92F">
      <w:pPr>
        <w:spacing w:line="360" w:lineRule="auto"/>
        <w:jc w:val="center"/>
        <w:rPr>
          <w:rFonts w:ascii="仿宋_GB2312" w:hAnsi="仿宋" w:eastAsia="仿宋_GB2312" w:cs="仿宋"/>
          <w:b/>
          <w:spacing w:val="6"/>
          <w:sz w:val="32"/>
          <w:szCs w:val="32"/>
          <w:highlight w:val="none"/>
        </w:rPr>
      </w:pPr>
    </w:p>
    <w:p w14:paraId="47652980">
      <w:pPr>
        <w:spacing w:line="360" w:lineRule="auto"/>
        <w:jc w:val="center"/>
        <w:rPr>
          <w:rFonts w:ascii="仿宋_GB2312" w:hAnsi="仿宋" w:eastAsia="仿宋_GB2312" w:cs="仿宋"/>
          <w:b/>
          <w:spacing w:val="6"/>
          <w:sz w:val="32"/>
          <w:szCs w:val="32"/>
          <w:highlight w:val="none"/>
        </w:rPr>
      </w:pPr>
    </w:p>
    <w:p w14:paraId="3A9C55D8">
      <w:pPr>
        <w:spacing w:line="360" w:lineRule="auto"/>
        <w:jc w:val="center"/>
        <w:rPr>
          <w:rFonts w:ascii="仿宋_GB2312" w:hAnsi="仿宋" w:eastAsia="仿宋_GB2312" w:cs="仿宋"/>
          <w:b/>
          <w:spacing w:val="6"/>
          <w:sz w:val="32"/>
          <w:szCs w:val="32"/>
          <w:highlight w:val="none"/>
        </w:rPr>
      </w:pPr>
    </w:p>
    <w:p w14:paraId="0802CED3">
      <w:pPr>
        <w:spacing w:line="360" w:lineRule="auto"/>
        <w:jc w:val="center"/>
        <w:rPr>
          <w:rFonts w:ascii="仿宋_GB2312" w:hAnsi="仿宋" w:eastAsia="仿宋_GB2312" w:cs="仿宋"/>
          <w:b/>
          <w:spacing w:val="6"/>
          <w:sz w:val="32"/>
          <w:szCs w:val="32"/>
          <w:highlight w:val="none"/>
        </w:rPr>
      </w:pPr>
    </w:p>
    <w:p w14:paraId="729B3B0A">
      <w:pPr>
        <w:spacing w:line="360" w:lineRule="auto"/>
        <w:jc w:val="center"/>
        <w:rPr>
          <w:rFonts w:ascii="仿宋_GB2312" w:hAnsi="仿宋" w:eastAsia="仿宋_GB2312" w:cs="仿宋"/>
          <w:b/>
          <w:spacing w:val="6"/>
          <w:sz w:val="32"/>
          <w:szCs w:val="32"/>
          <w:highlight w:val="none"/>
        </w:rPr>
      </w:pPr>
    </w:p>
    <w:p w14:paraId="4470226A">
      <w:pPr>
        <w:spacing w:line="360" w:lineRule="auto"/>
        <w:jc w:val="center"/>
        <w:rPr>
          <w:rFonts w:ascii="仿宋_GB2312" w:hAnsi="仿宋" w:eastAsia="仿宋_GB2312" w:cs="仿宋"/>
          <w:b/>
          <w:spacing w:val="6"/>
          <w:sz w:val="32"/>
          <w:szCs w:val="32"/>
          <w:highlight w:val="none"/>
        </w:rPr>
      </w:pPr>
    </w:p>
    <w:p w14:paraId="093C60B4">
      <w:pPr>
        <w:spacing w:line="360" w:lineRule="auto"/>
        <w:jc w:val="center"/>
        <w:rPr>
          <w:rFonts w:ascii="仿宋_GB2312" w:hAnsi="仿宋" w:eastAsia="仿宋_GB2312" w:cs="仿宋"/>
          <w:b/>
          <w:spacing w:val="6"/>
          <w:sz w:val="32"/>
          <w:szCs w:val="32"/>
          <w:highlight w:val="none"/>
        </w:rPr>
      </w:pPr>
    </w:p>
    <w:p w14:paraId="6BC66524">
      <w:pPr>
        <w:spacing w:line="360" w:lineRule="auto"/>
        <w:jc w:val="center"/>
        <w:rPr>
          <w:rFonts w:ascii="仿宋_GB2312" w:hAnsi="仿宋" w:eastAsia="仿宋_GB2312" w:cs="仿宋"/>
          <w:b/>
          <w:spacing w:val="6"/>
          <w:sz w:val="32"/>
          <w:szCs w:val="32"/>
          <w:highlight w:val="none"/>
        </w:rPr>
      </w:pPr>
    </w:p>
    <w:p w14:paraId="57E5C08C">
      <w:pPr>
        <w:spacing w:line="360" w:lineRule="auto"/>
        <w:jc w:val="center"/>
        <w:rPr>
          <w:rFonts w:ascii="仿宋_GB2312" w:hAnsi="仿宋" w:eastAsia="仿宋_GB2312" w:cs="仿宋"/>
          <w:b/>
          <w:spacing w:val="6"/>
          <w:sz w:val="32"/>
          <w:szCs w:val="32"/>
          <w:highlight w:val="none"/>
        </w:rPr>
      </w:pPr>
    </w:p>
    <w:p w14:paraId="05EF58BF">
      <w:pPr>
        <w:spacing w:line="360" w:lineRule="auto"/>
        <w:jc w:val="center"/>
        <w:rPr>
          <w:rFonts w:ascii="仿宋_GB2312" w:hAnsi="仿宋" w:eastAsia="仿宋_GB2312" w:cs="仿宋"/>
          <w:b/>
          <w:spacing w:val="6"/>
          <w:sz w:val="32"/>
          <w:szCs w:val="32"/>
          <w:highlight w:val="none"/>
        </w:rPr>
      </w:pPr>
    </w:p>
    <w:p w14:paraId="25EF8D60">
      <w:pPr>
        <w:spacing w:line="360" w:lineRule="auto"/>
        <w:jc w:val="left"/>
        <w:rPr>
          <w:rFonts w:ascii="仿宋_GB2312" w:hAnsi="仿宋" w:eastAsia="仿宋_GB2312" w:cs="仿宋"/>
          <w:b/>
          <w:spacing w:val="6"/>
          <w:sz w:val="32"/>
          <w:szCs w:val="32"/>
          <w:highlight w:val="none"/>
        </w:rPr>
      </w:pPr>
    </w:p>
    <w:p w14:paraId="7ACCB252">
      <w:pPr>
        <w:spacing w:line="360" w:lineRule="auto"/>
        <w:jc w:val="left"/>
        <w:rPr>
          <w:rFonts w:ascii="仿宋_GB2312" w:hAnsi="仿宋" w:eastAsia="仿宋_GB2312" w:cs="仿宋"/>
          <w:b/>
          <w:spacing w:val="6"/>
          <w:sz w:val="32"/>
          <w:szCs w:val="32"/>
          <w:highlight w:val="none"/>
        </w:rPr>
      </w:pPr>
    </w:p>
    <w:p w14:paraId="01A50BFB">
      <w:pPr>
        <w:spacing w:line="360" w:lineRule="auto"/>
        <w:jc w:val="left"/>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附件3：投诉书范本及制作说明</w:t>
      </w:r>
    </w:p>
    <w:p w14:paraId="5F33FCA0">
      <w:pPr>
        <w:spacing w:line="360" w:lineRule="auto"/>
        <w:jc w:val="center"/>
        <w:rPr>
          <w:rFonts w:ascii="仿宋_GB2312" w:hAnsi="仿宋" w:eastAsia="仿宋_GB2312" w:cs="仿宋"/>
          <w:b/>
          <w:sz w:val="24"/>
          <w:highlight w:val="none"/>
        </w:rPr>
      </w:pPr>
    </w:p>
    <w:p w14:paraId="02022C6E">
      <w:pPr>
        <w:spacing w:line="360" w:lineRule="auto"/>
        <w:jc w:val="cente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投诉书范本</w:t>
      </w:r>
    </w:p>
    <w:p w14:paraId="36A8F11A">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一、投诉相关主体基本情况</w:t>
      </w:r>
    </w:p>
    <w:p w14:paraId="6F71E1F2">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投诉人：</w:t>
      </w:r>
    </w:p>
    <w:p w14:paraId="3B074935">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地     址：邮编：</w:t>
      </w:r>
    </w:p>
    <w:p w14:paraId="633D31CE">
      <w:pPr>
        <w:tabs>
          <w:tab w:val="left" w:pos="6510"/>
        </w:tabs>
        <w:spacing w:line="360" w:lineRule="auto"/>
        <w:jc w:val="left"/>
        <w:rPr>
          <w:rFonts w:ascii="仿宋_GB2312" w:hAnsi="仿宋" w:eastAsia="仿宋_GB2312" w:cs="仿宋"/>
          <w:sz w:val="24"/>
          <w:highlight w:val="none"/>
        </w:rPr>
      </w:pPr>
      <w:r>
        <w:rPr>
          <w:rFonts w:hint="eastAsia" w:ascii="仿宋_GB2312" w:hAnsi="仿宋" w:eastAsia="仿宋_GB2312" w:cs="仿宋"/>
          <w:sz w:val="24"/>
          <w:highlight w:val="none"/>
        </w:rPr>
        <w:t>法定代表人/主要负责人：</w:t>
      </w:r>
    </w:p>
    <w:p w14:paraId="4273967C">
      <w:pPr>
        <w:tabs>
          <w:tab w:val="left" w:pos="6510"/>
        </w:tabs>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联系电话：</w:t>
      </w:r>
    </w:p>
    <w:p w14:paraId="4A992C37">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授权代表：联系电话</w:t>
      </w:r>
      <w:r>
        <w:rPr>
          <w:rFonts w:hint="eastAsia" w:ascii="仿宋_GB2312" w:hAnsi="仿宋" w:eastAsia="仿宋_GB2312" w:cs="仿宋"/>
          <w:sz w:val="24"/>
          <w:highlight w:val="none"/>
          <w:u w:val="dotted"/>
        </w:rPr>
        <w:t xml:space="preserve">：                  </w:t>
      </w:r>
    </w:p>
    <w:p w14:paraId="468AEC74">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地     址：邮编：</w:t>
      </w:r>
    </w:p>
    <w:p w14:paraId="54D5A632">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被投诉人1：</w:t>
      </w:r>
    </w:p>
    <w:p w14:paraId="775327F1">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地     址：邮编：</w:t>
      </w:r>
    </w:p>
    <w:p w14:paraId="6E68162B">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联系人：联系电话：</w:t>
      </w:r>
    </w:p>
    <w:p w14:paraId="6FD8EC41">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被投诉人2</w:t>
      </w:r>
    </w:p>
    <w:p w14:paraId="247533D8">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w:t>
      </w:r>
    </w:p>
    <w:p w14:paraId="5A34377A">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相关供应商：</w:t>
      </w:r>
    </w:p>
    <w:p w14:paraId="327D4972">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地     址：邮编：</w:t>
      </w:r>
    </w:p>
    <w:p w14:paraId="7640C029">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联系人：联系电话：</w:t>
      </w:r>
    </w:p>
    <w:p w14:paraId="7F684F81">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二、投诉项目基本情况</w:t>
      </w:r>
    </w:p>
    <w:p w14:paraId="11BF8C3F">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采购项目名称：</w:t>
      </w:r>
    </w:p>
    <w:p w14:paraId="0E7AC7CE">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采购项目编号：包号：</w:t>
      </w:r>
    </w:p>
    <w:p w14:paraId="32D70A48">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采购人名称：</w:t>
      </w:r>
    </w:p>
    <w:p w14:paraId="586A2B65">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代理机构名称：</w:t>
      </w:r>
    </w:p>
    <w:p w14:paraId="13D8B2FE">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采购文件公告:</w:t>
      </w:r>
      <w:r>
        <w:rPr>
          <w:rFonts w:hint="eastAsia" w:ascii="仿宋_GB2312" w:hAnsi="仿宋" w:eastAsia="仿宋_GB2312" w:cs="仿宋"/>
          <w:sz w:val="24"/>
          <w:highlight w:val="none"/>
          <w:u w:val="dotted"/>
        </w:rPr>
        <w:t xml:space="preserve">是/否 </w:t>
      </w:r>
      <w:r>
        <w:rPr>
          <w:rFonts w:hint="eastAsia" w:ascii="仿宋_GB2312" w:hAnsi="仿宋" w:eastAsia="仿宋_GB2312" w:cs="仿宋"/>
          <w:sz w:val="24"/>
          <w:highlight w:val="none"/>
        </w:rPr>
        <w:t>公告期限：</w:t>
      </w:r>
    </w:p>
    <w:p w14:paraId="40369326">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采购结果公告:</w:t>
      </w:r>
      <w:r>
        <w:rPr>
          <w:rFonts w:hint="eastAsia" w:ascii="仿宋_GB2312" w:hAnsi="仿宋" w:eastAsia="仿宋_GB2312" w:cs="仿宋"/>
          <w:sz w:val="24"/>
          <w:highlight w:val="none"/>
          <w:u w:val="dotted"/>
        </w:rPr>
        <w:t xml:space="preserve">是/否 </w:t>
      </w:r>
      <w:r>
        <w:rPr>
          <w:rFonts w:hint="eastAsia" w:ascii="仿宋_GB2312" w:hAnsi="仿宋" w:eastAsia="仿宋_GB2312" w:cs="仿宋"/>
          <w:sz w:val="24"/>
          <w:highlight w:val="none"/>
        </w:rPr>
        <w:t>公告期限：</w:t>
      </w:r>
    </w:p>
    <w:p w14:paraId="1D1B8B82">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三、质疑基本情况</w:t>
      </w:r>
    </w:p>
    <w:p w14:paraId="1AE85A81">
      <w:pPr>
        <w:spacing w:line="360" w:lineRule="auto"/>
        <w:ind w:firstLine="480" w:firstLineChars="200"/>
        <w:rPr>
          <w:rFonts w:ascii="仿宋_GB2312" w:hAnsi="仿宋" w:eastAsia="仿宋_GB2312" w:cs="仿宋"/>
          <w:sz w:val="24"/>
          <w:highlight w:val="none"/>
          <w:u w:val="dotted"/>
        </w:rPr>
      </w:pPr>
      <w:r>
        <w:rPr>
          <w:rFonts w:hint="eastAsia" w:ascii="仿宋_GB2312" w:hAnsi="仿宋" w:eastAsia="仿宋_GB2312" w:cs="仿宋"/>
          <w:sz w:val="24"/>
          <w:highlight w:val="none"/>
        </w:rPr>
        <w:t>投诉人于</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年</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月</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日,向</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提出质疑，质疑事项为：</w:t>
      </w:r>
    </w:p>
    <w:p w14:paraId="50E14718">
      <w:pPr>
        <w:spacing w:line="360" w:lineRule="auto"/>
        <w:rPr>
          <w:rFonts w:ascii="仿宋_GB2312" w:hAnsi="仿宋" w:eastAsia="仿宋_GB2312" w:cs="仿宋"/>
          <w:sz w:val="24"/>
          <w:highlight w:val="none"/>
          <w:u w:val="dotted"/>
        </w:rPr>
      </w:pPr>
    </w:p>
    <w:p w14:paraId="02562E9F">
      <w:pPr>
        <w:spacing w:line="360" w:lineRule="auto"/>
        <w:ind w:firstLine="360" w:firstLineChars="150"/>
        <w:rPr>
          <w:rFonts w:ascii="仿宋_GB2312" w:hAnsi="仿宋" w:eastAsia="仿宋_GB2312" w:cs="仿宋"/>
          <w:sz w:val="24"/>
          <w:highlight w:val="none"/>
        </w:rPr>
      </w:pPr>
      <w:r>
        <w:rPr>
          <w:rFonts w:hint="eastAsia" w:ascii="仿宋_GB2312" w:hAnsi="仿宋" w:eastAsia="仿宋_GB2312" w:cs="仿宋"/>
          <w:sz w:val="24"/>
          <w:highlight w:val="none"/>
          <w:u w:val="dotted"/>
        </w:rPr>
        <w:t>采购人/代理机构</w:t>
      </w:r>
      <w:r>
        <w:rPr>
          <w:rFonts w:hint="eastAsia" w:ascii="仿宋_GB2312" w:hAnsi="仿宋" w:eastAsia="仿宋_GB2312" w:cs="仿宋"/>
          <w:sz w:val="24"/>
          <w:highlight w:val="none"/>
        </w:rPr>
        <w:t>于年月日,就质疑事项作出了答复/没有在法定期限内作出答复。</w:t>
      </w:r>
    </w:p>
    <w:p w14:paraId="0930F5AD">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四、投诉事项具体内容</w:t>
      </w:r>
    </w:p>
    <w:p w14:paraId="1DB1064E">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投诉事项 1：</w:t>
      </w:r>
    </w:p>
    <w:p w14:paraId="705FFAFF">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事实依据：</w:t>
      </w:r>
    </w:p>
    <w:p w14:paraId="473FAD29">
      <w:pPr>
        <w:spacing w:line="360" w:lineRule="auto"/>
        <w:rPr>
          <w:rFonts w:ascii="仿宋_GB2312" w:hAnsi="仿宋" w:eastAsia="仿宋_GB2312" w:cs="仿宋"/>
          <w:sz w:val="24"/>
          <w:highlight w:val="none"/>
          <w:u w:val="dotted"/>
        </w:rPr>
      </w:pPr>
    </w:p>
    <w:p w14:paraId="01407A8C">
      <w:pPr>
        <w:spacing w:line="360" w:lineRule="auto"/>
        <w:rPr>
          <w:rFonts w:ascii="仿宋_GB2312" w:hAnsi="仿宋" w:eastAsia="仿宋_GB2312" w:cs="仿宋"/>
          <w:sz w:val="24"/>
          <w:highlight w:val="none"/>
          <w:u w:val="single"/>
        </w:rPr>
      </w:pPr>
      <w:r>
        <w:rPr>
          <w:rFonts w:hint="eastAsia" w:ascii="仿宋_GB2312" w:hAnsi="仿宋" w:eastAsia="仿宋_GB2312" w:cs="仿宋"/>
          <w:sz w:val="24"/>
          <w:highlight w:val="none"/>
        </w:rPr>
        <w:t>法律依据：</w:t>
      </w:r>
    </w:p>
    <w:p w14:paraId="08DD335A">
      <w:pPr>
        <w:spacing w:line="360" w:lineRule="auto"/>
        <w:rPr>
          <w:rFonts w:ascii="仿宋_GB2312" w:hAnsi="仿宋" w:eastAsia="仿宋_GB2312" w:cs="仿宋"/>
          <w:sz w:val="24"/>
          <w:highlight w:val="none"/>
          <w:u w:val="dotted"/>
        </w:rPr>
      </w:pPr>
    </w:p>
    <w:p w14:paraId="315A731F">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投诉事项2</w:t>
      </w:r>
    </w:p>
    <w:p w14:paraId="252CFE9E">
      <w:pPr>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w:t>
      </w:r>
    </w:p>
    <w:p w14:paraId="75C252E8">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五、与投诉事项相关的投诉请求</w:t>
      </w:r>
    </w:p>
    <w:p w14:paraId="26EC3670">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请求：</w:t>
      </w:r>
    </w:p>
    <w:p w14:paraId="5D23E784">
      <w:pPr>
        <w:spacing w:line="360" w:lineRule="auto"/>
        <w:rPr>
          <w:rFonts w:ascii="仿宋_GB2312" w:hAnsi="仿宋" w:eastAsia="仿宋_GB2312" w:cs="仿宋"/>
          <w:sz w:val="24"/>
          <w:highlight w:val="none"/>
          <w:u w:val="single"/>
        </w:rPr>
      </w:pPr>
    </w:p>
    <w:p w14:paraId="22891277">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签字(签章)：                   公章：                      </w:t>
      </w:r>
    </w:p>
    <w:p w14:paraId="2E583DE3">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 xml:space="preserve">日期：    </w:t>
      </w:r>
    </w:p>
    <w:p w14:paraId="7F305E60">
      <w:pPr>
        <w:spacing w:line="360" w:lineRule="auto"/>
        <w:rPr>
          <w:rFonts w:ascii="仿宋_GB2312" w:hAnsi="仿宋" w:eastAsia="仿宋_GB2312" w:cs="仿宋"/>
          <w:b/>
          <w:sz w:val="24"/>
          <w:highlight w:val="none"/>
        </w:rPr>
      </w:pPr>
    </w:p>
    <w:p w14:paraId="5A3BC117">
      <w:pPr>
        <w:spacing w:line="360" w:lineRule="auto"/>
        <w:rPr>
          <w:rFonts w:ascii="仿宋_GB2312" w:hAnsi="仿宋" w:eastAsia="仿宋_GB2312" w:cs="仿宋"/>
          <w:b/>
          <w:sz w:val="24"/>
          <w:highlight w:val="none"/>
        </w:rPr>
      </w:pPr>
    </w:p>
    <w:p w14:paraId="1ABB41C2">
      <w:pPr>
        <w:spacing w:line="360" w:lineRule="auto"/>
        <w:rPr>
          <w:rFonts w:ascii="仿宋_GB2312" w:hAnsi="仿宋" w:eastAsia="仿宋_GB2312" w:cs="仿宋"/>
          <w:b/>
          <w:sz w:val="24"/>
          <w:highlight w:val="none"/>
        </w:rPr>
      </w:pPr>
      <w:r>
        <w:rPr>
          <w:rFonts w:hint="eastAsia" w:ascii="仿宋_GB2312" w:hAnsi="仿宋" w:eastAsia="仿宋_GB2312" w:cs="仿宋"/>
          <w:b/>
          <w:sz w:val="24"/>
          <w:highlight w:val="none"/>
        </w:rPr>
        <w:t>投诉书制作说明：</w:t>
      </w:r>
    </w:p>
    <w:p w14:paraId="2C3424B3">
      <w:pPr>
        <w:widowControl/>
        <w:spacing w:line="360" w:lineRule="auto"/>
        <w:ind w:firstLine="480" w:firstLineChars="200"/>
        <w:rPr>
          <w:rFonts w:ascii="仿宋_GB2312" w:hAnsi="仿宋" w:eastAsia="仿宋_GB2312" w:cs="仿宋"/>
          <w:kern w:val="0"/>
          <w:sz w:val="24"/>
          <w:highlight w:val="none"/>
        </w:rPr>
      </w:pPr>
      <w:r>
        <w:rPr>
          <w:rFonts w:hint="eastAsia" w:ascii="仿宋_GB2312" w:hAnsi="仿宋" w:eastAsia="仿宋_GB2312" w:cs="仿宋"/>
          <w:sz w:val="24"/>
          <w:highlight w:val="none"/>
        </w:rPr>
        <w:t>1.投诉人提起投诉时，应当提交投诉书和必要的证明材料，并按照被投诉人和与投诉事项有关的供应商数量提供投诉书副本。</w:t>
      </w:r>
    </w:p>
    <w:p w14:paraId="64A68217">
      <w:pPr>
        <w:widowControl/>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sz w:val="24"/>
          <w:highlight w:val="none"/>
        </w:rPr>
        <w:t>2.投诉人若委托代理人进行投诉的，投诉书应按照要求列明“授权代表”的有关内容，并在附件中提交由</w:t>
      </w:r>
      <w:r>
        <w:rPr>
          <w:rFonts w:hint="eastAsia" w:ascii="仿宋_GB2312" w:hAnsi="仿宋" w:eastAsia="仿宋_GB2312" w:cs="仿宋"/>
          <w:kern w:val="0"/>
          <w:sz w:val="24"/>
          <w:highlight w:val="none"/>
        </w:rPr>
        <w:t>投诉人签署的授权委托书。授权委托书应当载明代理人的姓名或者名称、代理事项、具体权限、期限和相关事项。</w:t>
      </w:r>
    </w:p>
    <w:p w14:paraId="2C46A7A5">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3.投诉人若对项目的某一分包进行投诉，投诉书应列明具体分包号。</w:t>
      </w:r>
    </w:p>
    <w:p w14:paraId="49601BF2">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4.投诉书应简要列明质疑事项，质疑函、质疑答复等作为附件材料提供。</w:t>
      </w:r>
    </w:p>
    <w:p w14:paraId="6F1A8AC8">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5.投诉书的投诉事项应具体、明确，并有必要的事实依据和法律依据。</w:t>
      </w:r>
    </w:p>
    <w:p w14:paraId="463F5654">
      <w:pPr>
        <w:widowControl/>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6.投诉书的投诉请求应与投诉事项相关。</w:t>
      </w:r>
    </w:p>
    <w:p w14:paraId="7C844FE9">
      <w:pPr>
        <w:widowControl/>
        <w:spacing w:line="360" w:lineRule="auto"/>
        <w:ind w:firstLine="480" w:firstLineChars="200"/>
        <w:jc w:val="left"/>
        <w:rPr>
          <w:rFonts w:ascii="仿宋_GB2312" w:hAnsi="仿宋" w:eastAsia="仿宋_GB2312" w:cs="仿宋"/>
          <w:kern w:val="0"/>
          <w:sz w:val="24"/>
          <w:highlight w:val="none"/>
        </w:rPr>
      </w:pPr>
      <w:r>
        <w:rPr>
          <w:rFonts w:hint="eastAsia" w:ascii="仿宋_GB2312" w:hAnsi="仿宋" w:eastAsia="仿宋_GB2312" w:cs="仿宋"/>
          <w:sz w:val="24"/>
          <w:highlight w:val="none"/>
        </w:rPr>
        <w:t>7.投诉人为自然人的，投诉书应当由本人签字；投诉人为法人或者其他组织的，投诉书应当由法定代表人、主要负责人，或者其授权代表签字或者盖章，并加盖公章。</w:t>
      </w:r>
    </w:p>
    <w:p w14:paraId="281CFFF6">
      <w:pPr>
        <w:spacing w:line="360" w:lineRule="auto"/>
        <w:rPr>
          <w:rFonts w:ascii="仿宋_GB2312" w:hAnsi="仿宋" w:eastAsia="仿宋_GB2312" w:cs="仿宋"/>
          <w:b/>
          <w:sz w:val="24"/>
          <w:highlight w:val="none"/>
        </w:rPr>
      </w:pPr>
    </w:p>
    <w:p w14:paraId="01A6D216">
      <w:pPr>
        <w:autoSpaceDE w:val="0"/>
        <w:autoSpaceDN w:val="0"/>
        <w:jc w:val="center"/>
        <w:rPr>
          <w:rFonts w:ascii="仿宋_GB2312" w:hAnsi="仿宋" w:eastAsia="仿宋_GB2312" w:cs="仿宋"/>
          <w:b/>
          <w:spacing w:val="6"/>
          <w:sz w:val="32"/>
          <w:szCs w:val="32"/>
          <w:highlight w:val="none"/>
        </w:rPr>
      </w:pPr>
    </w:p>
    <w:p w14:paraId="3A53C24A">
      <w:pPr>
        <w:autoSpaceDE w:val="0"/>
        <w:autoSpaceDN w:val="0"/>
        <w:jc w:val="center"/>
        <w:rPr>
          <w:rFonts w:ascii="仿宋_GB2312" w:hAnsi="仿宋" w:eastAsia="仿宋_GB2312" w:cs="仿宋"/>
          <w:b/>
          <w:spacing w:val="6"/>
          <w:sz w:val="32"/>
          <w:szCs w:val="32"/>
          <w:highlight w:val="none"/>
        </w:rPr>
      </w:pPr>
    </w:p>
    <w:p w14:paraId="4D32F280">
      <w:pPr>
        <w:autoSpaceDE w:val="0"/>
        <w:autoSpaceDN w:val="0"/>
        <w:jc w:val="center"/>
        <w:rPr>
          <w:rFonts w:ascii="仿宋_GB2312" w:hAnsi="仿宋" w:eastAsia="仿宋_GB2312" w:cs="仿宋"/>
          <w:b/>
          <w:bCs/>
          <w:sz w:val="32"/>
          <w:szCs w:val="32"/>
          <w:highlight w:val="none"/>
        </w:rPr>
      </w:pPr>
      <w:r>
        <w:rPr>
          <w:rFonts w:hint="eastAsia" w:ascii="仿宋_GB2312" w:hAnsi="仿宋" w:eastAsia="仿宋_GB2312" w:cs="仿宋"/>
          <w:b/>
          <w:spacing w:val="6"/>
          <w:sz w:val="32"/>
          <w:szCs w:val="32"/>
          <w:highlight w:val="none"/>
        </w:rPr>
        <w:t>附件4：</w:t>
      </w:r>
      <w:r>
        <w:rPr>
          <w:rFonts w:hint="eastAsia" w:ascii="仿宋_GB2312" w:hAnsi="仿宋" w:eastAsia="仿宋_GB2312" w:cs="仿宋"/>
          <w:b/>
          <w:bCs/>
          <w:sz w:val="32"/>
          <w:szCs w:val="32"/>
          <w:highlight w:val="none"/>
        </w:rPr>
        <w:t>业务专用章使用说明函</w:t>
      </w:r>
    </w:p>
    <w:p w14:paraId="7F35513D">
      <w:pPr>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u w:val="single"/>
        </w:rPr>
        <w:t>（采购人）、（采购代理机构）</w:t>
      </w:r>
    </w:p>
    <w:p w14:paraId="4729278F">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kern w:val="0"/>
          <w:sz w:val="24"/>
          <w:highlight w:val="none"/>
          <w:lang w:val="zh-CN"/>
        </w:rPr>
        <w:t>我方</w:t>
      </w:r>
      <w:r>
        <w:rPr>
          <w:rFonts w:hint="eastAsia" w:ascii="仿宋_GB2312" w:hAnsi="仿宋" w:eastAsia="仿宋_GB2312" w:cs="仿宋"/>
          <w:sz w:val="24"/>
          <w:highlight w:val="none"/>
        </w:rPr>
        <w:t>(投标人全称)是中华人民共和国依法登记注册的合法企业，</w:t>
      </w:r>
      <w:r>
        <w:rPr>
          <w:rFonts w:hint="eastAsia" w:ascii="仿宋_GB2312" w:hAnsi="仿宋" w:eastAsia="仿宋_GB2312" w:cs="仿宋"/>
          <w:bCs/>
          <w:sz w:val="24"/>
          <w:highlight w:val="none"/>
        </w:rPr>
        <w:t>在参加</w:t>
      </w:r>
      <w:r>
        <w:rPr>
          <w:rFonts w:hint="eastAsia" w:ascii="仿宋_GB2312" w:hAnsi="仿宋" w:eastAsia="仿宋_GB2312" w:cs="仿宋"/>
          <w:sz w:val="24"/>
          <w:highlight w:val="none"/>
        </w:rPr>
        <w:t>你方组织的（项目名称）项目【招标编号：（采购编号）】</w:t>
      </w:r>
      <w:r>
        <w:rPr>
          <w:rFonts w:hint="eastAsia" w:ascii="仿宋_GB2312" w:hAnsi="仿宋" w:eastAsia="仿宋_GB2312" w:cs="仿宋"/>
          <w:bCs/>
          <w:sz w:val="24"/>
          <w:highlight w:val="none"/>
        </w:rPr>
        <w:t>投标活动中作如下说明：</w:t>
      </w:r>
      <w:r>
        <w:rPr>
          <w:rFonts w:hint="eastAsia" w:ascii="仿宋_GB2312" w:hAnsi="仿宋" w:eastAsia="仿宋_GB2312" w:cs="仿宋"/>
          <w:sz w:val="24"/>
          <w:highlight w:val="none"/>
        </w:rPr>
        <w:t xml:space="preserve">我方所使用的“XX专用章”与法定名称章具有同等的法律效力，对使用“XX专用章”的行为予以完全承认，并愿意承担相应责任。   </w:t>
      </w:r>
    </w:p>
    <w:p w14:paraId="662971FF">
      <w:pPr>
        <w:spacing w:line="360" w:lineRule="auto"/>
        <w:ind w:firstLine="480" w:firstLineChars="200"/>
        <w:rPr>
          <w:rFonts w:ascii="仿宋_GB2312" w:hAnsi="仿宋" w:eastAsia="仿宋_GB2312" w:cs="仿宋"/>
          <w:sz w:val="24"/>
          <w:highlight w:val="none"/>
        </w:rPr>
      </w:pPr>
      <w:r>
        <w:rPr>
          <w:rFonts w:hint="eastAsia" w:ascii="仿宋_GB2312" w:hAnsi="仿宋" w:eastAsia="仿宋_GB2312" w:cs="仿宋"/>
          <w:sz w:val="24"/>
          <w:highlight w:val="none"/>
        </w:rPr>
        <w:t>特此说明。</w:t>
      </w:r>
    </w:p>
    <w:p w14:paraId="5BCC6D49">
      <w:pPr>
        <w:spacing w:line="360" w:lineRule="auto"/>
        <w:ind w:firstLine="494"/>
        <w:rPr>
          <w:rFonts w:ascii="仿宋_GB2312" w:hAnsi="仿宋" w:eastAsia="仿宋_GB2312" w:cs="仿宋"/>
          <w:sz w:val="24"/>
          <w:highlight w:val="none"/>
        </w:rPr>
      </w:pPr>
    </w:p>
    <w:p w14:paraId="17DBE3CF">
      <w:pPr>
        <w:spacing w:line="360" w:lineRule="auto"/>
        <w:ind w:firstLine="494"/>
        <w:rPr>
          <w:rFonts w:ascii="仿宋_GB2312" w:hAnsi="仿宋" w:eastAsia="仿宋_GB2312" w:cs="仿宋"/>
          <w:sz w:val="24"/>
          <w:highlight w:val="none"/>
        </w:rPr>
      </w:pPr>
    </w:p>
    <w:p w14:paraId="08EC047D">
      <w:pPr>
        <w:spacing w:line="360" w:lineRule="auto"/>
        <w:ind w:firstLine="494"/>
        <w:rPr>
          <w:rFonts w:ascii="仿宋_GB2312" w:hAnsi="仿宋" w:eastAsia="仿宋_GB2312" w:cs="仿宋"/>
          <w:sz w:val="24"/>
          <w:highlight w:val="none"/>
        </w:rPr>
      </w:pPr>
    </w:p>
    <w:p w14:paraId="29CA744A">
      <w:pPr>
        <w:spacing w:line="360" w:lineRule="auto"/>
        <w:ind w:firstLine="494"/>
        <w:rPr>
          <w:rFonts w:ascii="仿宋_GB2312" w:hAnsi="仿宋" w:eastAsia="仿宋_GB2312" w:cs="仿宋"/>
          <w:sz w:val="24"/>
          <w:highlight w:val="none"/>
        </w:rPr>
      </w:pPr>
    </w:p>
    <w:p w14:paraId="78FED1F2">
      <w:pPr>
        <w:spacing w:line="360" w:lineRule="auto"/>
        <w:ind w:right="480" w:firstLine="4080" w:firstLineChars="1700"/>
        <w:rPr>
          <w:rFonts w:ascii="仿宋_GB2312" w:hAnsi="仿宋" w:eastAsia="仿宋_GB2312" w:cs="仿宋"/>
          <w:sz w:val="24"/>
          <w:highlight w:val="none"/>
        </w:rPr>
      </w:pPr>
      <w:r>
        <w:rPr>
          <w:rFonts w:hint="eastAsia" w:ascii="仿宋_GB2312" w:hAnsi="仿宋" w:eastAsia="仿宋_GB2312" w:cs="仿宋"/>
          <w:sz w:val="24"/>
          <w:highlight w:val="none"/>
        </w:rPr>
        <w:t>投标单位（法定名称章）：</w:t>
      </w:r>
    </w:p>
    <w:p w14:paraId="23B82CFE">
      <w:pPr>
        <w:ind w:right="1440" w:firstLine="494"/>
        <w:jc w:val="center"/>
        <w:rPr>
          <w:rFonts w:ascii="仿宋_GB2312" w:hAnsi="仿宋" w:eastAsia="仿宋_GB2312" w:cs="仿宋"/>
          <w:sz w:val="24"/>
          <w:highlight w:val="none"/>
        </w:rPr>
      </w:pPr>
      <w:r>
        <w:rPr>
          <w:rFonts w:hint="eastAsia" w:ascii="仿宋_GB2312" w:hAnsi="仿宋" w:eastAsia="仿宋_GB2312" w:cs="仿宋"/>
          <w:sz w:val="24"/>
          <w:highlight w:val="none"/>
        </w:rPr>
        <w:t xml:space="preserve">                            日期：       年     月     日</w:t>
      </w:r>
    </w:p>
    <w:p w14:paraId="60A31163">
      <w:pPr>
        <w:rPr>
          <w:rFonts w:ascii="仿宋_GB2312" w:hAnsi="仿宋" w:eastAsia="仿宋_GB2312" w:cs="仿宋"/>
          <w:sz w:val="24"/>
          <w:highlight w:val="none"/>
        </w:rPr>
      </w:pPr>
      <w:r>
        <w:rPr>
          <w:rFonts w:hint="eastAsia" w:ascii="仿宋_GB2312" w:hAnsi="仿宋" w:eastAsia="仿宋_GB2312" w:cs="仿宋"/>
          <w:b/>
          <w:bCs/>
          <w:sz w:val="24"/>
          <w:highlight w:val="none"/>
        </w:rPr>
        <w:t>附：</w:t>
      </w:r>
    </w:p>
    <w:p w14:paraId="6070AEB4">
      <w:pPr>
        <w:spacing w:line="360" w:lineRule="auto"/>
        <w:rPr>
          <w:rFonts w:ascii="仿宋_GB2312" w:hAnsi="仿宋" w:eastAsia="仿宋_GB2312" w:cs="仿宋"/>
          <w:bCs/>
          <w:sz w:val="24"/>
          <w:highlight w:val="none"/>
        </w:rPr>
      </w:pPr>
      <w:r>
        <w:rPr>
          <w:rFonts w:hint="eastAsia" w:ascii="仿宋_GB2312" w:hAnsi="仿宋" w:eastAsia="仿宋_GB2312"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 w:eastAsia="仿宋_GB2312"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 w:eastAsia="仿宋_GB2312" w:cs="仿宋"/>
          <w:sz w:val="24"/>
          <w:highlight w:val="none"/>
        </w:rPr>
        <w:t>投标单位法定名称章（印模）                投标单位“XX专用章”（印模）</w:t>
      </w:r>
    </w:p>
    <w:p w14:paraId="19D76F13">
      <w:pPr>
        <w:autoSpaceDE w:val="0"/>
        <w:autoSpaceDN w:val="0"/>
        <w:jc w:val="center"/>
        <w:rPr>
          <w:rFonts w:ascii="仿宋_GB2312" w:hAnsi="仿宋" w:eastAsia="仿宋_GB2312" w:cs="仿宋"/>
          <w:b/>
          <w:spacing w:val="6"/>
          <w:sz w:val="32"/>
          <w:szCs w:val="32"/>
          <w:highlight w:val="none"/>
        </w:rPr>
      </w:pPr>
    </w:p>
    <w:p w14:paraId="4E5D63EA">
      <w:pPr>
        <w:autoSpaceDE w:val="0"/>
        <w:autoSpaceDN w:val="0"/>
        <w:jc w:val="center"/>
        <w:rPr>
          <w:rFonts w:ascii="仿宋_GB2312" w:hAnsi="仿宋" w:eastAsia="仿宋_GB2312" w:cs="仿宋"/>
          <w:b/>
          <w:spacing w:val="6"/>
          <w:sz w:val="32"/>
          <w:szCs w:val="32"/>
          <w:highlight w:val="none"/>
        </w:rPr>
      </w:pPr>
    </w:p>
    <w:p w14:paraId="4B31FA3D">
      <w:pPr>
        <w:autoSpaceDE w:val="0"/>
        <w:autoSpaceDN w:val="0"/>
        <w:jc w:val="center"/>
        <w:rPr>
          <w:rFonts w:ascii="仿宋_GB2312" w:hAnsi="仿宋" w:eastAsia="仿宋_GB2312" w:cs="仿宋"/>
          <w:b/>
          <w:spacing w:val="6"/>
          <w:sz w:val="32"/>
          <w:szCs w:val="32"/>
          <w:highlight w:val="none"/>
        </w:rPr>
      </w:pPr>
    </w:p>
    <w:p w14:paraId="1926680A">
      <w:pPr>
        <w:autoSpaceDE w:val="0"/>
        <w:autoSpaceDN w:val="0"/>
        <w:jc w:val="center"/>
        <w:rPr>
          <w:rFonts w:ascii="仿宋_GB2312" w:hAnsi="仿宋" w:eastAsia="仿宋_GB2312" w:cs="仿宋"/>
          <w:b/>
          <w:spacing w:val="6"/>
          <w:sz w:val="32"/>
          <w:szCs w:val="32"/>
          <w:highlight w:val="none"/>
        </w:rPr>
      </w:pPr>
    </w:p>
    <w:p w14:paraId="5E069FA6">
      <w:pPr>
        <w:autoSpaceDE w:val="0"/>
        <w:autoSpaceDN w:val="0"/>
        <w:jc w:val="center"/>
        <w:rPr>
          <w:rFonts w:ascii="仿宋_GB2312" w:hAnsi="仿宋" w:eastAsia="仿宋_GB2312" w:cs="仿宋"/>
          <w:b/>
          <w:spacing w:val="6"/>
          <w:sz w:val="32"/>
          <w:szCs w:val="32"/>
          <w:highlight w:val="none"/>
        </w:rPr>
      </w:pPr>
    </w:p>
    <w:p w14:paraId="36408794">
      <w:pPr>
        <w:autoSpaceDE w:val="0"/>
        <w:autoSpaceDN w:val="0"/>
        <w:jc w:val="center"/>
        <w:rPr>
          <w:rFonts w:ascii="仿宋_GB2312" w:hAnsi="仿宋" w:eastAsia="仿宋_GB2312" w:cs="仿宋"/>
          <w:b/>
          <w:spacing w:val="6"/>
          <w:sz w:val="32"/>
          <w:szCs w:val="32"/>
          <w:highlight w:val="none"/>
        </w:rPr>
      </w:pPr>
    </w:p>
    <w:p w14:paraId="7899DE45">
      <w:pPr>
        <w:autoSpaceDE w:val="0"/>
        <w:autoSpaceDN w:val="0"/>
        <w:jc w:val="center"/>
        <w:rPr>
          <w:rFonts w:ascii="仿宋_GB2312" w:hAnsi="仿宋" w:eastAsia="仿宋_GB2312" w:cs="仿宋"/>
          <w:b/>
          <w:spacing w:val="6"/>
          <w:sz w:val="32"/>
          <w:szCs w:val="32"/>
          <w:highlight w:val="none"/>
        </w:rPr>
      </w:pPr>
    </w:p>
    <w:p w14:paraId="156C5FAA">
      <w:pPr>
        <w:autoSpaceDE w:val="0"/>
        <w:autoSpaceDN w:val="0"/>
        <w:jc w:val="center"/>
        <w:rPr>
          <w:rFonts w:ascii="仿宋_GB2312" w:hAnsi="仿宋" w:eastAsia="仿宋_GB2312" w:cs="仿宋"/>
          <w:b/>
          <w:spacing w:val="6"/>
          <w:sz w:val="32"/>
          <w:szCs w:val="32"/>
          <w:highlight w:val="none"/>
        </w:rPr>
      </w:pPr>
    </w:p>
    <w:p w14:paraId="019B6794">
      <w:pPr>
        <w:autoSpaceDE w:val="0"/>
        <w:autoSpaceDN w:val="0"/>
        <w:jc w:val="center"/>
        <w:rPr>
          <w:rFonts w:ascii="仿宋_GB2312" w:hAnsi="仿宋" w:eastAsia="仿宋_GB2312" w:cs="仿宋"/>
          <w:b/>
          <w:spacing w:val="6"/>
          <w:sz w:val="32"/>
          <w:szCs w:val="32"/>
          <w:highlight w:val="none"/>
        </w:rPr>
      </w:pPr>
    </w:p>
    <w:p w14:paraId="18DE2258">
      <w:pPr>
        <w:autoSpaceDE w:val="0"/>
        <w:autoSpaceDN w:val="0"/>
        <w:jc w:val="center"/>
        <w:rPr>
          <w:rFonts w:ascii="仿宋_GB2312" w:hAnsi="仿宋" w:eastAsia="仿宋_GB2312" w:cs="仿宋"/>
          <w:b/>
          <w:spacing w:val="6"/>
          <w:sz w:val="32"/>
          <w:szCs w:val="32"/>
          <w:highlight w:val="none"/>
        </w:rPr>
      </w:pPr>
    </w:p>
    <w:p w14:paraId="7747BEAD">
      <w:pPr>
        <w:autoSpaceDE w:val="0"/>
        <w:autoSpaceDN w:val="0"/>
        <w:jc w:val="center"/>
        <w:rPr>
          <w:rFonts w:ascii="仿宋_GB2312" w:hAnsi="仿宋" w:eastAsia="仿宋_GB2312" w:cs="仿宋"/>
          <w:b/>
          <w:spacing w:val="6"/>
          <w:sz w:val="32"/>
          <w:szCs w:val="32"/>
          <w:highlight w:val="none"/>
        </w:rPr>
      </w:pPr>
    </w:p>
    <w:p w14:paraId="7D006E79">
      <w:pPr>
        <w:autoSpaceDE w:val="0"/>
        <w:autoSpaceDN w:val="0"/>
        <w:jc w:val="center"/>
        <w:rPr>
          <w:rFonts w:ascii="仿宋_GB2312" w:hAnsi="仿宋" w:eastAsia="仿宋_GB2312" w:cs="仿宋"/>
          <w:b/>
          <w:spacing w:val="6"/>
          <w:sz w:val="32"/>
          <w:szCs w:val="32"/>
          <w:highlight w:val="none"/>
        </w:rPr>
      </w:pPr>
    </w:p>
    <w:p w14:paraId="2E8039A7">
      <w:pPr>
        <w:autoSpaceDE w:val="0"/>
        <w:autoSpaceDN w:val="0"/>
        <w:jc w:val="center"/>
        <w:rPr>
          <w:rFonts w:ascii="仿宋_GB2312" w:hAnsi="仿宋" w:eastAsia="仿宋_GB2312" w:cs="仿宋"/>
          <w:b/>
          <w:spacing w:val="6"/>
          <w:sz w:val="32"/>
          <w:szCs w:val="32"/>
          <w:highlight w:val="none"/>
        </w:rPr>
      </w:pPr>
    </w:p>
    <w:p w14:paraId="110F9D10">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258CCEE2">
      <w:pPr>
        <w:autoSpaceDE w:val="0"/>
        <w:autoSpaceDN w:val="0"/>
        <w:jc w:val="center"/>
        <w:rPr>
          <w:rFonts w:ascii="仿宋_GB2312" w:hAnsi="仿宋" w:eastAsia="仿宋_GB2312" w:cs="仿宋"/>
          <w:b/>
          <w:kern w:val="0"/>
          <w:sz w:val="32"/>
          <w:szCs w:val="32"/>
          <w:highlight w:val="none"/>
          <w:lang w:val="zh-CN"/>
        </w:rPr>
      </w:pPr>
      <w:r>
        <w:rPr>
          <w:rFonts w:hint="eastAsia" w:ascii="仿宋_GB2312" w:hAnsi="仿宋" w:eastAsia="仿宋_GB2312" w:cs="仿宋"/>
          <w:b/>
          <w:bCs/>
          <w:sz w:val="32"/>
          <w:szCs w:val="32"/>
          <w:highlight w:val="none"/>
        </w:rPr>
        <w:t>附件5：</w:t>
      </w:r>
      <w:r>
        <w:rPr>
          <w:rFonts w:hint="eastAsia" w:ascii="仿宋_GB2312" w:hAnsi="仿宋" w:eastAsia="仿宋_GB2312" w:cs="仿宋"/>
          <w:b/>
          <w:bCs/>
          <w:sz w:val="32"/>
          <w:szCs w:val="32"/>
          <w:highlight w:val="none"/>
          <w:lang w:val="zh-CN"/>
        </w:rPr>
        <w:t>联合协议</w:t>
      </w:r>
    </w:p>
    <w:p w14:paraId="488D1A4C">
      <w:pPr>
        <w:widowControl/>
        <w:spacing w:line="360" w:lineRule="auto"/>
        <w:ind w:firstLine="482" w:firstLineChars="200"/>
        <w:jc w:val="left"/>
        <w:rPr>
          <w:rFonts w:ascii="仿宋_GB2312" w:hAnsi="仿宋" w:eastAsia="仿宋_GB2312" w:cs="仿宋"/>
          <w:b/>
          <w:sz w:val="24"/>
          <w:highlight w:val="none"/>
        </w:rPr>
      </w:pPr>
    </w:p>
    <w:p w14:paraId="3ED76F36">
      <w:pPr>
        <w:widowControl/>
        <w:spacing w:line="360" w:lineRule="auto"/>
        <w:ind w:firstLine="482" w:firstLineChars="200"/>
        <w:jc w:val="left"/>
        <w:rPr>
          <w:rFonts w:ascii="仿宋_GB2312" w:hAnsi="仿宋" w:eastAsia="仿宋_GB2312" w:cs="仿宋"/>
          <w:b/>
          <w:sz w:val="24"/>
          <w:highlight w:val="none"/>
        </w:rPr>
      </w:pPr>
      <w:r>
        <w:rPr>
          <w:rFonts w:hint="eastAsia" w:ascii="仿宋_GB2312" w:hAnsi="仿宋" w:eastAsia="仿宋_GB2312" w:cs="仿宋"/>
          <w:b/>
          <w:sz w:val="24"/>
          <w:highlight w:val="none"/>
        </w:rPr>
        <w:t>（以联合体形式投标的，提供联合协议；本项目不接受联合体投标或者投标人不以联合体形式投标的，则不需要提供）</w:t>
      </w:r>
    </w:p>
    <w:p w14:paraId="280138D6">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（联合体所有成员名称）</w:t>
      </w:r>
      <w:r>
        <w:rPr>
          <w:rFonts w:hint="eastAsia" w:ascii="仿宋_GB2312" w:hAnsi="仿宋" w:eastAsia="仿宋_GB2312" w:cs="仿宋"/>
          <w:kern w:val="0"/>
          <w:sz w:val="24"/>
          <w:highlight w:val="none"/>
        </w:rPr>
        <w:t>自愿</w:t>
      </w:r>
      <w:r>
        <w:rPr>
          <w:rFonts w:hint="eastAsia" w:ascii="仿宋_GB2312" w:hAnsi="仿宋" w:eastAsia="仿宋_GB2312" w:cs="仿宋"/>
          <w:kern w:val="0"/>
          <w:sz w:val="24"/>
          <w:highlight w:val="none"/>
          <w:lang w:val="zh-CN"/>
        </w:rPr>
        <w:t>组成一个联合体，以一个投标人的身份</w:t>
      </w:r>
      <w:r>
        <w:rPr>
          <w:rFonts w:hint="eastAsia" w:ascii="仿宋_GB2312" w:hAnsi="仿宋" w:eastAsia="仿宋_GB2312" w:cs="仿宋"/>
          <w:kern w:val="0"/>
          <w:sz w:val="24"/>
          <w:highlight w:val="none"/>
        </w:rPr>
        <w:t>参加</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 xml:space="preserve">投标。 </w:t>
      </w:r>
    </w:p>
    <w:p w14:paraId="4FB8B5FF">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一、各方一致决定，</w:t>
      </w:r>
      <w:r>
        <w:rPr>
          <w:rFonts w:hint="eastAsia" w:ascii="仿宋_GB2312" w:hAnsi="仿宋" w:eastAsia="仿宋_GB2312" w:cs="仿宋"/>
          <w:kern w:val="0"/>
          <w:sz w:val="24"/>
          <w:highlight w:val="none"/>
          <w:u w:val="single"/>
        </w:rPr>
        <w:t>（某联合体成员名称）</w:t>
      </w:r>
      <w:r>
        <w:rPr>
          <w:rFonts w:hint="eastAsia" w:ascii="仿宋_GB2312" w:hAnsi="仿宋" w:eastAsia="仿宋_GB2312" w:cs="仿宋"/>
          <w:kern w:val="0"/>
          <w:sz w:val="24"/>
          <w:highlight w:val="none"/>
        </w:rPr>
        <w:t>为联合体</w:t>
      </w:r>
      <w:r>
        <w:rPr>
          <w:rFonts w:hint="eastAsia" w:ascii="仿宋_GB2312" w:hAnsi="仿宋" w:eastAsia="仿宋_GB2312" w:cs="仿宋"/>
          <w:kern w:val="0"/>
          <w:sz w:val="24"/>
          <w:highlight w:val="none"/>
          <w:lang w:val="zh-CN"/>
        </w:rPr>
        <w:t>牵头人</w:t>
      </w:r>
      <w:r>
        <w:rPr>
          <w:rFonts w:hint="eastAsia" w:ascii="仿宋_GB2312" w:hAnsi="仿宋" w:eastAsia="仿宋_GB2312" w:cs="仿宋"/>
          <w:sz w:val="24"/>
          <w:highlight w:val="none"/>
        </w:rPr>
        <w:t>，代表所有联合体成员负责投标和合同实施阶段的主办、协调工作</w:t>
      </w:r>
      <w:r>
        <w:rPr>
          <w:rFonts w:hint="eastAsia" w:ascii="仿宋_GB2312" w:hAnsi="仿宋" w:eastAsia="仿宋_GB2312" w:cs="仿宋"/>
          <w:kern w:val="0"/>
          <w:sz w:val="24"/>
          <w:highlight w:val="none"/>
          <w:lang w:val="zh-CN"/>
        </w:rPr>
        <w:t>。</w:t>
      </w:r>
    </w:p>
    <w:p w14:paraId="629F220A">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二、</w:t>
      </w:r>
      <w:r>
        <w:rPr>
          <w:rFonts w:hint="eastAsia" w:ascii="仿宋_GB2312" w:hAnsi="仿宋" w:eastAsia="仿宋_GB2312" w:cs="仿宋"/>
          <w:sz w:val="24"/>
          <w:highlight w:val="none"/>
        </w:rPr>
        <w:t>所有联合体成员各方签署授权书，授权书载明的</w:t>
      </w:r>
      <w:r>
        <w:rPr>
          <w:rFonts w:hint="eastAsia" w:ascii="仿宋_GB2312" w:hAnsi="仿宋" w:eastAsia="仿宋_GB2312" w:cs="仿宋"/>
          <w:kern w:val="0"/>
          <w:sz w:val="24"/>
          <w:highlight w:val="none"/>
          <w:lang w:val="zh-CN"/>
        </w:rPr>
        <w:t>授权代表根据招标文件规定及投标内容而对采购人、采购代理机构所作的任何合法承诺，包括书面澄清及响应等均对联合投标各方产生约束力。</w:t>
      </w:r>
    </w:p>
    <w:p w14:paraId="2376EF88">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三、本次联合投标中，分工如下：</w:t>
      </w:r>
    </w:p>
    <w:p w14:paraId="137BDF0D">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（联合体成员1）</w:t>
      </w:r>
      <w:r>
        <w:rPr>
          <w:rFonts w:hint="eastAsia" w:ascii="仿宋_GB2312" w:hAnsi="仿宋" w:eastAsia="仿宋_GB2312" w:cs="仿宋"/>
          <w:kern w:val="0"/>
          <w:sz w:val="24"/>
          <w:highlight w:val="none"/>
          <w:lang w:val="zh-CN"/>
        </w:rPr>
        <w:t>承担的工作和义务为：</w:t>
      </w:r>
      <w:r>
        <w:rPr>
          <w:rFonts w:hint="eastAsia" w:ascii="仿宋_GB2312" w:hAnsi="仿宋" w:eastAsia="仿宋_GB2312" w:cs="仿宋"/>
          <w:highlight w:val="none"/>
          <w:u w:val="single"/>
        </w:rPr>
        <w:t xml:space="preserve">             </w:t>
      </w:r>
      <w:r>
        <w:rPr>
          <w:rFonts w:hint="eastAsia" w:ascii="仿宋_GB2312" w:hAnsi="仿宋" w:eastAsia="仿宋_GB2312" w:cs="仿宋"/>
          <w:kern w:val="0"/>
          <w:sz w:val="24"/>
          <w:highlight w:val="none"/>
          <w:lang w:val="zh-CN"/>
        </w:rPr>
        <w:t>；</w:t>
      </w:r>
    </w:p>
    <w:p w14:paraId="256571B5">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（联合体成员2）</w:t>
      </w:r>
      <w:r>
        <w:rPr>
          <w:rFonts w:hint="eastAsia" w:ascii="仿宋_GB2312" w:hAnsi="仿宋" w:eastAsia="仿宋_GB2312" w:cs="仿宋"/>
          <w:kern w:val="0"/>
          <w:sz w:val="24"/>
          <w:highlight w:val="none"/>
          <w:lang w:val="zh-CN"/>
        </w:rPr>
        <w:t>承担的工作和义务为：</w:t>
      </w:r>
      <w:r>
        <w:rPr>
          <w:rFonts w:hint="eastAsia" w:ascii="仿宋_GB2312" w:hAnsi="仿宋" w:eastAsia="仿宋_GB2312" w:cs="仿宋"/>
          <w:highlight w:val="none"/>
          <w:u w:val="single"/>
        </w:rPr>
        <w:t xml:space="preserve">             </w:t>
      </w:r>
      <w:r>
        <w:rPr>
          <w:rFonts w:hint="eastAsia" w:ascii="仿宋_GB2312" w:hAnsi="仿宋" w:eastAsia="仿宋_GB2312" w:cs="仿宋"/>
          <w:kern w:val="0"/>
          <w:sz w:val="24"/>
          <w:highlight w:val="none"/>
          <w:lang w:val="zh-CN"/>
        </w:rPr>
        <w:t>；</w:t>
      </w:r>
    </w:p>
    <w:p w14:paraId="45848FC1">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w:t>
      </w:r>
    </w:p>
    <w:p w14:paraId="47CC2FDA">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四、联合体成员中小企业合同份额。</w:t>
      </w:r>
    </w:p>
    <w:p w14:paraId="392274AE">
      <w:pPr>
        <w:snapToGrid w:val="0"/>
        <w:spacing w:line="360" w:lineRule="auto"/>
        <w:ind w:firstLine="576"/>
        <w:rPr>
          <w:rFonts w:ascii="仿宋_GB2312" w:hAnsi="仿宋" w:eastAsia="仿宋_GB2312" w:cs="仿宋"/>
          <w:b/>
          <w:kern w:val="0"/>
          <w:sz w:val="24"/>
          <w:highlight w:val="none"/>
          <w:lang w:val="zh-CN"/>
        </w:rPr>
      </w:pPr>
      <w:r>
        <w:rPr>
          <w:rFonts w:hint="eastAsia" w:ascii="仿宋_GB2312" w:hAnsi="仿宋" w:eastAsia="仿宋_GB2312" w:cs="仿宋"/>
          <w:kern w:val="0"/>
          <w:sz w:val="24"/>
          <w:highlight w:val="none"/>
          <w:lang w:val="zh-CN"/>
        </w:rPr>
        <w:t>1、</w:t>
      </w:r>
      <w:r>
        <w:rPr>
          <w:rFonts w:hint="eastAsia" w:ascii="仿宋_GB2312" w:hAnsi="仿宋" w:eastAsia="仿宋_GB2312" w:cs="仿宋"/>
          <w:kern w:val="0"/>
          <w:sz w:val="24"/>
          <w:highlight w:val="none"/>
          <w:u w:val="single"/>
        </w:rPr>
        <w:t>（</w:t>
      </w:r>
      <w:bookmarkStart w:id="162" w:name="_Hlk101131882"/>
      <w:r>
        <w:rPr>
          <w:rFonts w:hint="eastAsia" w:ascii="仿宋_GB2312" w:hAnsi="仿宋" w:eastAsia="仿宋_GB2312" w:cs="仿宋"/>
          <w:kern w:val="0"/>
          <w:sz w:val="24"/>
          <w:highlight w:val="none"/>
          <w:u w:val="single"/>
        </w:rPr>
        <w:t>联合体成员X,……</w:t>
      </w:r>
      <w:bookmarkEnd w:id="162"/>
      <w:r>
        <w:rPr>
          <w:rFonts w:hint="eastAsia" w:ascii="仿宋_GB2312" w:hAnsi="仿宋" w:eastAsia="仿宋_GB2312" w:cs="仿宋"/>
          <w:kern w:val="0"/>
          <w:sz w:val="24"/>
          <w:highlight w:val="none"/>
          <w:u w:val="single"/>
        </w:rPr>
        <w:t>）</w:t>
      </w:r>
      <w:r>
        <w:rPr>
          <w:rFonts w:hint="eastAsia" w:ascii="仿宋_GB2312" w:hAnsi="仿宋" w:eastAsia="仿宋_GB2312" w:cs="仿宋"/>
          <w:kern w:val="0"/>
          <w:sz w:val="24"/>
          <w:highlight w:val="none"/>
        </w:rPr>
        <w:t>提供的服务由小微企业承接，其合同份额占到合同总金额</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rPr>
        <w:t>%以上</w:t>
      </w:r>
      <w:r>
        <w:rPr>
          <w:rFonts w:hint="eastAsia" w:ascii="仿宋_GB2312" w:hAnsi="仿宋" w:eastAsia="仿宋_GB2312" w:cs="仿宋"/>
          <w:kern w:val="0"/>
          <w:sz w:val="24"/>
          <w:highlight w:val="none"/>
          <w:lang w:val="zh-CN"/>
        </w:rPr>
        <w:t>。</w:t>
      </w:r>
      <w:r>
        <w:rPr>
          <w:rFonts w:hint="eastAsia" w:ascii="仿宋_GB2312" w:hAnsi="仿宋" w:eastAsia="仿宋_GB2312" w:cs="仿宋"/>
          <w:b/>
          <w:kern w:val="0"/>
          <w:sz w:val="24"/>
          <w:highlight w:val="none"/>
          <w:lang w:val="zh-CN"/>
        </w:rPr>
        <w:t>（</w:t>
      </w:r>
      <w:bookmarkStart w:id="163" w:name="_Hlk101133598"/>
      <w:r>
        <w:rPr>
          <w:rFonts w:hint="eastAsia" w:ascii="仿宋_GB2312" w:hAnsi="仿宋" w:eastAsia="仿宋_GB2312"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 w:eastAsia="仿宋_GB2312" w:cs="仿宋"/>
          <w:b/>
          <w:sz w:val="24"/>
          <w:highlight w:val="none"/>
        </w:rPr>
        <w:t>拟享受以上价格扣除政策的，填写有关内容</w:t>
      </w:r>
      <w:bookmarkEnd w:id="163"/>
      <w:r>
        <w:rPr>
          <w:rFonts w:hint="eastAsia" w:ascii="仿宋_GB2312" w:hAnsi="仿宋" w:eastAsia="仿宋_GB2312" w:cs="仿宋"/>
          <w:b/>
          <w:kern w:val="0"/>
          <w:sz w:val="24"/>
          <w:highlight w:val="none"/>
          <w:lang w:val="zh-CN"/>
        </w:rPr>
        <w:t>）</w:t>
      </w:r>
    </w:p>
    <w:p w14:paraId="60771AC0">
      <w:pPr>
        <w:spacing w:line="360" w:lineRule="auto"/>
        <w:ind w:firstLine="480" w:firstLineChars="200"/>
        <w:rPr>
          <w:rFonts w:ascii="仿宋_GB2312" w:hAnsi="仿宋" w:eastAsia="仿宋_GB2312" w:cs="仿宋"/>
          <w:b/>
          <w:bCs/>
          <w:kern w:val="0"/>
          <w:sz w:val="24"/>
          <w:highlight w:val="none"/>
          <w:lang w:val="zh-CN"/>
        </w:rPr>
      </w:pPr>
      <w:r>
        <w:rPr>
          <w:rFonts w:hint="eastAsia" w:ascii="仿宋_GB2312" w:hAnsi="仿宋" w:eastAsia="仿宋_GB2312" w:cs="仿宋"/>
          <w:sz w:val="24"/>
          <w:highlight w:val="none"/>
        </w:rPr>
        <w:t>2、</w:t>
      </w:r>
      <w:bookmarkStart w:id="164" w:name="_Hlk101133173"/>
      <w:r>
        <w:rPr>
          <w:rFonts w:hint="eastAsia" w:ascii="仿宋_GB2312" w:hAnsi="仿宋" w:eastAsia="仿宋_GB2312" w:cs="仿宋"/>
          <w:sz w:val="24"/>
          <w:highlight w:val="none"/>
        </w:rPr>
        <w:t>中小企业合同金额达到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%，小微企业合同金额达到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r>
        <w:rPr>
          <w:rFonts w:hint="eastAsia" w:ascii="仿宋_GB2312" w:hAnsi="仿宋" w:eastAsia="仿宋_GB2312" w:cs="仿宋"/>
          <w:kern w:val="0"/>
          <w:sz w:val="24"/>
          <w:highlight w:val="none"/>
          <w:lang w:val="zh-CN"/>
        </w:rPr>
        <w:t>。</w:t>
      </w:r>
      <w:r>
        <w:rPr>
          <w:rFonts w:hint="eastAsia" w:ascii="仿宋_GB2312" w:hAnsi="仿宋" w:eastAsia="仿宋_GB2312" w:cs="仿宋"/>
          <w:b/>
          <w:bCs/>
          <w:kern w:val="0"/>
          <w:sz w:val="24"/>
          <w:highlight w:val="none"/>
          <w:lang w:val="zh-CN"/>
        </w:rPr>
        <w:t>（</w:t>
      </w:r>
      <w:r>
        <w:rPr>
          <w:rFonts w:hint="eastAsia" w:ascii="仿宋_GB2312" w:hAnsi="仿宋" w:eastAsia="仿宋_GB2312"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 w:eastAsia="仿宋_GB2312" w:cs="仿宋"/>
          <w:b/>
          <w:bCs/>
          <w:kern w:val="0"/>
          <w:sz w:val="24"/>
          <w:highlight w:val="none"/>
          <w:lang w:val="zh-CN"/>
        </w:rPr>
        <w:t>）</w:t>
      </w:r>
      <w:bookmarkEnd w:id="164"/>
    </w:p>
    <w:p w14:paraId="4C70C488">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五、如果中标，</w:t>
      </w:r>
      <w:r>
        <w:rPr>
          <w:rFonts w:hint="eastAsia" w:ascii="仿宋_GB2312" w:hAnsi="仿宋" w:eastAsia="仿宋_GB2312" w:cs="仿宋"/>
          <w:sz w:val="24"/>
          <w:highlight w:val="none"/>
        </w:rPr>
        <w:t>联合体各成员方共同与采购人签订合同，并就采购合同约定的事项对采购人承担连带责任。</w:t>
      </w:r>
    </w:p>
    <w:p w14:paraId="423E4F11">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六、有关本次联合投标的其他事宜：</w:t>
      </w:r>
    </w:p>
    <w:p w14:paraId="52DB1FB4">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1、联合体各方不再单独参加或者与其他供应商另外组成联合体参加同一合同项下的政府采购活动。</w:t>
      </w:r>
    </w:p>
    <w:p w14:paraId="03DC01F0">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2、联合体中有同类资质的各方按照联合体分工承担相同工作的，按照资质等级较低的供应商确定资质等级。</w:t>
      </w:r>
    </w:p>
    <w:p w14:paraId="2242396C">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3、本协议提交采购人、采购代理机构后，联合体各方不得以任何形式对上述内容进行修改或撤销。</w:t>
      </w:r>
    </w:p>
    <w:p w14:paraId="578423D3">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2DB66342">
      <w:pPr>
        <w:snapToGrid w:val="0"/>
        <w:spacing w:line="360" w:lineRule="auto"/>
        <w:ind w:firstLine="5040" w:firstLine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联合体成员名称(电子签名/公章)：</w:t>
      </w:r>
    </w:p>
    <w:p w14:paraId="06B20C86">
      <w:pPr>
        <w:snapToGrid w:val="0"/>
        <w:spacing w:line="360" w:lineRule="auto"/>
        <w:ind w:right="960"/>
        <w:jc w:val="center"/>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w:t>
      </w:r>
    </w:p>
    <w:p w14:paraId="40798193">
      <w:pPr>
        <w:snapToGrid w:val="0"/>
        <w:spacing w:line="360" w:lineRule="auto"/>
        <w:jc w:val="righ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日期：  年  月   日</w:t>
      </w:r>
    </w:p>
    <w:p w14:paraId="1BEC8265">
      <w:pPr>
        <w:spacing w:line="360" w:lineRule="auto"/>
        <w:ind w:right="420"/>
        <w:rPr>
          <w:rFonts w:ascii="仿宋_GB2312" w:hAnsi="仿宋" w:eastAsia="仿宋_GB2312" w:cs="仿宋"/>
          <w:sz w:val="24"/>
          <w:highlight w:val="none"/>
        </w:rPr>
      </w:pPr>
      <w:r>
        <w:rPr>
          <w:rFonts w:hint="eastAsia" w:ascii="仿宋_GB2312" w:hAnsi="仿宋" w:eastAsia="仿宋_GB2312" w:cs="仿宋"/>
          <w:sz w:val="24"/>
          <w:highlight w:val="none"/>
        </w:rPr>
        <w:t>注：按本格式和要求提供。</w:t>
      </w:r>
    </w:p>
    <w:p w14:paraId="5045F330">
      <w:pPr>
        <w:autoSpaceDE w:val="0"/>
        <w:autoSpaceDN w:val="0"/>
        <w:jc w:val="center"/>
        <w:rPr>
          <w:rFonts w:ascii="仿宋_GB2312" w:hAnsi="仿宋" w:eastAsia="仿宋_GB2312" w:cs="仿宋"/>
          <w:b/>
          <w:spacing w:val="6"/>
          <w:sz w:val="32"/>
          <w:szCs w:val="32"/>
          <w:highlight w:val="none"/>
        </w:rPr>
      </w:pPr>
    </w:p>
    <w:p w14:paraId="12F8A0F2">
      <w:pPr>
        <w:autoSpaceDE w:val="0"/>
        <w:autoSpaceDN w:val="0"/>
        <w:jc w:val="center"/>
        <w:rPr>
          <w:rFonts w:ascii="仿宋_GB2312" w:hAnsi="仿宋" w:eastAsia="仿宋_GB2312" w:cs="仿宋"/>
          <w:b/>
          <w:spacing w:val="6"/>
          <w:sz w:val="32"/>
          <w:szCs w:val="32"/>
          <w:highlight w:val="none"/>
        </w:rPr>
      </w:pPr>
    </w:p>
    <w:p w14:paraId="777FD601">
      <w:pPr>
        <w:widowControl/>
        <w:jc w:val="left"/>
        <w:rPr>
          <w:rFonts w:ascii="仿宋_GB2312" w:hAnsi="仿宋" w:eastAsia="仿宋_GB2312" w:cs="仿宋"/>
          <w:b/>
          <w:spacing w:val="6"/>
          <w:sz w:val="32"/>
          <w:szCs w:val="32"/>
          <w:highlight w:val="none"/>
        </w:rPr>
      </w:pPr>
    </w:p>
    <w:p w14:paraId="3E46D6D2">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512F6A77">
      <w:pPr>
        <w:snapToGrid w:val="0"/>
        <w:spacing w:line="360" w:lineRule="auto"/>
        <w:jc w:val="center"/>
        <w:rPr>
          <w:rFonts w:ascii="仿宋_GB2312" w:hAnsi="仿宋" w:eastAsia="仿宋_GB2312" w:cs="仿宋"/>
          <w:b/>
          <w:kern w:val="0"/>
          <w:sz w:val="32"/>
          <w:szCs w:val="32"/>
          <w:highlight w:val="none"/>
        </w:rPr>
      </w:pPr>
      <w:r>
        <w:rPr>
          <w:rFonts w:hint="eastAsia" w:ascii="仿宋_GB2312" w:hAnsi="仿宋" w:eastAsia="仿宋_GB2312" w:cs="仿宋"/>
          <w:b/>
          <w:spacing w:val="6"/>
          <w:sz w:val="32"/>
          <w:szCs w:val="32"/>
          <w:highlight w:val="none"/>
        </w:rPr>
        <w:t>附件6：</w:t>
      </w:r>
      <w:r>
        <w:rPr>
          <w:rFonts w:hint="eastAsia" w:ascii="仿宋_GB2312" w:hAnsi="仿宋" w:eastAsia="仿宋_GB2312" w:cs="仿宋"/>
          <w:b/>
          <w:kern w:val="0"/>
          <w:sz w:val="32"/>
          <w:szCs w:val="32"/>
          <w:highlight w:val="none"/>
        </w:rPr>
        <w:t>分包意向协议</w:t>
      </w:r>
    </w:p>
    <w:p w14:paraId="32100319">
      <w:pPr>
        <w:widowControl/>
        <w:spacing w:line="360" w:lineRule="auto"/>
        <w:ind w:firstLine="120" w:firstLineChars="50"/>
        <w:jc w:val="left"/>
        <w:rPr>
          <w:rFonts w:ascii="仿宋_GB2312" w:hAnsi="仿宋" w:eastAsia="仿宋_GB2312" w:cs="仿宋"/>
          <w:sz w:val="24"/>
          <w:highlight w:val="none"/>
        </w:rPr>
      </w:pPr>
      <w:r>
        <w:rPr>
          <w:rFonts w:hint="eastAsia" w:ascii="仿宋_GB2312" w:hAnsi="仿宋" w:eastAsia="仿宋_GB2312" w:cs="仿宋"/>
          <w:sz w:val="24"/>
          <w:highlight w:val="none"/>
        </w:rPr>
        <w:t>（</w:t>
      </w:r>
      <w:r>
        <w:rPr>
          <w:rFonts w:hint="eastAsia" w:ascii="仿宋_GB2312" w:hAnsi="仿宋" w:eastAsia="仿宋_GB2312" w:cs="仿宋"/>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
          <w:sz w:val="24"/>
          <w:highlight w:val="none"/>
        </w:rPr>
        <w:t>）</w:t>
      </w:r>
    </w:p>
    <w:p w14:paraId="57FC74B5">
      <w:pPr>
        <w:tabs>
          <w:tab w:val="left" w:pos="432"/>
        </w:tabs>
        <w:rPr>
          <w:rFonts w:ascii="仿宋_GB2312" w:hAnsi="仿宋" w:eastAsia="仿宋_GB2312" w:cs="仿宋"/>
          <w:highlight w:val="none"/>
        </w:rPr>
      </w:pPr>
    </w:p>
    <w:p w14:paraId="532D4689">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（投标人名称）</w:t>
      </w:r>
      <w:r>
        <w:rPr>
          <w:rFonts w:hint="eastAsia" w:ascii="仿宋_GB2312" w:hAnsi="仿宋" w:eastAsia="仿宋_GB2312" w:cs="仿宋"/>
          <w:kern w:val="0"/>
          <w:sz w:val="24"/>
          <w:highlight w:val="none"/>
          <w:lang w:val="zh-CN"/>
        </w:rPr>
        <w:t>若成为</w:t>
      </w:r>
      <w:r>
        <w:rPr>
          <w:rFonts w:hint="eastAsia" w:ascii="仿宋_GB2312" w:hAnsi="仿宋" w:eastAsia="仿宋_GB2312" w:cs="仿宋"/>
          <w:sz w:val="24"/>
          <w:highlight w:val="none"/>
        </w:rPr>
        <w:t>（项目名称）【招标编号：（采购编号）】</w:t>
      </w:r>
      <w:r>
        <w:rPr>
          <w:rFonts w:hint="eastAsia" w:ascii="仿宋_GB2312" w:hAnsi="仿宋" w:eastAsia="仿宋_GB2312" w:cs="仿宋"/>
          <w:kern w:val="0"/>
          <w:sz w:val="24"/>
          <w:highlight w:val="none"/>
          <w:lang w:val="zh-CN"/>
        </w:rPr>
        <w:t>的中标供应商，将依法采取分包方式履行合同。</w:t>
      </w:r>
      <w:r>
        <w:rPr>
          <w:rFonts w:hint="eastAsia" w:ascii="仿宋_GB2312" w:hAnsi="仿宋" w:eastAsia="仿宋_GB2312" w:cs="仿宋"/>
          <w:kern w:val="0"/>
          <w:sz w:val="24"/>
          <w:highlight w:val="none"/>
          <w:u w:val="single"/>
        </w:rPr>
        <w:t>（投标人名称）</w:t>
      </w:r>
      <w:r>
        <w:rPr>
          <w:rFonts w:hint="eastAsia" w:ascii="仿宋_GB2312" w:hAnsi="仿宋" w:eastAsia="仿宋_GB2312" w:cs="仿宋"/>
          <w:kern w:val="0"/>
          <w:sz w:val="24"/>
          <w:highlight w:val="none"/>
        </w:rPr>
        <w:t>与</w:t>
      </w:r>
      <w:r>
        <w:rPr>
          <w:rFonts w:hint="eastAsia" w:ascii="仿宋_GB2312" w:hAnsi="仿宋" w:eastAsia="仿宋_GB2312" w:cs="仿宋"/>
          <w:kern w:val="0"/>
          <w:sz w:val="24"/>
          <w:highlight w:val="none"/>
          <w:u w:val="single"/>
        </w:rPr>
        <w:t>（所有分包供应商名称）</w:t>
      </w:r>
      <w:r>
        <w:rPr>
          <w:rFonts w:hint="eastAsia" w:ascii="仿宋_GB2312" w:hAnsi="仿宋" w:eastAsia="仿宋_GB2312" w:cs="仿宋"/>
          <w:kern w:val="0"/>
          <w:sz w:val="24"/>
          <w:highlight w:val="none"/>
        </w:rPr>
        <w:t>达成分包意向协议</w:t>
      </w:r>
      <w:r>
        <w:rPr>
          <w:rFonts w:hint="eastAsia" w:ascii="仿宋_GB2312" w:hAnsi="仿宋" w:eastAsia="仿宋_GB2312" w:cs="仿宋"/>
          <w:kern w:val="0"/>
          <w:sz w:val="24"/>
          <w:highlight w:val="none"/>
          <w:lang w:val="zh-CN"/>
        </w:rPr>
        <w:t xml:space="preserve">。 </w:t>
      </w:r>
    </w:p>
    <w:p w14:paraId="40C24988">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一、分包标的及数量</w:t>
      </w:r>
    </w:p>
    <w:p w14:paraId="0D8708C3">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u w:val="single"/>
        </w:rPr>
        <w:t>（投标人名称）</w:t>
      </w:r>
      <w:r>
        <w:rPr>
          <w:rFonts w:hint="eastAsia" w:ascii="仿宋_GB2312" w:hAnsi="仿宋" w:eastAsia="仿宋_GB2312" w:cs="仿宋"/>
          <w:kern w:val="0"/>
          <w:sz w:val="24"/>
          <w:highlight w:val="none"/>
          <w:lang w:val="zh-CN"/>
        </w:rPr>
        <w:t>将</w:t>
      </w:r>
      <w:r>
        <w:rPr>
          <w:rFonts w:hint="eastAsia" w:ascii="仿宋_GB2312" w:hAnsi="仿宋" w:eastAsia="仿宋_GB2312" w:cs="仿宋"/>
          <w:highlight w:val="none"/>
          <w:u w:val="single"/>
        </w:rPr>
        <w:t xml:space="preserve">  </w:t>
      </w:r>
      <w:r>
        <w:rPr>
          <w:rFonts w:hint="eastAsia" w:ascii="仿宋_GB2312" w:hAnsi="仿宋" w:eastAsia="仿宋_GB2312" w:cs="仿宋"/>
          <w:kern w:val="0"/>
          <w:sz w:val="24"/>
          <w:highlight w:val="none"/>
          <w:u w:val="single"/>
        </w:rPr>
        <w:t xml:space="preserve"> XX工作内容   </w:t>
      </w:r>
      <w:r>
        <w:rPr>
          <w:rFonts w:hint="eastAsia" w:ascii="仿宋_GB2312" w:hAnsi="仿宋" w:eastAsia="仿宋_GB2312" w:cs="仿宋"/>
          <w:sz w:val="24"/>
          <w:highlight w:val="none"/>
        </w:rPr>
        <w:t>分包给</w:t>
      </w:r>
      <w:r>
        <w:rPr>
          <w:rFonts w:hint="eastAsia" w:ascii="仿宋_GB2312" w:hAnsi="仿宋" w:eastAsia="仿宋_GB2312" w:cs="仿宋"/>
          <w:kern w:val="0"/>
          <w:sz w:val="24"/>
          <w:highlight w:val="none"/>
          <w:u w:val="single"/>
        </w:rPr>
        <w:t>（分包供应商1名称）</w:t>
      </w:r>
      <w:r>
        <w:rPr>
          <w:rFonts w:hint="eastAsia" w:ascii="仿宋_GB2312" w:hAnsi="仿宋" w:eastAsia="仿宋_GB2312" w:cs="仿宋"/>
          <w:kern w:val="0"/>
          <w:sz w:val="24"/>
          <w:highlight w:val="none"/>
          <w:lang w:val="zh-CN"/>
        </w:rPr>
        <w:t>，</w:t>
      </w:r>
      <w:r>
        <w:rPr>
          <w:rFonts w:hint="eastAsia" w:ascii="仿宋_GB2312" w:hAnsi="仿宋" w:eastAsia="仿宋_GB2312" w:cs="仿宋"/>
          <w:kern w:val="0"/>
          <w:sz w:val="24"/>
          <w:highlight w:val="none"/>
          <w:u w:val="single"/>
        </w:rPr>
        <w:t>（分包供应商2名称），</w:t>
      </w:r>
      <w:r>
        <w:rPr>
          <w:rFonts w:hint="eastAsia" w:ascii="仿宋_GB2312" w:hAnsi="仿宋" w:eastAsia="仿宋_GB2312" w:cs="仿宋"/>
          <w:kern w:val="0"/>
          <w:sz w:val="24"/>
          <w:highlight w:val="none"/>
          <w:lang w:val="zh-CN"/>
        </w:rPr>
        <w:t>具备承</w:t>
      </w:r>
      <w:r>
        <w:rPr>
          <w:rFonts w:hint="eastAsia" w:ascii="仿宋_GB2312" w:hAnsi="仿宋" w:eastAsia="仿宋_GB2312" w:cs="仿宋"/>
          <w:kern w:val="0"/>
          <w:sz w:val="24"/>
          <w:highlight w:val="none"/>
        </w:rPr>
        <w:t>担</w:t>
      </w:r>
      <w:r>
        <w:rPr>
          <w:rFonts w:hint="eastAsia" w:ascii="仿宋_GB2312" w:hAnsi="仿宋" w:eastAsia="仿宋_GB2312" w:cs="仿宋"/>
          <w:kern w:val="0"/>
          <w:sz w:val="24"/>
          <w:highlight w:val="none"/>
          <w:u w:val="single"/>
          <w:lang w:val="zh-CN"/>
        </w:rPr>
        <w:t>XX工作内容</w:t>
      </w:r>
      <w:r>
        <w:rPr>
          <w:rFonts w:hint="eastAsia" w:ascii="仿宋_GB2312" w:hAnsi="仿宋" w:eastAsia="仿宋_GB2312" w:cs="仿宋"/>
          <w:kern w:val="0"/>
          <w:sz w:val="24"/>
          <w:highlight w:val="none"/>
          <w:lang w:val="zh-CN"/>
        </w:rPr>
        <w:t>相应资质条件且不得再次分包；</w:t>
      </w:r>
    </w:p>
    <w:p w14:paraId="653D3EF2">
      <w:pPr>
        <w:tabs>
          <w:tab w:val="left" w:pos="432"/>
        </w:tabs>
        <w:ind w:left="664" w:leftChars="316" w:firstLine="228" w:firstLineChars="95"/>
        <w:rPr>
          <w:rFonts w:ascii="仿宋_GB2312" w:hAnsi="仿宋" w:eastAsia="仿宋_GB2312" w:cs="仿宋"/>
          <w:kern w:val="0"/>
          <w:sz w:val="24"/>
          <w:highlight w:val="none"/>
        </w:rPr>
      </w:pPr>
      <w:r>
        <w:rPr>
          <w:rFonts w:hint="eastAsia" w:ascii="仿宋_GB2312" w:hAnsi="仿宋" w:eastAsia="仿宋_GB2312" w:cs="仿宋"/>
          <w:kern w:val="0"/>
          <w:sz w:val="24"/>
          <w:highlight w:val="none"/>
        </w:rPr>
        <w:t>……</w:t>
      </w:r>
    </w:p>
    <w:p w14:paraId="3F00219D">
      <w:pPr>
        <w:rPr>
          <w:rFonts w:ascii="仿宋_GB2312" w:hAnsi="仿宋" w:eastAsia="仿宋_GB2312" w:cs="仿宋"/>
          <w:highlight w:val="none"/>
        </w:rPr>
      </w:pPr>
      <w:r>
        <w:rPr>
          <w:rFonts w:hint="eastAsia" w:ascii="仿宋_GB2312" w:hAnsi="仿宋" w:eastAsia="仿宋_GB2312" w:cs="仿宋"/>
          <w:highlight w:val="none"/>
          <w:lang w:val="zh-CN"/>
        </w:rPr>
        <w:t xml:space="preserve"> </w:t>
      </w:r>
    </w:p>
    <w:p w14:paraId="3B7D10E9">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二、分包供应商中小企业合同份额</w:t>
      </w:r>
    </w:p>
    <w:p w14:paraId="55A9F174">
      <w:pPr>
        <w:snapToGrid w:val="0"/>
        <w:spacing w:line="360" w:lineRule="auto"/>
        <w:ind w:firstLine="576"/>
        <w:rPr>
          <w:rFonts w:ascii="仿宋_GB2312" w:hAnsi="仿宋" w:eastAsia="仿宋_GB2312" w:cs="仿宋"/>
          <w:b/>
          <w:kern w:val="0"/>
          <w:sz w:val="24"/>
          <w:highlight w:val="none"/>
          <w:lang w:val="zh-CN"/>
        </w:rPr>
      </w:pPr>
      <w:r>
        <w:rPr>
          <w:rFonts w:hint="eastAsia" w:ascii="仿宋_GB2312" w:hAnsi="仿宋" w:eastAsia="仿宋_GB2312" w:cs="仿宋"/>
          <w:kern w:val="0"/>
          <w:sz w:val="24"/>
          <w:highlight w:val="none"/>
        </w:rPr>
        <w:t>1、</w:t>
      </w:r>
      <w:r>
        <w:rPr>
          <w:rFonts w:hint="eastAsia" w:ascii="仿宋_GB2312" w:hAnsi="仿宋" w:eastAsia="仿宋_GB2312" w:cs="仿宋"/>
          <w:kern w:val="0"/>
          <w:sz w:val="24"/>
          <w:highlight w:val="none"/>
          <w:u w:val="single"/>
        </w:rPr>
        <w:t>（分包供应商X,……）提供的服务全部由小微企业承接，</w:t>
      </w:r>
      <w:r>
        <w:rPr>
          <w:rFonts w:hint="eastAsia" w:ascii="仿宋_GB2312" w:hAnsi="仿宋" w:eastAsia="仿宋_GB2312" w:cs="仿宋"/>
          <w:kern w:val="0"/>
          <w:sz w:val="24"/>
          <w:highlight w:val="none"/>
        </w:rPr>
        <w:t>其合同份额占到合同总金额</w:t>
      </w:r>
      <w:r>
        <w:rPr>
          <w:rFonts w:hint="eastAsia" w:ascii="仿宋_GB2312" w:hAnsi="仿宋" w:eastAsia="仿宋_GB2312" w:cs="仿宋"/>
          <w:kern w:val="0"/>
          <w:sz w:val="24"/>
          <w:highlight w:val="none"/>
          <w:u w:val="single"/>
        </w:rPr>
        <w:t xml:space="preserve">     </w:t>
      </w:r>
      <w:r>
        <w:rPr>
          <w:rFonts w:hint="eastAsia" w:ascii="仿宋_GB2312" w:hAnsi="仿宋" w:eastAsia="仿宋_GB2312" w:cs="仿宋"/>
          <w:kern w:val="0"/>
          <w:sz w:val="24"/>
          <w:highlight w:val="none"/>
        </w:rPr>
        <w:t>%以上</w:t>
      </w:r>
      <w:r>
        <w:rPr>
          <w:rFonts w:hint="eastAsia" w:ascii="仿宋_GB2312" w:hAnsi="仿宋" w:eastAsia="仿宋_GB2312" w:cs="仿宋"/>
          <w:highlight w:val="none"/>
        </w:rPr>
        <w:t>。</w:t>
      </w:r>
      <w:r>
        <w:rPr>
          <w:rFonts w:hint="eastAsia" w:ascii="仿宋_GB2312" w:hAnsi="仿宋" w:eastAsia="仿宋_GB2312"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 w:eastAsia="仿宋_GB2312" w:cs="仿宋"/>
          <w:b/>
          <w:sz w:val="24"/>
          <w:highlight w:val="none"/>
        </w:rPr>
        <w:t>拟享受以上价格扣除政策的，填写有关内容</w:t>
      </w:r>
      <w:r>
        <w:rPr>
          <w:rFonts w:hint="eastAsia" w:ascii="仿宋_GB2312" w:hAnsi="仿宋" w:eastAsia="仿宋_GB2312" w:cs="仿宋"/>
          <w:b/>
          <w:kern w:val="0"/>
          <w:sz w:val="24"/>
          <w:highlight w:val="none"/>
          <w:lang w:val="zh-CN"/>
        </w:rPr>
        <w:t>）</w:t>
      </w:r>
    </w:p>
    <w:p w14:paraId="64EEF5E1">
      <w:pPr>
        <w:spacing w:line="360" w:lineRule="auto"/>
        <w:ind w:firstLine="480" w:firstLineChars="200"/>
        <w:rPr>
          <w:rFonts w:ascii="仿宋_GB2312" w:hAnsi="仿宋" w:eastAsia="仿宋_GB2312" w:cs="仿宋"/>
          <w:b/>
          <w:bCs/>
          <w:kern w:val="0"/>
          <w:sz w:val="24"/>
          <w:highlight w:val="none"/>
          <w:lang w:val="zh-CN"/>
        </w:rPr>
      </w:pPr>
      <w:r>
        <w:rPr>
          <w:rFonts w:hint="eastAsia" w:ascii="仿宋_GB2312" w:hAnsi="仿宋" w:eastAsia="仿宋_GB2312" w:cs="仿宋"/>
          <w:sz w:val="24"/>
          <w:highlight w:val="none"/>
        </w:rPr>
        <w:t>2、中小企业合同金额达到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%，小微企业合同金额达到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r>
        <w:rPr>
          <w:rFonts w:hint="eastAsia" w:ascii="仿宋_GB2312" w:hAnsi="仿宋" w:eastAsia="仿宋_GB2312" w:cs="仿宋"/>
          <w:kern w:val="0"/>
          <w:sz w:val="24"/>
          <w:highlight w:val="none"/>
          <w:lang w:val="zh-CN"/>
        </w:rPr>
        <w:t>。</w:t>
      </w:r>
      <w:r>
        <w:rPr>
          <w:rFonts w:hint="eastAsia" w:ascii="仿宋_GB2312" w:hAnsi="仿宋" w:eastAsia="仿宋_GB2312" w:cs="仿宋"/>
          <w:b/>
          <w:bCs/>
          <w:kern w:val="0"/>
          <w:sz w:val="24"/>
          <w:highlight w:val="none"/>
          <w:lang w:val="zh-CN"/>
        </w:rPr>
        <w:t>（</w:t>
      </w:r>
      <w:r>
        <w:rPr>
          <w:rFonts w:hint="eastAsia" w:ascii="仿宋_GB2312" w:hAnsi="仿宋" w:eastAsia="仿宋_GB2312" w:cs="仿宋"/>
          <w:b/>
          <w:bCs/>
          <w:sz w:val="24"/>
          <w:highlight w:val="none"/>
        </w:rPr>
        <w:t>要求合同分包形式参加的项目或采购包，供应商按招标文件第一部分招标公告申请人的资格要求中规定的</w:t>
      </w:r>
      <w:r>
        <w:rPr>
          <w:rFonts w:hint="eastAsia" w:ascii="仿宋_GB2312" w:hAnsi="仿宋" w:eastAsia="仿宋_GB2312" w:cs="仿宋"/>
          <w:b/>
          <w:kern w:val="0"/>
          <w:sz w:val="24"/>
          <w:highlight w:val="none"/>
          <w:lang w:val="zh-CN"/>
        </w:rPr>
        <w:t>分包意向协议</w:t>
      </w:r>
      <w:r>
        <w:rPr>
          <w:rFonts w:hint="eastAsia" w:ascii="仿宋_GB2312" w:hAnsi="仿宋" w:eastAsia="仿宋_GB2312" w:cs="仿宋"/>
          <w:b/>
          <w:bCs/>
          <w:sz w:val="24"/>
          <w:highlight w:val="none"/>
        </w:rPr>
        <w:t>中中小企业、小微企业合同金额应当达到的比例要求填写</w:t>
      </w:r>
      <w:r>
        <w:rPr>
          <w:rFonts w:hint="eastAsia" w:ascii="仿宋_GB2312" w:hAnsi="仿宋" w:eastAsia="仿宋_GB2312" w:cs="仿宋"/>
          <w:b/>
          <w:bCs/>
          <w:kern w:val="0"/>
          <w:sz w:val="24"/>
          <w:highlight w:val="none"/>
          <w:lang w:val="zh-CN"/>
        </w:rPr>
        <w:t>）</w:t>
      </w:r>
    </w:p>
    <w:p w14:paraId="7388661B">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三、分包工作履行期限、地点、方式</w:t>
      </w:r>
    </w:p>
    <w:p w14:paraId="11208E80">
      <w:pPr>
        <w:snapToGrid w:val="0"/>
        <w:spacing w:line="360" w:lineRule="auto"/>
        <w:ind w:firstLine="576"/>
        <w:rPr>
          <w:rFonts w:ascii="仿宋_GB2312" w:hAnsi="仿宋" w:eastAsia="仿宋_GB2312" w:cs="仿宋"/>
          <w:highlight w:val="none"/>
          <w:u w:val="single"/>
        </w:rPr>
      </w:pPr>
      <w:r>
        <w:rPr>
          <w:rFonts w:hint="eastAsia" w:ascii="仿宋_GB2312" w:hAnsi="仿宋" w:eastAsia="仿宋_GB2312" w:cs="仿宋"/>
          <w:highlight w:val="none"/>
          <w:u w:val="single"/>
        </w:rPr>
        <w:t xml:space="preserve">                                                                                  </w:t>
      </w:r>
    </w:p>
    <w:p w14:paraId="31845FAC">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四、质量</w:t>
      </w:r>
    </w:p>
    <w:p w14:paraId="0C20A779">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13950A5B">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五、价款或者报酬</w:t>
      </w:r>
    </w:p>
    <w:p w14:paraId="57F1FD05">
      <w:pPr>
        <w:snapToGrid w:val="0"/>
        <w:spacing w:line="360" w:lineRule="auto"/>
        <w:ind w:left="573" w:leftChars="273"/>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6B6D2B35">
      <w:pPr>
        <w:snapToGrid w:val="0"/>
        <w:spacing w:line="360" w:lineRule="auto"/>
        <w:ind w:left="573" w:leftChars="273"/>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六、违约责任</w:t>
      </w:r>
    </w:p>
    <w:p w14:paraId="60692A98">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327CA659">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七、争议解决的办法</w:t>
      </w:r>
    </w:p>
    <w:p w14:paraId="49FA4ED5">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highlight w:val="none"/>
          <w:u w:val="single"/>
        </w:rPr>
        <w:t xml:space="preserve">                                                                                  </w:t>
      </w:r>
    </w:p>
    <w:p w14:paraId="2CEA59EC">
      <w:pPr>
        <w:snapToGrid w:val="0"/>
        <w:spacing w:line="360" w:lineRule="auto"/>
        <w:ind w:firstLine="576"/>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八、其他</w:t>
      </w:r>
    </w:p>
    <w:p w14:paraId="22D2F3C1">
      <w:pPr>
        <w:snapToGrid w:val="0"/>
        <w:spacing w:line="360" w:lineRule="auto"/>
        <w:ind w:left="5758" w:leftChars="342" w:hanging="5040" w:hangingChars="2100"/>
        <w:rPr>
          <w:rFonts w:ascii="仿宋_GB2312" w:hAnsi="仿宋" w:eastAsia="仿宋_GB2312" w:cs="仿宋"/>
          <w:kern w:val="0"/>
          <w:sz w:val="24"/>
          <w:highlight w:val="none"/>
          <w:lang w:val="zh-CN"/>
        </w:rPr>
      </w:pPr>
      <w:r>
        <w:rPr>
          <w:rFonts w:hint="eastAsia" w:ascii="仿宋_GB2312" w:hAnsi="仿宋" w:eastAsia="仿宋_GB2312" w:cs="仿宋"/>
          <w:sz w:val="24"/>
          <w:highlight w:val="none"/>
        </w:rPr>
        <w:t>中小企业合同金额达到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%，小微企业合同金额达到</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w:t>
      </w:r>
      <w:r>
        <w:rPr>
          <w:rFonts w:hint="eastAsia" w:ascii="仿宋_GB2312" w:hAnsi="仿宋" w:eastAsia="仿宋_GB2312" w:cs="仿宋"/>
          <w:kern w:val="0"/>
          <w:sz w:val="24"/>
          <w:highlight w:val="none"/>
          <w:lang w:val="zh-CN"/>
        </w:rPr>
        <w:t xml:space="preserve">  。                                           投标人名称(电子签名)：</w:t>
      </w:r>
    </w:p>
    <w:p w14:paraId="0B3D76FF">
      <w:pPr>
        <w:snapToGrid w:val="0"/>
        <w:spacing w:line="360" w:lineRule="auto"/>
        <w:jc w:val="right"/>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分包供应商名称(电子签名/公章)：</w:t>
      </w:r>
    </w:p>
    <w:p w14:paraId="6BA3008C">
      <w:pPr>
        <w:snapToGrid w:val="0"/>
        <w:spacing w:line="360" w:lineRule="auto"/>
        <w:ind w:firstLine="5760" w:firstLineChars="2400"/>
        <w:rPr>
          <w:rFonts w:ascii="仿宋_GB2312" w:hAnsi="仿宋" w:eastAsia="仿宋_GB2312" w:cs="仿宋"/>
          <w:highlight w:val="none"/>
        </w:rPr>
      </w:pPr>
      <w:r>
        <w:rPr>
          <w:rFonts w:hint="eastAsia" w:ascii="仿宋_GB2312" w:hAnsi="仿宋" w:eastAsia="仿宋_GB2312" w:cs="仿宋"/>
          <w:kern w:val="0"/>
          <w:sz w:val="24"/>
          <w:highlight w:val="none"/>
          <w:lang w:val="zh-CN"/>
        </w:rPr>
        <w:t>……</w:t>
      </w:r>
    </w:p>
    <w:p w14:paraId="1185E45E">
      <w:pPr>
        <w:snapToGrid w:val="0"/>
        <w:spacing w:line="360" w:lineRule="auto"/>
        <w:ind w:left="5758" w:leftChars="342" w:hanging="5040" w:hangingChars="2100"/>
        <w:rPr>
          <w:rFonts w:ascii="仿宋_GB2312" w:hAnsi="仿宋" w:eastAsia="仿宋_GB2312" w:cs="仿宋"/>
          <w:kern w:val="0"/>
          <w:sz w:val="24"/>
          <w:highlight w:val="none"/>
          <w:lang w:val="zh-CN"/>
        </w:rPr>
      </w:pPr>
      <w:r>
        <w:rPr>
          <w:rFonts w:hint="eastAsia" w:ascii="仿宋_GB2312" w:hAnsi="仿宋" w:eastAsia="仿宋_GB2312" w:cs="仿宋"/>
          <w:kern w:val="0"/>
          <w:sz w:val="24"/>
          <w:highlight w:val="none"/>
          <w:lang w:val="zh-CN"/>
        </w:rPr>
        <w:t xml:space="preserve">                                        日期：  年  月   日</w:t>
      </w:r>
    </w:p>
    <w:p w14:paraId="3650F3AB">
      <w:pPr>
        <w:spacing w:line="360" w:lineRule="auto"/>
        <w:ind w:right="420"/>
        <w:rPr>
          <w:rFonts w:ascii="仿宋_GB2312" w:hAnsi="仿宋" w:eastAsia="仿宋_GB2312" w:cs="仿宋"/>
          <w:sz w:val="24"/>
          <w:highlight w:val="none"/>
        </w:rPr>
      </w:pPr>
      <w:r>
        <w:rPr>
          <w:rFonts w:hint="eastAsia" w:ascii="仿宋_GB2312" w:hAnsi="仿宋" w:eastAsia="仿宋_GB2312" w:cs="仿宋"/>
          <w:sz w:val="24"/>
          <w:highlight w:val="none"/>
        </w:rPr>
        <w:t>注：按本格式和要求提供。</w:t>
      </w:r>
    </w:p>
    <w:p w14:paraId="42293111">
      <w:pPr>
        <w:rPr>
          <w:rFonts w:ascii="仿宋_GB2312" w:hAnsi="仿宋" w:eastAsia="仿宋_GB2312" w:cs="仿宋"/>
          <w:b/>
          <w:spacing w:val="6"/>
          <w:sz w:val="32"/>
          <w:szCs w:val="32"/>
          <w:highlight w:val="none"/>
        </w:rPr>
      </w:pPr>
    </w:p>
    <w:p w14:paraId="486B5BD2">
      <w:pP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br w:type="page"/>
      </w:r>
    </w:p>
    <w:p w14:paraId="281AB406">
      <w:pPr>
        <w:autoSpaceDE w:val="0"/>
        <w:autoSpaceDN w:val="0"/>
        <w:jc w:val="center"/>
        <w:rPr>
          <w:rFonts w:ascii="仿宋_GB2312" w:hAnsi="仿宋" w:eastAsia="仿宋_GB2312" w:cs="仿宋"/>
          <w:b/>
          <w:bCs/>
          <w:sz w:val="32"/>
          <w:szCs w:val="32"/>
          <w:highlight w:val="none"/>
        </w:rPr>
      </w:pPr>
      <w:r>
        <w:rPr>
          <w:rFonts w:hint="eastAsia" w:ascii="仿宋_GB2312" w:hAnsi="仿宋" w:eastAsia="仿宋_GB2312" w:cs="仿宋"/>
          <w:b/>
          <w:spacing w:val="6"/>
          <w:sz w:val="32"/>
          <w:szCs w:val="32"/>
          <w:highlight w:val="none"/>
        </w:rPr>
        <w:t>附件7：</w:t>
      </w:r>
      <w:r>
        <w:rPr>
          <w:rFonts w:hint="eastAsia" w:ascii="仿宋_GB2312" w:hAnsi="仿宋" w:eastAsia="仿宋_GB2312" w:cs="仿宋"/>
          <w:b/>
          <w:sz w:val="32"/>
          <w:szCs w:val="32"/>
          <w:highlight w:val="none"/>
        </w:rPr>
        <w:t>中小企业声明函</w:t>
      </w:r>
    </w:p>
    <w:p w14:paraId="71B90069">
      <w:pPr>
        <w:spacing w:line="360" w:lineRule="auto"/>
        <w:jc w:val="center"/>
        <w:rPr>
          <w:rFonts w:ascii="仿宋_GB2312" w:hAnsi="仿宋" w:eastAsia="仿宋_GB2312" w:cs="仿宋"/>
          <w:sz w:val="24"/>
          <w:highlight w:val="none"/>
          <w:u w:val="single"/>
        </w:rPr>
      </w:pPr>
    </w:p>
    <w:p w14:paraId="089D36ED">
      <w:pPr>
        <w:rPr>
          <w:rFonts w:ascii="仿宋_GB2312" w:hAnsi="仿宋" w:eastAsia="仿宋_GB2312" w:cs="仿宋"/>
          <w:bCs/>
          <w:sz w:val="24"/>
          <w:highlight w:val="none"/>
        </w:rPr>
      </w:pPr>
      <w:r>
        <w:rPr>
          <w:rFonts w:hint="eastAsia" w:ascii="仿宋_GB2312" w:hAnsi="仿宋" w:eastAsia="仿宋_GB2312" w:cs="仿宋"/>
          <w:bCs/>
          <w:sz w:val="24"/>
          <w:highlight w:val="none"/>
        </w:rPr>
        <w:t>（资格文件部分有示范格式）</w:t>
      </w:r>
    </w:p>
    <w:p w14:paraId="11F2FC52">
      <w:pPr>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中小企业声明函（服务）</w:t>
      </w:r>
    </w:p>
    <w:p w14:paraId="14A48F46">
      <w:pPr>
        <w:spacing w:line="360" w:lineRule="auto"/>
        <w:rPr>
          <w:rFonts w:ascii="仿宋_GB2312" w:hAnsi="仿宋" w:eastAsia="仿宋_GB2312" w:cs="仿宋"/>
          <w:highlight w:val="none"/>
        </w:rPr>
      </w:pPr>
    </w:p>
    <w:p w14:paraId="4E9BD218">
      <w:pPr>
        <w:spacing w:line="360" w:lineRule="auto"/>
        <w:ind w:firstLine="360" w:firstLineChars="150"/>
        <w:jc w:val="left"/>
        <w:rPr>
          <w:rFonts w:ascii="仿宋_GB2312" w:hAnsi="仿宋" w:eastAsia="仿宋_GB2312" w:cs="仿宋"/>
          <w:sz w:val="24"/>
          <w:highlight w:val="none"/>
        </w:rPr>
      </w:pPr>
      <w:r>
        <w:rPr>
          <w:rFonts w:hint="eastAsia" w:ascii="仿宋_GB2312" w:hAnsi="仿宋" w:eastAsia="仿宋_GB2312" w:cs="仿宋"/>
          <w:sz w:val="24"/>
          <w:highlight w:val="none"/>
        </w:rPr>
        <w:t>本公司（联合体）郑重声明，根据《政府采购促进中小企业发展管理办法》（财库</w:t>
      </w:r>
      <w:r>
        <w:rPr>
          <w:rFonts w:hint="eastAsia" w:ascii="宋体" w:hAnsi="宋体" w:cs="宋体"/>
          <w:sz w:val="24"/>
          <w:highlight w:val="none"/>
        </w:rPr>
        <w:t>﹝</w:t>
      </w:r>
      <w:r>
        <w:rPr>
          <w:rFonts w:hint="eastAsia" w:ascii="仿宋_GB2312" w:hAnsi="仿宋" w:eastAsia="仿宋_GB2312" w:cs="仿宋"/>
          <w:sz w:val="24"/>
          <w:highlight w:val="none"/>
        </w:rPr>
        <w:t>2020</w:t>
      </w:r>
      <w:r>
        <w:rPr>
          <w:rFonts w:hint="eastAsia" w:ascii="宋体" w:hAnsi="宋体" w:cs="宋体"/>
          <w:sz w:val="24"/>
          <w:highlight w:val="none"/>
        </w:rPr>
        <w:t>﹞</w:t>
      </w:r>
      <w:r>
        <w:rPr>
          <w:rFonts w:hint="eastAsia" w:ascii="仿宋_GB2312" w:hAnsi="仿宋" w:eastAsia="仿宋_GB2312" w:cs="仿宋"/>
          <w:sz w:val="24"/>
          <w:highlight w:val="none"/>
        </w:rPr>
        <w:t xml:space="preserve">46 号）的规定，本公司（联合体）参加 </w:t>
      </w:r>
      <w:r>
        <w:rPr>
          <w:rFonts w:hint="eastAsia" w:ascii="仿宋_GB2312" w:hAnsi="仿宋" w:eastAsia="仿宋_GB2312" w:cs="仿宋"/>
          <w:sz w:val="24"/>
          <w:highlight w:val="none"/>
          <w:u w:val="single"/>
        </w:rPr>
        <w:t xml:space="preserve">      （采购人） </w:t>
      </w:r>
      <w:r>
        <w:rPr>
          <w:rFonts w:hint="eastAsia" w:ascii="仿宋_GB2312" w:hAnsi="仿宋" w:eastAsia="仿宋_GB2312" w:cs="仿宋"/>
          <w:sz w:val="24"/>
          <w:highlight w:val="none"/>
        </w:rPr>
        <w:t xml:space="preserve">的 </w:t>
      </w:r>
      <w:r>
        <w:rPr>
          <w:rFonts w:hint="eastAsia" w:ascii="仿宋_GB2312" w:hAnsi="仿宋" w:eastAsia="仿宋_GB2312" w:cs="仿宋"/>
          <w:sz w:val="24"/>
          <w:highlight w:val="none"/>
          <w:u w:val="single"/>
        </w:rPr>
        <w:t xml:space="preserve">   （项目名称） </w:t>
      </w:r>
      <w:r>
        <w:rPr>
          <w:rFonts w:hint="eastAsia" w:ascii="仿宋_GB2312" w:hAnsi="仿宋" w:eastAsia="仿宋_GB2312" w:cs="仿宋"/>
          <w:sz w:val="24"/>
          <w:highlight w:val="none"/>
        </w:rPr>
        <w:t>采购活动，服务全部由符合政策要求的中小企业承接。相关企业（含联合体中的中小企业、签订分包意向协议的中小企业）的具体情况如下：</w:t>
      </w:r>
    </w:p>
    <w:p w14:paraId="678B0539">
      <w:pPr>
        <w:numPr>
          <w:ilvl w:val="0"/>
          <w:numId w:val="12"/>
        </w:num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 xml:space="preserve"> </w:t>
      </w:r>
      <w:r>
        <w:rPr>
          <w:rFonts w:hint="eastAsia" w:ascii="仿宋_GB2312" w:hAnsi="仿宋" w:eastAsia="仿宋_GB2312" w:cs="仿宋"/>
          <w:sz w:val="24"/>
          <w:highlight w:val="none"/>
          <w:u w:val="single"/>
        </w:rPr>
        <w:t xml:space="preserve">          （标的）</w:t>
      </w:r>
      <w:r>
        <w:rPr>
          <w:rFonts w:hint="eastAsia" w:ascii="仿宋_GB2312" w:hAnsi="仿宋" w:eastAsia="仿宋_GB2312" w:cs="仿宋"/>
          <w:sz w:val="24"/>
          <w:highlight w:val="none"/>
        </w:rPr>
        <w:t xml:space="preserve">，属于 </w:t>
      </w:r>
      <w:r>
        <w:rPr>
          <w:rFonts w:hint="eastAsia" w:ascii="仿宋_GB2312" w:hAnsi="仿宋" w:eastAsia="仿宋_GB2312" w:cs="仿宋"/>
          <w:kern w:val="0"/>
          <w:sz w:val="24"/>
          <w:highlight w:val="none"/>
          <w:u w:val="single"/>
        </w:rPr>
        <w:t xml:space="preserve">    （行业）</w:t>
      </w:r>
      <w:r>
        <w:rPr>
          <w:rFonts w:hint="eastAsia" w:ascii="仿宋_GB2312" w:hAnsi="仿宋" w:eastAsia="仿宋_GB2312" w:cs="仿宋"/>
          <w:sz w:val="24"/>
          <w:highlight w:val="none"/>
        </w:rPr>
        <w:t xml:space="preserve"> ；承接企业为 </w:t>
      </w:r>
      <w:r>
        <w:rPr>
          <w:rFonts w:hint="eastAsia" w:ascii="仿宋_GB2312" w:hAnsi="仿宋" w:eastAsia="仿宋_GB2312" w:cs="仿宋"/>
          <w:sz w:val="24"/>
          <w:highlight w:val="none"/>
          <w:u w:val="single"/>
        </w:rPr>
        <w:t xml:space="preserve">           （企业名称）</w:t>
      </w:r>
      <w:r>
        <w:rPr>
          <w:rFonts w:hint="eastAsia" w:ascii="仿宋_GB2312" w:hAnsi="仿宋" w:eastAsia="仿宋_GB2312" w:cs="仿宋"/>
          <w:sz w:val="24"/>
          <w:highlight w:val="none"/>
        </w:rPr>
        <w:t xml:space="preserve"> ，从业人员</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人，营业收入为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万元，资产总额为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万元，属于</w:t>
      </w:r>
      <w:r>
        <w:rPr>
          <w:rFonts w:hint="eastAsia" w:ascii="仿宋_GB2312" w:hAnsi="仿宋" w:eastAsia="仿宋_GB2312" w:cs="仿宋"/>
          <w:sz w:val="24"/>
          <w:highlight w:val="none"/>
          <w:u w:val="single"/>
        </w:rPr>
        <w:t xml:space="preserve">       （填写中型企业、或者小型企业、或者微型企业的一种） </w:t>
      </w:r>
    </w:p>
    <w:p w14:paraId="1C32C54D">
      <w:pPr>
        <w:numPr>
          <w:ilvl w:val="0"/>
          <w:numId w:val="12"/>
        </w:num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u w:val="single"/>
        </w:rPr>
        <w:t xml:space="preserve">           （标的）</w:t>
      </w:r>
      <w:r>
        <w:rPr>
          <w:rFonts w:hint="eastAsia" w:ascii="仿宋_GB2312" w:hAnsi="仿宋" w:eastAsia="仿宋_GB2312" w:cs="仿宋"/>
          <w:sz w:val="24"/>
          <w:highlight w:val="none"/>
        </w:rPr>
        <w:t xml:space="preserve">，属于 </w:t>
      </w:r>
      <w:r>
        <w:rPr>
          <w:rFonts w:hint="eastAsia" w:ascii="仿宋_GB2312" w:hAnsi="仿宋" w:eastAsia="仿宋_GB2312" w:cs="仿宋"/>
          <w:kern w:val="0"/>
          <w:sz w:val="24"/>
          <w:highlight w:val="none"/>
          <w:u w:val="single"/>
        </w:rPr>
        <w:t xml:space="preserve">    （行业）</w:t>
      </w:r>
      <w:r>
        <w:rPr>
          <w:rFonts w:hint="eastAsia" w:ascii="仿宋_GB2312" w:hAnsi="仿宋" w:eastAsia="仿宋_GB2312" w:cs="仿宋"/>
          <w:sz w:val="24"/>
          <w:highlight w:val="none"/>
        </w:rPr>
        <w:t xml:space="preserve"> ；承接企业为 </w:t>
      </w:r>
      <w:r>
        <w:rPr>
          <w:rFonts w:hint="eastAsia" w:ascii="仿宋_GB2312" w:hAnsi="仿宋" w:eastAsia="仿宋_GB2312" w:cs="仿宋"/>
          <w:sz w:val="24"/>
          <w:highlight w:val="none"/>
          <w:u w:val="single"/>
        </w:rPr>
        <w:t xml:space="preserve">           （企业名称）</w:t>
      </w:r>
      <w:r>
        <w:rPr>
          <w:rFonts w:hint="eastAsia" w:ascii="仿宋_GB2312" w:hAnsi="仿宋" w:eastAsia="仿宋_GB2312" w:cs="仿宋"/>
          <w:sz w:val="24"/>
          <w:highlight w:val="none"/>
        </w:rPr>
        <w:t xml:space="preserve"> ，从业人员</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人，营业收入为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万元，资产总额为</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rPr>
        <w:t>万元，属于</w:t>
      </w:r>
      <w:r>
        <w:rPr>
          <w:rFonts w:hint="eastAsia" w:ascii="仿宋_GB2312" w:hAnsi="仿宋" w:eastAsia="仿宋_GB2312" w:cs="仿宋"/>
          <w:sz w:val="24"/>
          <w:highlight w:val="none"/>
          <w:u w:val="single"/>
        </w:rPr>
        <w:t xml:space="preserve">       （填写中型企业、或者小型企业、或者微型企业的一种） </w:t>
      </w:r>
    </w:p>
    <w:p w14:paraId="3954E962">
      <w:p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w:t>
      </w:r>
    </w:p>
    <w:p w14:paraId="1711F72F">
      <w:p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以上企业，不属于大企业的分支机构，不存在控股股东为大企业的情形，也不存在与大企业的负责人为同一人的情形。</w:t>
      </w:r>
    </w:p>
    <w:p w14:paraId="783C97C8">
      <w:pPr>
        <w:spacing w:line="360" w:lineRule="auto"/>
        <w:ind w:firstLine="480" w:firstLineChars="200"/>
        <w:jc w:val="left"/>
        <w:rPr>
          <w:rFonts w:ascii="仿宋_GB2312" w:hAnsi="仿宋" w:eastAsia="仿宋_GB2312" w:cs="仿宋"/>
          <w:sz w:val="24"/>
          <w:highlight w:val="none"/>
        </w:rPr>
      </w:pPr>
      <w:r>
        <w:rPr>
          <w:rFonts w:hint="eastAsia" w:ascii="仿宋_GB2312" w:hAnsi="仿宋" w:eastAsia="仿宋_GB2312" w:cs="仿宋"/>
          <w:sz w:val="24"/>
          <w:highlight w:val="none"/>
        </w:rPr>
        <w:t>本企业对上述声明内容的真实性负责。如有虚假，将依法承担相应责任。</w:t>
      </w:r>
    </w:p>
    <w:p w14:paraId="2991AA22">
      <w:pPr>
        <w:spacing w:line="360" w:lineRule="auto"/>
        <w:ind w:right="1760"/>
        <w:jc w:val="right"/>
        <w:rPr>
          <w:rFonts w:ascii="仿宋_GB2312" w:hAnsi="仿宋" w:eastAsia="仿宋_GB2312" w:cs="仿宋"/>
          <w:sz w:val="24"/>
          <w:highlight w:val="none"/>
        </w:rPr>
      </w:pPr>
      <w:r>
        <w:rPr>
          <w:rFonts w:hint="eastAsia" w:ascii="仿宋_GB2312" w:hAnsi="仿宋" w:eastAsia="仿宋_GB2312" w:cs="仿宋"/>
          <w:sz w:val="24"/>
          <w:highlight w:val="none"/>
        </w:rPr>
        <w:t>投标人名称（电子签名）：</w:t>
      </w:r>
    </w:p>
    <w:p w14:paraId="5A7D4FF0">
      <w:pPr>
        <w:spacing w:line="360" w:lineRule="auto"/>
        <w:ind w:right="1120" w:firstLine="4680" w:firstLineChars="1950"/>
        <w:rPr>
          <w:rFonts w:ascii="仿宋_GB2312" w:hAnsi="仿宋" w:eastAsia="仿宋_GB2312" w:cs="仿宋"/>
          <w:sz w:val="24"/>
          <w:highlight w:val="none"/>
        </w:rPr>
      </w:pPr>
      <w:r>
        <w:rPr>
          <w:rFonts w:hint="eastAsia" w:ascii="仿宋_GB2312" w:hAnsi="仿宋" w:eastAsia="仿宋_GB2312" w:cs="仿宋"/>
          <w:sz w:val="24"/>
          <w:highlight w:val="none"/>
        </w:rPr>
        <w:t>日 期：</w:t>
      </w:r>
    </w:p>
    <w:p w14:paraId="20B8AD58">
      <w:pPr>
        <w:spacing w:line="360" w:lineRule="auto"/>
        <w:ind w:firstLine="310" w:firstLineChars="147"/>
        <w:jc w:val="left"/>
        <w:rPr>
          <w:rFonts w:ascii="仿宋_GB2312" w:hAnsi="仿宋" w:eastAsia="仿宋_GB2312" w:cs="仿宋"/>
          <w:b/>
          <w:szCs w:val="21"/>
          <w:highlight w:val="none"/>
        </w:rPr>
      </w:pPr>
    </w:p>
    <w:p w14:paraId="3CA2D01D">
      <w:pPr>
        <w:spacing w:line="360" w:lineRule="auto"/>
        <w:ind w:right="420"/>
        <w:rPr>
          <w:rFonts w:ascii="仿宋_GB2312" w:hAnsi="仿宋" w:eastAsia="仿宋_GB2312" w:cs="仿宋"/>
          <w:sz w:val="24"/>
          <w:highlight w:val="none"/>
        </w:rPr>
      </w:pPr>
    </w:p>
    <w:p w14:paraId="3232CF6E">
      <w:pPr>
        <w:spacing w:line="360" w:lineRule="auto"/>
        <w:ind w:right="420"/>
        <w:rPr>
          <w:rFonts w:ascii="仿宋_GB2312" w:hAnsi="仿宋" w:eastAsia="仿宋_GB2312" w:cs="仿宋"/>
          <w:highlight w:val="none"/>
        </w:rPr>
      </w:pPr>
      <w:r>
        <w:rPr>
          <w:rFonts w:hint="eastAsia" w:ascii="仿宋_GB2312" w:hAnsi="仿宋" w:eastAsia="仿宋_GB2312" w:cs="仿宋"/>
          <w:sz w:val="24"/>
          <w:highlight w:val="none"/>
        </w:rPr>
        <w:t xml:space="preserve">   注：</w:t>
      </w:r>
      <w:r>
        <w:rPr>
          <w:rFonts w:hint="eastAsia" w:ascii="仿宋_GB2312" w:hAnsi="仿宋" w:eastAsia="仿宋_GB2312" w:cs="仿宋"/>
          <w:sz w:val="24"/>
          <w:highlight w:val="none"/>
          <w:lang w:eastAsia="zh-CN"/>
        </w:rPr>
        <w:t>①</w:t>
      </w:r>
      <w:r>
        <w:rPr>
          <w:rFonts w:hint="eastAsia" w:ascii="仿宋_GB2312" w:hAnsi="仿宋" w:eastAsia="仿宋_GB2312" w:cs="仿宋"/>
          <w:sz w:val="24"/>
          <w:highlight w:val="none"/>
        </w:rPr>
        <w:t>从业人员、营业收入、资产总额填报上一年度数据，无上一年度数据的新成立企业可不填报</w:t>
      </w:r>
      <w:r>
        <w:rPr>
          <w:rFonts w:hint="eastAsia" w:ascii="仿宋_GB2312" w:hAnsi="仿宋" w:eastAsia="仿宋_GB2312" w:cs="仿宋"/>
          <w:sz w:val="24"/>
          <w:highlight w:val="none"/>
          <w:lang w:eastAsia="zh-CN"/>
        </w:rPr>
        <w:t>。②</w:t>
      </w:r>
      <w:r>
        <w:rPr>
          <w:rFonts w:hint="eastAsia" w:ascii="仿宋_GB2312" w:hAnsi="仿宋" w:eastAsia="仿宋_GB2312" w:cs="仿宋"/>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4C5BF4DC">
      <w:pPr>
        <w:spacing w:line="360" w:lineRule="auto"/>
        <w:ind w:right="420"/>
        <w:rPr>
          <w:rFonts w:ascii="仿宋_GB2312" w:hAnsi="仿宋" w:eastAsia="仿宋_GB2312" w:cs="仿宋"/>
          <w:highlight w:val="none"/>
        </w:rPr>
      </w:pPr>
    </w:p>
    <w:p w14:paraId="2D6F5EDA">
      <w:pPr>
        <w:pStyle w:val="187"/>
        <w:widowControl w:val="0"/>
        <w:adjustRightInd w:val="0"/>
        <w:snapToGrid w:val="0"/>
        <w:spacing w:line="360" w:lineRule="auto"/>
        <w:jc w:val="both"/>
        <w:rPr>
          <w:rFonts w:hint="default" w:ascii="仿宋_GB2312" w:hAnsi="仿宋" w:eastAsia="仿宋_GB2312" w:cs="仿宋"/>
          <w:b/>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1206A234">
      <w:pPr>
        <w:autoSpaceDE w:val="0"/>
        <w:autoSpaceDN w:val="0"/>
        <w:jc w:val="center"/>
        <w:rPr>
          <w:rFonts w:ascii="仿宋_GB2312" w:hAnsi="仿宋" w:eastAsia="仿宋_GB2312" w:cs="仿宋"/>
          <w:b/>
          <w:spacing w:val="6"/>
          <w:sz w:val="32"/>
          <w:szCs w:val="32"/>
          <w:highlight w:val="none"/>
        </w:rPr>
      </w:pPr>
      <w:r>
        <w:rPr>
          <w:rFonts w:hint="eastAsia" w:ascii="仿宋_GB2312" w:hAnsi="仿宋" w:eastAsia="仿宋_GB2312" w:cs="仿宋"/>
          <w:b/>
          <w:spacing w:val="6"/>
          <w:sz w:val="32"/>
          <w:szCs w:val="32"/>
          <w:highlight w:val="none"/>
        </w:rPr>
        <w:t>其他</w:t>
      </w:r>
    </w:p>
    <w:p w14:paraId="2B8DDD6E">
      <w:pPr>
        <w:spacing w:line="360" w:lineRule="auto"/>
        <w:jc w:val="center"/>
        <w:rPr>
          <w:rFonts w:ascii="仿宋_GB2312" w:hAnsi="仿宋" w:eastAsia="仿宋_GB2312" w:cs="仿宋"/>
          <w:b/>
          <w:sz w:val="32"/>
          <w:szCs w:val="32"/>
          <w:highlight w:val="none"/>
        </w:rPr>
      </w:pPr>
      <w:r>
        <w:rPr>
          <w:rFonts w:hint="eastAsia" w:ascii="仿宋_GB2312" w:hAnsi="仿宋" w:eastAsia="仿宋_GB2312" w:cs="仿宋"/>
          <w:b/>
          <w:sz w:val="32"/>
          <w:szCs w:val="32"/>
          <w:highlight w:val="none"/>
        </w:rPr>
        <w:t>关于钱塘区政府采购支持中小企业信用融资相关事项通知</w:t>
      </w:r>
    </w:p>
    <w:p w14:paraId="11D276D5">
      <w:pPr>
        <w:spacing w:line="360" w:lineRule="auto"/>
        <w:jc w:val="center"/>
        <w:rPr>
          <w:rFonts w:ascii="仿宋_GB2312" w:hAnsi="仿宋" w:eastAsia="仿宋_GB2312" w:cs="仿宋"/>
          <w:b/>
          <w:sz w:val="10"/>
          <w:szCs w:val="10"/>
          <w:highlight w:val="none"/>
        </w:rPr>
      </w:pPr>
    </w:p>
    <w:p w14:paraId="75282379">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3FDF65AA">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一、适用对象</w:t>
      </w:r>
    </w:p>
    <w:p w14:paraId="41728512">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在浙江“政采云”平台注册入库，并取得钱塘区政府采购合同的中小企业供应商。</w:t>
      </w:r>
    </w:p>
    <w:p w14:paraId="48F74AFB">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二、相关信息获取方式</w:t>
      </w:r>
    </w:p>
    <w:p w14:paraId="5B8DB4B4">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请登陆杭州钱塘区管理委员会官网（http://qt.hangzhou.gov.cn） “公告公示”专栏，查看信用融资政策文件及各相关银行服务方案。</w:t>
      </w:r>
    </w:p>
    <w:p w14:paraId="1BD971E2">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三、申请方式和步骤</w:t>
      </w:r>
    </w:p>
    <w:p w14:paraId="3B421B69">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1、供应商若有融资意向，需先与钱塘区财政金融局合作的银行对接，办理相关融资前期手续；</w:t>
      </w:r>
    </w:p>
    <w:p w14:paraId="23ABD273">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2、中标后，供应商应与采购单位或者采购代理机构及时联系，告知融资需求；</w:t>
      </w:r>
    </w:p>
    <w:p w14:paraId="7120C052">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3、相关合作银行联系并审核供应商及相关中标信息，办理相关融资事宜；</w:t>
      </w:r>
    </w:p>
    <w:p w14:paraId="0D5926FE">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4、采购单位或者采购代理机构在政府采购信息系统录入中标合同信息时，须标注合同为信用融资合同，并选择相应的信用融资合作银行，录入账号信息；</w:t>
      </w:r>
    </w:p>
    <w:p w14:paraId="0075476C">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5、采购人应及时将信用融资合同提交财政金融局备案。</w:t>
      </w:r>
    </w:p>
    <w:p w14:paraId="077F5973">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四、注意事项</w:t>
      </w:r>
    </w:p>
    <w:p w14:paraId="1E588C38">
      <w:pPr>
        <w:spacing w:line="360" w:lineRule="auto"/>
        <w:ind w:firstLine="420" w:firstLineChars="200"/>
        <w:rPr>
          <w:rFonts w:ascii="仿宋_GB2312" w:hAnsi="仿宋" w:eastAsia="仿宋_GB2312" w:cs="仿宋"/>
          <w:szCs w:val="21"/>
          <w:highlight w:val="none"/>
        </w:rPr>
      </w:pPr>
      <w:r>
        <w:rPr>
          <w:rFonts w:hint="eastAsia" w:ascii="仿宋_GB2312" w:hAnsi="仿宋" w:eastAsia="仿宋_GB2312" w:cs="仿宋"/>
          <w:szCs w:val="21"/>
          <w:highlight w:val="none"/>
        </w:rPr>
        <w:t>请各采购单位和采购代理机构积极支持和配合政府采购信用融资工作，在合同备案环节务必请仔细核对收款银行、账号信息等内容，一旦录入将无法修改。</w:t>
      </w:r>
    </w:p>
    <w:p w14:paraId="630AE15C">
      <w:pPr>
        <w:spacing w:line="360" w:lineRule="auto"/>
        <w:ind w:firstLine="422" w:firstLineChars="200"/>
        <w:rPr>
          <w:rFonts w:ascii="仿宋_GB2312" w:hAnsi="仿宋" w:eastAsia="仿宋_GB2312" w:cs="仿宋"/>
          <w:b/>
          <w:szCs w:val="21"/>
          <w:highlight w:val="none"/>
        </w:rPr>
      </w:pPr>
      <w:r>
        <w:rPr>
          <w:rFonts w:hint="eastAsia" w:ascii="仿宋_GB2312" w:hAnsi="仿宋" w:eastAsia="仿宋_GB2312" w:cs="仿宋"/>
          <w:b/>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05C56C33">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F9D154D">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00FDDD42">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0200F776">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40A4B94">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电话</w:t>
            </w:r>
          </w:p>
        </w:tc>
      </w:tr>
      <w:tr w14:paraId="50ACCD5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0AB2066">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w:t>
            </w:r>
          </w:p>
        </w:tc>
        <w:tc>
          <w:tcPr>
            <w:tcW w:w="3020" w:type="dxa"/>
            <w:tcBorders>
              <w:top w:val="nil"/>
              <w:left w:val="nil"/>
              <w:bottom w:val="single" w:color="auto" w:sz="4" w:space="0"/>
              <w:right w:val="single" w:color="auto" w:sz="4" w:space="0"/>
            </w:tcBorders>
            <w:noWrap/>
            <w:vAlign w:val="center"/>
          </w:tcPr>
          <w:p w14:paraId="297379E8">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389EB509">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3261E35A">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86910319，13588718187</w:t>
            </w:r>
          </w:p>
        </w:tc>
      </w:tr>
      <w:tr w14:paraId="447441C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B8165AD">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2</w:t>
            </w:r>
          </w:p>
        </w:tc>
        <w:tc>
          <w:tcPr>
            <w:tcW w:w="3020" w:type="dxa"/>
            <w:tcBorders>
              <w:top w:val="nil"/>
              <w:left w:val="nil"/>
              <w:bottom w:val="single" w:color="auto" w:sz="4" w:space="0"/>
              <w:right w:val="single" w:color="auto" w:sz="4" w:space="0"/>
            </w:tcBorders>
            <w:noWrap/>
            <w:vAlign w:val="center"/>
          </w:tcPr>
          <w:p w14:paraId="18DA8E3B">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319EA49D">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左</w:t>
            </w:r>
            <w:r>
              <w:rPr>
                <w:rFonts w:hint="eastAsia" w:ascii="宋体" w:hAnsi="宋体" w:cs="宋体"/>
                <w:kern w:val="0"/>
                <w:szCs w:val="21"/>
                <w:highlight w:val="none"/>
              </w:rPr>
              <w:t>劼</w:t>
            </w:r>
          </w:p>
        </w:tc>
        <w:tc>
          <w:tcPr>
            <w:tcW w:w="3220" w:type="dxa"/>
            <w:tcBorders>
              <w:top w:val="nil"/>
              <w:left w:val="nil"/>
              <w:bottom w:val="single" w:color="auto" w:sz="4" w:space="0"/>
              <w:right w:val="single" w:color="auto" w:sz="4" w:space="0"/>
            </w:tcBorders>
            <w:noWrap/>
            <w:vAlign w:val="center"/>
          </w:tcPr>
          <w:p w14:paraId="3377AD1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13777889798</w:t>
            </w:r>
          </w:p>
        </w:tc>
      </w:tr>
      <w:tr w14:paraId="45272B1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9BA8EFF">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3</w:t>
            </w:r>
          </w:p>
        </w:tc>
        <w:tc>
          <w:tcPr>
            <w:tcW w:w="3020" w:type="dxa"/>
            <w:tcBorders>
              <w:top w:val="nil"/>
              <w:left w:val="nil"/>
              <w:bottom w:val="single" w:color="auto" w:sz="4" w:space="0"/>
              <w:right w:val="single" w:color="auto" w:sz="4" w:space="0"/>
            </w:tcBorders>
            <w:noWrap/>
            <w:vAlign w:val="center"/>
          </w:tcPr>
          <w:p w14:paraId="51BA976B">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1326A48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499BCA8F">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13906811832</w:t>
            </w:r>
          </w:p>
        </w:tc>
      </w:tr>
      <w:tr w14:paraId="1761FF9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2714700">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4</w:t>
            </w:r>
          </w:p>
        </w:tc>
        <w:tc>
          <w:tcPr>
            <w:tcW w:w="3020" w:type="dxa"/>
            <w:tcBorders>
              <w:top w:val="nil"/>
              <w:left w:val="nil"/>
              <w:bottom w:val="single" w:color="auto" w:sz="4" w:space="0"/>
              <w:right w:val="single" w:color="auto" w:sz="4" w:space="0"/>
            </w:tcBorders>
            <w:noWrap/>
            <w:vAlign w:val="center"/>
          </w:tcPr>
          <w:p w14:paraId="61D36CFC">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3E7DCD12">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73C604B8">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13388617781</w:t>
            </w:r>
          </w:p>
        </w:tc>
      </w:tr>
      <w:tr w14:paraId="188B317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38F8850">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5</w:t>
            </w:r>
          </w:p>
        </w:tc>
        <w:tc>
          <w:tcPr>
            <w:tcW w:w="3020" w:type="dxa"/>
            <w:tcBorders>
              <w:top w:val="nil"/>
              <w:left w:val="nil"/>
              <w:bottom w:val="single" w:color="auto" w:sz="4" w:space="0"/>
              <w:right w:val="single" w:color="auto" w:sz="4" w:space="0"/>
            </w:tcBorders>
            <w:noWrap/>
            <w:vAlign w:val="center"/>
          </w:tcPr>
          <w:p w14:paraId="113AEF09">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543AFC7C">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130D5E6F">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13777421564</w:t>
            </w:r>
          </w:p>
        </w:tc>
      </w:tr>
      <w:tr w14:paraId="562D481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31E2C22">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6</w:t>
            </w:r>
          </w:p>
        </w:tc>
        <w:tc>
          <w:tcPr>
            <w:tcW w:w="3020" w:type="dxa"/>
            <w:tcBorders>
              <w:top w:val="nil"/>
              <w:left w:val="nil"/>
              <w:bottom w:val="single" w:color="auto" w:sz="4" w:space="0"/>
              <w:right w:val="single" w:color="auto" w:sz="4" w:space="0"/>
            </w:tcBorders>
            <w:noWrap/>
            <w:vAlign w:val="center"/>
          </w:tcPr>
          <w:p w14:paraId="53C66372">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71374F6B">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45727C77">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86722499</w:t>
            </w:r>
          </w:p>
        </w:tc>
      </w:tr>
      <w:tr w14:paraId="45E1CC7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6A40C1B">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7</w:t>
            </w:r>
          </w:p>
        </w:tc>
        <w:tc>
          <w:tcPr>
            <w:tcW w:w="3020" w:type="dxa"/>
            <w:tcBorders>
              <w:top w:val="nil"/>
              <w:left w:val="nil"/>
              <w:bottom w:val="single" w:color="auto" w:sz="4" w:space="0"/>
              <w:right w:val="single" w:color="auto" w:sz="4" w:space="0"/>
            </w:tcBorders>
            <w:noWrap/>
            <w:vAlign w:val="center"/>
          </w:tcPr>
          <w:p w14:paraId="685CE285">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0D49F578">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1C80BBAD">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13646861493</w:t>
            </w:r>
          </w:p>
        </w:tc>
      </w:tr>
      <w:tr w14:paraId="1CABF872">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296156D4">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8</w:t>
            </w:r>
          </w:p>
        </w:tc>
        <w:tc>
          <w:tcPr>
            <w:tcW w:w="3020" w:type="dxa"/>
            <w:tcBorders>
              <w:top w:val="nil"/>
              <w:left w:val="nil"/>
              <w:bottom w:val="single" w:color="auto" w:sz="4" w:space="0"/>
              <w:right w:val="single" w:color="auto" w:sz="4" w:space="0"/>
            </w:tcBorders>
            <w:noWrap/>
            <w:vAlign w:val="center"/>
          </w:tcPr>
          <w:p w14:paraId="076A25B2">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6FB46878">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7A3D5645">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13575745232</w:t>
            </w:r>
          </w:p>
        </w:tc>
      </w:tr>
      <w:tr w14:paraId="6C1DAAD2">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2EDF3AD2">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9</w:t>
            </w:r>
          </w:p>
        </w:tc>
        <w:tc>
          <w:tcPr>
            <w:tcW w:w="3020" w:type="dxa"/>
            <w:tcBorders>
              <w:top w:val="nil"/>
              <w:left w:val="nil"/>
              <w:bottom w:val="single" w:color="auto" w:sz="4" w:space="0"/>
              <w:right w:val="single" w:color="auto" w:sz="4" w:space="0"/>
            </w:tcBorders>
            <w:noWrap/>
            <w:vAlign w:val="center"/>
          </w:tcPr>
          <w:p w14:paraId="125A88C1">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6138B5D4">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4E068E2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18906520030</w:t>
            </w:r>
          </w:p>
        </w:tc>
      </w:tr>
      <w:tr w14:paraId="37D83518">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4BB63C6F">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10</w:t>
            </w:r>
          </w:p>
        </w:tc>
        <w:tc>
          <w:tcPr>
            <w:tcW w:w="3020" w:type="dxa"/>
            <w:tcBorders>
              <w:top w:val="nil"/>
              <w:left w:val="nil"/>
              <w:bottom w:val="single" w:color="auto" w:sz="4" w:space="0"/>
              <w:right w:val="single" w:color="auto" w:sz="4" w:space="0"/>
            </w:tcBorders>
            <w:noWrap/>
            <w:vAlign w:val="center"/>
          </w:tcPr>
          <w:p w14:paraId="44BA20B4">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0FB946C3">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0E7542E9">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86912948,15988106601</w:t>
            </w:r>
          </w:p>
        </w:tc>
      </w:tr>
      <w:tr w14:paraId="3D01C09D">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0E0CC0EA">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11</w:t>
            </w:r>
          </w:p>
        </w:tc>
        <w:tc>
          <w:tcPr>
            <w:tcW w:w="3020" w:type="dxa"/>
            <w:tcBorders>
              <w:top w:val="nil"/>
              <w:left w:val="nil"/>
              <w:bottom w:val="single" w:color="auto" w:sz="4" w:space="0"/>
              <w:right w:val="single" w:color="auto" w:sz="4" w:space="0"/>
            </w:tcBorders>
            <w:noWrap/>
            <w:vAlign w:val="center"/>
          </w:tcPr>
          <w:p w14:paraId="21CFCBCF">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3CE2D6CB">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72AF4391">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13732249271</w:t>
            </w:r>
          </w:p>
        </w:tc>
      </w:tr>
      <w:tr w14:paraId="4269DF3C">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1F6CC77E">
            <w:pPr>
              <w:widowControl/>
              <w:jc w:val="center"/>
              <w:rPr>
                <w:rFonts w:ascii="仿宋_GB2312" w:hAnsi="仿宋" w:eastAsia="仿宋_GB2312" w:cs="仿宋"/>
                <w:b/>
                <w:bCs/>
                <w:kern w:val="0"/>
                <w:szCs w:val="21"/>
                <w:highlight w:val="none"/>
              </w:rPr>
            </w:pPr>
            <w:r>
              <w:rPr>
                <w:rFonts w:hint="eastAsia" w:ascii="仿宋_GB2312" w:hAnsi="仿宋" w:eastAsia="仿宋_GB2312" w:cs="仿宋"/>
                <w:b/>
                <w:bCs/>
                <w:kern w:val="0"/>
                <w:szCs w:val="21"/>
                <w:highlight w:val="none"/>
              </w:rPr>
              <w:t>12</w:t>
            </w:r>
          </w:p>
        </w:tc>
        <w:tc>
          <w:tcPr>
            <w:tcW w:w="3020" w:type="dxa"/>
            <w:tcBorders>
              <w:top w:val="nil"/>
              <w:left w:val="nil"/>
              <w:bottom w:val="single" w:color="auto" w:sz="4" w:space="0"/>
              <w:right w:val="single" w:color="auto" w:sz="4" w:space="0"/>
            </w:tcBorders>
            <w:noWrap/>
            <w:vAlign w:val="center"/>
          </w:tcPr>
          <w:p w14:paraId="1E529150">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568425B3">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0AF15D02">
            <w:pPr>
              <w:widowControl/>
              <w:jc w:val="center"/>
              <w:rPr>
                <w:rFonts w:ascii="仿宋_GB2312" w:hAnsi="仿宋" w:eastAsia="仿宋_GB2312" w:cs="仿宋"/>
                <w:kern w:val="0"/>
                <w:szCs w:val="21"/>
                <w:highlight w:val="none"/>
              </w:rPr>
            </w:pPr>
            <w:r>
              <w:rPr>
                <w:rFonts w:hint="eastAsia" w:ascii="仿宋_GB2312" w:hAnsi="仿宋" w:eastAsia="仿宋_GB2312" w:cs="仿宋"/>
                <w:kern w:val="0"/>
                <w:szCs w:val="21"/>
                <w:highlight w:val="none"/>
              </w:rPr>
              <w:t>82198699，13867197838</w:t>
            </w:r>
          </w:p>
        </w:tc>
      </w:tr>
    </w:tbl>
    <w:p w14:paraId="77DCB016">
      <w:pPr>
        <w:pStyle w:val="187"/>
        <w:widowControl w:val="0"/>
        <w:adjustRightInd w:val="0"/>
        <w:snapToGrid w:val="0"/>
        <w:spacing w:line="360" w:lineRule="auto"/>
        <w:jc w:val="both"/>
        <w:rPr>
          <w:rFonts w:hint="default" w:ascii="仿宋_GB2312" w:hAnsi="仿宋" w:eastAsia="仿宋_GB2312" w:cs="仿宋"/>
          <w:b/>
          <w:sz w:val="30"/>
          <w:szCs w:val="30"/>
          <w:highlight w:val="none"/>
        </w:rPr>
        <w:sectPr>
          <w:pgSz w:w="11906" w:h="16838"/>
          <w:pgMar w:top="1247" w:right="1588" w:bottom="1089" w:left="1588" w:header="851" w:footer="992" w:gutter="0"/>
          <w:cols w:space="720" w:num="1"/>
          <w:docGrid w:linePitch="312" w:charSpace="0"/>
        </w:sectPr>
      </w:pPr>
    </w:p>
    <w:p w14:paraId="2BA43524">
      <w:pPr>
        <w:pStyle w:val="187"/>
        <w:widowControl w:val="0"/>
        <w:snapToGrid w:val="0"/>
        <w:spacing w:line="500" w:lineRule="exact"/>
        <w:rPr>
          <w:rFonts w:hint="default" w:ascii="仿宋_GB2312" w:hAnsi="仿宋" w:eastAsia="仿宋_GB2312" w:cs="仿宋"/>
          <w:b/>
          <w:i w:val="0"/>
          <w:iCs w:val="0"/>
          <w:sz w:val="28"/>
          <w:szCs w:val="28"/>
          <w:highlight w:val="none"/>
        </w:rPr>
      </w:pPr>
      <w:r>
        <w:rPr>
          <w:rFonts w:ascii="仿宋_GB2312" w:hAnsi="仿宋" w:eastAsia="仿宋_GB2312" w:cs="仿宋"/>
          <w:i w:val="0"/>
          <w:iCs w:val="0"/>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907A8C6">
      <w:pPr>
        <w:pStyle w:val="187"/>
        <w:widowControl w:val="0"/>
        <w:snapToGrid w:val="0"/>
        <w:spacing w:line="500" w:lineRule="exact"/>
        <w:jc w:val="center"/>
        <w:rPr>
          <w:rFonts w:hint="default" w:ascii="仿宋_GB2312" w:hAnsi="仿宋" w:eastAsia="仿宋_GB2312" w:cs="仿宋"/>
          <w:b/>
          <w:i w:val="0"/>
          <w:iCs w:val="0"/>
          <w:sz w:val="28"/>
          <w:szCs w:val="28"/>
          <w:highlight w:val="none"/>
        </w:rPr>
      </w:pPr>
      <w:r>
        <w:rPr>
          <w:rFonts w:ascii="仿宋_GB2312" w:hAnsi="仿宋" w:eastAsia="仿宋_GB2312" w:cs="仿宋"/>
          <w:b/>
          <w:i w:val="0"/>
          <w:iCs w:val="0"/>
          <w:sz w:val="28"/>
          <w:szCs w:val="28"/>
          <w:highlight w:val="none"/>
        </w:rPr>
        <w:t>中小企业划型标准规定</w:t>
      </w:r>
    </w:p>
    <w:p w14:paraId="6C296414">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p>
    <w:p w14:paraId="70D5331A">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一、根据《中华人民共和国中小企业促进法》和《</w:t>
      </w:r>
      <w:r>
        <w:rPr>
          <w:i w:val="0"/>
          <w:iCs w:val="0"/>
          <w:highlight w:val="none"/>
        </w:rPr>
        <w:fldChar w:fldCharType="begin"/>
      </w:r>
      <w:r>
        <w:rPr>
          <w:i w:val="0"/>
          <w:iCs w:val="0"/>
          <w:highlight w:val="none"/>
        </w:rPr>
        <w:instrText xml:space="preserve"> HYPERLINK "https://www.shui5.cn/article/47/26142.html" </w:instrText>
      </w:r>
      <w:r>
        <w:rPr>
          <w:i w:val="0"/>
          <w:iCs w:val="0"/>
          <w:highlight w:val="none"/>
        </w:rPr>
        <w:fldChar w:fldCharType="separate"/>
      </w:r>
      <w:r>
        <w:rPr>
          <w:rFonts w:ascii="仿宋_GB2312" w:hAnsi="仿宋" w:eastAsia="仿宋_GB2312" w:cs="仿宋"/>
          <w:i w:val="0"/>
          <w:iCs w:val="0"/>
          <w:spacing w:val="6"/>
          <w:szCs w:val="21"/>
          <w:highlight w:val="none"/>
        </w:rPr>
        <w:t>国务院关于进一步促进中小企业发展的若干意见</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w:t>
      </w:r>
      <w:r>
        <w:rPr>
          <w:i w:val="0"/>
          <w:iCs w:val="0"/>
          <w:highlight w:val="none"/>
        </w:rPr>
        <w:fldChar w:fldCharType="begin"/>
      </w:r>
      <w:r>
        <w:rPr>
          <w:i w:val="0"/>
          <w:iCs w:val="0"/>
          <w:highlight w:val="none"/>
        </w:rPr>
        <w:instrText xml:space="preserve"> HYPERLINK "https://www.shui5.cn/article/47/26142.html" </w:instrText>
      </w:r>
      <w:r>
        <w:rPr>
          <w:i w:val="0"/>
          <w:iCs w:val="0"/>
          <w:highlight w:val="none"/>
        </w:rPr>
        <w:fldChar w:fldCharType="separate"/>
      </w:r>
      <w:r>
        <w:rPr>
          <w:rFonts w:ascii="仿宋_GB2312" w:hAnsi="仿宋" w:eastAsia="仿宋_GB2312" w:cs="仿宋"/>
          <w:i w:val="0"/>
          <w:iCs w:val="0"/>
          <w:spacing w:val="6"/>
          <w:szCs w:val="21"/>
          <w:highlight w:val="none"/>
        </w:rPr>
        <w:t>国发〔2009〕36号</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)，制定本规定。</w:t>
      </w:r>
    </w:p>
    <w:p w14:paraId="79AF16B5">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二、中小企业划分为中型、小型、微型三种类型，具体标准根据企业从业人员、营业收入、资产总额等指标，结合行业特点制定。</w:t>
      </w:r>
    </w:p>
    <w:p w14:paraId="4921A888">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D58F20">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四、各行业划型标准为：</w:t>
      </w:r>
    </w:p>
    <w:p w14:paraId="110E0600">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285C406">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4C094C">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551974">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26B62A">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1B5114">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AEE6B8">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04A060">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7EAB57">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AE9667">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FD57F">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03192B">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FDC358">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EF47E7">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BFC487">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81A02F7">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95D9CF5">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五、企业类型的划分以统计部门的统计数据为依据。</w:t>
      </w:r>
    </w:p>
    <w:p w14:paraId="333AAD8C">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六、本规定适用于在中华人民共和国境内依法设立的各类所有制和各种组织形式的企业。个体工商户和本规定以外的行业，参照本规定进行划型。</w:t>
      </w:r>
    </w:p>
    <w:p w14:paraId="62E0ECE3">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0EA0417">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八、本规定由工业和信息化部、国家统计局会同有关部门根据《国民经济行业分类》修订情况和企业发展变化情况适时修订。</w:t>
      </w:r>
    </w:p>
    <w:p w14:paraId="5D5DE9B4">
      <w:pPr>
        <w:pStyle w:val="187"/>
        <w:widowControl w:val="0"/>
        <w:adjustRightInd w:val="0"/>
        <w:snapToGrid w:val="0"/>
        <w:spacing w:line="360" w:lineRule="auto"/>
        <w:ind w:firstLine="444" w:firstLineChars="200"/>
        <w:jc w:val="both"/>
        <w:rPr>
          <w:rFonts w:hint="default" w:ascii="仿宋_GB2312" w:hAnsi="仿宋" w:eastAsia="仿宋_GB2312" w:cs="仿宋"/>
          <w:i w:val="0"/>
          <w:iCs w:val="0"/>
          <w:spacing w:val="6"/>
          <w:szCs w:val="21"/>
          <w:highlight w:val="none"/>
        </w:rPr>
      </w:pPr>
      <w:r>
        <w:rPr>
          <w:rFonts w:ascii="仿宋_GB2312" w:hAnsi="仿宋" w:eastAsia="仿宋_GB2312" w:cs="仿宋"/>
          <w:i w:val="0"/>
          <w:iCs w:val="0"/>
          <w:spacing w:val="6"/>
          <w:szCs w:val="21"/>
          <w:highlight w:val="none"/>
        </w:rPr>
        <w:t>九、本规定由工业和信息化部、国家统计局会同有关部门负责解释。</w:t>
      </w:r>
    </w:p>
    <w:p w14:paraId="5F1DBCCB">
      <w:pPr>
        <w:pStyle w:val="187"/>
        <w:widowControl w:val="0"/>
        <w:adjustRightInd w:val="0"/>
        <w:snapToGrid w:val="0"/>
        <w:spacing w:line="360" w:lineRule="auto"/>
        <w:ind w:firstLine="444" w:firstLineChars="200"/>
        <w:jc w:val="both"/>
        <w:rPr>
          <w:rFonts w:hint="default" w:ascii="仿宋_GB2312" w:hAnsi="仿宋" w:eastAsia="仿宋_GB2312" w:cs="仿宋"/>
          <w:i w:val="0"/>
          <w:iCs w:val="0"/>
          <w:szCs w:val="21"/>
          <w:highlight w:val="none"/>
        </w:rPr>
        <w:sectPr>
          <w:pgSz w:w="11906" w:h="16838"/>
          <w:pgMar w:top="1247" w:right="1588" w:bottom="1089" w:left="1588" w:header="851" w:footer="992" w:gutter="0"/>
          <w:cols w:space="720" w:num="1"/>
          <w:docGrid w:linePitch="312" w:charSpace="0"/>
        </w:sectPr>
      </w:pPr>
      <w:r>
        <w:rPr>
          <w:rFonts w:ascii="仿宋_GB2312" w:hAnsi="仿宋" w:eastAsia="仿宋_GB2312" w:cs="仿宋"/>
          <w:i w:val="0"/>
          <w:iCs w:val="0"/>
          <w:spacing w:val="6"/>
          <w:szCs w:val="21"/>
          <w:highlight w:val="none"/>
        </w:rPr>
        <w:t>十、本规定自发布之日起执行，原国家经贸委、原国家计委、财政部和国家统计局2003年颁布的《</w:t>
      </w:r>
      <w:r>
        <w:rPr>
          <w:i w:val="0"/>
          <w:iCs w:val="0"/>
          <w:highlight w:val="none"/>
        </w:rPr>
        <w:fldChar w:fldCharType="begin"/>
      </w:r>
      <w:r>
        <w:rPr>
          <w:i w:val="0"/>
          <w:iCs w:val="0"/>
          <w:highlight w:val="none"/>
        </w:rPr>
        <w:instrText xml:space="preserve"> HYPERLINK "https://www.shui5.cn/article/df/24263.html" </w:instrText>
      </w:r>
      <w:r>
        <w:rPr>
          <w:i w:val="0"/>
          <w:iCs w:val="0"/>
          <w:highlight w:val="none"/>
        </w:rPr>
        <w:fldChar w:fldCharType="separate"/>
      </w:r>
      <w:r>
        <w:rPr>
          <w:rFonts w:ascii="仿宋_GB2312" w:hAnsi="仿宋" w:eastAsia="仿宋_GB2312" w:cs="仿宋"/>
          <w:i w:val="0"/>
          <w:iCs w:val="0"/>
          <w:spacing w:val="6"/>
          <w:szCs w:val="21"/>
          <w:highlight w:val="none"/>
        </w:rPr>
        <w:t>中小企业标准暂行规定</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w:t>
      </w:r>
      <w:r>
        <w:rPr>
          <w:i w:val="0"/>
          <w:iCs w:val="0"/>
          <w:highlight w:val="none"/>
        </w:rPr>
        <w:fldChar w:fldCharType="begin"/>
      </w:r>
      <w:r>
        <w:rPr>
          <w:i w:val="0"/>
          <w:iCs w:val="0"/>
          <w:highlight w:val="none"/>
        </w:rPr>
        <w:instrText xml:space="preserve"> HYPERLINK "https://www.shui5.cn/article/df/24263.html" </w:instrText>
      </w:r>
      <w:r>
        <w:rPr>
          <w:i w:val="0"/>
          <w:iCs w:val="0"/>
          <w:highlight w:val="none"/>
        </w:rPr>
        <w:fldChar w:fldCharType="separate"/>
      </w:r>
      <w:r>
        <w:rPr>
          <w:rFonts w:ascii="仿宋_GB2312" w:hAnsi="仿宋" w:eastAsia="仿宋_GB2312" w:cs="仿宋"/>
          <w:i w:val="0"/>
          <w:iCs w:val="0"/>
          <w:spacing w:val="6"/>
          <w:szCs w:val="21"/>
          <w:highlight w:val="none"/>
        </w:rPr>
        <w:t>国经贸中小企〔2003〕143号</w:t>
      </w:r>
      <w:r>
        <w:rPr>
          <w:rFonts w:ascii="仿宋_GB2312" w:hAnsi="仿宋" w:eastAsia="仿宋_GB2312" w:cs="仿宋"/>
          <w:i w:val="0"/>
          <w:iCs w:val="0"/>
          <w:spacing w:val="6"/>
          <w:szCs w:val="21"/>
          <w:highlight w:val="none"/>
        </w:rPr>
        <w:fldChar w:fldCharType="end"/>
      </w:r>
      <w:r>
        <w:rPr>
          <w:rFonts w:ascii="仿宋_GB2312" w:hAnsi="仿宋" w:eastAsia="仿宋_GB2312" w:cs="仿宋"/>
          <w:i w:val="0"/>
          <w:iCs w:val="0"/>
          <w:spacing w:val="6"/>
          <w:szCs w:val="21"/>
          <w:highlight w:val="none"/>
        </w:rPr>
        <w:t>同时废止。</w:t>
      </w:r>
    </w:p>
    <w:p w14:paraId="755FC182">
      <w:pPr>
        <w:pStyle w:val="187"/>
        <w:widowControl w:val="0"/>
        <w:adjustRightInd w:val="0"/>
        <w:snapToGrid w:val="0"/>
        <w:spacing w:line="360" w:lineRule="auto"/>
        <w:jc w:val="both"/>
        <w:rPr>
          <w:rFonts w:hint="default" w:ascii="仿宋_GB2312" w:hAnsi="仿宋" w:eastAsia="仿宋_GB2312" w:cs="仿宋"/>
          <w:b/>
          <w:sz w:val="30"/>
          <w:szCs w:val="30"/>
          <w:highlight w:val="none"/>
        </w:rPr>
      </w:pPr>
      <w:r>
        <w:rPr>
          <w:rFonts w:ascii="仿宋_GB2312" w:hAnsi="仿宋" w:eastAsia="仿宋_GB2312" w:cs="仿宋"/>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p w14:paraId="5FD260BD">
      <w:pPr>
        <w:rPr>
          <w:rFonts w:ascii="仿宋_GB2312" w:hAnsi="仿宋" w:eastAsia="仿宋_GB2312" w:cs="仿宋"/>
          <w:highlight w:val="none"/>
        </w:rPr>
      </w:pP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_x000B__x000C_">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Arial Narrow">
    <w:altName w:val="Arial"/>
    <w:panose1 w:val="020B07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小标宋">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8416">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8B4B89">
                          <w:pPr>
                            <w:pStyle w:val="28"/>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358B4B89">
                    <w:pPr>
                      <w:pStyle w:val="28"/>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AF92">
    <w:pPr>
      <w:pStyle w:val="28"/>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2CDD5">
                          <w:pPr>
                            <w:pStyle w:val="28"/>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06E2CDD5">
                    <w:pPr>
                      <w:pStyle w:val="28"/>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AC55">
    <w:pPr>
      <w:pStyle w:val="2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5635B55">
                          <w:pPr>
                            <w:pStyle w:val="28"/>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65635B55">
                    <w:pPr>
                      <w:pStyle w:val="28"/>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1D4B3C2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4DD8">
    <w:pPr>
      <w:pStyle w:val="2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6B8358">
                          <w:pPr>
                            <w:pStyle w:val="28"/>
                            <w:rPr>
                              <w:rFonts w:eastAsia="宋体"/>
                            </w:rPr>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466B8358">
                    <w:pPr>
                      <w:pStyle w:val="28"/>
                      <w:rPr>
                        <w:rFonts w:eastAsia="宋体"/>
                      </w:rPr>
                    </w:pPr>
                    <w:r>
                      <w:fldChar w:fldCharType="begin"/>
                    </w:r>
                    <w:r>
                      <w:instrText xml:space="preserve"> PAGE  \* MERGEFORMAT </w:instrText>
                    </w:r>
                    <w:r>
                      <w:fldChar w:fldCharType="separate"/>
                    </w:r>
                    <w:r>
                      <w:t>70</w:t>
                    </w:r>
                    <w:r>
                      <w:fldChar w:fldCharType="end"/>
                    </w:r>
                  </w:p>
                </w:txbxContent>
              </v:textbox>
            </v:shape>
          </w:pict>
        </mc:Fallback>
      </mc:AlternateContent>
    </w:r>
  </w:p>
  <w:p w14:paraId="060180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56AF">
    <w:pPr>
      <w:pStyle w:val="28"/>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34B535">
                          <w:pPr>
                            <w:pStyle w:val="28"/>
                            <w:rPr>
                              <w:rFonts w:eastAsia="宋体"/>
                            </w:rPr>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0634B535">
                    <w:pPr>
                      <w:pStyle w:val="28"/>
                      <w:rPr>
                        <w:rFonts w:eastAsia="宋体"/>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ABCC">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6C12">
    <w:pPr>
      <w:pStyle w:val="30"/>
      <w:pBdr>
        <w:bottom w:val="none" w:color="auto" w:sz="0" w:space="1"/>
      </w:pBdr>
    </w:pPr>
  </w:p>
  <w:p w14:paraId="1126AF3C">
    <w:pPr>
      <w:pStyle w:val="41"/>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B3C6">
    <w:pPr>
      <w:pStyle w:val="30"/>
      <w:pBdr>
        <w:bottom w:val="none" w:color="auto" w:sz="0" w:space="1"/>
      </w:pBdr>
      <w:jc w:val="right"/>
      <w:rPr>
        <w:rFonts w:ascii="仿宋_GB2312" w:eastAsia="仿宋_GB2312"/>
        <w:b/>
        <w:i/>
        <w:u w:val="single"/>
      </w:rPr>
    </w:pPr>
  </w:p>
  <w:p w14:paraId="5DA13F5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2430">
    <w:pPr>
      <w:pStyle w:val="30"/>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81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8F43007"/>
    <w:multiLevelType w:val="multilevel"/>
    <w:tmpl w:val="08F43007"/>
    <w:lvl w:ilvl="0" w:tentative="0">
      <w:start w:val="3"/>
      <w:numFmt w:val="japaneseCounting"/>
      <w:lvlText w:val="第%1条"/>
      <w:lvlJc w:val="left"/>
      <w:pPr>
        <w:tabs>
          <w:tab w:val="left" w:pos="1719"/>
        </w:tabs>
        <w:ind w:left="1719"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D6315F5"/>
    <w:multiLevelType w:val="singleLevel"/>
    <w:tmpl w:val="0D6315F5"/>
    <w:lvl w:ilvl="0" w:tentative="0">
      <w:start w:val="1"/>
      <w:numFmt w:val="decimal"/>
      <w:suff w:val="space"/>
      <w:lvlText w:val="%1."/>
      <w:lvlJc w:val="left"/>
    </w:lvl>
  </w:abstractNum>
  <w:abstractNum w:abstractNumId="7">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6BCB5E2A"/>
    <w:multiLevelType w:val="singleLevel"/>
    <w:tmpl w:val="6BCB5E2A"/>
    <w:lvl w:ilvl="0" w:tentative="0">
      <w:start w:val="1"/>
      <w:numFmt w:val="decimal"/>
      <w:suff w:val="space"/>
      <w:lvlText w:val="%1."/>
      <w:lvlJc w:val="left"/>
    </w:lvl>
  </w:abstractNum>
  <w:num w:numId="1">
    <w:abstractNumId w:val="1"/>
  </w:num>
  <w:num w:numId="2">
    <w:abstractNumId w:val="2"/>
  </w:num>
  <w:num w:numId="3">
    <w:abstractNumId w:val="8"/>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0"/>
  </w:num>
  <w:num w:numId="8">
    <w:abstractNumId w:val="3"/>
  </w:num>
  <w:num w:numId="9">
    <w:abstractNumId w:val="4"/>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3A4"/>
    <w:rsid w:val="00091E58"/>
    <w:rsid w:val="00093619"/>
    <w:rsid w:val="000960A4"/>
    <w:rsid w:val="000961B6"/>
    <w:rsid w:val="00096A49"/>
    <w:rsid w:val="000A26A0"/>
    <w:rsid w:val="000A7899"/>
    <w:rsid w:val="000B0696"/>
    <w:rsid w:val="000B5D16"/>
    <w:rsid w:val="000B7C98"/>
    <w:rsid w:val="000C24E2"/>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2AA"/>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1128"/>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3BFE"/>
    <w:rsid w:val="00205FDC"/>
    <w:rsid w:val="00207AE5"/>
    <w:rsid w:val="00212A5F"/>
    <w:rsid w:val="00213954"/>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171A6"/>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43BC"/>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0C13"/>
    <w:rsid w:val="003F19B5"/>
    <w:rsid w:val="003F1CA1"/>
    <w:rsid w:val="003F298D"/>
    <w:rsid w:val="003F58B4"/>
    <w:rsid w:val="003F710E"/>
    <w:rsid w:val="00401289"/>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017A"/>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4A58"/>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4564"/>
    <w:rsid w:val="0052516E"/>
    <w:rsid w:val="00527334"/>
    <w:rsid w:val="00527F3E"/>
    <w:rsid w:val="00542801"/>
    <w:rsid w:val="0054542F"/>
    <w:rsid w:val="005465D1"/>
    <w:rsid w:val="00550C9D"/>
    <w:rsid w:val="0055186A"/>
    <w:rsid w:val="00553E42"/>
    <w:rsid w:val="00554D43"/>
    <w:rsid w:val="00556628"/>
    <w:rsid w:val="00565B42"/>
    <w:rsid w:val="00566AEF"/>
    <w:rsid w:val="005671D0"/>
    <w:rsid w:val="00572057"/>
    <w:rsid w:val="005730A2"/>
    <w:rsid w:val="00575415"/>
    <w:rsid w:val="005777CB"/>
    <w:rsid w:val="00577D97"/>
    <w:rsid w:val="00585068"/>
    <w:rsid w:val="005873D7"/>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1685"/>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0BF9"/>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3D1"/>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0C17"/>
    <w:rsid w:val="00991B32"/>
    <w:rsid w:val="009937E4"/>
    <w:rsid w:val="0099473A"/>
    <w:rsid w:val="00997B4B"/>
    <w:rsid w:val="009A0651"/>
    <w:rsid w:val="009A2BF5"/>
    <w:rsid w:val="009A5E7E"/>
    <w:rsid w:val="009A5F06"/>
    <w:rsid w:val="009B2A91"/>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80F9F"/>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DA7"/>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6EA"/>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3A8D"/>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0E5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A7011"/>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397"/>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1D7D"/>
    <w:rsid w:val="00F6312D"/>
    <w:rsid w:val="00F64AA5"/>
    <w:rsid w:val="00F6671F"/>
    <w:rsid w:val="00F67079"/>
    <w:rsid w:val="00F723A9"/>
    <w:rsid w:val="00F7301D"/>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04452"/>
    <w:rsid w:val="01746760"/>
    <w:rsid w:val="01767F39"/>
    <w:rsid w:val="0178774A"/>
    <w:rsid w:val="017B2BDD"/>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7F4191"/>
    <w:rsid w:val="028539D0"/>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9328A"/>
    <w:rsid w:val="03B234AE"/>
    <w:rsid w:val="03C17E5B"/>
    <w:rsid w:val="03DB2543"/>
    <w:rsid w:val="03E5647E"/>
    <w:rsid w:val="03FC0994"/>
    <w:rsid w:val="042451DA"/>
    <w:rsid w:val="04266BBA"/>
    <w:rsid w:val="04281C40"/>
    <w:rsid w:val="042E4DD9"/>
    <w:rsid w:val="04325931"/>
    <w:rsid w:val="04513859"/>
    <w:rsid w:val="045F036E"/>
    <w:rsid w:val="046532AA"/>
    <w:rsid w:val="04735F53"/>
    <w:rsid w:val="04757F77"/>
    <w:rsid w:val="04813F74"/>
    <w:rsid w:val="04950609"/>
    <w:rsid w:val="049B4ADB"/>
    <w:rsid w:val="04A21EFD"/>
    <w:rsid w:val="04A76479"/>
    <w:rsid w:val="04B63BFF"/>
    <w:rsid w:val="04BB391E"/>
    <w:rsid w:val="04CE1F73"/>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272FEF"/>
    <w:rsid w:val="072A05F0"/>
    <w:rsid w:val="07387D99"/>
    <w:rsid w:val="074618E0"/>
    <w:rsid w:val="0756170A"/>
    <w:rsid w:val="075848D7"/>
    <w:rsid w:val="07611FC2"/>
    <w:rsid w:val="07701844"/>
    <w:rsid w:val="07810992"/>
    <w:rsid w:val="078656CD"/>
    <w:rsid w:val="07881B83"/>
    <w:rsid w:val="07995231"/>
    <w:rsid w:val="079F1279"/>
    <w:rsid w:val="07A267CB"/>
    <w:rsid w:val="07A85F84"/>
    <w:rsid w:val="07B572E3"/>
    <w:rsid w:val="07BE1942"/>
    <w:rsid w:val="07C766EF"/>
    <w:rsid w:val="07CE3CE7"/>
    <w:rsid w:val="07D37E8D"/>
    <w:rsid w:val="07DB1942"/>
    <w:rsid w:val="07DB6632"/>
    <w:rsid w:val="07E6588F"/>
    <w:rsid w:val="07E67990"/>
    <w:rsid w:val="07EB52FC"/>
    <w:rsid w:val="07F6398C"/>
    <w:rsid w:val="07F7BA69"/>
    <w:rsid w:val="08007C66"/>
    <w:rsid w:val="08066D92"/>
    <w:rsid w:val="080F5EFD"/>
    <w:rsid w:val="08163E4D"/>
    <w:rsid w:val="081E7C8D"/>
    <w:rsid w:val="08444D3B"/>
    <w:rsid w:val="084F5E47"/>
    <w:rsid w:val="084F6F27"/>
    <w:rsid w:val="085B2896"/>
    <w:rsid w:val="085B47AE"/>
    <w:rsid w:val="085E00A1"/>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55B4E"/>
    <w:rsid w:val="09EF6144"/>
    <w:rsid w:val="09FB16A7"/>
    <w:rsid w:val="09FD39CA"/>
    <w:rsid w:val="0A030A5B"/>
    <w:rsid w:val="0A110ED0"/>
    <w:rsid w:val="0A250DD3"/>
    <w:rsid w:val="0A2A682C"/>
    <w:rsid w:val="0A2C7D49"/>
    <w:rsid w:val="0A4707FD"/>
    <w:rsid w:val="0A4D6348"/>
    <w:rsid w:val="0A6522DE"/>
    <w:rsid w:val="0A690634"/>
    <w:rsid w:val="0A6E1C1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BED639D"/>
    <w:rsid w:val="0BFFB4AE"/>
    <w:rsid w:val="0C013897"/>
    <w:rsid w:val="0C176CBC"/>
    <w:rsid w:val="0C3236E7"/>
    <w:rsid w:val="0C352A19"/>
    <w:rsid w:val="0C494A35"/>
    <w:rsid w:val="0C49575D"/>
    <w:rsid w:val="0C545B8D"/>
    <w:rsid w:val="0C6A2581"/>
    <w:rsid w:val="0C6D71DA"/>
    <w:rsid w:val="0C6F619B"/>
    <w:rsid w:val="0C756558"/>
    <w:rsid w:val="0C7905D8"/>
    <w:rsid w:val="0C834F4B"/>
    <w:rsid w:val="0C952C04"/>
    <w:rsid w:val="0C95435A"/>
    <w:rsid w:val="0C9D3858"/>
    <w:rsid w:val="0C9F748A"/>
    <w:rsid w:val="0CA87625"/>
    <w:rsid w:val="0CAD6CD5"/>
    <w:rsid w:val="0CAF4411"/>
    <w:rsid w:val="0CB02F58"/>
    <w:rsid w:val="0CB71182"/>
    <w:rsid w:val="0CC2C82B"/>
    <w:rsid w:val="0CC7607D"/>
    <w:rsid w:val="0CD31EEE"/>
    <w:rsid w:val="0CFA1B57"/>
    <w:rsid w:val="0D14741D"/>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BB2D79"/>
    <w:rsid w:val="0EC74501"/>
    <w:rsid w:val="0EC915D0"/>
    <w:rsid w:val="0ECD7BAA"/>
    <w:rsid w:val="0EDA0876"/>
    <w:rsid w:val="0EEA09DE"/>
    <w:rsid w:val="0EEB4C90"/>
    <w:rsid w:val="0EF162BD"/>
    <w:rsid w:val="0F032F2D"/>
    <w:rsid w:val="0F14495A"/>
    <w:rsid w:val="0F2E3D57"/>
    <w:rsid w:val="0F305AAD"/>
    <w:rsid w:val="0F321605"/>
    <w:rsid w:val="0F3353B7"/>
    <w:rsid w:val="0F48505B"/>
    <w:rsid w:val="0F5342DC"/>
    <w:rsid w:val="0F566845"/>
    <w:rsid w:val="0F684F69"/>
    <w:rsid w:val="0F68565B"/>
    <w:rsid w:val="0F687084"/>
    <w:rsid w:val="0F6C18F7"/>
    <w:rsid w:val="0F757FCC"/>
    <w:rsid w:val="0F7722CF"/>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0FFFB82D"/>
    <w:rsid w:val="100737A9"/>
    <w:rsid w:val="101A342B"/>
    <w:rsid w:val="101F7C33"/>
    <w:rsid w:val="103C541A"/>
    <w:rsid w:val="1042335F"/>
    <w:rsid w:val="104735C4"/>
    <w:rsid w:val="104C1B16"/>
    <w:rsid w:val="1051038C"/>
    <w:rsid w:val="10804688"/>
    <w:rsid w:val="1082485A"/>
    <w:rsid w:val="10843AAE"/>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37A07"/>
    <w:rsid w:val="12264A1C"/>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7C16F8"/>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9D25F5"/>
    <w:rsid w:val="16A1133A"/>
    <w:rsid w:val="16B001AD"/>
    <w:rsid w:val="16CD690B"/>
    <w:rsid w:val="16F5338F"/>
    <w:rsid w:val="16F83846"/>
    <w:rsid w:val="16FA2A69"/>
    <w:rsid w:val="16FF7F43"/>
    <w:rsid w:val="1700661C"/>
    <w:rsid w:val="17193A6D"/>
    <w:rsid w:val="171A1BAA"/>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7F36B48"/>
    <w:rsid w:val="18004438"/>
    <w:rsid w:val="1809236A"/>
    <w:rsid w:val="180E3449"/>
    <w:rsid w:val="18105287"/>
    <w:rsid w:val="18110CF1"/>
    <w:rsid w:val="181D0DEF"/>
    <w:rsid w:val="182527C9"/>
    <w:rsid w:val="18267EB8"/>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62EEF"/>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CD3F41"/>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454FB"/>
    <w:rsid w:val="1BAF5235"/>
    <w:rsid w:val="1BB3174C"/>
    <w:rsid w:val="1BBF6440"/>
    <w:rsid w:val="1BC06EA2"/>
    <w:rsid w:val="1BC21757"/>
    <w:rsid w:val="1BC34195"/>
    <w:rsid w:val="1BC34FCD"/>
    <w:rsid w:val="1BC50628"/>
    <w:rsid w:val="1BC50972"/>
    <w:rsid w:val="1BC55301"/>
    <w:rsid w:val="1BC57B47"/>
    <w:rsid w:val="1BC82618"/>
    <w:rsid w:val="1BD74EFE"/>
    <w:rsid w:val="1BDE3B4C"/>
    <w:rsid w:val="1BDF26E2"/>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0DA0"/>
    <w:rsid w:val="1C8054A9"/>
    <w:rsid w:val="1C825C78"/>
    <w:rsid w:val="1C8E121B"/>
    <w:rsid w:val="1C8F233B"/>
    <w:rsid w:val="1CA86307"/>
    <w:rsid w:val="1CBA6E7B"/>
    <w:rsid w:val="1CBE2B3D"/>
    <w:rsid w:val="1CD90366"/>
    <w:rsid w:val="1CDE1582"/>
    <w:rsid w:val="1CEE2D5A"/>
    <w:rsid w:val="1D03191B"/>
    <w:rsid w:val="1D0D5C23"/>
    <w:rsid w:val="1D0F7823"/>
    <w:rsid w:val="1D1207F7"/>
    <w:rsid w:val="1D1252E8"/>
    <w:rsid w:val="1D185B98"/>
    <w:rsid w:val="1D1F3740"/>
    <w:rsid w:val="1D28001A"/>
    <w:rsid w:val="1D2E4533"/>
    <w:rsid w:val="1D361885"/>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240A4E"/>
    <w:rsid w:val="1E3078D5"/>
    <w:rsid w:val="1E3F270B"/>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7FA8CF"/>
    <w:rsid w:val="1F885F5F"/>
    <w:rsid w:val="1F8B0D13"/>
    <w:rsid w:val="1FB3007D"/>
    <w:rsid w:val="1FC86FB2"/>
    <w:rsid w:val="1FE039FF"/>
    <w:rsid w:val="1FEA5730"/>
    <w:rsid w:val="1FFD682A"/>
    <w:rsid w:val="1FFFA169"/>
    <w:rsid w:val="20017C8D"/>
    <w:rsid w:val="200E563D"/>
    <w:rsid w:val="2022167F"/>
    <w:rsid w:val="203C1C0C"/>
    <w:rsid w:val="20412465"/>
    <w:rsid w:val="20570026"/>
    <w:rsid w:val="20583861"/>
    <w:rsid w:val="2066731B"/>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05CB9"/>
    <w:rsid w:val="21812056"/>
    <w:rsid w:val="21902632"/>
    <w:rsid w:val="219C4CA5"/>
    <w:rsid w:val="21A56EDA"/>
    <w:rsid w:val="21AF01FD"/>
    <w:rsid w:val="21B002AA"/>
    <w:rsid w:val="21B5199E"/>
    <w:rsid w:val="21BF6859"/>
    <w:rsid w:val="21C32279"/>
    <w:rsid w:val="21D867B6"/>
    <w:rsid w:val="21DB0BBB"/>
    <w:rsid w:val="21E156B9"/>
    <w:rsid w:val="21F029E2"/>
    <w:rsid w:val="21F5181A"/>
    <w:rsid w:val="22054352"/>
    <w:rsid w:val="22147AF1"/>
    <w:rsid w:val="221701F3"/>
    <w:rsid w:val="223751DC"/>
    <w:rsid w:val="2244378B"/>
    <w:rsid w:val="224C7E9B"/>
    <w:rsid w:val="2254079F"/>
    <w:rsid w:val="2279256C"/>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3D309"/>
    <w:rsid w:val="22F70D69"/>
    <w:rsid w:val="23061CAF"/>
    <w:rsid w:val="230963C7"/>
    <w:rsid w:val="230B64DF"/>
    <w:rsid w:val="23151973"/>
    <w:rsid w:val="231A52F5"/>
    <w:rsid w:val="231A6657"/>
    <w:rsid w:val="231F64C9"/>
    <w:rsid w:val="232E7024"/>
    <w:rsid w:val="233A4131"/>
    <w:rsid w:val="233A4278"/>
    <w:rsid w:val="233E4A36"/>
    <w:rsid w:val="2340539D"/>
    <w:rsid w:val="23607F20"/>
    <w:rsid w:val="23664E71"/>
    <w:rsid w:val="23846FD7"/>
    <w:rsid w:val="2386717E"/>
    <w:rsid w:val="23B25529"/>
    <w:rsid w:val="23B420F8"/>
    <w:rsid w:val="23BC0851"/>
    <w:rsid w:val="23C1595F"/>
    <w:rsid w:val="23CD6B0E"/>
    <w:rsid w:val="23EB8A0C"/>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878D7"/>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375C7E"/>
    <w:rsid w:val="263A5EF2"/>
    <w:rsid w:val="26460C0D"/>
    <w:rsid w:val="26517D5A"/>
    <w:rsid w:val="26543BAE"/>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6FE7F8D"/>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47CD2"/>
    <w:rsid w:val="284F6DA3"/>
    <w:rsid w:val="28615ACF"/>
    <w:rsid w:val="28621296"/>
    <w:rsid w:val="286B3E9F"/>
    <w:rsid w:val="286D568F"/>
    <w:rsid w:val="28771649"/>
    <w:rsid w:val="287A5694"/>
    <w:rsid w:val="28907A65"/>
    <w:rsid w:val="28926C90"/>
    <w:rsid w:val="2895355D"/>
    <w:rsid w:val="289B321D"/>
    <w:rsid w:val="289F2FF8"/>
    <w:rsid w:val="28A74874"/>
    <w:rsid w:val="28AC48F5"/>
    <w:rsid w:val="28AF48FE"/>
    <w:rsid w:val="28B30360"/>
    <w:rsid w:val="28B700D8"/>
    <w:rsid w:val="28B81A59"/>
    <w:rsid w:val="28BC0025"/>
    <w:rsid w:val="28BD749A"/>
    <w:rsid w:val="28BF5BE1"/>
    <w:rsid w:val="28C838C3"/>
    <w:rsid w:val="28DE736F"/>
    <w:rsid w:val="28E215E7"/>
    <w:rsid w:val="28E74C4A"/>
    <w:rsid w:val="28E75C23"/>
    <w:rsid w:val="28F66F27"/>
    <w:rsid w:val="28F74D45"/>
    <w:rsid w:val="28FE3091"/>
    <w:rsid w:val="28FF44FC"/>
    <w:rsid w:val="29004CA4"/>
    <w:rsid w:val="29060DC1"/>
    <w:rsid w:val="29077127"/>
    <w:rsid w:val="2908154A"/>
    <w:rsid w:val="29122857"/>
    <w:rsid w:val="293B2E83"/>
    <w:rsid w:val="293D63CF"/>
    <w:rsid w:val="293E708B"/>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84CE2"/>
    <w:rsid w:val="2A0343F7"/>
    <w:rsid w:val="2A277F19"/>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43F1C"/>
    <w:rsid w:val="2AED28A3"/>
    <w:rsid w:val="2AF51552"/>
    <w:rsid w:val="2AFE28F4"/>
    <w:rsid w:val="2B0C00B5"/>
    <w:rsid w:val="2B0F60E3"/>
    <w:rsid w:val="2B1534EE"/>
    <w:rsid w:val="2B171B79"/>
    <w:rsid w:val="2B2621F1"/>
    <w:rsid w:val="2B2E661F"/>
    <w:rsid w:val="2B3561CA"/>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EF1932"/>
    <w:rsid w:val="2BF65788"/>
    <w:rsid w:val="2BF93228"/>
    <w:rsid w:val="2BFB9A1E"/>
    <w:rsid w:val="2BFC41C0"/>
    <w:rsid w:val="2BFF6824"/>
    <w:rsid w:val="2C002162"/>
    <w:rsid w:val="2C0E1ED5"/>
    <w:rsid w:val="2C37329E"/>
    <w:rsid w:val="2C3A254F"/>
    <w:rsid w:val="2C3FA11C"/>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BB70CA"/>
    <w:rsid w:val="2DCD664C"/>
    <w:rsid w:val="2DCFDBDF"/>
    <w:rsid w:val="2DD11D00"/>
    <w:rsid w:val="2DDA12DB"/>
    <w:rsid w:val="2DDC0D17"/>
    <w:rsid w:val="2DDD3AA0"/>
    <w:rsid w:val="2DE0049D"/>
    <w:rsid w:val="2DE07B9D"/>
    <w:rsid w:val="2DE87C4A"/>
    <w:rsid w:val="2DE90351"/>
    <w:rsid w:val="2DF35E65"/>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EF4DC"/>
    <w:rsid w:val="2EFF15EE"/>
    <w:rsid w:val="2F000DF7"/>
    <w:rsid w:val="2F10450B"/>
    <w:rsid w:val="2F130058"/>
    <w:rsid w:val="2F1468C2"/>
    <w:rsid w:val="2F1F610F"/>
    <w:rsid w:val="2F277E48"/>
    <w:rsid w:val="2F5F5B1B"/>
    <w:rsid w:val="2F6971AB"/>
    <w:rsid w:val="2F6C5CA5"/>
    <w:rsid w:val="2F6C7A55"/>
    <w:rsid w:val="2F6D3FB3"/>
    <w:rsid w:val="2F7FCCC8"/>
    <w:rsid w:val="2F957CAF"/>
    <w:rsid w:val="2F9B049A"/>
    <w:rsid w:val="2F9D34D5"/>
    <w:rsid w:val="2FAD723C"/>
    <w:rsid w:val="2FC836E2"/>
    <w:rsid w:val="2FCBBFF5"/>
    <w:rsid w:val="2FCF2A28"/>
    <w:rsid w:val="2FD97E44"/>
    <w:rsid w:val="2FE23FCB"/>
    <w:rsid w:val="2FE5465A"/>
    <w:rsid w:val="2FEA3641"/>
    <w:rsid w:val="2FF454EA"/>
    <w:rsid w:val="2FF739AA"/>
    <w:rsid w:val="2FFB9F57"/>
    <w:rsid w:val="300264A9"/>
    <w:rsid w:val="30042D9F"/>
    <w:rsid w:val="300F506A"/>
    <w:rsid w:val="30194492"/>
    <w:rsid w:val="302152AE"/>
    <w:rsid w:val="30235E16"/>
    <w:rsid w:val="30387810"/>
    <w:rsid w:val="303956AD"/>
    <w:rsid w:val="30424923"/>
    <w:rsid w:val="30442EDE"/>
    <w:rsid w:val="304864B8"/>
    <w:rsid w:val="30527FC5"/>
    <w:rsid w:val="3053398E"/>
    <w:rsid w:val="30542F6B"/>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622CD"/>
    <w:rsid w:val="31282B8E"/>
    <w:rsid w:val="312C75A1"/>
    <w:rsid w:val="313A3CC4"/>
    <w:rsid w:val="313A706C"/>
    <w:rsid w:val="31411253"/>
    <w:rsid w:val="3156310C"/>
    <w:rsid w:val="315A1862"/>
    <w:rsid w:val="316049FB"/>
    <w:rsid w:val="31680A34"/>
    <w:rsid w:val="3172154C"/>
    <w:rsid w:val="317A2589"/>
    <w:rsid w:val="31831161"/>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A36BC"/>
    <w:rsid w:val="323B186D"/>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E5872"/>
    <w:rsid w:val="330E7FD6"/>
    <w:rsid w:val="33161561"/>
    <w:rsid w:val="331E7F08"/>
    <w:rsid w:val="331F6A4D"/>
    <w:rsid w:val="334603F1"/>
    <w:rsid w:val="3353338A"/>
    <w:rsid w:val="33701A05"/>
    <w:rsid w:val="33702795"/>
    <w:rsid w:val="337C00DB"/>
    <w:rsid w:val="338A5133"/>
    <w:rsid w:val="33C62D00"/>
    <w:rsid w:val="33CE4A55"/>
    <w:rsid w:val="33DE50CB"/>
    <w:rsid w:val="33E123CD"/>
    <w:rsid w:val="33E23E40"/>
    <w:rsid w:val="33EC1514"/>
    <w:rsid w:val="33F71155"/>
    <w:rsid w:val="33FC2DFB"/>
    <w:rsid w:val="33FF0C21"/>
    <w:rsid w:val="34104BC5"/>
    <w:rsid w:val="341A06B8"/>
    <w:rsid w:val="342C7F98"/>
    <w:rsid w:val="342D0BB1"/>
    <w:rsid w:val="34416C0A"/>
    <w:rsid w:val="34460B76"/>
    <w:rsid w:val="344D5388"/>
    <w:rsid w:val="346E46B7"/>
    <w:rsid w:val="3471177D"/>
    <w:rsid w:val="34726277"/>
    <w:rsid w:val="347B23B3"/>
    <w:rsid w:val="34821BE3"/>
    <w:rsid w:val="34832720"/>
    <w:rsid w:val="34871985"/>
    <w:rsid w:val="34915EA2"/>
    <w:rsid w:val="34940253"/>
    <w:rsid w:val="34983684"/>
    <w:rsid w:val="34A04BD9"/>
    <w:rsid w:val="34A57D6A"/>
    <w:rsid w:val="34A913BC"/>
    <w:rsid w:val="34BC2226"/>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3B51"/>
    <w:rsid w:val="35522C36"/>
    <w:rsid w:val="355B4C6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5FD7AEF"/>
    <w:rsid w:val="360139B8"/>
    <w:rsid w:val="360311CD"/>
    <w:rsid w:val="36070CBD"/>
    <w:rsid w:val="36127207"/>
    <w:rsid w:val="36200754"/>
    <w:rsid w:val="36256DC5"/>
    <w:rsid w:val="36290C2F"/>
    <w:rsid w:val="36301CAE"/>
    <w:rsid w:val="3637718E"/>
    <w:rsid w:val="36384921"/>
    <w:rsid w:val="36435665"/>
    <w:rsid w:val="366B14B6"/>
    <w:rsid w:val="368045CB"/>
    <w:rsid w:val="36900EB9"/>
    <w:rsid w:val="36A24CBE"/>
    <w:rsid w:val="36A85C45"/>
    <w:rsid w:val="36AF6AB1"/>
    <w:rsid w:val="36AFD330"/>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425E4"/>
    <w:rsid w:val="37465029"/>
    <w:rsid w:val="37543839"/>
    <w:rsid w:val="37585C03"/>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6D3BA5"/>
    <w:rsid w:val="38785F5F"/>
    <w:rsid w:val="387F1C72"/>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EAED4"/>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BA625"/>
    <w:rsid w:val="397D3525"/>
    <w:rsid w:val="39867FD3"/>
    <w:rsid w:val="399D5052"/>
    <w:rsid w:val="39AD78D2"/>
    <w:rsid w:val="39AE5A5B"/>
    <w:rsid w:val="39B72078"/>
    <w:rsid w:val="39B96310"/>
    <w:rsid w:val="39BB0FB8"/>
    <w:rsid w:val="39C830C2"/>
    <w:rsid w:val="39E73EC0"/>
    <w:rsid w:val="39EC7D3C"/>
    <w:rsid w:val="39ED1A22"/>
    <w:rsid w:val="39FF7B63"/>
    <w:rsid w:val="3A10410D"/>
    <w:rsid w:val="3A2053A6"/>
    <w:rsid w:val="3A26050E"/>
    <w:rsid w:val="3A265CF7"/>
    <w:rsid w:val="3A271F33"/>
    <w:rsid w:val="3A446E54"/>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9C425A"/>
    <w:rsid w:val="3B9F1F79"/>
    <w:rsid w:val="3BA53444"/>
    <w:rsid w:val="3BA81601"/>
    <w:rsid w:val="3BAC507F"/>
    <w:rsid w:val="3BB13E90"/>
    <w:rsid w:val="3BC05C20"/>
    <w:rsid w:val="3BC242CB"/>
    <w:rsid w:val="3BC255BB"/>
    <w:rsid w:val="3BCA6B4D"/>
    <w:rsid w:val="3BD70D98"/>
    <w:rsid w:val="3BDD43F0"/>
    <w:rsid w:val="3BE922D2"/>
    <w:rsid w:val="3BEA2018"/>
    <w:rsid w:val="3BFC4472"/>
    <w:rsid w:val="3BFE4563"/>
    <w:rsid w:val="3C1C68FB"/>
    <w:rsid w:val="3C207F45"/>
    <w:rsid w:val="3C266052"/>
    <w:rsid w:val="3C28373B"/>
    <w:rsid w:val="3C322630"/>
    <w:rsid w:val="3C390C19"/>
    <w:rsid w:val="3C3B092C"/>
    <w:rsid w:val="3C544056"/>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7B495F"/>
    <w:rsid w:val="3D8865AD"/>
    <w:rsid w:val="3D9D0729"/>
    <w:rsid w:val="3DA9101D"/>
    <w:rsid w:val="3DA917B8"/>
    <w:rsid w:val="3DAC39CF"/>
    <w:rsid w:val="3DAE434A"/>
    <w:rsid w:val="3DB377D0"/>
    <w:rsid w:val="3DC44B1D"/>
    <w:rsid w:val="3DCB1B13"/>
    <w:rsid w:val="3DCD4D10"/>
    <w:rsid w:val="3DD223B2"/>
    <w:rsid w:val="3DEA0E7D"/>
    <w:rsid w:val="3DEA4188"/>
    <w:rsid w:val="3DFD3C46"/>
    <w:rsid w:val="3DFECD7F"/>
    <w:rsid w:val="3E047890"/>
    <w:rsid w:val="3E0D2BA2"/>
    <w:rsid w:val="3E234D34"/>
    <w:rsid w:val="3E28157C"/>
    <w:rsid w:val="3E313576"/>
    <w:rsid w:val="3E36697B"/>
    <w:rsid w:val="3E493FE3"/>
    <w:rsid w:val="3E4B6981"/>
    <w:rsid w:val="3E672EB4"/>
    <w:rsid w:val="3E695273"/>
    <w:rsid w:val="3E6D11EF"/>
    <w:rsid w:val="3E7305ED"/>
    <w:rsid w:val="3E7726B6"/>
    <w:rsid w:val="3E777477"/>
    <w:rsid w:val="3E89310E"/>
    <w:rsid w:val="3E8D5C11"/>
    <w:rsid w:val="3EA22D08"/>
    <w:rsid w:val="3EA610B6"/>
    <w:rsid w:val="3EA6508A"/>
    <w:rsid w:val="3EB04CAF"/>
    <w:rsid w:val="3EB70181"/>
    <w:rsid w:val="3EBB151E"/>
    <w:rsid w:val="3EBC352D"/>
    <w:rsid w:val="3EBD7904"/>
    <w:rsid w:val="3EBD7D98"/>
    <w:rsid w:val="3EBE084F"/>
    <w:rsid w:val="3EC076B5"/>
    <w:rsid w:val="3EC32B74"/>
    <w:rsid w:val="3ED715C1"/>
    <w:rsid w:val="3ED71712"/>
    <w:rsid w:val="3ED7536B"/>
    <w:rsid w:val="3ED92825"/>
    <w:rsid w:val="3EDB7087"/>
    <w:rsid w:val="3EF7CD57"/>
    <w:rsid w:val="3EFD1C34"/>
    <w:rsid w:val="3F040999"/>
    <w:rsid w:val="3F062266"/>
    <w:rsid w:val="3F216568"/>
    <w:rsid w:val="3F2179D0"/>
    <w:rsid w:val="3F265678"/>
    <w:rsid w:val="3F28434E"/>
    <w:rsid w:val="3F326DBB"/>
    <w:rsid w:val="3F360EA4"/>
    <w:rsid w:val="3F3A7F44"/>
    <w:rsid w:val="3F3E3276"/>
    <w:rsid w:val="3F4D6969"/>
    <w:rsid w:val="3F4E4B32"/>
    <w:rsid w:val="3F59010B"/>
    <w:rsid w:val="3F5E56C6"/>
    <w:rsid w:val="3F6C4251"/>
    <w:rsid w:val="3F77A27C"/>
    <w:rsid w:val="3F7AEEF6"/>
    <w:rsid w:val="3F7B0E10"/>
    <w:rsid w:val="3F9135C0"/>
    <w:rsid w:val="3F955FB9"/>
    <w:rsid w:val="3F9A3294"/>
    <w:rsid w:val="3FA834DC"/>
    <w:rsid w:val="3FAE7BFF"/>
    <w:rsid w:val="3FAEC77E"/>
    <w:rsid w:val="3FB079D9"/>
    <w:rsid w:val="3FB44390"/>
    <w:rsid w:val="3FBD4C9D"/>
    <w:rsid w:val="3FBE48F8"/>
    <w:rsid w:val="3FD010CB"/>
    <w:rsid w:val="3FD049EC"/>
    <w:rsid w:val="3FDA1D33"/>
    <w:rsid w:val="3FDFA82A"/>
    <w:rsid w:val="3FE261F2"/>
    <w:rsid w:val="3FE815EE"/>
    <w:rsid w:val="3FEA6BFC"/>
    <w:rsid w:val="3FF46F35"/>
    <w:rsid w:val="3FF76861"/>
    <w:rsid w:val="3FF7C7FC"/>
    <w:rsid w:val="40023C70"/>
    <w:rsid w:val="40086A92"/>
    <w:rsid w:val="402158C5"/>
    <w:rsid w:val="402F7539"/>
    <w:rsid w:val="404264F9"/>
    <w:rsid w:val="405F542D"/>
    <w:rsid w:val="406518C8"/>
    <w:rsid w:val="40736AAC"/>
    <w:rsid w:val="40774C91"/>
    <w:rsid w:val="40872663"/>
    <w:rsid w:val="408847A8"/>
    <w:rsid w:val="40A36975"/>
    <w:rsid w:val="40A92D7E"/>
    <w:rsid w:val="40B26929"/>
    <w:rsid w:val="40DB78F1"/>
    <w:rsid w:val="40DC05C4"/>
    <w:rsid w:val="40EC294D"/>
    <w:rsid w:val="41112814"/>
    <w:rsid w:val="41177D64"/>
    <w:rsid w:val="41220DC3"/>
    <w:rsid w:val="41336AA7"/>
    <w:rsid w:val="413A078C"/>
    <w:rsid w:val="413C022C"/>
    <w:rsid w:val="414508EB"/>
    <w:rsid w:val="41465A7C"/>
    <w:rsid w:val="414A27E7"/>
    <w:rsid w:val="41500035"/>
    <w:rsid w:val="41567FFC"/>
    <w:rsid w:val="415A2C36"/>
    <w:rsid w:val="416C6812"/>
    <w:rsid w:val="417A2E1B"/>
    <w:rsid w:val="419060BA"/>
    <w:rsid w:val="419A3818"/>
    <w:rsid w:val="419C55D6"/>
    <w:rsid w:val="419F3437"/>
    <w:rsid w:val="41CC0CFB"/>
    <w:rsid w:val="41CE1449"/>
    <w:rsid w:val="41D2772E"/>
    <w:rsid w:val="41DC7A85"/>
    <w:rsid w:val="41DE664A"/>
    <w:rsid w:val="41E31636"/>
    <w:rsid w:val="41E6684E"/>
    <w:rsid w:val="41EB00BA"/>
    <w:rsid w:val="42007BC3"/>
    <w:rsid w:val="420C1A57"/>
    <w:rsid w:val="42187677"/>
    <w:rsid w:val="422657F0"/>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A35D9D"/>
    <w:rsid w:val="43B07F6C"/>
    <w:rsid w:val="43BA09D8"/>
    <w:rsid w:val="43BE2A16"/>
    <w:rsid w:val="43BFF4EE"/>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A0826"/>
    <w:rsid w:val="45AE4A0E"/>
    <w:rsid w:val="45B60FB3"/>
    <w:rsid w:val="45C378EF"/>
    <w:rsid w:val="45C412DE"/>
    <w:rsid w:val="45C42B72"/>
    <w:rsid w:val="45C65B0E"/>
    <w:rsid w:val="45C70A4F"/>
    <w:rsid w:val="45C94C5D"/>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8939F9"/>
    <w:rsid w:val="4691113B"/>
    <w:rsid w:val="469C3D47"/>
    <w:rsid w:val="46A85E78"/>
    <w:rsid w:val="46B04AE1"/>
    <w:rsid w:val="46B21EA4"/>
    <w:rsid w:val="46B40B6B"/>
    <w:rsid w:val="46BA47C2"/>
    <w:rsid w:val="46BB765E"/>
    <w:rsid w:val="46D64DD7"/>
    <w:rsid w:val="46D7495C"/>
    <w:rsid w:val="46DA02D9"/>
    <w:rsid w:val="46F427C7"/>
    <w:rsid w:val="46F438F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64F47"/>
    <w:rsid w:val="478B7614"/>
    <w:rsid w:val="479F6D48"/>
    <w:rsid w:val="47A345BE"/>
    <w:rsid w:val="47A74A6E"/>
    <w:rsid w:val="47B2140D"/>
    <w:rsid w:val="47B279FC"/>
    <w:rsid w:val="47B70B10"/>
    <w:rsid w:val="47C76806"/>
    <w:rsid w:val="47E328E4"/>
    <w:rsid w:val="47E76DB5"/>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44725"/>
    <w:rsid w:val="49ED5CD0"/>
    <w:rsid w:val="49F6782D"/>
    <w:rsid w:val="4A006538"/>
    <w:rsid w:val="4A060E41"/>
    <w:rsid w:val="4A13062D"/>
    <w:rsid w:val="4A247656"/>
    <w:rsid w:val="4A27484B"/>
    <w:rsid w:val="4A295BD9"/>
    <w:rsid w:val="4A2E3588"/>
    <w:rsid w:val="4A35554B"/>
    <w:rsid w:val="4A3641DE"/>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3088F"/>
    <w:rsid w:val="4B257BC2"/>
    <w:rsid w:val="4B3B31C8"/>
    <w:rsid w:val="4B3D4D2C"/>
    <w:rsid w:val="4B432B93"/>
    <w:rsid w:val="4B4817B5"/>
    <w:rsid w:val="4B660844"/>
    <w:rsid w:val="4B6B3337"/>
    <w:rsid w:val="4B7C3D8C"/>
    <w:rsid w:val="4B975535"/>
    <w:rsid w:val="4BA14F47"/>
    <w:rsid w:val="4BA44B18"/>
    <w:rsid w:val="4BB12A34"/>
    <w:rsid w:val="4BB15C21"/>
    <w:rsid w:val="4BC00CD1"/>
    <w:rsid w:val="4BCD4D56"/>
    <w:rsid w:val="4BCD5AFB"/>
    <w:rsid w:val="4BDB6776"/>
    <w:rsid w:val="4BE06EB7"/>
    <w:rsid w:val="4BE33950"/>
    <w:rsid w:val="4BEB7DF9"/>
    <w:rsid w:val="4BF13E9C"/>
    <w:rsid w:val="4BF63E77"/>
    <w:rsid w:val="4C171611"/>
    <w:rsid w:val="4C3103F7"/>
    <w:rsid w:val="4C3C127F"/>
    <w:rsid w:val="4C427B95"/>
    <w:rsid w:val="4C4669D2"/>
    <w:rsid w:val="4C4C6FD2"/>
    <w:rsid w:val="4C871830"/>
    <w:rsid w:val="4C8B0174"/>
    <w:rsid w:val="4C9926CC"/>
    <w:rsid w:val="4CA246B5"/>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B2AFD"/>
    <w:rsid w:val="4D4B9B12"/>
    <w:rsid w:val="4D4F3090"/>
    <w:rsid w:val="4D6B1C74"/>
    <w:rsid w:val="4D722A68"/>
    <w:rsid w:val="4D7C0D00"/>
    <w:rsid w:val="4D87352F"/>
    <w:rsid w:val="4D931243"/>
    <w:rsid w:val="4D9D7588"/>
    <w:rsid w:val="4DB51809"/>
    <w:rsid w:val="4DBC6539"/>
    <w:rsid w:val="4DD475D1"/>
    <w:rsid w:val="4DD776AB"/>
    <w:rsid w:val="4DDB5EB1"/>
    <w:rsid w:val="4DF831B6"/>
    <w:rsid w:val="4E08517B"/>
    <w:rsid w:val="4E3360B8"/>
    <w:rsid w:val="4E347D1E"/>
    <w:rsid w:val="4E3653FD"/>
    <w:rsid w:val="4E37755B"/>
    <w:rsid w:val="4E3E4076"/>
    <w:rsid w:val="4E3EFC21"/>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7FB072"/>
    <w:rsid w:val="4F972442"/>
    <w:rsid w:val="4FA25A31"/>
    <w:rsid w:val="4FB91209"/>
    <w:rsid w:val="4FBD1A1F"/>
    <w:rsid w:val="4FBE1DF5"/>
    <w:rsid w:val="4FBF6F62"/>
    <w:rsid w:val="4FC24E8A"/>
    <w:rsid w:val="4FDD4F79"/>
    <w:rsid w:val="4FE751A1"/>
    <w:rsid w:val="4FF10B69"/>
    <w:rsid w:val="4FF13241"/>
    <w:rsid w:val="4FF721D3"/>
    <w:rsid w:val="4FF79C62"/>
    <w:rsid w:val="4FFD57A5"/>
    <w:rsid w:val="4FFD8991"/>
    <w:rsid w:val="4FFFBD99"/>
    <w:rsid w:val="500D5DB3"/>
    <w:rsid w:val="5010374D"/>
    <w:rsid w:val="501613EA"/>
    <w:rsid w:val="5033292A"/>
    <w:rsid w:val="503E0ED2"/>
    <w:rsid w:val="504A4CDB"/>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0FA0253"/>
    <w:rsid w:val="50FE58B0"/>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E23F34"/>
    <w:rsid w:val="51E420A0"/>
    <w:rsid w:val="51E473ED"/>
    <w:rsid w:val="51ED0FAB"/>
    <w:rsid w:val="51F9411A"/>
    <w:rsid w:val="51FD1A5C"/>
    <w:rsid w:val="52211C80"/>
    <w:rsid w:val="5226155A"/>
    <w:rsid w:val="522639F0"/>
    <w:rsid w:val="522919DD"/>
    <w:rsid w:val="522B3864"/>
    <w:rsid w:val="523C2CD5"/>
    <w:rsid w:val="5241072B"/>
    <w:rsid w:val="524C3FFD"/>
    <w:rsid w:val="52523205"/>
    <w:rsid w:val="5254050B"/>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32F1F"/>
    <w:rsid w:val="531C6B04"/>
    <w:rsid w:val="53346DCF"/>
    <w:rsid w:val="53365130"/>
    <w:rsid w:val="533D5940"/>
    <w:rsid w:val="533EC6B1"/>
    <w:rsid w:val="534E3116"/>
    <w:rsid w:val="535F4C6A"/>
    <w:rsid w:val="53615D77"/>
    <w:rsid w:val="537428F6"/>
    <w:rsid w:val="537A110E"/>
    <w:rsid w:val="538A3FFC"/>
    <w:rsid w:val="539908EE"/>
    <w:rsid w:val="53B659C6"/>
    <w:rsid w:val="53BA3A2B"/>
    <w:rsid w:val="53BF452D"/>
    <w:rsid w:val="53C3637A"/>
    <w:rsid w:val="53C7425F"/>
    <w:rsid w:val="53F47C07"/>
    <w:rsid w:val="53FA7012"/>
    <w:rsid w:val="54017C77"/>
    <w:rsid w:val="5405643C"/>
    <w:rsid w:val="54154D59"/>
    <w:rsid w:val="54282813"/>
    <w:rsid w:val="543D474F"/>
    <w:rsid w:val="544A47D3"/>
    <w:rsid w:val="545753FB"/>
    <w:rsid w:val="545B53C8"/>
    <w:rsid w:val="54730839"/>
    <w:rsid w:val="54791626"/>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535D3"/>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8360C"/>
    <w:rsid w:val="558C23AE"/>
    <w:rsid w:val="558C4235"/>
    <w:rsid w:val="55B70915"/>
    <w:rsid w:val="55BF392A"/>
    <w:rsid w:val="55C335FF"/>
    <w:rsid w:val="55D24AB8"/>
    <w:rsid w:val="55D70A42"/>
    <w:rsid w:val="55D903ED"/>
    <w:rsid w:val="55FF46FF"/>
    <w:rsid w:val="55FFCF4E"/>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BB3924"/>
    <w:rsid w:val="56C4326C"/>
    <w:rsid w:val="56CB1868"/>
    <w:rsid w:val="56CC25C8"/>
    <w:rsid w:val="56CC4CE7"/>
    <w:rsid w:val="56E056D4"/>
    <w:rsid w:val="56EC3B91"/>
    <w:rsid w:val="56EE30C2"/>
    <w:rsid w:val="56F813A0"/>
    <w:rsid w:val="56FD9C2C"/>
    <w:rsid w:val="57003F7A"/>
    <w:rsid w:val="5701658C"/>
    <w:rsid w:val="57032046"/>
    <w:rsid w:val="57096108"/>
    <w:rsid w:val="571662CD"/>
    <w:rsid w:val="57455942"/>
    <w:rsid w:val="57462B4B"/>
    <w:rsid w:val="574B0213"/>
    <w:rsid w:val="574F2990"/>
    <w:rsid w:val="575647A8"/>
    <w:rsid w:val="575D4053"/>
    <w:rsid w:val="57672B61"/>
    <w:rsid w:val="57810778"/>
    <w:rsid w:val="578515EA"/>
    <w:rsid w:val="57A763FB"/>
    <w:rsid w:val="57A83EF8"/>
    <w:rsid w:val="57B45537"/>
    <w:rsid w:val="57CA30B6"/>
    <w:rsid w:val="57D17F4B"/>
    <w:rsid w:val="57D601E0"/>
    <w:rsid w:val="57DDF298"/>
    <w:rsid w:val="57F934C0"/>
    <w:rsid w:val="57F93FED"/>
    <w:rsid w:val="58013D55"/>
    <w:rsid w:val="58233E6B"/>
    <w:rsid w:val="583152CE"/>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9D1E62"/>
    <w:rsid w:val="59AA1CA3"/>
    <w:rsid w:val="59AC3E0E"/>
    <w:rsid w:val="59B30318"/>
    <w:rsid w:val="59C02604"/>
    <w:rsid w:val="59C5588A"/>
    <w:rsid w:val="59CF1ADD"/>
    <w:rsid w:val="59D17D75"/>
    <w:rsid w:val="59D471D7"/>
    <w:rsid w:val="59DD238D"/>
    <w:rsid w:val="59E37B16"/>
    <w:rsid w:val="59E61693"/>
    <w:rsid w:val="5A030835"/>
    <w:rsid w:val="5A1317F0"/>
    <w:rsid w:val="5A2646DB"/>
    <w:rsid w:val="5A2B57AE"/>
    <w:rsid w:val="5A321BEA"/>
    <w:rsid w:val="5A366F84"/>
    <w:rsid w:val="5A3F0176"/>
    <w:rsid w:val="5A442FFB"/>
    <w:rsid w:val="5A47744D"/>
    <w:rsid w:val="5A6421B1"/>
    <w:rsid w:val="5A6D2DB1"/>
    <w:rsid w:val="5A6E407A"/>
    <w:rsid w:val="5A7E74F9"/>
    <w:rsid w:val="5A7F1FEE"/>
    <w:rsid w:val="5A8E165E"/>
    <w:rsid w:val="5AA72176"/>
    <w:rsid w:val="5AAE0441"/>
    <w:rsid w:val="5AAE5BEC"/>
    <w:rsid w:val="5AD1351F"/>
    <w:rsid w:val="5AD339D9"/>
    <w:rsid w:val="5AD85B99"/>
    <w:rsid w:val="5ADC59C5"/>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7F9722"/>
    <w:rsid w:val="5B83792C"/>
    <w:rsid w:val="5B902EC7"/>
    <w:rsid w:val="5B9E223B"/>
    <w:rsid w:val="5BA14F87"/>
    <w:rsid w:val="5BAD3BAD"/>
    <w:rsid w:val="5BAD73DC"/>
    <w:rsid w:val="5BBB4917"/>
    <w:rsid w:val="5BD133DF"/>
    <w:rsid w:val="5BD366A4"/>
    <w:rsid w:val="5BE3130E"/>
    <w:rsid w:val="5BED3C29"/>
    <w:rsid w:val="5BF51E6A"/>
    <w:rsid w:val="5BFEABFF"/>
    <w:rsid w:val="5C093177"/>
    <w:rsid w:val="5C0D0073"/>
    <w:rsid w:val="5C144FCE"/>
    <w:rsid w:val="5C3E78DA"/>
    <w:rsid w:val="5C5342DE"/>
    <w:rsid w:val="5C5E1DE9"/>
    <w:rsid w:val="5C611C30"/>
    <w:rsid w:val="5C640E34"/>
    <w:rsid w:val="5C654CF3"/>
    <w:rsid w:val="5C692CEC"/>
    <w:rsid w:val="5C6C06E7"/>
    <w:rsid w:val="5C6D3417"/>
    <w:rsid w:val="5C8D2EAA"/>
    <w:rsid w:val="5C9256E7"/>
    <w:rsid w:val="5CA531D1"/>
    <w:rsid w:val="5CAD5B70"/>
    <w:rsid w:val="5CB75213"/>
    <w:rsid w:val="5CBA1507"/>
    <w:rsid w:val="5CBC5D91"/>
    <w:rsid w:val="5CC20563"/>
    <w:rsid w:val="5CCA12C8"/>
    <w:rsid w:val="5CD374BB"/>
    <w:rsid w:val="5CE95646"/>
    <w:rsid w:val="5CF1327E"/>
    <w:rsid w:val="5CF7FB0B"/>
    <w:rsid w:val="5CFB164F"/>
    <w:rsid w:val="5D160E63"/>
    <w:rsid w:val="5D170048"/>
    <w:rsid w:val="5D17051D"/>
    <w:rsid w:val="5D2E727E"/>
    <w:rsid w:val="5D40035D"/>
    <w:rsid w:val="5D49706D"/>
    <w:rsid w:val="5D5F77DD"/>
    <w:rsid w:val="5D717B18"/>
    <w:rsid w:val="5D7E5B54"/>
    <w:rsid w:val="5D840C43"/>
    <w:rsid w:val="5D85209B"/>
    <w:rsid w:val="5D9B10BC"/>
    <w:rsid w:val="5DAA3645"/>
    <w:rsid w:val="5DAE77A4"/>
    <w:rsid w:val="5DAF73C1"/>
    <w:rsid w:val="5DB57EF0"/>
    <w:rsid w:val="5DB6074F"/>
    <w:rsid w:val="5DB7551A"/>
    <w:rsid w:val="5DD45079"/>
    <w:rsid w:val="5DE65E66"/>
    <w:rsid w:val="5DE8676B"/>
    <w:rsid w:val="5DE96D9A"/>
    <w:rsid w:val="5DF47894"/>
    <w:rsid w:val="5E0C65C1"/>
    <w:rsid w:val="5E1044A2"/>
    <w:rsid w:val="5E162F9C"/>
    <w:rsid w:val="5E192361"/>
    <w:rsid w:val="5E1BFFF8"/>
    <w:rsid w:val="5E1F592C"/>
    <w:rsid w:val="5E2B3F08"/>
    <w:rsid w:val="5E366F27"/>
    <w:rsid w:val="5E386453"/>
    <w:rsid w:val="5E3A712D"/>
    <w:rsid w:val="5E415746"/>
    <w:rsid w:val="5E67210D"/>
    <w:rsid w:val="5E7D126D"/>
    <w:rsid w:val="5E8001BD"/>
    <w:rsid w:val="5E8A7599"/>
    <w:rsid w:val="5E915FF6"/>
    <w:rsid w:val="5E9206AE"/>
    <w:rsid w:val="5EB455C5"/>
    <w:rsid w:val="5EB703F3"/>
    <w:rsid w:val="5EBE29B5"/>
    <w:rsid w:val="5ED351EB"/>
    <w:rsid w:val="5EE335F7"/>
    <w:rsid w:val="5EEA2759"/>
    <w:rsid w:val="5EFC45A8"/>
    <w:rsid w:val="5EFD4006"/>
    <w:rsid w:val="5EFF0ED2"/>
    <w:rsid w:val="5F053AB2"/>
    <w:rsid w:val="5F126D05"/>
    <w:rsid w:val="5F204F1D"/>
    <w:rsid w:val="5F2832B2"/>
    <w:rsid w:val="5F2B1DCB"/>
    <w:rsid w:val="5F3B830F"/>
    <w:rsid w:val="5F401BE4"/>
    <w:rsid w:val="5F4A1EBB"/>
    <w:rsid w:val="5F4B5E88"/>
    <w:rsid w:val="5F533C7C"/>
    <w:rsid w:val="5F595662"/>
    <w:rsid w:val="5F597B7C"/>
    <w:rsid w:val="5F5B7782"/>
    <w:rsid w:val="5F5E1936"/>
    <w:rsid w:val="5F675B22"/>
    <w:rsid w:val="5F6C4C79"/>
    <w:rsid w:val="5F732EBB"/>
    <w:rsid w:val="5F7D448F"/>
    <w:rsid w:val="5F7F7558"/>
    <w:rsid w:val="5F8250FF"/>
    <w:rsid w:val="5F906917"/>
    <w:rsid w:val="5F912ACF"/>
    <w:rsid w:val="5F9173F4"/>
    <w:rsid w:val="5F954394"/>
    <w:rsid w:val="5FA20BE3"/>
    <w:rsid w:val="5FA93397"/>
    <w:rsid w:val="5FBD8762"/>
    <w:rsid w:val="5FBE282E"/>
    <w:rsid w:val="5FC9B189"/>
    <w:rsid w:val="5FD15BC7"/>
    <w:rsid w:val="5FD367A6"/>
    <w:rsid w:val="5FD73AA6"/>
    <w:rsid w:val="5FD85EAF"/>
    <w:rsid w:val="5FDEDBE6"/>
    <w:rsid w:val="5FEEF70E"/>
    <w:rsid w:val="5FF41C37"/>
    <w:rsid w:val="5FF67DBF"/>
    <w:rsid w:val="5FF71E12"/>
    <w:rsid w:val="5FFC4C01"/>
    <w:rsid w:val="5FFF6BF6"/>
    <w:rsid w:val="60104EE3"/>
    <w:rsid w:val="602533C0"/>
    <w:rsid w:val="6027337A"/>
    <w:rsid w:val="6028470C"/>
    <w:rsid w:val="604C1BAD"/>
    <w:rsid w:val="605B4538"/>
    <w:rsid w:val="6068392A"/>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4B572C"/>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9E3F76"/>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94530D"/>
    <w:rsid w:val="64A14C54"/>
    <w:rsid w:val="64A357A5"/>
    <w:rsid w:val="64A55457"/>
    <w:rsid w:val="64AF0893"/>
    <w:rsid w:val="64B0068F"/>
    <w:rsid w:val="64B0634B"/>
    <w:rsid w:val="64B7DBF3"/>
    <w:rsid w:val="64B93BE4"/>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5FAE4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CF4C55"/>
    <w:rsid w:val="66D11DEE"/>
    <w:rsid w:val="66D63CEA"/>
    <w:rsid w:val="66DD70A5"/>
    <w:rsid w:val="66E40448"/>
    <w:rsid w:val="66E97C6C"/>
    <w:rsid w:val="66ECC6D3"/>
    <w:rsid w:val="66F47B37"/>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AB5814"/>
    <w:rsid w:val="67C20C79"/>
    <w:rsid w:val="67C57F48"/>
    <w:rsid w:val="67D60266"/>
    <w:rsid w:val="67D7E992"/>
    <w:rsid w:val="67DE4EEE"/>
    <w:rsid w:val="67E46554"/>
    <w:rsid w:val="67ED5955"/>
    <w:rsid w:val="68022E63"/>
    <w:rsid w:val="68052F36"/>
    <w:rsid w:val="6808141A"/>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C67757"/>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554422"/>
    <w:rsid w:val="6B57260F"/>
    <w:rsid w:val="6B7D3C18"/>
    <w:rsid w:val="6B810BED"/>
    <w:rsid w:val="6B8428B4"/>
    <w:rsid w:val="6B851189"/>
    <w:rsid w:val="6B90E0E2"/>
    <w:rsid w:val="6B91457B"/>
    <w:rsid w:val="6B930274"/>
    <w:rsid w:val="6BA47A68"/>
    <w:rsid w:val="6BBFA03B"/>
    <w:rsid w:val="6BCBCC1E"/>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26586"/>
    <w:rsid w:val="6CB77895"/>
    <w:rsid w:val="6CB77AA9"/>
    <w:rsid w:val="6CBF2CF1"/>
    <w:rsid w:val="6CC32DC1"/>
    <w:rsid w:val="6CCB2A5C"/>
    <w:rsid w:val="6CCB57A9"/>
    <w:rsid w:val="6CCE109B"/>
    <w:rsid w:val="6CDAA408"/>
    <w:rsid w:val="6CDBD50C"/>
    <w:rsid w:val="6CE47F86"/>
    <w:rsid w:val="6CEB4C3D"/>
    <w:rsid w:val="6CEF474A"/>
    <w:rsid w:val="6D0E6DEA"/>
    <w:rsid w:val="6D2C27DC"/>
    <w:rsid w:val="6D2F5395"/>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4642F"/>
    <w:rsid w:val="6DD72E6A"/>
    <w:rsid w:val="6DEB4A44"/>
    <w:rsid w:val="6DED76D5"/>
    <w:rsid w:val="6DEF3963"/>
    <w:rsid w:val="6DF1261C"/>
    <w:rsid w:val="6DF633D0"/>
    <w:rsid w:val="6E090707"/>
    <w:rsid w:val="6E0D2F31"/>
    <w:rsid w:val="6E196277"/>
    <w:rsid w:val="6E35541C"/>
    <w:rsid w:val="6E451788"/>
    <w:rsid w:val="6E4C1361"/>
    <w:rsid w:val="6E541B46"/>
    <w:rsid w:val="6E552F0B"/>
    <w:rsid w:val="6E641F84"/>
    <w:rsid w:val="6E6C3A9A"/>
    <w:rsid w:val="6E726FC5"/>
    <w:rsid w:val="6E7D66A2"/>
    <w:rsid w:val="6E8C7D79"/>
    <w:rsid w:val="6E957A3F"/>
    <w:rsid w:val="6EA77046"/>
    <w:rsid w:val="6EB83E57"/>
    <w:rsid w:val="6EC553D5"/>
    <w:rsid w:val="6ECFB730"/>
    <w:rsid w:val="6EE7018C"/>
    <w:rsid w:val="6EF3B9D0"/>
    <w:rsid w:val="6EF5C34B"/>
    <w:rsid w:val="6EF76DEC"/>
    <w:rsid w:val="6EFF1C1E"/>
    <w:rsid w:val="6EFF88E1"/>
    <w:rsid w:val="6EFFB910"/>
    <w:rsid w:val="6F074349"/>
    <w:rsid w:val="6F0B05C6"/>
    <w:rsid w:val="6F130C23"/>
    <w:rsid w:val="6F150B51"/>
    <w:rsid w:val="6F155D42"/>
    <w:rsid w:val="6F193BD1"/>
    <w:rsid w:val="6F270A73"/>
    <w:rsid w:val="6F2A359B"/>
    <w:rsid w:val="6F364C63"/>
    <w:rsid w:val="6F451DEC"/>
    <w:rsid w:val="6F572727"/>
    <w:rsid w:val="6F5C26F0"/>
    <w:rsid w:val="6F5EAF55"/>
    <w:rsid w:val="6F68212E"/>
    <w:rsid w:val="6F6FD6E5"/>
    <w:rsid w:val="6F757176"/>
    <w:rsid w:val="6F792725"/>
    <w:rsid w:val="6F7BBD41"/>
    <w:rsid w:val="6F88611E"/>
    <w:rsid w:val="6F8D2902"/>
    <w:rsid w:val="6F97A9A7"/>
    <w:rsid w:val="6F9E3156"/>
    <w:rsid w:val="6F9FDF8D"/>
    <w:rsid w:val="6FA303AB"/>
    <w:rsid w:val="6FA6D380"/>
    <w:rsid w:val="6FAA58A9"/>
    <w:rsid w:val="6FB6420C"/>
    <w:rsid w:val="6FB81081"/>
    <w:rsid w:val="6FBC0361"/>
    <w:rsid w:val="6FBF0CD6"/>
    <w:rsid w:val="6FBF9178"/>
    <w:rsid w:val="6FC844B0"/>
    <w:rsid w:val="6FC91D09"/>
    <w:rsid w:val="6FCF744E"/>
    <w:rsid w:val="6FDB250C"/>
    <w:rsid w:val="6FDBACE9"/>
    <w:rsid w:val="6FE03DA0"/>
    <w:rsid w:val="6FE27002"/>
    <w:rsid w:val="6FEA3F10"/>
    <w:rsid w:val="6FEA761E"/>
    <w:rsid w:val="6FEC76E2"/>
    <w:rsid w:val="6FF6867F"/>
    <w:rsid w:val="6FF925B2"/>
    <w:rsid w:val="6FFF7180"/>
    <w:rsid w:val="6FFFB0FE"/>
    <w:rsid w:val="70004270"/>
    <w:rsid w:val="70062004"/>
    <w:rsid w:val="700F02F2"/>
    <w:rsid w:val="701D4C6D"/>
    <w:rsid w:val="702211B8"/>
    <w:rsid w:val="70285C83"/>
    <w:rsid w:val="70313C65"/>
    <w:rsid w:val="70360700"/>
    <w:rsid w:val="7049745E"/>
    <w:rsid w:val="704B6227"/>
    <w:rsid w:val="704D743B"/>
    <w:rsid w:val="704F480E"/>
    <w:rsid w:val="70531176"/>
    <w:rsid w:val="70553DF8"/>
    <w:rsid w:val="706C295C"/>
    <w:rsid w:val="7073427E"/>
    <w:rsid w:val="70753CEA"/>
    <w:rsid w:val="707B1CA3"/>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EFD957"/>
    <w:rsid w:val="71FB2A90"/>
    <w:rsid w:val="71FF9C4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3F0FCC"/>
    <w:rsid w:val="7351635F"/>
    <w:rsid w:val="73582E26"/>
    <w:rsid w:val="735F45EB"/>
    <w:rsid w:val="736572B2"/>
    <w:rsid w:val="7377E86E"/>
    <w:rsid w:val="73877A4C"/>
    <w:rsid w:val="738A46F3"/>
    <w:rsid w:val="739F7602"/>
    <w:rsid w:val="73A40733"/>
    <w:rsid w:val="73B9469D"/>
    <w:rsid w:val="73D3764A"/>
    <w:rsid w:val="73D9089C"/>
    <w:rsid w:val="73DB32B4"/>
    <w:rsid w:val="73EA000A"/>
    <w:rsid w:val="73EE57D8"/>
    <w:rsid w:val="73F67F63"/>
    <w:rsid w:val="73F723FE"/>
    <w:rsid w:val="73FBFFD8"/>
    <w:rsid w:val="73FDF717"/>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E4B5F"/>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550DBA"/>
    <w:rsid w:val="75562889"/>
    <w:rsid w:val="755E63CF"/>
    <w:rsid w:val="756225D4"/>
    <w:rsid w:val="75646065"/>
    <w:rsid w:val="756677F3"/>
    <w:rsid w:val="7571709E"/>
    <w:rsid w:val="757172FE"/>
    <w:rsid w:val="757A24EA"/>
    <w:rsid w:val="758868F7"/>
    <w:rsid w:val="75913442"/>
    <w:rsid w:val="75963973"/>
    <w:rsid w:val="759D41D5"/>
    <w:rsid w:val="759F6E47"/>
    <w:rsid w:val="75AE3429"/>
    <w:rsid w:val="75B3DAB4"/>
    <w:rsid w:val="75BD26ED"/>
    <w:rsid w:val="75D32087"/>
    <w:rsid w:val="75DF28CE"/>
    <w:rsid w:val="75E53387"/>
    <w:rsid w:val="75E874E8"/>
    <w:rsid w:val="75EFDAE8"/>
    <w:rsid w:val="75FD4BCD"/>
    <w:rsid w:val="760602D2"/>
    <w:rsid w:val="760729A8"/>
    <w:rsid w:val="76164029"/>
    <w:rsid w:val="761C63DD"/>
    <w:rsid w:val="76204870"/>
    <w:rsid w:val="762215B7"/>
    <w:rsid w:val="76342A16"/>
    <w:rsid w:val="76521AC3"/>
    <w:rsid w:val="76588E03"/>
    <w:rsid w:val="76674DB7"/>
    <w:rsid w:val="7673773D"/>
    <w:rsid w:val="7679161C"/>
    <w:rsid w:val="76873085"/>
    <w:rsid w:val="76944D75"/>
    <w:rsid w:val="76976535"/>
    <w:rsid w:val="769774FD"/>
    <w:rsid w:val="769B0408"/>
    <w:rsid w:val="76A7418D"/>
    <w:rsid w:val="76B157DF"/>
    <w:rsid w:val="76B51266"/>
    <w:rsid w:val="76BA1A53"/>
    <w:rsid w:val="76BB6653"/>
    <w:rsid w:val="76C54672"/>
    <w:rsid w:val="76CC193D"/>
    <w:rsid w:val="76D65D10"/>
    <w:rsid w:val="76F26294"/>
    <w:rsid w:val="76F62C91"/>
    <w:rsid w:val="76F7B656"/>
    <w:rsid w:val="76FB90D0"/>
    <w:rsid w:val="77052BDB"/>
    <w:rsid w:val="770E458F"/>
    <w:rsid w:val="771701A5"/>
    <w:rsid w:val="772623E4"/>
    <w:rsid w:val="773A2AD5"/>
    <w:rsid w:val="77517517"/>
    <w:rsid w:val="775D7B56"/>
    <w:rsid w:val="775FD875"/>
    <w:rsid w:val="77645A0B"/>
    <w:rsid w:val="77777578"/>
    <w:rsid w:val="777B1026"/>
    <w:rsid w:val="777B41E0"/>
    <w:rsid w:val="77816B5E"/>
    <w:rsid w:val="778234EF"/>
    <w:rsid w:val="778612B4"/>
    <w:rsid w:val="77861DAE"/>
    <w:rsid w:val="779A3B25"/>
    <w:rsid w:val="77A16F59"/>
    <w:rsid w:val="77A61A19"/>
    <w:rsid w:val="77A8713B"/>
    <w:rsid w:val="77B024F4"/>
    <w:rsid w:val="77B326B8"/>
    <w:rsid w:val="77BB27AB"/>
    <w:rsid w:val="77BEA051"/>
    <w:rsid w:val="77BEA6CB"/>
    <w:rsid w:val="77C7030D"/>
    <w:rsid w:val="77CA262C"/>
    <w:rsid w:val="77D12E2D"/>
    <w:rsid w:val="77D17AF4"/>
    <w:rsid w:val="77D40517"/>
    <w:rsid w:val="77D73344"/>
    <w:rsid w:val="77DB1D1B"/>
    <w:rsid w:val="77DFB915"/>
    <w:rsid w:val="77E63610"/>
    <w:rsid w:val="77E804AB"/>
    <w:rsid w:val="77E85E69"/>
    <w:rsid w:val="77ED1164"/>
    <w:rsid w:val="77EE1A98"/>
    <w:rsid w:val="77EF89DD"/>
    <w:rsid w:val="77F79D12"/>
    <w:rsid w:val="77FB1E2F"/>
    <w:rsid w:val="77FFB3BC"/>
    <w:rsid w:val="780D018B"/>
    <w:rsid w:val="781A0DB5"/>
    <w:rsid w:val="78256ACF"/>
    <w:rsid w:val="782D7B09"/>
    <w:rsid w:val="78346968"/>
    <w:rsid w:val="783D7C3D"/>
    <w:rsid w:val="784C03CB"/>
    <w:rsid w:val="784D2006"/>
    <w:rsid w:val="7855282E"/>
    <w:rsid w:val="78606362"/>
    <w:rsid w:val="787A665F"/>
    <w:rsid w:val="7884180F"/>
    <w:rsid w:val="78915BE9"/>
    <w:rsid w:val="78957992"/>
    <w:rsid w:val="78A24148"/>
    <w:rsid w:val="78B3587F"/>
    <w:rsid w:val="78B37D44"/>
    <w:rsid w:val="78B86EC2"/>
    <w:rsid w:val="78BB887A"/>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EFA607"/>
    <w:rsid w:val="79F15391"/>
    <w:rsid w:val="79FBDB0E"/>
    <w:rsid w:val="79FE3778"/>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70A93"/>
    <w:rsid w:val="7ABE2CBD"/>
    <w:rsid w:val="7AC7367E"/>
    <w:rsid w:val="7AC77AD7"/>
    <w:rsid w:val="7ADC4781"/>
    <w:rsid w:val="7AE4433A"/>
    <w:rsid w:val="7AE56790"/>
    <w:rsid w:val="7AE7B737"/>
    <w:rsid w:val="7AFF5BCE"/>
    <w:rsid w:val="7B10013E"/>
    <w:rsid w:val="7B17371F"/>
    <w:rsid w:val="7B326C07"/>
    <w:rsid w:val="7B3330E5"/>
    <w:rsid w:val="7B362E62"/>
    <w:rsid w:val="7B3DB6B0"/>
    <w:rsid w:val="7B4C6BBE"/>
    <w:rsid w:val="7B556837"/>
    <w:rsid w:val="7B676012"/>
    <w:rsid w:val="7B6A7511"/>
    <w:rsid w:val="7B711CC9"/>
    <w:rsid w:val="7B7A3CC6"/>
    <w:rsid w:val="7B890DF9"/>
    <w:rsid w:val="7B9C2817"/>
    <w:rsid w:val="7BA2C424"/>
    <w:rsid w:val="7BA311A3"/>
    <w:rsid w:val="7BA46460"/>
    <w:rsid w:val="7BB045D8"/>
    <w:rsid w:val="7BBA247E"/>
    <w:rsid w:val="7BBA2AA5"/>
    <w:rsid w:val="7BBB6AF8"/>
    <w:rsid w:val="7BBDB799"/>
    <w:rsid w:val="7BBF2239"/>
    <w:rsid w:val="7BC81986"/>
    <w:rsid w:val="7BD84BDB"/>
    <w:rsid w:val="7BD96290"/>
    <w:rsid w:val="7BE72A58"/>
    <w:rsid w:val="7BEA1821"/>
    <w:rsid w:val="7BEF2D8B"/>
    <w:rsid w:val="7BFB665E"/>
    <w:rsid w:val="7BFC5439"/>
    <w:rsid w:val="7BFF76AA"/>
    <w:rsid w:val="7C1773FB"/>
    <w:rsid w:val="7C1E7985"/>
    <w:rsid w:val="7C277F03"/>
    <w:rsid w:val="7C2F634D"/>
    <w:rsid w:val="7C304464"/>
    <w:rsid w:val="7C357268"/>
    <w:rsid w:val="7C394685"/>
    <w:rsid w:val="7C3946D8"/>
    <w:rsid w:val="7C3B7202"/>
    <w:rsid w:val="7C3C1819"/>
    <w:rsid w:val="7C3D334B"/>
    <w:rsid w:val="7C41114A"/>
    <w:rsid w:val="7C470595"/>
    <w:rsid w:val="7C4E19B5"/>
    <w:rsid w:val="7C5442D6"/>
    <w:rsid w:val="7C5A528B"/>
    <w:rsid w:val="7C5E6708"/>
    <w:rsid w:val="7C620617"/>
    <w:rsid w:val="7C7878E3"/>
    <w:rsid w:val="7C8047D0"/>
    <w:rsid w:val="7C826ECF"/>
    <w:rsid w:val="7C8C0A8D"/>
    <w:rsid w:val="7C8E3BC1"/>
    <w:rsid w:val="7C927AF3"/>
    <w:rsid w:val="7C97014B"/>
    <w:rsid w:val="7CA273D9"/>
    <w:rsid w:val="7CA874EC"/>
    <w:rsid w:val="7CAF39F1"/>
    <w:rsid w:val="7CB114CF"/>
    <w:rsid w:val="7CB14A8A"/>
    <w:rsid w:val="7CBC0EDA"/>
    <w:rsid w:val="7CBC6560"/>
    <w:rsid w:val="7CBE6E05"/>
    <w:rsid w:val="7CBF6C4F"/>
    <w:rsid w:val="7CC01527"/>
    <w:rsid w:val="7CC318EA"/>
    <w:rsid w:val="7CCE5944"/>
    <w:rsid w:val="7CDEF816"/>
    <w:rsid w:val="7CE4315C"/>
    <w:rsid w:val="7CF242BC"/>
    <w:rsid w:val="7CFA9B24"/>
    <w:rsid w:val="7CFE6AE4"/>
    <w:rsid w:val="7CFF2B54"/>
    <w:rsid w:val="7D001143"/>
    <w:rsid w:val="7D0905C7"/>
    <w:rsid w:val="7D180251"/>
    <w:rsid w:val="7D2E5F39"/>
    <w:rsid w:val="7D345D3C"/>
    <w:rsid w:val="7D3A23FC"/>
    <w:rsid w:val="7D3D4510"/>
    <w:rsid w:val="7D3F10A2"/>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EF1896"/>
    <w:rsid w:val="7DEF7A7D"/>
    <w:rsid w:val="7DF27492"/>
    <w:rsid w:val="7DF9B583"/>
    <w:rsid w:val="7DFB187B"/>
    <w:rsid w:val="7DFDEF17"/>
    <w:rsid w:val="7DFE4EC7"/>
    <w:rsid w:val="7DFFCB28"/>
    <w:rsid w:val="7DFFF73D"/>
    <w:rsid w:val="7E058DC1"/>
    <w:rsid w:val="7E0B4B47"/>
    <w:rsid w:val="7E0D2D37"/>
    <w:rsid w:val="7E1150D6"/>
    <w:rsid w:val="7E2447D7"/>
    <w:rsid w:val="7E2AC0D9"/>
    <w:rsid w:val="7E2C5425"/>
    <w:rsid w:val="7E3201EE"/>
    <w:rsid w:val="7E3A3239"/>
    <w:rsid w:val="7E3B60E6"/>
    <w:rsid w:val="7E5656C0"/>
    <w:rsid w:val="7E5A3003"/>
    <w:rsid w:val="7E694EB9"/>
    <w:rsid w:val="7E6C8988"/>
    <w:rsid w:val="7E6EE455"/>
    <w:rsid w:val="7E702D4F"/>
    <w:rsid w:val="7E73447D"/>
    <w:rsid w:val="7E746479"/>
    <w:rsid w:val="7E7E1C0F"/>
    <w:rsid w:val="7E8412AD"/>
    <w:rsid w:val="7E8D6A07"/>
    <w:rsid w:val="7E8E046B"/>
    <w:rsid w:val="7E936085"/>
    <w:rsid w:val="7E955A58"/>
    <w:rsid w:val="7E962A62"/>
    <w:rsid w:val="7E9C20E9"/>
    <w:rsid w:val="7EAFFCA7"/>
    <w:rsid w:val="7EBE700C"/>
    <w:rsid w:val="7EC2393B"/>
    <w:rsid w:val="7ECA5B6E"/>
    <w:rsid w:val="7ED20926"/>
    <w:rsid w:val="7ED95003"/>
    <w:rsid w:val="7EDC604B"/>
    <w:rsid w:val="7EDE3237"/>
    <w:rsid w:val="7EE1028D"/>
    <w:rsid w:val="7EEE78CB"/>
    <w:rsid w:val="7EFE7DEF"/>
    <w:rsid w:val="7EFF9160"/>
    <w:rsid w:val="7F093C4D"/>
    <w:rsid w:val="7F0D5DAE"/>
    <w:rsid w:val="7F0F6AEE"/>
    <w:rsid w:val="7F0F6E3F"/>
    <w:rsid w:val="7F176427"/>
    <w:rsid w:val="7F181840"/>
    <w:rsid w:val="7F2B63DB"/>
    <w:rsid w:val="7F2F0A58"/>
    <w:rsid w:val="7F396F3C"/>
    <w:rsid w:val="7F434859"/>
    <w:rsid w:val="7F4514DB"/>
    <w:rsid w:val="7F505FC9"/>
    <w:rsid w:val="7F556937"/>
    <w:rsid w:val="7F5A437D"/>
    <w:rsid w:val="7F6A4DD4"/>
    <w:rsid w:val="7F77465A"/>
    <w:rsid w:val="7F7B9674"/>
    <w:rsid w:val="7F8830F2"/>
    <w:rsid w:val="7F8D64E6"/>
    <w:rsid w:val="7F930B43"/>
    <w:rsid w:val="7F942DB0"/>
    <w:rsid w:val="7F9BDCC8"/>
    <w:rsid w:val="7F9C24B0"/>
    <w:rsid w:val="7FAB88C2"/>
    <w:rsid w:val="7FAF1BBD"/>
    <w:rsid w:val="7FB73304"/>
    <w:rsid w:val="7FB9CCFB"/>
    <w:rsid w:val="7FBB5708"/>
    <w:rsid w:val="7FBF5407"/>
    <w:rsid w:val="7FC03CB9"/>
    <w:rsid w:val="7FCF2B1E"/>
    <w:rsid w:val="7FDE487A"/>
    <w:rsid w:val="7FDFEC22"/>
    <w:rsid w:val="7FDFFF44"/>
    <w:rsid w:val="7FE79684"/>
    <w:rsid w:val="7FECF6BD"/>
    <w:rsid w:val="7FED3ED0"/>
    <w:rsid w:val="7FF11F9E"/>
    <w:rsid w:val="7FF30FA0"/>
    <w:rsid w:val="7FF332A8"/>
    <w:rsid w:val="7FF5C7F9"/>
    <w:rsid w:val="7FF70ACA"/>
    <w:rsid w:val="7FFADCA4"/>
    <w:rsid w:val="7FFB1D68"/>
    <w:rsid w:val="7FFC4902"/>
    <w:rsid w:val="7FFFE5CE"/>
    <w:rsid w:val="87B7FE8D"/>
    <w:rsid w:val="8AFE8336"/>
    <w:rsid w:val="8BB07C1D"/>
    <w:rsid w:val="8F8BA7A5"/>
    <w:rsid w:val="8F8FA508"/>
    <w:rsid w:val="924EC93A"/>
    <w:rsid w:val="93FCA7FD"/>
    <w:rsid w:val="973BAD14"/>
    <w:rsid w:val="97BD95AA"/>
    <w:rsid w:val="9AF3ED3C"/>
    <w:rsid w:val="9BE9CD2C"/>
    <w:rsid w:val="9BEFE3A6"/>
    <w:rsid w:val="9EFEFABA"/>
    <w:rsid w:val="9F3A8374"/>
    <w:rsid w:val="9F7BBE3B"/>
    <w:rsid w:val="9FF7EDE7"/>
    <w:rsid w:val="A37F584A"/>
    <w:rsid w:val="A5FF920B"/>
    <w:rsid w:val="A7FF6531"/>
    <w:rsid w:val="A96B64F4"/>
    <w:rsid w:val="ABEF5F53"/>
    <w:rsid w:val="AD7B04AE"/>
    <w:rsid w:val="ADEFB49D"/>
    <w:rsid w:val="ADFFBF28"/>
    <w:rsid w:val="AE2FD64D"/>
    <w:rsid w:val="AEE24145"/>
    <w:rsid w:val="AEECEA29"/>
    <w:rsid w:val="AF2DE693"/>
    <w:rsid w:val="AF85300E"/>
    <w:rsid w:val="AFEE89E1"/>
    <w:rsid w:val="AFF7847B"/>
    <w:rsid w:val="AFFC474F"/>
    <w:rsid w:val="B25D2A86"/>
    <w:rsid w:val="B3B5DED5"/>
    <w:rsid w:val="B3FB3A89"/>
    <w:rsid w:val="B4DB5B92"/>
    <w:rsid w:val="B56A2165"/>
    <w:rsid w:val="B5DE37FE"/>
    <w:rsid w:val="B67B8181"/>
    <w:rsid w:val="B69F7575"/>
    <w:rsid w:val="B7A5E838"/>
    <w:rsid w:val="B7F4557A"/>
    <w:rsid w:val="B8EDF1FD"/>
    <w:rsid w:val="B98AB133"/>
    <w:rsid w:val="B9CFDECD"/>
    <w:rsid w:val="BA7B23C6"/>
    <w:rsid w:val="BABF4677"/>
    <w:rsid w:val="BBFEDF8D"/>
    <w:rsid w:val="BBFF417C"/>
    <w:rsid w:val="BC8B6481"/>
    <w:rsid w:val="BDBD1951"/>
    <w:rsid w:val="BEBF33F6"/>
    <w:rsid w:val="BECE0A46"/>
    <w:rsid w:val="BEFE86FF"/>
    <w:rsid w:val="BF0CF109"/>
    <w:rsid w:val="BF3F96C5"/>
    <w:rsid w:val="BF53C468"/>
    <w:rsid w:val="BF5E733C"/>
    <w:rsid w:val="BF754F52"/>
    <w:rsid w:val="BF7D0E26"/>
    <w:rsid w:val="BFB78EF0"/>
    <w:rsid w:val="BFBF7B8E"/>
    <w:rsid w:val="BFCEC09C"/>
    <w:rsid w:val="BFCFF661"/>
    <w:rsid w:val="BFD3982C"/>
    <w:rsid w:val="BFD7FD7B"/>
    <w:rsid w:val="BFDE4179"/>
    <w:rsid w:val="BFEF71E2"/>
    <w:rsid w:val="BFFB073D"/>
    <w:rsid w:val="BFFF218C"/>
    <w:rsid w:val="BFFF25CC"/>
    <w:rsid w:val="C1BF77A2"/>
    <w:rsid w:val="C39ACA65"/>
    <w:rsid w:val="C75B72F2"/>
    <w:rsid w:val="C7EF9745"/>
    <w:rsid w:val="C97E6FE6"/>
    <w:rsid w:val="C9FB8D39"/>
    <w:rsid w:val="CBFFF4E9"/>
    <w:rsid w:val="CCBF4163"/>
    <w:rsid w:val="CDDFC39C"/>
    <w:rsid w:val="CEF40ABB"/>
    <w:rsid w:val="CF7E8EF9"/>
    <w:rsid w:val="CF9E1635"/>
    <w:rsid w:val="CFB75F2D"/>
    <w:rsid w:val="D14F6F4D"/>
    <w:rsid w:val="D3DDD3F3"/>
    <w:rsid w:val="D3DE2007"/>
    <w:rsid w:val="D4BF86C9"/>
    <w:rsid w:val="D6ADC4AD"/>
    <w:rsid w:val="D7E974F8"/>
    <w:rsid w:val="D7FF16CF"/>
    <w:rsid w:val="D7FFFB4A"/>
    <w:rsid w:val="D9ED959C"/>
    <w:rsid w:val="D9FE3581"/>
    <w:rsid w:val="DB2DDDA8"/>
    <w:rsid w:val="DB6213E7"/>
    <w:rsid w:val="DB9600A5"/>
    <w:rsid w:val="DBF7AF73"/>
    <w:rsid w:val="DBFD9632"/>
    <w:rsid w:val="DCD7E1AF"/>
    <w:rsid w:val="DCFDAACB"/>
    <w:rsid w:val="DCFFD526"/>
    <w:rsid w:val="DD9D5733"/>
    <w:rsid w:val="DDED4019"/>
    <w:rsid w:val="DDF7DAF1"/>
    <w:rsid w:val="DE75CD06"/>
    <w:rsid w:val="DE7B54EE"/>
    <w:rsid w:val="DE7DF34F"/>
    <w:rsid w:val="DEAC7B9A"/>
    <w:rsid w:val="DEBFA1BB"/>
    <w:rsid w:val="DEF70381"/>
    <w:rsid w:val="DEFA12C0"/>
    <w:rsid w:val="DEFF1B55"/>
    <w:rsid w:val="DF37CE6F"/>
    <w:rsid w:val="DFBD6BA5"/>
    <w:rsid w:val="DFD8B279"/>
    <w:rsid w:val="DFEF8E5B"/>
    <w:rsid w:val="DFF1576F"/>
    <w:rsid w:val="DFFF4550"/>
    <w:rsid w:val="DFFF4E22"/>
    <w:rsid w:val="DFFF98AA"/>
    <w:rsid w:val="E17F7E65"/>
    <w:rsid w:val="E2FE41C4"/>
    <w:rsid w:val="E3DD7945"/>
    <w:rsid w:val="E3FC9606"/>
    <w:rsid w:val="E5FF740C"/>
    <w:rsid w:val="E67D6E3A"/>
    <w:rsid w:val="E77F3669"/>
    <w:rsid w:val="E7C71E2C"/>
    <w:rsid w:val="E7EFEA5D"/>
    <w:rsid w:val="E7F5CFAD"/>
    <w:rsid w:val="E8FF05FA"/>
    <w:rsid w:val="E9B76A22"/>
    <w:rsid w:val="E9F92EFF"/>
    <w:rsid w:val="EA5481EC"/>
    <w:rsid w:val="EB3F54ED"/>
    <w:rsid w:val="EBA503DC"/>
    <w:rsid w:val="EBFF68F0"/>
    <w:rsid w:val="ECCF75A5"/>
    <w:rsid w:val="ED1BD756"/>
    <w:rsid w:val="EDB7BF6E"/>
    <w:rsid w:val="EDF54A50"/>
    <w:rsid w:val="EDFF2A6F"/>
    <w:rsid w:val="EE7FBE7D"/>
    <w:rsid w:val="EEAFED52"/>
    <w:rsid w:val="EEDBFD0E"/>
    <w:rsid w:val="EF91CB2C"/>
    <w:rsid w:val="EFBE7F56"/>
    <w:rsid w:val="EFBF4DC7"/>
    <w:rsid w:val="EFBFC07B"/>
    <w:rsid w:val="EFD7A588"/>
    <w:rsid w:val="EFD7FF90"/>
    <w:rsid w:val="EFD9372C"/>
    <w:rsid w:val="EFDF268C"/>
    <w:rsid w:val="EFDF81C4"/>
    <w:rsid w:val="EFDF9849"/>
    <w:rsid w:val="EFF3609E"/>
    <w:rsid w:val="EFF4D6EE"/>
    <w:rsid w:val="EFFA0678"/>
    <w:rsid w:val="EFFBB404"/>
    <w:rsid w:val="EFFBB63A"/>
    <w:rsid w:val="EFFE9AA7"/>
    <w:rsid w:val="F1DD4B2D"/>
    <w:rsid w:val="F25F3AC3"/>
    <w:rsid w:val="F2EFBA54"/>
    <w:rsid w:val="F2FF462E"/>
    <w:rsid w:val="F3D53566"/>
    <w:rsid w:val="F3FE4346"/>
    <w:rsid w:val="F4FA3883"/>
    <w:rsid w:val="F53F896A"/>
    <w:rsid w:val="F59965F8"/>
    <w:rsid w:val="F5DF4B55"/>
    <w:rsid w:val="F5DF6031"/>
    <w:rsid w:val="F5DFAABC"/>
    <w:rsid w:val="F5EE4741"/>
    <w:rsid w:val="F5F8B83E"/>
    <w:rsid w:val="F5FEBB20"/>
    <w:rsid w:val="F6B72DCC"/>
    <w:rsid w:val="F6BBEA42"/>
    <w:rsid w:val="F6E750FF"/>
    <w:rsid w:val="F6F67876"/>
    <w:rsid w:val="F6FBCBFF"/>
    <w:rsid w:val="F76EA0A2"/>
    <w:rsid w:val="F79ED9FC"/>
    <w:rsid w:val="F7CFEEDD"/>
    <w:rsid w:val="F7D393A2"/>
    <w:rsid w:val="F7DEF3C9"/>
    <w:rsid w:val="F7FA9D62"/>
    <w:rsid w:val="F7FF3473"/>
    <w:rsid w:val="F7FF4A8A"/>
    <w:rsid w:val="F7FF96E9"/>
    <w:rsid w:val="F8DFB564"/>
    <w:rsid w:val="F93F14C6"/>
    <w:rsid w:val="F9D7F67F"/>
    <w:rsid w:val="F9EF1FBC"/>
    <w:rsid w:val="F9FD32CD"/>
    <w:rsid w:val="F9FF20FB"/>
    <w:rsid w:val="FA579DE5"/>
    <w:rsid w:val="FA773F08"/>
    <w:rsid w:val="FAD2207F"/>
    <w:rsid w:val="FADEB89F"/>
    <w:rsid w:val="FAE71953"/>
    <w:rsid w:val="FAEB6DA2"/>
    <w:rsid w:val="FAF5674C"/>
    <w:rsid w:val="FAFE9AB4"/>
    <w:rsid w:val="FB6F6285"/>
    <w:rsid w:val="FBAB2A71"/>
    <w:rsid w:val="FBB7C8DE"/>
    <w:rsid w:val="FBE7101F"/>
    <w:rsid w:val="FBEF4B35"/>
    <w:rsid w:val="FBF6A014"/>
    <w:rsid w:val="FBF75526"/>
    <w:rsid w:val="FBFFBD96"/>
    <w:rsid w:val="FD1EACD4"/>
    <w:rsid w:val="FD273569"/>
    <w:rsid w:val="FD3DADDE"/>
    <w:rsid w:val="FD5FBC9B"/>
    <w:rsid w:val="FD9F9911"/>
    <w:rsid w:val="FDBBF505"/>
    <w:rsid w:val="FDBDDA66"/>
    <w:rsid w:val="FDCFEC34"/>
    <w:rsid w:val="FDD754AB"/>
    <w:rsid w:val="FDD82E6C"/>
    <w:rsid w:val="FDF315CB"/>
    <w:rsid w:val="FDFE015C"/>
    <w:rsid w:val="FDFEBB10"/>
    <w:rsid w:val="FDFFDE4D"/>
    <w:rsid w:val="FDFFE9D0"/>
    <w:rsid w:val="FE3FA395"/>
    <w:rsid w:val="FE3FD1A9"/>
    <w:rsid w:val="FE5B8028"/>
    <w:rsid w:val="FE774A96"/>
    <w:rsid w:val="FE77EFA2"/>
    <w:rsid w:val="FE7F1E31"/>
    <w:rsid w:val="FE9484F8"/>
    <w:rsid w:val="FEBFBF63"/>
    <w:rsid w:val="FEDB3E6A"/>
    <w:rsid w:val="FEFF07A3"/>
    <w:rsid w:val="FEFF9979"/>
    <w:rsid w:val="FEFFD9B0"/>
    <w:rsid w:val="FF3A650E"/>
    <w:rsid w:val="FF3F805C"/>
    <w:rsid w:val="FF4FBACA"/>
    <w:rsid w:val="FF57F6BA"/>
    <w:rsid w:val="FF7072BE"/>
    <w:rsid w:val="FF716E48"/>
    <w:rsid w:val="FF75CE6E"/>
    <w:rsid w:val="FF9EA0AC"/>
    <w:rsid w:val="FF9FBD61"/>
    <w:rsid w:val="FF9FEFC7"/>
    <w:rsid w:val="FFABA4D7"/>
    <w:rsid w:val="FFAFF89C"/>
    <w:rsid w:val="FFBD49CC"/>
    <w:rsid w:val="FFBDC92D"/>
    <w:rsid w:val="FFCE89A5"/>
    <w:rsid w:val="FFD6D747"/>
    <w:rsid w:val="FFD75789"/>
    <w:rsid w:val="FFDA6C74"/>
    <w:rsid w:val="FFDF6819"/>
    <w:rsid w:val="FFE6C866"/>
    <w:rsid w:val="FFE9402B"/>
    <w:rsid w:val="FFEBCB4E"/>
    <w:rsid w:val="FFECFA44"/>
    <w:rsid w:val="FFFB2BFF"/>
    <w:rsid w:val="FFFB9839"/>
    <w:rsid w:val="FFFBD56D"/>
    <w:rsid w:val="FFFF2ED8"/>
    <w:rsid w:val="FFFF85BF"/>
    <w:rsid w:val="FFFF8FA4"/>
    <w:rsid w:val="FFFFA204"/>
    <w:rsid w:val="FFFFA6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9"/>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2">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8">
    <w:name w:val="heading 7"/>
    <w:basedOn w:val="1"/>
    <w:next w:val="1"/>
    <w:qFormat/>
    <w:uiPriority w:val="0"/>
    <w:pPr>
      <w:keepNext/>
      <w:keepLines/>
      <w:spacing w:line="320" w:lineRule="auto"/>
      <w:outlineLvl w:val="6"/>
    </w:pPr>
    <w:rPr>
      <w:b/>
      <w:sz w:val="24"/>
      <w:szCs w:val="20"/>
    </w:rPr>
  </w:style>
  <w:style w:type="paragraph" w:styleId="9">
    <w:name w:val="heading 8"/>
    <w:basedOn w:val="1"/>
    <w:next w:val="10"/>
    <w:qFormat/>
    <w:uiPriority w:val="0"/>
    <w:pPr>
      <w:keepNext/>
      <w:keepLines/>
      <w:spacing w:line="320" w:lineRule="auto"/>
      <w:outlineLvl w:val="7"/>
    </w:pPr>
    <w:rPr>
      <w:rFonts w:ascii="黑体" w:hAnsi="黑体" w:eastAsia="楷体"/>
      <w:sz w:val="24"/>
      <w:szCs w:val="20"/>
    </w:rPr>
  </w:style>
  <w:style w:type="paragraph" w:styleId="11">
    <w:name w:val="heading 9"/>
    <w:basedOn w:val="1"/>
    <w:next w:val="10"/>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70"/>
    <w:qFormat/>
    <w:uiPriority w:val="0"/>
    <w:pPr>
      <w:widowControl/>
      <w:ind w:firstLine="420"/>
      <w:jc w:val="left"/>
    </w:pPr>
    <w:rPr>
      <w:rFonts w:ascii="Arial" w:hAnsi="Arial" w:cs="Arial"/>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qFormat/>
    <w:uiPriority w:val="0"/>
  </w:style>
  <w:style w:type="paragraph" w:styleId="18">
    <w:name w:val="Body Text Indent"/>
    <w:basedOn w:val="1"/>
    <w:link w:val="71"/>
    <w:qFormat/>
    <w:uiPriority w:val="0"/>
    <w:pPr>
      <w:adjustRightInd w:val="0"/>
      <w:spacing w:line="360" w:lineRule="auto"/>
      <w:ind w:firstLine="490"/>
      <w:jc w:val="left"/>
    </w:pPr>
    <w:rPr>
      <w:rFonts w:ascii="Century Gothic" w:hAnsi="Century Gothic" w:eastAsia="Century Gothic"/>
      <w:sz w:val="24"/>
      <w:szCs w:val="20"/>
    </w:r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0">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szCs w:val="20"/>
    </w:rPr>
  </w:style>
  <w:style w:type="paragraph" w:styleId="23">
    <w:name w:val="Plain Text"/>
    <w:basedOn w:val="1"/>
    <w:next w:val="1"/>
    <w:link w:val="72"/>
    <w:qFormat/>
    <w:uiPriority w:val="0"/>
    <w:rPr>
      <w:rFonts w:ascii="Century Gothic" w:hAnsi="楷体_GB2312" w:eastAsia="Century Gothic" w:cs="楷体_GB2312"/>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7">
    <w:name w:val="Balloon Text"/>
    <w:basedOn w:val="1"/>
    <w:semiHidden/>
    <w:qFormat/>
    <w:uiPriority w:val="0"/>
    <w:rPr>
      <w:sz w:val="18"/>
      <w:szCs w:val="18"/>
    </w:rPr>
  </w:style>
  <w:style w:type="paragraph" w:styleId="28">
    <w:name w:val="footer"/>
    <w:basedOn w:val="1"/>
    <w:link w:val="73"/>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1">
    <w:name w:val="toc 1"/>
    <w:basedOn w:val="1"/>
    <w:next w:val="1"/>
    <w:qFormat/>
    <w:uiPriority w:val="39"/>
    <w:pPr>
      <w:tabs>
        <w:tab w:val="right" w:leader="dot" w:pos="8720"/>
      </w:tabs>
      <w:jc w:val="left"/>
    </w:pPr>
    <w:rPr>
      <w:rFonts w:ascii="Century Gothic" w:hAnsi="Century Gothic"/>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toc 6"/>
    <w:basedOn w:val="1"/>
    <w:next w:val="1"/>
    <w:semiHidden/>
    <w:qFormat/>
    <w:uiPriority w:val="0"/>
    <w:pPr>
      <w:ind w:left="1050"/>
      <w:jc w:val="left"/>
    </w:pPr>
    <w:rPr>
      <w:sz w:val="18"/>
      <w:szCs w:val="18"/>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ind w:left="420" w:leftChars="200"/>
    </w:pPr>
    <w:rPr>
      <w:sz w:val="16"/>
      <w:szCs w:val="16"/>
    </w:rPr>
  </w:style>
  <w:style w:type="paragraph" w:styleId="36">
    <w:name w:val="toc 2"/>
    <w:basedOn w:val="1"/>
    <w:next w:val="1"/>
    <w:qFormat/>
    <w:uiPriority w:val="39"/>
    <w:pPr>
      <w:tabs>
        <w:tab w:val="right" w:leader="dot" w:pos="8720"/>
      </w:tabs>
      <w:adjustRightInd w:val="0"/>
      <w:snapToGrid w:val="0"/>
      <w:jc w:val="left"/>
    </w:pPr>
    <w:rPr>
      <w:smallCaps/>
      <w:sz w:val="20"/>
      <w:szCs w:val="20"/>
    </w:r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rPr>
      <w:sz w:val="24"/>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1">
    <w:name w:val="Title"/>
    <w:basedOn w:val="1"/>
    <w:next w:val="1"/>
    <w:qFormat/>
    <w:uiPriority w:val="0"/>
    <w:pPr>
      <w:tabs>
        <w:tab w:val="left" w:pos="1200"/>
      </w:tabs>
      <w:spacing w:afterLines="200"/>
      <w:ind w:left="1440" w:hanging="720"/>
      <w:jc w:val="center"/>
    </w:pPr>
    <w:rPr>
      <w:b/>
      <w:bCs/>
      <w:spacing w:val="60"/>
      <w:sz w:val="32"/>
    </w:rPr>
  </w:style>
  <w:style w:type="paragraph" w:styleId="42">
    <w:name w:val="annotation subject"/>
    <w:basedOn w:val="16"/>
    <w:next w:val="16"/>
    <w:semiHidden/>
    <w:qFormat/>
    <w:uiPriority w:val="0"/>
    <w:rPr>
      <w:b/>
      <w:bCs/>
    </w:rPr>
  </w:style>
  <w:style w:type="paragraph" w:styleId="43">
    <w:name w:val="Body Text First Indent"/>
    <w:basedOn w:val="17"/>
    <w:next w:val="33"/>
    <w:qFormat/>
    <w:uiPriority w:val="0"/>
    <w:pPr>
      <w:ind w:firstLine="420"/>
    </w:pPr>
  </w:style>
  <w:style w:type="paragraph" w:styleId="44">
    <w:name w:val="Body Text First Indent 2"/>
    <w:basedOn w:val="1"/>
    <w:next w:val="1"/>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Normal]"/>
    <w:qFormat/>
    <w:uiPriority w:val="0"/>
    <w:rPr>
      <w:rFonts w:ascii="宋体" w:hAnsi="宋体" w:eastAsia="宋体" w:cs="Arial"/>
      <w:sz w:val="24"/>
      <w:szCs w:val="22"/>
      <w:lang w:val="zh-CN" w:eastAsia="zh-CN" w:bidi="ar-SA"/>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正文文本首行缩进 21"/>
    <w:basedOn w:val="62"/>
    <w:qFormat/>
    <w:uiPriority w:val="99"/>
    <w:pPr>
      <w:tabs>
        <w:tab w:val="right" w:leader="dot" w:pos="8268"/>
      </w:tabs>
      <w:spacing w:line="200" w:lineRule="atLeast"/>
      <w:ind w:firstLine="420"/>
    </w:pPr>
    <w:rPr>
      <w:spacing w:val="-4"/>
      <w:sz w:val="18"/>
    </w:rPr>
  </w:style>
  <w:style w:type="paragraph" w:customStyle="1" w:styleId="62">
    <w:name w:val="正文缩进1"/>
    <w:basedOn w:val="63"/>
    <w:next w:val="18"/>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3">
    <w:name w:val="正文1"/>
    <w:basedOn w:val="22"/>
    <w:next w:val="1"/>
    <w:qFormat/>
    <w:uiPriority w:val="0"/>
    <w:pPr>
      <w:jc w:val="both"/>
    </w:pPr>
    <w:rPr>
      <w:rFonts w:hint="eastAsia" w:ascii="Times New Roman" w:hAnsi="Times New Roman"/>
      <w:sz w:val="21"/>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5">
    <w:name w:val="List Paragraph"/>
    <w:basedOn w:val="1"/>
    <w:link w:val="99"/>
    <w:qFormat/>
    <w:uiPriority w:val="34"/>
    <w:pPr>
      <w:ind w:firstLine="420" w:firstLineChars="200"/>
    </w:pPr>
    <w:rPr>
      <w:rFonts w:ascii="Times New Roman" w:hAnsi="Times New Roman"/>
    </w:rPr>
  </w:style>
  <w:style w:type="paragraph" w:customStyle="1" w:styleId="66">
    <w:name w:val="正文文字"/>
    <w:basedOn w:val="1"/>
    <w:qFormat/>
    <w:uiPriority w:val="0"/>
    <w:pPr>
      <w:widowControl/>
      <w:spacing w:line="952" w:lineRule="atLeast"/>
      <w:ind w:firstLine="419"/>
    </w:pPr>
    <w:rPr>
      <w:b/>
      <w:color w:val="000000"/>
      <w:sz w:val="44"/>
      <w:szCs w:val="20"/>
    </w:rPr>
  </w:style>
  <w:style w:type="paragraph" w:customStyle="1" w:styleId="67">
    <w:name w:val="_Style 2"/>
    <w:basedOn w:val="1"/>
    <w:qFormat/>
    <w:uiPriority w:val="0"/>
    <w:pPr>
      <w:ind w:firstLine="200" w:firstLineChars="200"/>
    </w:pPr>
    <w:rPr>
      <w:sz w:val="28"/>
      <w:szCs w:val="22"/>
    </w:rPr>
  </w:style>
  <w:style w:type="paragraph" w:customStyle="1" w:styleId="68">
    <w:name w:val="_Style 1"/>
    <w:qFormat/>
    <w:uiPriority w:val="0"/>
    <w:rPr>
      <w:rFonts w:ascii="Calibri" w:hAnsi="Calibri" w:eastAsia="宋体" w:cs="Times New Roman"/>
      <w:kern w:val="2"/>
      <w:sz w:val="28"/>
      <w:szCs w:val="22"/>
      <w:lang w:val="en-US" w:eastAsia="zh-CN" w:bidi="ar-SA"/>
    </w:rPr>
  </w:style>
  <w:style w:type="character" w:customStyle="1" w:styleId="69">
    <w:name w:val="标题 1 Char"/>
    <w:link w:val="3"/>
    <w:qFormat/>
    <w:uiPriority w:val="0"/>
    <w:rPr>
      <w:rFonts w:eastAsia="Century Gothic"/>
      <w:b/>
      <w:bCs/>
      <w:kern w:val="44"/>
      <w:sz w:val="44"/>
      <w:szCs w:val="44"/>
      <w:lang w:val="en-US" w:eastAsia="zh-CN" w:bidi="ar-SA"/>
    </w:rPr>
  </w:style>
  <w:style w:type="character" w:customStyle="1" w:styleId="70">
    <w:name w:val="正文缩进 Char"/>
    <w:link w:val="10"/>
    <w:qFormat/>
    <w:uiPriority w:val="0"/>
    <w:rPr>
      <w:rFonts w:ascii="Arial" w:hAnsi="Arial" w:eastAsia="宋体" w:cs="Arial"/>
      <w:lang w:val="en-US" w:eastAsia="zh-CN" w:bidi="ar-SA"/>
    </w:rPr>
  </w:style>
  <w:style w:type="character" w:customStyle="1" w:styleId="71">
    <w:name w:val="正文文本缩进 Char"/>
    <w:link w:val="18"/>
    <w:semiHidden/>
    <w:qFormat/>
    <w:uiPriority w:val="0"/>
    <w:rPr>
      <w:rFonts w:ascii="Century Gothic" w:hAnsi="Century Gothic" w:eastAsia="Century Gothic"/>
      <w:kern w:val="2"/>
      <w:sz w:val="24"/>
      <w:lang w:val="en-US" w:eastAsia="zh-CN" w:bidi="ar-SA"/>
    </w:rPr>
  </w:style>
  <w:style w:type="character" w:customStyle="1" w:styleId="72">
    <w:name w:val="纯文本 Char"/>
    <w:link w:val="23"/>
    <w:qFormat/>
    <w:uiPriority w:val="0"/>
    <w:rPr>
      <w:rFonts w:ascii="Century Gothic" w:hAnsi="楷体_GB2312" w:eastAsia="Century Gothic" w:cs="楷体_GB2312"/>
      <w:kern w:val="2"/>
      <w:sz w:val="21"/>
      <w:szCs w:val="21"/>
      <w:lang w:val="en-US" w:eastAsia="zh-CN" w:bidi="ar-SA"/>
    </w:rPr>
  </w:style>
  <w:style w:type="character" w:customStyle="1" w:styleId="73">
    <w:name w:val="页脚 Char"/>
    <w:link w:val="28"/>
    <w:qFormat/>
    <w:uiPriority w:val="0"/>
    <w:rPr>
      <w:rFonts w:eastAsia="Century Gothic"/>
      <w:kern w:val="2"/>
      <w:sz w:val="18"/>
      <w:lang w:val="en-US" w:eastAsia="zh-CN" w:bidi="ar-SA"/>
    </w:rPr>
  </w:style>
  <w:style w:type="character" w:customStyle="1" w:styleId="74">
    <w:name w:val="zbggmain style9"/>
    <w:qFormat/>
    <w:uiPriority w:val="0"/>
    <w:rPr>
      <w:rFonts w:ascii="Courier New" w:eastAsia="Courier New"/>
      <w:b/>
      <w:kern w:val="2"/>
      <w:sz w:val="32"/>
      <w:szCs w:val="32"/>
      <w:lang w:val="en-US" w:eastAsia="zh-CN" w:bidi="ar-SA"/>
    </w:rPr>
  </w:style>
  <w:style w:type="character" w:customStyle="1" w:styleId="75">
    <w:name w:val="temp1"/>
    <w:qFormat/>
    <w:uiPriority w:val="0"/>
  </w:style>
  <w:style w:type="character" w:customStyle="1" w:styleId="76">
    <w:name w:val="Char Char21"/>
    <w:qFormat/>
    <w:uiPriority w:val="0"/>
    <w:rPr>
      <w:rFonts w:eastAsia="Century Gothic"/>
      <w:b/>
      <w:bCs/>
      <w:kern w:val="44"/>
      <w:sz w:val="32"/>
      <w:szCs w:val="44"/>
      <w:lang w:val="en-US" w:eastAsia="zh-CN" w:bidi="ar-SA"/>
    </w:rPr>
  </w:style>
  <w:style w:type="character" w:customStyle="1" w:styleId="77">
    <w:name w:val="Char Char12"/>
    <w:qFormat/>
    <w:uiPriority w:val="0"/>
    <w:rPr>
      <w:rFonts w:ascii="Century Gothic" w:hAnsi="楷体_GB2312" w:eastAsia="Century Gothic" w:cs="楷体_GB2312"/>
      <w:kern w:val="2"/>
      <w:sz w:val="21"/>
      <w:szCs w:val="21"/>
      <w:lang w:val="en-US" w:eastAsia="zh-CN" w:bidi="ar-SA"/>
    </w:rPr>
  </w:style>
  <w:style w:type="character" w:customStyle="1" w:styleId="78">
    <w:name w:val="first-child7"/>
    <w:qFormat/>
    <w:uiPriority w:val="0"/>
  </w:style>
  <w:style w:type="character" w:customStyle="1" w:styleId="79">
    <w:name w:val="ant-select-tree-checkbox"/>
    <w:qFormat/>
    <w:uiPriority w:val="0"/>
  </w:style>
  <w:style w:type="character" w:customStyle="1" w:styleId="80">
    <w:name w:val="tag-type"/>
    <w:qFormat/>
    <w:uiPriority w:val="0"/>
    <w:rPr>
      <w:color w:val="FFFFFF"/>
      <w:sz w:val="18"/>
      <w:szCs w:val="18"/>
      <w:shd w:val="clear" w:color="auto" w:fill="317FFD"/>
    </w:rPr>
  </w:style>
  <w:style w:type="character" w:customStyle="1" w:styleId="81">
    <w:name w:val="ant-select-tree-switcher"/>
    <w:qFormat/>
    <w:uiPriority w:val="0"/>
  </w:style>
  <w:style w:type="character" w:customStyle="1" w:styleId="82">
    <w:name w:val="Default Char"/>
    <w:link w:val="83"/>
    <w:qFormat/>
    <w:uiPriority w:val="0"/>
    <w:rPr>
      <w:rFonts w:ascii="楷体" w:eastAsia="楷体"/>
      <w:color w:val="000000"/>
      <w:sz w:val="24"/>
      <w:szCs w:val="24"/>
      <w:lang w:val="en-US" w:eastAsia="zh-CN" w:bidi="ar-SA"/>
    </w:rPr>
  </w:style>
  <w:style w:type="paragraph" w:customStyle="1" w:styleId="83">
    <w:name w:val="Default"/>
    <w:next w:val="84"/>
    <w:link w:val="82"/>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7">
    <w:name w:val="font71"/>
    <w:qFormat/>
    <w:uiPriority w:val="0"/>
    <w:rPr>
      <w:rFonts w:hint="eastAsia" w:ascii="宋体" w:hAnsi="宋体" w:eastAsia="宋体" w:cs="宋体"/>
      <w:color w:val="000000"/>
      <w:sz w:val="20"/>
      <w:szCs w:val="20"/>
      <w:u w:val="none"/>
    </w:rPr>
  </w:style>
  <w:style w:type="character" w:customStyle="1" w:styleId="88">
    <w:name w:val="current"/>
    <w:qFormat/>
    <w:uiPriority w:val="0"/>
    <w:rPr>
      <w:color w:val="00C1DE"/>
    </w:rPr>
  </w:style>
  <w:style w:type="character" w:customStyle="1" w:styleId="89">
    <w:name w:val="last-of-type"/>
    <w:qFormat/>
    <w:uiPriority w:val="0"/>
    <w:rPr>
      <w:color w:val="FF4A44"/>
      <w:sz w:val="27"/>
      <w:szCs w:val="27"/>
    </w:rPr>
  </w:style>
  <w:style w:type="character" w:customStyle="1" w:styleId="90">
    <w:name w:val="font121"/>
    <w:qFormat/>
    <w:uiPriority w:val="0"/>
    <w:rPr>
      <w:rFonts w:hint="eastAsia" w:ascii="宋体" w:hAnsi="宋体" w:eastAsia="宋体" w:cs="宋体"/>
      <w:b/>
      <w:color w:val="000000"/>
      <w:sz w:val="20"/>
      <w:szCs w:val="20"/>
      <w:u w:val="none"/>
    </w:rPr>
  </w:style>
  <w:style w:type="character" w:customStyle="1" w:styleId="91">
    <w:name w:val="font01"/>
    <w:basedOn w:val="47"/>
    <w:qFormat/>
    <w:uiPriority w:val="0"/>
    <w:rPr>
      <w:rFonts w:hint="eastAsia" w:ascii="宋体" w:hAnsi="宋体" w:eastAsia="宋体" w:cs="宋体"/>
      <w:color w:val="000000"/>
      <w:sz w:val="20"/>
      <w:szCs w:val="20"/>
      <w:u w:val="none"/>
      <w:vertAlign w:val="superscript"/>
    </w:rPr>
  </w:style>
  <w:style w:type="character" w:customStyle="1" w:styleId="92">
    <w:name w:val="first-child"/>
    <w:qFormat/>
    <w:uiPriority w:val="0"/>
  </w:style>
  <w:style w:type="character" w:customStyle="1" w:styleId="93">
    <w:name w:val="current1"/>
    <w:qFormat/>
    <w:uiPriority w:val="0"/>
    <w:rPr>
      <w:color w:val="00C1DE"/>
    </w:rPr>
  </w:style>
  <w:style w:type="character" w:customStyle="1" w:styleId="94">
    <w:name w:val="zbggtop11 style5"/>
    <w:qFormat/>
    <w:uiPriority w:val="0"/>
  </w:style>
  <w:style w:type="character" w:customStyle="1" w:styleId="95">
    <w:name w:val="style1"/>
    <w:qFormat/>
    <w:uiPriority w:val="0"/>
  </w:style>
  <w:style w:type="character" w:customStyle="1" w:styleId="96">
    <w:name w:val="ant-tree-iconele"/>
    <w:qFormat/>
    <w:uiPriority w:val="0"/>
  </w:style>
  <w:style w:type="character" w:customStyle="1" w:styleId="97">
    <w:name w:val="content"/>
    <w:qFormat/>
    <w:uiPriority w:val="0"/>
  </w:style>
  <w:style w:type="character" w:customStyle="1" w:styleId="98">
    <w:name w:val="font51"/>
    <w:qFormat/>
    <w:uiPriority w:val="0"/>
    <w:rPr>
      <w:rFonts w:hint="eastAsia" w:ascii="宋体" w:hAnsi="宋体" w:eastAsia="宋体" w:cs="宋体"/>
      <w:color w:val="000000"/>
      <w:sz w:val="20"/>
      <w:szCs w:val="20"/>
      <w:u w:val="none"/>
    </w:rPr>
  </w:style>
  <w:style w:type="character" w:customStyle="1" w:styleId="99">
    <w:name w:val="列出段落 Char"/>
    <w:link w:val="65"/>
    <w:qFormat/>
    <w:uiPriority w:val="34"/>
    <w:rPr>
      <w:kern w:val="2"/>
      <w:sz w:val="21"/>
      <w:szCs w:val="24"/>
    </w:rPr>
  </w:style>
  <w:style w:type="character" w:customStyle="1" w:styleId="100">
    <w:name w:val="ant-select-tree-iconele"/>
    <w:qFormat/>
    <w:uiPriority w:val="0"/>
  </w:style>
  <w:style w:type="character" w:customStyle="1" w:styleId="101">
    <w:name w:val="bookmark-item uuid-1588129097073 code-23007 addword single-line-text-input-box-cls readonly"/>
    <w:qFormat/>
    <w:uiPriority w:val="0"/>
  </w:style>
  <w:style w:type="character" w:customStyle="1" w:styleId="102">
    <w:name w:val="ant-badge-status-dot2"/>
    <w:qFormat/>
    <w:uiPriority w:val="0"/>
    <w:rPr>
      <w:shd w:val="clear" w:color="auto" w:fill="FFFFFF"/>
    </w:rPr>
  </w:style>
  <w:style w:type="character" w:customStyle="1" w:styleId="103">
    <w:name w:val="change-camera-place"/>
    <w:qFormat/>
    <w:uiPriority w:val="0"/>
    <w:rPr>
      <w:color w:val="3177FD"/>
    </w:rPr>
  </w:style>
  <w:style w:type="character" w:customStyle="1" w:styleId="104">
    <w:name w:val="last-child1"/>
    <w:qFormat/>
    <w:uiPriority w:val="0"/>
  </w:style>
  <w:style w:type="character" w:customStyle="1" w:styleId="105">
    <w:name w:val="first-child9"/>
    <w:qFormat/>
    <w:uiPriority w:val="0"/>
  </w:style>
  <w:style w:type="character" w:customStyle="1" w:styleId="106">
    <w:name w:val="all-fit-info2"/>
    <w:qFormat/>
    <w:uiPriority w:val="0"/>
    <w:rPr>
      <w:color w:val="939393"/>
    </w:rPr>
  </w:style>
  <w:style w:type="character" w:customStyle="1" w:styleId="107">
    <w:name w:val="ant-tree-switcher"/>
    <w:qFormat/>
    <w:uiPriority w:val="0"/>
  </w:style>
  <w:style w:type="character" w:customStyle="1" w:styleId="108">
    <w:name w:val="temp2"/>
    <w:qFormat/>
    <w:uiPriority w:val="0"/>
  </w:style>
  <w:style w:type="character" w:customStyle="1" w:styleId="109">
    <w:name w:val="tpc_content1"/>
    <w:qFormat/>
    <w:uiPriority w:val="0"/>
    <w:rPr>
      <w:sz w:val="20"/>
      <w:szCs w:val="20"/>
    </w:rPr>
  </w:style>
  <w:style w:type="character" w:customStyle="1" w:styleId="110">
    <w:name w:val="font81"/>
    <w:basedOn w:val="47"/>
    <w:qFormat/>
    <w:uiPriority w:val="0"/>
    <w:rPr>
      <w:rFonts w:hint="eastAsia" w:ascii="宋体" w:hAnsi="宋体" w:eastAsia="宋体" w:cs="宋体"/>
      <w:color w:val="FF0000"/>
      <w:sz w:val="24"/>
      <w:szCs w:val="24"/>
      <w:u w:val="none"/>
    </w:rPr>
  </w:style>
  <w:style w:type="character" w:customStyle="1" w:styleId="111">
    <w:name w:val="tag-type1"/>
    <w:qFormat/>
    <w:uiPriority w:val="0"/>
    <w:rPr>
      <w:color w:val="FFFFFF"/>
      <w:sz w:val="18"/>
      <w:szCs w:val="18"/>
      <w:shd w:val="clear" w:color="auto" w:fill="317FFD"/>
    </w:rPr>
  </w:style>
  <w:style w:type="character" w:customStyle="1" w:styleId="112">
    <w:name w:val="font21"/>
    <w:basedOn w:val="47"/>
    <w:qFormat/>
    <w:uiPriority w:val="0"/>
    <w:rPr>
      <w:rFonts w:hint="default" w:ascii="Arial" w:hAnsi="Arial" w:cs="Arial"/>
      <w:color w:val="000000"/>
      <w:sz w:val="21"/>
      <w:szCs w:val="21"/>
      <w:u w:val="none"/>
    </w:rPr>
  </w:style>
  <w:style w:type="character" w:customStyle="1" w:styleId="113">
    <w:name w:val="last-child2"/>
    <w:qFormat/>
    <w:uiPriority w:val="0"/>
  </w:style>
  <w:style w:type="character" w:customStyle="1" w:styleId="114">
    <w:name w:val="info-content"/>
    <w:qFormat/>
    <w:uiPriority w:val="0"/>
    <w:rPr>
      <w:color w:val="808080"/>
    </w:rPr>
  </w:style>
  <w:style w:type="character" w:customStyle="1" w:styleId="115">
    <w:name w:val="Char Char"/>
    <w:qFormat/>
    <w:uiPriority w:val="0"/>
    <w:rPr>
      <w:rFonts w:ascii="Courier New" w:eastAsia="Courier New"/>
      <w:color w:val="FF0000"/>
      <w:kern w:val="2"/>
      <w:sz w:val="24"/>
      <w:szCs w:val="24"/>
      <w:u w:val="single"/>
      <w:lang w:val="en-US" w:eastAsia="zh-CN" w:bidi="ar-SA"/>
    </w:rPr>
  </w:style>
  <w:style w:type="character" w:customStyle="1" w:styleId="116">
    <w:name w:val="ant-tree-checkbox2"/>
    <w:qFormat/>
    <w:uiPriority w:val="0"/>
  </w:style>
  <w:style w:type="character" w:customStyle="1" w:styleId="117">
    <w:name w:val="label2"/>
    <w:qFormat/>
    <w:uiPriority w:val="0"/>
  </w:style>
  <w:style w:type="character" w:customStyle="1" w:styleId="118">
    <w:name w:val="标准文本 Char"/>
    <w:link w:val="119"/>
    <w:qFormat/>
    <w:uiPriority w:val="0"/>
    <w:rPr>
      <w:rFonts w:eastAsia="宋体" w:cs="宋体"/>
      <w:kern w:val="2"/>
      <w:sz w:val="24"/>
      <w:lang w:val="en-US" w:eastAsia="zh-CN" w:bidi="ar-SA"/>
    </w:rPr>
  </w:style>
  <w:style w:type="paragraph" w:customStyle="1" w:styleId="119">
    <w:name w:val="标准文本"/>
    <w:basedOn w:val="1"/>
    <w:link w:val="118"/>
    <w:qFormat/>
    <w:uiPriority w:val="0"/>
    <w:pPr>
      <w:spacing w:line="360" w:lineRule="auto"/>
      <w:ind w:firstLine="480" w:firstLineChars="200"/>
    </w:pPr>
    <w:rPr>
      <w:rFonts w:ascii="Times New Roman" w:hAnsi="Times New Roman" w:cs="宋体"/>
      <w:sz w:val="24"/>
      <w:szCs w:val="20"/>
    </w:rPr>
  </w:style>
  <w:style w:type="character" w:customStyle="1" w:styleId="120">
    <w:name w:val="正文2 Char"/>
    <w:link w:val="121"/>
    <w:qFormat/>
    <w:uiPriority w:val="0"/>
    <w:rPr>
      <w:rFonts w:eastAsia="宋体"/>
      <w:kern w:val="2"/>
      <w:sz w:val="24"/>
      <w:lang w:val="en-US" w:eastAsia="zh-CN" w:bidi="ar-SA"/>
    </w:rPr>
  </w:style>
  <w:style w:type="paragraph" w:customStyle="1" w:styleId="121">
    <w:name w:val="正文2"/>
    <w:basedOn w:val="1"/>
    <w:link w:val="120"/>
    <w:qFormat/>
    <w:uiPriority w:val="0"/>
    <w:pPr>
      <w:spacing w:line="360" w:lineRule="auto"/>
      <w:ind w:firstLine="510" w:firstLineChars="200"/>
    </w:pPr>
    <w:rPr>
      <w:rFonts w:ascii="Times New Roman" w:hAnsi="Times New Roman"/>
      <w:sz w:val="24"/>
      <w:szCs w:val="20"/>
    </w:rPr>
  </w:style>
  <w:style w:type="character" w:customStyle="1" w:styleId="122">
    <w:name w:val="bulletintext1"/>
    <w:qFormat/>
    <w:uiPriority w:val="0"/>
    <w:rPr>
      <w:color w:val="000000"/>
      <w:sz w:val="18"/>
    </w:rPr>
  </w:style>
  <w:style w:type="character" w:customStyle="1" w:styleId="123">
    <w:name w:val="last-child"/>
    <w:qFormat/>
    <w:uiPriority w:val="0"/>
  </w:style>
  <w:style w:type="character" w:customStyle="1" w:styleId="124">
    <w:name w:val="font101"/>
    <w:qFormat/>
    <w:uiPriority w:val="0"/>
    <w:rPr>
      <w:rFonts w:ascii="Calibri" w:hAnsi="Calibri" w:cs="Calibri"/>
      <w:color w:val="000000"/>
      <w:sz w:val="20"/>
      <w:szCs w:val="20"/>
      <w:u w:val="none"/>
    </w:rPr>
  </w:style>
  <w:style w:type="character" w:customStyle="1" w:styleId="125">
    <w:name w:val="font61"/>
    <w:basedOn w:val="47"/>
    <w:qFormat/>
    <w:uiPriority w:val="0"/>
    <w:rPr>
      <w:rFonts w:hint="eastAsia" w:ascii="宋体" w:hAnsi="宋体" w:eastAsia="宋体" w:cs="宋体"/>
      <w:color w:val="161616"/>
      <w:sz w:val="20"/>
      <w:szCs w:val="20"/>
      <w:u w:val="none"/>
    </w:rPr>
  </w:style>
  <w:style w:type="character" w:customStyle="1" w:styleId="126">
    <w:name w:val="all-fit-info"/>
    <w:qFormat/>
    <w:uiPriority w:val="0"/>
    <w:rPr>
      <w:color w:val="939393"/>
    </w:rPr>
  </w:style>
  <w:style w:type="character" w:customStyle="1" w:styleId="127">
    <w:name w:val="ant-tree-checkbox"/>
    <w:qFormat/>
    <w:uiPriority w:val="0"/>
  </w:style>
  <w:style w:type="character" w:customStyle="1" w:styleId="128">
    <w:name w:val="ant-badge-status-dot"/>
    <w:qFormat/>
    <w:uiPriority w:val="0"/>
    <w:rPr>
      <w:shd w:val="clear" w:color="auto" w:fill="FFFFFF"/>
    </w:rPr>
  </w:style>
  <w:style w:type="character" w:customStyle="1" w:styleId="129">
    <w:name w:val="bookmark-item uuid-1591619842642 code-23011 addword date-time-selection-cls"/>
    <w:qFormat/>
    <w:uiPriority w:val="0"/>
  </w:style>
  <w:style w:type="character" w:customStyle="1" w:styleId="130">
    <w:name w:val="content8"/>
    <w:qFormat/>
    <w:uiPriority w:val="0"/>
  </w:style>
  <w:style w:type="character" w:customStyle="1" w:styleId="131">
    <w:name w:val="info-label"/>
    <w:qFormat/>
    <w:uiPriority w:val="0"/>
    <w:rPr>
      <w:b/>
    </w:rPr>
  </w:style>
  <w:style w:type="character" w:customStyle="1" w:styleId="132">
    <w:name w:val="ant-select-tree-checkbox2"/>
    <w:qFormat/>
    <w:uiPriority w:val="0"/>
  </w:style>
  <w:style w:type="character" w:customStyle="1" w:styleId="133">
    <w:name w:val="temp"/>
    <w:qFormat/>
    <w:uiPriority w:val="0"/>
  </w:style>
  <w:style w:type="character" w:customStyle="1" w:styleId="134">
    <w:name w:val="label"/>
    <w:qFormat/>
    <w:uiPriority w:val="0"/>
  </w:style>
  <w:style w:type="character" w:customStyle="1" w:styleId="135">
    <w:name w:val="ant-tree-icon_loading"/>
    <w:qFormat/>
    <w:uiPriority w:val="0"/>
    <w:rPr>
      <w:shd w:val="clear" w:color="auto" w:fill="FFFFFF"/>
    </w:rPr>
  </w:style>
  <w:style w:type="character" w:customStyle="1" w:styleId="136">
    <w:name w:val="last-child3"/>
    <w:qFormat/>
    <w:uiPriority w:val="0"/>
  </w:style>
  <w:style w:type="character" w:customStyle="1" w:styleId="137">
    <w:name w:val="font11"/>
    <w:basedOn w:val="47"/>
    <w:qFormat/>
    <w:uiPriority w:val="0"/>
    <w:rPr>
      <w:rFonts w:hint="eastAsia" w:ascii="宋体" w:hAnsi="宋体" w:eastAsia="宋体" w:cs="宋体"/>
      <w:color w:val="000000"/>
      <w:sz w:val="21"/>
      <w:szCs w:val="21"/>
      <w:u w:val="none"/>
    </w:rPr>
  </w:style>
  <w:style w:type="character" w:customStyle="1" w:styleId="138">
    <w:name w:val="all-fit-info1"/>
    <w:qFormat/>
    <w:uiPriority w:val="0"/>
    <w:rPr>
      <w:color w:val="939393"/>
    </w:rPr>
  </w:style>
  <w:style w:type="paragraph" w:customStyle="1" w:styleId="139">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40">
    <w:name w:val="样式5"/>
    <w:basedOn w:val="5"/>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2">
    <w:name w:val="标书标题4"/>
    <w:basedOn w:val="5"/>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3">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4">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5">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font6"/>
    <w:basedOn w:val="1"/>
    <w:qFormat/>
    <w:uiPriority w:val="0"/>
    <w:pPr>
      <w:widowControl/>
      <w:spacing w:beforeAutospacing="1" w:afterAutospacing="1"/>
      <w:jc w:val="left"/>
    </w:pPr>
    <w:rPr>
      <w:kern w:val="0"/>
      <w:sz w:val="18"/>
      <w:szCs w:val="18"/>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50">
    <w:name w:val="列出段落1"/>
    <w:basedOn w:val="1"/>
    <w:qFormat/>
    <w:uiPriority w:val="0"/>
    <w:pPr>
      <w:ind w:firstLine="420" w:firstLineChars="200"/>
    </w:pPr>
    <w:rPr>
      <w:rFonts w:ascii="等线" w:hAnsi="等线"/>
      <w:szCs w:val="21"/>
    </w:rPr>
  </w:style>
  <w:style w:type="paragraph" w:customStyle="1" w:styleId="151">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2">
    <w:name w:val="BodyText1I"/>
    <w:basedOn w:val="153"/>
    <w:qFormat/>
    <w:uiPriority w:val="0"/>
    <w:pPr>
      <w:spacing w:after="120"/>
      <w:ind w:firstLine="420" w:firstLineChars="100"/>
    </w:pPr>
  </w:style>
  <w:style w:type="paragraph" w:customStyle="1" w:styleId="153">
    <w:name w:val="BodyText"/>
    <w:basedOn w:val="1"/>
    <w:next w:val="152"/>
    <w:qFormat/>
    <w:uiPriority w:val="0"/>
    <w:rPr>
      <w:sz w:val="20"/>
    </w:rPr>
  </w:style>
  <w:style w:type="paragraph" w:customStyle="1" w:styleId="154">
    <w:name w:val="索引 11"/>
    <w:basedOn w:val="1"/>
    <w:next w:val="1"/>
    <w:qFormat/>
    <w:uiPriority w:val="99"/>
    <w:pPr>
      <w:spacing w:line="360" w:lineRule="auto"/>
    </w:pPr>
    <w:rPr>
      <w:rFonts w:ascii="仿宋_GB2312" w:eastAsia="仿宋_GB2312"/>
      <w:sz w:val="24"/>
      <w:szCs w:val="20"/>
    </w:rPr>
  </w:style>
  <w:style w:type="paragraph" w:customStyle="1" w:styleId="155">
    <w:name w:val="Char Char Char Char Char"/>
    <w:basedOn w:val="1"/>
    <w:qFormat/>
    <w:uiPriority w:val="0"/>
    <w:pPr>
      <w:widowControl/>
      <w:spacing w:line="240" w:lineRule="exact"/>
      <w:jc w:val="left"/>
    </w:pPr>
    <w:rPr>
      <w:rFonts w:ascii="Verdana" w:hAnsi="Verdana" w:eastAsia="华文细黑"/>
    </w:rPr>
  </w:style>
  <w:style w:type="paragraph" w:customStyle="1" w:styleId="156">
    <w:name w:val="无间距1"/>
    <w:qFormat/>
    <w:uiPriority w:val="0"/>
    <w:rPr>
      <w:rFonts w:ascii="Times New Roman" w:hAnsi="Times New Roman" w:eastAsia="??" w:cs="宋体"/>
      <w:sz w:val="22"/>
      <w:szCs w:val="22"/>
      <w:lang w:val="en-US" w:eastAsia="en-US" w:bidi="ar-SA"/>
    </w:rPr>
  </w:style>
  <w:style w:type="paragraph" w:customStyle="1" w:styleId="157">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8">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9">
    <w:name w:val="方案三级标题"/>
    <w:basedOn w:val="4"/>
    <w:qFormat/>
    <w:uiPriority w:val="0"/>
    <w:pPr>
      <w:spacing w:before="120" w:after="120" w:line="300" w:lineRule="auto"/>
    </w:pPr>
    <w:rPr>
      <w:rFonts w:ascii="宋体" w:hAnsi="宋体" w:eastAsia="宋体"/>
      <w:sz w:val="30"/>
    </w:rPr>
  </w:style>
  <w:style w:type="paragraph" w:customStyle="1" w:styleId="160">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1">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2">
    <w:name w:val="正文（缩进）"/>
    <w:basedOn w:val="1"/>
    <w:qFormat/>
    <w:uiPriority w:val="0"/>
    <w:pPr>
      <w:spacing w:before="156" w:after="156"/>
      <w:ind w:firstLine="480"/>
    </w:pPr>
    <w:rPr>
      <w:rFonts w:ascii="Times New Roman" w:hAnsi="Times New Roman"/>
    </w:rPr>
  </w:style>
  <w:style w:type="paragraph" w:customStyle="1" w:styleId="163">
    <w:name w:val="Body Text Indent1"/>
    <w:basedOn w:val="1"/>
    <w:qFormat/>
    <w:uiPriority w:val="0"/>
    <w:pPr>
      <w:spacing w:line="200" w:lineRule="exact"/>
      <w:ind w:firstLine="301"/>
    </w:pPr>
    <w:rPr>
      <w:rFonts w:ascii="宋体" w:hAnsi="Courier New"/>
      <w:spacing w:val="-4"/>
      <w:sz w:val="18"/>
    </w:rPr>
  </w:style>
  <w:style w:type="paragraph" w:customStyle="1" w:styleId="164">
    <w:name w:val="title11"/>
    <w:basedOn w:val="1"/>
    <w:qFormat/>
    <w:uiPriority w:val="0"/>
    <w:pPr>
      <w:spacing w:before="150"/>
      <w:jc w:val="left"/>
    </w:pPr>
    <w:rPr>
      <w:b/>
      <w:kern w:val="0"/>
    </w:rPr>
  </w:style>
  <w:style w:type="paragraph" w:customStyle="1" w:styleId="165">
    <w:name w:val="Char Char Char Char"/>
    <w:basedOn w:val="1"/>
    <w:qFormat/>
    <w:uiPriority w:val="0"/>
    <w:rPr>
      <w:szCs w:val="20"/>
    </w:rPr>
  </w:style>
  <w:style w:type="paragraph" w:customStyle="1" w:styleId="166">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纯文本1"/>
    <w:basedOn w:val="1"/>
    <w:qFormat/>
    <w:uiPriority w:val="0"/>
    <w:rPr>
      <w:rFonts w:ascii="宋体" w:hAnsi="Courier New"/>
      <w:kern w:val="0"/>
      <w:sz w:val="20"/>
      <w:szCs w:val="20"/>
    </w:rPr>
  </w:style>
  <w:style w:type="paragraph" w:customStyle="1" w:styleId="168">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9">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70">
    <w:name w:val="标书标题3"/>
    <w:basedOn w:val="2"/>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1">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2">
    <w:name w:val="p0"/>
    <w:basedOn w:val="1"/>
    <w:unhideWhenUsed/>
    <w:qFormat/>
    <w:uiPriority w:val="0"/>
    <w:pPr>
      <w:widowControl/>
    </w:pPr>
    <w:rPr>
      <w:rFonts w:hint="eastAsia"/>
    </w:rPr>
  </w:style>
  <w:style w:type="paragraph" w:customStyle="1" w:styleId="173">
    <w:name w:val="正文段"/>
    <w:basedOn w:val="1"/>
    <w:qFormat/>
    <w:uiPriority w:val="0"/>
    <w:pPr>
      <w:widowControl/>
      <w:snapToGrid w:val="0"/>
      <w:spacing w:afterLines="50"/>
      <w:ind w:firstLine="200" w:firstLineChars="200"/>
    </w:pPr>
    <w:rPr>
      <w:kern w:val="0"/>
      <w:sz w:val="24"/>
      <w:szCs w:val="20"/>
    </w:rPr>
  </w:style>
  <w:style w:type="paragraph" w:customStyle="1" w:styleId="174">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75">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6">
    <w:name w:val="Char3 Char Char Char"/>
    <w:basedOn w:val="1"/>
    <w:qFormat/>
    <w:uiPriority w:val="0"/>
    <w:pPr>
      <w:widowControl/>
      <w:spacing w:line="240" w:lineRule="exact"/>
      <w:jc w:val="left"/>
    </w:pPr>
    <w:rPr>
      <w:szCs w:val="20"/>
    </w:rPr>
  </w:style>
  <w:style w:type="paragraph" w:customStyle="1" w:styleId="1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8">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9">
    <w:name w:val="小节"/>
    <w:basedOn w:val="2"/>
    <w:qFormat/>
    <w:uiPriority w:val="0"/>
    <w:pPr>
      <w:spacing w:line="560" w:lineRule="exact"/>
      <w:jc w:val="left"/>
    </w:pPr>
    <w:rPr>
      <w:rFonts w:ascii="Century Gothic" w:hAnsi="Century Gothic"/>
      <w:bCs w:val="0"/>
      <w:color w:val="000000"/>
      <w:spacing w:val="10"/>
      <w:kern w:val="24"/>
      <w:sz w:val="28"/>
    </w:rPr>
  </w:style>
  <w:style w:type="paragraph" w:customStyle="1" w:styleId="180">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1">
    <w:name w:val="1正文"/>
    <w:basedOn w:val="1"/>
    <w:qFormat/>
    <w:uiPriority w:val="0"/>
    <w:rPr>
      <w:rFonts w:ascii="仿宋_GB2312" w:hAnsi="仿宋_GB2312"/>
      <w:szCs w:val="28"/>
    </w:rPr>
  </w:style>
  <w:style w:type="paragraph" w:customStyle="1" w:styleId="182">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3">
    <w:name w:val="Char1"/>
    <w:basedOn w:val="1"/>
    <w:qFormat/>
    <w:uiPriority w:val="0"/>
    <w:pPr>
      <w:widowControl/>
      <w:spacing w:line="240" w:lineRule="exact"/>
      <w:jc w:val="left"/>
    </w:pPr>
    <w:rPr>
      <w:szCs w:val="20"/>
    </w:rPr>
  </w:style>
  <w:style w:type="paragraph" w:customStyle="1" w:styleId="184">
    <w:name w:val="Char"/>
    <w:basedOn w:val="1"/>
    <w:qFormat/>
    <w:uiPriority w:val="0"/>
  </w:style>
  <w:style w:type="paragraph" w:customStyle="1" w:styleId="185">
    <w:name w:val="正文文字格式"/>
    <w:basedOn w:val="1"/>
    <w:qFormat/>
    <w:uiPriority w:val="0"/>
    <w:pPr>
      <w:spacing w:line="460" w:lineRule="exact"/>
      <w:ind w:firstLine="505"/>
      <w:jc w:val="left"/>
    </w:pPr>
    <w:rPr>
      <w:rFonts w:ascii="Century Gothic"/>
      <w:kern w:val="24"/>
      <w:sz w:val="24"/>
      <w:szCs w:val="20"/>
    </w:rPr>
  </w:style>
  <w:style w:type="paragraph" w:customStyle="1" w:styleId="186">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7">
    <w:name w:val="纯文本2"/>
    <w:basedOn w:val="63"/>
    <w:qFormat/>
    <w:uiPriority w:val="0"/>
    <w:pPr>
      <w:widowControl/>
      <w:jc w:val="left"/>
    </w:pPr>
    <w:rPr>
      <w:rFonts w:ascii="宋体" w:hAnsi="Courier New"/>
    </w:rPr>
  </w:style>
  <w:style w:type="paragraph" w:customStyle="1" w:styleId="188">
    <w:name w:val="Heading2"/>
    <w:basedOn w:val="180"/>
    <w:next w:val="1"/>
    <w:qFormat/>
    <w:uiPriority w:val="0"/>
    <w:pPr>
      <w:keepLines/>
      <w:tabs>
        <w:tab w:val="left" w:pos="706"/>
        <w:tab w:val="left" w:pos="1110"/>
      </w:tabs>
      <w:ind w:left="106" w:firstLine="454"/>
    </w:pPr>
    <w:rPr>
      <w:rFonts w:ascii="Arial" w:hAnsi="Arial" w:cs="Arial"/>
      <w:bCs/>
      <w:szCs w:val="32"/>
    </w:rPr>
  </w:style>
  <w:style w:type="paragraph" w:customStyle="1" w:styleId="189">
    <w:name w:val="样式 标题 1 + 四号 加粗"/>
    <w:basedOn w:val="3"/>
    <w:qFormat/>
    <w:uiPriority w:val="0"/>
    <w:rPr>
      <w:rFonts w:eastAsia="黑体"/>
    </w:rPr>
  </w:style>
  <w:style w:type="paragraph" w:customStyle="1" w:styleId="190">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1">
    <w:name w:val="DAS正文"/>
    <w:basedOn w:val="1"/>
    <w:qFormat/>
    <w:uiPriority w:val="0"/>
    <w:pPr>
      <w:spacing w:line="360" w:lineRule="auto"/>
      <w:ind w:right="181" w:firstLine="480" w:firstLineChars="200"/>
    </w:pPr>
    <w:rPr>
      <w:rFonts w:ascii="Verdana" w:hAnsi="Verdana"/>
      <w:sz w:val="24"/>
      <w:szCs w:val="20"/>
    </w:rPr>
  </w:style>
  <w:style w:type="paragraph" w:customStyle="1" w:styleId="1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List Paragraph1"/>
    <w:basedOn w:val="1"/>
    <w:qFormat/>
    <w:uiPriority w:val="0"/>
    <w:pPr>
      <w:ind w:firstLine="420" w:firstLineChars="200"/>
    </w:pPr>
  </w:style>
  <w:style w:type="paragraph" w:customStyle="1" w:styleId="197">
    <w:name w:val="纯文本_0_0"/>
    <w:basedOn w:val="147"/>
    <w:qFormat/>
    <w:uiPriority w:val="0"/>
    <w:rPr>
      <w:rFonts w:ascii="宋体" w:hAnsi="Courier New"/>
      <w:szCs w:val="21"/>
    </w:rPr>
  </w:style>
  <w:style w:type="paragraph" w:customStyle="1" w:styleId="198">
    <w:name w:val="p15"/>
    <w:basedOn w:val="1"/>
    <w:qFormat/>
    <w:uiPriority w:val="0"/>
    <w:pPr>
      <w:widowControl/>
      <w:ind w:firstLine="420"/>
    </w:pPr>
    <w:rPr>
      <w:rFonts w:cs="宋体"/>
      <w:kern w:val="0"/>
      <w:szCs w:val="21"/>
    </w:rPr>
  </w:style>
  <w:style w:type="paragraph" w:customStyle="1" w:styleId="199">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0">
    <w:name w:val="Blockquote"/>
    <w:basedOn w:val="1"/>
    <w:qFormat/>
    <w:uiPriority w:val="0"/>
    <w:pPr>
      <w:autoSpaceDE w:val="0"/>
      <w:autoSpaceDN w:val="0"/>
      <w:adjustRightInd w:val="0"/>
      <w:ind w:left="360" w:right="360"/>
      <w:jc w:val="left"/>
    </w:pPr>
    <w:rPr>
      <w:kern w:val="0"/>
      <w:sz w:val="24"/>
      <w:szCs w:val="20"/>
    </w:rPr>
  </w:style>
  <w:style w:type="paragraph" w:customStyle="1" w:styleId="201">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3">
    <w:name w:val="【正文】"/>
    <w:basedOn w:val="1"/>
    <w:qFormat/>
    <w:uiPriority w:val="0"/>
    <w:pPr>
      <w:ind w:firstLine="480"/>
    </w:pPr>
    <w:rPr>
      <w:rFonts w:cs="DokChampa"/>
      <w:szCs w:val="22"/>
    </w:rPr>
  </w:style>
  <w:style w:type="paragraph" w:customStyle="1" w:styleId="20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6">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7">
    <w:name w:val="无间隔1"/>
    <w:qFormat/>
    <w:uiPriority w:val="0"/>
    <w:rPr>
      <w:rFonts w:ascii="Times New Roman" w:hAnsi="Times New Roman" w:eastAsia="宋体" w:cs="Times New Roman"/>
      <w:sz w:val="22"/>
      <w:szCs w:val="22"/>
      <w:lang w:val="en-US" w:eastAsia="en-US" w:bidi="ar-SA"/>
    </w:rPr>
  </w:style>
  <w:style w:type="paragraph" w:customStyle="1" w:styleId="208">
    <w:name w:val="正文不缩进"/>
    <w:basedOn w:val="1"/>
    <w:qFormat/>
    <w:uiPriority w:val="0"/>
    <w:pPr>
      <w:spacing w:before="240" w:after="240" w:line="360" w:lineRule="auto"/>
      <w:jc w:val="left"/>
    </w:pPr>
  </w:style>
  <w:style w:type="paragraph" w:customStyle="1" w:styleId="209">
    <w:name w:val="Body Text First Indent 21"/>
    <w:basedOn w:val="163"/>
    <w:qFormat/>
    <w:uiPriority w:val="0"/>
    <w:pPr>
      <w:spacing w:after="120" w:line="240" w:lineRule="auto"/>
      <w:ind w:left="420" w:leftChars="200" w:firstLine="420" w:firstLineChars="200"/>
    </w:pPr>
    <w:rPr>
      <w:sz w:val="21"/>
    </w:rPr>
  </w:style>
  <w:style w:type="paragraph" w:customStyle="1" w:styleId="210">
    <w:name w:val="样式1"/>
    <w:basedOn w:val="1"/>
    <w:qFormat/>
    <w:uiPriority w:val="0"/>
    <w:pPr>
      <w:spacing w:line="360" w:lineRule="exact"/>
      <w:ind w:firstLine="200" w:firstLineChars="200"/>
    </w:pPr>
    <w:rPr>
      <w:rFonts w:ascii="Arial" w:hAnsi="Arial"/>
    </w:rPr>
  </w:style>
  <w:style w:type="paragraph" w:customStyle="1" w:styleId="211">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w:basedOn w:val="1"/>
    <w:qFormat/>
    <w:uiPriority w:val="0"/>
    <w:pPr>
      <w:tabs>
        <w:tab w:val="left" w:pos="360"/>
      </w:tabs>
    </w:pPr>
    <w:rPr>
      <w:szCs w:val="20"/>
    </w:rPr>
  </w:style>
  <w:style w:type="paragraph" w:customStyle="1" w:styleId="213">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4">
    <w:name w:val="Char2"/>
    <w:basedOn w:val="1"/>
    <w:qFormat/>
    <w:uiPriority w:val="0"/>
    <w:rPr>
      <w:rFonts w:ascii="Courier New" w:eastAsia="Courier New"/>
      <w:b/>
      <w:sz w:val="32"/>
      <w:szCs w:val="32"/>
    </w:rPr>
  </w:style>
  <w:style w:type="paragraph" w:customStyle="1" w:styleId="215">
    <w:name w:val="首行缩进"/>
    <w:basedOn w:val="1"/>
    <w:next w:val="17"/>
    <w:qFormat/>
    <w:uiPriority w:val="0"/>
    <w:pPr>
      <w:spacing w:line="360" w:lineRule="auto"/>
      <w:ind w:firstLine="480" w:firstLineChars="200"/>
    </w:pPr>
    <w:rPr>
      <w:rFonts w:ascii="宋体"/>
      <w:sz w:val="24"/>
      <w:szCs w:val="20"/>
    </w:rPr>
  </w:style>
  <w:style w:type="character" w:customStyle="1" w:styleId="216">
    <w:name w:val="font31"/>
    <w:basedOn w:val="47"/>
    <w:qFormat/>
    <w:uiPriority w:val="0"/>
    <w:rPr>
      <w:rFonts w:hint="default" w:ascii="仿宋_GB2312" w:eastAsia="仿宋_GB2312" w:cs="仿宋_GB2312"/>
      <w:color w:val="000000"/>
      <w:sz w:val="22"/>
      <w:szCs w:val="22"/>
      <w:u w:val="none"/>
    </w:rPr>
  </w:style>
  <w:style w:type="character" w:customStyle="1" w:styleId="217">
    <w:name w:val="font131"/>
    <w:basedOn w:val="47"/>
    <w:qFormat/>
    <w:uiPriority w:val="0"/>
    <w:rPr>
      <w:rFonts w:hint="eastAsia" w:ascii="宋体" w:hAnsi="宋体" w:eastAsia="宋体" w:cs="宋体"/>
      <w:color w:val="000000"/>
      <w:sz w:val="22"/>
      <w:szCs w:val="22"/>
      <w:u w:val="none"/>
    </w:rPr>
  </w:style>
  <w:style w:type="character" w:customStyle="1" w:styleId="218">
    <w:name w:val="NormalCharacter"/>
    <w:link w:val="219"/>
    <w:qFormat/>
    <w:uiPriority w:val="0"/>
    <w:rPr>
      <w:rFonts w:ascii="Calibri"/>
      <w:szCs w:val="22"/>
    </w:rPr>
  </w:style>
  <w:style w:type="paragraph" w:customStyle="1" w:styleId="219">
    <w:name w:val="UserStyle_127"/>
    <w:basedOn w:val="1"/>
    <w:link w:val="218"/>
    <w:qFormat/>
    <w:uiPriority w:val="0"/>
    <w:pPr>
      <w:spacing w:after="160" w:line="240" w:lineRule="exact"/>
      <w:jc w:val="left"/>
    </w:pPr>
    <w:rPr>
      <w:szCs w:val="22"/>
    </w:rPr>
  </w:style>
  <w:style w:type="character" w:customStyle="1" w:styleId="220">
    <w:name w:val="hover29"/>
    <w:basedOn w:val="47"/>
    <w:qFormat/>
    <w:uiPriority w:val="0"/>
    <w:rPr>
      <w:color w:val="315EFB"/>
    </w:rPr>
  </w:style>
  <w:style w:type="character" w:customStyle="1" w:styleId="221">
    <w:name w:val="hover30"/>
    <w:basedOn w:val="47"/>
    <w:qFormat/>
    <w:uiPriority w:val="0"/>
    <w:rPr>
      <w:color w:val="315EFB"/>
      <w:shd w:val="clear" w:color="auto" w:fill="F0F3FD"/>
    </w:rPr>
  </w:style>
  <w:style w:type="character" w:customStyle="1" w:styleId="222">
    <w:name w:val="hover31"/>
    <w:basedOn w:val="47"/>
    <w:qFormat/>
    <w:uiPriority w:val="0"/>
  </w:style>
  <w:style w:type="character" w:customStyle="1" w:styleId="223">
    <w:name w:val="hover32"/>
    <w:basedOn w:val="47"/>
    <w:qFormat/>
    <w:uiPriority w:val="0"/>
    <w:rPr>
      <w:color w:val="315EFB"/>
    </w:rPr>
  </w:style>
  <w:style w:type="character" w:customStyle="1" w:styleId="224">
    <w:name w:val="c-icon32"/>
    <w:basedOn w:val="47"/>
    <w:qFormat/>
    <w:uiPriority w:val="0"/>
  </w:style>
  <w:style w:type="character" w:customStyle="1" w:styleId="225">
    <w:name w:val="ec_d20_recomm_link1"/>
    <w:basedOn w:val="47"/>
    <w:qFormat/>
    <w:uiPriority w:val="0"/>
    <w:rPr>
      <w:shd w:val="clear" w:color="auto" w:fill="F5F5F6"/>
    </w:rPr>
  </w:style>
  <w:style w:type="paragraph" w:customStyle="1" w:styleId="226">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7">
    <w:name w:val="fontstyle01"/>
    <w:basedOn w:val="47"/>
    <w:qFormat/>
    <w:uiPriority w:val="0"/>
    <w:rPr>
      <w:rFonts w:ascii="MicrosoftYaHei" w:hAnsi="MicrosoftYaHei" w:eastAsia="MicrosoftYaHei" w:cs="MicrosoftYaHei"/>
      <w:color w:val="000000"/>
      <w:sz w:val="48"/>
      <w:szCs w:val="48"/>
    </w:rPr>
  </w:style>
  <w:style w:type="character" w:customStyle="1" w:styleId="228">
    <w:name w:val="无"/>
    <w:qFormat/>
    <w:uiPriority w:val="99"/>
  </w:style>
  <w:style w:type="character" w:customStyle="1" w:styleId="229">
    <w:name w:val="Hyperlink.1"/>
    <w:qFormat/>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122</Pages>
  <Words>17486</Words>
  <Characters>18184</Characters>
  <Lines>360</Lines>
  <Paragraphs>101</Paragraphs>
  <TotalTime>77</TotalTime>
  <ScaleCrop>false</ScaleCrop>
  <LinksUpToDate>false</LinksUpToDate>
  <CharactersWithSpaces>18636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2022-10-06T20:37:00Z</dcterms:created>
  <dc:creator>微软用户</dc:creator>
  <cp:lastModifiedBy>唐稳</cp:lastModifiedBy>
  <cp:lastPrinted>2025-05-27T14:23:00Z</cp:lastPrinted>
  <dcterms:modified xsi:type="dcterms:W3CDTF">2025-06-04T08:57:56Z</dcterms:modified>
  <dc:title>杭州下沙服务外包人才培训基地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9F7660B90E394877A5F28E50D7433895_13</vt:lpwstr>
  </property>
  <property fmtid="{D5CDD505-2E9C-101B-9397-08002B2CF9AE}" pid="4" name="KSOTemplateDocerSaveRecord">
    <vt:lpwstr>eyJoZGlkIjoiNTQzMGExYzQ5NDk2OTJiODgzOWVmMWVlZmFhNWQ2ODciLCJ1c2VySWQiOiI1ODI1MDg5NzUifQ==</vt:lpwstr>
  </property>
</Properties>
</file>