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7FA2E">
      <w:pPr>
        <w:spacing w:line="360" w:lineRule="auto"/>
        <w:jc w:val="center"/>
        <w:rPr>
          <w:rFonts w:hint="eastAsia" w:ascii="宋体" w:hAnsi="宋体" w:eastAsia="宋体" w:cs="宋体"/>
          <w:b/>
          <w:color w:val="auto"/>
          <w:sz w:val="24"/>
          <w:highlight w:val="none"/>
          <w:lang w:val="en-US" w:eastAsia="zh-CN"/>
        </w:rPr>
      </w:pPr>
    </w:p>
    <w:p w14:paraId="7DA19612">
      <w:pPr>
        <w:adjustRightInd/>
        <w:spacing w:line="360" w:lineRule="auto"/>
        <w:jc w:val="center"/>
        <w:rPr>
          <w:rFonts w:hint="eastAsia" w:ascii="宋体" w:hAnsi="宋体" w:eastAsia="宋体" w:cs="宋体"/>
          <w:b/>
          <w:color w:val="auto"/>
          <w:sz w:val="44"/>
          <w:szCs w:val="44"/>
          <w:highlight w:val="none"/>
        </w:rPr>
      </w:pPr>
      <w:bookmarkStart w:id="0" w:name="_Hlt74729822"/>
      <w:bookmarkEnd w:id="0"/>
      <w:bookmarkStart w:id="1" w:name="_Hlt74707423"/>
      <w:bookmarkEnd w:id="1"/>
      <w:bookmarkStart w:id="2" w:name="_Hlt74728647"/>
      <w:bookmarkEnd w:id="2"/>
      <w:bookmarkStart w:id="3" w:name="_Hlt74649545"/>
      <w:bookmarkEnd w:id="3"/>
      <w:bookmarkStart w:id="4" w:name="第二部分"/>
      <w:bookmarkStart w:id="5" w:name="_Toc91899870"/>
      <w:bookmarkStart w:id="6" w:name="_Toc91899871"/>
    </w:p>
    <w:p w14:paraId="01A22E16">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浙江省食品药品检验研究院</w:t>
      </w:r>
    </w:p>
    <w:p w14:paraId="10BFEB3B">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2025年度软硬件运</w:t>
      </w:r>
      <w:bookmarkStart w:id="433" w:name="_GoBack"/>
      <w:bookmarkEnd w:id="433"/>
      <w:r>
        <w:rPr>
          <w:rFonts w:hint="eastAsia" w:ascii="宋体" w:hAnsi="宋体" w:cs="宋体"/>
          <w:color w:val="auto"/>
          <w:sz w:val="48"/>
          <w:szCs w:val="48"/>
          <w:highlight w:val="none"/>
          <w:lang w:eastAsia="zh-CN"/>
        </w:rPr>
        <w:t>维及机房租赁项目</w:t>
      </w:r>
    </w:p>
    <w:p w14:paraId="0345BE0A">
      <w:pPr>
        <w:adjustRightInd/>
        <w:spacing w:line="360" w:lineRule="auto"/>
        <w:jc w:val="center"/>
        <w:rPr>
          <w:rFonts w:hint="eastAsia" w:ascii="宋体" w:hAnsi="宋体" w:eastAsia="宋体" w:cs="宋体"/>
          <w:color w:val="auto"/>
          <w:sz w:val="48"/>
          <w:szCs w:val="48"/>
          <w:highlight w:val="none"/>
          <w:lang w:eastAsia="zh-CN"/>
        </w:rPr>
      </w:pPr>
    </w:p>
    <w:p w14:paraId="740D159D">
      <w:pPr>
        <w:adjustRightInd/>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 xml:space="preserve">招标文件 </w:t>
      </w:r>
    </w:p>
    <w:p w14:paraId="6338322E">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20B76A24">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val="en-US" w:eastAsia="zh-CN"/>
        </w:rPr>
        <w:t>项目</w:t>
      </w: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lang w:eastAsia="zh-CN"/>
        </w:rPr>
        <w:t>：</w:t>
      </w:r>
      <w:r>
        <w:rPr>
          <w:rFonts w:hint="eastAsia" w:ascii="宋体" w:hAnsi="宋体" w:cs="宋体"/>
          <w:color w:val="auto"/>
          <w:sz w:val="30"/>
          <w:szCs w:val="30"/>
          <w:highlight w:val="none"/>
          <w:lang w:eastAsia="zh-CN"/>
        </w:rPr>
        <w:t>ZJ-2580232-06</w:t>
      </w:r>
    </w:p>
    <w:p w14:paraId="56245EF9">
      <w:pPr>
        <w:adjustRightInd/>
        <w:spacing w:line="360" w:lineRule="auto"/>
        <w:rPr>
          <w:rFonts w:hint="eastAsia" w:ascii="宋体" w:hAnsi="宋体" w:eastAsia="宋体" w:cs="宋体"/>
          <w:color w:val="auto"/>
          <w:sz w:val="28"/>
          <w:szCs w:val="20"/>
          <w:highlight w:val="none"/>
        </w:rPr>
      </w:pPr>
    </w:p>
    <w:p w14:paraId="028409BD">
      <w:pPr>
        <w:snapToGrid w:val="0"/>
        <w:spacing w:line="360" w:lineRule="auto"/>
        <w:jc w:val="center"/>
        <w:rPr>
          <w:rFonts w:hint="eastAsia" w:ascii="宋体" w:hAnsi="宋体" w:eastAsia="宋体" w:cs="宋体"/>
          <w:color w:val="auto"/>
          <w:sz w:val="32"/>
          <w:szCs w:val="32"/>
          <w:highlight w:val="none"/>
          <w:lang w:eastAsia="zh-CN"/>
        </w:rPr>
      </w:pPr>
    </w:p>
    <w:p w14:paraId="1FF71C86">
      <w:pPr>
        <w:snapToGrid w:val="0"/>
        <w:spacing w:line="360" w:lineRule="auto"/>
        <w:jc w:val="center"/>
        <w:rPr>
          <w:rFonts w:hint="eastAsia" w:ascii="宋体" w:hAnsi="宋体" w:eastAsia="宋体" w:cs="宋体"/>
          <w:color w:val="auto"/>
          <w:sz w:val="32"/>
          <w:szCs w:val="32"/>
          <w:highlight w:val="none"/>
          <w:lang w:eastAsia="zh-CN"/>
        </w:rPr>
      </w:pPr>
    </w:p>
    <w:p w14:paraId="2A842CF9">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浙江省食品药品检验研究院</w:t>
      </w:r>
    </w:p>
    <w:p w14:paraId="651380D3">
      <w:pPr>
        <w:spacing w:line="360" w:lineRule="auto"/>
        <w:jc w:val="center"/>
        <w:rPr>
          <w:rFonts w:hint="eastAsia" w:ascii="宋体" w:hAnsi="宋体" w:eastAsia="宋体" w:cs="宋体"/>
          <w:bCs/>
          <w:color w:val="auto"/>
          <w:sz w:val="32"/>
          <w:szCs w:val="32"/>
          <w:highlight w:val="none"/>
          <w:lang w:eastAsia="zh-CN"/>
        </w:rPr>
      </w:pPr>
    </w:p>
    <w:p w14:paraId="77F24C04">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浙江国际招投标有限公司</w:t>
      </w:r>
    </w:p>
    <w:p w14:paraId="08889257">
      <w:pPr>
        <w:snapToGrid w:val="0"/>
        <w:spacing w:line="360" w:lineRule="auto"/>
        <w:jc w:val="center"/>
        <w:rPr>
          <w:rFonts w:hint="eastAsia" w:ascii="宋体" w:hAnsi="宋体" w:eastAsia="宋体" w:cs="宋体"/>
          <w:bCs/>
          <w:color w:val="auto"/>
          <w:sz w:val="32"/>
          <w:szCs w:val="32"/>
          <w:highlight w:val="none"/>
          <w:lang w:eastAsia="zh-CN"/>
        </w:rPr>
      </w:pPr>
    </w:p>
    <w:p w14:paraId="1306FA39">
      <w:pPr>
        <w:snapToGrid w:val="0"/>
        <w:spacing w:line="360" w:lineRule="auto"/>
        <w:jc w:val="center"/>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lang w:eastAsia="zh-CN"/>
        </w:rPr>
        <w:t>二〇二</w:t>
      </w:r>
      <w:r>
        <w:rPr>
          <w:rFonts w:hint="eastAsia" w:ascii="宋体" w:hAnsi="宋体" w:eastAsia="宋体" w:cs="宋体"/>
          <w:bCs/>
          <w:color w:val="auto"/>
          <w:sz w:val="32"/>
          <w:szCs w:val="32"/>
          <w:highlight w:val="none"/>
          <w:lang w:val="en-US" w:eastAsia="zh-CN"/>
        </w:rPr>
        <w:t>五</w:t>
      </w:r>
      <w:r>
        <w:rPr>
          <w:rFonts w:hint="eastAsia" w:ascii="宋体" w:hAnsi="宋体" w:eastAsia="宋体" w:cs="宋体"/>
          <w:bCs/>
          <w:color w:val="auto"/>
          <w:sz w:val="32"/>
          <w:szCs w:val="32"/>
          <w:highlight w:val="none"/>
          <w:lang w:eastAsia="zh-CN"/>
        </w:rPr>
        <w:t>年</w:t>
      </w:r>
      <w:r>
        <w:rPr>
          <w:rFonts w:hint="eastAsia" w:ascii="宋体" w:hAnsi="宋体" w:cs="宋体"/>
          <w:bCs/>
          <w:color w:val="auto"/>
          <w:sz w:val="32"/>
          <w:szCs w:val="32"/>
          <w:highlight w:val="none"/>
          <w:u w:val="none"/>
          <w:lang w:val="en-US" w:eastAsia="zh-CN"/>
        </w:rPr>
        <w:t>六</w:t>
      </w:r>
      <w:r>
        <w:rPr>
          <w:rFonts w:hint="eastAsia" w:ascii="宋体" w:hAnsi="宋体" w:eastAsia="宋体" w:cs="宋体"/>
          <w:bCs/>
          <w:color w:val="auto"/>
          <w:sz w:val="32"/>
          <w:szCs w:val="32"/>
          <w:highlight w:val="none"/>
          <w:lang w:eastAsia="zh-CN"/>
        </w:rPr>
        <w:t>月</w:t>
      </w:r>
    </w:p>
    <w:p w14:paraId="24D7BC9E">
      <w:pPr>
        <w:pStyle w:val="639"/>
        <w:rPr>
          <w:rFonts w:hint="eastAsia" w:ascii="宋体" w:hAnsi="宋体" w:eastAsia="宋体" w:cs="宋体"/>
          <w:color w:val="auto"/>
          <w:highlight w:val="none"/>
        </w:rPr>
        <w:sectPr>
          <w:headerReference r:id="rId4" w:type="first"/>
          <w:headerReference r:id="rId3" w:type="default"/>
          <w:footerReference r:id="rId5" w:type="even"/>
          <w:pgSz w:w="11906" w:h="16838"/>
          <w:pgMar w:top="680" w:right="1418" w:bottom="468" w:left="1418" w:header="851" w:footer="352" w:gutter="0"/>
          <w:pgNumType w:fmt="decimal"/>
          <w:cols w:space="720" w:num="1"/>
          <w:titlePg/>
          <w:docGrid w:linePitch="312" w:charSpace="0"/>
        </w:sectPr>
      </w:pPr>
    </w:p>
    <w:p w14:paraId="00B297CD">
      <w:pPr>
        <w:pStyle w:val="639"/>
        <w:rPr>
          <w:rFonts w:hint="eastAsia" w:ascii="宋体" w:hAnsi="宋体" w:eastAsia="宋体" w:cs="宋体"/>
          <w:color w:val="auto"/>
          <w:highlight w:val="none"/>
        </w:rPr>
      </w:pPr>
    </w:p>
    <w:p w14:paraId="07A03823">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49668996">
      <w:pPr>
        <w:spacing w:line="360" w:lineRule="auto"/>
        <w:rPr>
          <w:rFonts w:hint="eastAsia" w:ascii="宋体" w:hAnsi="宋体" w:eastAsia="宋体" w:cs="宋体"/>
          <w:color w:val="auto"/>
          <w:sz w:val="32"/>
          <w:szCs w:val="32"/>
          <w:highlight w:val="none"/>
        </w:rPr>
      </w:pPr>
    </w:p>
    <w:p w14:paraId="78D9A33B">
      <w:pPr>
        <w:spacing w:line="360" w:lineRule="auto"/>
        <w:rPr>
          <w:rFonts w:hint="eastAsia" w:ascii="宋体" w:hAnsi="宋体" w:eastAsia="宋体" w:cs="宋体"/>
          <w:color w:val="auto"/>
          <w:sz w:val="32"/>
          <w:szCs w:val="32"/>
          <w:highlight w:val="none"/>
        </w:rPr>
      </w:pPr>
    </w:p>
    <w:p w14:paraId="4CDA3D4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2072971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1714B67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5895D64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1DF2355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60A5E4C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5D142B36">
      <w:pPr>
        <w:adjustRightInd/>
        <w:spacing w:line="360" w:lineRule="auto"/>
        <w:jc w:val="center"/>
        <w:outlineLvl w:val="0"/>
        <w:rPr>
          <w:rFonts w:hint="eastAsia" w:ascii="宋体" w:hAnsi="宋体" w:eastAsia="宋体" w:cs="宋体"/>
          <w:b/>
          <w:color w:val="auto"/>
          <w:sz w:val="36"/>
          <w:szCs w:val="20"/>
          <w:highlight w:val="none"/>
        </w:rPr>
        <w:sectPr>
          <w:footerReference r:id="rId7" w:type="first"/>
          <w:footerReference r:id="rId6" w:type="default"/>
          <w:pgSz w:w="11906" w:h="16838"/>
          <w:pgMar w:top="1100" w:right="1418" w:bottom="1458" w:left="1418" w:header="851" w:footer="352" w:gutter="0"/>
          <w:pgNumType w:start="1"/>
          <w:cols w:space="720" w:num="1"/>
          <w:docGrid w:linePitch="312" w:charSpace="0"/>
        </w:sectPr>
      </w:pPr>
    </w:p>
    <w:p w14:paraId="6F122BEB">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p>
    <w:p w14:paraId="3EC97513">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 w:val="24"/>
          <w:highlight w:val="none"/>
        </w:rPr>
      </w:pPr>
      <w:r>
        <w:rPr>
          <w:rFonts w:hint="eastAsia" w:ascii="宋体" w:hAnsi="宋体" w:cs="宋体"/>
          <w:color w:val="auto"/>
          <w:sz w:val="24"/>
          <w:highlight w:val="none"/>
        </w:rPr>
        <w:t>项目概况</w:t>
      </w:r>
    </w:p>
    <w:p w14:paraId="76C473E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浙江省食品药品检验研究院2025年度软硬件运维及机房租赁项目</w:t>
      </w:r>
      <w:r>
        <w:rPr>
          <w:rFonts w:hint="eastAsia" w:ascii="宋体" w:hAnsi="宋体" w:cs="宋体"/>
          <w:color w:val="auto"/>
          <w:sz w:val="24"/>
          <w:highlight w:val="none"/>
        </w:rPr>
        <w:t>招标项目的潜在投标人应在政采云平台线上</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获取（下载）招标文件，并于</w:t>
      </w:r>
      <w:r>
        <w:rPr>
          <w:rStyle w:val="77"/>
          <w:rFonts w:hint="eastAsia" w:ascii="宋体" w:hAnsi="宋体" w:cs="宋体"/>
          <w:snapToGrid/>
          <w:color w:val="auto"/>
          <w:kern w:val="2"/>
          <w:sz w:val="24"/>
          <w:szCs w:val="24"/>
          <w:highlight w:val="none"/>
          <w:lang w:eastAsia="zh-CN"/>
        </w:rPr>
        <w:t>2025年</w:t>
      </w:r>
      <w:r>
        <w:rPr>
          <w:rStyle w:val="77"/>
          <w:rFonts w:hint="eastAsia" w:ascii="宋体" w:hAnsi="宋体" w:eastAsia="宋体" w:cs="宋体"/>
          <w:snapToGrid/>
          <w:color w:val="auto"/>
          <w:kern w:val="2"/>
          <w:sz w:val="24"/>
          <w:szCs w:val="24"/>
          <w:highlight w:val="none"/>
          <w:lang w:eastAsia="zh-CN"/>
        </w:rPr>
        <w:t>7月9日</w:t>
      </w:r>
      <w:r>
        <w:rPr>
          <w:rStyle w:val="77"/>
          <w:rFonts w:hint="eastAsia" w:ascii="宋体" w:hAnsi="宋体" w:eastAsia="黑体" w:cs="宋体"/>
          <w:snapToGrid/>
          <w:color w:val="auto"/>
          <w:kern w:val="2"/>
          <w:sz w:val="24"/>
          <w:szCs w:val="24"/>
          <w:highlight w:val="none"/>
          <w:lang w:eastAsia="zh-CN"/>
        </w:rPr>
        <w:t>09:00</w:t>
      </w:r>
      <w:r>
        <w:rPr>
          <w:rStyle w:val="77"/>
          <w:rFonts w:hint="eastAsia" w:ascii="宋体" w:hAnsi="宋体" w:cs="宋体"/>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59B2565">
      <w:pPr>
        <w:spacing w:line="360" w:lineRule="auto"/>
        <w:rPr>
          <w:rFonts w:ascii="宋体" w:hAnsi="宋体" w:cs="宋体"/>
          <w:b/>
          <w:color w:val="auto"/>
          <w:sz w:val="24"/>
          <w:highlight w:val="none"/>
        </w:rPr>
      </w:pPr>
    </w:p>
    <w:p w14:paraId="6E3BB458">
      <w:pPr>
        <w:spacing w:line="360" w:lineRule="auto"/>
        <w:rPr>
          <w:rFonts w:ascii="宋体" w:hAnsi="宋体" w:cs="宋体"/>
          <w:b/>
          <w:color w:val="auto"/>
          <w:sz w:val="24"/>
          <w:highlight w:val="none"/>
        </w:rPr>
      </w:pPr>
      <w:r>
        <w:rPr>
          <w:rFonts w:hint="eastAsia" w:ascii="宋体" w:hAnsi="宋体" w:cs="宋体"/>
          <w:b/>
          <w:color w:val="auto"/>
          <w:sz w:val="24"/>
          <w:highlight w:val="none"/>
        </w:rPr>
        <w:t>一、项目基本情况</w:t>
      </w:r>
    </w:p>
    <w:p w14:paraId="687C7DEE">
      <w:pPr>
        <w:spacing w:line="360" w:lineRule="auto"/>
        <w:ind w:firstLine="422" w:firstLineChars="175"/>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bCs/>
          <w:color w:val="auto"/>
          <w:sz w:val="24"/>
          <w:highlight w:val="none"/>
          <w:lang w:eastAsia="zh-CN"/>
        </w:rPr>
        <w:t>ZJ-2580232-06</w:t>
      </w:r>
    </w:p>
    <w:p w14:paraId="68A5AF4C">
      <w:pPr>
        <w:spacing w:line="360" w:lineRule="auto"/>
        <w:ind w:firstLine="422" w:firstLineChars="175"/>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bCs/>
          <w:color w:val="auto"/>
          <w:sz w:val="24"/>
          <w:highlight w:val="none"/>
          <w:lang w:eastAsia="zh-CN"/>
        </w:rPr>
        <w:t>浙江省食品药品检验研究院2025年度软硬件运维及机房租赁项目</w:t>
      </w:r>
    </w:p>
    <w:p w14:paraId="1845A1CF">
      <w:pPr>
        <w:spacing w:line="360" w:lineRule="auto"/>
        <w:ind w:firstLine="422" w:firstLineChars="175"/>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预算金额（元）：</w:t>
      </w:r>
      <w:r>
        <w:rPr>
          <w:rFonts w:hint="eastAsia" w:ascii="宋体" w:hAnsi="宋体" w:cs="宋体"/>
          <w:bCs/>
          <w:color w:val="auto"/>
          <w:sz w:val="24"/>
          <w:highlight w:val="none"/>
          <w:lang w:eastAsia="zh-CN"/>
        </w:rPr>
        <w:t>2811100</w:t>
      </w:r>
    </w:p>
    <w:p w14:paraId="453E16C0">
      <w:pPr>
        <w:spacing w:line="360" w:lineRule="auto"/>
        <w:ind w:firstLine="422" w:firstLineChars="175"/>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最高限价（元）：</w:t>
      </w:r>
      <w:r>
        <w:rPr>
          <w:rFonts w:hint="eastAsia" w:ascii="宋体" w:hAnsi="宋体" w:cs="宋体"/>
          <w:bCs/>
          <w:color w:val="auto"/>
          <w:sz w:val="24"/>
          <w:highlight w:val="none"/>
          <w:lang w:eastAsia="zh-CN"/>
        </w:rPr>
        <w:t>2811100</w:t>
      </w:r>
    </w:p>
    <w:p w14:paraId="34507FE4">
      <w:pPr>
        <w:pStyle w:val="16"/>
        <w:spacing w:line="360" w:lineRule="auto"/>
        <w:ind w:firstLine="422" w:firstLineChars="175"/>
        <w:rPr>
          <w:rFonts w:hAnsi="宋体" w:cs="宋体"/>
          <w:b/>
          <w:color w:val="auto"/>
          <w:sz w:val="24"/>
          <w:highlight w:val="none"/>
        </w:rPr>
      </w:pPr>
      <w:r>
        <w:rPr>
          <w:rFonts w:hint="eastAsia" w:hAnsi="宋体" w:cs="宋体"/>
          <w:b/>
          <w:color w:val="auto"/>
          <w:sz w:val="24"/>
          <w:highlight w:val="none"/>
        </w:rPr>
        <w:t>采购需求：</w:t>
      </w:r>
    </w:p>
    <w:p w14:paraId="27E9ED19">
      <w:pPr>
        <w:pStyle w:val="16"/>
        <w:spacing w:line="360" w:lineRule="auto"/>
        <w:ind w:left="420" w:leftChars="200" w:firstLine="422" w:firstLineChars="175"/>
        <w:rPr>
          <w:rFonts w:hAnsi="宋体" w:cs="宋体"/>
          <w:b/>
          <w:color w:val="auto"/>
          <w:sz w:val="24"/>
          <w:highlight w:val="none"/>
        </w:rPr>
      </w:pPr>
    </w:p>
    <w:p w14:paraId="7164ED7F">
      <w:pPr>
        <w:pStyle w:val="16"/>
        <w:spacing w:line="360" w:lineRule="auto"/>
        <w:ind w:left="420" w:leftChars="200" w:firstLine="422" w:firstLineChars="175"/>
        <w:rPr>
          <w:rFonts w:hAnsi="宋体" w:cs="宋体"/>
          <w:b/>
          <w:color w:val="auto"/>
          <w:sz w:val="24"/>
          <w:highlight w:val="none"/>
        </w:rPr>
      </w:pPr>
      <w:r>
        <w:rPr>
          <w:rFonts w:hint="eastAsia" w:hAnsi="宋体" w:cs="宋体"/>
          <w:b/>
          <w:color w:val="auto"/>
          <w:sz w:val="24"/>
          <w:highlight w:val="none"/>
        </w:rPr>
        <w:t>标项一</w:t>
      </w:r>
    </w:p>
    <w:p w14:paraId="2770D468">
      <w:pPr>
        <w:pStyle w:val="16"/>
        <w:spacing w:line="360" w:lineRule="auto"/>
        <w:ind w:left="420" w:leftChars="200" w:firstLine="422" w:firstLineChars="175"/>
        <w:rPr>
          <w:rFonts w:hint="eastAsia" w:hAnsi="宋体" w:eastAsia="宋体" w:cs="宋体"/>
          <w:b/>
          <w:color w:val="auto"/>
          <w:sz w:val="24"/>
          <w:highlight w:val="none"/>
          <w:lang w:eastAsia="zh-CN"/>
        </w:rPr>
      </w:pPr>
      <w:r>
        <w:rPr>
          <w:rFonts w:hint="eastAsia" w:hAnsi="宋体" w:cs="宋体"/>
          <w:b/>
          <w:color w:val="auto"/>
          <w:sz w:val="24"/>
          <w:highlight w:val="none"/>
        </w:rPr>
        <w:t>标项名称：</w:t>
      </w:r>
      <w:r>
        <w:rPr>
          <w:rFonts w:hint="eastAsia" w:hAnsi="宋体" w:cs="宋体"/>
          <w:b/>
          <w:color w:val="auto"/>
          <w:sz w:val="24"/>
          <w:highlight w:val="none"/>
          <w:lang w:eastAsia="zh-CN"/>
        </w:rPr>
        <w:t>浙江省食品药品检验研究院2025年度软硬件运维及机房租赁项目</w:t>
      </w:r>
    </w:p>
    <w:p w14:paraId="58666473">
      <w:pPr>
        <w:pStyle w:val="16"/>
        <w:spacing w:line="360" w:lineRule="auto"/>
        <w:ind w:left="420" w:leftChars="200" w:firstLine="422" w:firstLineChars="175"/>
        <w:rPr>
          <w:rFonts w:hAnsi="宋体" w:cs="宋体"/>
          <w:b/>
          <w:color w:val="auto"/>
          <w:sz w:val="24"/>
          <w:highlight w:val="none"/>
        </w:rPr>
      </w:pPr>
      <w:r>
        <w:rPr>
          <w:rFonts w:hint="eastAsia" w:hAnsi="宋体" w:cs="宋体"/>
          <w:b/>
          <w:color w:val="auto"/>
          <w:sz w:val="24"/>
          <w:highlight w:val="none"/>
        </w:rPr>
        <w:t>数量：</w:t>
      </w:r>
      <w:r>
        <w:rPr>
          <w:rFonts w:hint="eastAsia" w:hAnsi="宋体" w:cs="宋体"/>
          <w:bCs/>
          <w:color w:val="auto"/>
          <w:sz w:val="24"/>
          <w:highlight w:val="none"/>
        </w:rPr>
        <w:t>1</w:t>
      </w:r>
    </w:p>
    <w:p w14:paraId="7B5C09E5">
      <w:pPr>
        <w:pStyle w:val="16"/>
        <w:spacing w:line="360" w:lineRule="auto"/>
        <w:ind w:left="420" w:leftChars="200" w:firstLine="422" w:firstLineChars="175"/>
        <w:rPr>
          <w:rFonts w:hint="eastAsia" w:hAnsi="宋体" w:eastAsia="宋体" w:cs="宋体"/>
          <w:b/>
          <w:color w:val="auto"/>
          <w:sz w:val="24"/>
          <w:highlight w:val="none"/>
          <w:lang w:eastAsia="zh-CN"/>
        </w:rPr>
      </w:pPr>
      <w:r>
        <w:rPr>
          <w:rFonts w:hint="eastAsia" w:hAnsi="宋体" w:cs="宋体"/>
          <w:b/>
          <w:color w:val="auto"/>
          <w:sz w:val="24"/>
          <w:highlight w:val="none"/>
        </w:rPr>
        <w:t>预算金额（元）：</w:t>
      </w:r>
      <w:r>
        <w:rPr>
          <w:rFonts w:hint="eastAsia" w:hAnsi="宋体" w:cs="宋体"/>
          <w:bCs/>
          <w:color w:val="auto"/>
          <w:sz w:val="24"/>
          <w:highlight w:val="none"/>
          <w:lang w:eastAsia="zh-CN"/>
        </w:rPr>
        <w:t>2811100</w:t>
      </w:r>
    </w:p>
    <w:p w14:paraId="2A88C6A5">
      <w:pPr>
        <w:pStyle w:val="16"/>
        <w:spacing w:line="360" w:lineRule="auto"/>
        <w:ind w:left="420" w:leftChars="200" w:firstLine="422" w:firstLineChars="175"/>
        <w:rPr>
          <w:rFonts w:hAnsi="宋体" w:cs="宋体"/>
          <w:bCs/>
          <w:snapToGrid/>
          <w:color w:val="auto"/>
          <w:kern w:val="2"/>
          <w:sz w:val="24"/>
          <w:szCs w:val="24"/>
          <w:highlight w:val="none"/>
        </w:rPr>
      </w:pPr>
      <w:r>
        <w:rPr>
          <w:rFonts w:hint="eastAsia" w:hAnsi="宋体" w:cs="宋体"/>
          <w:b/>
          <w:color w:val="auto"/>
          <w:sz w:val="24"/>
          <w:highlight w:val="none"/>
        </w:rPr>
        <w:t>简要规格描述或项目基本概况介绍、用途：</w:t>
      </w:r>
      <w:r>
        <w:rPr>
          <w:rFonts w:hint="eastAsia" w:hAnsi="宋体" w:cs="宋体"/>
          <w:b w:val="0"/>
          <w:bCs/>
          <w:color w:val="auto"/>
          <w:sz w:val="24"/>
          <w:highlight w:val="none"/>
        </w:rPr>
        <w:t>本次项目</w:t>
      </w:r>
      <w:r>
        <w:rPr>
          <w:rFonts w:hint="eastAsia" w:hAnsi="宋体" w:cs="宋体"/>
          <w:b w:val="0"/>
          <w:bCs/>
          <w:color w:val="auto"/>
          <w:sz w:val="24"/>
          <w:highlight w:val="none"/>
          <w:lang w:val="en-US" w:eastAsia="zh-CN"/>
        </w:rPr>
        <w:t>服务</w:t>
      </w:r>
      <w:r>
        <w:rPr>
          <w:rFonts w:hint="eastAsia" w:hAnsi="宋体" w:cs="宋体"/>
          <w:b w:val="0"/>
          <w:bCs/>
          <w:color w:val="auto"/>
          <w:sz w:val="24"/>
          <w:highlight w:val="none"/>
        </w:rPr>
        <w:t>内容分为软件运维，IDC机房租赁及安全，终端运维三部分</w:t>
      </w:r>
      <w:r>
        <w:rPr>
          <w:rFonts w:hint="eastAsia" w:hAnsi="宋体" w:cs="宋体"/>
          <w:bCs/>
          <w:color w:val="auto"/>
          <w:sz w:val="24"/>
          <w:highlight w:val="none"/>
          <w:lang w:eastAsia="zh-CN"/>
        </w:rPr>
        <w:t>；</w:t>
      </w:r>
      <w:r>
        <w:rPr>
          <w:rFonts w:hint="eastAsia" w:hAnsi="宋体" w:cs="宋体"/>
          <w:snapToGrid/>
          <w:color w:val="auto"/>
          <w:kern w:val="2"/>
          <w:sz w:val="24"/>
          <w:szCs w:val="24"/>
          <w:highlight w:val="none"/>
        </w:rPr>
        <w:t>具体以招标文件第三部分采购需求为准。供应商可点击本公告下方“浏览采购文件”查看采购需求。</w:t>
      </w:r>
    </w:p>
    <w:p w14:paraId="464A0ADB">
      <w:pPr>
        <w:pStyle w:val="141"/>
        <w:spacing w:before="0"/>
        <w:ind w:left="420" w:leftChars="200" w:firstLine="422" w:firstLineChars="175"/>
        <w:outlineLvl w:val="2"/>
        <w:rPr>
          <w:rFonts w:ascii="宋体" w:hAnsi="宋体" w:cs="宋体"/>
          <w:b/>
          <w:color w:val="auto"/>
          <w:highlight w:val="none"/>
        </w:rPr>
      </w:pPr>
      <w:r>
        <w:rPr>
          <w:rFonts w:hint="eastAsia" w:ascii="宋体" w:hAnsi="宋体" w:cs="宋体"/>
          <w:b/>
          <w:color w:val="auto"/>
          <w:highlight w:val="none"/>
        </w:rPr>
        <w:t>备注：/</w:t>
      </w:r>
    </w:p>
    <w:p w14:paraId="493F1E51">
      <w:pPr>
        <w:pStyle w:val="141"/>
        <w:spacing w:before="0"/>
        <w:ind w:firstLine="482"/>
        <w:outlineLvl w:val="2"/>
        <w:rPr>
          <w:rFonts w:ascii="宋体" w:hAnsi="宋体" w:cs="宋体"/>
          <w:b/>
          <w:color w:val="auto"/>
          <w:highlight w:val="none"/>
        </w:rPr>
      </w:pPr>
    </w:p>
    <w:p w14:paraId="38DAEB6D">
      <w:pPr>
        <w:pStyle w:val="141"/>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color w:val="auto"/>
          <w:highlight w:val="none"/>
        </w:rPr>
        <w:t>标项1，详见采购文件。</w:t>
      </w:r>
    </w:p>
    <w:p w14:paraId="7F937455">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本项目（是）接受联合体投标。</w:t>
      </w:r>
    </w:p>
    <w:p w14:paraId="6B2173B5">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CE7F8F0">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A34B263">
      <w:pPr>
        <w:spacing w:line="360" w:lineRule="auto"/>
        <w:ind w:firstLine="480" w:firstLineChars="200"/>
        <w:rPr>
          <w:rFonts w:ascii="宋体" w:hAnsi="宋体" w:cs="宋体"/>
          <w:color w:val="auto"/>
          <w:sz w:val="24"/>
          <w:highlight w:val="none"/>
          <w:shd w:val="clear" w:color="auto" w:fill="FFFFFF"/>
        </w:rPr>
      </w:pPr>
      <w:r>
        <w:rPr>
          <w:rFonts w:ascii="宋体" w:hAnsi="宋体" w:cs="宋体"/>
          <w:snapToGrid w:val="0"/>
          <w:color w:val="auto"/>
          <w:kern w:val="28"/>
          <w:sz w:val="24"/>
          <w:szCs w:val="20"/>
          <w:highlight w:val="none"/>
        </w:rPr>
        <w:t>2.落实政府采购政策需满足的资格要求：标项1：</w:t>
      </w:r>
      <w:r>
        <w:rPr>
          <w:rFonts w:hint="eastAsia" w:ascii="宋体" w:hAnsi="宋体" w:cs="宋体"/>
          <w:color w:val="auto"/>
          <w:sz w:val="24"/>
          <w:highlight w:val="none"/>
          <w:shd w:val="clear" w:color="auto" w:fill="FFFFFF"/>
        </w:rPr>
        <w:t>本项目预算总额的</w:t>
      </w:r>
      <w:r>
        <w:rPr>
          <w:rFonts w:hint="eastAsia" w:ascii="宋体" w:hAnsi="宋体" w:cs="宋体"/>
          <w:color w:val="auto"/>
          <w:sz w:val="24"/>
          <w:highlight w:val="none"/>
          <w:shd w:val="clear" w:color="auto" w:fill="FFFFFF"/>
          <w:lang w:val="en-US" w:eastAsia="zh-CN"/>
        </w:rPr>
        <w:t>4</w:t>
      </w:r>
      <w:r>
        <w:rPr>
          <w:rFonts w:hint="eastAsia" w:ascii="宋体" w:hAnsi="宋体" w:cs="宋体"/>
          <w:color w:val="auto"/>
          <w:sz w:val="24"/>
          <w:highlight w:val="none"/>
          <w:shd w:val="clear" w:color="auto" w:fill="FFFFFF"/>
        </w:rPr>
        <w:t>0%以上专门面向中小企业采购，其中预留给小微企业的比例不低于预留部分70%</w:t>
      </w:r>
      <w:r>
        <w:rPr>
          <w:rFonts w:hint="eastAsia" w:ascii="宋体" w:hAnsi="宋体" w:cs="宋体"/>
          <w:snapToGrid w:val="0"/>
          <w:color w:val="auto"/>
          <w:kern w:val="28"/>
          <w:sz w:val="24"/>
          <w:szCs w:val="20"/>
          <w:highlight w:val="none"/>
        </w:rPr>
        <w:t>。</w:t>
      </w:r>
      <w:r>
        <w:rPr>
          <w:rFonts w:hint="eastAsia" w:ascii="宋体" w:hAnsi="宋体" w:cs="宋体"/>
          <w:color w:val="auto"/>
          <w:sz w:val="24"/>
          <w:highlight w:val="none"/>
          <w:shd w:val="clear" w:color="auto" w:fill="FFFFFF"/>
        </w:rPr>
        <w:t>预留份额通过下列措施之一进行：</w:t>
      </w:r>
    </w:p>
    <w:p w14:paraId="462465BD">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2.1供应商以联合体形式参加的，提供联合协议和中小企业声明函</w:t>
      </w:r>
      <w:r>
        <w:rPr>
          <w:rFonts w:hint="eastAsia" w:ascii="宋体" w:hAnsi="宋体" w:cs="宋体"/>
          <w:color w:val="auto"/>
          <w:sz w:val="24"/>
          <w:highlight w:val="none"/>
          <w:shd w:val="clear" w:color="auto" w:fill="FFFFFF"/>
          <w:lang w:eastAsia="zh-CN"/>
        </w:rPr>
        <w:t>；</w:t>
      </w:r>
      <w:r>
        <w:rPr>
          <w:rFonts w:hint="eastAsia" w:ascii="宋体" w:hAnsi="宋体" w:cs="宋体"/>
          <w:color w:val="auto"/>
          <w:sz w:val="24"/>
          <w:highlight w:val="none"/>
          <w:shd w:val="clear" w:color="auto" w:fill="FFFFFF"/>
        </w:rPr>
        <w:t>联合协议中</w:t>
      </w:r>
      <w:r>
        <w:rPr>
          <w:rFonts w:hint="eastAsia" w:ascii="宋体" w:hAnsi="宋体" w:cs="宋体"/>
          <w:color w:val="auto"/>
          <w:sz w:val="24"/>
          <w:highlight w:val="none"/>
          <w:shd w:val="clear" w:color="auto" w:fill="FFFFFF"/>
          <w:lang w:val="en-US" w:eastAsia="zh-CN"/>
        </w:rPr>
        <w:t>的</w:t>
      </w:r>
      <w:r>
        <w:rPr>
          <w:rFonts w:hint="eastAsia" w:ascii="宋体" w:hAnsi="宋体" w:cs="宋体"/>
          <w:color w:val="auto"/>
          <w:sz w:val="24"/>
          <w:highlight w:val="none"/>
          <w:shd w:val="clear" w:color="auto" w:fill="FFFFFF"/>
        </w:rPr>
        <w:t>中小微企业合同金额应当≥</w:t>
      </w:r>
      <w:r>
        <w:rPr>
          <w:rFonts w:hint="eastAsia" w:ascii="宋体" w:hAnsi="宋体" w:cs="宋体"/>
          <w:color w:val="auto"/>
          <w:sz w:val="24"/>
          <w:highlight w:val="none"/>
          <w:shd w:val="clear" w:color="auto" w:fill="FFFFFF"/>
          <w:lang w:val="en-US" w:eastAsia="zh-CN"/>
        </w:rPr>
        <w:t>4</w:t>
      </w:r>
      <w:r>
        <w:rPr>
          <w:rFonts w:hint="eastAsia" w:ascii="宋体" w:hAnsi="宋体" w:cs="宋体"/>
          <w:color w:val="auto"/>
          <w:sz w:val="24"/>
          <w:highlight w:val="none"/>
          <w:shd w:val="clear" w:color="auto" w:fill="FFFFFF"/>
        </w:rPr>
        <w:t>0%，其中小微企业合同金额应≥预留部分70%</w:t>
      </w:r>
      <w:r>
        <w:rPr>
          <w:rFonts w:hint="eastAsia" w:ascii="宋体" w:hAnsi="宋体" w:cs="宋体"/>
          <w:color w:val="auto"/>
          <w:sz w:val="24"/>
          <w:highlight w:val="none"/>
          <w:shd w:val="clear" w:color="auto" w:fill="FFFFFF"/>
          <w:lang w:eastAsia="zh-CN"/>
        </w:rPr>
        <w:t>。</w:t>
      </w:r>
    </w:p>
    <w:p w14:paraId="01182B92">
      <w:pPr>
        <w:spacing w:line="360" w:lineRule="auto"/>
        <w:ind w:firstLine="480" w:firstLineChars="200"/>
        <w:rPr>
          <w:rFonts w:hint="eastAsia" w:eastAsia="宋体"/>
          <w:color w:val="auto"/>
          <w:highlight w:val="none"/>
          <w:lang w:eastAsia="zh-CN"/>
        </w:rPr>
      </w:pPr>
      <w:r>
        <w:rPr>
          <w:rFonts w:hint="eastAsia" w:ascii="宋体" w:hAnsi="宋体" w:cs="宋体"/>
          <w:color w:val="auto"/>
          <w:sz w:val="24"/>
          <w:highlight w:val="none"/>
          <w:shd w:val="clear" w:color="auto" w:fill="FFFFFF"/>
        </w:rPr>
        <w:t>2.2供应商以合同分包形式参加的，提供分包意向协议和中小企业声明函</w:t>
      </w:r>
      <w:r>
        <w:rPr>
          <w:rFonts w:hint="eastAsia" w:ascii="宋体" w:hAnsi="宋体" w:cs="宋体"/>
          <w:color w:val="auto"/>
          <w:sz w:val="24"/>
          <w:highlight w:val="none"/>
          <w:shd w:val="clear" w:color="auto" w:fill="FFFFFF"/>
          <w:lang w:eastAsia="zh-CN"/>
        </w:rPr>
        <w:t>；</w:t>
      </w:r>
      <w:r>
        <w:rPr>
          <w:rFonts w:hint="eastAsia" w:ascii="宋体" w:hAnsi="宋体" w:cs="宋体"/>
          <w:color w:val="auto"/>
          <w:sz w:val="24"/>
          <w:highlight w:val="none"/>
          <w:shd w:val="clear" w:color="auto" w:fill="FFFFFF"/>
        </w:rPr>
        <w:t>分包意向协议中</w:t>
      </w:r>
      <w:r>
        <w:rPr>
          <w:rFonts w:hint="eastAsia" w:ascii="宋体" w:hAnsi="宋体" w:cs="宋体"/>
          <w:color w:val="auto"/>
          <w:sz w:val="24"/>
          <w:highlight w:val="none"/>
          <w:shd w:val="clear" w:color="auto" w:fill="FFFFFF"/>
          <w:lang w:val="en-US" w:eastAsia="zh-CN"/>
        </w:rPr>
        <w:t>的</w:t>
      </w:r>
      <w:r>
        <w:rPr>
          <w:rFonts w:hint="eastAsia" w:ascii="宋体" w:hAnsi="宋体" w:cs="宋体"/>
          <w:color w:val="auto"/>
          <w:sz w:val="24"/>
          <w:highlight w:val="none"/>
          <w:shd w:val="clear" w:color="auto" w:fill="FFFFFF"/>
        </w:rPr>
        <w:t>中小微企业合同金额应当≥</w:t>
      </w:r>
      <w:r>
        <w:rPr>
          <w:rFonts w:hint="eastAsia" w:ascii="宋体" w:hAnsi="宋体" w:cs="宋体"/>
          <w:color w:val="auto"/>
          <w:sz w:val="24"/>
          <w:highlight w:val="none"/>
          <w:shd w:val="clear" w:color="auto" w:fill="FFFFFF"/>
          <w:lang w:val="en-US" w:eastAsia="zh-CN"/>
        </w:rPr>
        <w:t>4</w:t>
      </w:r>
      <w:r>
        <w:rPr>
          <w:rFonts w:hint="eastAsia" w:ascii="宋体" w:hAnsi="宋体" w:cs="宋体"/>
          <w:color w:val="auto"/>
          <w:sz w:val="24"/>
          <w:highlight w:val="none"/>
          <w:shd w:val="clear" w:color="auto" w:fill="FFFFFF"/>
        </w:rPr>
        <w:t>0%，其中小微企业合同金额应≥预留部分70%</w:t>
      </w:r>
      <w:r>
        <w:rPr>
          <w:rFonts w:hint="eastAsia" w:ascii="宋体" w:hAnsi="宋体" w:cs="宋体"/>
          <w:color w:val="auto"/>
          <w:sz w:val="24"/>
          <w:highlight w:val="none"/>
          <w:shd w:val="clear" w:color="auto" w:fill="FFFFFF"/>
          <w:lang w:eastAsia="zh-CN"/>
        </w:rPr>
        <w:t>。</w:t>
      </w:r>
    </w:p>
    <w:p w14:paraId="0C926B0D">
      <w:pPr>
        <w:pStyle w:val="2"/>
        <w:ind w:firstLine="480" w:firstLineChars="200"/>
        <w:rPr>
          <w:rFonts w:hint="default" w:eastAsia="宋体"/>
          <w:color w:val="auto"/>
          <w:highlight w:val="none"/>
          <w:lang w:val="en-US" w:eastAsia="zh-CN"/>
        </w:rPr>
      </w:pPr>
      <w:r>
        <w:rPr>
          <w:rFonts w:hint="eastAsia"/>
          <w:color w:val="auto"/>
          <w:highlight w:val="none"/>
          <w:lang w:val="en-US" w:eastAsia="zh-CN"/>
        </w:rPr>
        <w:t>2.3供应商单独参加的，</w:t>
      </w:r>
      <w:r>
        <w:rPr>
          <w:rFonts w:hint="eastAsia" w:ascii="宋体" w:hAnsi="宋体" w:cs="宋体"/>
          <w:color w:val="auto"/>
          <w:sz w:val="24"/>
          <w:highlight w:val="none"/>
          <w:shd w:val="clear" w:color="auto" w:fill="FFFFFF"/>
        </w:rPr>
        <w:t>供应商本身提供所有标的均由</w:t>
      </w:r>
      <w:r>
        <w:rPr>
          <w:rFonts w:hint="eastAsia" w:hAnsi="宋体" w:cs="宋体"/>
          <w:color w:val="auto"/>
          <w:sz w:val="24"/>
          <w:highlight w:val="none"/>
          <w:shd w:val="clear" w:color="auto" w:fill="FFFFFF"/>
          <w:lang w:val="en-US" w:eastAsia="zh-CN"/>
        </w:rPr>
        <w:t>小微</w:t>
      </w:r>
      <w:r>
        <w:rPr>
          <w:rFonts w:hint="eastAsia" w:ascii="宋体" w:hAnsi="宋体" w:cs="宋体"/>
          <w:color w:val="auto"/>
          <w:sz w:val="24"/>
          <w:highlight w:val="none"/>
          <w:shd w:val="clear" w:color="auto" w:fill="FFFFFF"/>
        </w:rPr>
        <w:t>企业承接的，提供中小企业声明函，视同符合了资格条件。</w:t>
      </w:r>
    </w:p>
    <w:p w14:paraId="7B57A8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3.本项目的特定资格要求：无。</w:t>
      </w:r>
    </w:p>
    <w:p w14:paraId="6A55BF8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7A35742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eastAsia="zh-CN"/>
        </w:rPr>
        <w:t>7月9日</w:t>
      </w:r>
      <w:r>
        <w:rPr>
          <w:rFonts w:hint="eastAsia" w:ascii="宋体" w:hAnsi="宋体" w:cs="宋体"/>
          <w:color w:val="auto"/>
          <w:sz w:val="24"/>
          <w:highlight w:val="none"/>
        </w:rPr>
        <w:t>，每天上午00:00至12:00 ，下午12:00至23:59（北京时间，线上获取法定节假日均可，线下获取文件法定节假日除外）</w:t>
      </w:r>
    </w:p>
    <w:p w14:paraId="10BE283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355B3F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bCs/>
          <w:color w:val="auto"/>
          <w:sz w:val="24"/>
          <w:highlight w:val="none"/>
        </w:rPr>
        <w:t>供应商通过“浙江政府采购网”在线获取（招标公告下方选取“潜在供应商”处“获取采购文件”），不提供纸质版采购文件；供应商只有在“浙江政府采购网”完成获取采购文件申请并下载了采购文件后才视作依法获取采购文件（法律法规所指的供应商获取采购文件时间以供应商完成获取采购文件申请后下载采购文件的时间为准）。</w:t>
      </w:r>
    </w:p>
    <w:p w14:paraId="2DA4370C">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20CB73F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eastAsia="zh-CN"/>
        </w:rPr>
        <w:t>7月9日09:00</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49A06E44">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278105A">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eastAsia="zh-CN"/>
        </w:rPr>
        <w:t>7月9日09:00</w:t>
      </w:r>
      <w:r>
        <w:rPr>
          <w:rFonts w:hint="eastAsia" w:ascii="宋体" w:hAnsi="宋体" w:cs="宋体"/>
          <w:bCs/>
          <w:color w:val="auto"/>
          <w:sz w:val="24"/>
          <w:highlight w:val="none"/>
          <w:u w:val="single"/>
        </w:rPr>
        <w:t xml:space="preserve">  </w:t>
      </w:r>
    </w:p>
    <w:p w14:paraId="3FF8042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2EAF117B">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75AE13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00A446B6">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A5069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4E3EC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7D00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6A542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104C380">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8F33A0A">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1.采购人信息</w:t>
      </w:r>
    </w:p>
    <w:p w14:paraId="162EF207">
      <w:pPr>
        <w:spacing w:line="360" w:lineRule="auto"/>
        <w:ind w:firstLine="420" w:firstLineChars="175"/>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浙江省食品药品检验研究院</w:t>
      </w:r>
    </w:p>
    <w:p w14:paraId="056DBB68">
      <w:pPr>
        <w:spacing w:line="360" w:lineRule="auto"/>
        <w:ind w:firstLine="420" w:firstLineChars="175"/>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杭州市滨江区平乐街325号</w:t>
      </w:r>
    </w:p>
    <w:p w14:paraId="2E973216">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传真：/</w:t>
      </w:r>
    </w:p>
    <w:p w14:paraId="637F6AE6">
      <w:pPr>
        <w:spacing w:line="360" w:lineRule="auto"/>
        <w:ind w:firstLine="420" w:firstLineChars="175"/>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周老师</w:t>
      </w:r>
    </w:p>
    <w:p w14:paraId="6688CDBA">
      <w:pPr>
        <w:spacing w:line="360" w:lineRule="auto"/>
        <w:ind w:firstLine="420" w:firstLineChars="175"/>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0571-87180326</w:t>
      </w:r>
    </w:p>
    <w:p w14:paraId="3FC47172">
      <w:pPr>
        <w:spacing w:line="360" w:lineRule="auto"/>
        <w:ind w:firstLine="420" w:firstLineChars="175"/>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陈老师</w:t>
      </w:r>
    </w:p>
    <w:p w14:paraId="6C9F6A9F">
      <w:pPr>
        <w:spacing w:line="360" w:lineRule="auto"/>
        <w:ind w:firstLine="420" w:firstLineChars="175"/>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0571-87180396</w:t>
      </w:r>
    </w:p>
    <w:p w14:paraId="301E2EB1">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2.采购代理机构信息</w:t>
      </w:r>
    </w:p>
    <w:p w14:paraId="65BA7F82">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名称：浙江国际招投标有限公司</w:t>
      </w:r>
    </w:p>
    <w:p w14:paraId="192D4E9C">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地址：杭州市西湖区文三路90号东部软件园1号楼3楼</w:t>
      </w:r>
    </w:p>
    <w:p w14:paraId="0A61ED2D">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传真：0571-88473430</w:t>
      </w:r>
    </w:p>
    <w:p w14:paraId="60CA518B">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项目联系人（询问）：周群峰、易芳明、夏逸云</w:t>
      </w:r>
    </w:p>
    <w:p w14:paraId="0248EFAB">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项目联系方式（询问）：0571-81061804、0571-81061820</w:t>
      </w:r>
    </w:p>
    <w:p w14:paraId="29966706">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质疑联系人：葛珍妮</w:t>
      </w:r>
    </w:p>
    <w:p w14:paraId="16DDA7C3">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质疑联系方式：0571-81061821</w:t>
      </w:r>
    </w:p>
    <w:p w14:paraId="6F12CC9A">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3.同级政府采购监督管理部门</w:t>
      </w:r>
    </w:p>
    <w:p w14:paraId="3C5477D4">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名称：浙江省政府采购行政裁决服务中心（杭州市上城区清泰街549号城建综合大楼11楼）</w:t>
      </w:r>
    </w:p>
    <w:p w14:paraId="6EB8BED8">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地址：杭州市上城区清泰街549号城建综合大楼11楼</w:t>
      </w:r>
    </w:p>
    <w:p w14:paraId="05B113BC">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传真：/</w:t>
      </w:r>
    </w:p>
    <w:p w14:paraId="7E243283">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联系人：匡老师</w:t>
      </w:r>
    </w:p>
    <w:p w14:paraId="530D07C3">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监督投诉电话：0571-87807798</w:t>
      </w:r>
    </w:p>
    <w:p w14:paraId="0269D514">
      <w:pPr>
        <w:spacing w:line="360" w:lineRule="auto"/>
        <w:ind w:firstLine="420" w:firstLineChars="175"/>
        <w:rPr>
          <w:rFonts w:ascii="宋体" w:hAnsi="宋体" w:cs="宋体"/>
          <w:color w:val="auto"/>
          <w:sz w:val="24"/>
          <w:highlight w:val="none"/>
        </w:rPr>
      </w:pPr>
    </w:p>
    <w:p w14:paraId="4547009F">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政策咨询：何一平、冯华，0571-87058424、87055741</w:t>
      </w:r>
    </w:p>
    <w:p w14:paraId="3CE25AA1">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预算金额未达100万元的采购项目，由采购人处理采购争议。</w:t>
      </w:r>
    </w:p>
    <w:p w14:paraId="48830188">
      <w:pPr>
        <w:spacing w:line="360" w:lineRule="auto"/>
        <w:ind w:firstLine="420" w:firstLineChars="175"/>
        <w:rPr>
          <w:rFonts w:ascii="宋体" w:hAnsi="宋体" w:cs="宋体"/>
          <w:color w:val="auto"/>
          <w:sz w:val="24"/>
          <w:highlight w:val="none"/>
        </w:rPr>
      </w:pPr>
    </w:p>
    <w:p w14:paraId="1C661365">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CB219C8">
      <w:pPr>
        <w:spacing w:line="360" w:lineRule="auto"/>
        <w:ind w:firstLine="420" w:firstLineChars="175"/>
        <w:rPr>
          <w:rFonts w:ascii="宋体" w:hAnsi="宋体" w:cs="宋体"/>
          <w:b/>
          <w:color w:val="auto"/>
          <w:sz w:val="36"/>
          <w:szCs w:val="20"/>
          <w:highlight w:val="none"/>
        </w:rPr>
      </w:pPr>
      <w:r>
        <w:rPr>
          <w:rFonts w:hint="eastAsia" w:ascii="宋体" w:hAnsi="宋体" w:cs="宋体"/>
          <w:color w:val="auto"/>
          <w:sz w:val="24"/>
          <w:highlight w:val="none"/>
        </w:rPr>
        <w:t>CA问题联系电话（人工）：汇信CA 400-888-4636；天谷CA 400-087-8198。</w:t>
      </w:r>
      <w:r>
        <w:rPr>
          <w:rFonts w:hint="eastAsia" w:ascii="宋体" w:hAnsi="宋体" w:cs="宋体"/>
          <w:b/>
          <w:color w:val="auto"/>
          <w:sz w:val="36"/>
          <w:szCs w:val="20"/>
          <w:highlight w:val="none"/>
        </w:rPr>
        <w:br w:type="page"/>
      </w:r>
    </w:p>
    <w:p w14:paraId="5FD85577">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4"/>
      <w:r>
        <w:rPr>
          <w:rFonts w:hint="eastAsia" w:ascii="宋体" w:hAnsi="宋体" w:cs="宋体"/>
          <w:b/>
          <w:color w:val="auto"/>
          <w:sz w:val="36"/>
          <w:szCs w:val="20"/>
          <w:highlight w:val="none"/>
        </w:rPr>
        <w:t xml:space="preserve"> 投标人须知</w:t>
      </w:r>
      <w:bookmarkEnd w:id="5"/>
    </w:p>
    <w:p w14:paraId="6208F8DF">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302" w:type="dxa"/>
        <w:tblInd w:w="-13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473"/>
        <w:gridCol w:w="7200"/>
      </w:tblGrid>
      <w:tr w14:paraId="0E77F0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6" w:hRule="atLeast"/>
          <w:tblHeader/>
        </w:trPr>
        <w:tc>
          <w:tcPr>
            <w:tcW w:w="629" w:type="dxa"/>
            <w:tcBorders>
              <w:top w:val="single" w:color="auto" w:sz="4" w:space="0"/>
              <w:left w:val="single" w:color="auto" w:sz="4" w:space="0"/>
              <w:bottom w:val="single" w:color="auto" w:sz="4" w:space="0"/>
              <w:right w:val="single" w:color="auto" w:sz="4" w:space="0"/>
            </w:tcBorders>
          </w:tcPr>
          <w:p w14:paraId="741B0290">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473" w:type="dxa"/>
            <w:tcBorders>
              <w:top w:val="single" w:color="000000" w:sz="8" w:space="0"/>
              <w:left w:val="single" w:color="auto" w:sz="4" w:space="0"/>
              <w:bottom w:val="single" w:color="000000" w:sz="8" w:space="0"/>
              <w:right w:val="single" w:color="000000" w:sz="8" w:space="0"/>
            </w:tcBorders>
            <w:vAlign w:val="center"/>
          </w:tcPr>
          <w:p w14:paraId="1EDDB416">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事项</w:t>
            </w:r>
          </w:p>
        </w:tc>
        <w:tc>
          <w:tcPr>
            <w:tcW w:w="7200" w:type="dxa"/>
            <w:tcBorders>
              <w:top w:val="single" w:color="000000" w:sz="8" w:space="0"/>
              <w:left w:val="single" w:color="000000" w:sz="2" w:space="0"/>
              <w:bottom w:val="single" w:color="000000" w:sz="8" w:space="0"/>
              <w:right w:val="single" w:color="000000" w:sz="8" w:space="0"/>
            </w:tcBorders>
            <w:vAlign w:val="center"/>
          </w:tcPr>
          <w:p w14:paraId="1CBA586F">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本项目的特别规定</w:t>
            </w:r>
          </w:p>
        </w:tc>
      </w:tr>
      <w:tr w14:paraId="7E327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8F8FD9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73" w:type="dxa"/>
            <w:tcBorders>
              <w:top w:val="single" w:color="000000" w:sz="8" w:space="0"/>
              <w:left w:val="single" w:color="auto" w:sz="4" w:space="0"/>
              <w:bottom w:val="single" w:color="000000" w:sz="8" w:space="0"/>
              <w:right w:val="single" w:color="000000" w:sz="8" w:space="0"/>
            </w:tcBorders>
            <w:vAlign w:val="center"/>
          </w:tcPr>
          <w:p w14:paraId="22D731FC">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项目属性</w:t>
            </w:r>
          </w:p>
        </w:tc>
        <w:tc>
          <w:tcPr>
            <w:tcW w:w="7200" w:type="dxa"/>
            <w:tcBorders>
              <w:top w:val="single" w:color="000000" w:sz="8" w:space="0"/>
              <w:left w:val="single" w:color="000000" w:sz="2" w:space="0"/>
              <w:bottom w:val="single" w:color="000000" w:sz="8" w:space="0"/>
              <w:right w:val="single" w:color="000000" w:sz="8" w:space="0"/>
            </w:tcBorders>
            <w:vAlign w:val="center"/>
          </w:tcPr>
          <w:p w14:paraId="439AB2C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服务类。</w:t>
            </w:r>
          </w:p>
        </w:tc>
      </w:tr>
      <w:tr w14:paraId="06D41D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0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4D8A44C">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73" w:type="dxa"/>
            <w:tcBorders>
              <w:top w:val="single" w:color="000000" w:sz="8" w:space="0"/>
              <w:left w:val="single" w:color="auto" w:sz="4" w:space="0"/>
              <w:bottom w:val="single" w:color="000000" w:sz="8" w:space="0"/>
              <w:right w:val="single" w:color="000000" w:sz="8" w:space="0"/>
            </w:tcBorders>
            <w:vAlign w:val="center"/>
          </w:tcPr>
          <w:p w14:paraId="12CA3A1F">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采购标的及其对应的中小企业划分标准所属行业</w:t>
            </w:r>
          </w:p>
        </w:tc>
        <w:tc>
          <w:tcPr>
            <w:tcW w:w="7200" w:type="dxa"/>
            <w:tcBorders>
              <w:top w:val="single" w:color="000000" w:sz="8" w:space="0"/>
              <w:left w:val="single" w:color="000000" w:sz="2" w:space="0"/>
              <w:bottom w:val="single" w:color="000000" w:sz="8" w:space="0"/>
              <w:right w:val="single" w:color="000000" w:sz="8" w:space="0"/>
            </w:tcBorders>
            <w:vAlign w:val="center"/>
          </w:tcPr>
          <w:p w14:paraId="061A03FC">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（1）标的：</w:t>
            </w:r>
            <w:r>
              <w:rPr>
                <w:rFonts w:hint="eastAsia" w:ascii="宋体" w:hAnsi="宋体" w:eastAsia="宋体" w:cs="宋体"/>
                <w:color w:val="auto"/>
                <w:kern w:val="0"/>
                <w:sz w:val="24"/>
                <w:szCs w:val="24"/>
                <w:highlight w:val="none"/>
                <w:u w:val="single"/>
                <w:lang w:eastAsia="zh-CN"/>
              </w:rPr>
              <w:t>浙江省食品药品检验研究院2025年度软硬件运维及机房租赁项目</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 xml:space="preserve">软件和信息技术服务业 </w:t>
            </w:r>
            <w:r>
              <w:rPr>
                <w:rFonts w:hint="eastAsia" w:ascii="宋体" w:hAnsi="宋体" w:eastAsia="宋体" w:cs="宋体"/>
                <w:color w:val="auto"/>
                <w:kern w:val="0"/>
                <w:sz w:val="24"/>
                <w:szCs w:val="24"/>
                <w:highlight w:val="none"/>
              </w:rPr>
              <w:t>行业；</w:t>
            </w:r>
          </w:p>
          <w:p w14:paraId="1CADD67A">
            <w:pPr>
              <w:pStyle w:val="4"/>
              <w:ind w:left="0" w:firstLine="0"/>
              <w:rPr>
                <w:rFonts w:hint="eastAsia" w:ascii="宋体" w:hAnsi="宋体" w:eastAsia="宋体" w:cs="宋体"/>
                <w:color w:val="auto"/>
                <w:sz w:val="24"/>
                <w:szCs w:val="24"/>
                <w:highlight w:val="none"/>
                <w:lang w:val="en-US"/>
              </w:rPr>
            </w:pPr>
            <w:r>
              <w:rPr>
                <w:rFonts w:hint="eastAsia" w:ascii="宋体" w:hAnsi="宋体" w:eastAsia="宋体" w:cs="宋体"/>
                <w:b w:val="0"/>
                <w:bCs w:val="0"/>
                <w:color w:val="auto"/>
                <w:kern w:val="0"/>
                <w:sz w:val="24"/>
                <w:szCs w:val="24"/>
                <w:highlight w:val="none"/>
                <w:lang w:val="en-US"/>
              </w:rPr>
              <w:t>（2）根据《关于印发中小企业划型标准规定的通知》（工信部联企业〔2011〕300）第四条第（二）项规定：软件和信息技术服务业行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4F90F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A5D886">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73" w:type="dxa"/>
            <w:tcBorders>
              <w:top w:val="single" w:color="000000" w:sz="8" w:space="0"/>
              <w:left w:val="single" w:color="auto" w:sz="4" w:space="0"/>
              <w:bottom w:val="single" w:color="000000" w:sz="8" w:space="0"/>
              <w:right w:val="single" w:color="000000" w:sz="8" w:space="0"/>
            </w:tcBorders>
            <w:vAlign w:val="center"/>
          </w:tcPr>
          <w:p w14:paraId="409B3305">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是否允许采购进口产品</w:t>
            </w:r>
          </w:p>
        </w:tc>
        <w:tc>
          <w:tcPr>
            <w:tcW w:w="7200" w:type="dxa"/>
            <w:tcBorders>
              <w:top w:val="single" w:color="000000" w:sz="8" w:space="0"/>
              <w:left w:val="single" w:color="000000" w:sz="2" w:space="0"/>
              <w:bottom w:val="single" w:color="000000" w:sz="8" w:space="0"/>
              <w:right w:val="single" w:color="000000" w:sz="8" w:space="0"/>
            </w:tcBorders>
            <w:vAlign w:val="center"/>
          </w:tcPr>
          <w:p w14:paraId="352F2F40">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bCs/>
                <w:snapToGrid w:val="0"/>
                <w:color w:val="auto"/>
                <w:kern w:val="28"/>
                <w:sz w:val="24"/>
                <w:szCs w:val="24"/>
                <w:highlight w:val="none"/>
              </w:rPr>
              <w:t xml:space="preserve">√ </w:t>
            </w:r>
            <w:r>
              <w:rPr>
                <w:rFonts w:hint="eastAsia" w:ascii="宋体" w:hAnsi="宋体" w:eastAsia="宋体" w:cs="宋体"/>
                <w:b/>
                <w:bCs/>
                <w:color w:val="auto"/>
                <w:kern w:val="0"/>
                <w:sz w:val="24"/>
                <w:szCs w:val="24"/>
                <w:highlight w:val="none"/>
              </w:rPr>
              <w:t>本项目不允许采购进口产品。</w:t>
            </w:r>
          </w:p>
          <w:p w14:paraId="42ECEB5C">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471470"/>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可以就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采购进口产品。</w:t>
            </w:r>
          </w:p>
        </w:tc>
      </w:tr>
      <w:tr w14:paraId="494DB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5CB417C">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73" w:type="dxa"/>
            <w:tcBorders>
              <w:top w:val="single" w:color="000000" w:sz="8" w:space="0"/>
              <w:left w:val="single" w:color="auto" w:sz="4" w:space="0"/>
              <w:bottom w:val="single" w:color="000000" w:sz="8" w:space="0"/>
              <w:right w:val="single" w:color="000000" w:sz="8" w:space="0"/>
            </w:tcBorders>
            <w:vAlign w:val="center"/>
          </w:tcPr>
          <w:p w14:paraId="74331764">
            <w:pPr>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w:t>
            </w:r>
          </w:p>
        </w:tc>
        <w:tc>
          <w:tcPr>
            <w:tcW w:w="7200" w:type="dxa"/>
            <w:tcBorders>
              <w:top w:val="single" w:color="000000" w:sz="8" w:space="0"/>
              <w:left w:val="single" w:color="000000" w:sz="2" w:space="0"/>
              <w:bottom w:val="single" w:color="000000" w:sz="8" w:space="0"/>
              <w:right w:val="single" w:color="000000" w:sz="8" w:space="0"/>
            </w:tcBorders>
            <w:vAlign w:val="center"/>
          </w:tcPr>
          <w:p w14:paraId="4E416E2A">
            <w:pPr>
              <w:spacing w:line="360" w:lineRule="auto"/>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28"/>
                <w:sz w:val="24"/>
                <w:szCs w:val="24"/>
                <w:highlight w:val="none"/>
              </w:rPr>
              <w:t>√</w:t>
            </w:r>
            <w:r>
              <w:rPr>
                <w:rFonts w:hint="eastAsia" w:ascii="宋体" w:hAnsi="宋体" w:eastAsia="宋体" w:cs="宋体"/>
                <w:color w:val="auto"/>
                <w:kern w:val="0"/>
                <w:sz w:val="24"/>
                <w:szCs w:val="24"/>
                <w:highlight w:val="none"/>
              </w:rPr>
              <w:t xml:space="preserve"> </w:t>
            </w:r>
            <w:r>
              <w:rPr>
                <w:rFonts w:hint="eastAsia" w:ascii="宋体" w:hAnsi="宋体" w:eastAsia="宋体" w:cs="宋体"/>
                <w:b/>
                <w:bCs/>
                <w:color w:val="auto"/>
                <w:kern w:val="0"/>
                <w:sz w:val="24"/>
                <w:szCs w:val="24"/>
                <w:highlight w:val="none"/>
              </w:rPr>
              <w:t>A</w:t>
            </w:r>
            <w:r>
              <w:rPr>
                <w:rFonts w:hint="eastAsia" w:ascii="宋体" w:hAnsi="宋体" w:cs="宋体"/>
                <w:b/>
                <w:bCs/>
                <w:color w:val="auto"/>
                <w:kern w:val="0"/>
                <w:sz w:val="24"/>
                <w:szCs w:val="24"/>
                <w:highlight w:val="none"/>
                <w:lang w:val="en-US" w:eastAsia="zh-CN"/>
              </w:rPr>
              <w:t xml:space="preserve">  本项目中的“省院数字化系统包括实验室资源管理、报告数据整合等4系统2025年运维项目，浙江省食品药品检验研究院生物制品批签发电子证照2025年运维项目，浙江省食品药品检验研究院防疫药械智控应用2025年运维项目”三项工作是本项目关键核心工作不得分包，否则投标无效；其余非关键核心</w:t>
            </w:r>
            <w:r>
              <w:rPr>
                <w:rFonts w:hint="eastAsia" w:ascii="宋体" w:hAnsi="宋体" w:eastAsia="宋体" w:cs="宋体"/>
                <w:b/>
                <w:bCs/>
                <w:color w:val="auto"/>
                <w:sz w:val="24"/>
                <w:szCs w:val="24"/>
                <w:highlight w:val="none"/>
              </w:rPr>
              <w:t>工作</w:t>
            </w:r>
            <w:r>
              <w:rPr>
                <w:rFonts w:hint="eastAsia" w:ascii="宋体" w:hAnsi="宋体" w:eastAsia="宋体" w:cs="宋体"/>
                <w:b/>
                <w:bCs/>
                <w:color w:val="auto"/>
                <w:kern w:val="0"/>
                <w:sz w:val="24"/>
                <w:szCs w:val="24"/>
                <w:highlight w:val="none"/>
              </w:rPr>
              <w:t>同意</w:t>
            </w:r>
            <w:r>
              <w:rPr>
                <w:rFonts w:hint="eastAsia" w:ascii="宋体" w:hAnsi="宋体" w:eastAsia="宋体" w:cs="宋体"/>
                <w:b/>
                <w:bCs/>
                <w:color w:val="auto"/>
                <w:sz w:val="24"/>
                <w:szCs w:val="24"/>
                <w:highlight w:val="none"/>
              </w:rPr>
              <w:t>分包。</w:t>
            </w:r>
          </w:p>
          <w:p w14:paraId="7DA3A290">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474377"/>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 xml:space="preserve"> B</w:t>
            </w:r>
            <w:r>
              <w:rPr>
                <w:rFonts w:hint="eastAsia" w:ascii="宋体" w:hAnsi="宋体" w:eastAsia="宋体" w:cs="宋体"/>
                <w:color w:val="auto"/>
                <w:sz w:val="24"/>
                <w:szCs w:val="24"/>
                <w:highlight w:val="none"/>
              </w:rPr>
              <w:t>不同意分包。</w:t>
            </w:r>
          </w:p>
          <w:p w14:paraId="084B3D4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注：不得限制大中型企业向小微企业合理分包。</w:t>
            </w:r>
          </w:p>
        </w:tc>
      </w:tr>
      <w:tr w14:paraId="4BA16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5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7E2536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473" w:type="dxa"/>
            <w:tcBorders>
              <w:top w:val="single" w:color="000000" w:sz="8" w:space="0"/>
              <w:left w:val="single" w:color="auto" w:sz="4" w:space="0"/>
              <w:bottom w:val="single" w:color="000000" w:sz="8" w:space="0"/>
              <w:right w:val="single" w:color="000000" w:sz="8" w:space="0"/>
            </w:tcBorders>
            <w:vAlign w:val="center"/>
          </w:tcPr>
          <w:p w14:paraId="08D3E2DC">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tc>
        <w:tc>
          <w:tcPr>
            <w:tcW w:w="7200" w:type="dxa"/>
            <w:tcBorders>
              <w:top w:val="single" w:color="000000" w:sz="8" w:space="0"/>
              <w:left w:val="single" w:color="000000" w:sz="2" w:space="0"/>
              <w:bottom w:val="single" w:color="000000" w:sz="8" w:space="0"/>
              <w:right w:val="single" w:color="000000" w:sz="8" w:space="0"/>
            </w:tcBorders>
            <w:vAlign w:val="center"/>
          </w:tcPr>
          <w:p w14:paraId="5005A245">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463458"/>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r>
              <w:rPr>
                <w:rFonts w:hint="eastAsia" w:ascii="宋体" w:hAnsi="宋体" w:eastAsia="宋体" w:cs="宋体"/>
                <w:b w:val="0"/>
                <w:bCs w:val="0"/>
                <w:color w:val="auto"/>
                <w:sz w:val="24"/>
                <w:szCs w:val="24"/>
                <w:highlight w:val="none"/>
              </w:rPr>
              <w:t>。</w:t>
            </w:r>
          </w:p>
          <w:p w14:paraId="4A00B7DB">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480652"/>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B组织，</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5C36B17">
            <w:pPr>
              <w:pStyle w:val="90"/>
              <w:spacing w:line="360" w:lineRule="auto"/>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28"/>
                <w:sz w:val="24"/>
                <w:szCs w:val="24"/>
                <w:highlight w:val="none"/>
              </w:rPr>
              <w:t xml:space="preserve">√ </w:t>
            </w:r>
            <w:r>
              <w:rPr>
                <w:rFonts w:hint="eastAsia" w:ascii="宋体" w:hAnsi="宋体" w:eastAsia="宋体" w:cs="宋体"/>
                <w:b/>
                <w:bCs/>
                <w:color w:val="auto"/>
                <w:sz w:val="24"/>
                <w:szCs w:val="24"/>
                <w:highlight w:val="none"/>
              </w:rPr>
              <w:t>C不统一组织，供应商在获取采购文件后，自行至项目现场考察。地点：</w:t>
            </w:r>
            <w:r>
              <w:rPr>
                <w:rFonts w:hint="eastAsia" w:ascii="宋体" w:hAnsi="宋体" w:eastAsia="宋体" w:cs="宋体"/>
                <w:b/>
                <w:bCs/>
                <w:color w:val="auto"/>
                <w:sz w:val="24"/>
                <w:szCs w:val="24"/>
                <w:highlight w:val="none"/>
                <w:u w:val="single"/>
                <w:lang w:eastAsia="zh-CN"/>
              </w:rPr>
              <w:t>杭州市滨江区平乐街325号</w:t>
            </w:r>
            <w:r>
              <w:rPr>
                <w:rFonts w:hint="eastAsia" w:ascii="宋体" w:hAnsi="宋体" w:eastAsia="宋体" w:cs="宋体"/>
                <w:b/>
                <w:bCs/>
                <w:color w:val="auto"/>
                <w:sz w:val="24"/>
                <w:szCs w:val="24"/>
                <w:highlight w:val="none"/>
              </w:rPr>
              <w:t>，联系人：</w:t>
            </w:r>
            <w:r>
              <w:rPr>
                <w:rFonts w:hint="eastAsia" w:ascii="宋体" w:hAnsi="宋体" w:eastAsia="宋体" w:cs="宋体"/>
                <w:b/>
                <w:bCs/>
                <w:color w:val="auto"/>
                <w:sz w:val="24"/>
                <w:szCs w:val="24"/>
                <w:highlight w:val="none"/>
                <w:u w:val="single"/>
              </w:rPr>
              <w:t xml:space="preserve">见招标公告 </w:t>
            </w:r>
            <w:r>
              <w:rPr>
                <w:rFonts w:hint="eastAsia" w:ascii="宋体" w:hAnsi="宋体" w:eastAsia="宋体" w:cs="宋体"/>
                <w:b/>
                <w:bCs/>
                <w:color w:val="auto"/>
                <w:sz w:val="24"/>
                <w:szCs w:val="24"/>
                <w:highlight w:val="none"/>
              </w:rPr>
              <w:t>，联系方式：</w:t>
            </w:r>
            <w:r>
              <w:rPr>
                <w:rFonts w:hint="eastAsia" w:ascii="宋体" w:hAnsi="宋体" w:eastAsia="宋体" w:cs="宋体"/>
                <w:b/>
                <w:bCs/>
                <w:color w:val="auto"/>
                <w:sz w:val="24"/>
                <w:szCs w:val="24"/>
                <w:highlight w:val="none"/>
                <w:u w:val="single"/>
              </w:rPr>
              <w:t xml:space="preserve"> 见招标公告 </w:t>
            </w:r>
            <w:r>
              <w:rPr>
                <w:rFonts w:hint="eastAsia" w:ascii="宋体" w:hAnsi="宋体" w:eastAsia="宋体" w:cs="宋体"/>
                <w:b/>
                <w:bCs/>
                <w:color w:val="auto"/>
                <w:sz w:val="24"/>
                <w:szCs w:val="24"/>
                <w:highlight w:val="none"/>
              </w:rPr>
              <w:t>。</w:t>
            </w:r>
          </w:p>
        </w:tc>
      </w:tr>
      <w:tr w14:paraId="26E9D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EE876FB">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473" w:type="dxa"/>
            <w:tcBorders>
              <w:top w:val="single" w:color="000000" w:sz="8" w:space="0"/>
              <w:left w:val="single" w:color="auto" w:sz="4" w:space="0"/>
              <w:bottom w:val="single" w:color="000000" w:sz="8" w:space="0"/>
              <w:right w:val="single" w:color="000000" w:sz="8" w:space="0"/>
            </w:tcBorders>
            <w:vAlign w:val="center"/>
          </w:tcPr>
          <w:p w14:paraId="07D25123">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7200" w:type="dxa"/>
            <w:tcBorders>
              <w:top w:val="single" w:color="000000" w:sz="8" w:space="0"/>
              <w:left w:val="single" w:color="000000" w:sz="2" w:space="0"/>
              <w:bottom w:val="single" w:color="000000" w:sz="8" w:space="0"/>
              <w:right w:val="single" w:color="000000" w:sz="8" w:space="0"/>
            </w:tcBorders>
            <w:vAlign w:val="center"/>
          </w:tcPr>
          <w:p w14:paraId="579984D5">
            <w:pPr>
              <w:spacing w:line="420" w:lineRule="exact"/>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28"/>
                <w:sz w:val="24"/>
                <w:szCs w:val="24"/>
                <w:highlight w:val="none"/>
              </w:rPr>
              <w:t>√</w:t>
            </w:r>
            <w:r>
              <w:rPr>
                <w:rFonts w:hint="eastAsia" w:ascii="宋体" w:hAnsi="宋体" w:eastAsia="宋体" w:cs="宋体"/>
                <w:color w:val="auto"/>
                <w:kern w:val="0"/>
                <w:sz w:val="24"/>
                <w:szCs w:val="24"/>
                <w:highlight w:val="none"/>
              </w:rPr>
              <w:t xml:space="preserve"> </w:t>
            </w:r>
            <w:r>
              <w:rPr>
                <w:rFonts w:hint="eastAsia" w:ascii="宋体" w:hAnsi="宋体" w:eastAsia="宋体" w:cs="宋体"/>
                <w:b/>
                <w:bCs/>
                <w:color w:val="auto"/>
                <w:kern w:val="0"/>
                <w:sz w:val="24"/>
                <w:szCs w:val="24"/>
                <w:highlight w:val="none"/>
              </w:rPr>
              <w:t>A</w:t>
            </w:r>
            <w:r>
              <w:rPr>
                <w:rFonts w:hint="eastAsia" w:ascii="宋体" w:hAnsi="宋体" w:eastAsia="宋体" w:cs="宋体"/>
                <w:b/>
                <w:bCs/>
                <w:color w:val="auto"/>
                <w:sz w:val="24"/>
                <w:szCs w:val="24"/>
                <w:highlight w:val="none"/>
              </w:rPr>
              <w:t>不要求提供。</w:t>
            </w:r>
          </w:p>
          <w:p w14:paraId="74AF57C6">
            <w:pPr>
              <w:spacing w:line="420" w:lineRule="exact"/>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 xml:space="preserve"> B要求提供，</w:t>
            </w:r>
          </w:p>
          <w:p w14:paraId="3EC5EE25">
            <w:pPr>
              <w:spacing w:line="42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snapToGrid w:val="0"/>
                <w:color w:val="auto"/>
                <w:kern w:val="28"/>
                <w:sz w:val="24"/>
                <w:szCs w:val="24"/>
                <w:highlight w:val="none"/>
              </w:rPr>
              <w:t>样品：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；（2）</w:t>
            </w:r>
            <w:r>
              <w:rPr>
                <w:rFonts w:hint="eastAsia" w:ascii="宋体" w:hAnsi="宋体" w:eastAsia="宋体" w:cs="宋体"/>
                <w:snapToGrid w:val="0"/>
                <w:color w:val="auto"/>
                <w:kern w:val="28"/>
                <w:sz w:val="24"/>
                <w:szCs w:val="24"/>
                <w:highlight w:val="none"/>
              </w:rPr>
              <w:t>样品制作的标准和要求：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；（3）样品的评审方法以及评审标准</w:t>
            </w:r>
            <w:r>
              <w:rPr>
                <w:rFonts w:hint="eastAsia" w:ascii="宋体" w:hAnsi="宋体" w:eastAsia="宋体" w:cs="宋体"/>
                <w:snapToGrid w:val="0"/>
                <w:color w:val="auto"/>
                <w:kern w:val="28"/>
                <w:sz w:val="24"/>
                <w:szCs w:val="24"/>
                <w:highlight w:val="none"/>
              </w:rPr>
              <w:t>：详见</w:t>
            </w:r>
            <w:r>
              <w:rPr>
                <w:rFonts w:hint="eastAsia" w:ascii="宋体" w:hAnsi="宋体" w:eastAsia="宋体" w:cs="宋体"/>
                <w:color w:val="auto"/>
                <w:sz w:val="24"/>
                <w:szCs w:val="24"/>
                <w:highlight w:val="none"/>
                <w:u w:val="single"/>
              </w:rPr>
              <w:t>评标办法</w:t>
            </w:r>
            <w:r>
              <w:rPr>
                <w:rFonts w:hint="eastAsia" w:ascii="宋体" w:hAnsi="宋体" w:eastAsia="宋体" w:cs="宋体"/>
                <w:color w:val="auto"/>
                <w:kern w:val="0"/>
                <w:sz w:val="24"/>
                <w:szCs w:val="24"/>
                <w:highlight w:val="none"/>
              </w:rPr>
              <w:t>；（4）是否需要随样品提交检测报告：</w:t>
            </w:r>
            <w:sdt>
              <w:sdtPr>
                <w:rPr>
                  <w:rFonts w:hint="eastAsia" w:ascii="宋体" w:hAnsi="宋体" w:eastAsia="宋体" w:cs="宋体"/>
                  <w:color w:val="auto"/>
                  <w:kern w:val="0"/>
                  <w:sz w:val="24"/>
                  <w:szCs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否；</w:t>
            </w:r>
            <w:sdt>
              <w:sdtPr>
                <w:rPr>
                  <w:rFonts w:hint="eastAsia" w:ascii="宋体" w:hAnsi="宋体" w:eastAsia="宋体" w:cs="宋体"/>
                  <w:color w:val="auto"/>
                  <w:kern w:val="0"/>
                  <w:sz w:val="24"/>
                  <w:szCs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是，检测机构的要求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；检测内容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1F9175CE">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（5）提供样品的时间：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；联系人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28"/>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。请投标人在上述时间内提供样品并按规定位置安装完毕。超过截止时间的，采购人或采购代理机构将不予接收，并将清场并封闭样品现场。</w:t>
            </w:r>
          </w:p>
          <w:p w14:paraId="6FA37145">
            <w:pPr>
              <w:spacing w:line="420" w:lineRule="exac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7）制作、运输、安装和保管样品所发生的一切费用由投标人自理。</w:t>
            </w:r>
          </w:p>
        </w:tc>
      </w:tr>
      <w:tr w14:paraId="479E5C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809F2B2">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473" w:type="dxa"/>
            <w:tcBorders>
              <w:top w:val="single" w:color="000000" w:sz="8" w:space="0"/>
              <w:left w:val="single" w:color="auto" w:sz="4" w:space="0"/>
              <w:bottom w:val="single" w:color="000000" w:sz="8" w:space="0"/>
              <w:right w:val="single" w:color="000000" w:sz="8" w:space="0"/>
            </w:tcBorders>
            <w:vAlign w:val="center"/>
          </w:tcPr>
          <w:p w14:paraId="5B0BE6C8">
            <w:pP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系统演示</w:t>
            </w:r>
          </w:p>
        </w:tc>
        <w:tc>
          <w:tcPr>
            <w:tcW w:w="7200" w:type="dxa"/>
            <w:tcBorders>
              <w:top w:val="single" w:color="000000" w:sz="8" w:space="0"/>
              <w:left w:val="single" w:color="000000" w:sz="2" w:space="0"/>
              <w:bottom w:val="single" w:color="000000" w:sz="8" w:space="0"/>
              <w:right w:val="single" w:color="000000" w:sz="8" w:space="0"/>
            </w:tcBorders>
            <w:vAlign w:val="center"/>
          </w:tcPr>
          <w:p w14:paraId="79989087">
            <w:pPr>
              <w:snapToGrid w:val="0"/>
              <w:spacing w:line="360" w:lineRule="auto"/>
              <w:contextualSpacing/>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28"/>
                <w:sz w:val="24"/>
                <w:szCs w:val="24"/>
                <w:highlight w:val="none"/>
              </w:rPr>
              <w:t>√</w:t>
            </w:r>
            <w:r>
              <w:rPr>
                <w:rFonts w:hint="eastAsia" w:ascii="宋体" w:hAnsi="宋体" w:eastAsia="宋体" w:cs="宋体"/>
                <w:b/>
                <w:bCs/>
                <w:snapToGrid w:val="0"/>
                <w:color w:val="auto"/>
                <w:kern w:val="28"/>
                <w:sz w:val="24"/>
                <w:szCs w:val="24"/>
                <w:highlight w:val="none"/>
                <w:lang w:val="en-US" w:eastAsia="zh-CN"/>
              </w:rPr>
              <w:t xml:space="preserve">  </w:t>
            </w:r>
            <w:r>
              <w:rPr>
                <w:rFonts w:hint="eastAsia" w:ascii="宋体" w:hAnsi="宋体" w:eastAsia="宋体" w:cs="宋体"/>
                <w:b/>
                <w:bCs/>
                <w:color w:val="auto"/>
                <w:kern w:val="0"/>
                <w:sz w:val="24"/>
                <w:szCs w:val="24"/>
                <w:highlight w:val="none"/>
              </w:rPr>
              <w:t>A</w:t>
            </w:r>
            <w:r>
              <w:rPr>
                <w:rFonts w:hint="eastAsia" w:ascii="宋体" w:hAnsi="宋体" w:eastAsia="宋体" w:cs="宋体"/>
                <w:b/>
                <w:bCs/>
                <w:color w:val="auto"/>
                <w:sz w:val="24"/>
                <w:szCs w:val="24"/>
                <w:highlight w:val="none"/>
              </w:rPr>
              <w:t>不组织。</w:t>
            </w:r>
          </w:p>
          <w:p w14:paraId="14E7ACF4">
            <w:pPr>
              <w:snapToGrid w:val="0"/>
              <w:spacing w:line="360" w:lineRule="auto"/>
              <w:contextualSpacing/>
              <w:rPr>
                <w:rFonts w:hint="eastAsia" w:ascii="宋体" w:hAnsi="宋体" w:eastAsia="宋体" w:cs="宋体"/>
                <w:b/>
                <w:bCs/>
                <w:color w:val="auto"/>
                <w:kern w:val="0"/>
                <w:sz w:val="24"/>
                <w:szCs w:val="24"/>
                <w:highlight w:val="none"/>
              </w:rPr>
            </w:pPr>
            <w:sdt>
              <w:sdtPr>
                <w:rPr>
                  <w:rFonts w:hint="eastAsia" w:ascii="宋体" w:hAnsi="宋体" w:eastAsia="宋体" w:cs="宋体"/>
                  <w:color w:val="auto"/>
                  <w:kern w:val="0"/>
                  <w:sz w:val="24"/>
                  <w:szCs w:val="24"/>
                  <w:highlight w:val="none"/>
                </w:rPr>
                <w:id w:val="147472608"/>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 xml:space="preserve"> </w:t>
            </w:r>
            <w:r>
              <w:rPr>
                <w:rFonts w:hint="eastAsia" w:ascii="宋体" w:hAnsi="宋体" w:eastAsia="宋体" w:cs="宋体"/>
                <w:snapToGrid w:val="0"/>
                <w:color w:val="auto"/>
                <w:kern w:val="28"/>
                <w:sz w:val="24"/>
                <w:szCs w:val="24"/>
                <w:highlight w:val="none"/>
              </w:rPr>
              <w:t xml:space="preserve"> </w:t>
            </w:r>
            <w:r>
              <w:rPr>
                <w:rFonts w:hint="eastAsia" w:ascii="宋体" w:hAnsi="宋体" w:eastAsia="宋体" w:cs="宋体"/>
                <w:b w:val="0"/>
                <w:bCs w:val="0"/>
                <w:color w:val="auto"/>
                <w:kern w:val="0"/>
                <w:sz w:val="24"/>
                <w:szCs w:val="24"/>
                <w:highlight w:val="none"/>
              </w:rPr>
              <w:t>B 组织。</w:t>
            </w:r>
          </w:p>
          <w:p w14:paraId="7592F742">
            <w:pPr>
              <w:snapToGrid w:val="0"/>
              <w:spacing w:line="360" w:lineRule="auto"/>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（1）在评标时安排每个投标人进行系统演示。每个投标人时间不超过</w:t>
            </w:r>
            <w:r>
              <w:rPr>
                <w:rFonts w:hint="eastAsia" w:ascii="宋体" w:hAnsi="宋体" w:eastAsia="宋体" w:cs="宋体"/>
                <w:color w:val="auto"/>
                <w:kern w:val="0"/>
                <w:sz w:val="24"/>
                <w:szCs w:val="24"/>
                <w:highlight w:val="none"/>
                <w:u w:val="single"/>
              </w:rPr>
              <w:t xml:space="preserve"> 20 </w:t>
            </w:r>
            <w:r>
              <w:rPr>
                <w:rFonts w:hint="eastAsia" w:ascii="宋体" w:hAnsi="宋体" w:eastAsia="宋体" w:cs="宋体"/>
                <w:color w:val="auto"/>
                <w:kern w:val="0"/>
                <w:sz w:val="24"/>
                <w:szCs w:val="24"/>
                <w:highlight w:val="none"/>
              </w:rPr>
              <w:t>分钟（不含现场评标委员会提问时间），演示次序以投标文件解密时间先后次序为准，演示人员需为拟派项目组成员之一。演示结束后按要求解答评标委员会提问。</w:t>
            </w:r>
          </w:p>
          <w:p w14:paraId="5B111019">
            <w:pPr>
              <w:snapToGrid w:val="0"/>
              <w:spacing w:line="360" w:lineRule="auto"/>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（2）系统演示选择采用现场系统演示：</w:t>
            </w:r>
          </w:p>
          <w:p w14:paraId="53E28EAE">
            <w:pPr>
              <w:snapToGrid w:val="0"/>
              <w:spacing w:line="360" w:lineRule="auto"/>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rPr>
              <w:t>现场演示签到地点为</w:t>
            </w:r>
            <w:r>
              <w:rPr>
                <w:rFonts w:hint="eastAsia" w:ascii="宋体" w:hAnsi="宋体" w:eastAsia="宋体" w:cs="宋体"/>
                <w:color w:val="auto"/>
                <w:sz w:val="24"/>
                <w:szCs w:val="24"/>
                <w:highlight w:val="none"/>
                <w:u w:val="single"/>
              </w:rPr>
              <w:t>杭州市西湖区文三路90号东部软件园1号楼3楼301开标室</w:t>
            </w:r>
            <w:r>
              <w:rPr>
                <w:rFonts w:hint="eastAsia" w:ascii="宋体" w:hAnsi="宋体" w:eastAsia="宋体" w:cs="宋体"/>
                <w:color w:val="auto"/>
                <w:kern w:val="0"/>
                <w:sz w:val="24"/>
                <w:szCs w:val="24"/>
                <w:highlight w:val="none"/>
                <w:u w:val="single"/>
              </w:rPr>
              <w:t>，现场演示签到截止时间同提交投标文件截止时间</w:t>
            </w:r>
            <w:r>
              <w:rPr>
                <w:rFonts w:hint="eastAsia" w:ascii="宋体" w:hAnsi="宋体" w:eastAsia="宋体" w:cs="宋体"/>
                <w:color w:val="auto"/>
                <w:kern w:val="0"/>
                <w:sz w:val="24"/>
                <w:szCs w:val="24"/>
                <w:highlight w:val="none"/>
              </w:rPr>
              <w:t>，未按时签到视为自动放弃系统演示。</w:t>
            </w:r>
          </w:p>
          <w:p w14:paraId="1F208E75">
            <w:pPr>
              <w:snapToGrid w:val="0"/>
              <w:spacing w:line="360" w:lineRule="auto"/>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演示人员开始演示前须提供身份证明并与投标文件项目组相应成员一致，否则演示不得分。</w:t>
            </w:r>
          </w:p>
          <w:p w14:paraId="47572FE3">
            <w:pPr>
              <w:snapToGrid w:val="0"/>
              <w:spacing w:line="360" w:lineRule="auto"/>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演示现场提供投影仪及无线网络环境，演示所用电脑等其他演示相关设备由投标人自备。</w:t>
            </w:r>
          </w:p>
          <w:p w14:paraId="75176451">
            <w:pPr>
              <w:snapToGrid w:val="0"/>
              <w:spacing w:line="360" w:lineRule="auto"/>
              <w:contextualSpacing/>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rPr>
              <w:t>注：因投标人自身原因导致无法演示或者演示效果不理想的，责任自负。因平台原因导致本项目演示环节无法顺利开展，按照《浙江省政府采购项目电子交易管理暂行办法》相关规定执行。</w:t>
            </w:r>
          </w:p>
        </w:tc>
      </w:tr>
      <w:tr w14:paraId="4B4BD6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FDE9F4A">
            <w:pPr>
              <w:snapToGrid w:val="0"/>
              <w:spacing w:line="360" w:lineRule="auto"/>
              <w:jc w:val="center"/>
              <w:rPr>
                <w:rFonts w:hint="eastAsia" w:ascii="宋体" w:hAnsi="宋体" w:eastAsia="宋体" w:cs="宋体"/>
                <w:color w:val="auto"/>
                <w:sz w:val="24"/>
                <w:szCs w:val="24"/>
                <w:highlight w:val="none"/>
              </w:rPr>
            </w:pPr>
          </w:p>
          <w:p w14:paraId="17803633">
            <w:pPr>
              <w:snapToGrid w:val="0"/>
              <w:spacing w:line="360" w:lineRule="auto"/>
              <w:jc w:val="center"/>
              <w:rPr>
                <w:rFonts w:hint="eastAsia" w:ascii="宋体" w:hAnsi="宋体" w:eastAsia="宋体" w:cs="宋体"/>
                <w:color w:val="auto"/>
                <w:sz w:val="24"/>
                <w:szCs w:val="24"/>
                <w:highlight w:val="none"/>
              </w:rPr>
            </w:pPr>
          </w:p>
          <w:p w14:paraId="5BB6519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473" w:type="dxa"/>
            <w:vMerge w:val="restart"/>
            <w:tcBorders>
              <w:top w:val="single" w:color="000000" w:sz="8" w:space="0"/>
              <w:left w:val="single" w:color="auto" w:sz="4" w:space="0"/>
              <w:right w:val="single" w:color="000000" w:sz="8" w:space="0"/>
            </w:tcBorders>
            <w:vAlign w:val="center"/>
          </w:tcPr>
          <w:p w14:paraId="6D980493">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投标人应当提供的资格、资信证明文件</w:t>
            </w:r>
          </w:p>
        </w:tc>
        <w:tc>
          <w:tcPr>
            <w:tcW w:w="7200" w:type="dxa"/>
            <w:tcBorders>
              <w:top w:val="single" w:color="000000" w:sz="8" w:space="0"/>
              <w:left w:val="single" w:color="000000" w:sz="2" w:space="0"/>
              <w:bottom w:val="single" w:color="auto" w:sz="4" w:space="0"/>
              <w:right w:val="single" w:color="000000" w:sz="8" w:space="0"/>
            </w:tcBorders>
            <w:vAlign w:val="center"/>
          </w:tcPr>
          <w:p w14:paraId="4DB3A5E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（1）资格证明文件：见招标文件第二部分11.1。</w:t>
            </w:r>
          </w:p>
          <w:p w14:paraId="15DAC207">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lang w:val="zh-CN"/>
              </w:rPr>
              <w:t>投标人未提供有效的资格证明文件的，视为投标人不具备招标文件中规定的资格要求，投标无效。</w:t>
            </w:r>
          </w:p>
        </w:tc>
      </w:tr>
      <w:tr w14:paraId="6CA83B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8" w:hRule="atLeast"/>
          <w:tblHeader/>
        </w:trPr>
        <w:tc>
          <w:tcPr>
            <w:tcW w:w="629" w:type="dxa"/>
            <w:vMerge w:val="continue"/>
            <w:tcBorders>
              <w:left w:val="single" w:color="auto" w:sz="4" w:space="0"/>
              <w:bottom w:val="single" w:color="auto" w:sz="4" w:space="0"/>
              <w:right w:val="single" w:color="auto" w:sz="4" w:space="0"/>
            </w:tcBorders>
          </w:tcPr>
          <w:p w14:paraId="297459BC">
            <w:pPr>
              <w:snapToGrid w:val="0"/>
              <w:spacing w:line="360" w:lineRule="auto"/>
              <w:jc w:val="center"/>
              <w:rPr>
                <w:rFonts w:hint="eastAsia" w:ascii="宋体" w:hAnsi="宋体" w:eastAsia="宋体" w:cs="宋体"/>
                <w:color w:val="auto"/>
                <w:sz w:val="24"/>
                <w:szCs w:val="24"/>
                <w:highlight w:val="none"/>
              </w:rPr>
            </w:pPr>
          </w:p>
        </w:tc>
        <w:tc>
          <w:tcPr>
            <w:tcW w:w="1473" w:type="dxa"/>
            <w:vMerge w:val="continue"/>
            <w:tcBorders>
              <w:left w:val="single" w:color="auto" w:sz="4" w:space="0"/>
              <w:bottom w:val="single" w:color="000000" w:sz="8" w:space="0"/>
              <w:right w:val="single" w:color="000000" w:sz="8" w:space="0"/>
            </w:tcBorders>
            <w:vAlign w:val="center"/>
          </w:tcPr>
          <w:p w14:paraId="42DCEA0E">
            <w:pPr>
              <w:snapToGrid w:val="0"/>
              <w:spacing w:line="360" w:lineRule="auto"/>
              <w:jc w:val="center"/>
              <w:rPr>
                <w:rFonts w:hint="eastAsia" w:ascii="宋体" w:hAnsi="宋体" w:eastAsia="宋体" w:cs="宋体"/>
                <w:b/>
                <w:color w:val="auto"/>
                <w:sz w:val="24"/>
                <w:szCs w:val="24"/>
                <w:highlight w:val="none"/>
              </w:rPr>
            </w:pPr>
          </w:p>
        </w:tc>
        <w:tc>
          <w:tcPr>
            <w:tcW w:w="7200" w:type="dxa"/>
            <w:tcBorders>
              <w:top w:val="single" w:color="auto" w:sz="4" w:space="0"/>
              <w:left w:val="single" w:color="000000" w:sz="2" w:space="0"/>
              <w:bottom w:val="single" w:color="000000" w:sz="8" w:space="0"/>
              <w:right w:val="single" w:color="000000" w:sz="8" w:space="0"/>
            </w:tcBorders>
            <w:vAlign w:val="center"/>
          </w:tcPr>
          <w:p w14:paraId="284EEEF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（2）资信证明文件：根据招标文件第四部分评标标准提供。</w:t>
            </w:r>
          </w:p>
        </w:tc>
      </w:tr>
      <w:tr w14:paraId="4D1506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20188E8">
            <w:pPr>
              <w:snapToGrid w:val="0"/>
              <w:spacing w:line="360" w:lineRule="auto"/>
              <w:jc w:val="center"/>
              <w:rPr>
                <w:rFonts w:hint="eastAsia" w:ascii="宋体" w:hAnsi="宋体" w:eastAsia="宋体" w:cs="宋体"/>
                <w:color w:val="auto"/>
                <w:sz w:val="24"/>
                <w:szCs w:val="24"/>
                <w:highlight w:val="none"/>
              </w:rPr>
            </w:pPr>
          </w:p>
          <w:p w14:paraId="0B229C56">
            <w:pPr>
              <w:snapToGrid w:val="0"/>
              <w:spacing w:line="360" w:lineRule="auto"/>
              <w:jc w:val="center"/>
              <w:rPr>
                <w:rFonts w:hint="eastAsia" w:ascii="宋体" w:hAnsi="宋体" w:eastAsia="宋体" w:cs="宋体"/>
                <w:color w:val="auto"/>
                <w:sz w:val="24"/>
                <w:szCs w:val="24"/>
                <w:highlight w:val="none"/>
              </w:rPr>
            </w:pPr>
          </w:p>
          <w:p w14:paraId="4FA0A196">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473" w:type="dxa"/>
            <w:tcBorders>
              <w:top w:val="single" w:color="000000" w:sz="8" w:space="0"/>
              <w:left w:val="single" w:color="000000" w:sz="2" w:space="0"/>
              <w:bottom w:val="single" w:color="000000" w:sz="8" w:space="0"/>
              <w:right w:val="single" w:color="000000" w:sz="8" w:space="0"/>
            </w:tcBorders>
            <w:vAlign w:val="center"/>
          </w:tcPr>
          <w:p w14:paraId="5B2ACFA8">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节能产品、环境标志产品</w:t>
            </w:r>
          </w:p>
        </w:tc>
        <w:tc>
          <w:tcPr>
            <w:tcW w:w="7200" w:type="dxa"/>
            <w:tcBorders>
              <w:top w:val="single" w:color="000000" w:sz="8" w:space="0"/>
              <w:left w:val="single" w:color="000000" w:sz="2" w:space="0"/>
              <w:bottom w:val="single" w:color="000000" w:sz="8" w:space="0"/>
              <w:right w:val="single" w:color="000000" w:sz="8" w:space="0"/>
            </w:tcBorders>
            <w:vAlign w:val="center"/>
          </w:tcPr>
          <w:p w14:paraId="24263730">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26C34E61">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☐强制采购。产品：    </w:t>
            </w:r>
          </w:p>
          <w:p w14:paraId="532F1A7F">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□优先采购节能产品。产品：   </w:t>
            </w:r>
          </w:p>
          <w:p w14:paraId="3DA286C8">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□优先采购环保产品。产品：    </w:t>
            </w:r>
          </w:p>
          <w:p w14:paraId="49AFCAA2">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28"/>
                <w:sz w:val="24"/>
                <w:szCs w:val="24"/>
                <w:highlight w:val="none"/>
              </w:rPr>
              <w:t xml:space="preserve">√ </w:t>
            </w:r>
            <w:r>
              <w:rPr>
                <w:rFonts w:hint="eastAsia" w:ascii="宋体" w:hAnsi="宋体" w:eastAsia="宋体" w:cs="宋体"/>
                <w:b/>
                <w:bCs/>
                <w:color w:val="auto"/>
                <w:sz w:val="24"/>
                <w:szCs w:val="24"/>
                <w:highlight w:val="none"/>
              </w:rPr>
              <w:t>无</w:t>
            </w:r>
          </w:p>
        </w:tc>
      </w:tr>
      <w:tr w14:paraId="6A1393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0857D75">
            <w:pPr>
              <w:snapToGrid w:val="0"/>
              <w:spacing w:line="360" w:lineRule="auto"/>
              <w:jc w:val="center"/>
              <w:rPr>
                <w:rFonts w:hint="eastAsia" w:ascii="宋体" w:hAnsi="宋体" w:eastAsia="宋体" w:cs="宋体"/>
                <w:color w:val="auto"/>
                <w:sz w:val="24"/>
                <w:szCs w:val="24"/>
                <w:highlight w:val="none"/>
              </w:rPr>
            </w:pPr>
          </w:p>
          <w:p w14:paraId="42968DA2">
            <w:pPr>
              <w:snapToGrid w:val="0"/>
              <w:spacing w:line="360" w:lineRule="auto"/>
              <w:jc w:val="center"/>
              <w:rPr>
                <w:rFonts w:hint="eastAsia" w:ascii="宋体" w:hAnsi="宋体" w:eastAsia="宋体" w:cs="宋体"/>
                <w:color w:val="auto"/>
                <w:sz w:val="24"/>
                <w:szCs w:val="24"/>
                <w:highlight w:val="none"/>
              </w:rPr>
            </w:pPr>
          </w:p>
          <w:p w14:paraId="411BFA1C">
            <w:pPr>
              <w:snapToGrid w:val="0"/>
              <w:spacing w:line="360" w:lineRule="auto"/>
              <w:jc w:val="center"/>
              <w:rPr>
                <w:rFonts w:hint="eastAsia" w:ascii="宋体" w:hAnsi="宋体" w:eastAsia="宋体" w:cs="宋体"/>
                <w:color w:val="auto"/>
                <w:sz w:val="24"/>
                <w:szCs w:val="24"/>
                <w:highlight w:val="none"/>
              </w:rPr>
            </w:pPr>
          </w:p>
          <w:p w14:paraId="25D1FE50">
            <w:pPr>
              <w:snapToGrid w:val="0"/>
              <w:spacing w:line="360" w:lineRule="auto"/>
              <w:jc w:val="center"/>
              <w:rPr>
                <w:rFonts w:hint="eastAsia" w:ascii="宋体" w:hAnsi="宋体" w:eastAsia="宋体" w:cs="宋体"/>
                <w:color w:val="auto"/>
                <w:sz w:val="24"/>
                <w:szCs w:val="24"/>
                <w:highlight w:val="none"/>
              </w:rPr>
            </w:pPr>
          </w:p>
          <w:p w14:paraId="60E6DB15">
            <w:pPr>
              <w:snapToGrid w:val="0"/>
              <w:spacing w:line="360" w:lineRule="auto"/>
              <w:jc w:val="center"/>
              <w:rPr>
                <w:rFonts w:hint="eastAsia" w:ascii="宋体" w:hAnsi="宋体" w:eastAsia="宋体" w:cs="宋体"/>
                <w:color w:val="auto"/>
                <w:sz w:val="24"/>
                <w:szCs w:val="24"/>
                <w:highlight w:val="none"/>
              </w:rPr>
            </w:pPr>
          </w:p>
          <w:p w14:paraId="79E4E06F">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473" w:type="dxa"/>
            <w:tcBorders>
              <w:top w:val="single" w:color="000000" w:sz="8" w:space="0"/>
              <w:left w:val="single" w:color="000000" w:sz="2" w:space="0"/>
              <w:bottom w:val="single" w:color="000000" w:sz="8" w:space="0"/>
              <w:right w:val="single" w:color="000000" w:sz="8" w:space="0"/>
            </w:tcBorders>
            <w:vAlign w:val="center"/>
          </w:tcPr>
          <w:p w14:paraId="0C29CEB3">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报价要求</w:t>
            </w:r>
          </w:p>
        </w:tc>
        <w:tc>
          <w:tcPr>
            <w:tcW w:w="7200" w:type="dxa"/>
            <w:tcBorders>
              <w:top w:val="single" w:color="000000" w:sz="8" w:space="0"/>
              <w:left w:val="single" w:color="000000" w:sz="2" w:space="0"/>
              <w:bottom w:val="single" w:color="000000" w:sz="8" w:space="0"/>
              <w:right w:val="single" w:color="000000" w:sz="8" w:space="0"/>
            </w:tcBorders>
            <w:vAlign w:val="center"/>
          </w:tcPr>
          <w:p w14:paraId="6A05A1F9">
            <w:pPr>
              <w:snapToGrid w:val="0"/>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A 报价方式：</w:t>
            </w:r>
          </w:p>
          <w:p w14:paraId="77BAA3EA">
            <w:pPr>
              <w:snapToGrid w:val="0"/>
              <w:spacing w:line="360" w:lineRule="auto"/>
              <w:contextualSpacing/>
              <w:rPr>
                <w:rFonts w:hint="eastAsia" w:ascii="宋体" w:hAnsi="宋体" w:eastAsia="宋体" w:cs="宋体"/>
                <w:b/>
                <w:bCs/>
                <w:color w:val="auto"/>
                <w:sz w:val="24"/>
                <w:szCs w:val="24"/>
                <w:highlight w:val="none"/>
              </w:rPr>
            </w:pPr>
            <w:r>
              <w:rPr>
                <w:rFonts w:hint="eastAsia" w:ascii="宋体" w:hAnsi="宋体" w:eastAsia="宋体" w:cs="宋体"/>
                <w:b/>
                <w:bCs/>
                <w:snapToGrid w:val="0"/>
                <w:color w:val="auto"/>
                <w:kern w:val="28"/>
                <w:sz w:val="24"/>
                <w:szCs w:val="24"/>
                <w:highlight w:val="none"/>
              </w:rPr>
              <w:t xml:space="preserve">√ </w:t>
            </w:r>
            <w:r>
              <w:rPr>
                <w:rFonts w:hint="eastAsia" w:ascii="宋体" w:hAnsi="宋体" w:eastAsia="宋体" w:cs="宋体"/>
                <w:b/>
                <w:bCs/>
                <w:color w:val="auto"/>
                <w:kern w:val="0"/>
                <w:sz w:val="24"/>
                <w:szCs w:val="24"/>
                <w:highlight w:val="none"/>
              </w:rPr>
              <w:t xml:space="preserve"> 固定总价</w:t>
            </w:r>
            <w:r>
              <w:rPr>
                <w:rFonts w:hint="eastAsia" w:ascii="宋体" w:hAnsi="宋体" w:eastAsia="宋体" w:cs="宋体"/>
                <w:b/>
                <w:bCs/>
                <w:color w:val="auto"/>
                <w:sz w:val="24"/>
                <w:szCs w:val="24"/>
                <w:highlight w:val="none"/>
              </w:rPr>
              <w:t>。</w:t>
            </w:r>
          </w:p>
          <w:p w14:paraId="17BCDA99">
            <w:pPr>
              <w:snapToGrid w:val="0"/>
              <w:spacing w:line="360" w:lineRule="auto"/>
              <w:contextualSpacing/>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固定单价。</w:t>
            </w:r>
          </w:p>
          <w:p w14:paraId="3968CEFD">
            <w:pPr>
              <w:snapToGrid w:val="0"/>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B报价相关要求：</w:t>
            </w:r>
          </w:p>
          <w:p w14:paraId="5C751604">
            <w:pPr>
              <w:snapToGrid w:val="0"/>
              <w:spacing w:line="360" w:lineRule="auto"/>
              <w:jc w:val="left"/>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b/>
                <w:bCs/>
                <w:color w:val="auto"/>
                <w:kern w:val="0"/>
                <w:sz w:val="24"/>
                <w:szCs w:val="24"/>
                <w:highlight w:val="none"/>
                <w:lang w:val="zh-CN"/>
              </w:rPr>
              <w:t>投标文件</w:t>
            </w:r>
            <w:r>
              <w:rPr>
                <w:rFonts w:hint="eastAsia" w:ascii="宋体" w:hAnsi="宋体" w:eastAsia="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szCs w:val="24"/>
                <w:highlight w:val="none"/>
                <w:lang w:val="zh-CN"/>
              </w:rPr>
              <w:t>投标文件中价格全部采用人民币报价。招标文件未列明，而投标人认为必需的费用也需列入报价。</w:t>
            </w:r>
          </w:p>
          <w:p w14:paraId="037DFD87">
            <w:pPr>
              <w:snapToGrid w:val="0"/>
              <w:spacing w:line="360" w:lineRule="auto"/>
              <w:jc w:val="left"/>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投标报价出现下列情形的，投标无效：</w:t>
            </w:r>
          </w:p>
          <w:p w14:paraId="57C05D5F">
            <w:pPr>
              <w:snapToGrid w:val="0"/>
              <w:spacing w:line="360" w:lineRule="auto"/>
              <w:ind w:firstLine="241" w:firstLineChars="100"/>
              <w:jc w:val="left"/>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投标文件出现不是唯一的、有选择性投标报价的；</w:t>
            </w:r>
          </w:p>
          <w:p w14:paraId="49DB1466">
            <w:pPr>
              <w:snapToGrid w:val="0"/>
              <w:spacing w:line="360" w:lineRule="auto"/>
              <w:ind w:firstLine="241" w:firstLineChars="100"/>
              <w:jc w:val="left"/>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投标报价超过招标文件中规定的预算金额或者最高限价的；</w:t>
            </w:r>
          </w:p>
          <w:p w14:paraId="65358906">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highlight w:val="none"/>
              </w:rPr>
              <w:t>；</w:t>
            </w:r>
          </w:p>
          <w:p w14:paraId="44242283">
            <w:pPr>
              <w:spacing w:line="360" w:lineRule="auto"/>
              <w:ind w:firstLine="241" w:firstLineChars="10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投标人对根据修正原则修正后的报价不确认的</w:t>
            </w:r>
            <w:r>
              <w:rPr>
                <w:rFonts w:hint="eastAsia" w:ascii="宋体" w:hAnsi="宋体" w:eastAsia="宋体" w:cs="宋体"/>
                <w:b/>
                <w:color w:val="auto"/>
                <w:sz w:val="24"/>
                <w:szCs w:val="24"/>
                <w:highlight w:val="none"/>
              </w:rPr>
              <w:t>。</w:t>
            </w:r>
          </w:p>
        </w:tc>
      </w:tr>
      <w:tr w14:paraId="1196A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4" w:hRule="atLeast"/>
          <w:tblHeader/>
        </w:trPr>
        <w:tc>
          <w:tcPr>
            <w:tcW w:w="629" w:type="dxa"/>
            <w:tcBorders>
              <w:top w:val="single" w:color="auto" w:sz="4" w:space="0"/>
              <w:left w:val="single" w:color="000000" w:sz="8" w:space="0"/>
              <w:right w:val="single" w:color="000000" w:sz="2" w:space="0"/>
            </w:tcBorders>
          </w:tcPr>
          <w:p w14:paraId="3C084783">
            <w:pPr>
              <w:snapToGrid w:val="0"/>
              <w:spacing w:line="360" w:lineRule="auto"/>
              <w:jc w:val="center"/>
              <w:rPr>
                <w:rFonts w:hint="eastAsia" w:ascii="宋体" w:hAnsi="宋体" w:eastAsia="宋体" w:cs="宋体"/>
                <w:color w:val="auto"/>
                <w:sz w:val="24"/>
                <w:szCs w:val="24"/>
                <w:highlight w:val="none"/>
              </w:rPr>
            </w:pPr>
          </w:p>
          <w:p w14:paraId="6C5D0A9C">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473" w:type="dxa"/>
            <w:tcBorders>
              <w:top w:val="single" w:color="000000" w:sz="8" w:space="0"/>
              <w:left w:val="single" w:color="000000" w:sz="2" w:space="0"/>
              <w:right w:val="single" w:color="000000" w:sz="8" w:space="0"/>
            </w:tcBorders>
            <w:vAlign w:val="center"/>
          </w:tcPr>
          <w:p w14:paraId="425B39CC">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中小企业信用融资</w:t>
            </w:r>
          </w:p>
        </w:tc>
        <w:tc>
          <w:tcPr>
            <w:tcW w:w="7200" w:type="dxa"/>
            <w:tcBorders>
              <w:top w:val="single" w:color="000000" w:sz="8" w:space="0"/>
              <w:left w:val="single" w:color="000000" w:sz="2" w:space="0"/>
              <w:right w:val="single" w:color="000000" w:sz="8" w:space="0"/>
            </w:tcBorders>
            <w:vAlign w:val="center"/>
          </w:tcPr>
          <w:p w14:paraId="68CA5EBF">
            <w:pPr>
              <w:spacing w:line="360" w:lineRule="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26088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FA741EE">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473" w:type="dxa"/>
            <w:tcBorders>
              <w:top w:val="single" w:color="000000" w:sz="8" w:space="0"/>
              <w:left w:val="single" w:color="000000" w:sz="2" w:space="0"/>
              <w:bottom w:val="single" w:color="000000" w:sz="8" w:space="0"/>
              <w:right w:val="single" w:color="000000" w:sz="8" w:space="0"/>
            </w:tcBorders>
            <w:vAlign w:val="center"/>
          </w:tcPr>
          <w:p w14:paraId="395B4217">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备份投标文件送达地点和签收人员 </w:t>
            </w:r>
          </w:p>
        </w:tc>
        <w:tc>
          <w:tcPr>
            <w:tcW w:w="7200" w:type="dxa"/>
            <w:tcBorders>
              <w:top w:val="single" w:color="000000" w:sz="8" w:space="0"/>
              <w:left w:val="single" w:color="000000" w:sz="2" w:space="0"/>
              <w:bottom w:val="single" w:color="000000" w:sz="8" w:space="0"/>
              <w:right w:val="single" w:color="000000" w:sz="8" w:space="0"/>
            </w:tcBorders>
            <w:vAlign w:val="center"/>
          </w:tcPr>
          <w:p w14:paraId="0B257ED8">
            <w:pPr>
              <w:pStyle w:val="33"/>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szCs w:val="24"/>
                <w:highlight w:val="none"/>
                <w:u w:val="single"/>
              </w:rPr>
              <w:t>杭州市西湖区文三路90号东部软件园1号楼3楼321室</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szCs w:val="24"/>
                <w:highlight w:val="none"/>
                <w:u w:val="single"/>
              </w:rPr>
              <w:t>葛珍妮，0571-81061821</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采购人、采购代理机构不强制或变相强制投标人提交备份投标文件。</w:t>
            </w:r>
          </w:p>
        </w:tc>
      </w:tr>
      <w:tr w14:paraId="6D43A6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BE0FBE6">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473" w:type="dxa"/>
            <w:tcBorders>
              <w:top w:val="single" w:color="000000" w:sz="8" w:space="0"/>
              <w:left w:val="single" w:color="000000" w:sz="2" w:space="0"/>
              <w:bottom w:val="single" w:color="000000" w:sz="8" w:space="0"/>
              <w:right w:val="single" w:color="000000" w:sz="8" w:space="0"/>
            </w:tcBorders>
            <w:vAlign w:val="center"/>
          </w:tcPr>
          <w:p w14:paraId="7F613586">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采购代理服务费</w:t>
            </w:r>
          </w:p>
        </w:tc>
        <w:tc>
          <w:tcPr>
            <w:tcW w:w="7200" w:type="dxa"/>
            <w:tcBorders>
              <w:top w:val="single" w:color="000000" w:sz="8" w:space="0"/>
              <w:left w:val="single" w:color="000000" w:sz="2" w:space="0"/>
              <w:bottom w:val="single" w:color="000000" w:sz="8" w:space="0"/>
              <w:right w:val="single" w:color="000000" w:sz="8" w:space="0"/>
            </w:tcBorders>
            <w:vAlign w:val="center"/>
          </w:tcPr>
          <w:p w14:paraId="4B360C43">
            <w:pPr>
              <w:numPr>
                <w:ilvl w:val="0"/>
                <w:numId w:val="2"/>
              </w:numPr>
              <w:snapToGrid w:val="0"/>
              <w:spacing w:line="3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代理服务费收取方式：本项目的代理服务费由中标供应商在本项目合同签订前一次性全额支付。</w:t>
            </w:r>
          </w:p>
          <w:p w14:paraId="21A58E6A">
            <w:pPr>
              <w:numPr>
                <w:ilvl w:val="0"/>
                <w:numId w:val="2"/>
              </w:numPr>
              <w:snapToGrid w:val="0"/>
              <w:spacing w:line="3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代理服务费用收取标准：本项目代理服务费用按照《招标代理服务收费管理暂行办法》（计价格〔2002〕1980号）的</w:t>
            </w:r>
            <w:r>
              <w:rPr>
                <w:rFonts w:hint="eastAsia" w:ascii="宋体" w:hAnsi="宋体" w:eastAsia="宋体" w:cs="宋体"/>
                <w:color w:val="auto"/>
                <w:kern w:val="0"/>
                <w:sz w:val="24"/>
                <w:szCs w:val="24"/>
                <w:highlight w:val="none"/>
                <w:lang w:val="en-US" w:eastAsia="zh-CN"/>
              </w:rPr>
              <w:t>63</w:t>
            </w:r>
            <w:r>
              <w:rPr>
                <w:rFonts w:hint="eastAsia" w:ascii="宋体" w:hAnsi="宋体" w:eastAsia="宋体" w:cs="宋体"/>
                <w:color w:val="auto"/>
                <w:kern w:val="0"/>
                <w:sz w:val="24"/>
                <w:szCs w:val="24"/>
                <w:highlight w:val="none"/>
              </w:rPr>
              <w:t>%计取，以中标金额为计费基数，差额定率累进计算，单个项目按以上约定的收费标准计算代理服务费不足人民币</w:t>
            </w: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00元时，按人民币</w:t>
            </w:r>
            <w:r>
              <w:rPr>
                <w:rFonts w:hint="eastAsia" w:ascii="宋体" w:hAnsi="宋体" w:eastAsia="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00元计取。</w:t>
            </w:r>
          </w:p>
          <w:p w14:paraId="54193096">
            <w:pPr>
              <w:numPr>
                <w:ilvl w:val="0"/>
                <w:numId w:val="2"/>
              </w:numPr>
              <w:snapToGrid w:val="0"/>
              <w:spacing w:line="3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代理服务费支付：</w:t>
            </w:r>
          </w:p>
          <w:p w14:paraId="32BB0171">
            <w:pPr>
              <w:numPr>
                <w:ilvl w:val="0"/>
                <w:numId w:val="3"/>
              </w:numPr>
              <w:snapToGrid w:val="0"/>
              <w:spacing w:line="3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代理服务费支付形式：汇票/支票/电汇/现金</w:t>
            </w:r>
          </w:p>
          <w:p w14:paraId="49B5F576">
            <w:pPr>
              <w:numPr>
                <w:ilvl w:val="0"/>
                <w:numId w:val="3"/>
              </w:numPr>
              <w:snapToGrid w:val="0"/>
              <w:spacing w:line="3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代理服务费支付账户 ：</w:t>
            </w:r>
          </w:p>
          <w:p w14:paraId="61CB6169">
            <w:pPr>
              <w:snapToGrid w:val="0"/>
              <w:spacing w:line="360" w:lineRule="exact"/>
              <w:ind w:firstLine="840" w:firstLineChars="3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收款单位（户名）：浙江国际招投标有限公司</w:t>
            </w:r>
          </w:p>
          <w:p w14:paraId="7A815CAF">
            <w:pPr>
              <w:snapToGrid w:val="0"/>
              <w:spacing w:line="360" w:lineRule="exact"/>
              <w:ind w:firstLine="840" w:firstLineChars="3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  户：中国工商银行杭州市武林支行</w:t>
            </w:r>
          </w:p>
          <w:p w14:paraId="6E31A857">
            <w:pPr>
              <w:snapToGrid w:val="0"/>
              <w:spacing w:line="360" w:lineRule="exact"/>
              <w:ind w:firstLine="840" w:firstLineChars="35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账  号：1202021209906782015</w:t>
            </w:r>
          </w:p>
          <w:p w14:paraId="09500E92">
            <w:pPr>
              <w:numPr>
                <w:ilvl w:val="0"/>
                <w:numId w:val="2"/>
              </w:numPr>
              <w:snapToGrid w:val="0"/>
              <w:spacing w:line="360" w:lineRule="exact"/>
              <w:rPr>
                <w:rFonts w:hint="eastAsia" w:ascii="宋体" w:hAnsi="宋体" w:eastAsia="宋体" w:cs="宋体"/>
                <w:color w:val="auto"/>
                <w:kern w:val="28"/>
                <w:sz w:val="24"/>
                <w:szCs w:val="24"/>
                <w:highlight w:val="none"/>
              </w:rPr>
            </w:pPr>
            <w:r>
              <w:rPr>
                <w:rFonts w:hint="eastAsia" w:ascii="宋体" w:hAnsi="宋体" w:eastAsia="宋体" w:cs="宋体"/>
                <w:color w:val="auto"/>
                <w:kern w:val="0"/>
                <w:sz w:val="24"/>
                <w:szCs w:val="24"/>
                <w:highlight w:val="none"/>
              </w:rPr>
              <w:t>收取流程：中标供应商按照中标结果公告确定金额支付后将汇款底单、开票信息和发票邮寄地址发送至zq017@163.com，采购代理机构在收到邮件后开具发票并及时</w:t>
            </w:r>
            <w:r>
              <w:rPr>
                <w:rFonts w:hint="eastAsia" w:ascii="宋体" w:hAnsi="宋体" w:eastAsia="宋体" w:cs="宋体"/>
                <w:color w:val="auto"/>
                <w:kern w:val="0"/>
                <w:sz w:val="24"/>
                <w:szCs w:val="24"/>
                <w:highlight w:val="none"/>
                <w:lang w:eastAsia="zh-CN"/>
              </w:rPr>
              <w:t>发送</w:t>
            </w:r>
            <w:r>
              <w:rPr>
                <w:rFonts w:hint="eastAsia" w:ascii="宋体" w:hAnsi="宋体" w:eastAsia="宋体" w:cs="宋体"/>
                <w:color w:val="auto"/>
                <w:kern w:val="0"/>
                <w:sz w:val="24"/>
                <w:szCs w:val="24"/>
                <w:highlight w:val="none"/>
              </w:rPr>
              <w:t>给中标供应商。</w:t>
            </w:r>
          </w:p>
        </w:tc>
      </w:tr>
      <w:tr w14:paraId="6CDA6B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7FE4571C">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473" w:type="dxa"/>
            <w:vMerge w:val="restart"/>
            <w:tcBorders>
              <w:top w:val="single" w:color="000000" w:sz="8" w:space="0"/>
              <w:left w:val="single" w:color="000000" w:sz="2" w:space="0"/>
              <w:right w:val="single" w:color="000000" w:sz="8" w:space="0"/>
            </w:tcBorders>
            <w:vAlign w:val="center"/>
          </w:tcPr>
          <w:p w14:paraId="791E4C36">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特别说明</w:t>
            </w:r>
          </w:p>
        </w:tc>
        <w:tc>
          <w:tcPr>
            <w:tcW w:w="7200" w:type="dxa"/>
            <w:tcBorders>
              <w:top w:val="single" w:color="000000" w:sz="8" w:space="0"/>
              <w:left w:val="single" w:color="000000" w:sz="2" w:space="0"/>
              <w:bottom w:val="single" w:color="000000" w:sz="8" w:space="0"/>
              <w:right w:val="single" w:color="000000" w:sz="8" w:space="0"/>
            </w:tcBorders>
            <w:vAlign w:val="center"/>
          </w:tcPr>
          <w:p w14:paraId="3F95B42E">
            <w:pPr>
              <w:pStyle w:val="33"/>
              <w:snapToGrid w:val="0"/>
              <w:spacing w:line="360" w:lineRule="auto"/>
              <w:rPr>
                <w:rFonts w:hint="eastAsia" w:ascii="宋体" w:hAnsi="宋体" w:eastAsia="宋体" w:cs="宋体"/>
                <w:b/>
                <w:bCs/>
                <w:color w:val="auto"/>
                <w:kern w:val="28"/>
                <w:sz w:val="24"/>
                <w:szCs w:val="24"/>
                <w:highlight w:val="none"/>
              </w:rPr>
            </w:pPr>
            <w:r>
              <w:rPr>
                <w:rFonts w:hint="eastAsia" w:ascii="宋体" w:hAnsi="宋体" w:eastAsia="宋体" w:cs="宋体"/>
                <w:b/>
                <w:bCs/>
                <w:color w:val="auto"/>
                <w:kern w:val="28"/>
                <w:sz w:val="24"/>
                <w:szCs w:val="24"/>
                <w:highlight w:val="none"/>
              </w:rPr>
              <w:t>业绩证明材料</w:t>
            </w:r>
          </w:p>
          <w:p w14:paraId="4CE01BBE">
            <w:pPr>
              <w:pStyle w:val="33"/>
              <w:snapToGrid w:val="0"/>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kern w:val="28"/>
                <w:sz w:val="24"/>
                <w:szCs w:val="24"/>
                <w:highlight w:val="none"/>
              </w:rPr>
              <w:t>联合体投标的，按联合体协议约定的分工内容出具相应的业绩证明材料。承担相同工作的各方或工作内容存在部分相同的，业绩数量以提供材料较少的一方为准。</w:t>
            </w:r>
          </w:p>
          <w:p w14:paraId="1FB719B8">
            <w:pPr>
              <w:pStyle w:val="33"/>
              <w:snapToGrid w:val="0"/>
              <w:spacing w:line="360" w:lineRule="auto"/>
              <w:rPr>
                <w:rFonts w:hint="eastAsia" w:ascii="宋体" w:hAnsi="宋体" w:eastAsia="宋体" w:cs="宋体"/>
                <w:b/>
                <w:bCs/>
                <w:color w:val="auto"/>
                <w:kern w:val="28"/>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kern w:val="28"/>
                <w:sz w:val="24"/>
                <w:szCs w:val="24"/>
                <w:highlight w:val="none"/>
              </w:rPr>
              <w:t>联合体投标的，由联合体牵头方出具相应的业绩证明材料。</w:t>
            </w:r>
          </w:p>
          <w:p w14:paraId="2ED1DBB7">
            <w:pPr>
              <w:spacing w:line="360" w:lineRule="auto"/>
              <w:rPr>
                <w:rFonts w:hint="eastAsia" w:ascii="宋体" w:hAnsi="宋体" w:eastAsia="宋体" w:cs="宋体"/>
                <w:snapToGrid w:val="0"/>
                <w:color w:val="auto"/>
                <w:kern w:val="28"/>
                <w:sz w:val="24"/>
                <w:szCs w:val="24"/>
                <w:highlight w:val="none"/>
              </w:rPr>
            </w:pPr>
            <w:r>
              <w:rPr>
                <w:rFonts w:hint="eastAsia" w:ascii="宋体" w:hAnsi="宋体" w:eastAsia="宋体" w:cs="宋体"/>
                <w:color w:val="auto"/>
                <w:kern w:val="28"/>
                <w:sz w:val="24"/>
                <w:szCs w:val="24"/>
                <w:highlight w:val="none"/>
              </w:rPr>
              <w:t>☐ 其他规定：/</w:t>
            </w:r>
          </w:p>
        </w:tc>
      </w:tr>
      <w:tr w14:paraId="22F78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35A54567">
            <w:pPr>
              <w:snapToGrid w:val="0"/>
              <w:spacing w:line="360" w:lineRule="auto"/>
              <w:jc w:val="center"/>
              <w:rPr>
                <w:rFonts w:hint="eastAsia" w:ascii="宋体" w:hAnsi="宋体" w:eastAsia="宋体" w:cs="宋体"/>
                <w:color w:val="auto"/>
                <w:sz w:val="24"/>
                <w:szCs w:val="24"/>
                <w:highlight w:val="none"/>
              </w:rPr>
            </w:pPr>
          </w:p>
        </w:tc>
        <w:tc>
          <w:tcPr>
            <w:tcW w:w="1473" w:type="dxa"/>
            <w:vMerge w:val="continue"/>
            <w:tcBorders>
              <w:left w:val="single" w:color="000000" w:sz="2" w:space="0"/>
              <w:right w:val="single" w:color="000000" w:sz="8" w:space="0"/>
            </w:tcBorders>
            <w:vAlign w:val="center"/>
          </w:tcPr>
          <w:p w14:paraId="313EC6DF">
            <w:pPr>
              <w:snapToGrid w:val="0"/>
              <w:spacing w:line="360" w:lineRule="auto"/>
              <w:jc w:val="center"/>
              <w:rPr>
                <w:rFonts w:hint="eastAsia" w:ascii="宋体" w:hAnsi="宋体" w:eastAsia="宋体" w:cs="宋体"/>
                <w:b/>
                <w:color w:val="auto"/>
                <w:sz w:val="24"/>
                <w:szCs w:val="24"/>
                <w:highlight w:val="none"/>
              </w:rPr>
            </w:pPr>
          </w:p>
        </w:tc>
        <w:tc>
          <w:tcPr>
            <w:tcW w:w="7200" w:type="dxa"/>
            <w:tcBorders>
              <w:top w:val="single" w:color="000000" w:sz="8" w:space="0"/>
              <w:left w:val="single" w:color="000000" w:sz="2" w:space="0"/>
              <w:bottom w:val="single" w:color="000000" w:sz="8" w:space="0"/>
              <w:right w:val="single" w:color="000000" w:sz="8" w:space="0"/>
            </w:tcBorders>
            <w:vAlign w:val="center"/>
          </w:tcPr>
          <w:p w14:paraId="106BEEC5">
            <w:pPr>
              <w:spacing w:line="360" w:lineRule="auto"/>
              <w:rPr>
                <w:rFonts w:hint="eastAsia" w:ascii="宋体" w:hAnsi="宋体" w:eastAsia="宋体" w:cs="宋体"/>
                <w:b/>
                <w:bCs/>
                <w:color w:val="auto"/>
                <w:kern w:val="28"/>
                <w:sz w:val="24"/>
                <w:szCs w:val="24"/>
                <w:highlight w:val="none"/>
              </w:rPr>
            </w:pPr>
            <w:r>
              <w:rPr>
                <w:rFonts w:hint="eastAsia" w:ascii="宋体" w:hAnsi="宋体" w:eastAsia="宋体" w:cs="宋体"/>
                <w:b/>
                <w:bCs/>
                <w:color w:val="auto"/>
                <w:kern w:val="28"/>
                <w:sz w:val="24"/>
                <w:szCs w:val="24"/>
                <w:highlight w:val="none"/>
              </w:rPr>
              <w:t xml:space="preserve">其他资信证明材料 </w:t>
            </w:r>
          </w:p>
          <w:p w14:paraId="693DE07B">
            <w:pPr>
              <w:spacing w:line="360" w:lineRule="auto"/>
              <w:rPr>
                <w:rFonts w:hint="eastAsia" w:ascii="宋体" w:hAnsi="宋体" w:eastAsia="宋体" w:cs="宋体"/>
                <w:b/>
                <w:bCs/>
                <w:snapToGrid w:val="0"/>
                <w:color w:val="auto"/>
                <w:kern w:val="28"/>
                <w:sz w:val="24"/>
                <w:szCs w:val="24"/>
                <w:highlight w:val="none"/>
              </w:rPr>
            </w:pPr>
            <w:r>
              <w:rPr>
                <w:rFonts w:hint="eastAsia" w:ascii="宋体" w:hAnsi="宋体" w:eastAsia="宋体" w:cs="宋体"/>
                <w:b/>
                <w:bCs/>
                <w:snapToGrid w:val="0"/>
                <w:color w:val="auto"/>
                <w:kern w:val="28"/>
                <w:sz w:val="24"/>
                <w:szCs w:val="24"/>
                <w:highlight w:val="none"/>
              </w:rPr>
              <w:t>√ 联合体投标的，联合体各方均需按招标文件第四部分评标标准要求提供资信证明文件，否则视为不符合相关要求。</w:t>
            </w:r>
          </w:p>
          <w:p w14:paraId="02587210">
            <w:pPr>
              <w:spacing w:line="360" w:lineRule="auto"/>
              <w:rPr>
                <w:rFonts w:hint="eastAsia" w:ascii="宋体" w:hAnsi="宋体" w:eastAsia="宋体" w:cs="宋体"/>
                <w:snapToGrid w:val="0"/>
                <w:color w:val="auto"/>
                <w:kern w:val="28"/>
                <w:sz w:val="24"/>
                <w:szCs w:val="24"/>
                <w:highlight w:val="none"/>
              </w:rPr>
            </w:pPr>
            <w:sdt>
              <w:sdtPr>
                <w:rPr>
                  <w:rFonts w:hint="eastAsia" w:ascii="宋体" w:hAnsi="宋体" w:eastAsia="宋体" w:cs="宋体"/>
                  <w:color w:val="auto"/>
                  <w:kern w:val="0"/>
                  <w:sz w:val="24"/>
                  <w:szCs w:val="24"/>
                  <w:highlight w:val="none"/>
                </w:rPr>
                <w:id w:val="147455436"/>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snapToGrid w:val="0"/>
                <w:color w:val="auto"/>
                <w:kern w:val="28"/>
                <w:sz w:val="24"/>
                <w:szCs w:val="24"/>
                <w:highlight w:val="none"/>
              </w:rPr>
              <w:t>联合体投标的，联合体中有一方或者联合体成员根据分工按招标文件第四部分评标标准要求提供资信证明文件的，视为符合了相关要求。</w:t>
            </w:r>
          </w:p>
        </w:tc>
      </w:tr>
      <w:tr w14:paraId="226F7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0" w:hRule="atLeast"/>
          <w:tblHeader/>
        </w:trPr>
        <w:tc>
          <w:tcPr>
            <w:tcW w:w="629" w:type="dxa"/>
            <w:vMerge w:val="continue"/>
            <w:tcBorders>
              <w:left w:val="single" w:color="000000" w:sz="8" w:space="0"/>
              <w:bottom w:val="single" w:color="auto" w:sz="4" w:space="0"/>
              <w:right w:val="single" w:color="000000" w:sz="2" w:space="0"/>
            </w:tcBorders>
          </w:tcPr>
          <w:p w14:paraId="7AB07898">
            <w:pPr>
              <w:snapToGrid w:val="0"/>
              <w:spacing w:line="360" w:lineRule="auto"/>
              <w:jc w:val="center"/>
              <w:rPr>
                <w:rFonts w:hint="eastAsia" w:ascii="宋体" w:hAnsi="宋体" w:eastAsia="宋体" w:cs="宋体"/>
                <w:color w:val="auto"/>
                <w:sz w:val="24"/>
                <w:szCs w:val="24"/>
                <w:highlight w:val="none"/>
              </w:rPr>
            </w:pPr>
          </w:p>
        </w:tc>
        <w:tc>
          <w:tcPr>
            <w:tcW w:w="1473" w:type="dxa"/>
            <w:vMerge w:val="continue"/>
            <w:tcBorders>
              <w:left w:val="single" w:color="000000" w:sz="2" w:space="0"/>
              <w:bottom w:val="single" w:color="000000" w:sz="8" w:space="0"/>
              <w:right w:val="single" w:color="000000" w:sz="8" w:space="0"/>
            </w:tcBorders>
            <w:vAlign w:val="center"/>
          </w:tcPr>
          <w:p w14:paraId="360D50B2">
            <w:pPr>
              <w:snapToGrid w:val="0"/>
              <w:spacing w:line="360" w:lineRule="auto"/>
              <w:jc w:val="center"/>
              <w:rPr>
                <w:rFonts w:hint="eastAsia" w:ascii="宋体" w:hAnsi="宋体" w:eastAsia="宋体" w:cs="宋体"/>
                <w:b/>
                <w:color w:val="auto"/>
                <w:sz w:val="24"/>
                <w:szCs w:val="24"/>
                <w:highlight w:val="none"/>
              </w:rPr>
            </w:pPr>
          </w:p>
        </w:tc>
        <w:tc>
          <w:tcPr>
            <w:tcW w:w="7200" w:type="dxa"/>
            <w:tcBorders>
              <w:top w:val="single" w:color="000000" w:sz="8" w:space="0"/>
              <w:left w:val="single" w:color="000000" w:sz="2" w:space="0"/>
              <w:bottom w:val="single" w:color="000000" w:sz="8" w:space="0"/>
              <w:right w:val="single" w:color="000000" w:sz="8" w:space="0"/>
            </w:tcBorders>
            <w:vAlign w:val="center"/>
          </w:tcPr>
          <w:p w14:paraId="175D4BF8">
            <w:pPr>
              <w:spacing w:line="360" w:lineRule="auto"/>
              <w:rPr>
                <w:rFonts w:hint="eastAsia" w:ascii="宋体" w:hAnsi="宋体" w:eastAsia="宋体" w:cs="宋体"/>
                <w:snapToGrid w:val="0"/>
                <w:color w:val="auto"/>
                <w:kern w:val="28"/>
                <w:sz w:val="24"/>
                <w:szCs w:val="24"/>
                <w:highlight w:val="none"/>
              </w:rPr>
            </w:pPr>
            <w:r>
              <w:rPr>
                <w:rFonts w:hint="eastAsia" w:ascii="宋体" w:hAnsi="宋体" w:eastAsia="宋体" w:cs="宋体"/>
                <w:b/>
                <w:bCs/>
                <w:color w:val="auto"/>
                <w:kern w:val="0"/>
                <w:sz w:val="24"/>
                <w:szCs w:val="24"/>
                <w:highlight w:val="none"/>
                <w:lang w:val="en"/>
              </w:rPr>
              <w:t>本项目推荐的中标候选人数量：</w:t>
            </w:r>
            <w:r>
              <w:rPr>
                <w:rFonts w:hint="eastAsia" w:ascii="宋体" w:hAnsi="宋体" w:eastAsia="宋体" w:cs="宋体"/>
                <w:b/>
                <w:bCs/>
                <w:color w:val="auto"/>
                <w:kern w:val="0"/>
                <w:sz w:val="24"/>
                <w:szCs w:val="24"/>
                <w:highlight w:val="none"/>
                <w:u w:val="single"/>
              </w:rPr>
              <w:t xml:space="preserve"> 1家  </w:t>
            </w:r>
            <w:r>
              <w:rPr>
                <w:rFonts w:hint="eastAsia" w:ascii="宋体" w:hAnsi="宋体" w:eastAsia="宋体" w:cs="宋体"/>
                <w:b/>
                <w:bCs/>
                <w:color w:val="auto"/>
                <w:kern w:val="0"/>
                <w:sz w:val="24"/>
                <w:szCs w:val="24"/>
                <w:highlight w:val="none"/>
                <w:lang w:val="en"/>
              </w:rPr>
              <w:t>。</w:t>
            </w:r>
          </w:p>
        </w:tc>
      </w:tr>
    </w:tbl>
    <w:p w14:paraId="50C713BE">
      <w:pPr>
        <w:snapToGrid w:val="0"/>
        <w:spacing w:line="360" w:lineRule="auto"/>
        <w:jc w:val="center"/>
        <w:rPr>
          <w:rFonts w:ascii="宋体" w:hAnsi="宋体" w:cs="宋体"/>
          <w:b/>
          <w:color w:val="auto"/>
          <w:sz w:val="32"/>
          <w:szCs w:val="20"/>
          <w:highlight w:val="none"/>
        </w:rPr>
      </w:pPr>
    </w:p>
    <w:bookmarkEnd w:id="6"/>
    <w:p w14:paraId="30437719">
      <w:pPr>
        <w:rPr>
          <w:rFonts w:ascii="宋体" w:hAnsi="宋体" w:cs="宋体"/>
          <w:b/>
          <w:color w:val="auto"/>
          <w:sz w:val="32"/>
          <w:szCs w:val="20"/>
          <w:highlight w:val="none"/>
        </w:rPr>
      </w:pPr>
      <w:bookmarkStart w:id="7" w:name="第三部分"/>
      <w:bookmarkStart w:id="8" w:name="_Toc164416483"/>
      <w:r>
        <w:rPr>
          <w:rFonts w:hint="eastAsia" w:ascii="宋体" w:hAnsi="宋体" w:cs="宋体"/>
          <w:b/>
          <w:color w:val="auto"/>
          <w:sz w:val="32"/>
          <w:szCs w:val="20"/>
          <w:highlight w:val="none"/>
        </w:rPr>
        <w:br w:type="page"/>
      </w:r>
    </w:p>
    <w:p w14:paraId="0A11E89A">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3A9F4D77">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CBBA43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909704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0A5647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1EF039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07F590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79CBD8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78E1F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FC98A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68112D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hint="eastAsia" w:hAnsi="宋体" w:cs="宋体"/>
          <w:b/>
          <w:bCs/>
          <w:color w:val="auto"/>
          <w:sz w:val="24"/>
          <w:highlight w:val="none"/>
        </w:rPr>
        <w:t>√</w:t>
      </w:r>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CE47264">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0E343E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08388C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0340B972">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8F8C7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077C6F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74F55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D72DF4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E39F8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C8FEE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4FDBE5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A79860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E7750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9A56C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92AE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60BE3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0DA488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6CF42BB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113826CD">
      <w:pPr>
        <w:spacing w:line="360" w:lineRule="auto"/>
        <w:ind w:firstLine="420" w:firstLineChars="175"/>
        <w:rPr>
          <w:rFonts w:ascii="宋体" w:hAnsi="宋体" w:cs="宋体"/>
          <w:color w:val="auto"/>
          <w:sz w:val="24"/>
          <w:highlight w:val="none"/>
        </w:rPr>
      </w:pPr>
      <w:r>
        <w:rPr>
          <w:rFonts w:hint="eastAsia" w:ascii="宋体" w:hAnsi="宋体" w:cs="宋体"/>
          <w:color w:val="auto"/>
          <w:sz w:val="24"/>
          <w:highlight w:val="none"/>
        </w:rPr>
        <w:t>3.4.1 首台套、“制造精品”、“专精特新”等创新产品按规定享受政府采购支持政策。</w:t>
      </w:r>
    </w:p>
    <w:p w14:paraId="05CB3823">
      <w:pPr>
        <w:pStyle w:val="4"/>
        <w:adjustRightInd w:val="0"/>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3.4.2采购人应当贯彻落实知识产权保护相关法律法规，应当采购使用正版软件。</w:t>
      </w:r>
    </w:p>
    <w:p w14:paraId="56159B1D">
      <w:pPr>
        <w:pStyle w:val="4"/>
        <w:adjustRightInd w:val="0"/>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3.5平等对待内外资企业和符合条件的破产重整企业</w:t>
      </w:r>
    </w:p>
    <w:p w14:paraId="28054BD3">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询问、质疑、投诉、补偿救济</w:t>
      </w:r>
    </w:p>
    <w:p w14:paraId="7753A5E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423E10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9E659E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EE5B5FA">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91CDBB5">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713A06FD">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B0F929B">
      <w:pPr>
        <w:pStyle w:val="1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66C6FD27">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582E418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6C0F6E4">
      <w:pPr>
        <w:pStyle w:val="33"/>
        <w:spacing w:line="360" w:lineRule="auto"/>
        <w:ind w:firstLine="840" w:firstLineChars="35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44EDC95B">
      <w:pPr>
        <w:pStyle w:val="33"/>
        <w:spacing w:line="360" w:lineRule="auto"/>
        <w:ind w:firstLine="840" w:firstLineChars="35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5A3C3F21">
      <w:pPr>
        <w:pStyle w:val="33"/>
        <w:spacing w:line="360" w:lineRule="auto"/>
        <w:ind w:firstLine="840" w:firstLineChars="35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60F5835A">
      <w:pPr>
        <w:pStyle w:val="33"/>
        <w:spacing w:line="360" w:lineRule="auto"/>
        <w:ind w:firstLine="840" w:firstLineChars="35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10CED309">
      <w:pPr>
        <w:pStyle w:val="33"/>
        <w:spacing w:line="360" w:lineRule="auto"/>
        <w:ind w:firstLine="840" w:firstLineChars="35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71E95D89">
      <w:pPr>
        <w:pStyle w:val="33"/>
        <w:spacing w:line="360" w:lineRule="auto"/>
        <w:ind w:firstLine="840" w:firstLineChars="35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54E2CF06">
      <w:pPr>
        <w:pStyle w:val="890"/>
        <w:shd w:val="clear" w:color="auto" w:fill="FFFFFF"/>
        <w:snapToGrid w:val="0"/>
        <w:spacing w:before="0" w:beforeAutospacing="0" w:after="0" w:afterAutospacing="0" w:line="360" w:lineRule="auto"/>
        <w:ind w:firstLine="403"/>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8A82DFC">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2FCF23E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2D8F99F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590377A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9D87075">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38AA2E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9C6DC1B">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0877A3A">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4BDB22CB">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04BD88B8">
      <w:pPr>
        <w:pStyle w:val="890"/>
        <w:shd w:val="clear" w:color="auto" w:fill="FFFFFF"/>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4.5 补偿救济</w:t>
      </w:r>
    </w:p>
    <w:p w14:paraId="127BBD2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采购人（行政机关）因政策变化、规划调整而不履行政府采购合同的，供应商可向采购人（行政机关）提起补偿申请。</w:t>
      </w:r>
    </w:p>
    <w:p w14:paraId="22675599">
      <w:pPr>
        <w:pStyle w:val="890"/>
        <w:shd w:val="clear" w:color="auto" w:fill="FFFFFF"/>
        <w:snapToGrid w:val="0"/>
        <w:spacing w:before="0" w:beforeAutospacing="0" w:after="0" w:afterAutospacing="0" w:line="360" w:lineRule="auto"/>
        <w:ind w:firstLine="403"/>
        <w:contextualSpacing/>
        <w:rPr>
          <w:color w:val="auto"/>
          <w:highlight w:val="none"/>
        </w:rPr>
      </w:pPr>
      <w:r>
        <w:rPr>
          <w:rFonts w:hint="eastAsia"/>
          <w:color w:val="auto"/>
          <w:highlight w:val="none"/>
        </w:rPr>
        <w:t>投诉书范本及制作说明详见附件3。</w:t>
      </w:r>
    </w:p>
    <w:p w14:paraId="345DE912">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1BFC2DC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2CF3EEB4">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2E60E339">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11D2F116">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A36971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9B6F5E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31BDCB2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9A684BA">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1E8B0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4A8044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1946453A">
      <w:pPr>
        <w:pStyle w:val="14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32DFCD25">
      <w:pPr>
        <w:pStyle w:val="141"/>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3226D3">
      <w:pPr>
        <w:pStyle w:val="2"/>
        <w:jc w:val="center"/>
        <w:rPr>
          <w:rFonts w:hAnsi="宋体" w:cs="宋体"/>
          <w:b/>
          <w:color w:val="auto"/>
          <w:sz w:val="30"/>
          <w:szCs w:val="20"/>
          <w:highlight w:val="none"/>
        </w:rPr>
      </w:pPr>
      <w:r>
        <w:rPr>
          <w:rFonts w:hint="eastAsia" w:hAnsi="宋体" w:cs="宋体"/>
          <w:b/>
          <w:color w:val="auto"/>
          <w:sz w:val="30"/>
          <w:szCs w:val="20"/>
          <w:highlight w:val="none"/>
        </w:rPr>
        <w:t>三、投标</w:t>
      </w:r>
    </w:p>
    <w:p w14:paraId="65487BC9">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2BE0D70E">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938FE4E">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474D13E1">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008231F">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15EC8226">
      <w:pPr>
        <w:pStyle w:val="1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20CAC22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686BC69B">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1E54FC3">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3DF5F1D1">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11.1资格文件</w:t>
      </w:r>
    </w:p>
    <w:p w14:paraId="405EB8B1">
      <w:pPr>
        <w:snapToGrid w:val="0"/>
        <w:spacing w:line="360" w:lineRule="auto"/>
        <w:ind w:firstLine="960" w:firstLineChars="400"/>
        <w:rPr>
          <w:rFonts w:ascii="宋体" w:hAnsi="宋体" w:cs="宋体"/>
          <w:color w:val="auto"/>
          <w:sz w:val="24"/>
          <w:highlight w:val="none"/>
        </w:rPr>
      </w:pPr>
      <w:r>
        <w:rPr>
          <w:rFonts w:ascii="宋体" w:hAnsi="宋体" w:cs="宋体"/>
          <w:color w:val="auto"/>
          <w:sz w:val="24"/>
          <w:highlight w:val="none"/>
        </w:rPr>
        <w:t>11.1.1符合参加政府采购活动应当具备的一般条件的承诺函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如为联合体，各成员单位均须提供）</w:t>
      </w:r>
      <w:r>
        <w:rPr>
          <w:rFonts w:ascii="宋体" w:hAnsi="宋体" w:cs="宋体"/>
          <w:color w:val="auto"/>
          <w:sz w:val="24"/>
          <w:highlight w:val="none"/>
        </w:rPr>
        <w:t>；</w:t>
      </w:r>
    </w:p>
    <w:p w14:paraId="5C785704">
      <w:pPr>
        <w:snapToGrid w:val="0"/>
        <w:spacing w:line="360" w:lineRule="auto"/>
        <w:ind w:firstLine="960" w:firstLineChars="400"/>
        <w:rPr>
          <w:rFonts w:ascii="宋体" w:hAnsi="宋体" w:cs="宋体"/>
          <w:color w:val="auto"/>
          <w:sz w:val="24"/>
          <w:highlight w:val="none"/>
        </w:rPr>
      </w:pPr>
      <w:r>
        <w:rPr>
          <w:rFonts w:ascii="宋体" w:hAnsi="宋体" w:cs="宋体"/>
          <w:color w:val="auto"/>
          <w:sz w:val="24"/>
          <w:highlight w:val="none"/>
        </w:rPr>
        <w:t>11.1.2</w:t>
      </w:r>
      <w:r>
        <w:rPr>
          <w:rFonts w:hint="eastAsia" w:ascii="宋体" w:hAnsi="宋体" w:cs="宋体"/>
          <w:snapToGrid w:val="0"/>
          <w:color w:val="auto"/>
          <w:kern w:val="28"/>
          <w:sz w:val="24"/>
          <w:highlight w:val="none"/>
        </w:rPr>
        <w:t>联合协议（如果有）；</w:t>
      </w:r>
    </w:p>
    <w:p w14:paraId="6B953485">
      <w:pPr>
        <w:snapToGrid w:val="0"/>
        <w:spacing w:line="360" w:lineRule="auto"/>
        <w:ind w:firstLine="960" w:firstLineChars="400"/>
        <w:rPr>
          <w:rFonts w:ascii="宋体" w:hAnsi="宋体" w:cs="宋体"/>
          <w:color w:val="auto"/>
          <w:sz w:val="24"/>
          <w:highlight w:val="none"/>
        </w:rPr>
      </w:pPr>
      <w:r>
        <w:rPr>
          <w:rFonts w:ascii="宋体" w:hAnsi="宋体" w:cs="宋体"/>
          <w:color w:val="auto"/>
          <w:sz w:val="24"/>
          <w:highlight w:val="none"/>
        </w:rPr>
        <w:t>11.1.3落实政府采购政策需满足的资格要求</w:t>
      </w:r>
      <w:r>
        <w:rPr>
          <w:rFonts w:hint="eastAsia" w:ascii="宋体" w:hAnsi="宋体" w:cs="宋体"/>
          <w:snapToGrid w:val="0"/>
          <w:color w:val="auto"/>
          <w:kern w:val="28"/>
          <w:sz w:val="24"/>
          <w:highlight w:val="none"/>
        </w:rPr>
        <w:t>：</w:t>
      </w:r>
    </w:p>
    <w:p w14:paraId="3AF0FC60">
      <w:pPr>
        <w:pStyle w:val="16"/>
        <w:numPr>
          <w:ilvl w:val="0"/>
          <w:numId w:val="4"/>
        </w:numPr>
        <w:spacing w:line="360" w:lineRule="auto"/>
        <w:ind w:firstLine="840" w:firstLineChars="350"/>
        <w:rPr>
          <w:rFonts w:hAnsi="宋体" w:cs="宋体"/>
          <w:color w:val="auto"/>
          <w:sz w:val="24"/>
          <w:szCs w:val="24"/>
          <w:highlight w:val="none"/>
        </w:rPr>
      </w:pPr>
      <w:r>
        <w:rPr>
          <w:rFonts w:hint="eastAsia" w:hAnsi="宋体" w:cs="宋体"/>
          <w:color w:val="auto"/>
          <w:sz w:val="24"/>
          <w:szCs w:val="24"/>
          <w:highlight w:val="none"/>
        </w:rPr>
        <w:t>中小企业声明函（服务）；</w:t>
      </w:r>
    </w:p>
    <w:p w14:paraId="6EBD59EB">
      <w:pPr>
        <w:pStyle w:val="24"/>
        <w:numPr>
          <w:ilvl w:val="0"/>
          <w:numId w:val="4"/>
        </w:numPr>
        <w:spacing w:line="360" w:lineRule="auto"/>
        <w:ind w:firstLine="840" w:firstLineChars="350"/>
        <w:rPr>
          <w:color w:val="auto"/>
          <w:highlight w:val="none"/>
        </w:rPr>
      </w:pPr>
      <w:r>
        <w:rPr>
          <w:rFonts w:hint="eastAsia"/>
          <w:color w:val="auto"/>
          <w:highlight w:val="none"/>
        </w:rPr>
        <w:t>联合体协议（如果有）；</w:t>
      </w:r>
    </w:p>
    <w:p w14:paraId="0D706969">
      <w:pPr>
        <w:pStyle w:val="24"/>
        <w:numPr>
          <w:ilvl w:val="0"/>
          <w:numId w:val="4"/>
        </w:numPr>
        <w:spacing w:line="360" w:lineRule="auto"/>
        <w:ind w:firstLine="840" w:firstLineChars="350"/>
        <w:rPr>
          <w:color w:val="auto"/>
          <w:highlight w:val="none"/>
        </w:rPr>
      </w:pPr>
      <w:r>
        <w:rPr>
          <w:rFonts w:hint="eastAsia"/>
          <w:color w:val="auto"/>
          <w:highlight w:val="none"/>
        </w:rPr>
        <w:t>分包协议（如果有）。</w:t>
      </w:r>
    </w:p>
    <w:p w14:paraId="2A38E252">
      <w:pPr>
        <w:snapToGrid w:val="0"/>
        <w:spacing w:line="360" w:lineRule="auto"/>
        <w:ind w:firstLine="960" w:firstLineChars="400"/>
        <w:rPr>
          <w:rFonts w:ascii="宋体" w:hAnsi="宋体" w:cs="宋体"/>
          <w:color w:val="auto"/>
          <w:sz w:val="24"/>
          <w:highlight w:val="none"/>
        </w:rPr>
      </w:pPr>
      <w:r>
        <w:rPr>
          <w:rFonts w:ascii="宋体" w:hAnsi="宋体" w:cs="宋体"/>
          <w:color w:val="auto"/>
          <w:sz w:val="24"/>
          <w:highlight w:val="none"/>
        </w:rPr>
        <w:t>11.1.4本项目的特定资格要求</w:t>
      </w:r>
      <w:r>
        <w:rPr>
          <w:rFonts w:hint="eastAsia" w:ascii="宋体" w:hAnsi="宋体" w:cs="宋体"/>
          <w:snapToGrid w:val="0"/>
          <w:color w:val="auto"/>
          <w:kern w:val="28"/>
          <w:sz w:val="24"/>
          <w:highlight w:val="none"/>
        </w:rPr>
        <w:t>：无</w:t>
      </w:r>
      <w:r>
        <w:rPr>
          <w:rFonts w:hint="eastAsia" w:ascii="宋体" w:hAnsi="宋体" w:cs="宋体"/>
          <w:color w:val="auto"/>
          <w:sz w:val="24"/>
          <w:highlight w:val="none"/>
        </w:rPr>
        <w:t>；</w:t>
      </w:r>
    </w:p>
    <w:p w14:paraId="0CDF57C6">
      <w:pPr>
        <w:snapToGrid w:val="0"/>
        <w:spacing w:line="360" w:lineRule="auto"/>
        <w:ind w:firstLine="482" w:firstLineChars="200"/>
        <w:rPr>
          <w:rFonts w:ascii="宋体" w:hAnsi="宋体" w:cs="宋体"/>
          <w:b/>
          <w:bCs/>
          <w:color w:val="auto"/>
          <w:sz w:val="24"/>
          <w:highlight w:val="none"/>
          <w:lang w:val="zh-CN"/>
        </w:rPr>
      </w:pPr>
      <w:r>
        <w:rPr>
          <w:rFonts w:ascii="宋体" w:hAnsi="宋体" w:cs="宋体"/>
          <w:b/>
          <w:bCs/>
          <w:color w:val="auto"/>
          <w:sz w:val="24"/>
          <w:highlight w:val="none"/>
          <w:lang w:val="zh-CN"/>
        </w:rPr>
        <w:t>11.</w:t>
      </w:r>
      <w:r>
        <w:rPr>
          <w:rFonts w:ascii="宋体" w:hAnsi="宋体" w:cs="宋体"/>
          <w:b/>
          <w:bCs/>
          <w:color w:val="auto"/>
          <w:sz w:val="24"/>
          <w:highlight w:val="none"/>
        </w:rPr>
        <w:t>2</w:t>
      </w:r>
      <w:r>
        <w:rPr>
          <w:rFonts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5E22ECF1">
      <w:pPr>
        <w:snapToGrid w:val="0"/>
        <w:spacing w:line="360" w:lineRule="auto"/>
        <w:ind w:firstLine="960" w:firstLineChars="400"/>
        <w:rPr>
          <w:rFonts w:ascii="宋体" w:hAnsi="宋体" w:cs="宋体"/>
          <w:color w:val="auto"/>
          <w:sz w:val="24"/>
          <w:highlight w:val="none"/>
        </w:rPr>
      </w:pPr>
      <w:r>
        <w:rPr>
          <w:rFonts w:ascii="宋体" w:hAnsi="宋体" w:cs="宋体"/>
          <w:color w:val="auto"/>
          <w:sz w:val="24"/>
          <w:highlight w:val="none"/>
        </w:rPr>
        <w:t>11.2.1投标函；</w:t>
      </w:r>
    </w:p>
    <w:p w14:paraId="2FAEC616">
      <w:pPr>
        <w:snapToGrid w:val="0"/>
        <w:spacing w:line="360" w:lineRule="auto"/>
        <w:ind w:firstLine="960" w:firstLineChars="400"/>
        <w:rPr>
          <w:rFonts w:ascii="宋体" w:hAnsi="宋体" w:cs="宋体"/>
          <w:color w:val="auto"/>
          <w:sz w:val="24"/>
          <w:highlight w:val="none"/>
        </w:rPr>
      </w:pPr>
      <w:r>
        <w:rPr>
          <w:rFonts w:ascii="宋体" w:hAnsi="宋体" w:cs="宋体"/>
          <w:color w:val="auto"/>
          <w:sz w:val="24"/>
          <w:highlight w:val="none"/>
        </w:rPr>
        <w:t>11.2.2授权委托书或法</w:t>
      </w:r>
      <w:r>
        <w:rPr>
          <w:rFonts w:hint="eastAsia" w:ascii="宋体" w:hAnsi="宋体" w:cs="宋体"/>
          <w:color w:val="auto"/>
          <w:sz w:val="24"/>
          <w:highlight w:val="none"/>
        </w:rPr>
        <w:t>定代表人（单位负责人、自然人本人）身份证明；</w:t>
      </w:r>
    </w:p>
    <w:p w14:paraId="791969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szCs w:val="20"/>
          <w:highlight w:val="none"/>
        </w:rPr>
        <w:t>（如果有）；</w:t>
      </w:r>
    </w:p>
    <w:p w14:paraId="093667B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06B66A3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11.2.5评标标准相应的商务技术资料；</w:t>
      </w:r>
    </w:p>
    <w:p w14:paraId="39813BB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11.2.6投标标的清单；</w:t>
      </w:r>
    </w:p>
    <w:p w14:paraId="4708D07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11.2.7商务技术偏离表；</w:t>
      </w:r>
    </w:p>
    <w:p w14:paraId="5EC443D1">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w:t>
      </w:r>
    </w:p>
    <w:p w14:paraId="5DEADF66">
      <w:pPr>
        <w:snapToGrid w:val="0"/>
        <w:spacing w:line="360" w:lineRule="auto"/>
        <w:ind w:firstLine="482" w:firstLineChars="200"/>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14:paraId="2E5E2B4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3BB7268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2896334">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92FE23D">
      <w:pPr>
        <w:spacing w:line="360" w:lineRule="auto"/>
        <w:ind w:firstLine="420" w:firstLineChars="175"/>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投标人应对投标文件中材料的真实性、合法性负责。</w:t>
      </w:r>
    </w:p>
    <w:p w14:paraId="3E1956C8">
      <w:pPr>
        <w:spacing w:line="360" w:lineRule="auto"/>
        <w:ind w:firstLine="420" w:firstLineChars="175"/>
        <w:rPr>
          <w:rFonts w:ascii="宋体" w:hAnsi="宋体" w:cs="宋体"/>
          <w:color w:val="auto"/>
          <w:kern w:val="0"/>
          <w:sz w:val="24"/>
          <w:highlight w:val="none"/>
          <w:lang w:val="zh-CN"/>
        </w:rPr>
      </w:pPr>
      <w:r>
        <w:rPr>
          <w:rFonts w:hint="eastAsia" w:ascii="宋体" w:hAnsi="宋体" w:cs="宋体"/>
          <w:color w:val="auto"/>
          <w:kern w:val="0"/>
          <w:sz w:val="24"/>
          <w:highlight w:val="none"/>
        </w:rPr>
        <w:t>投标人可事先在公开官网查询、核对相关证书和报告内容，确保投标（响应）文件资料准确无误。投标人应对投标文件中材料的真实性、合法性负责。</w:t>
      </w:r>
    </w:p>
    <w:p w14:paraId="00380166">
      <w:pPr>
        <w:pStyle w:val="14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2E2AAA5F">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w:t>
      </w:r>
      <w:r>
        <w:rPr>
          <w:rFonts w:hint="eastAsia" w:ascii="宋体" w:hAnsi="宋体" w:cs="宋体"/>
          <w:color w:val="auto"/>
          <w:kern w:val="0"/>
          <w:sz w:val="24"/>
          <w:highlight w:val="none"/>
        </w:rPr>
        <w:t>投标人如参加多个标项投标，投标文件应按标项分别编制递交。</w:t>
      </w:r>
      <w:r>
        <w:rPr>
          <w:rFonts w:hint="eastAsia" w:ascii="宋体" w:hAnsi="宋体" w:cs="宋体"/>
          <w:color w:val="auto"/>
          <w:kern w:val="0"/>
          <w:sz w:val="24"/>
          <w:highlight w:val="none"/>
          <w:lang w:val="zh-CN"/>
        </w:rPr>
        <w:t>各投标人在编制投标文件时请按照招标文件第六部分规定的格式进行，混乱的编排导致投标文件被误读或评标委员会查找不到有效文件是投标人的风险。</w:t>
      </w:r>
    </w:p>
    <w:p w14:paraId="131A0A2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A53DBA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4CD6306">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4238A92F">
      <w:pPr>
        <w:pStyle w:val="14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93B9E90">
      <w:pPr>
        <w:pStyle w:val="14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05A59AE">
      <w:pPr>
        <w:pStyle w:val="14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1265BFCB">
      <w:pPr>
        <w:pStyle w:val="14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5225FBA">
      <w:pPr>
        <w:pStyle w:val="141"/>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0550065">
      <w:pPr>
        <w:pStyle w:val="14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4FE5288">
      <w:pPr>
        <w:pStyle w:val="14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0094103">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312FD813">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310DAC79">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B95A7F4">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2A25A1A9">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1A01CABD">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61B8C98">
      <w:pPr>
        <w:pStyle w:val="14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746ED26">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有招标文件第四部分4.2规定的情形之一的，投标无效：</w:t>
      </w:r>
    </w:p>
    <w:p w14:paraId="1F2211E1">
      <w:pPr>
        <w:pStyle w:val="14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BE6808E">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B47AF31">
      <w:pPr>
        <w:pStyle w:val="14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BED09E6">
      <w:pPr>
        <w:pStyle w:val="14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F0280F1">
      <w:pPr>
        <w:pStyle w:val="14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C076350">
      <w:pPr>
        <w:pStyle w:val="559"/>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36E524B6">
      <w:pPr>
        <w:pStyle w:val="55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4AE4F7B4">
      <w:pPr>
        <w:pStyle w:val="55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8C1DA5D">
      <w:pPr>
        <w:pStyle w:val="55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A4A7367">
      <w:pPr>
        <w:pStyle w:val="559"/>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4A6873C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509C4202">
      <w:pPr>
        <w:pStyle w:val="141"/>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4D52464">
      <w:pPr>
        <w:pStyle w:val="14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18717D7D">
      <w:pPr>
        <w:pStyle w:val="14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7311193B">
      <w:pPr>
        <w:pStyle w:val="559"/>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20.信用信息查询</w:t>
      </w:r>
    </w:p>
    <w:p w14:paraId="0DAE1BE0">
      <w:pPr>
        <w:pStyle w:val="14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5AE7AFF3">
      <w:pPr>
        <w:pStyle w:val="14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106669B">
      <w:pPr>
        <w:pStyle w:val="14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8A39CAF">
      <w:pPr>
        <w:pStyle w:val="14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C53045D">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3A7EE578">
      <w:pPr>
        <w:spacing w:line="360" w:lineRule="auto"/>
        <w:rPr>
          <w:rFonts w:ascii="宋体" w:hAnsi="宋体" w:cs="宋体"/>
          <w:b/>
          <w:color w:val="auto"/>
          <w:sz w:val="24"/>
          <w:highlight w:val="none"/>
        </w:rPr>
      </w:pPr>
      <w:bookmarkStart w:id="9"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8D35653">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29D79ACB">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CD56F8D">
      <w:pPr>
        <w:pStyle w:val="14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22.1采购代理机构应当在评审结束后2个工作日内将评审报告送采购人确认。</w:t>
      </w:r>
    </w:p>
    <w:p w14:paraId="0550006C">
      <w:pPr>
        <w:pStyle w:val="141"/>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22.2采购人应当在收到评审报告后5个工作日内，从评审报告提出的</w:t>
      </w:r>
      <w:r>
        <w:rPr>
          <w:rFonts w:hint="eastAsia" w:ascii="宋体" w:hAnsi="宋体" w:cs="宋体"/>
          <w:color w:val="auto"/>
          <w:szCs w:val="24"/>
          <w:highlight w:val="none"/>
          <w:lang w:eastAsia="zh-CN"/>
        </w:rPr>
        <w:t>中标</w:t>
      </w:r>
      <w:r>
        <w:rPr>
          <w:rFonts w:hint="eastAsia" w:ascii="宋体" w:hAnsi="宋体" w:cs="宋体"/>
          <w:color w:val="auto"/>
          <w:szCs w:val="24"/>
          <w:highlight w:val="none"/>
        </w:rPr>
        <w:t>候选供应商中，按照排序由高到低的原则确定1名</w:t>
      </w:r>
      <w:r>
        <w:rPr>
          <w:rFonts w:hint="eastAsia" w:ascii="宋体" w:hAnsi="宋体" w:cs="宋体"/>
          <w:color w:val="auto"/>
          <w:szCs w:val="24"/>
          <w:highlight w:val="none"/>
          <w:lang w:eastAsia="zh-CN"/>
        </w:rPr>
        <w:t>中标</w:t>
      </w:r>
      <w:r>
        <w:rPr>
          <w:rFonts w:hint="eastAsia" w:ascii="宋体" w:hAnsi="宋体" w:cs="宋体"/>
          <w:color w:val="auto"/>
          <w:szCs w:val="24"/>
          <w:highlight w:val="none"/>
        </w:rPr>
        <w:t>供应商，也可以书面授权评标委员会直接确定</w:t>
      </w:r>
      <w:r>
        <w:rPr>
          <w:rFonts w:hint="eastAsia" w:ascii="宋体" w:hAnsi="宋体" w:cs="宋体"/>
          <w:color w:val="auto"/>
          <w:szCs w:val="24"/>
          <w:highlight w:val="none"/>
          <w:lang w:eastAsia="zh-CN"/>
        </w:rPr>
        <w:t>中标</w:t>
      </w:r>
      <w:r>
        <w:rPr>
          <w:rFonts w:hint="eastAsia" w:ascii="宋体" w:hAnsi="宋体" w:cs="宋体"/>
          <w:color w:val="auto"/>
          <w:szCs w:val="24"/>
          <w:highlight w:val="none"/>
        </w:rPr>
        <w:t>供应商。采购人逾期未确定</w:t>
      </w:r>
      <w:r>
        <w:rPr>
          <w:rFonts w:hint="eastAsia" w:ascii="宋体" w:hAnsi="宋体" w:cs="宋体"/>
          <w:color w:val="auto"/>
          <w:szCs w:val="24"/>
          <w:highlight w:val="none"/>
          <w:lang w:eastAsia="zh-CN"/>
        </w:rPr>
        <w:t>中标</w:t>
      </w:r>
      <w:r>
        <w:rPr>
          <w:rFonts w:hint="eastAsia" w:ascii="宋体" w:hAnsi="宋体" w:cs="宋体"/>
          <w:color w:val="auto"/>
          <w:szCs w:val="24"/>
          <w:highlight w:val="none"/>
        </w:rPr>
        <w:t>供应商且不提出异议的，视为确定评审报告提出的排序第一的</w:t>
      </w:r>
      <w:r>
        <w:rPr>
          <w:rFonts w:hint="eastAsia" w:ascii="宋体" w:hAnsi="宋体" w:cs="宋体"/>
          <w:color w:val="auto"/>
          <w:szCs w:val="24"/>
          <w:highlight w:val="none"/>
          <w:lang w:eastAsia="zh-CN"/>
        </w:rPr>
        <w:t>中标</w:t>
      </w:r>
      <w:r>
        <w:rPr>
          <w:rFonts w:hint="eastAsia" w:ascii="宋体" w:hAnsi="宋体" w:cs="宋体"/>
          <w:color w:val="auto"/>
          <w:szCs w:val="24"/>
          <w:highlight w:val="none"/>
        </w:rPr>
        <w:t>候选供应商为</w:t>
      </w:r>
      <w:r>
        <w:rPr>
          <w:rFonts w:hint="eastAsia" w:ascii="宋体" w:hAnsi="宋体" w:cs="宋体"/>
          <w:color w:val="auto"/>
          <w:szCs w:val="24"/>
          <w:highlight w:val="none"/>
          <w:lang w:eastAsia="zh-CN"/>
        </w:rPr>
        <w:t>中标</w:t>
      </w:r>
      <w:r>
        <w:rPr>
          <w:rFonts w:hint="eastAsia" w:ascii="宋体" w:hAnsi="宋体" w:cs="宋体"/>
          <w:color w:val="auto"/>
          <w:szCs w:val="24"/>
          <w:highlight w:val="none"/>
        </w:rPr>
        <w:t>供应商。</w:t>
      </w:r>
    </w:p>
    <w:p w14:paraId="260CBFF7">
      <w:pPr>
        <w:pStyle w:val="14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BC3D8F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7312335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23.2中标结果公告内容包括采购人及其委托的采购代理机构的名称、地址、联系方式，项目名称和项目编号，中标人名称、地址和中标金额，主要中标标的的名称、数量、单价、服务要求，开标记录、</w:t>
      </w:r>
      <w:bookmarkStart w:id="10" w:name="_Hlk101184471"/>
      <w:r>
        <w:rPr>
          <w:rFonts w:hint="eastAsia" w:ascii="宋体" w:hAnsi="宋体" w:cs="宋体"/>
          <w:color w:val="auto"/>
          <w:sz w:val="24"/>
          <w:highlight w:val="none"/>
        </w:rPr>
        <w:t>资格审查情况、评审专家抽取规则、符合性审查情况、</w:t>
      </w:r>
      <w:bookmarkEnd w:id="10"/>
      <w:r>
        <w:rPr>
          <w:rFonts w:hint="eastAsia" w:ascii="宋体" w:hAnsi="宋体" w:cs="宋体"/>
          <w:color w:val="auto"/>
          <w:sz w:val="24"/>
          <w:highlight w:val="none"/>
        </w:rPr>
        <w:t>中标公告期限以及评审专家名单、评分汇总及明细等。</w:t>
      </w:r>
    </w:p>
    <w:p w14:paraId="44E88AC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1E541E8D">
      <w:pPr>
        <w:pStyle w:val="141"/>
        <w:snapToGrid w:val="0"/>
        <w:spacing w:before="0"/>
        <w:ind w:firstLine="482"/>
        <w:rPr>
          <w:rStyle w:val="79"/>
          <w:rFonts w:ascii="宋体" w:hAnsi="宋体" w:cs="宋体"/>
          <w:color w:val="auto"/>
          <w:highlight w:val="none"/>
        </w:rPr>
      </w:pPr>
      <w:r>
        <w:rPr>
          <w:rFonts w:hint="eastAsia" w:ascii="宋体" w:hAnsi="宋体" w:cs="宋体"/>
          <w:b/>
          <w:color w:val="auto"/>
          <w:szCs w:val="24"/>
          <w:highlight w:val="none"/>
        </w:rPr>
        <w:t xml:space="preserve">23.4 </w:t>
      </w:r>
      <w:r>
        <w:rPr>
          <w:rFonts w:hint="eastAsia" w:ascii="宋体" w:hAnsi="宋体" w:cs="宋体"/>
          <w:bCs/>
          <w:color w:val="auto"/>
          <w:szCs w:val="24"/>
          <w:highlight w:val="none"/>
        </w:rPr>
        <w:t>由于中标供应商原因导致重新采购的，应当承担支付代理费和专家评审费等费用在内的赔偿责任。</w:t>
      </w:r>
    </w:p>
    <w:p w14:paraId="3B45AD9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2232CB79">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EEFA867">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1C43BEA7">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采购人与中标供应商应当通过电子交易平台在中标通知书发出之日起30日内，按照招标文件确定的事项签订政府采购合同，并在签订之日起2个工作日内将政府采购合同在浙江政府采购网上公告。</w:t>
      </w:r>
    </w:p>
    <w:p w14:paraId="64512BA6">
      <w:pPr>
        <w:pStyle w:val="14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w:t>
      </w:r>
      <w:r>
        <w:rPr>
          <w:rFonts w:hint="eastAsia" w:ascii="宋体" w:hAnsi="宋体" w:cs="宋体"/>
          <w:color w:val="auto"/>
          <w:highlight w:val="none"/>
        </w:rPr>
        <w:t>供应商</w:t>
      </w:r>
      <w:r>
        <w:rPr>
          <w:rFonts w:hint="eastAsia" w:ascii="宋体" w:hAnsi="宋体" w:cs="宋体"/>
          <w:color w:val="auto"/>
          <w:kern w:val="0"/>
          <w:highlight w:val="none"/>
          <w:lang w:val="zh-CN"/>
        </w:rPr>
        <w:t>按规定的日期、时间、地点，由法定代表人或其授权代表与采购人代表签订合同。如中标</w:t>
      </w:r>
      <w:r>
        <w:rPr>
          <w:rFonts w:hint="eastAsia" w:ascii="宋体" w:hAnsi="宋体" w:cs="宋体"/>
          <w:color w:val="auto"/>
          <w:highlight w:val="none"/>
        </w:rPr>
        <w:t>供应商</w:t>
      </w:r>
      <w:r>
        <w:rPr>
          <w:rFonts w:hint="eastAsia" w:ascii="宋体" w:hAnsi="宋体" w:cs="宋体"/>
          <w:color w:val="auto"/>
          <w:kern w:val="0"/>
          <w:highlight w:val="none"/>
          <w:lang w:val="zh-CN"/>
        </w:rPr>
        <w:t>为联合体的，由联合体成员各方法定代表人或其授权代表与采购人代表签订合同。</w:t>
      </w:r>
    </w:p>
    <w:p w14:paraId="7CC41DF6">
      <w:pPr>
        <w:pStyle w:val="14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25.3如签订合同并生效后，供应商无故拒绝或延期，除按照合同条款处理外，上报监督管理部门列入不良行为记录一次，并给予通报。</w:t>
      </w:r>
    </w:p>
    <w:p w14:paraId="2FF93D07">
      <w:pPr>
        <w:pStyle w:val="14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25.4中标供应商拒绝与采购人签订合同的，采购人可以依法依规按照评审报告推荐的</w:t>
      </w:r>
      <w:r>
        <w:rPr>
          <w:rFonts w:hint="eastAsia" w:ascii="宋体" w:hAnsi="宋体" w:cs="宋体"/>
          <w:color w:val="auto"/>
          <w:highlight w:val="none"/>
          <w:lang w:eastAsia="zh-CN"/>
        </w:rPr>
        <w:t>中标</w:t>
      </w:r>
      <w:r>
        <w:rPr>
          <w:rFonts w:hint="eastAsia" w:ascii="宋体" w:hAnsi="宋体" w:cs="宋体"/>
          <w:color w:val="auto"/>
          <w:highlight w:val="none"/>
        </w:rPr>
        <w:t>候选人名单排序，确定下一候选人为中标供应商，否则应当重新开展政府采购活动。</w:t>
      </w:r>
    </w:p>
    <w:p w14:paraId="54203F0A">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66B94C3A">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9A694AD">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rPr>
        <w:t>95763</w:t>
      </w:r>
      <w:r>
        <w:rPr>
          <w:rFonts w:hint="eastAsia" w:ascii="宋体" w:hAnsi="宋体" w:eastAsia="宋体" w:cs="宋体"/>
          <w:b w:val="0"/>
          <w:bCs w:val="0"/>
          <w:snapToGrid w:val="0"/>
          <w:color w:val="auto"/>
          <w:kern w:val="28"/>
          <w:sz w:val="24"/>
          <w:highlight w:val="none"/>
        </w:rPr>
        <w:t>。</w:t>
      </w:r>
    </w:p>
    <w:p w14:paraId="3B80DEF5">
      <w:pPr>
        <w:pStyle w:val="4"/>
        <w:rPr>
          <w:rFonts w:ascii="宋体" w:hAnsi="宋体" w:eastAsia="宋体" w:cs="宋体"/>
          <w:color w:val="auto"/>
          <w:highlight w:val="none"/>
        </w:rPr>
      </w:pPr>
      <w:r>
        <w:rPr>
          <w:rFonts w:hint="eastAsia" w:ascii="宋体" w:hAnsi="宋体" w:eastAsia="宋体" w:cs="宋体"/>
          <w:color w:val="auto"/>
          <w:sz w:val="24"/>
          <w:highlight w:val="none"/>
          <w:lang w:val="en-US"/>
        </w:rPr>
        <w:t>27.预付款</w:t>
      </w:r>
    </w:p>
    <w:p w14:paraId="3E10FB2D">
      <w:pPr>
        <w:adjustRightInd/>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采购人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人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14:paraId="1DF69C2D">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4D0E0A3">
      <w:pPr>
        <w:pStyle w:val="141"/>
        <w:snapToGrid w:val="0"/>
        <w:spacing w:before="0"/>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0D0EAFEA">
      <w:pPr>
        <w:pStyle w:val="14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6F75CE54">
      <w:pPr>
        <w:pStyle w:val="14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4AA8C43">
      <w:pPr>
        <w:pStyle w:val="14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76C1904A">
      <w:pPr>
        <w:pStyle w:val="14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2AE97463">
      <w:pPr>
        <w:pStyle w:val="14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7096FDA">
      <w:pPr>
        <w:pStyle w:val="14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CE9C0A5">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4482B135">
      <w:pPr>
        <w:pStyle w:val="24"/>
        <w:spacing w:line="360" w:lineRule="auto"/>
        <w:ind w:firstLine="0" w:firstLineChars="0"/>
        <w:rPr>
          <w:rFonts w:cs="宋体"/>
          <w:b/>
          <w:color w:val="auto"/>
          <w:highlight w:val="none"/>
        </w:rPr>
      </w:pPr>
      <w:r>
        <w:rPr>
          <w:rFonts w:hint="eastAsia" w:cs="宋体"/>
          <w:b/>
          <w:color w:val="auto"/>
          <w:highlight w:val="none"/>
        </w:rPr>
        <w:t>30.验收</w:t>
      </w:r>
    </w:p>
    <w:p w14:paraId="67BEA9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0815DD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D22DD3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148E7E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F62D2F8">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144BEFA3">
      <w:pPr>
        <w:pStyle w:val="91"/>
        <w:rPr>
          <w:rFonts w:ascii="宋体" w:hAnsi="宋体" w:eastAsia="宋体" w:cs="宋体"/>
          <w:color w:val="auto"/>
          <w:highlight w:val="none"/>
        </w:rPr>
      </w:pPr>
    </w:p>
    <w:bookmarkEnd w:id="9"/>
    <w:p w14:paraId="509508A2">
      <w:pPr>
        <w:tabs>
          <w:tab w:val="left" w:pos="0"/>
        </w:tabs>
        <w:spacing w:line="360" w:lineRule="auto"/>
        <w:ind w:firstLine="480"/>
        <w:rPr>
          <w:rFonts w:ascii="宋体" w:hAnsi="宋体" w:cs="宋体"/>
          <w:color w:val="auto"/>
          <w:kern w:val="0"/>
          <w:sz w:val="24"/>
          <w:highlight w:val="none"/>
        </w:rPr>
        <w:sectPr>
          <w:pgSz w:w="11906" w:h="16838"/>
          <w:pgMar w:top="1100" w:right="1418" w:bottom="1458" w:left="1418" w:header="851" w:footer="352" w:gutter="0"/>
          <w:pgNumType w:start="1"/>
          <w:cols w:space="720" w:num="1"/>
          <w:docGrid w:linePitch="312" w:charSpace="0"/>
        </w:sectPr>
      </w:pPr>
      <w:bookmarkStart w:id="11" w:name="_Hlt75236290"/>
      <w:bookmarkEnd w:id="11"/>
      <w:bookmarkStart w:id="12" w:name="_Hlt68403820"/>
      <w:bookmarkEnd w:id="12"/>
      <w:bookmarkStart w:id="13" w:name="_Hlt68073093"/>
      <w:bookmarkEnd w:id="13"/>
      <w:bookmarkStart w:id="14" w:name="_Hlt74707468"/>
      <w:bookmarkEnd w:id="14"/>
      <w:bookmarkStart w:id="15" w:name="_Hlt74729768"/>
      <w:bookmarkEnd w:id="15"/>
      <w:bookmarkStart w:id="16" w:name="_Hlt68057669"/>
      <w:bookmarkEnd w:id="16"/>
      <w:bookmarkStart w:id="17" w:name="_Hlt74714665"/>
      <w:bookmarkEnd w:id="17"/>
      <w:bookmarkStart w:id="18" w:name="_Hlt68072990"/>
      <w:bookmarkEnd w:id="18"/>
      <w:bookmarkStart w:id="19" w:name="_Hlt75236011"/>
      <w:bookmarkEnd w:id="19"/>
      <w:bookmarkStart w:id="20" w:name="_Hlt68072998"/>
      <w:bookmarkEnd w:id="20"/>
      <w:bookmarkStart w:id="21" w:name="_Hlt75236101"/>
      <w:bookmarkEnd w:id="21"/>
      <w:bookmarkStart w:id="22" w:name="_Hlt74730295"/>
      <w:bookmarkEnd w:id="22"/>
    </w:p>
    <w:bookmarkEnd w:id="7"/>
    <w:bookmarkEnd w:id="8"/>
    <w:p w14:paraId="1FBB18BD">
      <w:pPr>
        <w:spacing w:line="360" w:lineRule="auto"/>
        <w:jc w:val="center"/>
        <w:outlineLvl w:val="0"/>
        <w:rPr>
          <w:rFonts w:ascii="宋体" w:hAnsi="宋体" w:cs="宋体"/>
          <w:b/>
          <w:color w:val="auto"/>
          <w:sz w:val="36"/>
          <w:szCs w:val="36"/>
          <w:highlight w:val="none"/>
        </w:rPr>
      </w:pPr>
      <w:bookmarkStart w:id="23" w:name="第四部分"/>
      <w:r>
        <w:rPr>
          <w:rFonts w:hint="eastAsia" w:ascii="宋体" w:hAnsi="宋体" w:cs="宋体"/>
          <w:b/>
          <w:color w:val="auto"/>
          <w:sz w:val="36"/>
          <w:szCs w:val="36"/>
          <w:highlight w:val="none"/>
        </w:rPr>
        <w:t>第三部分   采购需求</w:t>
      </w:r>
    </w:p>
    <w:p w14:paraId="2DE12E24">
      <w:pPr>
        <w:pStyle w:val="3"/>
        <w:numPr>
          <w:ilvl w:val="0"/>
          <w:numId w:val="5"/>
        </w:numPr>
        <w:tabs>
          <w:tab w:val="left" w:pos="0"/>
          <w:tab w:val="clear" w:pos="432"/>
        </w:tabs>
        <w:spacing w:before="0" w:after="0" w:line="360" w:lineRule="auto"/>
        <w:ind w:left="-5" w:firstLine="425"/>
        <w:rPr>
          <w:rFonts w:hint="eastAsia" w:ascii="宋体" w:hAnsi="宋体" w:eastAsia="宋体" w:cs="宋体"/>
          <w:color w:val="auto"/>
          <w:sz w:val="24"/>
          <w:szCs w:val="24"/>
          <w:highlight w:val="none"/>
        </w:rPr>
      </w:pPr>
      <w:bookmarkStart w:id="24" w:name="_Toc198297167"/>
      <w:bookmarkStart w:id="25" w:name="_Toc194347104"/>
      <w:r>
        <w:rPr>
          <w:rFonts w:hint="eastAsia" w:ascii="宋体" w:hAnsi="宋体" w:cs="宋体"/>
          <w:color w:val="auto"/>
          <w:sz w:val="24"/>
          <w:szCs w:val="24"/>
          <w:highlight w:val="none"/>
        </w:rPr>
        <w:t>建设</w:t>
      </w:r>
      <w:r>
        <w:rPr>
          <w:rFonts w:hint="eastAsia" w:ascii="宋体" w:hAnsi="宋体" w:eastAsia="宋体" w:cs="宋体"/>
          <w:color w:val="auto"/>
          <w:sz w:val="24"/>
          <w:szCs w:val="24"/>
          <w:highlight w:val="none"/>
        </w:rPr>
        <w:t>背景</w:t>
      </w:r>
      <w:bookmarkEnd w:id="24"/>
    </w:p>
    <w:p w14:paraId="18662761">
      <w:pPr>
        <w:pageBreakBefore w:val="0"/>
        <w:kinsoku/>
        <w:wordWrap/>
        <w:overflowPunct/>
        <w:topLinePunct w:val="0"/>
        <w:bidi w:val="0"/>
        <w:snapToGrid/>
        <w:spacing w:after="0" w:line="360" w:lineRule="auto"/>
        <w:ind w:left="0" w:leftChars="0" w:firstLine="420" w:firstLineChars="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2025年1月省域药品注册检验一体化平台正式开始试运行，能力库模块的上线，通过信息安全等级保护测评二级，标志着我院基本完成了检验业务管理平台的升级改造工作。防疫药械智控应用上线已经有两年多时间，覆盖全院实验原始记录的全过程，在使用过程中产生了新的使用需求已经超过200项，系统面临较大的功能升级压力。温湿度监控系统的功能完善已经进入收尾阶段，设备关联、数据采集、异常告警等模块均已完成功能迭代升级，接下来将进行文件修订确认以及操作人员培训。质量体系中的超周期管理模块已经上线，目前正逐渐磨合完善中。全省药品检验检测数据库已经完成部署，部分地市的2024年度数据已经开始录入数据库。台州注册实验室信息化建设进入常态化运维阶段，杭州注册实验室与钱塘项目的信息化建设工作正在加紧推进中。AI大模型在检验检测领域的应用场景正在探索中，初步与几家大模型公司建立联系，进行了文档辅助校对、药品标准自动结构化解析、知识库等方向的前期需求沟通。</w:t>
      </w:r>
    </w:p>
    <w:p w14:paraId="763F6078">
      <w:pPr>
        <w:pageBreakBefore w:val="0"/>
        <w:kinsoku/>
        <w:wordWrap/>
        <w:overflowPunct/>
        <w:topLinePunct w:val="0"/>
        <w:bidi w:val="0"/>
        <w:snapToGrid/>
        <w:spacing w:after="0" w:line="360" w:lineRule="auto"/>
        <w:ind w:left="0" w:leftChars="0" w:firstLine="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目前全院数字化建设需求较为旺盛，对AI大模型的应用也有所期待，同时随着</w:t>
      </w:r>
      <w:r>
        <w:rPr>
          <w:rFonts w:hint="default" w:ascii="宋体" w:hAnsi="宋体" w:cs="宋体"/>
          <w:color w:val="auto"/>
          <w:kern w:val="0"/>
          <w:sz w:val="24"/>
          <w:szCs w:val="24"/>
          <w:highlight w:val="none"/>
          <w:lang w:val="en-US" w:bidi="ar"/>
        </w:rPr>
        <w:t>省域药品注册检验一体化平台</w:t>
      </w:r>
      <w:r>
        <w:rPr>
          <w:rFonts w:hint="eastAsia" w:ascii="宋体" w:hAnsi="宋体" w:eastAsia="宋体" w:cs="宋体"/>
          <w:color w:val="auto"/>
          <w:kern w:val="0"/>
          <w:sz w:val="24"/>
          <w:szCs w:val="24"/>
          <w:highlight w:val="none"/>
          <w:lang w:bidi="ar"/>
        </w:rPr>
        <w:t>和</w:t>
      </w:r>
      <w:r>
        <w:rPr>
          <w:rFonts w:hint="eastAsia" w:ascii="宋体" w:hAnsi="宋体" w:cs="宋体"/>
          <w:color w:val="auto"/>
          <w:kern w:val="0"/>
          <w:sz w:val="24"/>
          <w:szCs w:val="24"/>
          <w:highlight w:val="none"/>
          <w:lang w:eastAsia="zh-CN" w:bidi="ar"/>
        </w:rPr>
        <w:t>防疫药械智控应用</w:t>
      </w:r>
      <w:r>
        <w:rPr>
          <w:rFonts w:hint="eastAsia" w:ascii="宋体" w:hAnsi="宋体" w:eastAsia="宋体" w:cs="宋体"/>
          <w:color w:val="auto"/>
          <w:kern w:val="0"/>
          <w:sz w:val="24"/>
          <w:szCs w:val="24"/>
          <w:highlight w:val="none"/>
          <w:lang w:bidi="ar"/>
        </w:rPr>
        <w:t>系统的全面推进，信息中心承接的软件开发项目需求调研工作、新实验室的硬件需求评估工作、院整体运行的软硬件运维工作、安全运维工作以及终端运维工作较为繁重。信息中心为了能够更好的推进全院数字化建设工作以及支撑现有系统的软硬件、安全运维工作，现需开展2025年度软件运维及机房租赁项目的招标工作。</w:t>
      </w:r>
    </w:p>
    <w:p w14:paraId="741F665A">
      <w:pPr>
        <w:pStyle w:val="3"/>
        <w:numPr>
          <w:ilvl w:val="0"/>
          <w:numId w:val="5"/>
        </w:numPr>
        <w:tabs>
          <w:tab w:val="left" w:pos="0"/>
          <w:tab w:val="clear" w:pos="432"/>
        </w:tabs>
        <w:spacing w:before="0" w:after="0" w:line="360" w:lineRule="auto"/>
        <w:ind w:left="-5" w:firstLine="425"/>
        <w:rPr>
          <w:rFonts w:hint="eastAsia" w:ascii="宋体" w:hAnsi="宋体" w:eastAsia="宋体" w:cs="宋体"/>
          <w:color w:val="auto"/>
          <w:sz w:val="24"/>
          <w:szCs w:val="24"/>
          <w:highlight w:val="none"/>
        </w:rPr>
      </w:pPr>
      <w:bookmarkStart w:id="26" w:name="_Toc198297168"/>
      <w:r>
        <w:rPr>
          <w:rFonts w:hint="eastAsia" w:ascii="宋体" w:hAnsi="宋体" w:eastAsia="宋体" w:cs="宋体"/>
          <w:color w:val="auto"/>
          <w:sz w:val="24"/>
          <w:szCs w:val="24"/>
          <w:highlight w:val="none"/>
        </w:rPr>
        <w:t>项目建设内容</w:t>
      </w:r>
      <w:bookmarkEnd w:id="26"/>
    </w:p>
    <w:p w14:paraId="1257BE44">
      <w:pPr>
        <w:pageBreakBefore w:val="0"/>
        <w:kinsoku/>
        <w:wordWrap/>
        <w:overflowPunct/>
        <w:topLinePunct w:val="0"/>
        <w:bidi w:val="0"/>
        <w:snapToGrid/>
        <w:spacing w:after="0" w:line="360" w:lineRule="auto"/>
        <w:ind w:left="0" w:leftChars="0" w:firstLine="42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本次项目</w:t>
      </w:r>
      <w:r>
        <w:rPr>
          <w:rFonts w:hint="eastAsia" w:ascii="宋体" w:hAnsi="宋体" w:eastAsia="宋体" w:cs="宋体"/>
          <w:color w:val="auto"/>
          <w:kern w:val="0"/>
          <w:sz w:val="24"/>
          <w:szCs w:val="24"/>
          <w:highlight w:val="none"/>
          <w:lang w:val="en-US" w:eastAsia="zh-CN" w:bidi="ar"/>
        </w:rPr>
        <w:t>服务</w:t>
      </w:r>
      <w:r>
        <w:rPr>
          <w:rFonts w:hint="eastAsia" w:ascii="宋体" w:hAnsi="宋体" w:eastAsia="宋体" w:cs="宋体"/>
          <w:color w:val="auto"/>
          <w:kern w:val="0"/>
          <w:sz w:val="24"/>
          <w:szCs w:val="24"/>
          <w:highlight w:val="none"/>
          <w:lang w:bidi="ar"/>
        </w:rPr>
        <w:t>内容分为软件运维，IDC机房租赁及安全，终端运维三部分，共计安全预算金额281.11万元。</w:t>
      </w:r>
    </w:p>
    <w:tbl>
      <w:tblPr>
        <w:tblStyle w:val="64"/>
        <w:tblW w:w="48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
        <w:gridCol w:w="821"/>
        <w:gridCol w:w="2796"/>
        <w:gridCol w:w="468"/>
        <w:gridCol w:w="576"/>
        <w:gridCol w:w="1015"/>
        <w:gridCol w:w="868"/>
        <w:gridCol w:w="1304"/>
      </w:tblGrid>
      <w:tr w14:paraId="7A00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vAlign w:val="center"/>
          </w:tcPr>
          <w:p w14:paraId="399B4A8E">
            <w:pPr>
              <w:pStyle w:val="61"/>
              <w:pageBreakBefore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序号</w:t>
            </w:r>
          </w:p>
        </w:tc>
        <w:tc>
          <w:tcPr>
            <w:tcW w:w="2171" w:type="pct"/>
            <w:gridSpan w:val="2"/>
            <w:vAlign w:val="center"/>
          </w:tcPr>
          <w:p w14:paraId="5F7D970C">
            <w:pPr>
              <w:pStyle w:val="61"/>
              <w:pageBreakBefore w:val="0"/>
              <w:kinsoku/>
              <w:wordWrap/>
              <w:overflowPunct/>
              <w:topLinePunct w:val="0"/>
              <w:bidi w:val="0"/>
              <w:snapToGrid/>
              <w:spacing w:after="0" w:line="360" w:lineRule="auto"/>
              <w:ind w:left="0" w:leftChars="0" w:firstLine="0" w:firstLineChars="0"/>
              <w:jc w:val="both"/>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内容</w:t>
            </w:r>
          </w:p>
        </w:tc>
        <w:tc>
          <w:tcPr>
            <w:tcW w:w="281" w:type="pct"/>
            <w:vAlign w:val="center"/>
          </w:tcPr>
          <w:p w14:paraId="1427676B">
            <w:pPr>
              <w:pStyle w:val="61"/>
              <w:pageBreakBefore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数量</w:t>
            </w:r>
          </w:p>
        </w:tc>
        <w:tc>
          <w:tcPr>
            <w:tcW w:w="346" w:type="pct"/>
            <w:vAlign w:val="center"/>
          </w:tcPr>
          <w:p w14:paraId="248116CD">
            <w:pPr>
              <w:pStyle w:val="61"/>
              <w:pageBreakBefore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单位</w:t>
            </w:r>
          </w:p>
        </w:tc>
        <w:tc>
          <w:tcPr>
            <w:tcW w:w="609" w:type="pct"/>
            <w:vAlign w:val="center"/>
          </w:tcPr>
          <w:p w14:paraId="0A8507D3">
            <w:pPr>
              <w:pStyle w:val="61"/>
              <w:pageBreakBefore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预算金额</w:t>
            </w:r>
          </w:p>
        </w:tc>
        <w:tc>
          <w:tcPr>
            <w:tcW w:w="521" w:type="pct"/>
            <w:vAlign w:val="center"/>
          </w:tcPr>
          <w:p w14:paraId="31BE819E">
            <w:pPr>
              <w:pStyle w:val="61"/>
              <w:pageBreakBefore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建设期或服务期</w:t>
            </w:r>
          </w:p>
        </w:tc>
        <w:tc>
          <w:tcPr>
            <w:tcW w:w="783" w:type="pct"/>
            <w:shd w:val="clear" w:color="auto" w:fill="auto"/>
            <w:vAlign w:val="center"/>
          </w:tcPr>
          <w:p w14:paraId="17930B2D">
            <w:pPr>
              <w:pStyle w:val="61"/>
              <w:pageBreakBefore w:val="0"/>
              <w:kinsoku/>
              <w:wordWrap/>
              <w:overflowPunct/>
              <w:topLinePunct w:val="0"/>
              <w:bidi w:val="0"/>
              <w:snapToGrid/>
              <w:spacing w:after="0" w:line="360" w:lineRule="auto"/>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备注</w:t>
            </w:r>
          </w:p>
        </w:tc>
      </w:tr>
      <w:tr w14:paraId="67C3C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vMerge w:val="restart"/>
            <w:vAlign w:val="center"/>
          </w:tcPr>
          <w:p w14:paraId="768466A9">
            <w:pPr>
              <w:pStyle w:val="61"/>
              <w:pageBreakBefore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一</w:t>
            </w:r>
          </w:p>
        </w:tc>
        <w:tc>
          <w:tcPr>
            <w:tcW w:w="493" w:type="pct"/>
            <w:vMerge w:val="restart"/>
            <w:vAlign w:val="center"/>
          </w:tcPr>
          <w:p w14:paraId="5E1FF42A">
            <w:pPr>
              <w:pStyle w:val="61"/>
              <w:pageBreakBefore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软件运维</w:t>
            </w:r>
          </w:p>
        </w:tc>
        <w:tc>
          <w:tcPr>
            <w:tcW w:w="1677" w:type="pct"/>
            <w:vAlign w:val="center"/>
          </w:tcPr>
          <w:p w14:paraId="4B1DA866">
            <w:pPr>
              <w:pStyle w:val="61"/>
              <w:pageBreakBefore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rPr>
              <w:t>省院数字化系统包括实验室资源管理、报告数据整合等4系统2025年运维项目</w:t>
            </w:r>
          </w:p>
        </w:tc>
        <w:tc>
          <w:tcPr>
            <w:tcW w:w="281" w:type="pct"/>
            <w:vAlign w:val="center"/>
          </w:tcPr>
          <w:p w14:paraId="63A1C3F4">
            <w:pPr>
              <w:pStyle w:val="61"/>
              <w:pageBreakBefore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p>
        </w:tc>
        <w:tc>
          <w:tcPr>
            <w:tcW w:w="346" w:type="pct"/>
            <w:vAlign w:val="center"/>
          </w:tcPr>
          <w:p w14:paraId="78DD6378">
            <w:pPr>
              <w:pStyle w:val="61"/>
              <w:pageBreakBefore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项</w:t>
            </w:r>
          </w:p>
        </w:tc>
        <w:tc>
          <w:tcPr>
            <w:tcW w:w="609" w:type="pct"/>
            <w:vMerge w:val="restart"/>
            <w:vAlign w:val="center"/>
          </w:tcPr>
          <w:p w14:paraId="037CFD37">
            <w:pPr>
              <w:pStyle w:val="61"/>
              <w:pageBreakBefore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281.11万元</w:t>
            </w:r>
          </w:p>
        </w:tc>
        <w:tc>
          <w:tcPr>
            <w:tcW w:w="521" w:type="pct"/>
            <w:vMerge w:val="restart"/>
            <w:vAlign w:val="center"/>
          </w:tcPr>
          <w:p w14:paraId="559C95DA">
            <w:pPr>
              <w:pStyle w:val="61"/>
              <w:pageBreakBefore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一年</w:t>
            </w:r>
          </w:p>
        </w:tc>
        <w:tc>
          <w:tcPr>
            <w:tcW w:w="783" w:type="pct"/>
            <w:vMerge w:val="restart"/>
            <w:shd w:val="clear" w:color="auto" w:fill="auto"/>
            <w:vAlign w:val="center"/>
          </w:tcPr>
          <w:p w14:paraId="691E420F">
            <w:pPr>
              <w:pStyle w:val="61"/>
              <w:pageBreakBefore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▲（1)</w:t>
            </w:r>
            <w:r>
              <w:rPr>
                <w:rFonts w:hint="eastAsia" w:hAnsi="宋体" w:cs="宋体"/>
                <w:b/>
                <w:bCs/>
                <w:color w:val="auto"/>
                <w:sz w:val="24"/>
                <w:szCs w:val="24"/>
                <w:highlight w:val="none"/>
                <w:lang w:val="en-US" w:eastAsia="zh-CN" w:bidi="ar"/>
              </w:rPr>
              <w:t>软件运维是核心工作，不允许分包否则视为</w:t>
            </w:r>
            <w:r>
              <w:rPr>
                <w:rFonts w:hint="eastAsia" w:ascii="宋体" w:hAnsi="宋体" w:eastAsia="宋体" w:cs="宋体"/>
                <w:b/>
                <w:bCs/>
                <w:color w:val="auto"/>
                <w:sz w:val="24"/>
                <w:szCs w:val="24"/>
                <w:highlight w:val="none"/>
                <w:lang w:bidi="ar"/>
              </w:rPr>
              <w:t>无效投标；</w:t>
            </w:r>
          </w:p>
          <w:p w14:paraId="70E61043">
            <w:pPr>
              <w:pStyle w:val="61"/>
              <w:pageBreakBefore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color w:val="auto"/>
                <w:sz w:val="24"/>
                <w:szCs w:val="24"/>
                <w:highlight w:val="none"/>
                <w:lang w:bidi="ar"/>
              </w:rPr>
            </w:pPr>
            <w:r>
              <w:rPr>
                <w:rFonts w:hint="eastAsia" w:ascii="宋体" w:hAnsi="宋体" w:eastAsia="宋体" w:cs="宋体"/>
                <w:b/>
                <w:bCs/>
                <w:color w:val="auto"/>
                <w:sz w:val="24"/>
                <w:szCs w:val="24"/>
                <w:highlight w:val="none"/>
                <w:lang w:bidi="ar"/>
              </w:rPr>
              <w:t>（2）上述三项内容的服务团队成员不得重复。</w:t>
            </w:r>
          </w:p>
        </w:tc>
      </w:tr>
      <w:tr w14:paraId="57A0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vMerge w:val="continue"/>
            <w:vAlign w:val="center"/>
          </w:tcPr>
          <w:p w14:paraId="2CFDE389">
            <w:pPr>
              <w:pStyle w:val="61"/>
              <w:pageBreakBefore w:val="0"/>
              <w:kinsoku/>
              <w:wordWrap/>
              <w:overflowPunct/>
              <w:topLinePunct w:val="0"/>
              <w:bidi w:val="0"/>
              <w:snapToGrid/>
              <w:spacing w:after="0" w:line="360" w:lineRule="auto"/>
              <w:textAlignment w:val="auto"/>
              <w:rPr>
                <w:rFonts w:hint="eastAsia" w:ascii="宋体" w:hAnsi="宋体" w:eastAsia="宋体" w:cs="宋体"/>
                <w:color w:val="auto"/>
                <w:sz w:val="24"/>
                <w:szCs w:val="24"/>
                <w:highlight w:val="none"/>
                <w:lang w:bidi="ar"/>
              </w:rPr>
            </w:pPr>
          </w:p>
        </w:tc>
        <w:tc>
          <w:tcPr>
            <w:tcW w:w="493" w:type="pct"/>
            <w:vMerge w:val="continue"/>
            <w:vAlign w:val="center"/>
          </w:tcPr>
          <w:p w14:paraId="03D4267F">
            <w:pPr>
              <w:pageBreakBefore w:val="0"/>
              <w:kinsoku/>
              <w:wordWrap/>
              <w:overflowPunct/>
              <w:topLinePunct w:val="0"/>
              <w:bidi w:val="0"/>
              <w:snapToGrid/>
              <w:spacing w:after="0" w:line="360" w:lineRule="auto"/>
              <w:jc w:val="both"/>
              <w:textAlignment w:val="auto"/>
              <w:rPr>
                <w:rFonts w:hint="eastAsia" w:ascii="宋体" w:hAnsi="宋体" w:eastAsia="宋体" w:cs="宋体"/>
                <w:color w:val="auto"/>
                <w:kern w:val="0"/>
                <w:sz w:val="24"/>
                <w:szCs w:val="24"/>
                <w:highlight w:val="none"/>
                <w14:ligatures w14:val="none"/>
              </w:rPr>
            </w:pPr>
          </w:p>
        </w:tc>
        <w:tc>
          <w:tcPr>
            <w:tcW w:w="1677" w:type="pct"/>
            <w:vAlign w:val="center"/>
          </w:tcPr>
          <w:p w14:paraId="12FB9D79">
            <w:pPr>
              <w:pageBreakBefore w:val="0"/>
              <w:kinsoku/>
              <w:wordWrap/>
              <w:overflowPunct/>
              <w:topLinePunct w:val="0"/>
              <w:bidi w:val="0"/>
              <w:snapToGrid/>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lang w:bidi="ar"/>
                <w14:ligatures w14:val="none"/>
              </w:rPr>
              <w:t>浙江省食品药品检验研究院生物制品批签发电子证照2025年运维项目</w:t>
            </w:r>
          </w:p>
        </w:tc>
        <w:tc>
          <w:tcPr>
            <w:tcW w:w="281" w:type="pct"/>
            <w:vAlign w:val="center"/>
          </w:tcPr>
          <w:p w14:paraId="72A0699F">
            <w:pPr>
              <w:pStyle w:val="61"/>
              <w:pageBreakBefore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p>
        </w:tc>
        <w:tc>
          <w:tcPr>
            <w:tcW w:w="346" w:type="pct"/>
            <w:vAlign w:val="center"/>
          </w:tcPr>
          <w:p w14:paraId="76A2368C">
            <w:pPr>
              <w:pStyle w:val="61"/>
              <w:pageBreakBefore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项</w:t>
            </w:r>
          </w:p>
        </w:tc>
        <w:tc>
          <w:tcPr>
            <w:tcW w:w="609" w:type="pct"/>
            <w:vMerge w:val="continue"/>
            <w:vAlign w:val="center"/>
          </w:tcPr>
          <w:p w14:paraId="18237C6C">
            <w:pPr>
              <w:pStyle w:val="61"/>
              <w:pageBreakBefore w:val="0"/>
              <w:kinsoku/>
              <w:wordWrap/>
              <w:overflowPunct/>
              <w:topLinePunct w:val="0"/>
              <w:bidi w:val="0"/>
              <w:snapToGrid/>
              <w:spacing w:after="0" w:line="360" w:lineRule="auto"/>
              <w:textAlignment w:val="auto"/>
              <w:rPr>
                <w:rFonts w:hint="eastAsia" w:ascii="宋体" w:hAnsi="宋体" w:eastAsia="宋体" w:cs="宋体"/>
                <w:color w:val="auto"/>
                <w:sz w:val="24"/>
                <w:szCs w:val="24"/>
                <w:highlight w:val="none"/>
                <w:lang w:bidi="ar"/>
              </w:rPr>
            </w:pPr>
          </w:p>
        </w:tc>
        <w:tc>
          <w:tcPr>
            <w:tcW w:w="521" w:type="pct"/>
            <w:vMerge w:val="continue"/>
            <w:vAlign w:val="center"/>
          </w:tcPr>
          <w:p w14:paraId="342F9E33">
            <w:pPr>
              <w:pStyle w:val="61"/>
              <w:pageBreakBefore w:val="0"/>
              <w:kinsoku/>
              <w:wordWrap/>
              <w:overflowPunct/>
              <w:topLinePunct w:val="0"/>
              <w:bidi w:val="0"/>
              <w:snapToGrid/>
              <w:spacing w:after="0" w:line="360" w:lineRule="auto"/>
              <w:textAlignment w:val="auto"/>
              <w:rPr>
                <w:rFonts w:hint="eastAsia" w:ascii="宋体" w:hAnsi="宋体" w:eastAsia="宋体" w:cs="宋体"/>
                <w:color w:val="auto"/>
                <w:sz w:val="24"/>
                <w:szCs w:val="24"/>
                <w:highlight w:val="none"/>
                <w:lang w:bidi="ar"/>
              </w:rPr>
            </w:pPr>
          </w:p>
        </w:tc>
        <w:tc>
          <w:tcPr>
            <w:tcW w:w="783" w:type="pct"/>
            <w:vMerge w:val="continue"/>
            <w:shd w:val="clear" w:color="auto" w:fill="auto"/>
            <w:vAlign w:val="center"/>
          </w:tcPr>
          <w:p w14:paraId="3AD242CA">
            <w:pPr>
              <w:pStyle w:val="61"/>
              <w:pageBreakBefore w:val="0"/>
              <w:kinsoku/>
              <w:wordWrap/>
              <w:overflowPunct/>
              <w:topLinePunct w:val="0"/>
              <w:bidi w:val="0"/>
              <w:snapToGrid/>
              <w:spacing w:after="0" w:line="360" w:lineRule="auto"/>
              <w:textAlignment w:val="auto"/>
              <w:rPr>
                <w:rFonts w:hint="eastAsia" w:ascii="宋体" w:hAnsi="宋体" w:eastAsia="宋体" w:cs="宋体"/>
                <w:color w:val="auto"/>
                <w:sz w:val="24"/>
                <w:szCs w:val="24"/>
                <w:highlight w:val="none"/>
                <w:lang w:bidi="ar"/>
              </w:rPr>
            </w:pPr>
          </w:p>
        </w:tc>
      </w:tr>
      <w:tr w14:paraId="02162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vMerge w:val="continue"/>
            <w:vAlign w:val="center"/>
          </w:tcPr>
          <w:p w14:paraId="7A5A9531">
            <w:pPr>
              <w:pStyle w:val="61"/>
              <w:pageBreakBefore w:val="0"/>
              <w:kinsoku/>
              <w:wordWrap/>
              <w:overflowPunct/>
              <w:topLinePunct w:val="0"/>
              <w:bidi w:val="0"/>
              <w:snapToGrid/>
              <w:spacing w:after="0" w:line="360" w:lineRule="auto"/>
              <w:textAlignment w:val="auto"/>
              <w:rPr>
                <w:rFonts w:hint="eastAsia" w:ascii="宋体" w:hAnsi="宋体" w:eastAsia="宋体" w:cs="宋体"/>
                <w:color w:val="auto"/>
                <w:sz w:val="24"/>
                <w:szCs w:val="24"/>
                <w:highlight w:val="none"/>
                <w:lang w:bidi="ar"/>
              </w:rPr>
            </w:pPr>
          </w:p>
        </w:tc>
        <w:tc>
          <w:tcPr>
            <w:tcW w:w="493" w:type="pct"/>
            <w:vMerge w:val="continue"/>
            <w:vAlign w:val="center"/>
          </w:tcPr>
          <w:p w14:paraId="46AA959D">
            <w:pPr>
              <w:pStyle w:val="61"/>
              <w:pageBreakBefore w:val="0"/>
              <w:kinsoku/>
              <w:wordWrap/>
              <w:overflowPunct/>
              <w:topLinePunct w:val="0"/>
              <w:bidi w:val="0"/>
              <w:snapToGrid/>
              <w:spacing w:after="0" w:line="360" w:lineRule="auto"/>
              <w:textAlignment w:val="auto"/>
              <w:rPr>
                <w:rFonts w:hint="eastAsia" w:ascii="宋体" w:hAnsi="宋体" w:eastAsia="宋体" w:cs="宋体"/>
                <w:color w:val="auto"/>
                <w:sz w:val="24"/>
                <w:szCs w:val="24"/>
                <w:highlight w:val="none"/>
                <w:lang w:bidi="ar"/>
              </w:rPr>
            </w:pPr>
          </w:p>
        </w:tc>
        <w:tc>
          <w:tcPr>
            <w:tcW w:w="1677" w:type="pct"/>
            <w:vAlign w:val="center"/>
          </w:tcPr>
          <w:p w14:paraId="6E9E4234">
            <w:pPr>
              <w:pStyle w:val="61"/>
              <w:pageBreakBefore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浙江省食品药品检验研究院防疫药械智控应用2025年运维项目</w:t>
            </w:r>
          </w:p>
        </w:tc>
        <w:tc>
          <w:tcPr>
            <w:tcW w:w="281" w:type="pct"/>
            <w:vAlign w:val="center"/>
          </w:tcPr>
          <w:p w14:paraId="5C8524B1">
            <w:pPr>
              <w:pStyle w:val="61"/>
              <w:pageBreakBefore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p>
        </w:tc>
        <w:tc>
          <w:tcPr>
            <w:tcW w:w="346" w:type="pct"/>
            <w:vAlign w:val="center"/>
          </w:tcPr>
          <w:p w14:paraId="4F2CB38D">
            <w:pPr>
              <w:pStyle w:val="61"/>
              <w:pageBreakBefore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项</w:t>
            </w:r>
          </w:p>
        </w:tc>
        <w:tc>
          <w:tcPr>
            <w:tcW w:w="609" w:type="pct"/>
            <w:vMerge w:val="continue"/>
            <w:vAlign w:val="center"/>
          </w:tcPr>
          <w:p w14:paraId="13B3D078">
            <w:pPr>
              <w:pStyle w:val="61"/>
              <w:pageBreakBefore w:val="0"/>
              <w:kinsoku/>
              <w:wordWrap/>
              <w:overflowPunct/>
              <w:topLinePunct w:val="0"/>
              <w:bidi w:val="0"/>
              <w:snapToGrid/>
              <w:spacing w:after="0" w:line="360" w:lineRule="auto"/>
              <w:textAlignment w:val="auto"/>
              <w:rPr>
                <w:rFonts w:hint="eastAsia" w:ascii="宋体" w:hAnsi="宋体" w:eastAsia="宋体" w:cs="宋体"/>
                <w:color w:val="auto"/>
                <w:sz w:val="24"/>
                <w:szCs w:val="24"/>
                <w:highlight w:val="none"/>
                <w:lang w:bidi="ar"/>
              </w:rPr>
            </w:pPr>
          </w:p>
        </w:tc>
        <w:tc>
          <w:tcPr>
            <w:tcW w:w="521" w:type="pct"/>
            <w:vMerge w:val="continue"/>
            <w:vAlign w:val="center"/>
          </w:tcPr>
          <w:p w14:paraId="7E7CF9D4">
            <w:pPr>
              <w:pStyle w:val="61"/>
              <w:pageBreakBefore w:val="0"/>
              <w:kinsoku/>
              <w:wordWrap/>
              <w:overflowPunct/>
              <w:topLinePunct w:val="0"/>
              <w:bidi w:val="0"/>
              <w:snapToGrid/>
              <w:spacing w:after="0" w:line="360" w:lineRule="auto"/>
              <w:textAlignment w:val="auto"/>
              <w:rPr>
                <w:rFonts w:hint="eastAsia" w:ascii="宋体" w:hAnsi="宋体" w:eastAsia="宋体" w:cs="宋体"/>
                <w:color w:val="auto"/>
                <w:sz w:val="24"/>
                <w:szCs w:val="24"/>
                <w:highlight w:val="none"/>
                <w:lang w:bidi="ar"/>
              </w:rPr>
            </w:pPr>
          </w:p>
        </w:tc>
        <w:tc>
          <w:tcPr>
            <w:tcW w:w="783" w:type="pct"/>
            <w:vMerge w:val="continue"/>
            <w:shd w:val="clear" w:color="auto" w:fill="auto"/>
            <w:vAlign w:val="center"/>
          </w:tcPr>
          <w:p w14:paraId="5DD937D7">
            <w:pPr>
              <w:pStyle w:val="61"/>
              <w:pageBreakBefore w:val="0"/>
              <w:kinsoku/>
              <w:wordWrap/>
              <w:overflowPunct/>
              <w:topLinePunct w:val="0"/>
              <w:bidi w:val="0"/>
              <w:snapToGrid/>
              <w:spacing w:after="0" w:line="360" w:lineRule="auto"/>
              <w:textAlignment w:val="auto"/>
              <w:rPr>
                <w:rFonts w:hint="eastAsia" w:ascii="宋体" w:hAnsi="宋体" w:eastAsia="宋体" w:cs="宋体"/>
                <w:color w:val="auto"/>
                <w:sz w:val="24"/>
                <w:szCs w:val="24"/>
                <w:highlight w:val="none"/>
                <w:lang w:bidi="ar"/>
              </w:rPr>
            </w:pPr>
          </w:p>
        </w:tc>
      </w:tr>
      <w:tr w14:paraId="026F1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vMerge w:val="continue"/>
            <w:vAlign w:val="center"/>
          </w:tcPr>
          <w:p w14:paraId="07E43303">
            <w:pPr>
              <w:pStyle w:val="61"/>
              <w:pageBreakBefore w:val="0"/>
              <w:kinsoku/>
              <w:wordWrap/>
              <w:overflowPunct/>
              <w:topLinePunct w:val="0"/>
              <w:bidi w:val="0"/>
              <w:snapToGrid/>
              <w:spacing w:after="0" w:line="360" w:lineRule="auto"/>
              <w:textAlignment w:val="auto"/>
              <w:rPr>
                <w:rFonts w:hint="eastAsia" w:ascii="宋体" w:hAnsi="宋体" w:eastAsia="宋体" w:cs="宋体"/>
                <w:color w:val="auto"/>
                <w:sz w:val="24"/>
                <w:szCs w:val="24"/>
                <w:highlight w:val="none"/>
                <w:lang w:bidi="ar"/>
              </w:rPr>
            </w:pPr>
          </w:p>
        </w:tc>
        <w:tc>
          <w:tcPr>
            <w:tcW w:w="493" w:type="pct"/>
            <w:vMerge w:val="continue"/>
            <w:vAlign w:val="center"/>
          </w:tcPr>
          <w:p w14:paraId="7412AC84">
            <w:pPr>
              <w:pStyle w:val="61"/>
              <w:pageBreakBefore w:val="0"/>
              <w:kinsoku/>
              <w:wordWrap/>
              <w:overflowPunct/>
              <w:topLinePunct w:val="0"/>
              <w:bidi w:val="0"/>
              <w:snapToGrid/>
              <w:spacing w:after="0" w:line="360" w:lineRule="auto"/>
              <w:textAlignment w:val="auto"/>
              <w:rPr>
                <w:rFonts w:hint="eastAsia" w:ascii="宋体" w:hAnsi="宋体" w:eastAsia="宋体" w:cs="宋体"/>
                <w:color w:val="auto"/>
                <w:sz w:val="24"/>
                <w:szCs w:val="24"/>
                <w:highlight w:val="none"/>
                <w:lang w:bidi="ar"/>
              </w:rPr>
            </w:pPr>
          </w:p>
        </w:tc>
        <w:tc>
          <w:tcPr>
            <w:tcW w:w="1677" w:type="pct"/>
            <w:vAlign w:val="center"/>
          </w:tcPr>
          <w:p w14:paraId="2D95C320">
            <w:pPr>
              <w:pStyle w:val="61"/>
              <w:pageBreakBefore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浙江省食品药品检验研究院公众检测服务平台2025年运维项目</w:t>
            </w:r>
          </w:p>
        </w:tc>
        <w:tc>
          <w:tcPr>
            <w:tcW w:w="281" w:type="pct"/>
            <w:vAlign w:val="center"/>
          </w:tcPr>
          <w:p w14:paraId="71D2AEAD">
            <w:pPr>
              <w:pStyle w:val="61"/>
              <w:pageBreakBefore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p>
        </w:tc>
        <w:tc>
          <w:tcPr>
            <w:tcW w:w="346" w:type="pct"/>
            <w:vAlign w:val="center"/>
          </w:tcPr>
          <w:p w14:paraId="09303F6F">
            <w:pPr>
              <w:pStyle w:val="61"/>
              <w:pageBreakBefore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项</w:t>
            </w:r>
          </w:p>
        </w:tc>
        <w:tc>
          <w:tcPr>
            <w:tcW w:w="609" w:type="pct"/>
            <w:vMerge w:val="continue"/>
            <w:vAlign w:val="center"/>
          </w:tcPr>
          <w:p w14:paraId="000F1EA5">
            <w:pPr>
              <w:pStyle w:val="61"/>
              <w:pageBreakBefore w:val="0"/>
              <w:kinsoku/>
              <w:wordWrap/>
              <w:overflowPunct/>
              <w:topLinePunct w:val="0"/>
              <w:bidi w:val="0"/>
              <w:snapToGrid/>
              <w:spacing w:after="0" w:line="360" w:lineRule="auto"/>
              <w:textAlignment w:val="auto"/>
              <w:rPr>
                <w:rFonts w:hint="eastAsia" w:ascii="宋体" w:hAnsi="宋体" w:eastAsia="宋体" w:cs="宋体"/>
                <w:color w:val="auto"/>
                <w:sz w:val="24"/>
                <w:szCs w:val="24"/>
                <w:highlight w:val="none"/>
                <w:lang w:bidi="ar"/>
              </w:rPr>
            </w:pPr>
          </w:p>
        </w:tc>
        <w:tc>
          <w:tcPr>
            <w:tcW w:w="521" w:type="pct"/>
            <w:vMerge w:val="continue"/>
            <w:vAlign w:val="center"/>
          </w:tcPr>
          <w:p w14:paraId="26FBA32E">
            <w:pPr>
              <w:pStyle w:val="61"/>
              <w:pageBreakBefore w:val="0"/>
              <w:kinsoku/>
              <w:wordWrap/>
              <w:overflowPunct/>
              <w:topLinePunct w:val="0"/>
              <w:bidi w:val="0"/>
              <w:snapToGrid/>
              <w:spacing w:after="0" w:line="360" w:lineRule="auto"/>
              <w:textAlignment w:val="auto"/>
              <w:rPr>
                <w:rFonts w:hint="eastAsia" w:ascii="宋体" w:hAnsi="宋体" w:eastAsia="宋体" w:cs="宋体"/>
                <w:color w:val="auto"/>
                <w:sz w:val="24"/>
                <w:szCs w:val="24"/>
                <w:highlight w:val="none"/>
                <w:lang w:bidi="ar"/>
              </w:rPr>
            </w:pPr>
          </w:p>
        </w:tc>
        <w:tc>
          <w:tcPr>
            <w:tcW w:w="783" w:type="pct"/>
            <w:vMerge w:val="continue"/>
            <w:shd w:val="clear" w:color="auto" w:fill="auto"/>
            <w:vAlign w:val="center"/>
          </w:tcPr>
          <w:p w14:paraId="0B4C4526">
            <w:pPr>
              <w:pStyle w:val="61"/>
              <w:pageBreakBefore w:val="0"/>
              <w:kinsoku/>
              <w:wordWrap/>
              <w:overflowPunct/>
              <w:topLinePunct w:val="0"/>
              <w:bidi w:val="0"/>
              <w:snapToGrid/>
              <w:spacing w:after="0" w:line="360" w:lineRule="auto"/>
              <w:textAlignment w:val="auto"/>
              <w:rPr>
                <w:rFonts w:hint="eastAsia" w:ascii="宋体" w:hAnsi="宋体" w:eastAsia="宋体" w:cs="宋体"/>
                <w:color w:val="auto"/>
                <w:sz w:val="24"/>
                <w:szCs w:val="24"/>
                <w:highlight w:val="none"/>
                <w:lang w:bidi="ar"/>
              </w:rPr>
            </w:pPr>
          </w:p>
        </w:tc>
      </w:tr>
      <w:tr w14:paraId="7ED40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vMerge w:val="restart"/>
            <w:vAlign w:val="center"/>
          </w:tcPr>
          <w:p w14:paraId="4615CDB8">
            <w:pPr>
              <w:pStyle w:val="61"/>
              <w:pageBreakBefore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二</w:t>
            </w:r>
          </w:p>
        </w:tc>
        <w:tc>
          <w:tcPr>
            <w:tcW w:w="493" w:type="pct"/>
            <w:vMerge w:val="restart"/>
            <w:vAlign w:val="center"/>
          </w:tcPr>
          <w:p w14:paraId="074212DA">
            <w:pPr>
              <w:pStyle w:val="61"/>
              <w:pageBreakBefore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IDC机房租赁及安全</w:t>
            </w:r>
          </w:p>
        </w:tc>
        <w:tc>
          <w:tcPr>
            <w:tcW w:w="1677" w:type="pct"/>
            <w:vAlign w:val="center"/>
          </w:tcPr>
          <w:p w14:paraId="7DAE6BCE">
            <w:pPr>
              <w:pStyle w:val="61"/>
              <w:pageBreakBefore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提供的IDC机房租赁环境需满足T3或者B级以上机房建设要求。供应商需为机房至滨江院区的通信提供主用及备用裸纤保障，确保通信稳定。（</w:t>
            </w:r>
            <w:bookmarkStart w:id="27" w:name="_Hlk198296148"/>
            <w:r>
              <w:rPr>
                <w:rFonts w:hint="eastAsia" w:ascii="宋体" w:hAnsi="宋体" w:eastAsia="宋体" w:cs="宋体"/>
                <w:color w:val="auto"/>
                <w:sz w:val="24"/>
                <w:szCs w:val="24"/>
                <w:highlight w:val="none"/>
                <w:lang w:bidi="ar"/>
              </w:rPr>
              <w:t>如涉及机房变更，机房搬迁、数据迁移等相关成本均已包含在本次预算内，不再产生额外费用</w:t>
            </w:r>
            <w:bookmarkEnd w:id="27"/>
            <w:r>
              <w:rPr>
                <w:rFonts w:hint="eastAsia" w:ascii="宋体" w:hAnsi="宋体" w:eastAsia="宋体" w:cs="宋体"/>
                <w:color w:val="auto"/>
                <w:sz w:val="24"/>
                <w:szCs w:val="24"/>
                <w:highlight w:val="none"/>
                <w:lang w:bidi="ar"/>
              </w:rPr>
              <w:t>）</w:t>
            </w:r>
          </w:p>
        </w:tc>
        <w:tc>
          <w:tcPr>
            <w:tcW w:w="281" w:type="pct"/>
            <w:vAlign w:val="center"/>
          </w:tcPr>
          <w:p w14:paraId="153D629B">
            <w:pPr>
              <w:pStyle w:val="61"/>
              <w:pageBreakBefore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p>
        </w:tc>
        <w:tc>
          <w:tcPr>
            <w:tcW w:w="346" w:type="pct"/>
            <w:vAlign w:val="center"/>
          </w:tcPr>
          <w:p w14:paraId="1E8F30F6">
            <w:pPr>
              <w:pStyle w:val="61"/>
              <w:pageBreakBefore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项</w:t>
            </w:r>
          </w:p>
        </w:tc>
        <w:tc>
          <w:tcPr>
            <w:tcW w:w="609" w:type="pct"/>
            <w:vMerge w:val="continue"/>
            <w:vAlign w:val="center"/>
          </w:tcPr>
          <w:p w14:paraId="5BF7EF4E">
            <w:pPr>
              <w:pStyle w:val="61"/>
              <w:pageBreakBefore w:val="0"/>
              <w:kinsoku/>
              <w:wordWrap/>
              <w:overflowPunct/>
              <w:topLinePunct w:val="0"/>
              <w:bidi w:val="0"/>
              <w:snapToGrid/>
              <w:spacing w:after="0" w:line="360" w:lineRule="auto"/>
              <w:textAlignment w:val="auto"/>
              <w:rPr>
                <w:rFonts w:hint="eastAsia" w:ascii="宋体" w:hAnsi="宋体" w:eastAsia="宋体" w:cs="宋体"/>
                <w:color w:val="auto"/>
                <w:sz w:val="24"/>
                <w:szCs w:val="24"/>
                <w:highlight w:val="none"/>
                <w:lang w:bidi="ar"/>
              </w:rPr>
            </w:pPr>
          </w:p>
        </w:tc>
        <w:tc>
          <w:tcPr>
            <w:tcW w:w="521" w:type="pct"/>
            <w:vMerge w:val="restart"/>
            <w:vAlign w:val="center"/>
          </w:tcPr>
          <w:p w14:paraId="46291895">
            <w:pPr>
              <w:pStyle w:val="61"/>
              <w:pageBreakBefore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rPr>
              <w:t>1年</w:t>
            </w:r>
          </w:p>
        </w:tc>
        <w:tc>
          <w:tcPr>
            <w:tcW w:w="783" w:type="pct"/>
            <w:vMerge w:val="continue"/>
            <w:shd w:val="clear" w:color="auto" w:fill="auto"/>
            <w:vAlign w:val="center"/>
          </w:tcPr>
          <w:p w14:paraId="7ADA1273">
            <w:pPr>
              <w:pStyle w:val="61"/>
              <w:pageBreakBefore w:val="0"/>
              <w:kinsoku/>
              <w:wordWrap/>
              <w:overflowPunct/>
              <w:topLinePunct w:val="0"/>
              <w:bidi w:val="0"/>
              <w:snapToGrid/>
              <w:spacing w:after="0" w:line="360" w:lineRule="auto"/>
              <w:textAlignment w:val="auto"/>
              <w:rPr>
                <w:rFonts w:hint="eastAsia" w:ascii="宋体" w:hAnsi="宋体" w:eastAsia="宋体" w:cs="宋体"/>
                <w:color w:val="auto"/>
                <w:sz w:val="24"/>
                <w:szCs w:val="24"/>
                <w:highlight w:val="none"/>
                <w:lang w:bidi="ar"/>
              </w:rPr>
            </w:pPr>
          </w:p>
        </w:tc>
      </w:tr>
      <w:tr w14:paraId="73305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vMerge w:val="continue"/>
            <w:vAlign w:val="center"/>
          </w:tcPr>
          <w:p w14:paraId="6B10CEA6">
            <w:pPr>
              <w:pStyle w:val="61"/>
              <w:pageBreakBefore w:val="0"/>
              <w:kinsoku/>
              <w:wordWrap/>
              <w:overflowPunct/>
              <w:topLinePunct w:val="0"/>
              <w:bidi w:val="0"/>
              <w:snapToGrid/>
              <w:spacing w:after="0" w:line="360" w:lineRule="auto"/>
              <w:textAlignment w:val="auto"/>
              <w:rPr>
                <w:rFonts w:hint="eastAsia" w:ascii="宋体" w:hAnsi="宋体" w:eastAsia="宋体" w:cs="宋体"/>
                <w:color w:val="auto"/>
                <w:sz w:val="24"/>
                <w:szCs w:val="24"/>
                <w:highlight w:val="none"/>
                <w:lang w:bidi="ar"/>
              </w:rPr>
            </w:pPr>
          </w:p>
        </w:tc>
        <w:tc>
          <w:tcPr>
            <w:tcW w:w="493" w:type="pct"/>
            <w:vMerge w:val="continue"/>
            <w:vAlign w:val="center"/>
          </w:tcPr>
          <w:p w14:paraId="5930E0AE">
            <w:pPr>
              <w:pStyle w:val="61"/>
              <w:pageBreakBefore w:val="0"/>
              <w:kinsoku/>
              <w:wordWrap/>
              <w:overflowPunct/>
              <w:topLinePunct w:val="0"/>
              <w:bidi w:val="0"/>
              <w:snapToGrid/>
              <w:spacing w:after="0" w:line="360" w:lineRule="auto"/>
              <w:textAlignment w:val="auto"/>
              <w:rPr>
                <w:rFonts w:hint="eastAsia" w:ascii="宋体" w:hAnsi="宋体" w:eastAsia="宋体" w:cs="宋体"/>
                <w:color w:val="auto"/>
                <w:sz w:val="24"/>
                <w:szCs w:val="24"/>
                <w:highlight w:val="none"/>
                <w:lang w:bidi="ar"/>
              </w:rPr>
            </w:pPr>
          </w:p>
        </w:tc>
        <w:tc>
          <w:tcPr>
            <w:tcW w:w="1677" w:type="pct"/>
            <w:vAlign w:val="center"/>
          </w:tcPr>
          <w:p w14:paraId="01E02E6F">
            <w:pPr>
              <w:pStyle w:val="61"/>
              <w:pageBreakBefore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提供基础机房安全巡检服务。（已包括日常运维服务费、7x24 小时技术支撑服务费、故障及应急处理服务费、每季度定期巡检费用）</w:t>
            </w:r>
          </w:p>
        </w:tc>
        <w:tc>
          <w:tcPr>
            <w:tcW w:w="281" w:type="pct"/>
            <w:vAlign w:val="center"/>
          </w:tcPr>
          <w:p w14:paraId="0DCC1E11">
            <w:pPr>
              <w:pStyle w:val="61"/>
              <w:pageBreakBefore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p>
        </w:tc>
        <w:tc>
          <w:tcPr>
            <w:tcW w:w="346" w:type="pct"/>
            <w:vAlign w:val="center"/>
          </w:tcPr>
          <w:p w14:paraId="1EA02DDE">
            <w:pPr>
              <w:pStyle w:val="61"/>
              <w:pageBreakBefore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项</w:t>
            </w:r>
          </w:p>
        </w:tc>
        <w:tc>
          <w:tcPr>
            <w:tcW w:w="609" w:type="pct"/>
            <w:vMerge w:val="continue"/>
            <w:vAlign w:val="center"/>
          </w:tcPr>
          <w:p w14:paraId="6AC8959F">
            <w:pPr>
              <w:pStyle w:val="61"/>
              <w:pageBreakBefore w:val="0"/>
              <w:kinsoku/>
              <w:wordWrap/>
              <w:overflowPunct/>
              <w:topLinePunct w:val="0"/>
              <w:bidi w:val="0"/>
              <w:snapToGrid/>
              <w:spacing w:after="0" w:line="360" w:lineRule="auto"/>
              <w:textAlignment w:val="auto"/>
              <w:rPr>
                <w:rFonts w:hint="eastAsia" w:ascii="宋体" w:hAnsi="宋体" w:eastAsia="宋体" w:cs="宋体"/>
                <w:color w:val="auto"/>
                <w:sz w:val="24"/>
                <w:szCs w:val="24"/>
                <w:highlight w:val="none"/>
                <w:lang w:bidi="ar"/>
              </w:rPr>
            </w:pPr>
          </w:p>
        </w:tc>
        <w:tc>
          <w:tcPr>
            <w:tcW w:w="521" w:type="pct"/>
            <w:vMerge w:val="continue"/>
            <w:vAlign w:val="center"/>
          </w:tcPr>
          <w:p w14:paraId="016FEB9D">
            <w:pPr>
              <w:pStyle w:val="61"/>
              <w:pageBreakBefore w:val="0"/>
              <w:kinsoku/>
              <w:wordWrap/>
              <w:overflowPunct/>
              <w:topLinePunct w:val="0"/>
              <w:bidi w:val="0"/>
              <w:snapToGrid/>
              <w:spacing w:after="0" w:line="360" w:lineRule="auto"/>
              <w:textAlignment w:val="auto"/>
              <w:rPr>
                <w:rFonts w:hint="eastAsia" w:ascii="宋体" w:hAnsi="宋体" w:eastAsia="宋体" w:cs="宋体"/>
                <w:color w:val="auto"/>
                <w:sz w:val="24"/>
                <w:szCs w:val="24"/>
                <w:highlight w:val="none"/>
              </w:rPr>
            </w:pPr>
          </w:p>
        </w:tc>
        <w:tc>
          <w:tcPr>
            <w:tcW w:w="783" w:type="pct"/>
            <w:vMerge w:val="continue"/>
            <w:shd w:val="clear" w:color="auto" w:fill="auto"/>
            <w:vAlign w:val="center"/>
          </w:tcPr>
          <w:p w14:paraId="333998B2">
            <w:pPr>
              <w:pStyle w:val="61"/>
              <w:pageBreakBefore w:val="0"/>
              <w:kinsoku/>
              <w:wordWrap/>
              <w:overflowPunct/>
              <w:topLinePunct w:val="0"/>
              <w:bidi w:val="0"/>
              <w:snapToGrid/>
              <w:spacing w:after="0" w:line="360" w:lineRule="auto"/>
              <w:textAlignment w:val="auto"/>
              <w:rPr>
                <w:rFonts w:hint="eastAsia" w:ascii="宋体" w:hAnsi="宋体" w:eastAsia="宋体" w:cs="宋体"/>
                <w:color w:val="auto"/>
                <w:sz w:val="24"/>
                <w:szCs w:val="24"/>
                <w:highlight w:val="none"/>
              </w:rPr>
            </w:pPr>
          </w:p>
        </w:tc>
      </w:tr>
      <w:tr w14:paraId="2E7BB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vAlign w:val="center"/>
          </w:tcPr>
          <w:p w14:paraId="784A9E4C">
            <w:pPr>
              <w:pStyle w:val="61"/>
              <w:pageBreakBefore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三</w:t>
            </w:r>
          </w:p>
        </w:tc>
        <w:tc>
          <w:tcPr>
            <w:tcW w:w="493" w:type="pct"/>
            <w:vAlign w:val="center"/>
          </w:tcPr>
          <w:p w14:paraId="2CCE5C41">
            <w:pPr>
              <w:pStyle w:val="61"/>
              <w:pageBreakBefore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终端运维</w:t>
            </w:r>
          </w:p>
        </w:tc>
        <w:tc>
          <w:tcPr>
            <w:tcW w:w="1677" w:type="pct"/>
            <w:vAlign w:val="center"/>
          </w:tcPr>
          <w:p w14:paraId="07CF5FE3">
            <w:pPr>
              <w:pStyle w:val="61"/>
              <w:pageBreakBefore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终端运维服务</w:t>
            </w:r>
          </w:p>
        </w:tc>
        <w:tc>
          <w:tcPr>
            <w:tcW w:w="281" w:type="pct"/>
            <w:vAlign w:val="center"/>
          </w:tcPr>
          <w:p w14:paraId="3ECBEA7C">
            <w:pPr>
              <w:pStyle w:val="61"/>
              <w:pageBreakBefore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p>
        </w:tc>
        <w:tc>
          <w:tcPr>
            <w:tcW w:w="346" w:type="pct"/>
            <w:vAlign w:val="center"/>
          </w:tcPr>
          <w:p w14:paraId="50731E8F">
            <w:pPr>
              <w:pStyle w:val="61"/>
              <w:pageBreakBefore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项</w:t>
            </w:r>
          </w:p>
        </w:tc>
        <w:tc>
          <w:tcPr>
            <w:tcW w:w="609" w:type="pct"/>
            <w:vMerge w:val="continue"/>
            <w:vAlign w:val="center"/>
          </w:tcPr>
          <w:p w14:paraId="20EB80FD">
            <w:pPr>
              <w:pStyle w:val="61"/>
              <w:pageBreakBefore w:val="0"/>
              <w:kinsoku/>
              <w:wordWrap/>
              <w:overflowPunct/>
              <w:topLinePunct w:val="0"/>
              <w:bidi w:val="0"/>
              <w:snapToGrid/>
              <w:spacing w:after="0" w:line="360" w:lineRule="auto"/>
              <w:textAlignment w:val="auto"/>
              <w:rPr>
                <w:rFonts w:hint="eastAsia" w:ascii="宋体" w:hAnsi="宋体" w:eastAsia="宋体" w:cs="宋体"/>
                <w:color w:val="auto"/>
                <w:sz w:val="24"/>
                <w:szCs w:val="24"/>
                <w:highlight w:val="none"/>
                <w:lang w:bidi="ar"/>
              </w:rPr>
            </w:pPr>
          </w:p>
        </w:tc>
        <w:tc>
          <w:tcPr>
            <w:tcW w:w="521" w:type="pct"/>
            <w:vAlign w:val="center"/>
          </w:tcPr>
          <w:p w14:paraId="7B719801">
            <w:pPr>
              <w:pStyle w:val="61"/>
              <w:pageBreakBefore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1年</w:t>
            </w:r>
          </w:p>
        </w:tc>
        <w:tc>
          <w:tcPr>
            <w:tcW w:w="783" w:type="pct"/>
            <w:vMerge w:val="continue"/>
            <w:shd w:val="clear" w:color="auto" w:fill="auto"/>
            <w:vAlign w:val="center"/>
          </w:tcPr>
          <w:p w14:paraId="7A7CE06E">
            <w:pPr>
              <w:pStyle w:val="61"/>
              <w:pageBreakBefore w:val="0"/>
              <w:kinsoku/>
              <w:wordWrap/>
              <w:overflowPunct/>
              <w:topLinePunct w:val="0"/>
              <w:bidi w:val="0"/>
              <w:snapToGrid/>
              <w:spacing w:after="0" w:line="360" w:lineRule="auto"/>
              <w:textAlignment w:val="auto"/>
              <w:rPr>
                <w:rFonts w:hint="eastAsia" w:ascii="宋体" w:hAnsi="宋体" w:eastAsia="宋体" w:cs="宋体"/>
                <w:color w:val="auto"/>
                <w:sz w:val="24"/>
                <w:szCs w:val="24"/>
                <w:highlight w:val="none"/>
              </w:rPr>
            </w:pPr>
          </w:p>
        </w:tc>
      </w:tr>
    </w:tbl>
    <w:p w14:paraId="6F0566D9">
      <w:pPr>
        <w:pStyle w:val="3"/>
        <w:numPr>
          <w:ilvl w:val="0"/>
          <w:numId w:val="5"/>
        </w:numPr>
        <w:tabs>
          <w:tab w:val="left" w:pos="0"/>
          <w:tab w:val="clear" w:pos="432"/>
        </w:tabs>
        <w:spacing w:before="0" w:after="0" w:line="360" w:lineRule="auto"/>
        <w:ind w:left="-5" w:firstLine="425"/>
        <w:rPr>
          <w:rFonts w:hint="eastAsia" w:ascii="宋体" w:hAnsi="宋体" w:eastAsia="宋体" w:cs="宋体"/>
          <w:color w:val="auto"/>
          <w:sz w:val="24"/>
          <w:szCs w:val="24"/>
          <w:highlight w:val="none"/>
        </w:rPr>
      </w:pPr>
      <w:bookmarkStart w:id="28" w:name="_Toc198297169"/>
      <w:r>
        <w:rPr>
          <w:rFonts w:hint="eastAsia" w:ascii="宋体" w:hAnsi="宋体" w:eastAsia="宋体" w:cs="宋体"/>
          <w:color w:val="auto"/>
          <w:sz w:val="24"/>
          <w:szCs w:val="24"/>
          <w:highlight w:val="none"/>
        </w:rPr>
        <w:t>项目技术要求</w:t>
      </w:r>
      <w:bookmarkEnd w:id="28"/>
    </w:p>
    <w:p w14:paraId="21816A6D">
      <w:pPr>
        <w:keepNext w:val="0"/>
        <w:keepLines w:val="0"/>
        <w:widowControl w:val="0"/>
        <w:suppressLineNumbers w:val="0"/>
        <w:adjustRightInd w:val="0"/>
        <w:spacing w:before="0" w:beforeAutospacing="0" w:after="0" w:afterAutospacing="0" w:line="360" w:lineRule="auto"/>
        <w:ind w:left="0" w:right="0" w:firstLine="420" w:firstLineChars="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项目主要包含</w:t>
      </w:r>
      <w:r>
        <w:rPr>
          <w:rFonts w:hint="eastAsia" w:ascii="宋体" w:hAnsi="宋体" w:eastAsia="宋体" w:cs="宋体"/>
          <w:color w:val="auto"/>
          <w:kern w:val="2"/>
          <w:sz w:val="24"/>
          <w:szCs w:val="24"/>
          <w:highlight w:val="none"/>
          <w:lang w:val="en-US" w:eastAsia="zh-CN" w:bidi="ar"/>
        </w:rPr>
        <w:t>数字化系统包括实验室资源管理、报告数据整合等4系统</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bidi="ar"/>
          <w14:ligatures w14:val="none"/>
        </w:rPr>
        <w:t>生物制品批签发电子证照</w:t>
      </w:r>
      <w:r>
        <w:rPr>
          <w:rFonts w:hint="eastAsia" w:ascii="宋体" w:hAnsi="宋体" w:eastAsia="宋体" w:cs="宋体"/>
          <w:color w:val="auto"/>
          <w:kern w:val="0"/>
          <w:sz w:val="24"/>
          <w:szCs w:val="24"/>
          <w:highlight w:val="none"/>
          <w:lang w:eastAsia="zh-CN" w:bidi="ar"/>
          <w14:ligatures w14:val="none"/>
        </w:rPr>
        <w:t>、</w:t>
      </w:r>
      <w:r>
        <w:rPr>
          <w:rFonts w:hint="eastAsia" w:ascii="宋体" w:hAnsi="宋体" w:eastAsia="宋体" w:cs="宋体"/>
          <w:color w:val="auto"/>
          <w:kern w:val="2"/>
          <w:sz w:val="24"/>
          <w:szCs w:val="24"/>
          <w:highlight w:val="none"/>
          <w:lang w:val="en-US" w:eastAsia="zh-CN" w:bidi="ar"/>
        </w:rPr>
        <w:t>防疫药械智控应用</w:t>
      </w:r>
      <w:r>
        <w:rPr>
          <w:rFonts w:hint="eastAsia" w:ascii="宋体" w:hAnsi="宋体" w:eastAsia="宋体" w:cs="宋体"/>
          <w:color w:val="auto"/>
          <w:kern w:val="0"/>
          <w:sz w:val="24"/>
          <w:szCs w:val="24"/>
          <w:highlight w:val="none"/>
          <w:lang w:bidi="ar"/>
        </w:rPr>
        <w:t>、公众检测服务平台等已有软件平台的运维服务；部分新增功能的开发服务，主要包括</w:t>
      </w:r>
      <w:r>
        <w:rPr>
          <w:rFonts w:hint="eastAsia" w:ascii="宋体" w:hAnsi="宋体" w:cs="宋体"/>
          <w:color w:val="auto"/>
          <w:kern w:val="0"/>
          <w:sz w:val="24"/>
          <w:szCs w:val="24"/>
          <w:highlight w:val="none"/>
          <w:lang w:eastAsia="zh-CN" w:bidi="ar"/>
        </w:rPr>
        <w:t>防疫药械智控应用</w:t>
      </w:r>
      <w:r>
        <w:rPr>
          <w:rFonts w:hint="eastAsia" w:ascii="宋体" w:hAnsi="宋体" w:eastAsia="宋体" w:cs="宋体"/>
          <w:color w:val="auto"/>
          <w:kern w:val="0"/>
          <w:sz w:val="24"/>
          <w:szCs w:val="24"/>
          <w:highlight w:val="none"/>
          <w:lang w:bidi="ar"/>
        </w:rPr>
        <w:t>的</w:t>
      </w:r>
      <w:r>
        <w:rPr>
          <w:rFonts w:hint="eastAsia" w:ascii="宋体" w:hAnsi="宋体" w:cs="宋体"/>
          <w:color w:val="auto"/>
          <w:kern w:val="0"/>
          <w:sz w:val="24"/>
          <w:szCs w:val="24"/>
          <w:highlight w:val="none"/>
          <w:lang w:val="en-US" w:eastAsia="zh-CN" w:bidi="ar"/>
        </w:rPr>
        <w:t>运维开发</w:t>
      </w:r>
      <w:r>
        <w:rPr>
          <w:rFonts w:hint="eastAsia" w:ascii="宋体" w:hAnsi="宋体" w:eastAsia="宋体" w:cs="宋体"/>
          <w:color w:val="auto"/>
          <w:kern w:val="0"/>
          <w:sz w:val="24"/>
          <w:szCs w:val="24"/>
          <w:highlight w:val="none"/>
          <w:lang w:bidi="ar"/>
        </w:rPr>
        <w:t>需求，超周期管理模块的功能完善以及全省药品检验检测数据库的接口对接服务；院IDC机房以的租赁服务和安全服务；院计算机终端运维的驻场服务。项目驻场人员包含：软件运维驻场人员不低于4人，终端驻场人员2人。整体需求分为（1）软件运维（2）IDC机房租赁及安全（3）终端运维三部分，具体需求内容如下：</w:t>
      </w:r>
    </w:p>
    <w:p w14:paraId="56663B5C">
      <w:pPr>
        <w:pStyle w:val="5"/>
        <w:pageBreakBefore w:val="0"/>
        <w:kinsoku/>
        <w:wordWrap/>
        <w:overflowPunct/>
        <w:topLinePunct w:val="0"/>
        <w:bidi w:val="0"/>
        <w:snapToGrid/>
        <w:spacing w:before="0" w:after="0" w:line="360" w:lineRule="auto"/>
        <w:textAlignment w:val="auto"/>
        <w:rPr>
          <w:rFonts w:hint="eastAsia" w:ascii="宋体" w:hAnsi="宋体" w:eastAsia="宋体" w:cs="宋体"/>
          <w:b/>
          <w:bCs/>
          <w:color w:val="auto"/>
          <w:sz w:val="24"/>
          <w:szCs w:val="24"/>
          <w:highlight w:val="none"/>
          <w:shd w:val="clear" w:color="auto" w:fill="FFFFFF"/>
          <w:lang w:bidi="ar"/>
        </w:rPr>
      </w:pPr>
      <w:bookmarkStart w:id="29" w:name="_Toc198297170"/>
      <w:r>
        <w:rPr>
          <w:rFonts w:hint="eastAsia" w:ascii="宋体" w:hAnsi="宋体" w:eastAsia="宋体" w:cs="宋体"/>
          <w:b/>
          <w:bCs/>
          <w:color w:val="auto"/>
          <w:sz w:val="24"/>
          <w:szCs w:val="24"/>
          <w:highlight w:val="none"/>
          <w:shd w:val="clear" w:color="auto" w:fill="FFFFFF"/>
          <w:lang w:bidi="ar"/>
        </w:rPr>
        <w:t>（一）软件运维</w:t>
      </w:r>
      <w:bookmarkEnd w:id="29"/>
    </w:p>
    <w:p w14:paraId="3F3B992E">
      <w:pPr>
        <w:pageBreakBefore w:val="0"/>
        <w:kinsoku/>
        <w:wordWrap/>
        <w:overflowPunct/>
        <w:topLinePunct w:val="0"/>
        <w:bidi w:val="0"/>
        <w:snapToGrid/>
        <w:spacing w:after="0" w:line="360" w:lineRule="auto"/>
        <w:ind w:left="0" w:leftChars="0" w:firstLine="420" w:firstLineChars="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本次项目建设内容包括对已过保的软件系统及需延续维保的系统进行持续运维支持。基于以往维护工作的经验与成果，我们充分认识到专业运维团队在保障软件系统稳定运行方面的重要作用。通过引入具备专业技术能力的服务团队，能够有效应对各类突发问题，提升系统的可用性与安全性，为业务连续性和服务质量提供有力保障。</w:t>
      </w:r>
    </w:p>
    <w:p w14:paraId="6392138E">
      <w:pPr>
        <w:pageBreakBefore w:val="0"/>
        <w:kinsoku/>
        <w:wordWrap/>
        <w:overflowPunct/>
        <w:topLinePunct w:val="0"/>
        <w:bidi w:val="0"/>
        <w:snapToGrid/>
        <w:spacing w:after="0" w:line="360" w:lineRule="auto"/>
        <w:ind w:left="0" w:leftChars="0" w:firstLine="420" w:firstLineChars="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在项目建设过程中，将进一步强化软件运维体系建设，完善运维服务机制，提升运维工作的专业化、精细化水平，确保各软件系统能够持续、高效、稳定地支撑业务发展，更好地为广大公众提供便捷、优质的信息化服务。</w:t>
      </w:r>
    </w:p>
    <w:p w14:paraId="127DC835">
      <w:pPr>
        <w:pStyle w:val="6"/>
        <w:pageBreakBefore w:val="0"/>
        <w:kinsoku/>
        <w:wordWrap/>
        <w:overflowPunct/>
        <w:topLinePunct w:val="0"/>
        <w:bidi w:val="0"/>
        <w:snapToGrid/>
        <w:spacing w:before="0" w:after="0" w:line="360" w:lineRule="auto"/>
        <w:ind w:left="876" w:leftChars="176" w:hanging="506" w:hangingChars="210"/>
        <w:textAlignment w:val="auto"/>
        <w:rPr>
          <w:rFonts w:hint="eastAsia" w:ascii="宋体" w:hAnsi="宋体" w:eastAsia="宋体" w:cs="宋体"/>
          <w:b/>
          <w:bCs/>
          <w:color w:val="auto"/>
          <w:sz w:val="24"/>
          <w:szCs w:val="24"/>
          <w:highlight w:val="none"/>
          <w:shd w:val="clear" w:color="auto" w:fill="FFFFFF"/>
          <w:lang w:bidi="ar"/>
        </w:rPr>
      </w:pPr>
      <w:r>
        <w:rPr>
          <w:rFonts w:hint="eastAsia" w:ascii="宋体" w:hAnsi="宋体" w:eastAsia="宋体" w:cs="宋体"/>
          <w:b/>
          <w:bCs/>
          <w:color w:val="auto"/>
          <w:sz w:val="24"/>
          <w:szCs w:val="24"/>
          <w:highlight w:val="none"/>
          <w:shd w:val="clear" w:color="auto" w:fill="FFFFFF"/>
          <w:lang w:bidi="ar"/>
        </w:rPr>
        <w:t>1.软件运维服务范围</w:t>
      </w:r>
    </w:p>
    <w:tbl>
      <w:tblPr>
        <w:tblStyle w:val="64"/>
        <w:tblW w:w="4734" w:type="pct"/>
        <w:tblInd w:w="3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943"/>
        <w:gridCol w:w="3897"/>
        <w:gridCol w:w="846"/>
        <w:gridCol w:w="873"/>
        <w:gridCol w:w="729"/>
      </w:tblGrid>
      <w:tr w14:paraId="57F30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74AD602E">
            <w:pPr>
              <w:pStyle w:val="61"/>
              <w:pageBreakBefore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序号</w:t>
            </w:r>
          </w:p>
        </w:tc>
        <w:tc>
          <w:tcPr>
            <w:tcW w:w="2998" w:type="pct"/>
            <w:gridSpan w:val="2"/>
            <w:vAlign w:val="center"/>
          </w:tcPr>
          <w:p w14:paraId="221744FE">
            <w:pPr>
              <w:pStyle w:val="61"/>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内容</w:t>
            </w:r>
          </w:p>
        </w:tc>
        <w:tc>
          <w:tcPr>
            <w:tcW w:w="524" w:type="pct"/>
            <w:vAlign w:val="center"/>
          </w:tcPr>
          <w:p w14:paraId="2D1B6602">
            <w:pPr>
              <w:pStyle w:val="61"/>
              <w:pageBreakBefore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数量</w:t>
            </w:r>
          </w:p>
        </w:tc>
        <w:tc>
          <w:tcPr>
            <w:tcW w:w="541" w:type="pct"/>
            <w:vAlign w:val="center"/>
          </w:tcPr>
          <w:p w14:paraId="3AB4116F">
            <w:pPr>
              <w:pStyle w:val="61"/>
              <w:pageBreakBefore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单位</w:t>
            </w:r>
          </w:p>
        </w:tc>
        <w:tc>
          <w:tcPr>
            <w:tcW w:w="451" w:type="pct"/>
            <w:vAlign w:val="center"/>
          </w:tcPr>
          <w:p w14:paraId="535ED853">
            <w:pPr>
              <w:pStyle w:val="61"/>
              <w:pageBreakBefore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备注</w:t>
            </w:r>
          </w:p>
        </w:tc>
      </w:tr>
      <w:tr w14:paraId="469E9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1843A6A5">
            <w:pPr>
              <w:pStyle w:val="61"/>
              <w:pageBreakBefore w:val="0"/>
              <w:kinsoku/>
              <w:wordWrap/>
              <w:overflowPunct/>
              <w:topLinePunct w:val="0"/>
              <w:bidi w:val="0"/>
              <w:snapToGrid/>
              <w:spacing w:after="0" w:line="360" w:lineRule="auto"/>
              <w:ind w:left="0" w:leftChars="0" w:firstLine="0" w:firstLineChars="0"/>
              <w:jc w:val="center"/>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p>
        </w:tc>
        <w:tc>
          <w:tcPr>
            <w:tcW w:w="584" w:type="pct"/>
            <w:vMerge w:val="restart"/>
            <w:vAlign w:val="center"/>
          </w:tcPr>
          <w:p w14:paraId="18CC75D3">
            <w:pPr>
              <w:pStyle w:val="61"/>
              <w:pageBreakBefore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软件运维</w:t>
            </w:r>
          </w:p>
        </w:tc>
        <w:tc>
          <w:tcPr>
            <w:tcW w:w="2414" w:type="pct"/>
            <w:vAlign w:val="center"/>
          </w:tcPr>
          <w:p w14:paraId="43016BC5">
            <w:pPr>
              <w:pStyle w:val="61"/>
              <w:pageBreakBefore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rPr>
              <w:t>省院数字化系统包括实验室资源管理、报告数据整合等4系统2025年运维项目</w:t>
            </w:r>
          </w:p>
        </w:tc>
        <w:tc>
          <w:tcPr>
            <w:tcW w:w="524" w:type="pct"/>
            <w:vAlign w:val="center"/>
          </w:tcPr>
          <w:p w14:paraId="54B37768">
            <w:pPr>
              <w:pStyle w:val="61"/>
              <w:pageBreakBefore w:val="0"/>
              <w:kinsoku/>
              <w:wordWrap/>
              <w:overflowPunct/>
              <w:topLinePunct w:val="0"/>
              <w:bidi w:val="0"/>
              <w:snapToGrid/>
              <w:spacing w:after="0" w:line="360" w:lineRule="auto"/>
              <w:ind w:left="0" w:leftChars="0" w:firstLine="0" w:firstLineChars="0"/>
              <w:jc w:val="center"/>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p>
        </w:tc>
        <w:tc>
          <w:tcPr>
            <w:tcW w:w="541" w:type="pct"/>
            <w:vAlign w:val="center"/>
          </w:tcPr>
          <w:p w14:paraId="40894E39">
            <w:pPr>
              <w:pStyle w:val="61"/>
              <w:pageBreakBefore w:val="0"/>
              <w:kinsoku/>
              <w:wordWrap/>
              <w:overflowPunct/>
              <w:topLinePunct w:val="0"/>
              <w:bidi w:val="0"/>
              <w:snapToGrid/>
              <w:spacing w:after="0" w:line="360" w:lineRule="auto"/>
              <w:ind w:left="0" w:leftChars="0" w:firstLine="0" w:firstLineChars="0"/>
              <w:jc w:val="center"/>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项</w:t>
            </w:r>
          </w:p>
        </w:tc>
        <w:tc>
          <w:tcPr>
            <w:tcW w:w="451" w:type="pct"/>
            <w:vAlign w:val="center"/>
          </w:tcPr>
          <w:p w14:paraId="737E997A">
            <w:pPr>
              <w:pStyle w:val="61"/>
              <w:pageBreakBefore w:val="0"/>
              <w:kinsoku/>
              <w:wordWrap/>
              <w:overflowPunct/>
              <w:topLinePunct w:val="0"/>
              <w:bidi w:val="0"/>
              <w:snapToGrid/>
              <w:spacing w:after="0" w:line="360" w:lineRule="auto"/>
              <w:textAlignment w:val="auto"/>
              <w:rPr>
                <w:rFonts w:hint="eastAsia" w:ascii="宋体" w:hAnsi="宋体" w:eastAsia="宋体" w:cs="宋体"/>
                <w:color w:val="auto"/>
                <w:sz w:val="24"/>
                <w:szCs w:val="24"/>
                <w:highlight w:val="none"/>
                <w:lang w:bidi="ar"/>
              </w:rPr>
            </w:pPr>
          </w:p>
        </w:tc>
      </w:tr>
      <w:tr w14:paraId="0293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56AF4F47">
            <w:pPr>
              <w:pStyle w:val="61"/>
              <w:pageBreakBefore w:val="0"/>
              <w:kinsoku/>
              <w:wordWrap/>
              <w:overflowPunct/>
              <w:topLinePunct w:val="0"/>
              <w:bidi w:val="0"/>
              <w:snapToGrid/>
              <w:spacing w:after="0" w:line="360" w:lineRule="auto"/>
              <w:ind w:left="0" w:leftChars="0" w:firstLine="0" w:firstLineChars="0"/>
              <w:jc w:val="center"/>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w:t>
            </w:r>
          </w:p>
        </w:tc>
        <w:tc>
          <w:tcPr>
            <w:tcW w:w="584" w:type="pct"/>
            <w:vMerge w:val="continue"/>
            <w:vAlign w:val="center"/>
          </w:tcPr>
          <w:p w14:paraId="336B1E54">
            <w:pPr>
              <w:pageBreakBefore w:val="0"/>
              <w:kinsoku/>
              <w:wordWrap/>
              <w:overflowPunct/>
              <w:topLinePunct w:val="0"/>
              <w:bidi w:val="0"/>
              <w:snapToGrid/>
              <w:spacing w:after="0" w:line="360" w:lineRule="auto"/>
              <w:jc w:val="both"/>
              <w:textAlignment w:val="auto"/>
              <w:rPr>
                <w:rFonts w:hint="eastAsia" w:ascii="宋体" w:hAnsi="宋体" w:eastAsia="宋体" w:cs="宋体"/>
                <w:color w:val="auto"/>
                <w:kern w:val="0"/>
                <w:sz w:val="24"/>
                <w:szCs w:val="24"/>
                <w:highlight w:val="none"/>
                <w14:ligatures w14:val="none"/>
              </w:rPr>
            </w:pPr>
          </w:p>
        </w:tc>
        <w:tc>
          <w:tcPr>
            <w:tcW w:w="2414" w:type="pct"/>
            <w:vAlign w:val="center"/>
          </w:tcPr>
          <w:p w14:paraId="4E39DCB7">
            <w:pPr>
              <w:pageBreakBefore w:val="0"/>
              <w:kinsoku/>
              <w:wordWrap/>
              <w:overflowPunct/>
              <w:topLinePunct w:val="0"/>
              <w:bidi w:val="0"/>
              <w:snapToGrid/>
              <w:spacing w:after="0" w:line="360" w:lineRule="auto"/>
              <w:jc w:val="both"/>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lang w:bidi="ar"/>
                <w14:ligatures w14:val="none"/>
              </w:rPr>
              <w:t>浙江省食品药品检验研究院生物制品批签发电子证照2025年运维项目</w:t>
            </w:r>
          </w:p>
        </w:tc>
        <w:tc>
          <w:tcPr>
            <w:tcW w:w="524" w:type="pct"/>
            <w:vAlign w:val="center"/>
          </w:tcPr>
          <w:p w14:paraId="0A07D926">
            <w:pPr>
              <w:pStyle w:val="61"/>
              <w:pageBreakBefore w:val="0"/>
              <w:kinsoku/>
              <w:wordWrap/>
              <w:overflowPunct/>
              <w:topLinePunct w:val="0"/>
              <w:bidi w:val="0"/>
              <w:snapToGrid/>
              <w:spacing w:after="0" w:line="360" w:lineRule="auto"/>
              <w:ind w:left="0" w:leftChars="0" w:firstLine="0" w:firstLineChars="0"/>
              <w:jc w:val="center"/>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p>
        </w:tc>
        <w:tc>
          <w:tcPr>
            <w:tcW w:w="541" w:type="pct"/>
            <w:vAlign w:val="center"/>
          </w:tcPr>
          <w:p w14:paraId="0220344D">
            <w:pPr>
              <w:pStyle w:val="61"/>
              <w:pageBreakBefore w:val="0"/>
              <w:kinsoku/>
              <w:wordWrap/>
              <w:overflowPunct/>
              <w:topLinePunct w:val="0"/>
              <w:bidi w:val="0"/>
              <w:snapToGrid/>
              <w:spacing w:after="0" w:line="360" w:lineRule="auto"/>
              <w:ind w:left="0" w:leftChars="0" w:firstLine="0" w:firstLineChars="0"/>
              <w:jc w:val="center"/>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项</w:t>
            </w:r>
          </w:p>
        </w:tc>
        <w:tc>
          <w:tcPr>
            <w:tcW w:w="451" w:type="pct"/>
            <w:vAlign w:val="center"/>
          </w:tcPr>
          <w:p w14:paraId="6CC00493">
            <w:pPr>
              <w:pStyle w:val="61"/>
              <w:pageBreakBefore w:val="0"/>
              <w:kinsoku/>
              <w:wordWrap/>
              <w:overflowPunct/>
              <w:topLinePunct w:val="0"/>
              <w:bidi w:val="0"/>
              <w:snapToGrid/>
              <w:spacing w:after="0" w:line="360" w:lineRule="auto"/>
              <w:textAlignment w:val="auto"/>
              <w:rPr>
                <w:rFonts w:hint="eastAsia" w:ascii="宋体" w:hAnsi="宋体" w:eastAsia="宋体" w:cs="宋体"/>
                <w:color w:val="auto"/>
                <w:sz w:val="24"/>
                <w:szCs w:val="24"/>
                <w:highlight w:val="none"/>
                <w:lang w:bidi="ar"/>
              </w:rPr>
            </w:pPr>
          </w:p>
        </w:tc>
      </w:tr>
      <w:tr w14:paraId="4B494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09E45557">
            <w:pPr>
              <w:pStyle w:val="61"/>
              <w:pageBreakBefore w:val="0"/>
              <w:kinsoku/>
              <w:wordWrap/>
              <w:overflowPunct/>
              <w:topLinePunct w:val="0"/>
              <w:bidi w:val="0"/>
              <w:snapToGrid/>
              <w:spacing w:after="0" w:line="360" w:lineRule="auto"/>
              <w:ind w:left="0" w:leftChars="0" w:firstLine="0" w:firstLineChars="0"/>
              <w:jc w:val="center"/>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w:t>
            </w:r>
          </w:p>
        </w:tc>
        <w:tc>
          <w:tcPr>
            <w:tcW w:w="584" w:type="pct"/>
            <w:vMerge w:val="continue"/>
            <w:vAlign w:val="center"/>
          </w:tcPr>
          <w:p w14:paraId="45300DDE">
            <w:pPr>
              <w:pStyle w:val="61"/>
              <w:pageBreakBefore w:val="0"/>
              <w:kinsoku/>
              <w:wordWrap/>
              <w:overflowPunct/>
              <w:topLinePunct w:val="0"/>
              <w:bidi w:val="0"/>
              <w:snapToGrid/>
              <w:spacing w:after="0" w:line="360" w:lineRule="auto"/>
              <w:textAlignment w:val="auto"/>
              <w:rPr>
                <w:rFonts w:hint="eastAsia" w:ascii="宋体" w:hAnsi="宋体" w:eastAsia="宋体" w:cs="宋体"/>
                <w:color w:val="auto"/>
                <w:sz w:val="24"/>
                <w:szCs w:val="24"/>
                <w:highlight w:val="none"/>
                <w:lang w:bidi="ar"/>
              </w:rPr>
            </w:pPr>
          </w:p>
        </w:tc>
        <w:tc>
          <w:tcPr>
            <w:tcW w:w="2414" w:type="pct"/>
            <w:vAlign w:val="center"/>
          </w:tcPr>
          <w:p w14:paraId="19942E6F">
            <w:pPr>
              <w:pStyle w:val="61"/>
              <w:pageBreakBefore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浙江省食品药品检验研究院防疫药械智控应用2025年运维项目</w:t>
            </w:r>
          </w:p>
        </w:tc>
        <w:tc>
          <w:tcPr>
            <w:tcW w:w="524" w:type="pct"/>
            <w:vAlign w:val="center"/>
          </w:tcPr>
          <w:p w14:paraId="588897F8">
            <w:pPr>
              <w:pStyle w:val="61"/>
              <w:pageBreakBefore w:val="0"/>
              <w:kinsoku/>
              <w:wordWrap/>
              <w:overflowPunct/>
              <w:topLinePunct w:val="0"/>
              <w:bidi w:val="0"/>
              <w:snapToGrid/>
              <w:spacing w:after="0" w:line="360" w:lineRule="auto"/>
              <w:ind w:left="0" w:leftChars="0" w:firstLine="0" w:firstLineChars="0"/>
              <w:jc w:val="center"/>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p>
        </w:tc>
        <w:tc>
          <w:tcPr>
            <w:tcW w:w="541" w:type="pct"/>
            <w:vAlign w:val="center"/>
          </w:tcPr>
          <w:p w14:paraId="1C66A697">
            <w:pPr>
              <w:pStyle w:val="61"/>
              <w:pageBreakBefore w:val="0"/>
              <w:kinsoku/>
              <w:wordWrap/>
              <w:overflowPunct/>
              <w:topLinePunct w:val="0"/>
              <w:bidi w:val="0"/>
              <w:snapToGrid/>
              <w:spacing w:after="0" w:line="360" w:lineRule="auto"/>
              <w:ind w:left="0" w:leftChars="0" w:firstLine="0" w:firstLineChars="0"/>
              <w:jc w:val="center"/>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项</w:t>
            </w:r>
          </w:p>
        </w:tc>
        <w:tc>
          <w:tcPr>
            <w:tcW w:w="451" w:type="pct"/>
            <w:vAlign w:val="center"/>
          </w:tcPr>
          <w:p w14:paraId="66E4C8AD">
            <w:pPr>
              <w:pStyle w:val="61"/>
              <w:pageBreakBefore w:val="0"/>
              <w:kinsoku/>
              <w:wordWrap/>
              <w:overflowPunct/>
              <w:topLinePunct w:val="0"/>
              <w:bidi w:val="0"/>
              <w:snapToGrid/>
              <w:spacing w:after="0" w:line="360" w:lineRule="auto"/>
              <w:textAlignment w:val="auto"/>
              <w:rPr>
                <w:rFonts w:hint="eastAsia" w:ascii="宋体" w:hAnsi="宋体" w:eastAsia="宋体" w:cs="宋体"/>
                <w:color w:val="auto"/>
                <w:sz w:val="24"/>
                <w:szCs w:val="24"/>
                <w:highlight w:val="none"/>
                <w:lang w:bidi="ar"/>
              </w:rPr>
            </w:pPr>
          </w:p>
        </w:tc>
      </w:tr>
      <w:tr w14:paraId="0A302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2C65C37B">
            <w:pPr>
              <w:pStyle w:val="61"/>
              <w:pageBreakBefore w:val="0"/>
              <w:kinsoku/>
              <w:wordWrap/>
              <w:overflowPunct/>
              <w:topLinePunct w:val="0"/>
              <w:bidi w:val="0"/>
              <w:snapToGrid/>
              <w:spacing w:after="0" w:line="360" w:lineRule="auto"/>
              <w:ind w:left="0" w:leftChars="0" w:firstLine="0" w:firstLineChars="0"/>
              <w:jc w:val="center"/>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w:t>
            </w:r>
          </w:p>
        </w:tc>
        <w:tc>
          <w:tcPr>
            <w:tcW w:w="584" w:type="pct"/>
            <w:vMerge w:val="continue"/>
            <w:vAlign w:val="center"/>
          </w:tcPr>
          <w:p w14:paraId="7D8035DD">
            <w:pPr>
              <w:pStyle w:val="61"/>
              <w:pageBreakBefore w:val="0"/>
              <w:kinsoku/>
              <w:wordWrap/>
              <w:overflowPunct/>
              <w:topLinePunct w:val="0"/>
              <w:bidi w:val="0"/>
              <w:snapToGrid/>
              <w:spacing w:after="0" w:line="360" w:lineRule="auto"/>
              <w:textAlignment w:val="auto"/>
              <w:rPr>
                <w:rFonts w:hint="eastAsia" w:ascii="宋体" w:hAnsi="宋体" w:eastAsia="宋体" w:cs="宋体"/>
                <w:color w:val="auto"/>
                <w:sz w:val="24"/>
                <w:szCs w:val="24"/>
                <w:highlight w:val="none"/>
                <w:lang w:bidi="ar"/>
              </w:rPr>
            </w:pPr>
          </w:p>
        </w:tc>
        <w:tc>
          <w:tcPr>
            <w:tcW w:w="2414" w:type="pct"/>
            <w:vAlign w:val="center"/>
          </w:tcPr>
          <w:p w14:paraId="55618030">
            <w:pPr>
              <w:pStyle w:val="61"/>
              <w:pageBreakBefore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浙江省食品药品检验研究院公众检测服务平台2025年运维项目</w:t>
            </w:r>
          </w:p>
        </w:tc>
        <w:tc>
          <w:tcPr>
            <w:tcW w:w="524" w:type="pct"/>
            <w:vAlign w:val="center"/>
          </w:tcPr>
          <w:p w14:paraId="79D32023">
            <w:pPr>
              <w:pStyle w:val="61"/>
              <w:pageBreakBefore w:val="0"/>
              <w:kinsoku/>
              <w:wordWrap/>
              <w:overflowPunct/>
              <w:topLinePunct w:val="0"/>
              <w:bidi w:val="0"/>
              <w:snapToGrid/>
              <w:spacing w:after="0" w:line="360" w:lineRule="auto"/>
              <w:ind w:left="0" w:leftChars="0" w:firstLine="0" w:firstLineChars="0"/>
              <w:jc w:val="center"/>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w:t>
            </w:r>
          </w:p>
        </w:tc>
        <w:tc>
          <w:tcPr>
            <w:tcW w:w="541" w:type="pct"/>
            <w:vAlign w:val="center"/>
          </w:tcPr>
          <w:p w14:paraId="68301F23">
            <w:pPr>
              <w:pStyle w:val="61"/>
              <w:pageBreakBefore w:val="0"/>
              <w:kinsoku/>
              <w:wordWrap/>
              <w:overflowPunct/>
              <w:topLinePunct w:val="0"/>
              <w:bidi w:val="0"/>
              <w:snapToGrid/>
              <w:spacing w:after="0" w:line="360" w:lineRule="auto"/>
              <w:ind w:left="0" w:leftChars="0" w:firstLine="0" w:firstLineChars="0"/>
              <w:jc w:val="center"/>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项</w:t>
            </w:r>
          </w:p>
        </w:tc>
        <w:tc>
          <w:tcPr>
            <w:tcW w:w="451" w:type="pct"/>
            <w:vAlign w:val="center"/>
          </w:tcPr>
          <w:p w14:paraId="5B896A5C">
            <w:pPr>
              <w:pStyle w:val="61"/>
              <w:pageBreakBefore w:val="0"/>
              <w:kinsoku/>
              <w:wordWrap/>
              <w:overflowPunct/>
              <w:topLinePunct w:val="0"/>
              <w:bidi w:val="0"/>
              <w:snapToGrid/>
              <w:spacing w:after="0" w:line="360" w:lineRule="auto"/>
              <w:textAlignment w:val="auto"/>
              <w:rPr>
                <w:rFonts w:hint="eastAsia" w:ascii="宋体" w:hAnsi="宋体" w:eastAsia="宋体" w:cs="宋体"/>
                <w:color w:val="auto"/>
                <w:sz w:val="24"/>
                <w:szCs w:val="24"/>
                <w:highlight w:val="none"/>
                <w:lang w:bidi="ar"/>
              </w:rPr>
            </w:pPr>
          </w:p>
        </w:tc>
      </w:tr>
    </w:tbl>
    <w:p w14:paraId="581F941F">
      <w:pPr>
        <w:pStyle w:val="6"/>
        <w:pageBreakBefore w:val="0"/>
        <w:kinsoku/>
        <w:wordWrap/>
        <w:overflowPunct/>
        <w:topLinePunct w:val="0"/>
        <w:bidi w:val="0"/>
        <w:snapToGrid/>
        <w:spacing w:before="0" w:after="0" w:line="360" w:lineRule="auto"/>
        <w:ind w:left="864" w:leftChars="0" w:hanging="444" w:firstLineChars="0"/>
        <w:textAlignment w:val="auto"/>
        <w:rPr>
          <w:rFonts w:hint="eastAsia" w:ascii="宋体" w:hAnsi="宋体" w:eastAsia="宋体" w:cs="宋体"/>
          <w:b/>
          <w:bCs/>
          <w:color w:val="auto"/>
          <w:sz w:val="24"/>
          <w:szCs w:val="24"/>
          <w:highlight w:val="none"/>
          <w:shd w:val="clear" w:color="auto" w:fill="FFFFFF"/>
          <w:lang w:bidi="ar"/>
        </w:rPr>
      </w:pPr>
      <w:r>
        <w:rPr>
          <w:rFonts w:hint="eastAsia" w:ascii="宋体" w:hAnsi="宋体" w:eastAsia="宋体" w:cs="宋体"/>
          <w:b/>
          <w:bCs/>
          <w:color w:val="auto"/>
          <w:sz w:val="24"/>
          <w:szCs w:val="24"/>
          <w:highlight w:val="none"/>
          <w:shd w:val="clear" w:color="auto" w:fill="FFFFFF"/>
          <w:lang w:bidi="ar"/>
        </w:rPr>
        <w:t>2.软件运维服务总体要求</w:t>
      </w:r>
    </w:p>
    <w:p w14:paraId="1C2910EE">
      <w:pPr>
        <w:pageBreakBefore w:val="0"/>
        <w:kinsoku/>
        <w:wordWrap/>
        <w:overflowPunct/>
        <w:topLinePunct w:val="0"/>
        <w:bidi w:val="0"/>
        <w:snapToGrid/>
        <w:spacing w:after="0" w:line="360" w:lineRule="auto"/>
        <w:ind w:left="0" w:leftChars="0" w:firstLine="420" w:firstLineChars="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1供应商运维厂商需派遣人员驻场，提供运维保障人员进行系统日常巡检运维以保障平台稳定运行。包括本系统日常运维问题处理、数据统计分析、业务变更引起的需求变更、新增业务需求二次开发等；监控服务器的状态、内存、CPU 、数据库的运行情况、数据库及服务器定期备份、系统安全保障等。</w:t>
      </w:r>
    </w:p>
    <w:p w14:paraId="4E775735">
      <w:pPr>
        <w:pageBreakBefore w:val="0"/>
        <w:kinsoku/>
        <w:wordWrap/>
        <w:overflowPunct/>
        <w:topLinePunct w:val="0"/>
        <w:bidi w:val="0"/>
        <w:snapToGrid/>
        <w:spacing w:after="0" w:line="360" w:lineRule="auto"/>
        <w:ind w:left="0" w:leftChars="0" w:firstLine="420" w:firstLineChars="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2没有甲方事先书面同意，供应商不得将由甲方提供的有关合同或任何合同条文、规格、计划、图纸、样品或资料提供给予履行本合同无关的任何其他人。即使向履行本合同有关的人员提供，也应注意保密并限于履行合同的必需范围。</w:t>
      </w:r>
    </w:p>
    <w:p w14:paraId="7A1980F7">
      <w:pPr>
        <w:pageBreakBefore w:val="0"/>
        <w:kinsoku/>
        <w:wordWrap/>
        <w:overflowPunct/>
        <w:topLinePunct w:val="0"/>
        <w:bidi w:val="0"/>
        <w:snapToGrid/>
        <w:spacing w:after="0" w:line="360" w:lineRule="auto"/>
        <w:ind w:left="0" w:leftChars="0" w:firstLine="420" w:firstLineChars="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.3供应商应保证提供服务过程中不会侵犯任何第三方的知识产权。</w:t>
      </w:r>
    </w:p>
    <w:p w14:paraId="4AF571A0">
      <w:pPr>
        <w:pageBreakBefore w:val="0"/>
        <w:kinsoku/>
        <w:wordWrap/>
        <w:overflowPunct/>
        <w:topLinePunct w:val="0"/>
        <w:bidi w:val="0"/>
        <w:snapToGrid/>
        <w:spacing w:after="0" w:line="360" w:lineRule="auto"/>
        <w:ind w:left="0" w:leftChars="0" w:firstLine="420" w:firstLineChars="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.4服务期：合同签订起一年。</w:t>
      </w:r>
    </w:p>
    <w:p w14:paraId="0FAC52DC">
      <w:pPr>
        <w:pageBreakBefore w:val="0"/>
        <w:kinsoku/>
        <w:wordWrap/>
        <w:overflowPunct/>
        <w:topLinePunct w:val="0"/>
        <w:bidi w:val="0"/>
        <w:snapToGrid/>
        <w:spacing w:after="0" w:line="360" w:lineRule="auto"/>
        <w:ind w:left="0" w:leftChars="0" w:firstLine="420" w:firstLineChars="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.5服务履行方式：驻场运维。</w:t>
      </w:r>
    </w:p>
    <w:p w14:paraId="1376E184">
      <w:pPr>
        <w:pageBreakBefore w:val="0"/>
        <w:kinsoku/>
        <w:wordWrap/>
        <w:overflowPunct/>
        <w:topLinePunct w:val="0"/>
        <w:bidi w:val="0"/>
        <w:snapToGrid/>
        <w:spacing w:after="0" w:line="360" w:lineRule="auto"/>
        <w:ind w:left="0" w:leftChars="0" w:firstLine="420" w:firstLineChars="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.6服务履行地点：杭州市滨江区平乐街 325 号浙江省食品药品检验研究院。</w:t>
      </w:r>
    </w:p>
    <w:p w14:paraId="204ACB81">
      <w:pPr>
        <w:pStyle w:val="6"/>
        <w:pageBreakBefore w:val="0"/>
        <w:kinsoku/>
        <w:wordWrap/>
        <w:overflowPunct/>
        <w:topLinePunct w:val="0"/>
        <w:bidi w:val="0"/>
        <w:snapToGrid/>
        <w:spacing w:before="0" w:after="0" w:line="360" w:lineRule="auto"/>
        <w:ind w:left="864" w:leftChars="0" w:hanging="444" w:firstLineChars="0"/>
        <w:textAlignment w:val="auto"/>
        <w:rPr>
          <w:rFonts w:hint="eastAsia" w:ascii="宋体" w:hAnsi="宋体" w:eastAsia="宋体" w:cs="宋体"/>
          <w:b/>
          <w:bCs/>
          <w:color w:val="auto"/>
          <w:sz w:val="24"/>
          <w:szCs w:val="24"/>
          <w:highlight w:val="none"/>
          <w:shd w:val="clear" w:color="auto" w:fill="FFFFFF"/>
          <w:lang w:bidi="ar"/>
        </w:rPr>
      </w:pPr>
      <w:r>
        <w:rPr>
          <w:rFonts w:hint="eastAsia" w:ascii="宋体" w:hAnsi="宋体" w:eastAsia="宋体" w:cs="宋体"/>
          <w:b/>
          <w:bCs/>
          <w:color w:val="auto"/>
          <w:sz w:val="24"/>
          <w:szCs w:val="24"/>
          <w:highlight w:val="none"/>
          <w:shd w:val="clear" w:color="auto" w:fill="FFFFFF"/>
          <w:lang w:bidi="ar"/>
        </w:rPr>
        <w:t>3.服务具体需求</w:t>
      </w:r>
    </w:p>
    <w:p w14:paraId="2C14F0CD">
      <w:pPr>
        <w:pageBreakBefore w:val="0"/>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提供对软件运行而进行的业务实现咨询和其他相关的技术咨询服务活动，保证</w:t>
      </w:r>
      <w:r>
        <w:rPr>
          <w:rFonts w:hint="eastAsia" w:ascii="宋体" w:hAnsi="宋体" w:eastAsia="宋体" w:cs="宋体"/>
          <w:b/>
          <w:bCs/>
          <w:color w:val="auto"/>
          <w:kern w:val="0"/>
          <w:sz w:val="24"/>
          <w:szCs w:val="24"/>
          <w:highlight w:val="none"/>
          <w:lang w:bidi="ar"/>
        </w:rPr>
        <w:t>省院数字化系统包括实验室资源管理、报告数据整合等4系统、浙江省食品药品检验研究院生物制品批签发电子证照系统、浙江省食品药品检验研究院防疫药械智控应用、浙江省食品药品检验研究院公众检测服务平台</w:t>
      </w:r>
      <w:r>
        <w:rPr>
          <w:rFonts w:hint="eastAsia" w:ascii="宋体" w:hAnsi="宋体" w:eastAsia="宋体" w:cs="宋体"/>
          <w:color w:val="auto"/>
          <w:kern w:val="0"/>
          <w:sz w:val="24"/>
          <w:szCs w:val="24"/>
          <w:highlight w:val="none"/>
          <w:lang w:bidi="ar"/>
        </w:rPr>
        <w:t>四部分系统的正常运行。具体服务方式包括但不限于：</w:t>
      </w:r>
    </w:p>
    <w:p w14:paraId="6BB2158E">
      <w:pPr>
        <w:pStyle w:val="7"/>
        <w:pageBreakBefore w:val="0"/>
        <w:kinsoku/>
        <w:wordWrap/>
        <w:overflowPunct/>
        <w:topLinePunct w:val="0"/>
        <w:bidi w:val="0"/>
        <w:snapToGrid/>
        <w:spacing w:before="0" w:after="0" w:line="360" w:lineRule="auto"/>
        <w:ind w:left="0" w:leftChars="0" w:firstLine="422" w:firstLineChars="175"/>
        <w:textAlignment w:val="auto"/>
        <w:rPr>
          <w:rFonts w:hint="eastAsia" w:ascii="宋体" w:hAnsi="宋体" w:eastAsia="宋体" w:cs="宋体"/>
          <w:b/>
          <w:bCs/>
          <w:color w:val="auto"/>
          <w:sz w:val="24"/>
          <w:szCs w:val="24"/>
          <w:highlight w:val="none"/>
          <w:shd w:val="clear" w:color="auto" w:fill="FFFFFF"/>
          <w:lang w:bidi="ar"/>
        </w:rPr>
      </w:pPr>
      <w:r>
        <w:rPr>
          <w:rFonts w:hint="eastAsia" w:ascii="宋体" w:hAnsi="宋体" w:eastAsia="宋体" w:cs="宋体"/>
          <w:b/>
          <w:bCs/>
          <w:color w:val="auto"/>
          <w:sz w:val="24"/>
          <w:szCs w:val="24"/>
          <w:highlight w:val="none"/>
          <w:shd w:val="clear" w:color="auto" w:fill="FFFFFF"/>
          <w:lang w:bidi="ar"/>
        </w:rPr>
        <w:t>3.1日常运维工作</w:t>
      </w:r>
    </w:p>
    <w:p w14:paraId="0BBC0BA2">
      <w:pPr>
        <w:pageBreakBefore w:val="0"/>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提供为期一年的服务，主要提供日常运维和相关问题的疑难支持，在采购人新业务系统上线或进行系统调整时，根据实际应用提出合理化建议并提供支撑服务，提供电话、邮件等远程服务，提供紧急现场救援服务、提供系统维护补丁安装服务等。同时，安排资深技术工程师为采购人提供电话支援、电子邮件支援工作，在电话响应不能解决问题情况下，须提供及时的现场服务，同时保障下列服务要求：</w:t>
      </w:r>
    </w:p>
    <w:p w14:paraId="7EE6DB55">
      <w:pPr>
        <w:pStyle w:val="80"/>
        <w:pageBreakBefore w:val="0"/>
        <w:numPr>
          <w:ilvl w:val="0"/>
          <w:numId w:val="6"/>
        </w:numPr>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提供7*24小时支持中心电话，电子邮件答询，以满足业务发展的需要。</w:t>
      </w:r>
    </w:p>
    <w:p w14:paraId="1193028D">
      <w:pPr>
        <w:pStyle w:val="80"/>
        <w:pageBreakBefore w:val="0"/>
        <w:numPr>
          <w:ilvl w:val="0"/>
          <w:numId w:val="6"/>
        </w:numPr>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QQ群客户技术支持服务：供应商应派技术支持人员驻守指定QQ群（群ID：730552372），对使用人员提出的技术问题予以支持、解决。</w:t>
      </w:r>
    </w:p>
    <w:p w14:paraId="0A4D223E">
      <w:pPr>
        <w:pStyle w:val="80"/>
        <w:pageBreakBefore w:val="0"/>
        <w:numPr>
          <w:ilvl w:val="0"/>
          <w:numId w:val="6"/>
        </w:numPr>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在电话电邮不能及时解决问题的情况下，即时提供工程师现场支援服务。</w:t>
      </w:r>
    </w:p>
    <w:p w14:paraId="5A3816FF">
      <w:pPr>
        <w:pStyle w:val="80"/>
        <w:pageBreakBefore w:val="0"/>
        <w:numPr>
          <w:ilvl w:val="0"/>
          <w:numId w:val="6"/>
        </w:numPr>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新业务系统上线或进行系统调整时，根据实际应用提出合理化建议并提供支撑服务。</w:t>
      </w:r>
    </w:p>
    <w:p w14:paraId="2CB39ADA">
      <w:pPr>
        <w:pStyle w:val="80"/>
        <w:pageBreakBefore w:val="0"/>
        <w:numPr>
          <w:ilvl w:val="0"/>
          <w:numId w:val="6"/>
        </w:numPr>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每月输出系统的月度总结报告，同时记录并提供运维工单记录表。</w:t>
      </w:r>
    </w:p>
    <w:p w14:paraId="25AFEC07">
      <w:pPr>
        <w:pStyle w:val="7"/>
        <w:pageBreakBefore w:val="0"/>
        <w:kinsoku/>
        <w:wordWrap/>
        <w:overflowPunct/>
        <w:topLinePunct w:val="0"/>
        <w:bidi w:val="0"/>
        <w:snapToGrid/>
        <w:spacing w:before="0" w:after="0" w:line="360" w:lineRule="auto"/>
        <w:ind w:left="0" w:leftChars="0" w:firstLine="422" w:firstLineChars="175"/>
        <w:textAlignment w:val="auto"/>
        <w:rPr>
          <w:rFonts w:hint="eastAsia" w:ascii="宋体" w:hAnsi="宋体" w:eastAsia="宋体" w:cs="宋体"/>
          <w:b/>
          <w:bCs/>
          <w:color w:val="auto"/>
          <w:sz w:val="24"/>
          <w:szCs w:val="24"/>
          <w:highlight w:val="none"/>
          <w:shd w:val="clear" w:color="auto" w:fill="FFFFFF"/>
          <w:lang w:bidi="ar"/>
        </w:rPr>
      </w:pPr>
      <w:r>
        <w:rPr>
          <w:rFonts w:hint="eastAsia" w:ascii="宋体" w:hAnsi="宋体" w:eastAsia="宋体" w:cs="宋体"/>
          <w:b/>
          <w:bCs/>
          <w:color w:val="auto"/>
          <w:sz w:val="24"/>
          <w:szCs w:val="24"/>
          <w:highlight w:val="none"/>
          <w:shd w:val="clear" w:color="auto" w:fill="FFFFFF"/>
          <w:lang w:bidi="ar"/>
        </w:rPr>
        <w:t>3.2紧急现场救援服务</w:t>
      </w:r>
    </w:p>
    <w:p w14:paraId="670692A0">
      <w:pPr>
        <w:pageBreakBefore w:val="0"/>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作为基本的服务，提供7*24小时紧急现场救援服务，在遇到数据毁损或者软件故障时到现场提供支持，保证业务及时恢复。</w:t>
      </w:r>
    </w:p>
    <w:p w14:paraId="72DD1AE0">
      <w:pPr>
        <w:pageBreakBefore w:val="0"/>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在浙江省食品药品检验研究院日常业务遭遇各种重大、紧急故障，或者在项目实施过程中遭遇各种技术难题时，提供零时间现场响应、紧急故障处理、技术难题解决方案等一系列服务。</w:t>
      </w:r>
    </w:p>
    <w:p w14:paraId="592EDA2E">
      <w:pPr>
        <w:pageBreakBefore w:val="0"/>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必须在30分钟内做出响应，资深工程师二小时内到达现场，提供完整、可靠的应急处置和技术服务解决方案，在确保数据安全的前提下及时恢复操作系统和数据库软件系统，并配合做好计算机系统和业务应用系统的恢复工作。根据浙江省食品药品检验研究院的需求定制的特点，提供上述产品技术专家实施，以确保上述产品或系统得到最高水平的技术支持，以保障用户关键业务的高可用性。</w:t>
      </w:r>
    </w:p>
    <w:p w14:paraId="5928E0B9">
      <w:pPr>
        <w:pageBreakBefore w:val="0"/>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故障恢复后需及时记录故障事项，包括故障发生的时间、原因、影响范围、处理办法、处理结果、处理人等故障信息，形成故障记录表。</w:t>
      </w:r>
    </w:p>
    <w:p w14:paraId="591E25F6">
      <w:pPr>
        <w:pStyle w:val="7"/>
        <w:pageBreakBefore w:val="0"/>
        <w:kinsoku/>
        <w:wordWrap/>
        <w:overflowPunct/>
        <w:topLinePunct w:val="0"/>
        <w:bidi w:val="0"/>
        <w:snapToGrid/>
        <w:spacing w:before="0" w:after="0" w:line="360" w:lineRule="auto"/>
        <w:ind w:left="0" w:leftChars="0" w:firstLine="422" w:firstLineChars="175"/>
        <w:textAlignment w:val="auto"/>
        <w:rPr>
          <w:rFonts w:hint="eastAsia" w:ascii="宋体" w:hAnsi="宋体" w:eastAsia="宋体" w:cs="宋体"/>
          <w:b/>
          <w:bCs/>
          <w:color w:val="auto"/>
          <w:sz w:val="24"/>
          <w:szCs w:val="24"/>
          <w:highlight w:val="none"/>
          <w:shd w:val="clear" w:color="auto" w:fill="FFFFFF"/>
          <w:lang w:bidi="ar"/>
        </w:rPr>
      </w:pPr>
      <w:r>
        <w:rPr>
          <w:rFonts w:hint="eastAsia" w:ascii="宋体" w:hAnsi="宋体" w:eastAsia="宋体" w:cs="宋体"/>
          <w:b/>
          <w:bCs/>
          <w:color w:val="auto"/>
          <w:sz w:val="24"/>
          <w:szCs w:val="24"/>
          <w:highlight w:val="none"/>
          <w:shd w:val="clear" w:color="auto" w:fill="FFFFFF"/>
          <w:lang w:bidi="ar"/>
        </w:rPr>
        <w:t>3.3软件巡查服务</w:t>
      </w:r>
    </w:p>
    <w:p w14:paraId="7CC03EF7">
      <w:pPr>
        <w:pageBreakBefore w:val="0"/>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此服务通过每季度一次系统检查，确保系统正常稳定运行，并输出软件巡查报告。</w:t>
      </w:r>
    </w:p>
    <w:p w14:paraId="6CD5782E">
      <w:pPr>
        <w:pageBreakBefore w:val="0"/>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对院数字化系统包括实验室资源管理、报告数据整合等4系统、浙江省食品药品检验研究院生物制品批签发电子证照系统、浙江省食品药品检验研究院防疫药械智控应用、浙江省食品药品检验研究院公众检测服务平台的结构，以及系统运作的基础、过程、标准进行高层面的评估服务。此服务通过每季度一次检查系统的结构框架来提供应用系统所要求的服务，即使用经过验证的最好的方法，来确定系统的可提高的地方，定位较明显的运作风险并从提高系统整体运作水平的角度提出全面建议。</w:t>
      </w:r>
    </w:p>
    <w:p w14:paraId="0321BA65">
      <w:pPr>
        <w:pStyle w:val="80"/>
        <w:pageBreakBefore w:val="0"/>
        <w:numPr>
          <w:ilvl w:val="0"/>
          <w:numId w:val="7"/>
        </w:numPr>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对系统的配置及运作框架提出建议，以帮助得到一个更坚强可靠的运作环境</w:t>
      </w:r>
    </w:p>
    <w:p w14:paraId="45BDB531">
      <w:pPr>
        <w:pStyle w:val="80"/>
        <w:pageBreakBefore w:val="0"/>
        <w:numPr>
          <w:ilvl w:val="0"/>
          <w:numId w:val="7"/>
        </w:numPr>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降低系统潜在的风险，包括数据丢失、安全漏洞、系统崩溃、性能降低及资源紧张</w:t>
      </w:r>
    </w:p>
    <w:p w14:paraId="403BE2C7">
      <w:pPr>
        <w:pStyle w:val="80"/>
        <w:pageBreakBefore w:val="0"/>
        <w:numPr>
          <w:ilvl w:val="0"/>
          <w:numId w:val="7"/>
        </w:numPr>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检查并分析系统日志及跟踪文件，发现并排除上述软件产品错误隐患</w:t>
      </w:r>
    </w:p>
    <w:p w14:paraId="354E3CDB">
      <w:pPr>
        <w:pStyle w:val="80"/>
        <w:pageBreakBefore w:val="0"/>
        <w:numPr>
          <w:ilvl w:val="0"/>
          <w:numId w:val="7"/>
        </w:numPr>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检查上述软件产品是否需要应用最新的补丁集</w:t>
      </w:r>
    </w:p>
    <w:p w14:paraId="2025390C">
      <w:pPr>
        <w:pStyle w:val="80"/>
        <w:pageBreakBefore w:val="0"/>
        <w:numPr>
          <w:ilvl w:val="0"/>
          <w:numId w:val="7"/>
        </w:numPr>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检查操作系统和数据库软件空间的使用情况</w:t>
      </w:r>
    </w:p>
    <w:p w14:paraId="28A1EED0">
      <w:pPr>
        <w:pStyle w:val="80"/>
        <w:pageBreakBefore w:val="0"/>
        <w:numPr>
          <w:ilvl w:val="0"/>
          <w:numId w:val="7"/>
        </w:numPr>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协助进行操作系统和数据库软件空间的规划管理</w:t>
      </w:r>
    </w:p>
    <w:p w14:paraId="205D90A4">
      <w:pPr>
        <w:pStyle w:val="80"/>
        <w:pageBreakBefore w:val="0"/>
        <w:numPr>
          <w:ilvl w:val="0"/>
          <w:numId w:val="7"/>
        </w:numPr>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检查操作系统和数据库软件备份的完整性</w:t>
      </w:r>
    </w:p>
    <w:p w14:paraId="73979749">
      <w:pPr>
        <w:pStyle w:val="80"/>
        <w:pageBreakBefore w:val="0"/>
        <w:numPr>
          <w:ilvl w:val="0"/>
          <w:numId w:val="7"/>
        </w:numPr>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监控上述软件产品及操作系统和数据库软件性能</w:t>
      </w:r>
    </w:p>
    <w:p w14:paraId="3D78C006">
      <w:pPr>
        <w:pStyle w:val="80"/>
        <w:pageBreakBefore w:val="0"/>
        <w:numPr>
          <w:ilvl w:val="0"/>
          <w:numId w:val="7"/>
        </w:numPr>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确认系统的资源需求</w:t>
      </w:r>
    </w:p>
    <w:p w14:paraId="7FAB16D0">
      <w:pPr>
        <w:pStyle w:val="80"/>
        <w:pageBreakBefore w:val="0"/>
        <w:numPr>
          <w:ilvl w:val="0"/>
          <w:numId w:val="7"/>
        </w:numPr>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优化相关数据库的表现</w:t>
      </w:r>
    </w:p>
    <w:p w14:paraId="55F51937">
      <w:pPr>
        <w:pStyle w:val="80"/>
        <w:pageBreakBefore w:val="0"/>
        <w:numPr>
          <w:ilvl w:val="0"/>
          <w:numId w:val="7"/>
        </w:numPr>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通过改善系统环境的稳定性来降低潜在的系统宕机时间</w:t>
      </w:r>
    </w:p>
    <w:p w14:paraId="1573AB3D">
      <w:pPr>
        <w:pStyle w:val="7"/>
        <w:pageBreakBefore w:val="0"/>
        <w:kinsoku/>
        <w:wordWrap/>
        <w:overflowPunct/>
        <w:topLinePunct w:val="0"/>
        <w:bidi w:val="0"/>
        <w:snapToGrid/>
        <w:spacing w:before="0" w:after="0" w:line="360" w:lineRule="auto"/>
        <w:ind w:left="0" w:leftChars="0" w:firstLine="422" w:firstLineChars="175"/>
        <w:textAlignment w:val="auto"/>
        <w:rPr>
          <w:rFonts w:hint="eastAsia" w:ascii="宋体" w:hAnsi="宋体" w:eastAsia="宋体" w:cs="宋体"/>
          <w:b/>
          <w:bCs/>
          <w:color w:val="auto"/>
          <w:sz w:val="24"/>
          <w:szCs w:val="24"/>
          <w:highlight w:val="none"/>
          <w:shd w:val="clear" w:color="auto" w:fill="FFFFFF"/>
          <w:lang w:bidi="ar"/>
        </w:rPr>
      </w:pPr>
      <w:r>
        <w:rPr>
          <w:rFonts w:hint="eastAsia" w:ascii="宋体" w:hAnsi="宋体" w:eastAsia="宋体" w:cs="宋体"/>
          <w:b/>
          <w:bCs/>
          <w:color w:val="auto"/>
          <w:sz w:val="24"/>
          <w:szCs w:val="24"/>
          <w:highlight w:val="none"/>
          <w:shd w:val="clear" w:color="auto" w:fill="FFFFFF"/>
          <w:lang w:bidi="ar"/>
        </w:rPr>
        <w:t>3.4系统性能调优</w:t>
      </w:r>
    </w:p>
    <w:p w14:paraId="167C82A1">
      <w:pPr>
        <w:pageBreakBefore w:val="0"/>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根据院数字化系统包括实验室资源管理、报告数据整合等4系统、浙江省食品药品检验研究院生物制品批签发电子证照系统、浙江省食品药品检验研究院防疫药械智控应用、浙江省食品药品检验研究院公众检测服务平台的需求和实际使用情况，调整操作系统和数据库软件参数，以及分析业务模块使用中的不足提出优化计划，发现潜在问题。</w:t>
      </w:r>
    </w:p>
    <w:p w14:paraId="2989C493">
      <w:pPr>
        <w:pageBreakBefore w:val="0"/>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需要派出上述软件产品资深工程师对上述软件产品及其操作系统和数据库软件的性能进行检查，并提供专家的意见和建议。通过确定现有的所有系统资源都已被全部使用，可避免系统的延迟及加快应用运行的速度。</w:t>
      </w:r>
    </w:p>
    <w:p w14:paraId="35EE819A">
      <w:pPr>
        <w:pStyle w:val="80"/>
        <w:pageBreakBefore w:val="0"/>
        <w:numPr>
          <w:ilvl w:val="0"/>
          <w:numId w:val="8"/>
        </w:numPr>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分析系统的应用类型和行为</w:t>
      </w:r>
    </w:p>
    <w:p w14:paraId="4A833058">
      <w:pPr>
        <w:pStyle w:val="80"/>
        <w:pageBreakBefore w:val="0"/>
        <w:numPr>
          <w:ilvl w:val="0"/>
          <w:numId w:val="8"/>
        </w:numPr>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评价并修改上述软件产品及其操作系统和数据库软件的参数设置</w:t>
      </w:r>
    </w:p>
    <w:p w14:paraId="29037BDF">
      <w:pPr>
        <w:pStyle w:val="80"/>
        <w:pageBreakBefore w:val="0"/>
        <w:numPr>
          <w:ilvl w:val="0"/>
          <w:numId w:val="8"/>
        </w:numPr>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评价并调整上述软件产品及其操作系统和数据库软件的数据分布</w:t>
      </w:r>
    </w:p>
    <w:p w14:paraId="424BD3E7">
      <w:pPr>
        <w:pStyle w:val="80"/>
        <w:pageBreakBefore w:val="0"/>
        <w:numPr>
          <w:ilvl w:val="0"/>
          <w:numId w:val="8"/>
        </w:numPr>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评价应用对硬件和系统的使用情况，并提出建议</w:t>
      </w:r>
    </w:p>
    <w:p w14:paraId="05896357">
      <w:pPr>
        <w:pStyle w:val="80"/>
        <w:pageBreakBefore w:val="0"/>
        <w:numPr>
          <w:ilvl w:val="0"/>
          <w:numId w:val="8"/>
        </w:numPr>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利用先进的性能调整工具实施上述软件产品及其操作系统和数据库软件的性能调整</w:t>
      </w:r>
    </w:p>
    <w:p w14:paraId="3F003B1F">
      <w:pPr>
        <w:pStyle w:val="80"/>
        <w:pageBreakBefore w:val="0"/>
        <w:numPr>
          <w:ilvl w:val="0"/>
          <w:numId w:val="8"/>
        </w:numPr>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维护内运开工程师应对根据用户提出的简单需求进行系统优化，提升用户体验及系统运行效率。</w:t>
      </w:r>
    </w:p>
    <w:p w14:paraId="0D3419F0">
      <w:pPr>
        <w:pStyle w:val="80"/>
        <w:pageBreakBefore w:val="0"/>
        <w:numPr>
          <w:ilvl w:val="0"/>
          <w:numId w:val="8"/>
        </w:numPr>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提供完整的系统优化报告和解决方法</w:t>
      </w:r>
    </w:p>
    <w:p w14:paraId="74814094">
      <w:pPr>
        <w:pStyle w:val="7"/>
        <w:pageBreakBefore w:val="0"/>
        <w:kinsoku/>
        <w:wordWrap/>
        <w:overflowPunct/>
        <w:topLinePunct w:val="0"/>
        <w:bidi w:val="0"/>
        <w:snapToGrid/>
        <w:spacing w:before="0" w:after="0" w:line="360" w:lineRule="auto"/>
        <w:ind w:left="0" w:leftChars="0" w:firstLine="422" w:firstLineChars="175"/>
        <w:textAlignment w:val="auto"/>
        <w:rPr>
          <w:rFonts w:hint="eastAsia" w:ascii="宋体" w:hAnsi="宋体" w:eastAsia="宋体" w:cs="宋体"/>
          <w:b/>
          <w:bCs/>
          <w:color w:val="auto"/>
          <w:sz w:val="24"/>
          <w:szCs w:val="24"/>
          <w:highlight w:val="none"/>
          <w:shd w:val="clear" w:color="auto" w:fill="FFFFFF"/>
          <w:lang w:bidi="ar"/>
        </w:rPr>
      </w:pPr>
      <w:r>
        <w:rPr>
          <w:rFonts w:hint="eastAsia" w:ascii="宋体" w:hAnsi="宋体" w:eastAsia="宋体" w:cs="宋体"/>
          <w:b/>
          <w:bCs/>
          <w:color w:val="auto"/>
          <w:sz w:val="24"/>
          <w:szCs w:val="24"/>
          <w:highlight w:val="none"/>
          <w:shd w:val="clear" w:color="auto" w:fill="FFFFFF"/>
          <w:lang w:bidi="ar"/>
        </w:rPr>
        <w:t>3.5数据备份及维护</w:t>
      </w:r>
    </w:p>
    <w:p w14:paraId="3FBB6A07">
      <w:pPr>
        <w:pageBreakBefore w:val="0"/>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基于现有的院数字化系统包括实验室资源管理、报告数据整合等4系统、浙江省食品药品检验研究院生物制品批签发电子证照系统、浙江省食品药品检验研究院防疫药械智控应用、浙江省食品药品检验研究院公众检测服务平台四部分系统备份方案，继续执行数据库备份计划。深入理解各系统的特性和数据重要性，确保备份策略的科学性和针对性。</w:t>
      </w:r>
    </w:p>
    <w:p w14:paraId="1D96A3F5">
      <w:pPr>
        <w:pageBreakBefore w:val="0"/>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按月输出详细的数据库备份记录。这些记录应包含每次备份的具体时间、内容、存储位置以及验证结果等关键信息。</w:t>
      </w:r>
    </w:p>
    <w:p w14:paraId="13C3F471">
      <w:pPr>
        <w:pStyle w:val="7"/>
        <w:pageBreakBefore w:val="0"/>
        <w:kinsoku/>
        <w:wordWrap/>
        <w:overflowPunct/>
        <w:topLinePunct w:val="0"/>
        <w:bidi w:val="0"/>
        <w:snapToGrid/>
        <w:spacing w:before="0" w:after="0" w:line="360" w:lineRule="auto"/>
        <w:ind w:left="0" w:leftChars="0" w:firstLine="422" w:firstLineChars="175"/>
        <w:textAlignment w:val="auto"/>
        <w:rPr>
          <w:rFonts w:hint="eastAsia" w:ascii="宋体" w:hAnsi="宋体" w:eastAsia="宋体" w:cs="宋体"/>
          <w:b/>
          <w:bCs/>
          <w:color w:val="auto"/>
          <w:sz w:val="24"/>
          <w:szCs w:val="24"/>
          <w:highlight w:val="none"/>
          <w:shd w:val="clear" w:color="auto" w:fill="FFFFFF"/>
          <w:lang w:bidi="ar"/>
        </w:rPr>
      </w:pPr>
      <w:r>
        <w:rPr>
          <w:rFonts w:hint="eastAsia" w:ascii="宋体" w:hAnsi="宋体" w:eastAsia="宋体" w:cs="宋体"/>
          <w:b/>
          <w:bCs/>
          <w:color w:val="auto"/>
          <w:sz w:val="24"/>
          <w:szCs w:val="24"/>
          <w:highlight w:val="none"/>
          <w:shd w:val="clear" w:color="auto" w:fill="FFFFFF"/>
          <w:lang w:bidi="ar"/>
        </w:rPr>
        <w:t>3.6运维人员需求</w:t>
      </w:r>
    </w:p>
    <w:p w14:paraId="30413438">
      <w:pPr>
        <w:pageBreakBefore w:val="0"/>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1）人员及能力要求</w:t>
      </w:r>
    </w:p>
    <w:p w14:paraId="08BAC97E">
      <w:pPr>
        <w:pageBreakBefore w:val="0"/>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供应商应至少派遣4名人员进行驻场服务，至少3名须具有人社部门颁发的计算机或信息化相关专业的中级及以上技术资格的系统运维工程师驻场运维，其中必须包括一个项目管理（需掌握需求分析梳理、需求规划、产品原型设计等能力），两个运维开发工程师（具备10年以上开发经验，能力含括常见前后端技术）。</w:t>
      </w:r>
    </w:p>
    <w:p w14:paraId="292A295D">
      <w:pPr>
        <w:pageBreakBefore w:val="0"/>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现场运维工程师应具备以下能力：</w:t>
      </w:r>
    </w:p>
    <w:p w14:paraId="015ED82B">
      <w:pPr>
        <w:pageBreakBefore w:val="0"/>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（1）熟悉四部分系统的业务流程；</w:t>
      </w:r>
    </w:p>
    <w:p w14:paraId="78CCE6C5">
      <w:pPr>
        <w:pageBreakBefore w:val="0"/>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（2）熟悉四部分系统的内部处理流程；</w:t>
      </w:r>
    </w:p>
    <w:p w14:paraId="4CE33494">
      <w:pPr>
        <w:pageBreakBefore w:val="0"/>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（3）熟悉浙江省食品药品基本的检验业务流程；</w:t>
      </w:r>
    </w:p>
    <w:p w14:paraId="67C9D6D7">
      <w:pPr>
        <w:pageBreakBefore w:val="0"/>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（4）了解气象色谱仪、液相色谱仪等基本实验设备的数据输出原理；</w:t>
      </w:r>
    </w:p>
    <w:p w14:paraId="69E05D0E">
      <w:pPr>
        <w:pageBreakBefore w:val="0"/>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（5）熟悉浙江省食品药品检验研究院组织架构；</w:t>
      </w:r>
    </w:p>
    <w:p w14:paraId="37DDEAFB">
      <w:pPr>
        <w:pageBreakBefore w:val="0"/>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（6）熟悉检验业务全生命周期管理要求。</w:t>
      </w:r>
    </w:p>
    <w:p w14:paraId="6FB448C4">
      <w:pPr>
        <w:pageBreakBefore w:val="0"/>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（7）熟悉JAVA架构，熟悉JAVA、JS、C#、Nginx等开发技术；</w:t>
      </w:r>
    </w:p>
    <w:p w14:paraId="77E7BC9D">
      <w:pPr>
        <w:pageBreakBefore w:val="0"/>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（8）熟悉Oracle、Mysql数据库系统和国产数据库的开发技术，熟悉数据库客户端编程；</w:t>
      </w:r>
    </w:p>
    <w:p w14:paraId="6EBE3829">
      <w:pPr>
        <w:pageBreakBefore w:val="0"/>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（9）熟悉实验室信息化设备串口通信技术；</w:t>
      </w:r>
    </w:p>
    <w:p w14:paraId="539F24F5">
      <w:pPr>
        <w:pageBreakBefore w:val="0"/>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（10）熟悉大数据环境搭建、使用及维护。</w:t>
      </w:r>
    </w:p>
    <w:p w14:paraId="7CBDCC39">
      <w:pPr>
        <w:pageBreakBefore w:val="0"/>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（11）要求对数据库服务器进行一般性维护，对系统产生的数据进行数据整理；</w:t>
      </w:r>
    </w:p>
    <w:p w14:paraId="3190F739">
      <w:pPr>
        <w:pageBreakBefore w:val="0"/>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（12）熟悉数据快照、存储过程、触发器等数据库技术。</w:t>
      </w:r>
    </w:p>
    <w:p w14:paraId="07535FD0">
      <w:pPr>
        <w:pageBreakBefore w:val="0"/>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2）人员管理要求</w:t>
      </w:r>
    </w:p>
    <w:p w14:paraId="0B89B97A">
      <w:pPr>
        <w:pageBreakBefore w:val="0"/>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驻场人员务必严格遵守浙江省食品药品检验研究院的工作时间（含节假日加班保障）和考勤规定，其考勤情况（请假、外出等）需直接向我院负责该项目的责任人进行汇报审批，经同意后方可请假、外出。若出现缺勤、外出未经审批等情况，每人次扣除合同金额的千分之一。</w:t>
      </w:r>
    </w:p>
    <w:p w14:paraId="326C4067">
      <w:pPr>
        <w:pStyle w:val="7"/>
        <w:pageBreakBefore w:val="0"/>
        <w:kinsoku/>
        <w:wordWrap/>
        <w:overflowPunct/>
        <w:topLinePunct w:val="0"/>
        <w:bidi w:val="0"/>
        <w:snapToGrid/>
        <w:spacing w:before="0" w:after="0" w:line="360" w:lineRule="auto"/>
        <w:ind w:left="0" w:leftChars="0" w:firstLine="422" w:firstLineChars="175"/>
        <w:textAlignment w:val="auto"/>
        <w:rPr>
          <w:rFonts w:hint="eastAsia" w:ascii="宋体" w:hAnsi="宋体" w:eastAsia="宋体" w:cs="宋体"/>
          <w:b/>
          <w:bCs/>
          <w:color w:val="auto"/>
          <w:sz w:val="24"/>
          <w:szCs w:val="24"/>
          <w:highlight w:val="none"/>
          <w:shd w:val="clear" w:color="auto" w:fill="FFFFFF"/>
          <w:lang w:bidi="ar"/>
        </w:rPr>
      </w:pPr>
      <w:r>
        <w:rPr>
          <w:rFonts w:hint="eastAsia" w:ascii="宋体" w:hAnsi="宋体" w:eastAsia="宋体" w:cs="宋体"/>
          <w:b/>
          <w:bCs/>
          <w:color w:val="auto"/>
          <w:sz w:val="24"/>
          <w:szCs w:val="24"/>
          <w:highlight w:val="none"/>
          <w:shd w:val="clear" w:color="auto" w:fill="FFFFFF"/>
          <w:lang w:bidi="ar"/>
        </w:rPr>
        <w:t>3.7网络和数据安全要求</w:t>
      </w:r>
    </w:p>
    <w:p w14:paraId="24580DA5">
      <w:pPr>
        <w:pageBreakBefore w:val="0"/>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中标供应商必须具备确保招标方信息系统网络和数据安全的技术能力和安全防护措施。中标供应商需做好项目关键数据岗位人员的背景预审，并按要求提交相关材料，进行背景审查，审查通过后签署相关保密协议或承诺，确保关键数据岗位人员的安全可靠。</w:t>
      </w:r>
    </w:p>
    <w:p w14:paraId="2864D5B1">
      <w:pPr>
        <w:pageBreakBefore w:val="0"/>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中标供应商在项目实施过程中必须按照《浙江省大数据发展管理局关于印发对政务信息系统建设运维企业开展网络和数据安全专项检查方案的通知》（浙数局发﹝2021﹞14号）的文件精神，严格落实网络和数据安全责任，遵守网络和数据安全管理各项要求和操作规范，确保招标方网络和数据安全。项目实施期间，如因中标供应商原因造成网络和数据安全事件的，招标方将追责问责。</w:t>
      </w:r>
    </w:p>
    <w:p w14:paraId="0F5F1BEF">
      <w:pPr>
        <w:pStyle w:val="7"/>
        <w:pageBreakBefore w:val="0"/>
        <w:kinsoku/>
        <w:wordWrap/>
        <w:overflowPunct/>
        <w:topLinePunct w:val="0"/>
        <w:bidi w:val="0"/>
        <w:snapToGrid/>
        <w:spacing w:before="0" w:after="0" w:line="360" w:lineRule="auto"/>
        <w:ind w:left="0" w:leftChars="0" w:firstLine="422" w:firstLineChars="175"/>
        <w:textAlignment w:val="auto"/>
        <w:rPr>
          <w:rFonts w:hint="eastAsia" w:ascii="宋体" w:hAnsi="宋体" w:eastAsia="宋体" w:cs="宋体"/>
          <w:b/>
          <w:bCs/>
          <w:color w:val="auto"/>
          <w:sz w:val="24"/>
          <w:szCs w:val="24"/>
          <w:highlight w:val="none"/>
          <w:shd w:val="clear" w:color="auto" w:fill="FFFFFF"/>
          <w:lang w:bidi="ar"/>
        </w:rPr>
      </w:pPr>
      <w:r>
        <w:rPr>
          <w:rFonts w:hint="eastAsia" w:ascii="宋体" w:hAnsi="宋体" w:eastAsia="宋体" w:cs="宋体"/>
          <w:b/>
          <w:bCs/>
          <w:color w:val="auto"/>
          <w:sz w:val="24"/>
          <w:szCs w:val="24"/>
          <w:highlight w:val="none"/>
          <w:shd w:val="clear" w:color="auto" w:fill="FFFFFF"/>
          <w:lang w:bidi="ar"/>
        </w:rPr>
        <w:t>3.8其他要求</w:t>
      </w:r>
    </w:p>
    <w:p w14:paraId="6465C3AF">
      <w:pPr>
        <w:pageBreakBefore w:val="0"/>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运维团队需配合做好与省域药品注册检验一体化平台的接口对接改造的开发工作。</w:t>
      </w:r>
    </w:p>
    <w:p w14:paraId="1229C271">
      <w:pPr>
        <w:pStyle w:val="6"/>
        <w:pageBreakBefore w:val="0"/>
        <w:kinsoku/>
        <w:wordWrap/>
        <w:overflowPunct/>
        <w:topLinePunct w:val="0"/>
        <w:bidi w:val="0"/>
        <w:snapToGrid/>
        <w:spacing w:before="0" w:after="0" w:line="360" w:lineRule="auto"/>
        <w:ind w:left="0" w:leftChars="0" w:firstLine="422" w:firstLineChars="175"/>
        <w:textAlignment w:val="auto"/>
        <w:rPr>
          <w:rFonts w:hint="eastAsia" w:ascii="宋体" w:hAnsi="宋体" w:eastAsia="宋体" w:cs="宋体"/>
          <w:b/>
          <w:bCs/>
          <w:color w:val="auto"/>
          <w:sz w:val="24"/>
          <w:szCs w:val="24"/>
          <w:highlight w:val="none"/>
          <w:shd w:val="clear" w:color="auto" w:fill="FFFFFF"/>
          <w:lang w:bidi="ar"/>
        </w:rPr>
      </w:pPr>
      <w:r>
        <w:rPr>
          <w:rFonts w:hint="eastAsia" w:ascii="宋体" w:hAnsi="宋体" w:eastAsia="宋体" w:cs="宋体"/>
          <w:b/>
          <w:bCs/>
          <w:color w:val="auto"/>
          <w:sz w:val="24"/>
          <w:szCs w:val="24"/>
          <w:highlight w:val="none"/>
          <w:shd w:val="clear" w:color="auto" w:fill="FFFFFF"/>
          <w:lang w:bidi="ar"/>
        </w:rPr>
        <w:t>4</w:t>
      </w:r>
      <w:r>
        <w:rPr>
          <w:rFonts w:hint="eastAsia" w:ascii="宋体" w:hAnsi="宋体" w:eastAsia="宋体" w:cs="宋体"/>
          <w:b/>
          <w:bCs/>
          <w:color w:val="auto"/>
          <w:sz w:val="24"/>
          <w:szCs w:val="24"/>
          <w:highlight w:val="none"/>
          <w:shd w:val="clear" w:color="auto" w:fill="FFFFFF"/>
          <w:lang w:val="en-US" w:eastAsia="zh-CN" w:bidi="ar"/>
        </w:rPr>
        <w:t>.</w:t>
      </w:r>
      <w:r>
        <w:rPr>
          <w:rFonts w:hint="eastAsia" w:ascii="宋体" w:hAnsi="宋体" w:eastAsia="宋体" w:cs="宋体"/>
          <w:b/>
          <w:bCs/>
          <w:color w:val="auto"/>
          <w:sz w:val="24"/>
          <w:szCs w:val="24"/>
          <w:highlight w:val="none"/>
          <w:shd w:val="clear" w:color="auto" w:fill="FFFFFF"/>
          <w:lang w:bidi="ar"/>
        </w:rPr>
        <w:t>软件运维开发需求</w:t>
      </w:r>
    </w:p>
    <w:p w14:paraId="5C6A2DF8">
      <w:pPr>
        <w:pageBreakBefore w:val="0"/>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运维开发主要是指为了支持运维工作而进行的一系列软件开发活动，包括但不限于开发自动化工具、监控系统、部署脚本等，旨在提高运维工作的效率和可靠性。本次主要涉及部分新增功能的开发服务，主要包括</w:t>
      </w:r>
      <w:r>
        <w:rPr>
          <w:rFonts w:hint="eastAsia" w:ascii="宋体" w:hAnsi="宋体" w:cs="宋体"/>
          <w:color w:val="auto"/>
          <w:kern w:val="0"/>
          <w:sz w:val="24"/>
          <w:szCs w:val="24"/>
          <w:highlight w:val="none"/>
          <w:lang w:eastAsia="zh-CN" w:bidi="ar"/>
        </w:rPr>
        <w:t>防疫药械智控应用</w:t>
      </w:r>
      <w:r>
        <w:rPr>
          <w:rFonts w:hint="eastAsia" w:ascii="宋体" w:hAnsi="宋体" w:eastAsia="宋体" w:cs="宋体"/>
          <w:color w:val="auto"/>
          <w:kern w:val="0"/>
          <w:sz w:val="24"/>
          <w:szCs w:val="24"/>
          <w:highlight w:val="none"/>
          <w:lang w:bidi="ar"/>
        </w:rPr>
        <w:t>的</w:t>
      </w:r>
      <w:r>
        <w:rPr>
          <w:rFonts w:hint="eastAsia" w:ascii="宋体" w:hAnsi="宋体" w:cs="宋体"/>
          <w:color w:val="auto"/>
          <w:kern w:val="0"/>
          <w:sz w:val="24"/>
          <w:szCs w:val="24"/>
          <w:highlight w:val="none"/>
          <w:lang w:val="en-US" w:eastAsia="zh-CN" w:bidi="ar"/>
        </w:rPr>
        <w:t>运维开发</w:t>
      </w:r>
      <w:r>
        <w:rPr>
          <w:rFonts w:hint="eastAsia" w:ascii="宋体" w:hAnsi="宋体" w:eastAsia="宋体" w:cs="宋体"/>
          <w:color w:val="auto"/>
          <w:kern w:val="0"/>
          <w:sz w:val="24"/>
          <w:szCs w:val="24"/>
          <w:highlight w:val="none"/>
          <w:lang w:bidi="ar"/>
        </w:rPr>
        <w:t>需求，超周期管理模块的功能完善以及全省药品检验检测数据库的接口对接服务等。</w:t>
      </w:r>
    </w:p>
    <w:p w14:paraId="6CD23121">
      <w:pPr>
        <w:pageBreakBefore w:val="0"/>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通过运维开发，可以实现运维流程的自动化，减少人工操作失误，快速解决问题，并且能够更好地管理和维护日益复杂的IT系统。具体运维开发内容如下：</w:t>
      </w:r>
    </w:p>
    <w:p w14:paraId="3F4552B0">
      <w:pPr>
        <w:pStyle w:val="7"/>
        <w:pageBreakBefore w:val="0"/>
        <w:kinsoku/>
        <w:wordWrap/>
        <w:overflowPunct/>
        <w:topLinePunct w:val="0"/>
        <w:bidi w:val="0"/>
        <w:snapToGrid/>
        <w:spacing w:before="0" w:after="0" w:line="360" w:lineRule="auto"/>
        <w:ind w:left="0" w:leftChars="0" w:firstLine="422" w:firstLineChars="175"/>
        <w:textAlignment w:val="auto"/>
        <w:rPr>
          <w:rFonts w:hint="eastAsia" w:ascii="宋体" w:hAnsi="宋体" w:eastAsia="宋体" w:cs="宋体"/>
          <w:b/>
          <w:bCs/>
          <w:color w:val="auto"/>
          <w:sz w:val="24"/>
          <w:szCs w:val="24"/>
          <w:highlight w:val="none"/>
          <w:shd w:val="clear" w:color="auto" w:fill="FFFFFF"/>
          <w:lang w:bidi="ar"/>
        </w:rPr>
      </w:pPr>
      <w:r>
        <w:rPr>
          <w:rFonts w:hint="eastAsia" w:ascii="宋体" w:hAnsi="宋体" w:eastAsia="宋体" w:cs="宋体"/>
          <w:b/>
          <w:bCs/>
          <w:color w:val="auto"/>
          <w:sz w:val="24"/>
          <w:szCs w:val="24"/>
          <w:highlight w:val="none"/>
          <w:shd w:val="clear" w:color="auto" w:fill="FFFFFF"/>
          <w:lang w:bidi="ar"/>
        </w:rPr>
        <w:t>4.1省院数字化系统包括实验室资源管理、</w:t>
      </w:r>
      <w:r>
        <w:rPr>
          <w:rFonts w:hint="eastAsia" w:ascii="宋体" w:hAnsi="宋体" w:cs="宋体"/>
          <w:b/>
          <w:bCs/>
          <w:color w:val="auto"/>
          <w:sz w:val="24"/>
          <w:szCs w:val="24"/>
          <w:highlight w:val="none"/>
          <w:shd w:val="clear" w:color="auto" w:fill="FFFFFF"/>
          <w:lang w:val="en-US" w:eastAsia="zh-CN" w:bidi="ar"/>
        </w:rPr>
        <w:t>仪器</w:t>
      </w:r>
      <w:r>
        <w:rPr>
          <w:rFonts w:hint="eastAsia" w:ascii="宋体" w:hAnsi="宋体" w:eastAsia="宋体" w:cs="宋体"/>
          <w:b/>
          <w:bCs/>
          <w:color w:val="auto"/>
          <w:sz w:val="24"/>
          <w:szCs w:val="24"/>
          <w:highlight w:val="none"/>
          <w:shd w:val="clear" w:color="auto" w:fill="FFFFFF"/>
          <w:lang w:bidi="ar"/>
        </w:rPr>
        <w:t>报告数据整合等4系统2025年运维项目运维开发需求</w:t>
      </w:r>
    </w:p>
    <w:p w14:paraId="5A8B7A78">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省院数字化系统包括实验室资源管理、</w:t>
      </w:r>
      <w:r>
        <w:rPr>
          <w:rFonts w:hint="eastAsia" w:ascii="宋体" w:hAnsi="宋体" w:cs="宋体"/>
          <w:color w:val="auto"/>
          <w:kern w:val="0"/>
          <w:sz w:val="24"/>
          <w:szCs w:val="24"/>
          <w:highlight w:val="none"/>
          <w:lang w:val="en-US" w:eastAsia="zh-CN" w:bidi="ar"/>
        </w:rPr>
        <w:t>仪器</w:t>
      </w:r>
      <w:r>
        <w:rPr>
          <w:rFonts w:hint="eastAsia" w:ascii="宋体" w:hAnsi="宋体" w:eastAsia="宋体" w:cs="宋体"/>
          <w:color w:val="auto"/>
          <w:kern w:val="0"/>
          <w:sz w:val="24"/>
          <w:szCs w:val="24"/>
          <w:highlight w:val="none"/>
          <w:lang w:bidi="ar"/>
        </w:rPr>
        <w:t>报告数据整合等4系统是支撑实验室日常业务流程、数据管理与质量控制的重要信息化平台。随着实验室业务规模的扩展和信息化水平的提升，传统的运维模式已难以满足日益复杂的系统运行需求。为保障</w:t>
      </w:r>
      <w:r>
        <w:rPr>
          <w:rFonts w:hint="eastAsia" w:ascii="宋体" w:hAnsi="宋体" w:eastAsia="宋体" w:cs="宋体"/>
          <w:color w:val="auto"/>
          <w:kern w:val="0"/>
          <w:sz w:val="24"/>
          <w:szCs w:val="24"/>
          <w:highlight w:val="none"/>
          <w:lang w:val="en-US" w:eastAsia="zh-CN" w:bidi="ar"/>
        </w:rPr>
        <w:t>实验室资源管理</w:t>
      </w:r>
      <w:r>
        <w:rPr>
          <w:rFonts w:hint="eastAsia" w:ascii="宋体" w:hAnsi="宋体" w:eastAsia="宋体" w:cs="宋体"/>
          <w:color w:val="auto"/>
          <w:kern w:val="0"/>
          <w:sz w:val="24"/>
          <w:szCs w:val="24"/>
          <w:highlight w:val="none"/>
          <w:lang w:bidi="ar"/>
        </w:rPr>
        <w:t>系统的高效、稳定运行，提高运维效率和服务响应能力，本项目将通过开展针对性的运维开发工作，对现有系统进行优化升级，并构建更加智能、高效的运维体系。</w:t>
      </w:r>
    </w:p>
    <w:p w14:paraId="7AA08CDE">
      <w:pPr>
        <w:pageBreakBefore w:val="0"/>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本次建设内容主要围绕实验室资源管理、报告数据整合等4系统与公众平台的数据对接、消息提醒机制优化、多端账户同步等方面展开，旨在提升系统自动化水平、减少人工干预，实现更流畅的业务协作和更高的服务质量。</w:t>
      </w:r>
    </w:p>
    <w:p w14:paraId="5EF1499D">
      <w:pPr>
        <w:pageBreakBefore w:val="0"/>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运维开发需求清单如下：</w:t>
      </w:r>
    </w:p>
    <w:tbl>
      <w:tblPr>
        <w:tblStyle w:val="63"/>
        <w:tblW w:w="8296" w:type="dxa"/>
        <w:tblInd w:w="0" w:type="dxa"/>
        <w:tblLayout w:type="autofit"/>
        <w:tblCellMar>
          <w:top w:w="0" w:type="dxa"/>
          <w:left w:w="108" w:type="dxa"/>
          <w:bottom w:w="0" w:type="dxa"/>
          <w:right w:w="108" w:type="dxa"/>
        </w:tblCellMar>
      </w:tblPr>
      <w:tblGrid>
        <w:gridCol w:w="816"/>
        <w:gridCol w:w="1680"/>
        <w:gridCol w:w="2260"/>
        <w:gridCol w:w="3540"/>
      </w:tblGrid>
      <w:tr w14:paraId="1A475F45">
        <w:tblPrEx>
          <w:tblCellMar>
            <w:top w:w="0" w:type="dxa"/>
            <w:left w:w="108" w:type="dxa"/>
            <w:bottom w:w="0" w:type="dxa"/>
            <w:right w:w="108" w:type="dxa"/>
          </w:tblCellMar>
        </w:tblPrEx>
        <w:trPr>
          <w:trHeight w:val="440" w:hRule="atLeast"/>
        </w:trPr>
        <w:tc>
          <w:tcPr>
            <w:tcW w:w="816" w:type="dxa"/>
            <w:tcBorders>
              <w:top w:val="single" w:color="auto" w:sz="4" w:space="0"/>
              <w:left w:val="single" w:color="auto" w:sz="4" w:space="0"/>
              <w:bottom w:val="single" w:color="auto" w:sz="4" w:space="0"/>
              <w:right w:val="single" w:color="auto" w:sz="4" w:space="0"/>
            </w:tcBorders>
            <w:shd w:val="clear" w:color="000000" w:fill="D0CECE"/>
            <w:vAlign w:val="center"/>
          </w:tcPr>
          <w:p w14:paraId="0EF47DDD">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序号</w:t>
            </w:r>
          </w:p>
        </w:tc>
        <w:tc>
          <w:tcPr>
            <w:tcW w:w="1680" w:type="dxa"/>
            <w:tcBorders>
              <w:top w:val="single" w:color="auto" w:sz="4" w:space="0"/>
              <w:left w:val="single" w:color="auto" w:sz="4" w:space="0"/>
              <w:bottom w:val="single" w:color="auto" w:sz="4" w:space="0"/>
              <w:right w:val="single" w:color="auto" w:sz="4" w:space="0"/>
            </w:tcBorders>
            <w:shd w:val="clear" w:color="000000" w:fill="D0CECE"/>
            <w:noWrap/>
            <w:vAlign w:val="center"/>
          </w:tcPr>
          <w:p w14:paraId="55FFB769">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一级模块</w:t>
            </w:r>
          </w:p>
        </w:tc>
        <w:tc>
          <w:tcPr>
            <w:tcW w:w="2260" w:type="dxa"/>
            <w:tcBorders>
              <w:top w:val="single" w:color="auto" w:sz="4" w:space="0"/>
              <w:left w:val="nil"/>
              <w:bottom w:val="single" w:color="auto" w:sz="4" w:space="0"/>
              <w:right w:val="single" w:color="auto" w:sz="4" w:space="0"/>
            </w:tcBorders>
            <w:shd w:val="clear" w:color="000000" w:fill="D0CECE"/>
            <w:noWrap/>
            <w:vAlign w:val="center"/>
          </w:tcPr>
          <w:p w14:paraId="058783C9">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二级功能</w:t>
            </w:r>
          </w:p>
        </w:tc>
        <w:tc>
          <w:tcPr>
            <w:tcW w:w="3540" w:type="dxa"/>
            <w:tcBorders>
              <w:top w:val="single" w:color="auto" w:sz="4" w:space="0"/>
              <w:left w:val="nil"/>
              <w:bottom w:val="single" w:color="auto" w:sz="4" w:space="0"/>
              <w:right w:val="single" w:color="auto" w:sz="4" w:space="0"/>
            </w:tcBorders>
            <w:shd w:val="clear" w:color="000000" w:fill="D0CECE"/>
            <w:noWrap/>
            <w:vAlign w:val="center"/>
          </w:tcPr>
          <w:p w14:paraId="79654E91">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三级功能</w:t>
            </w:r>
          </w:p>
        </w:tc>
      </w:tr>
      <w:tr w14:paraId="1930849B">
        <w:tblPrEx>
          <w:tblCellMar>
            <w:top w:w="0" w:type="dxa"/>
            <w:left w:w="108" w:type="dxa"/>
            <w:bottom w:w="0" w:type="dxa"/>
            <w:right w:w="108" w:type="dxa"/>
          </w:tblCellMar>
        </w:tblPrEx>
        <w:trPr>
          <w:trHeight w:val="280" w:hRule="atLeast"/>
        </w:trPr>
        <w:tc>
          <w:tcPr>
            <w:tcW w:w="816" w:type="dxa"/>
            <w:vMerge w:val="restart"/>
            <w:tcBorders>
              <w:top w:val="nil"/>
              <w:left w:val="single" w:color="auto" w:sz="4" w:space="0"/>
              <w:right w:val="single" w:color="auto" w:sz="4" w:space="0"/>
            </w:tcBorders>
            <w:vAlign w:val="center"/>
          </w:tcPr>
          <w:p w14:paraId="31EC3BA0">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w:t>
            </w:r>
          </w:p>
        </w:tc>
        <w:tc>
          <w:tcPr>
            <w:tcW w:w="1680" w:type="dxa"/>
            <w:vMerge w:val="restart"/>
            <w:tcBorders>
              <w:top w:val="nil"/>
              <w:left w:val="single" w:color="auto" w:sz="4" w:space="0"/>
              <w:bottom w:val="single" w:color="auto" w:sz="4" w:space="0"/>
              <w:right w:val="single" w:color="auto" w:sz="4" w:space="0"/>
            </w:tcBorders>
            <w:shd w:val="clear" w:color="auto" w:fill="auto"/>
            <w:noWrap/>
            <w:vAlign w:val="center"/>
          </w:tcPr>
          <w:p w14:paraId="55936E18">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公众平台对接</w:t>
            </w:r>
          </w:p>
        </w:tc>
        <w:tc>
          <w:tcPr>
            <w:tcW w:w="2260" w:type="dxa"/>
            <w:vMerge w:val="restart"/>
            <w:tcBorders>
              <w:top w:val="nil"/>
              <w:left w:val="single" w:color="auto" w:sz="4" w:space="0"/>
              <w:bottom w:val="single" w:color="auto" w:sz="4" w:space="0"/>
              <w:right w:val="single" w:color="auto" w:sz="4" w:space="0"/>
            </w:tcBorders>
            <w:shd w:val="clear" w:color="auto" w:fill="auto"/>
            <w:noWrap/>
            <w:vAlign w:val="center"/>
          </w:tcPr>
          <w:p w14:paraId="48CD9485">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公众协议对接</w:t>
            </w:r>
          </w:p>
        </w:tc>
        <w:tc>
          <w:tcPr>
            <w:tcW w:w="3540" w:type="dxa"/>
            <w:tcBorders>
              <w:top w:val="nil"/>
              <w:left w:val="nil"/>
              <w:bottom w:val="single" w:color="auto" w:sz="4" w:space="0"/>
              <w:right w:val="single" w:color="auto" w:sz="4" w:space="0"/>
            </w:tcBorders>
            <w:shd w:val="clear" w:color="auto" w:fill="auto"/>
            <w:noWrap/>
            <w:vAlign w:val="center"/>
          </w:tcPr>
          <w:p w14:paraId="596B43DB">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协议数据推送</w:t>
            </w:r>
          </w:p>
        </w:tc>
      </w:tr>
      <w:tr w14:paraId="37D06599">
        <w:tblPrEx>
          <w:tblCellMar>
            <w:top w:w="0" w:type="dxa"/>
            <w:left w:w="108" w:type="dxa"/>
            <w:bottom w:w="0" w:type="dxa"/>
            <w:right w:w="108" w:type="dxa"/>
          </w:tblCellMar>
        </w:tblPrEx>
        <w:trPr>
          <w:trHeight w:val="280" w:hRule="atLeast"/>
        </w:trPr>
        <w:tc>
          <w:tcPr>
            <w:tcW w:w="816" w:type="dxa"/>
            <w:vMerge w:val="continue"/>
            <w:tcBorders>
              <w:left w:val="single" w:color="auto" w:sz="4" w:space="0"/>
              <w:right w:val="single" w:color="auto" w:sz="4" w:space="0"/>
            </w:tcBorders>
            <w:vAlign w:val="center"/>
          </w:tcPr>
          <w:p w14:paraId="3E93540E">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1680" w:type="dxa"/>
            <w:vMerge w:val="continue"/>
            <w:tcBorders>
              <w:top w:val="nil"/>
              <w:left w:val="single" w:color="auto" w:sz="4" w:space="0"/>
              <w:bottom w:val="single" w:color="auto" w:sz="4" w:space="0"/>
              <w:right w:val="single" w:color="auto" w:sz="4" w:space="0"/>
            </w:tcBorders>
            <w:vAlign w:val="center"/>
          </w:tcPr>
          <w:p w14:paraId="2EF32AE0">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2260" w:type="dxa"/>
            <w:vMerge w:val="continue"/>
            <w:tcBorders>
              <w:top w:val="nil"/>
              <w:left w:val="single" w:color="auto" w:sz="4" w:space="0"/>
              <w:bottom w:val="single" w:color="auto" w:sz="4" w:space="0"/>
              <w:right w:val="single" w:color="auto" w:sz="4" w:space="0"/>
            </w:tcBorders>
            <w:vAlign w:val="center"/>
          </w:tcPr>
          <w:p w14:paraId="6B99A663">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3540" w:type="dxa"/>
            <w:tcBorders>
              <w:top w:val="nil"/>
              <w:left w:val="nil"/>
              <w:bottom w:val="single" w:color="auto" w:sz="4" w:space="0"/>
              <w:right w:val="single" w:color="auto" w:sz="4" w:space="0"/>
            </w:tcBorders>
            <w:shd w:val="clear" w:color="auto" w:fill="auto"/>
            <w:noWrap/>
            <w:vAlign w:val="center"/>
          </w:tcPr>
          <w:p w14:paraId="277BECDC">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协议修改数据推送</w:t>
            </w:r>
          </w:p>
        </w:tc>
      </w:tr>
      <w:tr w14:paraId="1BA00048">
        <w:tblPrEx>
          <w:tblCellMar>
            <w:top w:w="0" w:type="dxa"/>
            <w:left w:w="108" w:type="dxa"/>
            <w:bottom w:w="0" w:type="dxa"/>
            <w:right w:w="108" w:type="dxa"/>
          </w:tblCellMar>
        </w:tblPrEx>
        <w:trPr>
          <w:trHeight w:val="280" w:hRule="atLeast"/>
        </w:trPr>
        <w:tc>
          <w:tcPr>
            <w:tcW w:w="816" w:type="dxa"/>
            <w:vMerge w:val="continue"/>
            <w:tcBorders>
              <w:left w:val="single" w:color="auto" w:sz="4" w:space="0"/>
              <w:right w:val="single" w:color="auto" w:sz="4" w:space="0"/>
            </w:tcBorders>
            <w:vAlign w:val="center"/>
          </w:tcPr>
          <w:p w14:paraId="0C996D1C">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1680" w:type="dxa"/>
            <w:vMerge w:val="continue"/>
            <w:tcBorders>
              <w:top w:val="nil"/>
              <w:left w:val="single" w:color="auto" w:sz="4" w:space="0"/>
              <w:bottom w:val="single" w:color="auto" w:sz="4" w:space="0"/>
              <w:right w:val="single" w:color="auto" w:sz="4" w:space="0"/>
            </w:tcBorders>
            <w:vAlign w:val="center"/>
          </w:tcPr>
          <w:p w14:paraId="5C7AF042">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2260" w:type="dxa"/>
            <w:vMerge w:val="continue"/>
            <w:tcBorders>
              <w:top w:val="nil"/>
              <w:left w:val="single" w:color="auto" w:sz="4" w:space="0"/>
              <w:bottom w:val="single" w:color="auto" w:sz="4" w:space="0"/>
              <w:right w:val="single" w:color="auto" w:sz="4" w:space="0"/>
            </w:tcBorders>
            <w:vAlign w:val="center"/>
          </w:tcPr>
          <w:p w14:paraId="29317365">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3540" w:type="dxa"/>
            <w:tcBorders>
              <w:top w:val="nil"/>
              <w:left w:val="nil"/>
              <w:bottom w:val="single" w:color="auto" w:sz="4" w:space="0"/>
              <w:right w:val="single" w:color="auto" w:sz="4" w:space="0"/>
            </w:tcBorders>
            <w:shd w:val="clear" w:color="auto" w:fill="auto"/>
            <w:noWrap/>
            <w:vAlign w:val="center"/>
          </w:tcPr>
          <w:p w14:paraId="6B058BEB">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协议作废状态推送</w:t>
            </w:r>
          </w:p>
        </w:tc>
      </w:tr>
      <w:tr w14:paraId="065A8221">
        <w:tblPrEx>
          <w:tblCellMar>
            <w:top w:w="0" w:type="dxa"/>
            <w:left w:w="108" w:type="dxa"/>
            <w:bottom w:w="0" w:type="dxa"/>
            <w:right w:w="108" w:type="dxa"/>
          </w:tblCellMar>
        </w:tblPrEx>
        <w:trPr>
          <w:trHeight w:val="280" w:hRule="atLeast"/>
        </w:trPr>
        <w:tc>
          <w:tcPr>
            <w:tcW w:w="816" w:type="dxa"/>
            <w:vMerge w:val="continue"/>
            <w:tcBorders>
              <w:left w:val="single" w:color="auto" w:sz="4" w:space="0"/>
              <w:right w:val="single" w:color="auto" w:sz="4" w:space="0"/>
            </w:tcBorders>
            <w:vAlign w:val="center"/>
          </w:tcPr>
          <w:p w14:paraId="1055ADC0">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1680" w:type="dxa"/>
            <w:vMerge w:val="continue"/>
            <w:tcBorders>
              <w:top w:val="nil"/>
              <w:left w:val="single" w:color="auto" w:sz="4" w:space="0"/>
              <w:bottom w:val="single" w:color="auto" w:sz="4" w:space="0"/>
              <w:right w:val="single" w:color="auto" w:sz="4" w:space="0"/>
            </w:tcBorders>
            <w:vAlign w:val="center"/>
          </w:tcPr>
          <w:p w14:paraId="70AC6914">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2260" w:type="dxa"/>
            <w:vMerge w:val="continue"/>
            <w:tcBorders>
              <w:top w:val="nil"/>
              <w:left w:val="single" w:color="auto" w:sz="4" w:space="0"/>
              <w:bottom w:val="single" w:color="auto" w:sz="4" w:space="0"/>
              <w:right w:val="single" w:color="auto" w:sz="4" w:space="0"/>
            </w:tcBorders>
            <w:vAlign w:val="center"/>
          </w:tcPr>
          <w:p w14:paraId="30920E84">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3540" w:type="dxa"/>
            <w:tcBorders>
              <w:top w:val="nil"/>
              <w:left w:val="nil"/>
              <w:bottom w:val="single" w:color="auto" w:sz="4" w:space="0"/>
              <w:right w:val="single" w:color="auto" w:sz="4" w:space="0"/>
            </w:tcBorders>
            <w:shd w:val="clear" w:color="auto" w:fill="auto"/>
            <w:noWrap/>
            <w:vAlign w:val="center"/>
          </w:tcPr>
          <w:p w14:paraId="1C830288">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检品编号推送</w:t>
            </w:r>
          </w:p>
        </w:tc>
      </w:tr>
      <w:tr w14:paraId="1025E169">
        <w:tblPrEx>
          <w:tblCellMar>
            <w:top w:w="0" w:type="dxa"/>
            <w:left w:w="108" w:type="dxa"/>
            <w:bottom w:w="0" w:type="dxa"/>
            <w:right w:w="108" w:type="dxa"/>
          </w:tblCellMar>
        </w:tblPrEx>
        <w:trPr>
          <w:trHeight w:val="280" w:hRule="atLeast"/>
        </w:trPr>
        <w:tc>
          <w:tcPr>
            <w:tcW w:w="816" w:type="dxa"/>
            <w:vMerge w:val="continue"/>
            <w:tcBorders>
              <w:left w:val="single" w:color="auto" w:sz="4" w:space="0"/>
              <w:right w:val="single" w:color="auto" w:sz="4" w:space="0"/>
            </w:tcBorders>
            <w:vAlign w:val="center"/>
          </w:tcPr>
          <w:p w14:paraId="2C9C07F3">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1680" w:type="dxa"/>
            <w:vMerge w:val="continue"/>
            <w:tcBorders>
              <w:top w:val="nil"/>
              <w:left w:val="single" w:color="auto" w:sz="4" w:space="0"/>
              <w:bottom w:val="single" w:color="auto" w:sz="4" w:space="0"/>
              <w:right w:val="single" w:color="auto" w:sz="4" w:space="0"/>
            </w:tcBorders>
            <w:vAlign w:val="center"/>
          </w:tcPr>
          <w:p w14:paraId="27E6CB6F">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2260" w:type="dxa"/>
            <w:vMerge w:val="continue"/>
            <w:tcBorders>
              <w:top w:val="nil"/>
              <w:left w:val="single" w:color="auto" w:sz="4" w:space="0"/>
              <w:bottom w:val="single" w:color="auto" w:sz="4" w:space="0"/>
              <w:right w:val="single" w:color="auto" w:sz="4" w:space="0"/>
            </w:tcBorders>
            <w:vAlign w:val="center"/>
          </w:tcPr>
          <w:p w14:paraId="46D7636E">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3540" w:type="dxa"/>
            <w:tcBorders>
              <w:top w:val="nil"/>
              <w:left w:val="nil"/>
              <w:bottom w:val="single" w:color="auto" w:sz="4" w:space="0"/>
              <w:right w:val="single" w:color="auto" w:sz="4" w:space="0"/>
            </w:tcBorders>
            <w:shd w:val="clear" w:color="auto" w:fill="auto"/>
            <w:noWrap/>
            <w:vAlign w:val="center"/>
          </w:tcPr>
          <w:p w14:paraId="5F262052">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检品撤检推送</w:t>
            </w:r>
          </w:p>
        </w:tc>
      </w:tr>
      <w:tr w14:paraId="5A469390">
        <w:tblPrEx>
          <w:tblCellMar>
            <w:top w:w="0" w:type="dxa"/>
            <w:left w:w="108" w:type="dxa"/>
            <w:bottom w:w="0" w:type="dxa"/>
            <w:right w:w="108" w:type="dxa"/>
          </w:tblCellMar>
        </w:tblPrEx>
        <w:trPr>
          <w:trHeight w:val="280" w:hRule="atLeast"/>
        </w:trPr>
        <w:tc>
          <w:tcPr>
            <w:tcW w:w="816" w:type="dxa"/>
            <w:vMerge w:val="continue"/>
            <w:tcBorders>
              <w:left w:val="single" w:color="auto" w:sz="4" w:space="0"/>
              <w:right w:val="single" w:color="auto" w:sz="4" w:space="0"/>
            </w:tcBorders>
            <w:vAlign w:val="center"/>
          </w:tcPr>
          <w:p w14:paraId="0B0560DD">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1680" w:type="dxa"/>
            <w:vMerge w:val="continue"/>
            <w:tcBorders>
              <w:top w:val="nil"/>
              <w:left w:val="single" w:color="auto" w:sz="4" w:space="0"/>
              <w:bottom w:val="single" w:color="auto" w:sz="4" w:space="0"/>
              <w:right w:val="single" w:color="auto" w:sz="4" w:space="0"/>
            </w:tcBorders>
            <w:vAlign w:val="center"/>
          </w:tcPr>
          <w:p w14:paraId="72997A0C">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2260" w:type="dxa"/>
            <w:vMerge w:val="restart"/>
            <w:tcBorders>
              <w:top w:val="nil"/>
              <w:left w:val="single" w:color="auto" w:sz="4" w:space="0"/>
              <w:bottom w:val="single" w:color="auto" w:sz="4" w:space="0"/>
              <w:right w:val="single" w:color="auto" w:sz="4" w:space="0"/>
            </w:tcBorders>
            <w:shd w:val="clear" w:color="auto" w:fill="auto"/>
            <w:noWrap/>
            <w:vAlign w:val="center"/>
          </w:tcPr>
          <w:p w14:paraId="3A431000">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收费相关</w:t>
            </w:r>
          </w:p>
        </w:tc>
        <w:tc>
          <w:tcPr>
            <w:tcW w:w="3540" w:type="dxa"/>
            <w:tcBorders>
              <w:top w:val="nil"/>
              <w:left w:val="nil"/>
              <w:bottom w:val="single" w:color="auto" w:sz="4" w:space="0"/>
              <w:right w:val="single" w:color="auto" w:sz="4" w:space="0"/>
            </w:tcBorders>
            <w:shd w:val="clear" w:color="auto" w:fill="auto"/>
            <w:noWrap/>
            <w:vAlign w:val="center"/>
          </w:tcPr>
          <w:p w14:paraId="0832CC4F">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最终收费收费单开具状态查询</w:t>
            </w:r>
          </w:p>
        </w:tc>
      </w:tr>
      <w:tr w14:paraId="71182512">
        <w:tblPrEx>
          <w:tblCellMar>
            <w:top w:w="0" w:type="dxa"/>
            <w:left w:w="108" w:type="dxa"/>
            <w:bottom w:w="0" w:type="dxa"/>
            <w:right w:w="108" w:type="dxa"/>
          </w:tblCellMar>
        </w:tblPrEx>
        <w:trPr>
          <w:trHeight w:val="280" w:hRule="atLeast"/>
        </w:trPr>
        <w:tc>
          <w:tcPr>
            <w:tcW w:w="816" w:type="dxa"/>
            <w:vMerge w:val="continue"/>
            <w:tcBorders>
              <w:left w:val="single" w:color="auto" w:sz="4" w:space="0"/>
              <w:right w:val="single" w:color="auto" w:sz="4" w:space="0"/>
            </w:tcBorders>
            <w:vAlign w:val="center"/>
          </w:tcPr>
          <w:p w14:paraId="7ED1B327">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1680" w:type="dxa"/>
            <w:vMerge w:val="continue"/>
            <w:tcBorders>
              <w:top w:val="nil"/>
              <w:left w:val="single" w:color="auto" w:sz="4" w:space="0"/>
              <w:bottom w:val="single" w:color="auto" w:sz="4" w:space="0"/>
              <w:right w:val="single" w:color="auto" w:sz="4" w:space="0"/>
            </w:tcBorders>
            <w:vAlign w:val="center"/>
          </w:tcPr>
          <w:p w14:paraId="08C2D645">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2260" w:type="dxa"/>
            <w:vMerge w:val="continue"/>
            <w:tcBorders>
              <w:top w:val="nil"/>
              <w:left w:val="single" w:color="auto" w:sz="4" w:space="0"/>
              <w:bottom w:val="single" w:color="auto" w:sz="4" w:space="0"/>
              <w:right w:val="single" w:color="auto" w:sz="4" w:space="0"/>
            </w:tcBorders>
            <w:vAlign w:val="center"/>
          </w:tcPr>
          <w:p w14:paraId="0817F07A">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3540" w:type="dxa"/>
            <w:tcBorders>
              <w:top w:val="nil"/>
              <w:left w:val="nil"/>
              <w:bottom w:val="single" w:color="auto" w:sz="4" w:space="0"/>
              <w:right w:val="single" w:color="auto" w:sz="4" w:space="0"/>
            </w:tcBorders>
            <w:shd w:val="clear" w:color="auto" w:fill="auto"/>
            <w:noWrap/>
            <w:vAlign w:val="center"/>
          </w:tcPr>
          <w:p w14:paraId="1DF553C7">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特殊收费单结果推送</w:t>
            </w:r>
          </w:p>
        </w:tc>
      </w:tr>
      <w:tr w14:paraId="21E4E442">
        <w:tblPrEx>
          <w:tblCellMar>
            <w:top w:w="0" w:type="dxa"/>
            <w:left w:w="108" w:type="dxa"/>
            <w:bottom w:w="0" w:type="dxa"/>
            <w:right w:w="108" w:type="dxa"/>
          </w:tblCellMar>
        </w:tblPrEx>
        <w:trPr>
          <w:trHeight w:val="280" w:hRule="atLeast"/>
        </w:trPr>
        <w:tc>
          <w:tcPr>
            <w:tcW w:w="816" w:type="dxa"/>
            <w:vMerge w:val="continue"/>
            <w:tcBorders>
              <w:left w:val="single" w:color="auto" w:sz="4" w:space="0"/>
              <w:right w:val="single" w:color="auto" w:sz="4" w:space="0"/>
            </w:tcBorders>
            <w:vAlign w:val="center"/>
          </w:tcPr>
          <w:p w14:paraId="0DE9E218">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1680" w:type="dxa"/>
            <w:vMerge w:val="continue"/>
            <w:tcBorders>
              <w:top w:val="nil"/>
              <w:left w:val="single" w:color="auto" w:sz="4" w:space="0"/>
              <w:bottom w:val="single" w:color="auto" w:sz="4" w:space="0"/>
              <w:right w:val="single" w:color="auto" w:sz="4" w:space="0"/>
            </w:tcBorders>
            <w:vAlign w:val="center"/>
          </w:tcPr>
          <w:p w14:paraId="31B9A866">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2260" w:type="dxa"/>
            <w:vMerge w:val="continue"/>
            <w:tcBorders>
              <w:top w:val="nil"/>
              <w:left w:val="single" w:color="auto" w:sz="4" w:space="0"/>
              <w:bottom w:val="single" w:color="auto" w:sz="4" w:space="0"/>
              <w:right w:val="single" w:color="auto" w:sz="4" w:space="0"/>
            </w:tcBorders>
            <w:vAlign w:val="center"/>
          </w:tcPr>
          <w:p w14:paraId="004A16B6">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3540" w:type="dxa"/>
            <w:tcBorders>
              <w:top w:val="nil"/>
              <w:left w:val="nil"/>
              <w:bottom w:val="single" w:color="auto" w:sz="4" w:space="0"/>
              <w:right w:val="single" w:color="auto" w:sz="4" w:space="0"/>
            </w:tcBorders>
            <w:shd w:val="clear" w:color="auto" w:fill="auto"/>
            <w:noWrap/>
            <w:vAlign w:val="center"/>
          </w:tcPr>
          <w:p w14:paraId="29809D8A">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特殊收费单开具请求</w:t>
            </w:r>
          </w:p>
        </w:tc>
      </w:tr>
      <w:tr w14:paraId="6DD14775">
        <w:tblPrEx>
          <w:tblCellMar>
            <w:top w:w="0" w:type="dxa"/>
            <w:left w:w="108" w:type="dxa"/>
            <w:bottom w:w="0" w:type="dxa"/>
            <w:right w:w="108" w:type="dxa"/>
          </w:tblCellMar>
        </w:tblPrEx>
        <w:trPr>
          <w:trHeight w:val="280" w:hRule="atLeast"/>
        </w:trPr>
        <w:tc>
          <w:tcPr>
            <w:tcW w:w="816" w:type="dxa"/>
            <w:vMerge w:val="continue"/>
            <w:tcBorders>
              <w:left w:val="single" w:color="auto" w:sz="4" w:space="0"/>
              <w:right w:val="single" w:color="auto" w:sz="4" w:space="0"/>
            </w:tcBorders>
            <w:vAlign w:val="center"/>
          </w:tcPr>
          <w:p w14:paraId="1ED520CB">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1680" w:type="dxa"/>
            <w:vMerge w:val="continue"/>
            <w:tcBorders>
              <w:top w:val="nil"/>
              <w:left w:val="single" w:color="auto" w:sz="4" w:space="0"/>
              <w:bottom w:val="single" w:color="auto" w:sz="4" w:space="0"/>
              <w:right w:val="single" w:color="auto" w:sz="4" w:space="0"/>
            </w:tcBorders>
            <w:vAlign w:val="center"/>
          </w:tcPr>
          <w:p w14:paraId="1A298BCD">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2260" w:type="dxa"/>
            <w:vMerge w:val="continue"/>
            <w:tcBorders>
              <w:top w:val="nil"/>
              <w:left w:val="single" w:color="auto" w:sz="4" w:space="0"/>
              <w:bottom w:val="single" w:color="auto" w:sz="4" w:space="0"/>
              <w:right w:val="single" w:color="auto" w:sz="4" w:space="0"/>
            </w:tcBorders>
            <w:vAlign w:val="center"/>
          </w:tcPr>
          <w:p w14:paraId="58A88693">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3540" w:type="dxa"/>
            <w:tcBorders>
              <w:top w:val="nil"/>
              <w:left w:val="nil"/>
              <w:bottom w:val="single" w:color="auto" w:sz="4" w:space="0"/>
              <w:right w:val="single" w:color="auto" w:sz="4" w:space="0"/>
            </w:tcBorders>
            <w:shd w:val="clear" w:color="auto" w:fill="auto"/>
            <w:noWrap/>
            <w:vAlign w:val="center"/>
          </w:tcPr>
          <w:p w14:paraId="5D7A6B4E">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特殊收费单取消请求</w:t>
            </w:r>
          </w:p>
        </w:tc>
      </w:tr>
      <w:tr w14:paraId="6B2C1C91">
        <w:tblPrEx>
          <w:tblCellMar>
            <w:top w:w="0" w:type="dxa"/>
            <w:left w:w="108" w:type="dxa"/>
            <w:bottom w:w="0" w:type="dxa"/>
            <w:right w:w="108" w:type="dxa"/>
          </w:tblCellMar>
        </w:tblPrEx>
        <w:trPr>
          <w:trHeight w:val="280" w:hRule="atLeast"/>
        </w:trPr>
        <w:tc>
          <w:tcPr>
            <w:tcW w:w="816" w:type="dxa"/>
            <w:vMerge w:val="continue"/>
            <w:tcBorders>
              <w:left w:val="single" w:color="auto" w:sz="4" w:space="0"/>
              <w:right w:val="single" w:color="auto" w:sz="4" w:space="0"/>
            </w:tcBorders>
            <w:vAlign w:val="center"/>
          </w:tcPr>
          <w:p w14:paraId="2AACE996">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1680" w:type="dxa"/>
            <w:vMerge w:val="continue"/>
            <w:tcBorders>
              <w:top w:val="nil"/>
              <w:left w:val="single" w:color="auto" w:sz="4" w:space="0"/>
              <w:bottom w:val="single" w:color="auto" w:sz="4" w:space="0"/>
              <w:right w:val="single" w:color="auto" w:sz="4" w:space="0"/>
            </w:tcBorders>
            <w:vAlign w:val="center"/>
          </w:tcPr>
          <w:p w14:paraId="744C0A17">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2260" w:type="dxa"/>
            <w:vMerge w:val="continue"/>
            <w:tcBorders>
              <w:top w:val="nil"/>
              <w:left w:val="single" w:color="auto" w:sz="4" w:space="0"/>
              <w:bottom w:val="single" w:color="auto" w:sz="4" w:space="0"/>
              <w:right w:val="single" w:color="auto" w:sz="4" w:space="0"/>
            </w:tcBorders>
            <w:vAlign w:val="center"/>
          </w:tcPr>
          <w:p w14:paraId="2D136B13">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3540" w:type="dxa"/>
            <w:tcBorders>
              <w:top w:val="nil"/>
              <w:left w:val="nil"/>
              <w:bottom w:val="single" w:color="auto" w:sz="4" w:space="0"/>
              <w:right w:val="single" w:color="auto" w:sz="4" w:space="0"/>
            </w:tcBorders>
            <w:shd w:val="clear" w:color="auto" w:fill="auto"/>
            <w:noWrap/>
            <w:vAlign w:val="center"/>
          </w:tcPr>
          <w:p w14:paraId="7A58A777">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最终收费结果推送</w:t>
            </w:r>
          </w:p>
        </w:tc>
      </w:tr>
      <w:tr w14:paraId="2E0F9561">
        <w:tblPrEx>
          <w:tblCellMar>
            <w:top w:w="0" w:type="dxa"/>
            <w:left w:w="108" w:type="dxa"/>
            <w:bottom w:w="0" w:type="dxa"/>
            <w:right w:w="108" w:type="dxa"/>
          </w:tblCellMar>
        </w:tblPrEx>
        <w:trPr>
          <w:trHeight w:val="280" w:hRule="atLeast"/>
        </w:trPr>
        <w:tc>
          <w:tcPr>
            <w:tcW w:w="816" w:type="dxa"/>
            <w:vMerge w:val="continue"/>
            <w:tcBorders>
              <w:left w:val="single" w:color="auto" w:sz="4" w:space="0"/>
              <w:right w:val="single" w:color="auto" w:sz="4" w:space="0"/>
            </w:tcBorders>
            <w:vAlign w:val="center"/>
          </w:tcPr>
          <w:p w14:paraId="49DCE8D4">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1680" w:type="dxa"/>
            <w:vMerge w:val="continue"/>
            <w:tcBorders>
              <w:top w:val="nil"/>
              <w:left w:val="single" w:color="auto" w:sz="4" w:space="0"/>
              <w:bottom w:val="single" w:color="auto" w:sz="4" w:space="0"/>
              <w:right w:val="single" w:color="auto" w:sz="4" w:space="0"/>
            </w:tcBorders>
            <w:vAlign w:val="center"/>
          </w:tcPr>
          <w:p w14:paraId="09013D33">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2260" w:type="dxa"/>
            <w:vMerge w:val="continue"/>
            <w:tcBorders>
              <w:top w:val="nil"/>
              <w:left w:val="single" w:color="auto" w:sz="4" w:space="0"/>
              <w:bottom w:val="single" w:color="auto" w:sz="4" w:space="0"/>
              <w:right w:val="single" w:color="auto" w:sz="4" w:space="0"/>
            </w:tcBorders>
            <w:vAlign w:val="center"/>
          </w:tcPr>
          <w:p w14:paraId="363773A2">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3540" w:type="dxa"/>
            <w:tcBorders>
              <w:top w:val="nil"/>
              <w:left w:val="nil"/>
              <w:bottom w:val="single" w:color="auto" w:sz="4" w:space="0"/>
              <w:right w:val="single" w:color="auto" w:sz="4" w:space="0"/>
            </w:tcBorders>
            <w:shd w:val="clear" w:color="auto" w:fill="auto"/>
            <w:noWrap/>
            <w:vAlign w:val="center"/>
          </w:tcPr>
          <w:p w14:paraId="37D3465A">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最终收费修改推送</w:t>
            </w:r>
          </w:p>
        </w:tc>
      </w:tr>
      <w:tr w14:paraId="187387C7">
        <w:tblPrEx>
          <w:tblCellMar>
            <w:top w:w="0" w:type="dxa"/>
            <w:left w:w="108" w:type="dxa"/>
            <w:bottom w:w="0" w:type="dxa"/>
            <w:right w:w="108" w:type="dxa"/>
          </w:tblCellMar>
        </w:tblPrEx>
        <w:trPr>
          <w:trHeight w:val="280" w:hRule="atLeast"/>
        </w:trPr>
        <w:tc>
          <w:tcPr>
            <w:tcW w:w="816" w:type="dxa"/>
            <w:vMerge w:val="continue"/>
            <w:tcBorders>
              <w:left w:val="single" w:color="auto" w:sz="4" w:space="0"/>
              <w:right w:val="single" w:color="auto" w:sz="4" w:space="0"/>
            </w:tcBorders>
            <w:vAlign w:val="center"/>
          </w:tcPr>
          <w:p w14:paraId="1A634B6A">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1680" w:type="dxa"/>
            <w:vMerge w:val="continue"/>
            <w:tcBorders>
              <w:top w:val="nil"/>
              <w:left w:val="single" w:color="auto" w:sz="4" w:space="0"/>
              <w:bottom w:val="single" w:color="auto" w:sz="4" w:space="0"/>
              <w:right w:val="single" w:color="auto" w:sz="4" w:space="0"/>
            </w:tcBorders>
            <w:vAlign w:val="center"/>
          </w:tcPr>
          <w:p w14:paraId="45E5823A">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2260" w:type="dxa"/>
            <w:vMerge w:val="restart"/>
            <w:tcBorders>
              <w:top w:val="nil"/>
              <w:left w:val="single" w:color="auto" w:sz="4" w:space="0"/>
              <w:bottom w:val="single" w:color="auto" w:sz="4" w:space="0"/>
              <w:right w:val="single" w:color="auto" w:sz="4" w:space="0"/>
            </w:tcBorders>
            <w:shd w:val="clear" w:color="auto" w:fill="auto"/>
            <w:noWrap/>
            <w:vAlign w:val="center"/>
          </w:tcPr>
          <w:p w14:paraId="03A0074E">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报告相关</w:t>
            </w:r>
          </w:p>
        </w:tc>
        <w:tc>
          <w:tcPr>
            <w:tcW w:w="3540" w:type="dxa"/>
            <w:tcBorders>
              <w:top w:val="nil"/>
              <w:left w:val="nil"/>
              <w:bottom w:val="single" w:color="auto" w:sz="4" w:space="0"/>
              <w:right w:val="single" w:color="auto" w:sz="4" w:space="0"/>
            </w:tcBorders>
            <w:shd w:val="clear" w:color="auto" w:fill="auto"/>
            <w:noWrap/>
            <w:vAlign w:val="center"/>
          </w:tcPr>
          <w:p w14:paraId="106EAFE9">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盖章结果查询</w:t>
            </w:r>
          </w:p>
        </w:tc>
      </w:tr>
      <w:tr w14:paraId="04EABEE7">
        <w:tblPrEx>
          <w:tblCellMar>
            <w:top w:w="0" w:type="dxa"/>
            <w:left w:w="108" w:type="dxa"/>
            <w:bottom w:w="0" w:type="dxa"/>
            <w:right w:w="108" w:type="dxa"/>
          </w:tblCellMar>
        </w:tblPrEx>
        <w:trPr>
          <w:trHeight w:val="280" w:hRule="atLeast"/>
        </w:trPr>
        <w:tc>
          <w:tcPr>
            <w:tcW w:w="816" w:type="dxa"/>
            <w:vMerge w:val="continue"/>
            <w:tcBorders>
              <w:left w:val="single" w:color="auto" w:sz="4" w:space="0"/>
              <w:right w:val="single" w:color="auto" w:sz="4" w:space="0"/>
            </w:tcBorders>
            <w:vAlign w:val="center"/>
          </w:tcPr>
          <w:p w14:paraId="09871CA9">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1680" w:type="dxa"/>
            <w:vMerge w:val="continue"/>
            <w:tcBorders>
              <w:top w:val="nil"/>
              <w:left w:val="single" w:color="auto" w:sz="4" w:space="0"/>
              <w:bottom w:val="single" w:color="auto" w:sz="4" w:space="0"/>
              <w:right w:val="single" w:color="auto" w:sz="4" w:space="0"/>
            </w:tcBorders>
            <w:vAlign w:val="center"/>
          </w:tcPr>
          <w:p w14:paraId="3F75ADF2">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2260" w:type="dxa"/>
            <w:vMerge w:val="continue"/>
            <w:tcBorders>
              <w:top w:val="nil"/>
              <w:left w:val="single" w:color="auto" w:sz="4" w:space="0"/>
              <w:bottom w:val="single" w:color="auto" w:sz="4" w:space="0"/>
              <w:right w:val="single" w:color="auto" w:sz="4" w:space="0"/>
            </w:tcBorders>
            <w:vAlign w:val="center"/>
          </w:tcPr>
          <w:p w14:paraId="09E1E633">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3540" w:type="dxa"/>
            <w:tcBorders>
              <w:top w:val="nil"/>
              <w:left w:val="nil"/>
              <w:bottom w:val="single" w:color="auto" w:sz="4" w:space="0"/>
              <w:right w:val="single" w:color="auto" w:sz="4" w:space="0"/>
            </w:tcBorders>
            <w:shd w:val="clear" w:color="auto" w:fill="auto"/>
            <w:noWrap/>
            <w:vAlign w:val="center"/>
          </w:tcPr>
          <w:p w14:paraId="7458D32F">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取回查询</w:t>
            </w:r>
          </w:p>
        </w:tc>
      </w:tr>
      <w:tr w14:paraId="4068A831">
        <w:tblPrEx>
          <w:tblCellMar>
            <w:top w:w="0" w:type="dxa"/>
            <w:left w:w="108" w:type="dxa"/>
            <w:bottom w:w="0" w:type="dxa"/>
            <w:right w:w="108" w:type="dxa"/>
          </w:tblCellMar>
        </w:tblPrEx>
        <w:trPr>
          <w:trHeight w:val="280" w:hRule="atLeast"/>
        </w:trPr>
        <w:tc>
          <w:tcPr>
            <w:tcW w:w="816" w:type="dxa"/>
            <w:vMerge w:val="continue"/>
            <w:tcBorders>
              <w:left w:val="single" w:color="auto" w:sz="4" w:space="0"/>
              <w:right w:val="single" w:color="auto" w:sz="4" w:space="0"/>
            </w:tcBorders>
            <w:vAlign w:val="center"/>
          </w:tcPr>
          <w:p w14:paraId="6000EC18">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1680" w:type="dxa"/>
            <w:vMerge w:val="continue"/>
            <w:tcBorders>
              <w:top w:val="nil"/>
              <w:left w:val="single" w:color="auto" w:sz="4" w:space="0"/>
              <w:bottom w:val="single" w:color="auto" w:sz="4" w:space="0"/>
              <w:right w:val="single" w:color="auto" w:sz="4" w:space="0"/>
            </w:tcBorders>
            <w:vAlign w:val="center"/>
          </w:tcPr>
          <w:p w14:paraId="451127B6">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2260" w:type="dxa"/>
            <w:vMerge w:val="continue"/>
            <w:tcBorders>
              <w:top w:val="nil"/>
              <w:left w:val="single" w:color="auto" w:sz="4" w:space="0"/>
              <w:bottom w:val="single" w:color="auto" w:sz="4" w:space="0"/>
              <w:right w:val="single" w:color="auto" w:sz="4" w:space="0"/>
            </w:tcBorders>
            <w:vAlign w:val="center"/>
          </w:tcPr>
          <w:p w14:paraId="1A94289F">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3540" w:type="dxa"/>
            <w:tcBorders>
              <w:top w:val="nil"/>
              <w:left w:val="nil"/>
              <w:bottom w:val="single" w:color="auto" w:sz="4" w:space="0"/>
              <w:right w:val="single" w:color="auto" w:sz="4" w:space="0"/>
            </w:tcBorders>
            <w:shd w:val="clear" w:color="auto" w:fill="auto"/>
            <w:noWrap/>
            <w:vAlign w:val="center"/>
          </w:tcPr>
          <w:p w14:paraId="5DFA3783">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报告签发（盖章）</w:t>
            </w:r>
          </w:p>
        </w:tc>
      </w:tr>
      <w:tr w14:paraId="3AB316BC">
        <w:tblPrEx>
          <w:tblCellMar>
            <w:top w:w="0" w:type="dxa"/>
            <w:left w:w="108" w:type="dxa"/>
            <w:bottom w:w="0" w:type="dxa"/>
            <w:right w:w="108" w:type="dxa"/>
          </w:tblCellMar>
        </w:tblPrEx>
        <w:trPr>
          <w:trHeight w:val="280" w:hRule="atLeast"/>
        </w:trPr>
        <w:tc>
          <w:tcPr>
            <w:tcW w:w="816" w:type="dxa"/>
            <w:vMerge w:val="continue"/>
            <w:tcBorders>
              <w:left w:val="single" w:color="auto" w:sz="4" w:space="0"/>
              <w:right w:val="single" w:color="auto" w:sz="4" w:space="0"/>
            </w:tcBorders>
            <w:vAlign w:val="center"/>
          </w:tcPr>
          <w:p w14:paraId="1A7F08C5">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1680" w:type="dxa"/>
            <w:vMerge w:val="continue"/>
            <w:tcBorders>
              <w:top w:val="nil"/>
              <w:left w:val="single" w:color="auto" w:sz="4" w:space="0"/>
              <w:bottom w:val="single" w:color="auto" w:sz="4" w:space="0"/>
              <w:right w:val="single" w:color="auto" w:sz="4" w:space="0"/>
            </w:tcBorders>
            <w:vAlign w:val="center"/>
          </w:tcPr>
          <w:p w14:paraId="785CA2E2">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2260" w:type="dxa"/>
            <w:vMerge w:val="continue"/>
            <w:tcBorders>
              <w:top w:val="nil"/>
              <w:left w:val="single" w:color="auto" w:sz="4" w:space="0"/>
              <w:bottom w:val="single" w:color="auto" w:sz="4" w:space="0"/>
              <w:right w:val="single" w:color="auto" w:sz="4" w:space="0"/>
            </w:tcBorders>
            <w:vAlign w:val="center"/>
          </w:tcPr>
          <w:p w14:paraId="02193872">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3540" w:type="dxa"/>
            <w:tcBorders>
              <w:top w:val="nil"/>
              <w:left w:val="nil"/>
              <w:bottom w:val="single" w:color="auto" w:sz="4" w:space="0"/>
              <w:right w:val="single" w:color="auto" w:sz="4" w:space="0"/>
            </w:tcBorders>
            <w:shd w:val="clear" w:color="auto" w:fill="auto"/>
            <w:noWrap/>
            <w:vAlign w:val="center"/>
          </w:tcPr>
          <w:p w14:paraId="25049154">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取回结果推送</w:t>
            </w:r>
          </w:p>
        </w:tc>
      </w:tr>
      <w:tr w14:paraId="625BA021">
        <w:tblPrEx>
          <w:tblCellMar>
            <w:top w:w="0" w:type="dxa"/>
            <w:left w:w="108" w:type="dxa"/>
            <w:bottom w:w="0" w:type="dxa"/>
            <w:right w:w="108" w:type="dxa"/>
          </w:tblCellMar>
        </w:tblPrEx>
        <w:trPr>
          <w:trHeight w:val="280" w:hRule="atLeast"/>
        </w:trPr>
        <w:tc>
          <w:tcPr>
            <w:tcW w:w="816" w:type="dxa"/>
            <w:vMerge w:val="continue"/>
            <w:tcBorders>
              <w:left w:val="single" w:color="auto" w:sz="4" w:space="0"/>
              <w:right w:val="single" w:color="auto" w:sz="4" w:space="0"/>
            </w:tcBorders>
            <w:vAlign w:val="center"/>
          </w:tcPr>
          <w:p w14:paraId="1156A58E">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1680" w:type="dxa"/>
            <w:vMerge w:val="continue"/>
            <w:tcBorders>
              <w:top w:val="nil"/>
              <w:left w:val="single" w:color="auto" w:sz="4" w:space="0"/>
              <w:bottom w:val="single" w:color="auto" w:sz="4" w:space="0"/>
              <w:right w:val="single" w:color="auto" w:sz="4" w:space="0"/>
            </w:tcBorders>
            <w:vAlign w:val="center"/>
          </w:tcPr>
          <w:p w14:paraId="6CF75C62">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2260" w:type="dxa"/>
            <w:vMerge w:val="restart"/>
            <w:tcBorders>
              <w:top w:val="nil"/>
              <w:left w:val="single" w:color="auto" w:sz="4" w:space="0"/>
              <w:bottom w:val="single" w:color="auto" w:sz="4" w:space="0"/>
              <w:right w:val="single" w:color="auto" w:sz="4" w:space="0"/>
            </w:tcBorders>
            <w:shd w:val="clear" w:color="auto" w:fill="auto"/>
            <w:noWrap/>
            <w:vAlign w:val="center"/>
          </w:tcPr>
          <w:p w14:paraId="01829709">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山参相关</w:t>
            </w:r>
          </w:p>
        </w:tc>
        <w:tc>
          <w:tcPr>
            <w:tcW w:w="3540" w:type="dxa"/>
            <w:tcBorders>
              <w:top w:val="nil"/>
              <w:left w:val="nil"/>
              <w:bottom w:val="single" w:color="auto" w:sz="4" w:space="0"/>
              <w:right w:val="single" w:color="auto" w:sz="4" w:space="0"/>
            </w:tcBorders>
            <w:shd w:val="clear" w:color="auto" w:fill="auto"/>
            <w:noWrap/>
            <w:vAlign w:val="center"/>
          </w:tcPr>
          <w:p w14:paraId="331FDF7E">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山参照片结果推送</w:t>
            </w:r>
          </w:p>
        </w:tc>
      </w:tr>
      <w:tr w14:paraId="2EC34544">
        <w:tblPrEx>
          <w:tblCellMar>
            <w:top w:w="0" w:type="dxa"/>
            <w:left w:w="108" w:type="dxa"/>
            <w:bottom w:w="0" w:type="dxa"/>
            <w:right w:w="108" w:type="dxa"/>
          </w:tblCellMar>
        </w:tblPrEx>
        <w:trPr>
          <w:trHeight w:val="280" w:hRule="atLeast"/>
        </w:trPr>
        <w:tc>
          <w:tcPr>
            <w:tcW w:w="816" w:type="dxa"/>
            <w:vMerge w:val="continue"/>
            <w:tcBorders>
              <w:left w:val="single" w:color="auto" w:sz="4" w:space="0"/>
              <w:right w:val="single" w:color="auto" w:sz="4" w:space="0"/>
            </w:tcBorders>
            <w:vAlign w:val="center"/>
          </w:tcPr>
          <w:p w14:paraId="404672F5">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1680" w:type="dxa"/>
            <w:vMerge w:val="continue"/>
            <w:tcBorders>
              <w:top w:val="nil"/>
              <w:left w:val="single" w:color="auto" w:sz="4" w:space="0"/>
              <w:bottom w:val="single" w:color="auto" w:sz="4" w:space="0"/>
              <w:right w:val="single" w:color="auto" w:sz="4" w:space="0"/>
            </w:tcBorders>
            <w:vAlign w:val="center"/>
          </w:tcPr>
          <w:p w14:paraId="4C21355D">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2260" w:type="dxa"/>
            <w:vMerge w:val="continue"/>
            <w:tcBorders>
              <w:top w:val="nil"/>
              <w:left w:val="single" w:color="auto" w:sz="4" w:space="0"/>
              <w:bottom w:val="single" w:color="auto" w:sz="4" w:space="0"/>
              <w:right w:val="single" w:color="auto" w:sz="4" w:space="0"/>
            </w:tcBorders>
            <w:vAlign w:val="center"/>
          </w:tcPr>
          <w:p w14:paraId="1C69CD79">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3540" w:type="dxa"/>
            <w:tcBorders>
              <w:top w:val="nil"/>
              <w:left w:val="nil"/>
              <w:bottom w:val="single" w:color="auto" w:sz="4" w:space="0"/>
              <w:right w:val="single" w:color="auto" w:sz="4" w:space="0"/>
            </w:tcBorders>
            <w:shd w:val="clear" w:color="auto" w:fill="auto"/>
            <w:noWrap/>
            <w:vAlign w:val="center"/>
          </w:tcPr>
          <w:p w14:paraId="5201B321">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可取参推送</w:t>
            </w:r>
          </w:p>
        </w:tc>
      </w:tr>
      <w:tr w14:paraId="02C1A114">
        <w:tblPrEx>
          <w:tblCellMar>
            <w:top w:w="0" w:type="dxa"/>
            <w:left w:w="108" w:type="dxa"/>
            <w:bottom w:w="0" w:type="dxa"/>
            <w:right w:w="108" w:type="dxa"/>
          </w:tblCellMar>
        </w:tblPrEx>
        <w:trPr>
          <w:trHeight w:val="280" w:hRule="atLeast"/>
        </w:trPr>
        <w:tc>
          <w:tcPr>
            <w:tcW w:w="816" w:type="dxa"/>
            <w:vMerge w:val="continue"/>
            <w:tcBorders>
              <w:left w:val="single" w:color="auto" w:sz="4" w:space="0"/>
              <w:bottom w:val="single" w:color="auto" w:sz="4" w:space="0"/>
              <w:right w:val="single" w:color="auto" w:sz="4" w:space="0"/>
            </w:tcBorders>
            <w:vAlign w:val="center"/>
          </w:tcPr>
          <w:p w14:paraId="0005BDE1">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1680" w:type="dxa"/>
            <w:vMerge w:val="continue"/>
            <w:tcBorders>
              <w:top w:val="nil"/>
              <w:left w:val="single" w:color="auto" w:sz="4" w:space="0"/>
              <w:bottom w:val="single" w:color="auto" w:sz="4" w:space="0"/>
              <w:right w:val="single" w:color="auto" w:sz="4" w:space="0"/>
            </w:tcBorders>
            <w:vAlign w:val="center"/>
          </w:tcPr>
          <w:p w14:paraId="37B42411">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2260" w:type="dxa"/>
            <w:vMerge w:val="continue"/>
            <w:tcBorders>
              <w:top w:val="nil"/>
              <w:left w:val="single" w:color="auto" w:sz="4" w:space="0"/>
              <w:bottom w:val="single" w:color="auto" w:sz="4" w:space="0"/>
              <w:right w:val="single" w:color="auto" w:sz="4" w:space="0"/>
            </w:tcBorders>
            <w:vAlign w:val="center"/>
          </w:tcPr>
          <w:p w14:paraId="6582A9C7">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3540" w:type="dxa"/>
            <w:tcBorders>
              <w:top w:val="nil"/>
              <w:left w:val="nil"/>
              <w:bottom w:val="single" w:color="auto" w:sz="4" w:space="0"/>
              <w:right w:val="single" w:color="auto" w:sz="4" w:space="0"/>
            </w:tcBorders>
            <w:shd w:val="clear" w:color="auto" w:fill="auto"/>
            <w:noWrap/>
            <w:vAlign w:val="center"/>
          </w:tcPr>
          <w:p w14:paraId="57E971A7">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山参协议数据</w:t>
            </w:r>
          </w:p>
        </w:tc>
      </w:tr>
      <w:tr w14:paraId="08182B7B">
        <w:tblPrEx>
          <w:tblCellMar>
            <w:top w:w="0" w:type="dxa"/>
            <w:left w:w="108" w:type="dxa"/>
            <w:bottom w:w="0" w:type="dxa"/>
            <w:right w:w="108" w:type="dxa"/>
          </w:tblCellMar>
        </w:tblPrEx>
        <w:trPr>
          <w:trHeight w:val="280" w:hRule="atLeast"/>
        </w:trPr>
        <w:tc>
          <w:tcPr>
            <w:tcW w:w="816" w:type="dxa"/>
            <w:vMerge w:val="restart"/>
            <w:tcBorders>
              <w:top w:val="nil"/>
              <w:left w:val="single" w:color="auto" w:sz="4" w:space="0"/>
              <w:right w:val="single" w:color="auto" w:sz="4" w:space="0"/>
            </w:tcBorders>
            <w:vAlign w:val="center"/>
          </w:tcPr>
          <w:p w14:paraId="0940989F">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2</w:t>
            </w:r>
          </w:p>
        </w:tc>
        <w:tc>
          <w:tcPr>
            <w:tcW w:w="1680" w:type="dxa"/>
            <w:vMerge w:val="restart"/>
            <w:tcBorders>
              <w:top w:val="nil"/>
              <w:left w:val="single" w:color="auto" w:sz="4" w:space="0"/>
              <w:bottom w:val="single" w:color="auto" w:sz="4" w:space="0"/>
              <w:right w:val="single" w:color="auto" w:sz="4" w:space="0"/>
            </w:tcBorders>
            <w:shd w:val="clear" w:color="auto" w:fill="auto"/>
            <w:noWrap/>
            <w:vAlign w:val="center"/>
          </w:tcPr>
          <w:p w14:paraId="1C774802">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消息提醒</w:t>
            </w:r>
          </w:p>
        </w:tc>
        <w:tc>
          <w:tcPr>
            <w:tcW w:w="2260" w:type="dxa"/>
            <w:vMerge w:val="restart"/>
            <w:tcBorders>
              <w:top w:val="nil"/>
              <w:left w:val="single" w:color="auto" w:sz="4" w:space="0"/>
              <w:bottom w:val="single" w:color="000000" w:sz="4" w:space="0"/>
              <w:right w:val="single" w:color="auto" w:sz="4" w:space="0"/>
            </w:tcBorders>
            <w:shd w:val="clear" w:color="auto" w:fill="auto"/>
            <w:noWrap/>
            <w:vAlign w:val="center"/>
          </w:tcPr>
          <w:p w14:paraId="4473F4D3">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主流程审核提醒</w:t>
            </w:r>
          </w:p>
        </w:tc>
        <w:tc>
          <w:tcPr>
            <w:tcW w:w="3540" w:type="dxa"/>
            <w:tcBorders>
              <w:top w:val="nil"/>
              <w:left w:val="nil"/>
              <w:bottom w:val="single" w:color="auto" w:sz="4" w:space="0"/>
              <w:right w:val="single" w:color="auto" w:sz="4" w:space="0"/>
            </w:tcBorders>
            <w:shd w:val="clear" w:color="auto" w:fill="auto"/>
            <w:noWrap/>
            <w:vAlign w:val="center"/>
          </w:tcPr>
          <w:p w14:paraId="1E8307A7">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自动推送</w:t>
            </w:r>
          </w:p>
        </w:tc>
      </w:tr>
      <w:tr w14:paraId="30C10CBB">
        <w:tblPrEx>
          <w:tblCellMar>
            <w:top w:w="0" w:type="dxa"/>
            <w:left w:w="108" w:type="dxa"/>
            <w:bottom w:w="0" w:type="dxa"/>
            <w:right w:w="108" w:type="dxa"/>
          </w:tblCellMar>
        </w:tblPrEx>
        <w:trPr>
          <w:trHeight w:val="280" w:hRule="atLeast"/>
        </w:trPr>
        <w:tc>
          <w:tcPr>
            <w:tcW w:w="816" w:type="dxa"/>
            <w:vMerge w:val="continue"/>
            <w:tcBorders>
              <w:left w:val="single" w:color="auto" w:sz="4" w:space="0"/>
              <w:right w:val="single" w:color="auto" w:sz="4" w:space="0"/>
            </w:tcBorders>
            <w:vAlign w:val="center"/>
          </w:tcPr>
          <w:p w14:paraId="20B35FF8">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1680" w:type="dxa"/>
            <w:vMerge w:val="continue"/>
            <w:tcBorders>
              <w:top w:val="nil"/>
              <w:left w:val="single" w:color="auto" w:sz="4" w:space="0"/>
              <w:bottom w:val="single" w:color="auto" w:sz="4" w:space="0"/>
              <w:right w:val="single" w:color="auto" w:sz="4" w:space="0"/>
            </w:tcBorders>
            <w:vAlign w:val="center"/>
          </w:tcPr>
          <w:p w14:paraId="2ADECD7E">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2260" w:type="dxa"/>
            <w:vMerge w:val="continue"/>
            <w:tcBorders>
              <w:top w:val="nil"/>
              <w:left w:val="single" w:color="auto" w:sz="4" w:space="0"/>
              <w:bottom w:val="single" w:color="000000" w:sz="4" w:space="0"/>
              <w:right w:val="single" w:color="auto" w:sz="4" w:space="0"/>
            </w:tcBorders>
            <w:vAlign w:val="center"/>
          </w:tcPr>
          <w:p w14:paraId="5921989E">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3540" w:type="dxa"/>
            <w:tcBorders>
              <w:top w:val="nil"/>
              <w:left w:val="nil"/>
              <w:bottom w:val="single" w:color="auto" w:sz="4" w:space="0"/>
              <w:right w:val="single" w:color="auto" w:sz="4" w:space="0"/>
            </w:tcBorders>
            <w:shd w:val="clear" w:color="auto" w:fill="auto"/>
            <w:noWrap/>
            <w:vAlign w:val="center"/>
          </w:tcPr>
          <w:p w14:paraId="641D33B3">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主动催办</w:t>
            </w:r>
          </w:p>
        </w:tc>
      </w:tr>
      <w:tr w14:paraId="25FC0C11">
        <w:tblPrEx>
          <w:tblCellMar>
            <w:top w:w="0" w:type="dxa"/>
            <w:left w:w="108" w:type="dxa"/>
            <w:bottom w:w="0" w:type="dxa"/>
            <w:right w:w="108" w:type="dxa"/>
          </w:tblCellMar>
        </w:tblPrEx>
        <w:trPr>
          <w:trHeight w:val="280" w:hRule="atLeast"/>
        </w:trPr>
        <w:tc>
          <w:tcPr>
            <w:tcW w:w="816" w:type="dxa"/>
            <w:vMerge w:val="continue"/>
            <w:tcBorders>
              <w:left w:val="single" w:color="auto" w:sz="4" w:space="0"/>
              <w:right w:val="single" w:color="auto" w:sz="4" w:space="0"/>
            </w:tcBorders>
            <w:vAlign w:val="center"/>
          </w:tcPr>
          <w:p w14:paraId="65739B33">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1680" w:type="dxa"/>
            <w:vMerge w:val="continue"/>
            <w:tcBorders>
              <w:top w:val="nil"/>
              <w:left w:val="single" w:color="auto" w:sz="4" w:space="0"/>
              <w:bottom w:val="single" w:color="auto" w:sz="4" w:space="0"/>
              <w:right w:val="single" w:color="auto" w:sz="4" w:space="0"/>
            </w:tcBorders>
            <w:vAlign w:val="center"/>
          </w:tcPr>
          <w:p w14:paraId="3B3E8BCE">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2260" w:type="dxa"/>
            <w:tcBorders>
              <w:top w:val="nil"/>
              <w:left w:val="nil"/>
              <w:bottom w:val="single" w:color="auto" w:sz="4" w:space="0"/>
              <w:right w:val="single" w:color="auto" w:sz="4" w:space="0"/>
            </w:tcBorders>
            <w:shd w:val="clear" w:color="auto" w:fill="auto"/>
            <w:noWrap/>
            <w:vAlign w:val="center"/>
          </w:tcPr>
          <w:p w14:paraId="62591B75">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撤检等流程提醒</w:t>
            </w:r>
          </w:p>
        </w:tc>
        <w:tc>
          <w:tcPr>
            <w:tcW w:w="3540" w:type="dxa"/>
            <w:tcBorders>
              <w:top w:val="nil"/>
              <w:left w:val="nil"/>
              <w:bottom w:val="single" w:color="auto" w:sz="4" w:space="0"/>
              <w:right w:val="single" w:color="auto" w:sz="4" w:space="0"/>
            </w:tcBorders>
            <w:shd w:val="clear" w:color="auto" w:fill="auto"/>
            <w:noWrap/>
            <w:vAlign w:val="center"/>
          </w:tcPr>
          <w:p w14:paraId="79DC348A">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主动催办</w:t>
            </w:r>
          </w:p>
        </w:tc>
      </w:tr>
      <w:tr w14:paraId="72BDC8F0">
        <w:tblPrEx>
          <w:tblCellMar>
            <w:top w:w="0" w:type="dxa"/>
            <w:left w:w="108" w:type="dxa"/>
            <w:bottom w:w="0" w:type="dxa"/>
            <w:right w:w="108" w:type="dxa"/>
          </w:tblCellMar>
        </w:tblPrEx>
        <w:trPr>
          <w:trHeight w:val="280" w:hRule="atLeast"/>
        </w:trPr>
        <w:tc>
          <w:tcPr>
            <w:tcW w:w="816" w:type="dxa"/>
            <w:vMerge w:val="continue"/>
            <w:tcBorders>
              <w:left w:val="single" w:color="auto" w:sz="4" w:space="0"/>
              <w:bottom w:val="single" w:color="auto" w:sz="4" w:space="0"/>
              <w:right w:val="single" w:color="auto" w:sz="4" w:space="0"/>
            </w:tcBorders>
            <w:vAlign w:val="center"/>
          </w:tcPr>
          <w:p w14:paraId="4A1D7228">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1680" w:type="dxa"/>
            <w:vMerge w:val="continue"/>
            <w:tcBorders>
              <w:top w:val="nil"/>
              <w:left w:val="single" w:color="auto" w:sz="4" w:space="0"/>
              <w:bottom w:val="single" w:color="auto" w:sz="4" w:space="0"/>
              <w:right w:val="single" w:color="auto" w:sz="4" w:space="0"/>
            </w:tcBorders>
            <w:vAlign w:val="center"/>
          </w:tcPr>
          <w:p w14:paraId="14B48486">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2260" w:type="dxa"/>
            <w:tcBorders>
              <w:top w:val="nil"/>
              <w:left w:val="nil"/>
              <w:bottom w:val="single" w:color="auto" w:sz="4" w:space="0"/>
              <w:right w:val="single" w:color="auto" w:sz="4" w:space="0"/>
            </w:tcBorders>
            <w:shd w:val="clear" w:color="auto" w:fill="auto"/>
            <w:noWrap/>
            <w:vAlign w:val="center"/>
          </w:tcPr>
          <w:p w14:paraId="26A23387">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检品处理提醒</w:t>
            </w:r>
          </w:p>
        </w:tc>
        <w:tc>
          <w:tcPr>
            <w:tcW w:w="3540" w:type="dxa"/>
            <w:tcBorders>
              <w:top w:val="nil"/>
              <w:left w:val="nil"/>
              <w:bottom w:val="single" w:color="auto" w:sz="4" w:space="0"/>
              <w:right w:val="single" w:color="auto" w:sz="4" w:space="0"/>
            </w:tcBorders>
            <w:shd w:val="clear" w:color="auto" w:fill="auto"/>
            <w:noWrap/>
            <w:vAlign w:val="center"/>
          </w:tcPr>
          <w:p w14:paraId="7B37EBA7">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主动催办</w:t>
            </w:r>
          </w:p>
        </w:tc>
      </w:tr>
      <w:tr w14:paraId="1302183B">
        <w:tblPrEx>
          <w:tblCellMar>
            <w:top w:w="0" w:type="dxa"/>
            <w:left w:w="108" w:type="dxa"/>
            <w:bottom w:w="0" w:type="dxa"/>
            <w:right w:w="108" w:type="dxa"/>
          </w:tblCellMar>
        </w:tblPrEx>
        <w:trPr>
          <w:trHeight w:val="280" w:hRule="atLeast"/>
        </w:trPr>
        <w:tc>
          <w:tcPr>
            <w:tcW w:w="816" w:type="dxa"/>
            <w:vMerge w:val="restart"/>
            <w:tcBorders>
              <w:top w:val="nil"/>
              <w:left w:val="single" w:color="auto" w:sz="4" w:space="0"/>
              <w:right w:val="single" w:color="auto" w:sz="4" w:space="0"/>
            </w:tcBorders>
            <w:vAlign w:val="center"/>
          </w:tcPr>
          <w:p w14:paraId="7057AF30">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3</w:t>
            </w:r>
          </w:p>
        </w:tc>
        <w:tc>
          <w:tcPr>
            <w:tcW w:w="1680" w:type="dxa"/>
            <w:vMerge w:val="restart"/>
            <w:tcBorders>
              <w:top w:val="nil"/>
              <w:left w:val="single" w:color="auto" w:sz="4" w:space="0"/>
              <w:bottom w:val="single" w:color="auto" w:sz="4" w:space="0"/>
              <w:right w:val="single" w:color="auto" w:sz="4" w:space="0"/>
            </w:tcBorders>
            <w:shd w:val="clear" w:color="auto" w:fill="auto"/>
            <w:noWrap/>
            <w:vAlign w:val="center"/>
          </w:tcPr>
          <w:p w14:paraId="06E90211">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多端账户同步</w:t>
            </w:r>
          </w:p>
        </w:tc>
        <w:tc>
          <w:tcPr>
            <w:tcW w:w="2260" w:type="dxa"/>
            <w:tcBorders>
              <w:top w:val="nil"/>
              <w:left w:val="nil"/>
              <w:bottom w:val="single" w:color="auto" w:sz="4" w:space="0"/>
              <w:right w:val="single" w:color="auto" w:sz="4" w:space="0"/>
            </w:tcBorders>
            <w:shd w:val="clear" w:color="auto" w:fill="auto"/>
            <w:noWrap/>
            <w:vAlign w:val="center"/>
          </w:tcPr>
          <w:p w14:paraId="3645ED7F">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域控账户对接</w:t>
            </w:r>
          </w:p>
        </w:tc>
        <w:tc>
          <w:tcPr>
            <w:tcW w:w="3540" w:type="dxa"/>
            <w:tcBorders>
              <w:top w:val="nil"/>
              <w:left w:val="nil"/>
              <w:bottom w:val="single" w:color="auto" w:sz="4" w:space="0"/>
              <w:right w:val="single" w:color="auto" w:sz="4" w:space="0"/>
            </w:tcBorders>
            <w:shd w:val="clear" w:color="auto" w:fill="auto"/>
            <w:noWrap/>
            <w:vAlign w:val="center"/>
          </w:tcPr>
          <w:p w14:paraId="69CCBA4E">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　</w:t>
            </w:r>
          </w:p>
        </w:tc>
      </w:tr>
      <w:tr w14:paraId="799FD72C">
        <w:tblPrEx>
          <w:tblCellMar>
            <w:top w:w="0" w:type="dxa"/>
            <w:left w:w="108" w:type="dxa"/>
            <w:bottom w:w="0" w:type="dxa"/>
            <w:right w:w="108" w:type="dxa"/>
          </w:tblCellMar>
        </w:tblPrEx>
        <w:trPr>
          <w:trHeight w:val="280" w:hRule="atLeast"/>
        </w:trPr>
        <w:tc>
          <w:tcPr>
            <w:tcW w:w="816" w:type="dxa"/>
            <w:vMerge w:val="continue"/>
            <w:tcBorders>
              <w:left w:val="single" w:color="auto" w:sz="4" w:space="0"/>
              <w:right w:val="single" w:color="auto" w:sz="4" w:space="0"/>
            </w:tcBorders>
            <w:vAlign w:val="center"/>
          </w:tcPr>
          <w:p w14:paraId="3C9B8B43">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1680" w:type="dxa"/>
            <w:vMerge w:val="continue"/>
            <w:tcBorders>
              <w:top w:val="nil"/>
              <w:left w:val="single" w:color="auto" w:sz="4" w:space="0"/>
              <w:bottom w:val="single" w:color="auto" w:sz="4" w:space="0"/>
              <w:right w:val="single" w:color="auto" w:sz="4" w:space="0"/>
            </w:tcBorders>
            <w:vAlign w:val="center"/>
          </w:tcPr>
          <w:p w14:paraId="5DD9DF7F">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2260" w:type="dxa"/>
            <w:tcBorders>
              <w:top w:val="nil"/>
              <w:left w:val="nil"/>
              <w:bottom w:val="single" w:color="auto" w:sz="4" w:space="0"/>
              <w:right w:val="single" w:color="auto" w:sz="4" w:space="0"/>
            </w:tcBorders>
            <w:shd w:val="clear" w:color="auto" w:fill="auto"/>
            <w:noWrap/>
            <w:vAlign w:val="center"/>
          </w:tcPr>
          <w:p w14:paraId="3D38743A">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VPN账户对接</w:t>
            </w:r>
          </w:p>
        </w:tc>
        <w:tc>
          <w:tcPr>
            <w:tcW w:w="3540" w:type="dxa"/>
            <w:tcBorders>
              <w:top w:val="nil"/>
              <w:left w:val="nil"/>
              <w:bottom w:val="single" w:color="auto" w:sz="4" w:space="0"/>
              <w:right w:val="single" w:color="auto" w:sz="4" w:space="0"/>
            </w:tcBorders>
            <w:shd w:val="clear" w:color="auto" w:fill="auto"/>
            <w:noWrap/>
            <w:vAlign w:val="center"/>
          </w:tcPr>
          <w:p w14:paraId="0DC2C447">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　</w:t>
            </w:r>
          </w:p>
        </w:tc>
      </w:tr>
      <w:tr w14:paraId="37B50091">
        <w:tblPrEx>
          <w:tblCellMar>
            <w:top w:w="0" w:type="dxa"/>
            <w:left w:w="108" w:type="dxa"/>
            <w:bottom w:w="0" w:type="dxa"/>
            <w:right w:w="108" w:type="dxa"/>
          </w:tblCellMar>
        </w:tblPrEx>
        <w:trPr>
          <w:trHeight w:val="280" w:hRule="atLeast"/>
        </w:trPr>
        <w:tc>
          <w:tcPr>
            <w:tcW w:w="816" w:type="dxa"/>
            <w:vMerge w:val="continue"/>
            <w:tcBorders>
              <w:left w:val="single" w:color="auto" w:sz="4" w:space="0"/>
              <w:right w:val="single" w:color="auto" w:sz="4" w:space="0"/>
            </w:tcBorders>
            <w:vAlign w:val="center"/>
          </w:tcPr>
          <w:p w14:paraId="0974B9AB">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1680" w:type="dxa"/>
            <w:vMerge w:val="continue"/>
            <w:tcBorders>
              <w:top w:val="nil"/>
              <w:left w:val="single" w:color="auto" w:sz="4" w:space="0"/>
              <w:bottom w:val="single" w:color="auto" w:sz="4" w:space="0"/>
              <w:right w:val="single" w:color="auto" w:sz="4" w:space="0"/>
            </w:tcBorders>
            <w:vAlign w:val="center"/>
          </w:tcPr>
          <w:p w14:paraId="7189C0B7">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2260" w:type="dxa"/>
            <w:tcBorders>
              <w:top w:val="nil"/>
              <w:left w:val="nil"/>
              <w:bottom w:val="single" w:color="auto" w:sz="4" w:space="0"/>
              <w:right w:val="single" w:color="auto" w:sz="4" w:space="0"/>
            </w:tcBorders>
            <w:shd w:val="clear" w:color="auto" w:fill="auto"/>
            <w:noWrap/>
            <w:vAlign w:val="center"/>
          </w:tcPr>
          <w:p w14:paraId="78790163">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OA账户对接</w:t>
            </w:r>
          </w:p>
        </w:tc>
        <w:tc>
          <w:tcPr>
            <w:tcW w:w="3540" w:type="dxa"/>
            <w:tcBorders>
              <w:top w:val="nil"/>
              <w:left w:val="nil"/>
              <w:bottom w:val="single" w:color="auto" w:sz="4" w:space="0"/>
              <w:right w:val="single" w:color="auto" w:sz="4" w:space="0"/>
            </w:tcBorders>
            <w:shd w:val="clear" w:color="auto" w:fill="auto"/>
            <w:noWrap/>
            <w:vAlign w:val="center"/>
          </w:tcPr>
          <w:p w14:paraId="0BF3A620">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　</w:t>
            </w:r>
          </w:p>
        </w:tc>
      </w:tr>
      <w:tr w14:paraId="0B00A7FF">
        <w:tblPrEx>
          <w:tblCellMar>
            <w:top w:w="0" w:type="dxa"/>
            <w:left w:w="108" w:type="dxa"/>
            <w:bottom w:w="0" w:type="dxa"/>
            <w:right w:w="108" w:type="dxa"/>
          </w:tblCellMar>
        </w:tblPrEx>
        <w:trPr>
          <w:trHeight w:val="280" w:hRule="atLeast"/>
        </w:trPr>
        <w:tc>
          <w:tcPr>
            <w:tcW w:w="816" w:type="dxa"/>
            <w:vMerge w:val="continue"/>
            <w:tcBorders>
              <w:left w:val="single" w:color="auto" w:sz="4" w:space="0"/>
              <w:right w:val="single" w:color="auto" w:sz="4" w:space="0"/>
            </w:tcBorders>
            <w:vAlign w:val="center"/>
          </w:tcPr>
          <w:p w14:paraId="06476E2B">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1680" w:type="dxa"/>
            <w:vMerge w:val="continue"/>
            <w:tcBorders>
              <w:top w:val="nil"/>
              <w:left w:val="single" w:color="auto" w:sz="4" w:space="0"/>
              <w:bottom w:val="single" w:color="auto" w:sz="4" w:space="0"/>
              <w:right w:val="single" w:color="auto" w:sz="4" w:space="0"/>
            </w:tcBorders>
            <w:vAlign w:val="center"/>
          </w:tcPr>
          <w:p w14:paraId="6BF19A51">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2260" w:type="dxa"/>
            <w:tcBorders>
              <w:top w:val="nil"/>
              <w:left w:val="nil"/>
              <w:bottom w:val="single" w:color="auto" w:sz="4" w:space="0"/>
              <w:right w:val="single" w:color="auto" w:sz="4" w:space="0"/>
            </w:tcBorders>
            <w:shd w:val="clear" w:color="auto" w:fill="auto"/>
            <w:noWrap/>
            <w:vAlign w:val="center"/>
          </w:tcPr>
          <w:p w14:paraId="673BF3A4">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ELN账户对接</w:t>
            </w:r>
          </w:p>
        </w:tc>
        <w:tc>
          <w:tcPr>
            <w:tcW w:w="3540" w:type="dxa"/>
            <w:tcBorders>
              <w:top w:val="nil"/>
              <w:left w:val="nil"/>
              <w:bottom w:val="single" w:color="auto" w:sz="4" w:space="0"/>
              <w:right w:val="single" w:color="auto" w:sz="4" w:space="0"/>
            </w:tcBorders>
            <w:shd w:val="clear" w:color="auto" w:fill="auto"/>
            <w:noWrap/>
            <w:vAlign w:val="center"/>
          </w:tcPr>
          <w:p w14:paraId="5BD59C32">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　</w:t>
            </w:r>
          </w:p>
        </w:tc>
      </w:tr>
      <w:tr w14:paraId="7C3092D4">
        <w:tblPrEx>
          <w:tblCellMar>
            <w:top w:w="0" w:type="dxa"/>
            <w:left w:w="108" w:type="dxa"/>
            <w:bottom w:w="0" w:type="dxa"/>
            <w:right w:w="108" w:type="dxa"/>
          </w:tblCellMar>
        </w:tblPrEx>
        <w:trPr>
          <w:trHeight w:val="280" w:hRule="atLeast"/>
        </w:trPr>
        <w:tc>
          <w:tcPr>
            <w:tcW w:w="816" w:type="dxa"/>
            <w:vMerge w:val="continue"/>
            <w:tcBorders>
              <w:left w:val="single" w:color="auto" w:sz="4" w:space="0"/>
              <w:bottom w:val="single" w:color="auto" w:sz="4" w:space="0"/>
              <w:right w:val="single" w:color="auto" w:sz="4" w:space="0"/>
            </w:tcBorders>
            <w:vAlign w:val="center"/>
          </w:tcPr>
          <w:p w14:paraId="6C29134E">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1680" w:type="dxa"/>
            <w:vMerge w:val="continue"/>
            <w:tcBorders>
              <w:top w:val="nil"/>
              <w:left w:val="single" w:color="auto" w:sz="4" w:space="0"/>
              <w:bottom w:val="single" w:color="auto" w:sz="4" w:space="0"/>
              <w:right w:val="single" w:color="auto" w:sz="4" w:space="0"/>
            </w:tcBorders>
            <w:vAlign w:val="center"/>
          </w:tcPr>
          <w:p w14:paraId="23706991">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2260" w:type="dxa"/>
            <w:tcBorders>
              <w:top w:val="nil"/>
              <w:left w:val="nil"/>
              <w:bottom w:val="single" w:color="auto" w:sz="4" w:space="0"/>
              <w:right w:val="single" w:color="auto" w:sz="4" w:space="0"/>
            </w:tcBorders>
            <w:shd w:val="clear" w:color="auto" w:fill="auto"/>
            <w:noWrap/>
            <w:vAlign w:val="center"/>
          </w:tcPr>
          <w:p w14:paraId="4642E788">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ELN账户对接</w:t>
            </w:r>
          </w:p>
        </w:tc>
        <w:tc>
          <w:tcPr>
            <w:tcW w:w="3540" w:type="dxa"/>
            <w:tcBorders>
              <w:top w:val="nil"/>
              <w:left w:val="nil"/>
              <w:bottom w:val="single" w:color="auto" w:sz="4" w:space="0"/>
              <w:right w:val="single" w:color="auto" w:sz="4" w:space="0"/>
            </w:tcBorders>
            <w:shd w:val="clear" w:color="auto" w:fill="auto"/>
            <w:noWrap/>
            <w:vAlign w:val="center"/>
          </w:tcPr>
          <w:p w14:paraId="6F8EF3FF">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　</w:t>
            </w:r>
          </w:p>
        </w:tc>
      </w:tr>
    </w:tbl>
    <w:p w14:paraId="1C15AC0C">
      <w:pPr>
        <w:pageBreakBefore w:val="0"/>
        <w:kinsoku/>
        <w:wordWrap/>
        <w:overflowPunct/>
        <w:topLinePunct w:val="0"/>
        <w:bidi w:val="0"/>
        <w:snapToGrid/>
        <w:spacing w:after="0" w:line="360" w:lineRule="auto"/>
        <w:ind w:left="0" w:leftChars="0" w:firstLine="422" w:firstLineChars="175"/>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4.1.1建设内容</w:t>
      </w:r>
    </w:p>
    <w:p w14:paraId="7D5FEF58">
      <w:pPr>
        <w:pageBreakBefore w:val="0"/>
        <w:kinsoku/>
        <w:wordWrap/>
        <w:overflowPunct/>
        <w:topLinePunct w:val="0"/>
        <w:bidi w:val="0"/>
        <w:snapToGrid/>
        <w:spacing w:after="0" w:line="360" w:lineRule="auto"/>
        <w:ind w:left="0" w:leftChars="0" w:firstLine="422" w:firstLineChars="175"/>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（1）公众平台对接</w:t>
      </w:r>
    </w:p>
    <w:p w14:paraId="351C3196">
      <w:pPr>
        <w:pageBreakBefore w:val="0"/>
        <w:kinsoku/>
        <w:wordWrap/>
        <w:overflowPunct/>
        <w:topLinePunct w:val="0"/>
        <w:bidi w:val="0"/>
        <w:snapToGrid/>
        <w:spacing w:after="0" w:line="360" w:lineRule="auto"/>
        <w:ind w:left="0" w:leftChars="0" w:firstLine="422" w:firstLineChars="175"/>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1）公众协议对接</w:t>
      </w:r>
    </w:p>
    <w:p w14:paraId="2B33A5E1">
      <w:pPr>
        <w:pageBreakBefore w:val="0"/>
        <w:numPr>
          <w:ilvl w:val="0"/>
          <w:numId w:val="9"/>
        </w:numPr>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协议数据推送</w:t>
      </w:r>
    </w:p>
    <w:p w14:paraId="7145FFEE">
      <w:pPr>
        <w:pageBreakBefore w:val="0"/>
        <w:numPr>
          <w:ilvl w:val="0"/>
          <w:numId w:val="9"/>
        </w:numPr>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协议修改数据推送</w:t>
      </w:r>
    </w:p>
    <w:p w14:paraId="3FEF9408">
      <w:pPr>
        <w:pageBreakBefore w:val="0"/>
        <w:numPr>
          <w:ilvl w:val="0"/>
          <w:numId w:val="9"/>
        </w:numPr>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协议作废状态推送</w:t>
      </w:r>
    </w:p>
    <w:p w14:paraId="56284153">
      <w:pPr>
        <w:pageBreakBefore w:val="0"/>
        <w:numPr>
          <w:ilvl w:val="0"/>
          <w:numId w:val="9"/>
        </w:numPr>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检品编号推送</w:t>
      </w:r>
    </w:p>
    <w:p w14:paraId="2F3120C6">
      <w:pPr>
        <w:pageBreakBefore w:val="0"/>
        <w:numPr>
          <w:ilvl w:val="0"/>
          <w:numId w:val="9"/>
        </w:numPr>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检品撤检推送</w:t>
      </w:r>
    </w:p>
    <w:p w14:paraId="31B9FD7A">
      <w:pPr>
        <w:pageBreakBefore w:val="0"/>
        <w:kinsoku/>
        <w:wordWrap/>
        <w:overflowPunct/>
        <w:topLinePunct w:val="0"/>
        <w:bidi w:val="0"/>
        <w:snapToGrid/>
        <w:spacing w:after="0" w:line="360" w:lineRule="auto"/>
        <w:ind w:left="0" w:leftChars="0" w:firstLine="422" w:firstLineChars="175"/>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2）收费相关</w:t>
      </w:r>
    </w:p>
    <w:p w14:paraId="23237AB8">
      <w:pPr>
        <w:pageBreakBefore w:val="0"/>
        <w:numPr>
          <w:ilvl w:val="0"/>
          <w:numId w:val="10"/>
        </w:numPr>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最终收费收费单开具状态查询</w:t>
      </w:r>
    </w:p>
    <w:p w14:paraId="19C13E3A">
      <w:pPr>
        <w:pageBreakBefore w:val="0"/>
        <w:numPr>
          <w:ilvl w:val="0"/>
          <w:numId w:val="10"/>
        </w:numPr>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特殊收费单结果推送</w:t>
      </w:r>
    </w:p>
    <w:p w14:paraId="75A230B6">
      <w:pPr>
        <w:pageBreakBefore w:val="0"/>
        <w:numPr>
          <w:ilvl w:val="0"/>
          <w:numId w:val="10"/>
        </w:numPr>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特殊收费单开具请求</w:t>
      </w:r>
    </w:p>
    <w:p w14:paraId="67B05CE6">
      <w:pPr>
        <w:pageBreakBefore w:val="0"/>
        <w:numPr>
          <w:ilvl w:val="0"/>
          <w:numId w:val="10"/>
        </w:numPr>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特殊收费单取消请求</w:t>
      </w:r>
    </w:p>
    <w:p w14:paraId="65296ACC">
      <w:pPr>
        <w:pageBreakBefore w:val="0"/>
        <w:numPr>
          <w:ilvl w:val="0"/>
          <w:numId w:val="10"/>
        </w:numPr>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最终收费结果推送</w:t>
      </w:r>
    </w:p>
    <w:p w14:paraId="15637646">
      <w:pPr>
        <w:pageBreakBefore w:val="0"/>
        <w:numPr>
          <w:ilvl w:val="0"/>
          <w:numId w:val="10"/>
        </w:numPr>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最终收费修改推送</w:t>
      </w:r>
    </w:p>
    <w:p w14:paraId="47ED159E">
      <w:pPr>
        <w:pageBreakBefore w:val="0"/>
        <w:kinsoku/>
        <w:wordWrap/>
        <w:overflowPunct/>
        <w:topLinePunct w:val="0"/>
        <w:bidi w:val="0"/>
        <w:snapToGrid/>
        <w:spacing w:after="0" w:line="360" w:lineRule="auto"/>
        <w:ind w:left="0" w:leftChars="0" w:firstLine="422" w:firstLineChars="175"/>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3）报告相关</w:t>
      </w:r>
    </w:p>
    <w:p w14:paraId="3E963BA4">
      <w:pPr>
        <w:pageBreakBefore w:val="0"/>
        <w:numPr>
          <w:ilvl w:val="0"/>
          <w:numId w:val="11"/>
        </w:numPr>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盖章结果查询</w:t>
      </w:r>
    </w:p>
    <w:p w14:paraId="1C63DACB">
      <w:pPr>
        <w:pageBreakBefore w:val="0"/>
        <w:numPr>
          <w:ilvl w:val="0"/>
          <w:numId w:val="11"/>
        </w:numPr>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取回查询</w:t>
      </w:r>
    </w:p>
    <w:p w14:paraId="263D0B5B">
      <w:pPr>
        <w:pageBreakBefore w:val="0"/>
        <w:numPr>
          <w:ilvl w:val="0"/>
          <w:numId w:val="11"/>
        </w:numPr>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报告签发（盖章）</w:t>
      </w:r>
    </w:p>
    <w:p w14:paraId="28E2352A">
      <w:pPr>
        <w:pageBreakBefore w:val="0"/>
        <w:numPr>
          <w:ilvl w:val="0"/>
          <w:numId w:val="11"/>
        </w:numPr>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取回结果推送</w:t>
      </w:r>
    </w:p>
    <w:p w14:paraId="48B396E5">
      <w:pPr>
        <w:pageBreakBefore w:val="0"/>
        <w:kinsoku/>
        <w:wordWrap/>
        <w:overflowPunct/>
        <w:topLinePunct w:val="0"/>
        <w:bidi w:val="0"/>
        <w:snapToGrid/>
        <w:spacing w:after="0" w:line="360" w:lineRule="auto"/>
        <w:ind w:left="0" w:leftChars="0" w:firstLine="422" w:firstLineChars="175"/>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4） 山参相关</w:t>
      </w:r>
    </w:p>
    <w:p w14:paraId="0781EB2C">
      <w:pPr>
        <w:pageBreakBefore w:val="0"/>
        <w:numPr>
          <w:ilvl w:val="0"/>
          <w:numId w:val="12"/>
        </w:numPr>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山参照片结果推送</w:t>
      </w:r>
    </w:p>
    <w:p w14:paraId="29246476">
      <w:pPr>
        <w:pageBreakBefore w:val="0"/>
        <w:numPr>
          <w:ilvl w:val="0"/>
          <w:numId w:val="12"/>
        </w:numPr>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可取参推送</w:t>
      </w:r>
    </w:p>
    <w:p w14:paraId="5B4B880B">
      <w:pPr>
        <w:pageBreakBefore w:val="0"/>
        <w:numPr>
          <w:ilvl w:val="0"/>
          <w:numId w:val="12"/>
        </w:numPr>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山参协议数据</w:t>
      </w:r>
    </w:p>
    <w:p w14:paraId="689937D7">
      <w:pPr>
        <w:pageBreakBefore w:val="0"/>
        <w:kinsoku/>
        <w:wordWrap/>
        <w:overflowPunct/>
        <w:topLinePunct w:val="0"/>
        <w:bidi w:val="0"/>
        <w:snapToGrid/>
        <w:spacing w:after="0" w:line="360" w:lineRule="auto"/>
        <w:ind w:left="0" w:leftChars="0" w:firstLine="422" w:firstLineChars="175"/>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（2）消息提醒</w:t>
      </w:r>
    </w:p>
    <w:p w14:paraId="386DAF5F">
      <w:pPr>
        <w:pageBreakBefore w:val="0"/>
        <w:kinsoku/>
        <w:wordWrap/>
        <w:overflowPunct/>
        <w:topLinePunct w:val="0"/>
        <w:bidi w:val="0"/>
        <w:snapToGrid/>
        <w:spacing w:after="0" w:line="360" w:lineRule="auto"/>
        <w:ind w:left="0" w:leftChars="0" w:firstLine="422" w:firstLineChars="175"/>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1）主流程审核提醒</w:t>
      </w:r>
    </w:p>
    <w:p w14:paraId="2E3B9FED">
      <w:pPr>
        <w:pageBreakBefore w:val="0"/>
        <w:numPr>
          <w:ilvl w:val="0"/>
          <w:numId w:val="13"/>
        </w:numPr>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自动推送</w:t>
      </w:r>
    </w:p>
    <w:p w14:paraId="2496212E">
      <w:pPr>
        <w:pageBreakBefore w:val="0"/>
        <w:numPr>
          <w:ilvl w:val="0"/>
          <w:numId w:val="13"/>
        </w:numPr>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主动催办</w:t>
      </w:r>
    </w:p>
    <w:p w14:paraId="7A3CDFFD">
      <w:pPr>
        <w:pageBreakBefore w:val="0"/>
        <w:kinsoku/>
        <w:wordWrap/>
        <w:overflowPunct/>
        <w:topLinePunct w:val="0"/>
        <w:bidi w:val="0"/>
        <w:snapToGrid/>
        <w:spacing w:after="0" w:line="360" w:lineRule="auto"/>
        <w:ind w:left="0" w:leftChars="0" w:firstLine="422" w:firstLineChars="175"/>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2）撤检等流程提醒</w:t>
      </w:r>
    </w:p>
    <w:p w14:paraId="7D676C3A">
      <w:pPr>
        <w:pageBreakBefore w:val="0"/>
        <w:numPr>
          <w:ilvl w:val="0"/>
          <w:numId w:val="14"/>
        </w:numPr>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主动催办</w:t>
      </w:r>
    </w:p>
    <w:p w14:paraId="6A844AEE">
      <w:pPr>
        <w:pageBreakBefore w:val="0"/>
        <w:kinsoku/>
        <w:wordWrap/>
        <w:overflowPunct/>
        <w:topLinePunct w:val="0"/>
        <w:bidi w:val="0"/>
        <w:snapToGrid/>
        <w:spacing w:after="0" w:line="360" w:lineRule="auto"/>
        <w:ind w:left="0" w:leftChars="0" w:firstLine="422" w:firstLineChars="175"/>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3） 检品处理提醒</w:t>
      </w:r>
    </w:p>
    <w:p w14:paraId="13BDC718">
      <w:pPr>
        <w:pageBreakBefore w:val="0"/>
        <w:numPr>
          <w:ilvl w:val="0"/>
          <w:numId w:val="15"/>
        </w:numPr>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主动催办</w:t>
      </w:r>
    </w:p>
    <w:p w14:paraId="3A223927">
      <w:pPr>
        <w:pageBreakBefore w:val="0"/>
        <w:kinsoku/>
        <w:wordWrap/>
        <w:overflowPunct/>
        <w:topLinePunct w:val="0"/>
        <w:bidi w:val="0"/>
        <w:snapToGrid/>
        <w:spacing w:after="0" w:line="360" w:lineRule="auto"/>
        <w:ind w:left="0" w:leftChars="0" w:firstLine="422" w:firstLineChars="175"/>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4）多端账户同步</w:t>
      </w:r>
    </w:p>
    <w:p w14:paraId="5B62BE22">
      <w:pPr>
        <w:pageBreakBefore w:val="0"/>
        <w:numPr>
          <w:ilvl w:val="0"/>
          <w:numId w:val="16"/>
        </w:numPr>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域控账户对接</w:t>
      </w:r>
    </w:p>
    <w:p w14:paraId="21A67F5E">
      <w:pPr>
        <w:pageBreakBefore w:val="0"/>
        <w:numPr>
          <w:ilvl w:val="0"/>
          <w:numId w:val="16"/>
        </w:numPr>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VPN账户对接</w:t>
      </w:r>
    </w:p>
    <w:p w14:paraId="72C96B34">
      <w:pPr>
        <w:pageBreakBefore w:val="0"/>
        <w:numPr>
          <w:ilvl w:val="0"/>
          <w:numId w:val="16"/>
        </w:numPr>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OA账户对接</w:t>
      </w:r>
    </w:p>
    <w:p w14:paraId="24B1B18D">
      <w:pPr>
        <w:pageBreakBefore w:val="0"/>
        <w:numPr>
          <w:ilvl w:val="0"/>
          <w:numId w:val="16"/>
        </w:numPr>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ELN账户对接</w:t>
      </w:r>
    </w:p>
    <w:p w14:paraId="08A2CAF4">
      <w:pPr>
        <w:pStyle w:val="7"/>
        <w:pageBreakBefore w:val="0"/>
        <w:kinsoku/>
        <w:wordWrap/>
        <w:overflowPunct/>
        <w:topLinePunct w:val="0"/>
        <w:bidi w:val="0"/>
        <w:snapToGrid/>
        <w:spacing w:before="0" w:after="0" w:line="360" w:lineRule="auto"/>
        <w:textAlignment w:val="auto"/>
        <w:rPr>
          <w:rFonts w:hint="eastAsia" w:ascii="宋体" w:hAnsi="宋体" w:eastAsia="宋体" w:cs="宋体"/>
          <w:b/>
          <w:bCs/>
          <w:color w:val="auto"/>
          <w:sz w:val="24"/>
          <w:szCs w:val="24"/>
          <w:highlight w:val="none"/>
          <w:shd w:val="clear" w:color="auto" w:fill="FFFFFF"/>
          <w:lang w:bidi="ar"/>
        </w:rPr>
      </w:pPr>
      <w:r>
        <w:rPr>
          <w:rFonts w:hint="eastAsia" w:ascii="宋体" w:hAnsi="宋体" w:eastAsia="宋体" w:cs="宋体"/>
          <w:b/>
          <w:bCs/>
          <w:color w:val="auto"/>
          <w:sz w:val="24"/>
          <w:szCs w:val="24"/>
          <w:highlight w:val="none"/>
          <w:shd w:val="clear" w:color="auto" w:fill="FFFFFF"/>
          <w:lang w:bidi="ar"/>
        </w:rPr>
        <w:t>4.2浙江省食品药品检验研究院防疫药械智控应用2025年运维项目运维开发求</w:t>
      </w:r>
    </w:p>
    <w:p w14:paraId="3C874620">
      <w:pPr>
        <w:pageBreakBefore w:val="0"/>
        <w:kinsoku/>
        <w:wordWrap/>
        <w:overflowPunct/>
        <w:topLinePunct w:val="0"/>
        <w:bidi w:val="0"/>
        <w:snapToGrid/>
        <w:spacing w:after="0" w:line="360" w:lineRule="auto"/>
        <w:ind w:left="0" w:leftChars="0" w:firstLine="420" w:firstLineChars="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shd w:val="clear" w:color="auto" w:fill="FFFFFF"/>
          <w:lang w:bidi="ar"/>
        </w:rPr>
        <w:t>防疫药械智控应用2025年运维项目运维开发需求主要为</w:t>
      </w:r>
      <w:r>
        <w:rPr>
          <w:rFonts w:hint="eastAsia" w:ascii="宋体" w:hAnsi="宋体" w:cs="宋体"/>
          <w:color w:val="auto"/>
          <w:kern w:val="0"/>
          <w:sz w:val="24"/>
          <w:szCs w:val="24"/>
          <w:highlight w:val="none"/>
          <w:lang w:eastAsia="zh-CN" w:bidi="ar"/>
        </w:rPr>
        <w:t>防疫药械智控应用</w:t>
      </w:r>
      <w:r>
        <w:rPr>
          <w:rFonts w:hint="eastAsia" w:ascii="宋体" w:hAnsi="宋体" w:eastAsia="宋体" w:cs="宋体"/>
          <w:color w:val="auto"/>
          <w:kern w:val="0"/>
          <w:sz w:val="24"/>
          <w:szCs w:val="24"/>
          <w:highlight w:val="none"/>
          <w:lang w:bidi="ar"/>
        </w:rPr>
        <w:t>的新增需求，分为常规实验功能优化、辅助实验功能优化、组件模板配置功能优化三部分内容，具体开发需求清单如下：</w:t>
      </w:r>
    </w:p>
    <w:p w14:paraId="287040C0">
      <w:pPr>
        <w:pageBreakBefore w:val="0"/>
        <w:kinsoku/>
        <w:wordWrap/>
        <w:overflowPunct/>
        <w:topLinePunct w:val="0"/>
        <w:bidi w:val="0"/>
        <w:snapToGrid/>
        <w:spacing w:after="0" w:line="360" w:lineRule="auto"/>
        <w:ind w:left="0" w:leftChars="0" w:firstLine="420" w:firstLineChars="0"/>
        <w:textAlignment w:val="auto"/>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（1）常规实验功能优化</w:t>
      </w:r>
    </w:p>
    <w:tbl>
      <w:tblPr>
        <w:tblStyle w:val="63"/>
        <w:tblW w:w="8462" w:type="dxa"/>
        <w:jc w:val="center"/>
        <w:tblLayout w:type="autofit"/>
        <w:tblCellMar>
          <w:top w:w="0" w:type="dxa"/>
          <w:left w:w="108" w:type="dxa"/>
          <w:bottom w:w="0" w:type="dxa"/>
          <w:right w:w="108" w:type="dxa"/>
        </w:tblCellMar>
      </w:tblPr>
      <w:tblGrid>
        <w:gridCol w:w="845"/>
        <w:gridCol w:w="1318"/>
        <w:gridCol w:w="6299"/>
      </w:tblGrid>
      <w:tr w14:paraId="6AE080C0">
        <w:tblPrEx>
          <w:tblCellMar>
            <w:top w:w="0" w:type="dxa"/>
            <w:left w:w="108" w:type="dxa"/>
            <w:bottom w:w="0" w:type="dxa"/>
            <w:right w:w="108" w:type="dxa"/>
          </w:tblCellMar>
        </w:tblPrEx>
        <w:trPr>
          <w:trHeight w:val="585" w:hRule="atLeast"/>
          <w:jc w:val="center"/>
        </w:trPr>
        <w:tc>
          <w:tcPr>
            <w:tcW w:w="845" w:type="dxa"/>
            <w:tcBorders>
              <w:top w:val="single" w:color="auto" w:sz="4" w:space="0"/>
              <w:left w:val="single" w:color="auto" w:sz="4" w:space="0"/>
              <w:bottom w:val="single" w:color="auto" w:sz="4" w:space="0"/>
              <w:right w:val="single" w:color="auto" w:sz="4" w:space="0"/>
            </w:tcBorders>
            <w:shd w:val="clear" w:color="000000" w:fill="D0CECE"/>
            <w:vAlign w:val="center"/>
          </w:tcPr>
          <w:p w14:paraId="234B7A72">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序号</w:t>
            </w:r>
          </w:p>
        </w:tc>
        <w:tc>
          <w:tcPr>
            <w:tcW w:w="1318" w:type="dxa"/>
            <w:tcBorders>
              <w:top w:val="single" w:color="auto" w:sz="4" w:space="0"/>
              <w:left w:val="single" w:color="auto" w:sz="4" w:space="0"/>
              <w:bottom w:val="single" w:color="auto" w:sz="4" w:space="0"/>
              <w:right w:val="single" w:color="auto" w:sz="4" w:space="0"/>
            </w:tcBorders>
            <w:shd w:val="clear" w:color="000000" w:fill="D0CECE"/>
            <w:vAlign w:val="center"/>
          </w:tcPr>
          <w:p w14:paraId="0815018A">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一级模块</w:t>
            </w:r>
          </w:p>
        </w:tc>
        <w:tc>
          <w:tcPr>
            <w:tcW w:w="6299" w:type="dxa"/>
            <w:tcBorders>
              <w:top w:val="single" w:color="auto" w:sz="4" w:space="0"/>
              <w:left w:val="nil"/>
              <w:bottom w:val="single" w:color="auto" w:sz="4" w:space="0"/>
              <w:right w:val="single" w:color="auto" w:sz="4" w:space="0"/>
            </w:tcBorders>
            <w:shd w:val="clear" w:color="000000" w:fill="D0CECE"/>
            <w:vAlign w:val="center"/>
          </w:tcPr>
          <w:p w14:paraId="37EE73F5">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二级功能</w:t>
            </w:r>
          </w:p>
        </w:tc>
      </w:tr>
      <w:tr w14:paraId="6A899E54">
        <w:tblPrEx>
          <w:tblCellMar>
            <w:top w:w="0" w:type="dxa"/>
            <w:left w:w="108" w:type="dxa"/>
            <w:bottom w:w="0" w:type="dxa"/>
            <w:right w:w="108" w:type="dxa"/>
          </w:tblCellMar>
        </w:tblPrEx>
        <w:trPr>
          <w:trHeight w:val="9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0D776D96">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w:t>
            </w:r>
          </w:p>
        </w:tc>
        <w:tc>
          <w:tcPr>
            <w:tcW w:w="1318" w:type="dxa"/>
            <w:vMerge w:val="restart"/>
            <w:tcBorders>
              <w:top w:val="single" w:color="auto" w:sz="4" w:space="0"/>
              <w:left w:val="single" w:color="auto" w:sz="4" w:space="0"/>
              <w:right w:val="single" w:color="auto" w:sz="4" w:space="0"/>
            </w:tcBorders>
            <w:shd w:val="clear" w:color="auto" w:fill="auto"/>
            <w:vAlign w:val="center"/>
          </w:tcPr>
          <w:p w14:paraId="20D3D41B">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常规实验功能优化</w:t>
            </w:r>
          </w:p>
        </w:tc>
        <w:tc>
          <w:tcPr>
            <w:tcW w:w="6299" w:type="dxa"/>
            <w:tcBorders>
              <w:top w:val="single" w:color="auto" w:sz="4" w:space="0"/>
              <w:left w:val="nil"/>
              <w:bottom w:val="single" w:color="auto" w:sz="4" w:space="0"/>
              <w:right w:val="single" w:color="auto" w:sz="4" w:space="0"/>
            </w:tcBorders>
            <w:shd w:val="clear" w:color="auto" w:fill="auto"/>
            <w:vAlign w:val="center"/>
          </w:tcPr>
          <w:p w14:paraId="59853377">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检品管理-删除检品优化</w:t>
            </w:r>
          </w:p>
        </w:tc>
      </w:tr>
      <w:tr w14:paraId="346EAA3B">
        <w:tblPrEx>
          <w:tblCellMar>
            <w:top w:w="0" w:type="dxa"/>
            <w:left w:w="108" w:type="dxa"/>
            <w:bottom w:w="0" w:type="dxa"/>
            <w:right w:w="108" w:type="dxa"/>
          </w:tblCellMar>
        </w:tblPrEx>
        <w:trPr>
          <w:trHeight w:val="5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215703B0">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2</w:t>
            </w:r>
          </w:p>
        </w:tc>
        <w:tc>
          <w:tcPr>
            <w:tcW w:w="1318" w:type="dxa"/>
            <w:vMerge w:val="continue"/>
            <w:tcBorders>
              <w:left w:val="single" w:color="auto" w:sz="4" w:space="0"/>
              <w:right w:val="single" w:color="auto" w:sz="4" w:space="0"/>
            </w:tcBorders>
            <w:shd w:val="clear" w:color="auto" w:fill="auto"/>
            <w:vAlign w:val="center"/>
          </w:tcPr>
          <w:p w14:paraId="1C887130">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single" w:color="auto" w:sz="4" w:space="0"/>
              <w:left w:val="nil"/>
              <w:bottom w:val="single" w:color="auto" w:sz="4" w:space="0"/>
              <w:right w:val="single" w:color="auto" w:sz="4" w:space="0"/>
            </w:tcBorders>
            <w:shd w:val="clear" w:color="auto" w:fill="auto"/>
            <w:vAlign w:val="center"/>
          </w:tcPr>
          <w:p w14:paraId="2DB63D85">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实验可以一键重建</w:t>
            </w:r>
          </w:p>
        </w:tc>
      </w:tr>
      <w:tr w14:paraId="1FA68F4D">
        <w:tblPrEx>
          <w:tblCellMar>
            <w:top w:w="0" w:type="dxa"/>
            <w:left w:w="108" w:type="dxa"/>
            <w:bottom w:w="0" w:type="dxa"/>
            <w:right w:w="108" w:type="dxa"/>
          </w:tblCellMar>
        </w:tblPrEx>
        <w:trPr>
          <w:trHeight w:val="5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23F520EE">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3</w:t>
            </w:r>
          </w:p>
        </w:tc>
        <w:tc>
          <w:tcPr>
            <w:tcW w:w="1318" w:type="dxa"/>
            <w:vMerge w:val="continue"/>
            <w:tcBorders>
              <w:left w:val="single" w:color="auto" w:sz="4" w:space="0"/>
              <w:right w:val="single" w:color="auto" w:sz="4" w:space="0"/>
            </w:tcBorders>
            <w:shd w:val="clear" w:color="auto" w:fill="auto"/>
            <w:vAlign w:val="center"/>
          </w:tcPr>
          <w:p w14:paraId="5B57DB11">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single" w:color="auto" w:sz="4" w:space="0"/>
              <w:left w:val="nil"/>
              <w:bottom w:val="single" w:color="auto" w:sz="4" w:space="0"/>
              <w:right w:val="single" w:color="auto" w:sz="4" w:space="0"/>
            </w:tcBorders>
            <w:shd w:val="clear" w:color="auto" w:fill="auto"/>
            <w:vAlign w:val="center"/>
          </w:tcPr>
          <w:p w14:paraId="18956C0A">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组件模板暂存-提交-发布状态，需要审批才可以发布，还有唯一性编号问题</w:t>
            </w:r>
          </w:p>
        </w:tc>
      </w:tr>
      <w:tr w14:paraId="5B5D5ABA">
        <w:tblPrEx>
          <w:tblCellMar>
            <w:top w:w="0" w:type="dxa"/>
            <w:left w:w="108" w:type="dxa"/>
            <w:bottom w:w="0" w:type="dxa"/>
            <w:right w:w="108" w:type="dxa"/>
          </w:tblCellMar>
        </w:tblPrEx>
        <w:trPr>
          <w:trHeight w:val="3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56DE75C8">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4</w:t>
            </w:r>
          </w:p>
        </w:tc>
        <w:tc>
          <w:tcPr>
            <w:tcW w:w="1318" w:type="dxa"/>
            <w:vMerge w:val="continue"/>
            <w:tcBorders>
              <w:left w:val="single" w:color="auto" w:sz="4" w:space="0"/>
              <w:right w:val="single" w:color="auto" w:sz="4" w:space="0"/>
            </w:tcBorders>
            <w:shd w:val="clear" w:color="auto" w:fill="auto"/>
            <w:vAlign w:val="center"/>
          </w:tcPr>
          <w:p w14:paraId="2DBCA931">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single" w:color="auto" w:sz="4" w:space="0"/>
              <w:left w:val="nil"/>
              <w:bottom w:val="single" w:color="auto" w:sz="4" w:space="0"/>
              <w:right w:val="single" w:color="auto" w:sz="4" w:space="0"/>
            </w:tcBorders>
            <w:shd w:val="clear" w:color="auto" w:fill="auto"/>
            <w:vAlign w:val="center"/>
          </w:tcPr>
          <w:p w14:paraId="099D1615">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实验搜索中增加全文搜索</w:t>
            </w:r>
          </w:p>
        </w:tc>
      </w:tr>
      <w:tr w14:paraId="79BDBFBA">
        <w:tblPrEx>
          <w:tblCellMar>
            <w:top w:w="0" w:type="dxa"/>
            <w:left w:w="108" w:type="dxa"/>
            <w:bottom w:w="0" w:type="dxa"/>
            <w:right w:w="108" w:type="dxa"/>
          </w:tblCellMar>
        </w:tblPrEx>
        <w:trPr>
          <w:trHeight w:val="3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65A8B861">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5</w:t>
            </w:r>
          </w:p>
        </w:tc>
        <w:tc>
          <w:tcPr>
            <w:tcW w:w="1318" w:type="dxa"/>
            <w:vMerge w:val="continue"/>
            <w:tcBorders>
              <w:left w:val="single" w:color="auto" w:sz="4" w:space="0"/>
              <w:right w:val="single" w:color="auto" w:sz="4" w:space="0"/>
            </w:tcBorders>
            <w:shd w:val="clear" w:color="auto" w:fill="auto"/>
            <w:vAlign w:val="center"/>
          </w:tcPr>
          <w:p w14:paraId="18C65CA4">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single" w:color="auto" w:sz="4" w:space="0"/>
              <w:left w:val="nil"/>
              <w:bottom w:val="single" w:color="auto" w:sz="4" w:space="0"/>
              <w:right w:val="single" w:color="auto" w:sz="4" w:space="0"/>
            </w:tcBorders>
            <w:shd w:val="clear" w:color="auto" w:fill="auto"/>
            <w:vAlign w:val="center"/>
          </w:tcPr>
          <w:p w14:paraId="3F2B367B">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实验数据审计追踪</w:t>
            </w:r>
          </w:p>
        </w:tc>
      </w:tr>
      <w:tr w14:paraId="6FF18EAE">
        <w:tblPrEx>
          <w:tblCellMar>
            <w:top w:w="0" w:type="dxa"/>
            <w:left w:w="108" w:type="dxa"/>
            <w:bottom w:w="0" w:type="dxa"/>
            <w:right w:w="108" w:type="dxa"/>
          </w:tblCellMar>
        </w:tblPrEx>
        <w:trPr>
          <w:trHeight w:val="3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6B6CE86E">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6</w:t>
            </w:r>
          </w:p>
        </w:tc>
        <w:tc>
          <w:tcPr>
            <w:tcW w:w="1318" w:type="dxa"/>
            <w:vMerge w:val="continue"/>
            <w:tcBorders>
              <w:left w:val="single" w:color="auto" w:sz="4" w:space="0"/>
              <w:right w:val="single" w:color="auto" w:sz="4" w:space="0"/>
            </w:tcBorders>
            <w:shd w:val="clear" w:color="auto" w:fill="auto"/>
            <w:vAlign w:val="center"/>
          </w:tcPr>
          <w:p w14:paraId="15B08729">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single" w:color="auto" w:sz="4" w:space="0"/>
              <w:left w:val="nil"/>
              <w:bottom w:val="single" w:color="auto" w:sz="4" w:space="0"/>
              <w:right w:val="single" w:color="auto" w:sz="4" w:space="0"/>
            </w:tcBorders>
            <w:shd w:val="clear" w:color="auto" w:fill="auto"/>
            <w:vAlign w:val="center"/>
          </w:tcPr>
          <w:p w14:paraId="61E4968A">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三个追加平行样的按钮合为一个</w:t>
            </w:r>
          </w:p>
        </w:tc>
      </w:tr>
      <w:tr w14:paraId="6F339F89">
        <w:tblPrEx>
          <w:tblCellMar>
            <w:top w:w="0" w:type="dxa"/>
            <w:left w:w="108" w:type="dxa"/>
            <w:bottom w:w="0" w:type="dxa"/>
            <w:right w:w="108" w:type="dxa"/>
          </w:tblCellMar>
        </w:tblPrEx>
        <w:trPr>
          <w:trHeight w:val="5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15F1DADF">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7</w:t>
            </w:r>
          </w:p>
        </w:tc>
        <w:tc>
          <w:tcPr>
            <w:tcW w:w="1318" w:type="dxa"/>
            <w:vMerge w:val="continue"/>
            <w:tcBorders>
              <w:left w:val="single" w:color="auto" w:sz="4" w:space="0"/>
              <w:right w:val="single" w:color="auto" w:sz="4" w:space="0"/>
            </w:tcBorders>
            <w:shd w:val="clear" w:color="auto" w:fill="auto"/>
            <w:vAlign w:val="center"/>
          </w:tcPr>
          <w:p w14:paraId="5C61DC94">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single" w:color="auto" w:sz="4" w:space="0"/>
              <w:left w:val="nil"/>
              <w:bottom w:val="single" w:color="auto" w:sz="4" w:space="0"/>
              <w:right w:val="single" w:color="auto" w:sz="4" w:space="0"/>
            </w:tcBorders>
            <w:shd w:val="clear" w:color="auto" w:fill="auto"/>
            <w:vAlign w:val="center"/>
          </w:tcPr>
          <w:p w14:paraId="7B1AFEB3">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取消各类表格中的这个浮动详情（自定义、计算、固定、模板、嵌套）</w:t>
            </w:r>
          </w:p>
        </w:tc>
      </w:tr>
      <w:tr w14:paraId="15C82724">
        <w:tblPrEx>
          <w:tblCellMar>
            <w:top w:w="0" w:type="dxa"/>
            <w:left w:w="108" w:type="dxa"/>
            <w:bottom w:w="0" w:type="dxa"/>
            <w:right w:w="108" w:type="dxa"/>
          </w:tblCellMar>
        </w:tblPrEx>
        <w:trPr>
          <w:trHeight w:val="3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319AC77C">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8</w:t>
            </w:r>
          </w:p>
        </w:tc>
        <w:tc>
          <w:tcPr>
            <w:tcW w:w="1318" w:type="dxa"/>
            <w:vMerge w:val="continue"/>
            <w:tcBorders>
              <w:left w:val="single" w:color="auto" w:sz="4" w:space="0"/>
              <w:right w:val="single" w:color="auto" w:sz="4" w:space="0"/>
            </w:tcBorders>
            <w:shd w:val="clear" w:color="auto" w:fill="auto"/>
            <w:vAlign w:val="center"/>
          </w:tcPr>
          <w:p w14:paraId="35EB5E3B">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single" w:color="auto" w:sz="4" w:space="0"/>
              <w:left w:val="nil"/>
              <w:bottom w:val="single" w:color="auto" w:sz="4" w:space="0"/>
              <w:right w:val="single" w:color="auto" w:sz="4" w:space="0"/>
            </w:tcBorders>
            <w:shd w:val="clear" w:color="auto" w:fill="auto"/>
            <w:vAlign w:val="center"/>
          </w:tcPr>
          <w:p w14:paraId="1DD4EA0D">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精度设置中增加常规设置，保存计算结果的完整值</w:t>
            </w:r>
          </w:p>
        </w:tc>
      </w:tr>
      <w:tr w14:paraId="620BF45D">
        <w:tblPrEx>
          <w:tblCellMar>
            <w:top w:w="0" w:type="dxa"/>
            <w:left w:w="108" w:type="dxa"/>
            <w:bottom w:w="0" w:type="dxa"/>
            <w:right w:w="108" w:type="dxa"/>
          </w:tblCellMar>
        </w:tblPrEx>
        <w:trPr>
          <w:trHeight w:val="576"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04E8F1DA">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9</w:t>
            </w:r>
          </w:p>
        </w:tc>
        <w:tc>
          <w:tcPr>
            <w:tcW w:w="1318" w:type="dxa"/>
            <w:vMerge w:val="continue"/>
            <w:tcBorders>
              <w:left w:val="single" w:color="auto" w:sz="4" w:space="0"/>
              <w:right w:val="single" w:color="auto" w:sz="4" w:space="0"/>
            </w:tcBorders>
            <w:shd w:val="clear" w:color="auto" w:fill="auto"/>
            <w:vAlign w:val="center"/>
          </w:tcPr>
          <w:p w14:paraId="5584314B">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single" w:color="auto" w:sz="4" w:space="0"/>
              <w:left w:val="nil"/>
              <w:bottom w:val="single" w:color="auto" w:sz="4" w:space="0"/>
              <w:right w:val="single" w:color="auto" w:sz="4" w:space="0"/>
            </w:tcBorders>
            <w:shd w:val="clear" w:color="auto" w:fill="auto"/>
            <w:vAlign w:val="center"/>
          </w:tcPr>
          <w:p w14:paraId="5595EB1A">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引用数据对照品稀释及制备优化</w:t>
            </w:r>
          </w:p>
        </w:tc>
      </w:tr>
      <w:tr w14:paraId="11C45CE0">
        <w:tblPrEx>
          <w:tblCellMar>
            <w:top w:w="0" w:type="dxa"/>
            <w:left w:w="108" w:type="dxa"/>
            <w:bottom w:w="0" w:type="dxa"/>
            <w:right w:w="108" w:type="dxa"/>
          </w:tblCellMar>
        </w:tblPrEx>
        <w:trPr>
          <w:trHeight w:val="3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00DE64EE">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10</w:t>
            </w:r>
          </w:p>
        </w:tc>
        <w:tc>
          <w:tcPr>
            <w:tcW w:w="1318" w:type="dxa"/>
            <w:vMerge w:val="continue"/>
            <w:tcBorders>
              <w:left w:val="single" w:color="auto" w:sz="4" w:space="0"/>
              <w:right w:val="single" w:color="auto" w:sz="4" w:space="0"/>
            </w:tcBorders>
            <w:shd w:val="clear" w:color="auto" w:fill="auto"/>
            <w:vAlign w:val="center"/>
          </w:tcPr>
          <w:p w14:paraId="2C1F9497">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single" w:color="auto" w:sz="4" w:space="0"/>
              <w:left w:val="nil"/>
              <w:bottom w:val="single" w:color="auto" w:sz="4" w:space="0"/>
              <w:right w:val="single" w:color="auto" w:sz="4" w:space="0"/>
            </w:tcBorders>
            <w:shd w:val="clear" w:color="auto" w:fill="auto"/>
            <w:vAlign w:val="center"/>
          </w:tcPr>
          <w:p w14:paraId="654F0E77">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色谱柱限制同一个条形码只能领取一次</w:t>
            </w:r>
          </w:p>
        </w:tc>
      </w:tr>
      <w:tr w14:paraId="4D0A2184">
        <w:tblPrEx>
          <w:tblCellMar>
            <w:top w:w="0" w:type="dxa"/>
            <w:left w:w="108" w:type="dxa"/>
            <w:bottom w:w="0" w:type="dxa"/>
            <w:right w:w="108" w:type="dxa"/>
          </w:tblCellMar>
        </w:tblPrEx>
        <w:trPr>
          <w:trHeight w:val="3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7D811309">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11</w:t>
            </w:r>
          </w:p>
        </w:tc>
        <w:tc>
          <w:tcPr>
            <w:tcW w:w="1318" w:type="dxa"/>
            <w:vMerge w:val="continue"/>
            <w:tcBorders>
              <w:left w:val="single" w:color="auto" w:sz="4" w:space="0"/>
              <w:right w:val="single" w:color="auto" w:sz="4" w:space="0"/>
            </w:tcBorders>
            <w:shd w:val="clear" w:color="auto" w:fill="auto"/>
            <w:vAlign w:val="center"/>
          </w:tcPr>
          <w:p w14:paraId="29ABBA13">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single" w:color="auto" w:sz="4" w:space="0"/>
              <w:left w:val="nil"/>
              <w:bottom w:val="single" w:color="auto" w:sz="4" w:space="0"/>
              <w:right w:val="single" w:color="auto" w:sz="4" w:space="0"/>
            </w:tcBorders>
            <w:shd w:val="clear" w:color="auto" w:fill="auto"/>
            <w:vAlign w:val="center"/>
          </w:tcPr>
          <w:p w14:paraId="44B690EE">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页面中目录和列表各自用不同的滚动条控制</w:t>
            </w:r>
          </w:p>
        </w:tc>
      </w:tr>
      <w:tr w14:paraId="2C1EAFA2">
        <w:tblPrEx>
          <w:tblCellMar>
            <w:top w:w="0" w:type="dxa"/>
            <w:left w:w="108" w:type="dxa"/>
            <w:bottom w:w="0" w:type="dxa"/>
            <w:right w:w="108" w:type="dxa"/>
          </w:tblCellMar>
        </w:tblPrEx>
        <w:trPr>
          <w:trHeight w:val="3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16AD7224">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12</w:t>
            </w:r>
          </w:p>
        </w:tc>
        <w:tc>
          <w:tcPr>
            <w:tcW w:w="1318" w:type="dxa"/>
            <w:vMerge w:val="continue"/>
            <w:tcBorders>
              <w:left w:val="single" w:color="auto" w:sz="4" w:space="0"/>
              <w:right w:val="single" w:color="auto" w:sz="4" w:space="0"/>
            </w:tcBorders>
            <w:shd w:val="clear" w:color="auto" w:fill="auto"/>
            <w:vAlign w:val="center"/>
          </w:tcPr>
          <w:p w14:paraId="0135F243">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single" w:color="auto" w:sz="4" w:space="0"/>
              <w:left w:val="nil"/>
              <w:bottom w:val="single" w:color="auto" w:sz="4" w:space="0"/>
              <w:right w:val="single" w:color="auto" w:sz="4" w:space="0"/>
            </w:tcBorders>
            <w:shd w:val="clear" w:color="auto" w:fill="auto"/>
            <w:vAlign w:val="center"/>
          </w:tcPr>
          <w:p w14:paraId="74BEAD3E">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附件中解析模板报告背景色改为绿色</w:t>
            </w:r>
          </w:p>
        </w:tc>
      </w:tr>
      <w:tr w14:paraId="758DF749">
        <w:tblPrEx>
          <w:tblCellMar>
            <w:top w:w="0" w:type="dxa"/>
            <w:left w:w="108" w:type="dxa"/>
            <w:bottom w:w="0" w:type="dxa"/>
            <w:right w:w="108" w:type="dxa"/>
          </w:tblCellMar>
        </w:tblPrEx>
        <w:trPr>
          <w:trHeight w:val="496"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0E042ACC">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13</w:t>
            </w:r>
          </w:p>
        </w:tc>
        <w:tc>
          <w:tcPr>
            <w:tcW w:w="1318" w:type="dxa"/>
            <w:vMerge w:val="continue"/>
            <w:tcBorders>
              <w:left w:val="single" w:color="auto" w:sz="4" w:space="0"/>
              <w:right w:val="single" w:color="auto" w:sz="4" w:space="0"/>
            </w:tcBorders>
            <w:shd w:val="clear" w:color="auto" w:fill="auto"/>
            <w:vAlign w:val="center"/>
          </w:tcPr>
          <w:p w14:paraId="3C404F75">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single" w:color="auto" w:sz="4" w:space="0"/>
              <w:left w:val="nil"/>
              <w:bottom w:val="single" w:color="auto" w:sz="4" w:space="0"/>
              <w:right w:val="single" w:color="auto" w:sz="4" w:space="0"/>
            </w:tcBorders>
            <w:shd w:val="clear" w:color="auto" w:fill="auto"/>
            <w:vAlign w:val="center"/>
          </w:tcPr>
          <w:p w14:paraId="0E9938CB">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对照品制备中平行样次数优化</w:t>
            </w:r>
          </w:p>
        </w:tc>
      </w:tr>
      <w:tr w14:paraId="792ABBBD">
        <w:tblPrEx>
          <w:tblCellMar>
            <w:top w:w="0" w:type="dxa"/>
            <w:left w:w="108" w:type="dxa"/>
            <w:bottom w:w="0" w:type="dxa"/>
            <w:right w:w="108" w:type="dxa"/>
          </w:tblCellMar>
        </w:tblPrEx>
        <w:trPr>
          <w:trHeight w:val="5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78F6BAC3">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14</w:t>
            </w:r>
          </w:p>
        </w:tc>
        <w:tc>
          <w:tcPr>
            <w:tcW w:w="1318" w:type="dxa"/>
            <w:vMerge w:val="continue"/>
            <w:tcBorders>
              <w:left w:val="single" w:color="auto" w:sz="4" w:space="0"/>
              <w:right w:val="single" w:color="auto" w:sz="4" w:space="0"/>
            </w:tcBorders>
            <w:shd w:val="clear" w:color="auto" w:fill="auto"/>
            <w:vAlign w:val="center"/>
          </w:tcPr>
          <w:p w14:paraId="5DC5293F">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single" w:color="auto" w:sz="4" w:space="0"/>
              <w:left w:val="nil"/>
              <w:bottom w:val="single" w:color="auto" w:sz="4" w:space="0"/>
              <w:right w:val="single" w:color="auto" w:sz="4" w:space="0"/>
            </w:tcBorders>
            <w:shd w:val="clear" w:color="auto" w:fill="auto"/>
            <w:vAlign w:val="center"/>
          </w:tcPr>
          <w:p w14:paraId="6B6CBFC9">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系统适用性需求</w:t>
            </w:r>
          </w:p>
        </w:tc>
      </w:tr>
      <w:tr w14:paraId="172FBA18">
        <w:tblPrEx>
          <w:tblCellMar>
            <w:top w:w="0" w:type="dxa"/>
            <w:left w:w="108" w:type="dxa"/>
            <w:bottom w:w="0" w:type="dxa"/>
            <w:right w:w="108" w:type="dxa"/>
          </w:tblCellMar>
        </w:tblPrEx>
        <w:trPr>
          <w:trHeight w:val="3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2D8A33D9">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15</w:t>
            </w:r>
          </w:p>
        </w:tc>
        <w:tc>
          <w:tcPr>
            <w:tcW w:w="1318" w:type="dxa"/>
            <w:vMerge w:val="continue"/>
            <w:tcBorders>
              <w:left w:val="single" w:color="auto" w:sz="4" w:space="0"/>
              <w:right w:val="single" w:color="auto" w:sz="4" w:space="0"/>
            </w:tcBorders>
            <w:shd w:val="clear" w:color="auto" w:fill="auto"/>
            <w:vAlign w:val="center"/>
          </w:tcPr>
          <w:p w14:paraId="65BB6650">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nil"/>
              <w:left w:val="nil"/>
              <w:bottom w:val="single" w:color="auto" w:sz="4" w:space="0"/>
              <w:right w:val="single" w:color="auto" w:sz="4" w:space="0"/>
            </w:tcBorders>
            <w:shd w:val="clear" w:color="auto" w:fill="auto"/>
            <w:vAlign w:val="center"/>
          </w:tcPr>
          <w:p w14:paraId="7FD1D5DD">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优化检项关系配置按钮响应时间</w:t>
            </w:r>
          </w:p>
        </w:tc>
      </w:tr>
      <w:tr w14:paraId="3485DD7A">
        <w:tblPrEx>
          <w:tblCellMar>
            <w:top w:w="0" w:type="dxa"/>
            <w:left w:w="108" w:type="dxa"/>
            <w:bottom w:w="0" w:type="dxa"/>
            <w:right w:w="108" w:type="dxa"/>
          </w:tblCellMar>
        </w:tblPrEx>
        <w:trPr>
          <w:trHeight w:val="3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2A38FCF4">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16</w:t>
            </w:r>
          </w:p>
        </w:tc>
        <w:tc>
          <w:tcPr>
            <w:tcW w:w="1318" w:type="dxa"/>
            <w:vMerge w:val="continue"/>
            <w:tcBorders>
              <w:left w:val="single" w:color="auto" w:sz="4" w:space="0"/>
              <w:right w:val="single" w:color="auto" w:sz="4" w:space="0"/>
            </w:tcBorders>
            <w:shd w:val="clear" w:color="auto" w:fill="auto"/>
            <w:vAlign w:val="center"/>
          </w:tcPr>
          <w:p w14:paraId="0497AF4C">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single" w:color="auto" w:sz="4" w:space="0"/>
              <w:left w:val="nil"/>
              <w:bottom w:val="single" w:color="auto" w:sz="4" w:space="0"/>
              <w:right w:val="single" w:color="auto" w:sz="4" w:space="0"/>
            </w:tcBorders>
            <w:shd w:val="clear" w:color="auto" w:fill="auto"/>
            <w:vAlign w:val="center"/>
          </w:tcPr>
          <w:p w14:paraId="3AD84753">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引用数据不可修改</w:t>
            </w:r>
          </w:p>
        </w:tc>
      </w:tr>
      <w:tr w14:paraId="02AE3907">
        <w:tblPrEx>
          <w:tblCellMar>
            <w:top w:w="0" w:type="dxa"/>
            <w:left w:w="108" w:type="dxa"/>
            <w:bottom w:w="0" w:type="dxa"/>
            <w:right w:w="108" w:type="dxa"/>
          </w:tblCellMar>
        </w:tblPrEx>
        <w:trPr>
          <w:trHeight w:val="3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4F8CB052">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17</w:t>
            </w:r>
          </w:p>
        </w:tc>
        <w:tc>
          <w:tcPr>
            <w:tcW w:w="1318" w:type="dxa"/>
            <w:vMerge w:val="continue"/>
            <w:tcBorders>
              <w:left w:val="single" w:color="auto" w:sz="4" w:space="0"/>
              <w:right w:val="single" w:color="auto" w:sz="4" w:space="0"/>
            </w:tcBorders>
            <w:shd w:val="clear" w:color="auto" w:fill="auto"/>
            <w:vAlign w:val="center"/>
          </w:tcPr>
          <w:p w14:paraId="1CA88E92">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single" w:color="auto" w:sz="4" w:space="0"/>
              <w:left w:val="nil"/>
              <w:bottom w:val="single" w:color="auto" w:sz="4" w:space="0"/>
              <w:right w:val="single" w:color="auto" w:sz="4" w:space="0"/>
            </w:tcBorders>
            <w:shd w:val="clear" w:color="auto" w:fill="auto"/>
            <w:vAlign w:val="center"/>
          </w:tcPr>
          <w:p w14:paraId="787C00B6">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复制实验记录</w:t>
            </w:r>
          </w:p>
        </w:tc>
      </w:tr>
      <w:tr w14:paraId="5B19E562">
        <w:tblPrEx>
          <w:tblCellMar>
            <w:top w:w="0" w:type="dxa"/>
            <w:left w:w="108" w:type="dxa"/>
            <w:bottom w:w="0" w:type="dxa"/>
            <w:right w:w="108" w:type="dxa"/>
          </w:tblCellMar>
        </w:tblPrEx>
        <w:trPr>
          <w:trHeight w:val="3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70433E56">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18</w:t>
            </w:r>
          </w:p>
        </w:tc>
        <w:tc>
          <w:tcPr>
            <w:tcW w:w="1318" w:type="dxa"/>
            <w:vMerge w:val="continue"/>
            <w:tcBorders>
              <w:left w:val="single" w:color="auto" w:sz="4" w:space="0"/>
              <w:right w:val="single" w:color="auto" w:sz="4" w:space="0"/>
            </w:tcBorders>
            <w:shd w:val="clear" w:color="auto" w:fill="auto"/>
            <w:vAlign w:val="center"/>
          </w:tcPr>
          <w:p w14:paraId="2083C7C9">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nil"/>
              <w:left w:val="nil"/>
              <w:bottom w:val="single" w:color="auto" w:sz="4" w:space="0"/>
              <w:right w:val="single" w:color="auto" w:sz="4" w:space="0"/>
            </w:tcBorders>
            <w:shd w:val="clear" w:color="auto" w:fill="auto"/>
            <w:vAlign w:val="center"/>
          </w:tcPr>
          <w:p w14:paraId="528CC91A">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实验退回提醒</w:t>
            </w:r>
          </w:p>
        </w:tc>
      </w:tr>
      <w:tr w14:paraId="5F159BF7">
        <w:tblPrEx>
          <w:tblCellMar>
            <w:top w:w="0" w:type="dxa"/>
            <w:left w:w="108" w:type="dxa"/>
            <w:bottom w:w="0" w:type="dxa"/>
            <w:right w:w="108" w:type="dxa"/>
          </w:tblCellMar>
        </w:tblPrEx>
        <w:trPr>
          <w:trHeight w:val="3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43468DA7">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19</w:t>
            </w:r>
          </w:p>
        </w:tc>
        <w:tc>
          <w:tcPr>
            <w:tcW w:w="1318" w:type="dxa"/>
            <w:vMerge w:val="continue"/>
            <w:tcBorders>
              <w:left w:val="single" w:color="auto" w:sz="4" w:space="0"/>
              <w:right w:val="single" w:color="auto" w:sz="4" w:space="0"/>
            </w:tcBorders>
            <w:shd w:val="clear" w:color="auto" w:fill="auto"/>
            <w:vAlign w:val="center"/>
          </w:tcPr>
          <w:p w14:paraId="6F93FD86">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nil"/>
              <w:left w:val="nil"/>
              <w:bottom w:val="single" w:color="auto" w:sz="4" w:space="0"/>
              <w:right w:val="single" w:color="auto" w:sz="4" w:space="0"/>
            </w:tcBorders>
            <w:shd w:val="clear" w:color="auto" w:fill="auto"/>
            <w:vAlign w:val="center"/>
          </w:tcPr>
          <w:p w14:paraId="2D183FA0">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对照品制备和稀释按照浓度单位分成两套</w:t>
            </w:r>
          </w:p>
        </w:tc>
      </w:tr>
      <w:tr w14:paraId="46151AE8">
        <w:tblPrEx>
          <w:tblCellMar>
            <w:top w:w="0" w:type="dxa"/>
            <w:left w:w="108" w:type="dxa"/>
            <w:bottom w:w="0" w:type="dxa"/>
            <w:right w:w="108" w:type="dxa"/>
          </w:tblCellMar>
        </w:tblPrEx>
        <w:trPr>
          <w:trHeight w:val="5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5C7D66B4">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20</w:t>
            </w:r>
          </w:p>
        </w:tc>
        <w:tc>
          <w:tcPr>
            <w:tcW w:w="1318" w:type="dxa"/>
            <w:vMerge w:val="continue"/>
            <w:tcBorders>
              <w:left w:val="single" w:color="auto" w:sz="4" w:space="0"/>
              <w:right w:val="single" w:color="auto" w:sz="4" w:space="0"/>
            </w:tcBorders>
            <w:shd w:val="clear" w:color="auto" w:fill="auto"/>
            <w:vAlign w:val="center"/>
          </w:tcPr>
          <w:p w14:paraId="7027375A">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single" w:color="auto" w:sz="4" w:space="0"/>
              <w:left w:val="nil"/>
              <w:bottom w:val="single" w:color="auto" w:sz="4" w:space="0"/>
              <w:right w:val="single" w:color="auto" w:sz="4" w:space="0"/>
            </w:tcBorders>
            <w:shd w:val="clear" w:color="auto" w:fill="auto"/>
            <w:vAlign w:val="center"/>
          </w:tcPr>
          <w:p w14:paraId="15D896B5">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拆分检品，实验数据保留，计算组件数据不保存</w:t>
            </w:r>
          </w:p>
        </w:tc>
      </w:tr>
      <w:tr w14:paraId="00ADA46B">
        <w:tblPrEx>
          <w:tblCellMar>
            <w:top w:w="0" w:type="dxa"/>
            <w:left w:w="108" w:type="dxa"/>
            <w:bottom w:w="0" w:type="dxa"/>
            <w:right w:w="108" w:type="dxa"/>
          </w:tblCellMar>
        </w:tblPrEx>
        <w:trPr>
          <w:trHeight w:val="5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4D75E527">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21</w:t>
            </w:r>
          </w:p>
        </w:tc>
        <w:tc>
          <w:tcPr>
            <w:tcW w:w="1318" w:type="dxa"/>
            <w:vMerge w:val="continue"/>
            <w:tcBorders>
              <w:left w:val="single" w:color="auto" w:sz="4" w:space="0"/>
              <w:right w:val="single" w:color="auto" w:sz="4" w:space="0"/>
            </w:tcBorders>
            <w:shd w:val="clear" w:color="auto" w:fill="auto"/>
            <w:vAlign w:val="center"/>
          </w:tcPr>
          <w:p w14:paraId="7A4CD728">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nil"/>
              <w:left w:val="nil"/>
              <w:bottom w:val="single" w:color="auto" w:sz="4" w:space="0"/>
              <w:right w:val="single" w:color="auto" w:sz="4" w:space="0"/>
            </w:tcBorders>
            <w:shd w:val="clear" w:color="auto" w:fill="auto"/>
            <w:vAlign w:val="center"/>
          </w:tcPr>
          <w:p w14:paraId="39FBE245">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供试品测定可复选后追加平行样</w:t>
            </w:r>
          </w:p>
        </w:tc>
      </w:tr>
      <w:tr w14:paraId="28F73953">
        <w:tblPrEx>
          <w:tblCellMar>
            <w:top w:w="0" w:type="dxa"/>
            <w:left w:w="108" w:type="dxa"/>
            <w:bottom w:w="0" w:type="dxa"/>
            <w:right w:w="108" w:type="dxa"/>
          </w:tblCellMar>
        </w:tblPrEx>
        <w:trPr>
          <w:trHeight w:val="5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13A37575">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22</w:t>
            </w:r>
          </w:p>
        </w:tc>
        <w:tc>
          <w:tcPr>
            <w:tcW w:w="1318" w:type="dxa"/>
            <w:vMerge w:val="continue"/>
            <w:tcBorders>
              <w:left w:val="single" w:color="auto" w:sz="4" w:space="0"/>
              <w:right w:val="single" w:color="auto" w:sz="4" w:space="0"/>
            </w:tcBorders>
            <w:shd w:val="clear" w:color="auto" w:fill="auto"/>
            <w:vAlign w:val="center"/>
          </w:tcPr>
          <w:p w14:paraId="691CE91B">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single" w:color="auto" w:sz="4" w:space="0"/>
              <w:left w:val="nil"/>
              <w:bottom w:val="single" w:color="auto" w:sz="4" w:space="0"/>
              <w:right w:val="single" w:color="auto" w:sz="4" w:space="0"/>
            </w:tcBorders>
            <w:shd w:val="clear" w:color="auto" w:fill="auto"/>
            <w:vAlign w:val="center"/>
          </w:tcPr>
          <w:p w14:paraId="60FAB178">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引用数据实验列表中通过检品编号查询后可以控制是否查看已重建的实验</w:t>
            </w:r>
          </w:p>
        </w:tc>
      </w:tr>
      <w:tr w14:paraId="01AA1EEC">
        <w:tblPrEx>
          <w:tblCellMar>
            <w:top w:w="0" w:type="dxa"/>
            <w:left w:w="108" w:type="dxa"/>
            <w:bottom w:w="0" w:type="dxa"/>
            <w:right w:w="108" w:type="dxa"/>
          </w:tblCellMar>
        </w:tblPrEx>
        <w:trPr>
          <w:trHeight w:val="3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0E2FCE4D">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23</w:t>
            </w:r>
          </w:p>
        </w:tc>
        <w:tc>
          <w:tcPr>
            <w:tcW w:w="1318" w:type="dxa"/>
            <w:vMerge w:val="continue"/>
            <w:tcBorders>
              <w:left w:val="single" w:color="auto" w:sz="4" w:space="0"/>
              <w:right w:val="single" w:color="auto" w:sz="4" w:space="0"/>
            </w:tcBorders>
            <w:shd w:val="clear" w:color="auto" w:fill="auto"/>
            <w:vAlign w:val="center"/>
          </w:tcPr>
          <w:p w14:paraId="7661D6DF">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single" w:color="auto" w:sz="4" w:space="0"/>
              <w:left w:val="nil"/>
              <w:bottom w:val="single" w:color="auto" w:sz="4" w:space="0"/>
              <w:right w:val="single" w:color="auto" w:sz="4" w:space="0"/>
            </w:tcBorders>
            <w:shd w:val="clear" w:color="auto" w:fill="auto"/>
            <w:vAlign w:val="center"/>
          </w:tcPr>
          <w:p w14:paraId="49620939">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供试品称量有称量数据的平行样不可删除</w:t>
            </w:r>
          </w:p>
        </w:tc>
      </w:tr>
      <w:tr w14:paraId="20F17001">
        <w:tblPrEx>
          <w:tblCellMar>
            <w:top w:w="0" w:type="dxa"/>
            <w:left w:w="108" w:type="dxa"/>
            <w:bottom w:w="0" w:type="dxa"/>
            <w:right w:w="108" w:type="dxa"/>
          </w:tblCellMar>
        </w:tblPrEx>
        <w:trPr>
          <w:trHeight w:val="3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4B13E291">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24</w:t>
            </w:r>
          </w:p>
        </w:tc>
        <w:tc>
          <w:tcPr>
            <w:tcW w:w="1318" w:type="dxa"/>
            <w:vMerge w:val="continue"/>
            <w:tcBorders>
              <w:left w:val="single" w:color="auto" w:sz="4" w:space="0"/>
              <w:right w:val="single" w:color="auto" w:sz="4" w:space="0"/>
            </w:tcBorders>
            <w:shd w:val="clear" w:color="auto" w:fill="auto"/>
            <w:vAlign w:val="center"/>
          </w:tcPr>
          <w:p w14:paraId="56BCCC65">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single" w:color="auto" w:sz="4" w:space="0"/>
              <w:left w:val="nil"/>
              <w:bottom w:val="single" w:color="auto" w:sz="4" w:space="0"/>
              <w:right w:val="single" w:color="auto" w:sz="4" w:space="0"/>
            </w:tcBorders>
            <w:shd w:val="clear" w:color="auto" w:fill="auto"/>
            <w:vAlign w:val="center"/>
          </w:tcPr>
          <w:p w14:paraId="2AD3954D">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常规实验 流转后需要关闭实验标签页</w:t>
            </w:r>
          </w:p>
        </w:tc>
      </w:tr>
      <w:tr w14:paraId="5F79A110">
        <w:tblPrEx>
          <w:tblCellMar>
            <w:top w:w="0" w:type="dxa"/>
            <w:left w:w="108" w:type="dxa"/>
            <w:bottom w:w="0" w:type="dxa"/>
            <w:right w:w="108" w:type="dxa"/>
          </w:tblCellMar>
        </w:tblPrEx>
        <w:trPr>
          <w:trHeight w:val="9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37ADA1A4">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25</w:t>
            </w:r>
          </w:p>
        </w:tc>
        <w:tc>
          <w:tcPr>
            <w:tcW w:w="1318" w:type="dxa"/>
            <w:vMerge w:val="continue"/>
            <w:tcBorders>
              <w:left w:val="single" w:color="auto" w:sz="4" w:space="0"/>
              <w:right w:val="single" w:color="auto" w:sz="4" w:space="0"/>
            </w:tcBorders>
            <w:shd w:val="clear" w:color="auto" w:fill="auto"/>
            <w:vAlign w:val="center"/>
          </w:tcPr>
          <w:p w14:paraId="7002D8FC">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single" w:color="auto" w:sz="4" w:space="0"/>
              <w:left w:val="nil"/>
              <w:bottom w:val="single" w:color="auto" w:sz="4" w:space="0"/>
              <w:right w:val="single" w:color="auto" w:sz="4" w:space="0"/>
            </w:tcBorders>
            <w:shd w:val="clear" w:color="auto" w:fill="auto"/>
            <w:vAlign w:val="center"/>
          </w:tcPr>
          <w:p w14:paraId="7A1CF877">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实验名称修改</w:t>
            </w:r>
          </w:p>
        </w:tc>
      </w:tr>
      <w:tr w14:paraId="6454780C">
        <w:tblPrEx>
          <w:tblCellMar>
            <w:top w:w="0" w:type="dxa"/>
            <w:left w:w="108" w:type="dxa"/>
            <w:bottom w:w="0" w:type="dxa"/>
            <w:right w:w="108" w:type="dxa"/>
          </w:tblCellMar>
        </w:tblPrEx>
        <w:trPr>
          <w:trHeight w:val="3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5A9BACED">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26</w:t>
            </w:r>
          </w:p>
        </w:tc>
        <w:tc>
          <w:tcPr>
            <w:tcW w:w="1318" w:type="dxa"/>
            <w:vMerge w:val="continue"/>
            <w:tcBorders>
              <w:left w:val="single" w:color="auto" w:sz="4" w:space="0"/>
              <w:right w:val="single" w:color="auto" w:sz="4" w:space="0"/>
            </w:tcBorders>
            <w:shd w:val="clear" w:color="auto" w:fill="auto"/>
            <w:vAlign w:val="center"/>
          </w:tcPr>
          <w:p w14:paraId="5B26AB30">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single" w:color="auto" w:sz="4" w:space="0"/>
              <w:left w:val="nil"/>
              <w:bottom w:val="single" w:color="auto" w:sz="4" w:space="0"/>
              <w:right w:val="single" w:color="auto" w:sz="4" w:space="0"/>
            </w:tcBorders>
            <w:shd w:val="clear" w:color="auto" w:fill="auto"/>
            <w:vAlign w:val="center"/>
          </w:tcPr>
          <w:p w14:paraId="5A4D5F81">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检品管理-检项修改加上检项实例编码</w:t>
            </w:r>
          </w:p>
        </w:tc>
      </w:tr>
      <w:tr w14:paraId="22BF85D6">
        <w:tblPrEx>
          <w:tblCellMar>
            <w:top w:w="0" w:type="dxa"/>
            <w:left w:w="108" w:type="dxa"/>
            <w:bottom w:w="0" w:type="dxa"/>
            <w:right w:w="108" w:type="dxa"/>
          </w:tblCellMar>
        </w:tblPrEx>
        <w:trPr>
          <w:trHeight w:val="5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77A0380F">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27</w:t>
            </w:r>
          </w:p>
        </w:tc>
        <w:tc>
          <w:tcPr>
            <w:tcW w:w="1318" w:type="dxa"/>
            <w:vMerge w:val="continue"/>
            <w:tcBorders>
              <w:left w:val="single" w:color="auto" w:sz="4" w:space="0"/>
              <w:right w:val="single" w:color="auto" w:sz="4" w:space="0"/>
            </w:tcBorders>
            <w:shd w:val="clear" w:color="auto" w:fill="auto"/>
            <w:vAlign w:val="center"/>
          </w:tcPr>
          <w:p w14:paraId="3C70DBB9">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single" w:color="auto" w:sz="4" w:space="0"/>
              <w:left w:val="nil"/>
              <w:bottom w:val="single" w:color="auto" w:sz="4" w:space="0"/>
              <w:right w:val="single" w:color="auto" w:sz="4" w:space="0"/>
            </w:tcBorders>
            <w:shd w:val="clear" w:color="auto" w:fill="auto"/>
            <w:vAlign w:val="center"/>
          </w:tcPr>
          <w:p w14:paraId="317F36C8">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常规实验列表增加修改时间并可按修改时间排序</w:t>
            </w:r>
          </w:p>
        </w:tc>
      </w:tr>
      <w:tr w14:paraId="63736FF1">
        <w:tblPrEx>
          <w:tblCellMar>
            <w:top w:w="0" w:type="dxa"/>
            <w:left w:w="108" w:type="dxa"/>
            <w:bottom w:w="0" w:type="dxa"/>
            <w:right w:w="108" w:type="dxa"/>
          </w:tblCellMar>
        </w:tblPrEx>
        <w:trPr>
          <w:trHeight w:val="5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137E0FE8">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28</w:t>
            </w:r>
          </w:p>
        </w:tc>
        <w:tc>
          <w:tcPr>
            <w:tcW w:w="1318" w:type="dxa"/>
            <w:vMerge w:val="continue"/>
            <w:tcBorders>
              <w:left w:val="single" w:color="auto" w:sz="4" w:space="0"/>
              <w:right w:val="single" w:color="auto" w:sz="4" w:space="0"/>
            </w:tcBorders>
            <w:shd w:val="clear" w:color="auto" w:fill="auto"/>
            <w:vAlign w:val="center"/>
          </w:tcPr>
          <w:p w14:paraId="33595FFD">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single" w:color="auto" w:sz="4" w:space="0"/>
              <w:left w:val="nil"/>
              <w:bottom w:val="single" w:color="auto" w:sz="4" w:space="0"/>
              <w:right w:val="single" w:color="auto" w:sz="4" w:space="0"/>
            </w:tcBorders>
            <w:shd w:val="clear" w:color="auto" w:fill="auto"/>
            <w:vAlign w:val="center"/>
          </w:tcPr>
          <w:p w14:paraId="23C22081">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被引用数据的实验退回修改后再流转时提示</w:t>
            </w:r>
          </w:p>
        </w:tc>
      </w:tr>
      <w:tr w14:paraId="7F538E23">
        <w:tblPrEx>
          <w:tblCellMar>
            <w:top w:w="0" w:type="dxa"/>
            <w:left w:w="108" w:type="dxa"/>
            <w:bottom w:w="0" w:type="dxa"/>
            <w:right w:w="108" w:type="dxa"/>
          </w:tblCellMar>
        </w:tblPrEx>
        <w:trPr>
          <w:trHeight w:val="60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6C6726BC">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29</w:t>
            </w:r>
          </w:p>
        </w:tc>
        <w:tc>
          <w:tcPr>
            <w:tcW w:w="1318" w:type="dxa"/>
            <w:vMerge w:val="continue"/>
            <w:tcBorders>
              <w:left w:val="single" w:color="auto" w:sz="4" w:space="0"/>
              <w:right w:val="single" w:color="auto" w:sz="4" w:space="0"/>
            </w:tcBorders>
            <w:shd w:val="clear" w:color="auto" w:fill="auto"/>
            <w:vAlign w:val="center"/>
          </w:tcPr>
          <w:p w14:paraId="7CDE432E">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single" w:color="auto" w:sz="4" w:space="0"/>
              <w:left w:val="nil"/>
              <w:bottom w:val="single" w:color="auto" w:sz="4" w:space="0"/>
              <w:right w:val="single" w:color="auto" w:sz="4" w:space="0"/>
            </w:tcBorders>
            <w:shd w:val="clear" w:color="auto" w:fill="auto"/>
            <w:vAlign w:val="center"/>
          </w:tcPr>
          <w:p w14:paraId="4B62BEE3">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系统适用性修改</w:t>
            </w:r>
          </w:p>
        </w:tc>
      </w:tr>
      <w:tr w14:paraId="63E8A175">
        <w:tblPrEx>
          <w:tblCellMar>
            <w:top w:w="0" w:type="dxa"/>
            <w:left w:w="108" w:type="dxa"/>
            <w:bottom w:w="0" w:type="dxa"/>
            <w:right w:w="108" w:type="dxa"/>
          </w:tblCellMar>
        </w:tblPrEx>
        <w:trPr>
          <w:trHeight w:val="3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3019151E">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30</w:t>
            </w:r>
          </w:p>
        </w:tc>
        <w:tc>
          <w:tcPr>
            <w:tcW w:w="1318" w:type="dxa"/>
            <w:vMerge w:val="continue"/>
            <w:tcBorders>
              <w:left w:val="single" w:color="auto" w:sz="4" w:space="0"/>
              <w:right w:val="single" w:color="auto" w:sz="4" w:space="0"/>
            </w:tcBorders>
            <w:shd w:val="clear" w:color="auto" w:fill="auto"/>
            <w:vAlign w:val="center"/>
          </w:tcPr>
          <w:p w14:paraId="338DB0C3">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single" w:color="auto" w:sz="4" w:space="0"/>
              <w:left w:val="nil"/>
              <w:bottom w:val="single" w:color="auto" w:sz="4" w:space="0"/>
              <w:right w:val="single" w:color="auto" w:sz="4" w:space="0"/>
            </w:tcBorders>
            <w:shd w:val="clear" w:color="auto" w:fill="auto"/>
            <w:vAlign w:val="center"/>
          </w:tcPr>
          <w:p w14:paraId="0A09A48B">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检项修改增加批量失效按钮</w:t>
            </w:r>
          </w:p>
        </w:tc>
      </w:tr>
      <w:tr w14:paraId="3913D656">
        <w:tblPrEx>
          <w:tblCellMar>
            <w:top w:w="0" w:type="dxa"/>
            <w:left w:w="108" w:type="dxa"/>
            <w:bottom w:w="0" w:type="dxa"/>
            <w:right w:w="108" w:type="dxa"/>
          </w:tblCellMar>
        </w:tblPrEx>
        <w:trPr>
          <w:trHeight w:val="78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77449220">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31</w:t>
            </w:r>
          </w:p>
        </w:tc>
        <w:tc>
          <w:tcPr>
            <w:tcW w:w="1318" w:type="dxa"/>
            <w:vMerge w:val="continue"/>
            <w:tcBorders>
              <w:left w:val="single" w:color="auto" w:sz="4" w:space="0"/>
              <w:right w:val="single" w:color="auto" w:sz="4" w:space="0"/>
            </w:tcBorders>
            <w:shd w:val="clear" w:color="auto" w:fill="auto"/>
            <w:vAlign w:val="center"/>
          </w:tcPr>
          <w:p w14:paraId="6CF00D7A">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single" w:color="auto" w:sz="4" w:space="0"/>
              <w:left w:val="nil"/>
              <w:bottom w:val="single" w:color="auto" w:sz="4" w:space="0"/>
              <w:right w:val="single" w:color="auto" w:sz="4" w:space="0"/>
            </w:tcBorders>
            <w:shd w:val="clear" w:color="auto" w:fill="auto"/>
            <w:vAlign w:val="center"/>
          </w:tcPr>
          <w:p w14:paraId="516FF73E">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对照品制备、对照品稀释、对照品制备及稀释增加复制功能</w:t>
            </w:r>
          </w:p>
        </w:tc>
      </w:tr>
      <w:tr w14:paraId="1342CD5B">
        <w:tblPrEx>
          <w:tblCellMar>
            <w:top w:w="0" w:type="dxa"/>
            <w:left w:w="108" w:type="dxa"/>
            <w:bottom w:w="0" w:type="dxa"/>
            <w:right w:w="108" w:type="dxa"/>
          </w:tblCellMar>
        </w:tblPrEx>
        <w:trPr>
          <w:trHeight w:val="3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5A83C627">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32</w:t>
            </w:r>
          </w:p>
        </w:tc>
        <w:tc>
          <w:tcPr>
            <w:tcW w:w="1318" w:type="dxa"/>
            <w:vMerge w:val="continue"/>
            <w:tcBorders>
              <w:left w:val="single" w:color="auto" w:sz="4" w:space="0"/>
              <w:right w:val="single" w:color="auto" w:sz="4" w:space="0"/>
            </w:tcBorders>
            <w:shd w:val="clear" w:color="auto" w:fill="auto"/>
            <w:vAlign w:val="center"/>
          </w:tcPr>
          <w:p w14:paraId="41F84F74">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single" w:color="auto" w:sz="4" w:space="0"/>
              <w:left w:val="nil"/>
              <w:bottom w:val="single" w:color="auto" w:sz="4" w:space="0"/>
              <w:right w:val="single" w:color="auto" w:sz="4" w:space="0"/>
            </w:tcBorders>
            <w:shd w:val="clear" w:color="auto" w:fill="auto"/>
            <w:vAlign w:val="center"/>
          </w:tcPr>
          <w:p w14:paraId="7BDB273C">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生成序列时只对选中的供试品的测定值进行重置</w:t>
            </w:r>
          </w:p>
        </w:tc>
      </w:tr>
      <w:tr w14:paraId="5964AD84">
        <w:tblPrEx>
          <w:tblCellMar>
            <w:top w:w="0" w:type="dxa"/>
            <w:left w:w="108" w:type="dxa"/>
            <w:bottom w:w="0" w:type="dxa"/>
            <w:right w:w="108" w:type="dxa"/>
          </w:tblCellMar>
        </w:tblPrEx>
        <w:trPr>
          <w:trHeight w:val="3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08C6AB07">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33</w:t>
            </w:r>
          </w:p>
        </w:tc>
        <w:tc>
          <w:tcPr>
            <w:tcW w:w="1318" w:type="dxa"/>
            <w:vMerge w:val="continue"/>
            <w:tcBorders>
              <w:left w:val="single" w:color="auto" w:sz="4" w:space="0"/>
              <w:right w:val="single" w:color="auto" w:sz="4" w:space="0"/>
            </w:tcBorders>
            <w:shd w:val="clear" w:color="auto" w:fill="auto"/>
            <w:vAlign w:val="center"/>
          </w:tcPr>
          <w:p w14:paraId="17E7C0F3">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nil"/>
              <w:left w:val="nil"/>
              <w:bottom w:val="single" w:color="auto" w:sz="4" w:space="0"/>
              <w:right w:val="single" w:color="auto" w:sz="4" w:space="0"/>
            </w:tcBorders>
            <w:shd w:val="clear" w:color="auto" w:fill="auto"/>
            <w:vAlign w:val="center"/>
          </w:tcPr>
          <w:p w14:paraId="38BC9B17">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加标组分列排序优化</w:t>
            </w:r>
          </w:p>
        </w:tc>
      </w:tr>
      <w:tr w14:paraId="797E9D59">
        <w:tblPrEx>
          <w:tblCellMar>
            <w:top w:w="0" w:type="dxa"/>
            <w:left w:w="108" w:type="dxa"/>
            <w:bottom w:w="0" w:type="dxa"/>
            <w:right w:w="108" w:type="dxa"/>
          </w:tblCellMar>
        </w:tblPrEx>
        <w:trPr>
          <w:trHeight w:val="3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2F197590">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34</w:t>
            </w:r>
          </w:p>
        </w:tc>
        <w:tc>
          <w:tcPr>
            <w:tcW w:w="1318" w:type="dxa"/>
            <w:vMerge w:val="continue"/>
            <w:tcBorders>
              <w:left w:val="single" w:color="auto" w:sz="4" w:space="0"/>
              <w:right w:val="single" w:color="auto" w:sz="4" w:space="0"/>
            </w:tcBorders>
            <w:shd w:val="clear" w:color="auto" w:fill="auto"/>
            <w:vAlign w:val="center"/>
          </w:tcPr>
          <w:p w14:paraId="4C5C49BE">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single" w:color="auto" w:sz="4" w:space="0"/>
              <w:left w:val="nil"/>
              <w:bottom w:val="single" w:color="auto" w:sz="4" w:space="0"/>
              <w:right w:val="single" w:color="auto" w:sz="4" w:space="0"/>
            </w:tcBorders>
            <w:shd w:val="clear" w:color="auto" w:fill="auto"/>
            <w:vAlign w:val="center"/>
          </w:tcPr>
          <w:p w14:paraId="3DED5C24">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计算表格分页后默认200条/页</w:t>
            </w:r>
          </w:p>
        </w:tc>
      </w:tr>
      <w:tr w14:paraId="746BA28A">
        <w:tblPrEx>
          <w:tblCellMar>
            <w:top w:w="0" w:type="dxa"/>
            <w:left w:w="108" w:type="dxa"/>
            <w:bottom w:w="0" w:type="dxa"/>
            <w:right w:w="108" w:type="dxa"/>
          </w:tblCellMar>
        </w:tblPrEx>
        <w:trPr>
          <w:trHeight w:val="3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47FE5763">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35</w:t>
            </w:r>
          </w:p>
        </w:tc>
        <w:tc>
          <w:tcPr>
            <w:tcW w:w="1318" w:type="dxa"/>
            <w:vMerge w:val="continue"/>
            <w:tcBorders>
              <w:left w:val="single" w:color="auto" w:sz="4" w:space="0"/>
              <w:right w:val="single" w:color="auto" w:sz="4" w:space="0"/>
            </w:tcBorders>
            <w:shd w:val="clear" w:color="auto" w:fill="auto"/>
            <w:vAlign w:val="center"/>
          </w:tcPr>
          <w:p w14:paraId="58A8AAFC">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single" w:color="auto" w:sz="4" w:space="0"/>
              <w:left w:val="nil"/>
              <w:bottom w:val="single" w:color="auto" w:sz="4" w:space="0"/>
              <w:right w:val="single" w:color="auto" w:sz="4" w:space="0"/>
            </w:tcBorders>
            <w:shd w:val="clear" w:color="auto" w:fill="auto"/>
            <w:vAlign w:val="center"/>
          </w:tcPr>
          <w:p w14:paraId="1888CF47">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分组查看支持查看为空的数据</w:t>
            </w:r>
          </w:p>
        </w:tc>
      </w:tr>
      <w:tr w14:paraId="73225672">
        <w:tblPrEx>
          <w:tblCellMar>
            <w:top w:w="0" w:type="dxa"/>
            <w:left w:w="108" w:type="dxa"/>
            <w:bottom w:w="0" w:type="dxa"/>
            <w:right w:w="108" w:type="dxa"/>
          </w:tblCellMar>
        </w:tblPrEx>
        <w:trPr>
          <w:trHeight w:val="5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01497B48">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36</w:t>
            </w:r>
          </w:p>
        </w:tc>
        <w:tc>
          <w:tcPr>
            <w:tcW w:w="1318" w:type="dxa"/>
            <w:vMerge w:val="continue"/>
            <w:tcBorders>
              <w:left w:val="single" w:color="auto" w:sz="4" w:space="0"/>
              <w:right w:val="single" w:color="auto" w:sz="4" w:space="0"/>
            </w:tcBorders>
            <w:shd w:val="clear" w:color="auto" w:fill="auto"/>
            <w:vAlign w:val="center"/>
          </w:tcPr>
          <w:p w14:paraId="42614446">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single" w:color="auto" w:sz="4" w:space="0"/>
              <w:left w:val="nil"/>
              <w:bottom w:val="single" w:color="auto" w:sz="4" w:space="0"/>
              <w:right w:val="single" w:color="auto" w:sz="4" w:space="0"/>
            </w:tcBorders>
            <w:shd w:val="clear" w:color="auto" w:fill="auto"/>
            <w:vAlign w:val="center"/>
          </w:tcPr>
          <w:p w14:paraId="2EA0D426">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获取数据功能优化</w:t>
            </w:r>
          </w:p>
        </w:tc>
      </w:tr>
      <w:tr w14:paraId="56A97748">
        <w:tblPrEx>
          <w:tblCellMar>
            <w:top w:w="0" w:type="dxa"/>
            <w:left w:w="108" w:type="dxa"/>
            <w:bottom w:w="0" w:type="dxa"/>
            <w:right w:w="108" w:type="dxa"/>
          </w:tblCellMar>
        </w:tblPrEx>
        <w:trPr>
          <w:trHeight w:val="5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328AAF46">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37</w:t>
            </w:r>
          </w:p>
        </w:tc>
        <w:tc>
          <w:tcPr>
            <w:tcW w:w="1318" w:type="dxa"/>
            <w:vMerge w:val="continue"/>
            <w:tcBorders>
              <w:left w:val="single" w:color="auto" w:sz="4" w:space="0"/>
              <w:right w:val="single" w:color="auto" w:sz="4" w:space="0"/>
            </w:tcBorders>
            <w:shd w:val="clear" w:color="auto" w:fill="auto"/>
            <w:vAlign w:val="center"/>
          </w:tcPr>
          <w:p w14:paraId="0EFEEACB">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single" w:color="auto" w:sz="4" w:space="0"/>
              <w:left w:val="nil"/>
              <w:bottom w:val="single" w:color="auto" w:sz="4" w:space="0"/>
              <w:right w:val="single" w:color="auto" w:sz="4" w:space="0"/>
            </w:tcBorders>
            <w:shd w:val="clear" w:color="auto" w:fill="auto"/>
            <w:vAlign w:val="center"/>
          </w:tcPr>
          <w:p w14:paraId="308A97F4">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供试品制备和供试品测定导入模板增加检项</w:t>
            </w:r>
          </w:p>
        </w:tc>
      </w:tr>
      <w:tr w14:paraId="0AA73AA3">
        <w:tblPrEx>
          <w:tblCellMar>
            <w:top w:w="0" w:type="dxa"/>
            <w:left w:w="108" w:type="dxa"/>
            <w:bottom w:w="0" w:type="dxa"/>
            <w:right w:w="108" w:type="dxa"/>
          </w:tblCellMar>
        </w:tblPrEx>
        <w:trPr>
          <w:trHeight w:val="3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5BCD2BD8">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38</w:t>
            </w:r>
          </w:p>
        </w:tc>
        <w:tc>
          <w:tcPr>
            <w:tcW w:w="1318" w:type="dxa"/>
            <w:vMerge w:val="continue"/>
            <w:tcBorders>
              <w:left w:val="single" w:color="auto" w:sz="4" w:space="0"/>
              <w:right w:val="single" w:color="auto" w:sz="4" w:space="0"/>
            </w:tcBorders>
            <w:shd w:val="clear" w:color="auto" w:fill="auto"/>
            <w:vAlign w:val="center"/>
          </w:tcPr>
          <w:p w14:paraId="5D415357">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nil"/>
              <w:left w:val="nil"/>
              <w:bottom w:val="single" w:color="auto" w:sz="4" w:space="0"/>
              <w:right w:val="single" w:color="auto" w:sz="4" w:space="0"/>
            </w:tcBorders>
            <w:shd w:val="clear" w:color="auto" w:fill="auto"/>
            <w:vAlign w:val="center"/>
          </w:tcPr>
          <w:p w14:paraId="4BCF66DB">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获取数据中配置组分加载速度优化</w:t>
            </w:r>
          </w:p>
        </w:tc>
      </w:tr>
      <w:tr w14:paraId="7CF0C19E">
        <w:tblPrEx>
          <w:tblCellMar>
            <w:top w:w="0" w:type="dxa"/>
            <w:left w:w="108" w:type="dxa"/>
            <w:bottom w:w="0" w:type="dxa"/>
            <w:right w:w="108" w:type="dxa"/>
          </w:tblCellMar>
        </w:tblPrEx>
        <w:trPr>
          <w:trHeight w:val="543"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08CCA870">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39</w:t>
            </w:r>
          </w:p>
        </w:tc>
        <w:tc>
          <w:tcPr>
            <w:tcW w:w="1318" w:type="dxa"/>
            <w:vMerge w:val="continue"/>
            <w:tcBorders>
              <w:left w:val="single" w:color="auto" w:sz="4" w:space="0"/>
              <w:right w:val="single" w:color="auto" w:sz="4" w:space="0"/>
            </w:tcBorders>
            <w:shd w:val="clear" w:color="auto" w:fill="auto"/>
            <w:vAlign w:val="center"/>
          </w:tcPr>
          <w:p w14:paraId="77B2C5B1">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single" w:color="auto" w:sz="4" w:space="0"/>
              <w:left w:val="nil"/>
              <w:bottom w:val="single" w:color="auto" w:sz="4" w:space="0"/>
              <w:right w:val="single" w:color="auto" w:sz="4" w:space="0"/>
            </w:tcBorders>
            <w:shd w:val="clear" w:color="auto" w:fill="auto"/>
            <w:vAlign w:val="center"/>
          </w:tcPr>
          <w:p w14:paraId="74AFEFEF">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引用数据优化</w:t>
            </w:r>
          </w:p>
        </w:tc>
      </w:tr>
      <w:tr w14:paraId="73476BF4">
        <w:tblPrEx>
          <w:tblCellMar>
            <w:top w:w="0" w:type="dxa"/>
            <w:left w:w="108" w:type="dxa"/>
            <w:bottom w:w="0" w:type="dxa"/>
            <w:right w:w="108" w:type="dxa"/>
          </w:tblCellMar>
        </w:tblPrEx>
        <w:trPr>
          <w:trHeight w:val="483"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4B6E135A">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40</w:t>
            </w:r>
          </w:p>
        </w:tc>
        <w:tc>
          <w:tcPr>
            <w:tcW w:w="1318" w:type="dxa"/>
            <w:vMerge w:val="continue"/>
            <w:tcBorders>
              <w:left w:val="single" w:color="auto" w:sz="4" w:space="0"/>
              <w:right w:val="single" w:color="auto" w:sz="4" w:space="0"/>
            </w:tcBorders>
            <w:shd w:val="clear" w:color="auto" w:fill="auto"/>
            <w:vAlign w:val="center"/>
          </w:tcPr>
          <w:p w14:paraId="680A5F2C">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nil"/>
              <w:left w:val="nil"/>
              <w:bottom w:val="single" w:color="auto" w:sz="4" w:space="0"/>
              <w:right w:val="single" w:color="auto" w:sz="4" w:space="0"/>
            </w:tcBorders>
            <w:shd w:val="clear" w:color="auto" w:fill="auto"/>
            <w:vAlign w:val="center"/>
          </w:tcPr>
          <w:p w14:paraId="2C521C96">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按检品名称查询优化</w:t>
            </w:r>
          </w:p>
        </w:tc>
      </w:tr>
      <w:tr w14:paraId="191BC4E8">
        <w:tblPrEx>
          <w:tblCellMar>
            <w:top w:w="0" w:type="dxa"/>
            <w:left w:w="108" w:type="dxa"/>
            <w:bottom w:w="0" w:type="dxa"/>
            <w:right w:w="108" w:type="dxa"/>
          </w:tblCellMar>
        </w:tblPrEx>
        <w:trPr>
          <w:trHeight w:val="46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26261AC3">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41</w:t>
            </w:r>
          </w:p>
        </w:tc>
        <w:tc>
          <w:tcPr>
            <w:tcW w:w="1318" w:type="dxa"/>
            <w:vMerge w:val="continue"/>
            <w:tcBorders>
              <w:left w:val="single" w:color="auto" w:sz="4" w:space="0"/>
              <w:right w:val="single" w:color="auto" w:sz="4" w:space="0"/>
            </w:tcBorders>
            <w:shd w:val="clear" w:color="auto" w:fill="auto"/>
            <w:vAlign w:val="center"/>
          </w:tcPr>
          <w:p w14:paraId="0C78BA29">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single" w:color="auto" w:sz="4" w:space="0"/>
              <w:left w:val="nil"/>
              <w:bottom w:val="single" w:color="auto" w:sz="4" w:space="0"/>
              <w:right w:val="single" w:color="auto" w:sz="4" w:space="0"/>
            </w:tcBorders>
            <w:shd w:val="clear" w:color="auto" w:fill="auto"/>
            <w:vAlign w:val="center"/>
          </w:tcPr>
          <w:p w14:paraId="5783AF6B">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对照品制备初始浓度单位不可修改</w:t>
            </w:r>
          </w:p>
        </w:tc>
      </w:tr>
      <w:tr w14:paraId="14386324">
        <w:tblPrEx>
          <w:tblCellMar>
            <w:top w:w="0" w:type="dxa"/>
            <w:left w:w="108" w:type="dxa"/>
            <w:bottom w:w="0" w:type="dxa"/>
            <w:right w:w="108" w:type="dxa"/>
          </w:tblCellMar>
        </w:tblPrEx>
        <w:trPr>
          <w:trHeight w:val="3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7DBAEA23">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42</w:t>
            </w:r>
          </w:p>
        </w:tc>
        <w:tc>
          <w:tcPr>
            <w:tcW w:w="1318" w:type="dxa"/>
            <w:vMerge w:val="continue"/>
            <w:tcBorders>
              <w:left w:val="single" w:color="auto" w:sz="4" w:space="0"/>
              <w:right w:val="single" w:color="auto" w:sz="4" w:space="0"/>
            </w:tcBorders>
            <w:shd w:val="clear" w:color="auto" w:fill="auto"/>
            <w:vAlign w:val="center"/>
          </w:tcPr>
          <w:p w14:paraId="46354B60">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nil"/>
              <w:left w:val="nil"/>
              <w:bottom w:val="single" w:color="auto" w:sz="4" w:space="0"/>
              <w:right w:val="single" w:color="auto" w:sz="4" w:space="0"/>
            </w:tcBorders>
            <w:shd w:val="clear" w:color="auto" w:fill="auto"/>
            <w:vAlign w:val="center"/>
          </w:tcPr>
          <w:p w14:paraId="502D5A48">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供试品测定模板增加字段</w:t>
            </w:r>
          </w:p>
        </w:tc>
      </w:tr>
      <w:tr w14:paraId="70E3A730">
        <w:tblPrEx>
          <w:tblCellMar>
            <w:top w:w="0" w:type="dxa"/>
            <w:left w:w="108" w:type="dxa"/>
            <w:bottom w:w="0" w:type="dxa"/>
            <w:right w:w="108" w:type="dxa"/>
          </w:tblCellMar>
        </w:tblPrEx>
        <w:trPr>
          <w:trHeight w:val="78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10FDD92A">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43</w:t>
            </w:r>
          </w:p>
        </w:tc>
        <w:tc>
          <w:tcPr>
            <w:tcW w:w="1318" w:type="dxa"/>
            <w:vMerge w:val="continue"/>
            <w:tcBorders>
              <w:left w:val="single" w:color="auto" w:sz="4" w:space="0"/>
              <w:right w:val="single" w:color="auto" w:sz="4" w:space="0"/>
            </w:tcBorders>
            <w:shd w:val="clear" w:color="auto" w:fill="auto"/>
            <w:vAlign w:val="center"/>
          </w:tcPr>
          <w:p w14:paraId="0A718A87">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single" w:color="auto" w:sz="4" w:space="0"/>
              <w:left w:val="nil"/>
              <w:bottom w:val="single" w:color="auto" w:sz="4" w:space="0"/>
              <w:right w:val="single" w:color="auto" w:sz="4" w:space="0"/>
            </w:tcBorders>
            <w:shd w:val="clear" w:color="auto" w:fill="auto"/>
            <w:vAlign w:val="center"/>
          </w:tcPr>
          <w:p w14:paraId="690F16B4">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对照品制备增加模板导出及导入</w:t>
            </w:r>
          </w:p>
        </w:tc>
      </w:tr>
      <w:tr w14:paraId="2C9F4F26">
        <w:tblPrEx>
          <w:tblCellMar>
            <w:top w:w="0" w:type="dxa"/>
            <w:left w:w="108" w:type="dxa"/>
            <w:bottom w:w="0" w:type="dxa"/>
            <w:right w:w="108" w:type="dxa"/>
          </w:tblCellMar>
        </w:tblPrEx>
        <w:trPr>
          <w:trHeight w:val="3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4D935C0D">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44</w:t>
            </w:r>
          </w:p>
        </w:tc>
        <w:tc>
          <w:tcPr>
            <w:tcW w:w="1318" w:type="dxa"/>
            <w:vMerge w:val="continue"/>
            <w:tcBorders>
              <w:left w:val="single" w:color="auto" w:sz="4" w:space="0"/>
              <w:right w:val="single" w:color="auto" w:sz="4" w:space="0"/>
            </w:tcBorders>
            <w:shd w:val="clear" w:color="auto" w:fill="auto"/>
            <w:vAlign w:val="center"/>
          </w:tcPr>
          <w:p w14:paraId="562B696B">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single" w:color="auto" w:sz="4" w:space="0"/>
              <w:left w:val="nil"/>
              <w:bottom w:val="single" w:color="auto" w:sz="4" w:space="0"/>
              <w:right w:val="single" w:color="auto" w:sz="4" w:space="0"/>
            </w:tcBorders>
            <w:shd w:val="clear" w:color="auto" w:fill="auto"/>
            <w:vAlign w:val="center"/>
          </w:tcPr>
          <w:p w14:paraId="4B4AA5EE">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对照品制备过程右键按钮权限设置</w:t>
            </w:r>
          </w:p>
        </w:tc>
      </w:tr>
      <w:tr w14:paraId="5CBC341A">
        <w:tblPrEx>
          <w:tblCellMar>
            <w:top w:w="0" w:type="dxa"/>
            <w:left w:w="108" w:type="dxa"/>
            <w:bottom w:w="0" w:type="dxa"/>
            <w:right w:w="108" w:type="dxa"/>
          </w:tblCellMar>
        </w:tblPrEx>
        <w:trPr>
          <w:trHeight w:val="3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205D5F3D">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45</w:t>
            </w:r>
          </w:p>
        </w:tc>
        <w:tc>
          <w:tcPr>
            <w:tcW w:w="1318" w:type="dxa"/>
            <w:vMerge w:val="continue"/>
            <w:tcBorders>
              <w:left w:val="single" w:color="auto" w:sz="4" w:space="0"/>
              <w:right w:val="single" w:color="auto" w:sz="4" w:space="0"/>
            </w:tcBorders>
            <w:shd w:val="clear" w:color="auto" w:fill="auto"/>
            <w:vAlign w:val="center"/>
          </w:tcPr>
          <w:p w14:paraId="702A3879">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single" w:color="auto" w:sz="4" w:space="0"/>
              <w:left w:val="nil"/>
              <w:bottom w:val="single" w:color="auto" w:sz="4" w:space="0"/>
              <w:right w:val="single" w:color="auto" w:sz="4" w:space="0"/>
            </w:tcBorders>
            <w:shd w:val="clear" w:color="auto" w:fill="auto"/>
            <w:vAlign w:val="center"/>
          </w:tcPr>
          <w:p w14:paraId="55CF744F">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按检品导航增加导出功能</w:t>
            </w:r>
          </w:p>
        </w:tc>
      </w:tr>
      <w:tr w14:paraId="7FC99753">
        <w:tblPrEx>
          <w:tblCellMar>
            <w:top w:w="0" w:type="dxa"/>
            <w:left w:w="108" w:type="dxa"/>
            <w:bottom w:w="0" w:type="dxa"/>
            <w:right w:w="108" w:type="dxa"/>
          </w:tblCellMar>
        </w:tblPrEx>
        <w:trPr>
          <w:trHeight w:val="3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1DF7A493">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46</w:t>
            </w:r>
          </w:p>
        </w:tc>
        <w:tc>
          <w:tcPr>
            <w:tcW w:w="1318" w:type="dxa"/>
            <w:vMerge w:val="continue"/>
            <w:tcBorders>
              <w:left w:val="single" w:color="auto" w:sz="4" w:space="0"/>
              <w:right w:val="single" w:color="auto" w:sz="4" w:space="0"/>
            </w:tcBorders>
            <w:shd w:val="clear" w:color="auto" w:fill="auto"/>
            <w:vAlign w:val="center"/>
          </w:tcPr>
          <w:p w14:paraId="2DF5ACDA">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single" w:color="auto" w:sz="4" w:space="0"/>
              <w:left w:val="nil"/>
              <w:bottom w:val="single" w:color="auto" w:sz="4" w:space="0"/>
              <w:right w:val="single" w:color="auto" w:sz="4" w:space="0"/>
            </w:tcBorders>
            <w:shd w:val="clear" w:color="auto" w:fill="auto"/>
            <w:vAlign w:val="center"/>
          </w:tcPr>
          <w:p w14:paraId="79566476">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获取数据的选择数据中筛选默认选中，增加全选按钮</w:t>
            </w:r>
          </w:p>
        </w:tc>
      </w:tr>
      <w:tr w14:paraId="79AAE484">
        <w:tblPrEx>
          <w:tblCellMar>
            <w:top w:w="0" w:type="dxa"/>
            <w:left w:w="108" w:type="dxa"/>
            <w:bottom w:w="0" w:type="dxa"/>
            <w:right w:w="108" w:type="dxa"/>
          </w:tblCellMar>
        </w:tblPrEx>
        <w:trPr>
          <w:trHeight w:val="3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2C72877E">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47</w:t>
            </w:r>
          </w:p>
        </w:tc>
        <w:tc>
          <w:tcPr>
            <w:tcW w:w="1318" w:type="dxa"/>
            <w:vMerge w:val="continue"/>
            <w:tcBorders>
              <w:left w:val="single" w:color="auto" w:sz="4" w:space="0"/>
              <w:right w:val="single" w:color="auto" w:sz="4" w:space="0"/>
            </w:tcBorders>
            <w:shd w:val="clear" w:color="auto" w:fill="auto"/>
            <w:vAlign w:val="center"/>
          </w:tcPr>
          <w:p w14:paraId="77E98E37">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single" w:color="auto" w:sz="4" w:space="0"/>
              <w:left w:val="nil"/>
              <w:bottom w:val="single" w:color="auto" w:sz="4" w:space="0"/>
              <w:right w:val="single" w:color="auto" w:sz="4" w:space="0"/>
            </w:tcBorders>
            <w:shd w:val="clear" w:color="auto" w:fill="auto"/>
            <w:vAlign w:val="center"/>
          </w:tcPr>
          <w:p w14:paraId="5B8DEB67">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附件管理弹窗增加上传时间和说明</w:t>
            </w:r>
          </w:p>
        </w:tc>
      </w:tr>
      <w:tr w14:paraId="1001F0C3">
        <w:tblPrEx>
          <w:tblCellMar>
            <w:top w:w="0" w:type="dxa"/>
            <w:left w:w="108" w:type="dxa"/>
            <w:bottom w:w="0" w:type="dxa"/>
            <w:right w:w="108" w:type="dxa"/>
          </w:tblCellMar>
        </w:tblPrEx>
        <w:trPr>
          <w:trHeight w:val="78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0D04F1F5">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48</w:t>
            </w:r>
          </w:p>
        </w:tc>
        <w:tc>
          <w:tcPr>
            <w:tcW w:w="1318" w:type="dxa"/>
            <w:vMerge w:val="continue"/>
            <w:tcBorders>
              <w:left w:val="single" w:color="auto" w:sz="4" w:space="0"/>
              <w:right w:val="single" w:color="auto" w:sz="4" w:space="0"/>
            </w:tcBorders>
            <w:shd w:val="clear" w:color="auto" w:fill="auto"/>
            <w:vAlign w:val="center"/>
          </w:tcPr>
          <w:p w14:paraId="63260DE3">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nil"/>
              <w:left w:val="nil"/>
              <w:bottom w:val="single" w:color="auto" w:sz="4" w:space="0"/>
              <w:right w:val="single" w:color="auto" w:sz="4" w:space="0"/>
            </w:tcBorders>
            <w:shd w:val="clear" w:color="auto" w:fill="auto"/>
            <w:vAlign w:val="center"/>
          </w:tcPr>
          <w:p w14:paraId="65B05F19">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报告组分关系配置弹窗调整</w:t>
            </w:r>
          </w:p>
        </w:tc>
      </w:tr>
      <w:tr w14:paraId="5F7C6E89">
        <w:tblPrEx>
          <w:tblCellMar>
            <w:top w:w="0" w:type="dxa"/>
            <w:left w:w="108" w:type="dxa"/>
            <w:bottom w:w="0" w:type="dxa"/>
            <w:right w:w="108" w:type="dxa"/>
          </w:tblCellMar>
        </w:tblPrEx>
        <w:trPr>
          <w:trHeight w:val="3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7923A2E7">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49</w:t>
            </w:r>
          </w:p>
        </w:tc>
        <w:tc>
          <w:tcPr>
            <w:tcW w:w="1318" w:type="dxa"/>
            <w:vMerge w:val="continue"/>
            <w:tcBorders>
              <w:left w:val="single" w:color="auto" w:sz="4" w:space="0"/>
              <w:right w:val="single" w:color="auto" w:sz="4" w:space="0"/>
            </w:tcBorders>
            <w:shd w:val="clear" w:color="auto" w:fill="auto"/>
            <w:vAlign w:val="center"/>
          </w:tcPr>
          <w:p w14:paraId="27EF3751">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nil"/>
              <w:left w:val="nil"/>
              <w:bottom w:val="single" w:color="auto" w:sz="4" w:space="0"/>
              <w:right w:val="single" w:color="auto" w:sz="4" w:space="0"/>
            </w:tcBorders>
            <w:shd w:val="clear" w:color="auto" w:fill="auto"/>
            <w:vAlign w:val="center"/>
          </w:tcPr>
          <w:p w14:paraId="06BC3A99">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加标数据服务增加报告组分并将当前的组分改成实验组分</w:t>
            </w:r>
          </w:p>
        </w:tc>
      </w:tr>
      <w:tr w14:paraId="1A2F6840">
        <w:tblPrEx>
          <w:tblCellMar>
            <w:top w:w="0" w:type="dxa"/>
            <w:left w:w="108" w:type="dxa"/>
            <w:bottom w:w="0" w:type="dxa"/>
            <w:right w:w="108" w:type="dxa"/>
          </w:tblCellMar>
        </w:tblPrEx>
        <w:trPr>
          <w:trHeight w:val="78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235060FD">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50</w:t>
            </w:r>
          </w:p>
        </w:tc>
        <w:tc>
          <w:tcPr>
            <w:tcW w:w="1318" w:type="dxa"/>
            <w:vMerge w:val="continue"/>
            <w:tcBorders>
              <w:left w:val="single" w:color="auto" w:sz="4" w:space="0"/>
              <w:right w:val="single" w:color="auto" w:sz="4" w:space="0"/>
            </w:tcBorders>
            <w:shd w:val="clear" w:color="auto" w:fill="auto"/>
            <w:vAlign w:val="center"/>
          </w:tcPr>
          <w:p w14:paraId="75281D24">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nil"/>
              <w:left w:val="nil"/>
              <w:bottom w:val="single" w:color="auto" w:sz="4" w:space="0"/>
              <w:right w:val="single" w:color="auto" w:sz="4" w:space="0"/>
            </w:tcBorders>
            <w:shd w:val="clear" w:color="auto" w:fill="auto"/>
            <w:vAlign w:val="center"/>
          </w:tcPr>
          <w:p w14:paraId="01B3C468">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实验目录管理调整</w:t>
            </w:r>
          </w:p>
        </w:tc>
      </w:tr>
      <w:tr w14:paraId="569F8E83">
        <w:tblPrEx>
          <w:tblCellMar>
            <w:top w:w="0" w:type="dxa"/>
            <w:left w:w="108" w:type="dxa"/>
            <w:bottom w:w="0" w:type="dxa"/>
            <w:right w:w="108" w:type="dxa"/>
          </w:tblCellMar>
        </w:tblPrEx>
        <w:trPr>
          <w:trHeight w:val="3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1FD5761E">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51</w:t>
            </w:r>
          </w:p>
        </w:tc>
        <w:tc>
          <w:tcPr>
            <w:tcW w:w="1318" w:type="dxa"/>
            <w:vMerge w:val="continue"/>
            <w:tcBorders>
              <w:left w:val="single" w:color="auto" w:sz="4" w:space="0"/>
              <w:right w:val="single" w:color="auto" w:sz="4" w:space="0"/>
            </w:tcBorders>
            <w:shd w:val="clear" w:color="auto" w:fill="auto"/>
            <w:vAlign w:val="center"/>
          </w:tcPr>
          <w:p w14:paraId="7E833EBE">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nil"/>
              <w:left w:val="nil"/>
              <w:bottom w:val="single" w:color="auto" w:sz="4" w:space="0"/>
              <w:right w:val="single" w:color="auto" w:sz="4" w:space="0"/>
            </w:tcBorders>
            <w:shd w:val="clear" w:color="auto" w:fill="auto"/>
            <w:vAlign w:val="center"/>
          </w:tcPr>
          <w:p w14:paraId="24CE8F8C">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材料仪器组件中字段信息支持修改</w:t>
            </w:r>
          </w:p>
        </w:tc>
      </w:tr>
      <w:tr w14:paraId="737AB5D3">
        <w:tblPrEx>
          <w:tblCellMar>
            <w:top w:w="0" w:type="dxa"/>
            <w:left w:w="108" w:type="dxa"/>
            <w:bottom w:w="0" w:type="dxa"/>
            <w:right w:w="108" w:type="dxa"/>
          </w:tblCellMar>
        </w:tblPrEx>
        <w:trPr>
          <w:trHeight w:val="59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44EDFFD4">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52</w:t>
            </w:r>
          </w:p>
        </w:tc>
        <w:tc>
          <w:tcPr>
            <w:tcW w:w="1318" w:type="dxa"/>
            <w:vMerge w:val="continue"/>
            <w:tcBorders>
              <w:left w:val="single" w:color="auto" w:sz="4" w:space="0"/>
              <w:right w:val="single" w:color="auto" w:sz="4" w:space="0"/>
            </w:tcBorders>
            <w:shd w:val="clear" w:color="auto" w:fill="auto"/>
            <w:vAlign w:val="center"/>
          </w:tcPr>
          <w:p w14:paraId="571EFA00">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nil"/>
              <w:left w:val="nil"/>
              <w:bottom w:val="single" w:color="auto" w:sz="4" w:space="0"/>
              <w:right w:val="single" w:color="auto" w:sz="4" w:space="0"/>
            </w:tcBorders>
            <w:shd w:val="clear" w:color="auto" w:fill="auto"/>
            <w:vAlign w:val="center"/>
          </w:tcPr>
          <w:p w14:paraId="37415552">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实验中左右布局调整</w:t>
            </w:r>
          </w:p>
        </w:tc>
      </w:tr>
      <w:tr w14:paraId="5BE6DACA">
        <w:tblPrEx>
          <w:tblCellMar>
            <w:top w:w="0" w:type="dxa"/>
            <w:left w:w="108" w:type="dxa"/>
            <w:bottom w:w="0" w:type="dxa"/>
            <w:right w:w="108" w:type="dxa"/>
          </w:tblCellMar>
        </w:tblPrEx>
        <w:trPr>
          <w:trHeight w:val="634"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1064D30B">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53</w:t>
            </w:r>
          </w:p>
        </w:tc>
        <w:tc>
          <w:tcPr>
            <w:tcW w:w="1318" w:type="dxa"/>
            <w:vMerge w:val="continue"/>
            <w:tcBorders>
              <w:left w:val="single" w:color="auto" w:sz="4" w:space="0"/>
              <w:right w:val="single" w:color="auto" w:sz="4" w:space="0"/>
            </w:tcBorders>
            <w:shd w:val="clear" w:color="auto" w:fill="auto"/>
            <w:vAlign w:val="center"/>
          </w:tcPr>
          <w:p w14:paraId="56453A1B">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single" w:color="auto" w:sz="4" w:space="0"/>
              <w:left w:val="nil"/>
              <w:bottom w:val="single" w:color="auto" w:sz="4" w:space="0"/>
              <w:right w:val="single" w:color="auto" w:sz="4" w:space="0"/>
            </w:tcBorders>
            <w:shd w:val="clear" w:color="auto" w:fill="auto"/>
            <w:vAlign w:val="center"/>
          </w:tcPr>
          <w:p w14:paraId="195A44B4">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实验中记录组件报告书结果增加对是否有计算组件的判断</w:t>
            </w:r>
          </w:p>
        </w:tc>
      </w:tr>
      <w:tr w14:paraId="387CED5C">
        <w:tblPrEx>
          <w:tblCellMar>
            <w:top w:w="0" w:type="dxa"/>
            <w:left w:w="108" w:type="dxa"/>
            <w:bottom w:w="0" w:type="dxa"/>
            <w:right w:w="108" w:type="dxa"/>
          </w:tblCellMar>
        </w:tblPrEx>
        <w:trPr>
          <w:trHeight w:val="5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57A45ABE">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54</w:t>
            </w:r>
          </w:p>
        </w:tc>
        <w:tc>
          <w:tcPr>
            <w:tcW w:w="1318" w:type="dxa"/>
            <w:vMerge w:val="continue"/>
            <w:tcBorders>
              <w:left w:val="single" w:color="auto" w:sz="4" w:space="0"/>
              <w:right w:val="single" w:color="auto" w:sz="4" w:space="0"/>
            </w:tcBorders>
            <w:shd w:val="clear" w:color="auto" w:fill="auto"/>
            <w:vAlign w:val="center"/>
          </w:tcPr>
          <w:p w14:paraId="4AC7F6B2">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nil"/>
              <w:left w:val="nil"/>
              <w:bottom w:val="single" w:color="auto" w:sz="4" w:space="0"/>
              <w:right w:val="single" w:color="auto" w:sz="4" w:space="0"/>
            </w:tcBorders>
            <w:shd w:val="clear" w:color="auto" w:fill="auto"/>
            <w:vAlign w:val="center"/>
          </w:tcPr>
          <w:p w14:paraId="1EFF3A66">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只引用材料可在对照品制备中进行制备</w:t>
            </w:r>
          </w:p>
        </w:tc>
      </w:tr>
      <w:tr w14:paraId="1DE3D519">
        <w:tblPrEx>
          <w:tblCellMar>
            <w:top w:w="0" w:type="dxa"/>
            <w:left w:w="108" w:type="dxa"/>
            <w:bottom w:w="0" w:type="dxa"/>
            <w:right w:w="108" w:type="dxa"/>
          </w:tblCellMar>
        </w:tblPrEx>
        <w:trPr>
          <w:trHeight w:val="3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6279C40C">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55</w:t>
            </w:r>
          </w:p>
        </w:tc>
        <w:tc>
          <w:tcPr>
            <w:tcW w:w="1318" w:type="dxa"/>
            <w:vMerge w:val="continue"/>
            <w:tcBorders>
              <w:left w:val="single" w:color="auto" w:sz="4" w:space="0"/>
              <w:right w:val="single" w:color="auto" w:sz="4" w:space="0"/>
            </w:tcBorders>
            <w:shd w:val="clear" w:color="auto" w:fill="auto"/>
            <w:vAlign w:val="center"/>
          </w:tcPr>
          <w:p w14:paraId="095101F6">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single" w:color="auto" w:sz="4" w:space="0"/>
              <w:left w:val="nil"/>
              <w:bottom w:val="single" w:color="auto" w:sz="4" w:space="0"/>
              <w:right w:val="single" w:color="auto" w:sz="4" w:space="0"/>
            </w:tcBorders>
            <w:shd w:val="clear" w:color="auto" w:fill="auto"/>
            <w:vAlign w:val="center"/>
          </w:tcPr>
          <w:p w14:paraId="7B3BBD85">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实验管理常规实验增加按检品名称查询</w:t>
            </w:r>
          </w:p>
        </w:tc>
      </w:tr>
      <w:tr w14:paraId="3BE6379D">
        <w:tblPrEx>
          <w:tblCellMar>
            <w:top w:w="0" w:type="dxa"/>
            <w:left w:w="108" w:type="dxa"/>
            <w:bottom w:w="0" w:type="dxa"/>
            <w:right w:w="108" w:type="dxa"/>
          </w:tblCellMar>
        </w:tblPrEx>
        <w:trPr>
          <w:trHeight w:val="5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5D517E1A">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56</w:t>
            </w:r>
          </w:p>
        </w:tc>
        <w:tc>
          <w:tcPr>
            <w:tcW w:w="1318" w:type="dxa"/>
            <w:vMerge w:val="continue"/>
            <w:tcBorders>
              <w:left w:val="single" w:color="auto" w:sz="4" w:space="0"/>
              <w:right w:val="single" w:color="auto" w:sz="4" w:space="0"/>
            </w:tcBorders>
            <w:shd w:val="clear" w:color="auto" w:fill="auto"/>
            <w:vAlign w:val="center"/>
          </w:tcPr>
          <w:p w14:paraId="4057D9ED">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single" w:color="auto" w:sz="4" w:space="0"/>
              <w:left w:val="nil"/>
              <w:bottom w:val="single" w:color="auto" w:sz="4" w:space="0"/>
              <w:right w:val="single" w:color="auto" w:sz="4" w:space="0"/>
            </w:tcBorders>
            <w:shd w:val="clear" w:color="auto" w:fill="auto"/>
            <w:vAlign w:val="center"/>
          </w:tcPr>
          <w:p w14:paraId="7E27C95D">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供试品称量填写优化</w:t>
            </w:r>
          </w:p>
        </w:tc>
      </w:tr>
      <w:tr w14:paraId="45087611">
        <w:tblPrEx>
          <w:tblCellMar>
            <w:top w:w="0" w:type="dxa"/>
            <w:left w:w="108" w:type="dxa"/>
            <w:bottom w:w="0" w:type="dxa"/>
            <w:right w:w="108" w:type="dxa"/>
          </w:tblCellMar>
        </w:tblPrEx>
        <w:trPr>
          <w:trHeight w:val="3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374DB4B6">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57</w:t>
            </w:r>
          </w:p>
        </w:tc>
        <w:tc>
          <w:tcPr>
            <w:tcW w:w="1318" w:type="dxa"/>
            <w:vMerge w:val="continue"/>
            <w:tcBorders>
              <w:left w:val="single" w:color="auto" w:sz="4" w:space="0"/>
              <w:right w:val="single" w:color="auto" w:sz="4" w:space="0"/>
            </w:tcBorders>
            <w:shd w:val="clear" w:color="auto" w:fill="auto"/>
            <w:vAlign w:val="center"/>
          </w:tcPr>
          <w:p w14:paraId="21D565AB">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nil"/>
              <w:left w:val="nil"/>
              <w:bottom w:val="single" w:color="auto" w:sz="4" w:space="0"/>
              <w:right w:val="single" w:color="auto" w:sz="4" w:space="0"/>
            </w:tcBorders>
            <w:shd w:val="clear" w:color="auto" w:fill="auto"/>
            <w:vAlign w:val="center"/>
          </w:tcPr>
          <w:p w14:paraId="2A630AB9">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材料组件中的材料名称可修改</w:t>
            </w:r>
          </w:p>
        </w:tc>
      </w:tr>
      <w:tr w14:paraId="6ACC8D88">
        <w:tblPrEx>
          <w:tblCellMar>
            <w:top w:w="0" w:type="dxa"/>
            <w:left w:w="108" w:type="dxa"/>
            <w:bottom w:w="0" w:type="dxa"/>
            <w:right w:w="108" w:type="dxa"/>
          </w:tblCellMar>
        </w:tblPrEx>
        <w:trPr>
          <w:trHeight w:val="3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68A2CD69">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58</w:t>
            </w:r>
          </w:p>
        </w:tc>
        <w:tc>
          <w:tcPr>
            <w:tcW w:w="1318" w:type="dxa"/>
            <w:vMerge w:val="continue"/>
            <w:tcBorders>
              <w:left w:val="single" w:color="auto" w:sz="4" w:space="0"/>
              <w:right w:val="single" w:color="auto" w:sz="4" w:space="0"/>
            </w:tcBorders>
            <w:shd w:val="clear" w:color="auto" w:fill="auto"/>
            <w:vAlign w:val="center"/>
          </w:tcPr>
          <w:p w14:paraId="73314092">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single" w:color="auto" w:sz="4" w:space="0"/>
              <w:left w:val="nil"/>
              <w:bottom w:val="single" w:color="auto" w:sz="4" w:space="0"/>
              <w:right w:val="single" w:color="auto" w:sz="4" w:space="0"/>
            </w:tcBorders>
            <w:shd w:val="clear" w:color="auto" w:fill="auto"/>
            <w:vAlign w:val="center"/>
          </w:tcPr>
          <w:p w14:paraId="6D50658B">
            <w:pPr>
              <w:keepNext w:val="0"/>
              <w:keepLines w:val="0"/>
              <w:widowControl w:val="0"/>
              <w:suppressLineNumbers w:val="0"/>
              <w:adjustRightInd w:val="0"/>
              <w:spacing w:before="0" w:beforeAutospacing="0" w:after="0" w:afterAutospacing="0"/>
              <w:ind w:left="0" w:right="0"/>
              <w:jc w:val="both"/>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若检品</w:t>
            </w:r>
            <w:r>
              <w:rPr>
                <w:rFonts w:hint="eastAsia" w:ascii="宋体" w:hAnsi="宋体" w:cs="宋体"/>
                <w:color w:val="auto"/>
                <w:kern w:val="0"/>
                <w:sz w:val="24"/>
                <w:szCs w:val="24"/>
                <w:highlight w:val="none"/>
                <w:lang w:val="en-US" w:eastAsia="zh-CN"/>
                <w14:ligatures w14:val="none"/>
              </w:rPr>
              <w:t>已经</w:t>
            </w:r>
            <w:r>
              <w:rPr>
                <w:rFonts w:hint="eastAsia" w:ascii="宋体" w:hAnsi="宋体" w:eastAsia="宋体" w:cs="宋体"/>
                <w:color w:val="auto"/>
                <w:kern w:val="0"/>
                <w:sz w:val="24"/>
                <w:szCs w:val="24"/>
                <w:highlight w:val="none"/>
                <w14:ligatures w14:val="none"/>
              </w:rPr>
              <w:t>出科室则检品在检验任务中查不到</w:t>
            </w:r>
          </w:p>
        </w:tc>
      </w:tr>
      <w:tr w14:paraId="235D810A">
        <w:tblPrEx>
          <w:tblCellMar>
            <w:top w:w="0" w:type="dxa"/>
            <w:left w:w="108" w:type="dxa"/>
            <w:bottom w:w="0" w:type="dxa"/>
            <w:right w:w="108" w:type="dxa"/>
          </w:tblCellMar>
        </w:tblPrEx>
        <w:trPr>
          <w:trHeight w:val="61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05D21FD8">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59</w:t>
            </w:r>
          </w:p>
        </w:tc>
        <w:tc>
          <w:tcPr>
            <w:tcW w:w="1318" w:type="dxa"/>
            <w:vMerge w:val="continue"/>
            <w:tcBorders>
              <w:left w:val="single" w:color="auto" w:sz="4" w:space="0"/>
              <w:right w:val="single" w:color="auto" w:sz="4" w:space="0"/>
            </w:tcBorders>
            <w:shd w:val="clear" w:color="auto" w:fill="auto"/>
            <w:vAlign w:val="center"/>
          </w:tcPr>
          <w:p w14:paraId="43DD8111">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nil"/>
              <w:left w:val="nil"/>
              <w:bottom w:val="single" w:color="auto" w:sz="4" w:space="0"/>
              <w:right w:val="single" w:color="auto" w:sz="4" w:space="0"/>
            </w:tcBorders>
            <w:shd w:val="clear" w:color="auto" w:fill="auto"/>
            <w:vAlign w:val="center"/>
          </w:tcPr>
          <w:p w14:paraId="69F90376">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流程运维中已完成的实验除食品所外都不可取回</w:t>
            </w:r>
          </w:p>
        </w:tc>
      </w:tr>
      <w:tr w14:paraId="0FF6893F">
        <w:tblPrEx>
          <w:tblCellMar>
            <w:top w:w="0" w:type="dxa"/>
            <w:left w:w="108" w:type="dxa"/>
            <w:bottom w:w="0" w:type="dxa"/>
            <w:right w:w="108" w:type="dxa"/>
          </w:tblCellMar>
        </w:tblPrEx>
        <w:trPr>
          <w:trHeight w:val="3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548C89CA">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60</w:t>
            </w:r>
          </w:p>
        </w:tc>
        <w:tc>
          <w:tcPr>
            <w:tcW w:w="1318" w:type="dxa"/>
            <w:vMerge w:val="continue"/>
            <w:tcBorders>
              <w:left w:val="single" w:color="auto" w:sz="4" w:space="0"/>
              <w:right w:val="single" w:color="auto" w:sz="4" w:space="0"/>
            </w:tcBorders>
            <w:shd w:val="clear" w:color="auto" w:fill="auto"/>
            <w:vAlign w:val="center"/>
          </w:tcPr>
          <w:p w14:paraId="1961043E">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nil"/>
              <w:left w:val="nil"/>
              <w:bottom w:val="single" w:color="auto" w:sz="4" w:space="0"/>
              <w:right w:val="single" w:color="auto" w:sz="4" w:space="0"/>
            </w:tcBorders>
            <w:shd w:val="clear" w:color="auto" w:fill="auto"/>
            <w:vAlign w:val="center"/>
          </w:tcPr>
          <w:p w14:paraId="30853212">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获取材料弹窗增加领取时间</w:t>
            </w:r>
          </w:p>
        </w:tc>
      </w:tr>
      <w:tr w14:paraId="588AE33F">
        <w:tblPrEx>
          <w:tblCellMar>
            <w:top w:w="0" w:type="dxa"/>
            <w:left w:w="108" w:type="dxa"/>
            <w:bottom w:w="0" w:type="dxa"/>
            <w:right w:w="108" w:type="dxa"/>
          </w:tblCellMar>
        </w:tblPrEx>
        <w:trPr>
          <w:trHeight w:val="3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2787AA91">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61</w:t>
            </w:r>
          </w:p>
        </w:tc>
        <w:tc>
          <w:tcPr>
            <w:tcW w:w="1318" w:type="dxa"/>
            <w:vMerge w:val="continue"/>
            <w:tcBorders>
              <w:left w:val="single" w:color="auto" w:sz="4" w:space="0"/>
              <w:right w:val="single" w:color="auto" w:sz="4" w:space="0"/>
            </w:tcBorders>
            <w:shd w:val="clear" w:color="auto" w:fill="auto"/>
            <w:vAlign w:val="center"/>
          </w:tcPr>
          <w:p w14:paraId="04927A92">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single" w:color="auto" w:sz="4" w:space="0"/>
              <w:left w:val="nil"/>
              <w:bottom w:val="single" w:color="auto" w:sz="4" w:space="0"/>
              <w:right w:val="single" w:color="auto" w:sz="4" w:space="0"/>
            </w:tcBorders>
            <w:shd w:val="clear" w:color="auto" w:fill="auto"/>
            <w:vAlign w:val="center"/>
          </w:tcPr>
          <w:p w14:paraId="658319F5">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获取材料(优纳特)优化</w:t>
            </w:r>
          </w:p>
        </w:tc>
      </w:tr>
      <w:tr w14:paraId="6F6A8465">
        <w:tblPrEx>
          <w:tblCellMar>
            <w:top w:w="0" w:type="dxa"/>
            <w:left w:w="108" w:type="dxa"/>
            <w:bottom w:w="0" w:type="dxa"/>
            <w:right w:w="108" w:type="dxa"/>
          </w:tblCellMar>
        </w:tblPrEx>
        <w:trPr>
          <w:trHeight w:val="5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6E5C7BA4">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62</w:t>
            </w:r>
          </w:p>
        </w:tc>
        <w:tc>
          <w:tcPr>
            <w:tcW w:w="1318" w:type="dxa"/>
            <w:vMerge w:val="continue"/>
            <w:tcBorders>
              <w:left w:val="single" w:color="auto" w:sz="4" w:space="0"/>
              <w:right w:val="single" w:color="auto" w:sz="4" w:space="0"/>
            </w:tcBorders>
            <w:shd w:val="clear" w:color="auto" w:fill="auto"/>
            <w:vAlign w:val="center"/>
          </w:tcPr>
          <w:p w14:paraId="7594073F">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nil"/>
              <w:left w:val="nil"/>
              <w:bottom w:val="single" w:color="auto" w:sz="4" w:space="0"/>
              <w:right w:val="single" w:color="auto" w:sz="4" w:space="0"/>
            </w:tcBorders>
            <w:shd w:val="clear" w:color="auto" w:fill="auto"/>
            <w:vAlign w:val="center"/>
          </w:tcPr>
          <w:p w14:paraId="349BBB80">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批注功能优化</w:t>
            </w:r>
          </w:p>
        </w:tc>
      </w:tr>
      <w:tr w14:paraId="2BF633D8">
        <w:tblPrEx>
          <w:tblCellMar>
            <w:top w:w="0" w:type="dxa"/>
            <w:left w:w="108" w:type="dxa"/>
            <w:bottom w:w="0" w:type="dxa"/>
            <w:right w:w="108" w:type="dxa"/>
          </w:tblCellMar>
        </w:tblPrEx>
        <w:trPr>
          <w:trHeight w:val="3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1CB6391A">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63</w:t>
            </w:r>
          </w:p>
        </w:tc>
        <w:tc>
          <w:tcPr>
            <w:tcW w:w="1318" w:type="dxa"/>
            <w:vMerge w:val="continue"/>
            <w:tcBorders>
              <w:left w:val="single" w:color="auto" w:sz="4" w:space="0"/>
              <w:right w:val="single" w:color="auto" w:sz="4" w:space="0"/>
            </w:tcBorders>
            <w:shd w:val="clear" w:color="auto" w:fill="auto"/>
            <w:vAlign w:val="center"/>
          </w:tcPr>
          <w:p w14:paraId="599EABA9">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single" w:color="auto" w:sz="4" w:space="0"/>
              <w:left w:val="nil"/>
              <w:bottom w:val="single" w:color="auto" w:sz="4" w:space="0"/>
              <w:right w:val="single" w:color="auto" w:sz="4" w:space="0"/>
            </w:tcBorders>
            <w:shd w:val="clear" w:color="auto" w:fill="auto"/>
            <w:vAlign w:val="center"/>
          </w:tcPr>
          <w:p w14:paraId="58D6FDF7">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材料仪器与制备过程中的含量、水分字段数据保持一致</w:t>
            </w:r>
          </w:p>
        </w:tc>
      </w:tr>
      <w:tr w14:paraId="02BC8306">
        <w:tblPrEx>
          <w:tblCellMar>
            <w:top w:w="0" w:type="dxa"/>
            <w:left w:w="108" w:type="dxa"/>
            <w:bottom w:w="0" w:type="dxa"/>
            <w:right w:w="108" w:type="dxa"/>
          </w:tblCellMar>
        </w:tblPrEx>
        <w:trPr>
          <w:trHeight w:val="3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5CA4FBC0">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64</w:t>
            </w:r>
          </w:p>
        </w:tc>
        <w:tc>
          <w:tcPr>
            <w:tcW w:w="1318" w:type="dxa"/>
            <w:vMerge w:val="continue"/>
            <w:tcBorders>
              <w:left w:val="single" w:color="auto" w:sz="4" w:space="0"/>
              <w:right w:val="single" w:color="auto" w:sz="4" w:space="0"/>
            </w:tcBorders>
            <w:shd w:val="clear" w:color="auto" w:fill="auto"/>
            <w:vAlign w:val="center"/>
          </w:tcPr>
          <w:p w14:paraId="24092931">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single" w:color="auto" w:sz="4" w:space="0"/>
              <w:left w:val="nil"/>
              <w:bottom w:val="single" w:color="auto" w:sz="4" w:space="0"/>
              <w:right w:val="single" w:color="auto" w:sz="4" w:space="0"/>
            </w:tcBorders>
            <w:shd w:val="clear" w:color="auto" w:fill="auto"/>
            <w:vAlign w:val="center"/>
          </w:tcPr>
          <w:p w14:paraId="01745472">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实验流程增加辅助人员</w:t>
            </w:r>
          </w:p>
        </w:tc>
      </w:tr>
      <w:tr w14:paraId="3C6A225A">
        <w:tblPrEx>
          <w:tblCellMar>
            <w:top w:w="0" w:type="dxa"/>
            <w:left w:w="108" w:type="dxa"/>
            <w:bottom w:w="0" w:type="dxa"/>
            <w:right w:w="108" w:type="dxa"/>
          </w:tblCellMar>
        </w:tblPrEx>
        <w:trPr>
          <w:trHeight w:val="3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074A800A">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65</w:t>
            </w:r>
          </w:p>
        </w:tc>
        <w:tc>
          <w:tcPr>
            <w:tcW w:w="1318" w:type="dxa"/>
            <w:vMerge w:val="continue"/>
            <w:tcBorders>
              <w:left w:val="single" w:color="auto" w:sz="4" w:space="0"/>
              <w:right w:val="single" w:color="auto" w:sz="4" w:space="0"/>
            </w:tcBorders>
            <w:shd w:val="clear" w:color="auto" w:fill="auto"/>
            <w:vAlign w:val="center"/>
          </w:tcPr>
          <w:p w14:paraId="1DDF19B4">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single" w:color="auto" w:sz="4" w:space="0"/>
              <w:left w:val="nil"/>
              <w:bottom w:val="single" w:color="auto" w:sz="4" w:space="0"/>
              <w:right w:val="single" w:color="auto" w:sz="4" w:space="0"/>
            </w:tcBorders>
            <w:shd w:val="clear" w:color="auto" w:fill="auto"/>
            <w:vAlign w:val="center"/>
          </w:tcPr>
          <w:p w14:paraId="0C434206">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获取数据增加选择更新或者追加</w:t>
            </w:r>
          </w:p>
        </w:tc>
      </w:tr>
      <w:tr w14:paraId="181D614E">
        <w:tblPrEx>
          <w:tblCellMar>
            <w:top w:w="0" w:type="dxa"/>
            <w:left w:w="108" w:type="dxa"/>
            <w:bottom w:w="0" w:type="dxa"/>
            <w:right w:w="108" w:type="dxa"/>
          </w:tblCellMar>
        </w:tblPrEx>
        <w:trPr>
          <w:trHeight w:val="3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19EAF1E3">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66</w:t>
            </w:r>
          </w:p>
        </w:tc>
        <w:tc>
          <w:tcPr>
            <w:tcW w:w="1318" w:type="dxa"/>
            <w:vMerge w:val="continue"/>
            <w:tcBorders>
              <w:left w:val="single" w:color="auto" w:sz="4" w:space="0"/>
              <w:right w:val="single" w:color="auto" w:sz="4" w:space="0"/>
            </w:tcBorders>
            <w:shd w:val="clear" w:color="auto" w:fill="auto"/>
            <w:vAlign w:val="center"/>
          </w:tcPr>
          <w:p w14:paraId="4E5AC9D2">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single" w:color="auto" w:sz="4" w:space="0"/>
              <w:left w:val="nil"/>
              <w:bottom w:val="single" w:color="auto" w:sz="4" w:space="0"/>
              <w:right w:val="single" w:color="auto" w:sz="4" w:space="0"/>
            </w:tcBorders>
            <w:shd w:val="clear" w:color="auto" w:fill="auto"/>
            <w:vAlign w:val="center"/>
          </w:tcPr>
          <w:p w14:paraId="08594214">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仪器表格“说明”字段可修改</w:t>
            </w:r>
          </w:p>
        </w:tc>
      </w:tr>
      <w:tr w14:paraId="2F1DBEB6">
        <w:tblPrEx>
          <w:tblCellMar>
            <w:top w:w="0" w:type="dxa"/>
            <w:left w:w="108" w:type="dxa"/>
            <w:bottom w:w="0" w:type="dxa"/>
            <w:right w:w="108" w:type="dxa"/>
          </w:tblCellMar>
        </w:tblPrEx>
        <w:trPr>
          <w:trHeight w:val="3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4D627272">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67</w:t>
            </w:r>
          </w:p>
        </w:tc>
        <w:tc>
          <w:tcPr>
            <w:tcW w:w="1318" w:type="dxa"/>
            <w:vMerge w:val="continue"/>
            <w:tcBorders>
              <w:left w:val="single" w:color="auto" w:sz="4" w:space="0"/>
              <w:right w:val="single" w:color="auto" w:sz="4" w:space="0"/>
            </w:tcBorders>
            <w:shd w:val="clear" w:color="auto" w:fill="auto"/>
            <w:vAlign w:val="center"/>
          </w:tcPr>
          <w:p w14:paraId="4AD68E3C">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nil"/>
              <w:left w:val="nil"/>
              <w:bottom w:val="single" w:color="auto" w:sz="4" w:space="0"/>
              <w:right w:val="single" w:color="auto" w:sz="4" w:space="0"/>
            </w:tcBorders>
            <w:shd w:val="clear" w:color="auto" w:fill="auto"/>
            <w:vAlign w:val="center"/>
          </w:tcPr>
          <w:p w14:paraId="0A6F4192">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对照品制备及稀释增加混标</w:t>
            </w:r>
          </w:p>
        </w:tc>
      </w:tr>
      <w:tr w14:paraId="45161108">
        <w:tblPrEx>
          <w:tblCellMar>
            <w:top w:w="0" w:type="dxa"/>
            <w:left w:w="108" w:type="dxa"/>
            <w:bottom w:w="0" w:type="dxa"/>
            <w:right w:w="108" w:type="dxa"/>
          </w:tblCellMar>
        </w:tblPrEx>
        <w:trPr>
          <w:trHeight w:val="3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65991565">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68</w:t>
            </w:r>
          </w:p>
        </w:tc>
        <w:tc>
          <w:tcPr>
            <w:tcW w:w="1318" w:type="dxa"/>
            <w:vMerge w:val="continue"/>
            <w:tcBorders>
              <w:left w:val="single" w:color="auto" w:sz="4" w:space="0"/>
              <w:right w:val="single" w:color="auto" w:sz="4" w:space="0"/>
            </w:tcBorders>
            <w:shd w:val="clear" w:color="auto" w:fill="auto"/>
            <w:vAlign w:val="center"/>
          </w:tcPr>
          <w:p w14:paraId="63BF1C16">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single" w:color="auto" w:sz="4" w:space="0"/>
              <w:left w:val="nil"/>
              <w:bottom w:val="single" w:color="auto" w:sz="4" w:space="0"/>
              <w:right w:val="single" w:color="auto" w:sz="4" w:space="0"/>
            </w:tcBorders>
            <w:shd w:val="clear" w:color="auto" w:fill="auto"/>
            <w:vAlign w:val="center"/>
          </w:tcPr>
          <w:p w14:paraId="12E8301B">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进样序号调整</w:t>
            </w:r>
          </w:p>
        </w:tc>
      </w:tr>
      <w:tr w14:paraId="6C81B187">
        <w:tblPrEx>
          <w:tblCellMar>
            <w:top w:w="0" w:type="dxa"/>
            <w:left w:w="108" w:type="dxa"/>
            <w:bottom w:w="0" w:type="dxa"/>
            <w:right w:w="108" w:type="dxa"/>
          </w:tblCellMar>
        </w:tblPrEx>
        <w:trPr>
          <w:trHeight w:val="3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4F31A789">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69</w:t>
            </w:r>
          </w:p>
        </w:tc>
        <w:tc>
          <w:tcPr>
            <w:tcW w:w="1318" w:type="dxa"/>
            <w:vMerge w:val="continue"/>
            <w:tcBorders>
              <w:left w:val="single" w:color="auto" w:sz="4" w:space="0"/>
              <w:right w:val="single" w:color="auto" w:sz="4" w:space="0"/>
            </w:tcBorders>
            <w:shd w:val="clear" w:color="auto" w:fill="auto"/>
            <w:vAlign w:val="center"/>
          </w:tcPr>
          <w:p w14:paraId="2B677A68">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single" w:color="auto" w:sz="4" w:space="0"/>
              <w:left w:val="nil"/>
              <w:bottom w:val="single" w:color="auto" w:sz="4" w:space="0"/>
              <w:right w:val="single" w:color="auto" w:sz="4" w:space="0"/>
            </w:tcBorders>
            <w:shd w:val="clear" w:color="auto" w:fill="auto"/>
            <w:vAlign w:val="center"/>
          </w:tcPr>
          <w:p w14:paraId="553A1EEC">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追加检品支持追加检项</w:t>
            </w:r>
          </w:p>
        </w:tc>
      </w:tr>
      <w:tr w14:paraId="11C8FE43">
        <w:tblPrEx>
          <w:tblCellMar>
            <w:top w:w="0" w:type="dxa"/>
            <w:left w:w="108" w:type="dxa"/>
            <w:bottom w:w="0" w:type="dxa"/>
            <w:right w:w="108" w:type="dxa"/>
          </w:tblCellMar>
        </w:tblPrEx>
        <w:trPr>
          <w:trHeight w:val="50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31E0DAF5">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70</w:t>
            </w:r>
          </w:p>
        </w:tc>
        <w:tc>
          <w:tcPr>
            <w:tcW w:w="1318" w:type="dxa"/>
            <w:vMerge w:val="continue"/>
            <w:tcBorders>
              <w:left w:val="single" w:color="auto" w:sz="4" w:space="0"/>
              <w:right w:val="single" w:color="auto" w:sz="4" w:space="0"/>
            </w:tcBorders>
            <w:shd w:val="clear" w:color="auto" w:fill="auto"/>
            <w:vAlign w:val="center"/>
          </w:tcPr>
          <w:p w14:paraId="5239C389">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single" w:color="auto" w:sz="4" w:space="0"/>
              <w:left w:val="nil"/>
              <w:bottom w:val="single" w:color="auto" w:sz="4" w:space="0"/>
              <w:right w:val="single" w:color="auto" w:sz="4" w:space="0"/>
            </w:tcBorders>
            <w:shd w:val="clear" w:color="auto" w:fill="auto"/>
            <w:vAlign w:val="center"/>
          </w:tcPr>
          <w:p w14:paraId="60C410EF">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实验目录管理优化</w:t>
            </w:r>
          </w:p>
        </w:tc>
      </w:tr>
      <w:tr w14:paraId="346B7B04">
        <w:tblPrEx>
          <w:tblCellMar>
            <w:top w:w="0" w:type="dxa"/>
            <w:left w:w="108" w:type="dxa"/>
            <w:bottom w:w="0" w:type="dxa"/>
            <w:right w:w="108" w:type="dxa"/>
          </w:tblCellMar>
        </w:tblPrEx>
        <w:trPr>
          <w:trHeight w:val="5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1EBBCFA5">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71</w:t>
            </w:r>
          </w:p>
        </w:tc>
        <w:tc>
          <w:tcPr>
            <w:tcW w:w="1318" w:type="dxa"/>
            <w:vMerge w:val="continue"/>
            <w:tcBorders>
              <w:left w:val="single" w:color="auto" w:sz="4" w:space="0"/>
              <w:right w:val="single" w:color="auto" w:sz="4" w:space="0"/>
            </w:tcBorders>
            <w:shd w:val="clear" w:color="auto" w:fill="auto"/>
            <w:vAlign w:val="center"/>
          </w:tcPr>
          <w:p w14:paraId="434F03A6">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nil"/>
              <w:left w:val="nil"/>
              <w:bottom w:val="single" w:color="auto" w:sz="4" w:space="0"/>
              <w:right w:val="single" w:color="auto" w:sz="4" w:space="0"/>
            </w:tcBorders>
            <w:shd w:val="clear" w:color="auto" w:fill="auto"/>
            <w:vAlign w:val="center"/>
          </w:tcPr>
          <w:p w14:paraId="00F09010">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引用数据（供试品称量）调整</w:t>
            </w:r>
          </w:p>
        </w:tc>
      </w:tr>
      <w:tr w14:paraId="78D49860">
        <w:tblPrEx>
          <w:tblCellMar>
            <w:top w:w="0" w:type="dxa"/>
            <w:left w:w="108" w:type="dxa"/>
            <w:bottom w:w="0" w:type="dxa"/>
            <w:right w:w="108" w:type="dxa"/>
          </w:tblCellMar>
        </w:tblPrEx>
        <w:trPr>
          <w:trHeight w:val="5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3A7D5F54">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72</w:t>
            </w:r>
          </w:p>
        </w:tc>
        <w:tc>
          <w:tcPr>
            <w:tcW w:w="1318" w:type="dxa"/>
            <w:vMerge w:val="continue"/>
            <w:tcBorders>
              <w:left w:val="single" w:color="auto" w:sz="4" w:space="0"/>
              <w:right w:val="single" w:color="auto" w:sz="4" w:space="0"/>
            </w:tcBorders>
            <w:shd w:val="clear" w:color="auto" w:fill="auto"/>
            <w:vAlign w:val="center"/>
          </w:tcPr>
          <w:p w14:paraId="3E156BC0">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nil"/>
              <w:left w:val="nil"/>
              <w:bottom w:val="single" w:color="auto" w:sz="4" w:space="0"/>
              <w:right w:val="single" w:color="auto" w:sz="4" w:space="0"/>
            </w:tcBorders>
            <w:shd w:val="clear" w:color="auto" w:fill="auto"/>
            <w:vAlign w:val="center"/>
          </w:tcPr>
          <w:p w14:paraId="51304D04">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针对Y-12-2的仪器解析进行特殊处理</w:t>
            </w:r>
          </w:p>
        </w:tc>
      </w:tr>
      <w:tr w14:paraId="01FFCB89">
        <w:tblPrEx>
          <w:tblCellMar>
            <w:top w:w="0" w:type="dxa"/>
            <w:left w:w="108" w:type="dxa"/>
            <w:bottom w:w="0" w:type="dxa"/>
            <w:right w:w="108" w:type="dxa"/>
          </w:tblCellMar>
        </w:tblPrEx>
        <w:trPr>
          <w:trHeight w:val="3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58A2D7AC">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73</w:t>
            </w:r>
          </w:p>
        </w:tc>
        <w:tc>
          <w:tcPr>
            <w:tcW w:w="1318" w:type="dxa"/>
            <w:vMerge w:val="continue"/>
            <w:tcBorders>
              <w:left w:val="single" w:color="auto" w:sz="4" w:space="0"/>
              <w:right w:val="single" w:color="auto" w:sz="4" w:space="0"/>
            </w:tcBorders>
            <w:shd w:val="clear" w:color="auto" w:fill="auto"/>
            <w:vAlign w:val="center"/>
          </w:tcPr>
          <w:p w14:paraId="183C8075">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single" w:color="auto" w:sz="4" w:space="0"/>
              <w:left w:val="nil"/>
              <w:bottom w:val="single" w:color="auto" w:sz="4" w:space="0"/>
              <w:right w:val="single" w:color="auto" w:sz="4" w:space="0"/>
            </w:tcBorders>
            <w:shd w:val="clear" w:color="auto" w:fill="auto"/>
            <w:vAlign w:val="center"/>
          </w:tcPr>
          <w:p w14:paraId="368C0D48">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检项修改中检项失效则将该检项的状态改为未检验</w:t>
            </w:r>
          </w:p>
        </w:tc>
      </w:tr>
      <w:tr w14:paraId="1B8B7220">
        <w:tblPrEx>
          <w:tblCellMar>
            <w:top w:w="0" w:type="dxa"/>
            <w:left w:w="108" w:type="dxa"/>
            <w:bottom w:w="0" w:type="dxa"/>
            <w:right w:w="108" w:type="dxa"/>
          </w:tblCellMar>
        </w:tblPrEx>
        <w:trPr>
          <w:trHeight w:val="5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52B0416F">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74</w:t>
            </w:r>
          </w:p>
        </w:tc>
        <w:tc>
          <w:tcPr>
            <w:tcW w:w="1318" w:type="dxa"/>
            <w:vMerge w:val="continue"/>
            <w:tcBorders>
              <w:left w:val="single" w:color="auto" w:sz="4" w:space="0"/>
              <w:right w:val="single" w:color="auto" w:sz="4" w:space="0"/>
            </w:tcBorders>
            <w:shd w:val="clear" w:color="auto" w:fill="auto"/>
            <w:vAlign w:val="center"/>
          </w:tcPr>
          <w:p w14:paraId="1DE728E4">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nil"/>
              <w:left w:val="nil"/>
              <w:bottom w:val="single" w:color="auto" w:sz="4" w:space="0"/>
              <w:right w:val="single" w:color="auto" w:sz="4" w:space="0"/>
            </w:tcBorders>
            <w:shd w:val="clear" w:color="auto" w:fill="auto"/>
            <w:vAlign w:val="center"/>
          </w:tcPr>
          <w:p w14:paraId="2E3DC89E">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批注优化</w:t>
            </w:r>
          </w:p>
        </w:tc>
      </w:tr>
      <w:tr w14:paraId="4812E4BC">
        <w:tblPrEx>
          <w:tblCellMar>
            <w:top w:w="0" w:type="dxa"/>
            <w:left w:w="108" w:type="dxa"/>
            <w:bottom w:w="0" w:type="dxa"/>
            <w:right w:w="108" w:type="dxa"/>
          </w:tblCellMar>
        </w:tblPrEx>
        <w:trPr>
          <w:trHeight w:val="507"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113450B0">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75</w:t>
            </w:r>
          </w:p>
        </w:tc>
        <w:tc>
          <w:tcPr>
            <w:tcW w:w="1318" w:type="dxa"/>
            <w:vMerge w:val="continue"/>
            <w:tcBorders>
              <w:left w:val="single" w:color="auto" w:sz="4" w:space="0"/>
              <w:right w:val="single" w:color="auto" w:sz="4" w:space="0"/>
            </w:tcBorders>
            <w:shd w:val="clear" w:color="auto" w:fill="auto"/>
            <w:vAlign w:val="center"/>
          </w:tcPr>
          <w:p w14:paraId="0749B458">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nil"/>
              <w:left w:val="nil"/>
              <w:bottom w:val="single" w:color="auto" w:sz="4" w:space="0"/>
              <w:right w:val="single" w:color="auto" w:sz="4" w:space="0"/>
            </w:tcBorders>
            <w:shd w:val="clear" w:color="auto" w:fill="auto"/>
            <w:vAlign w:val="center"/>
          </w:tcPr>
          <w:p w14:paraId="706C1129">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增加序号列</w:t>
            </w:r>
          </w:p>
        </w:tc>
      </w:tr>
      <w:tr w14:paraId="37F49790">
        <w:tblPrEx>
          <w:tblCellMar>
            <w:top w:w="0" w:type="dxa"/>
            <w:left w:w="108" w:type="dxa"/>
            <w:bottom w:w="0" w:type="dxa"/>
            <w:right w:w="108" w:type="dxa"/>
          </w:tblCellMar>
        </w:tblPrEx>
        <w:trPr>
          <w:trHeight w:val="3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7B416A41">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76</w:t>
            </w:r>
          </w:p>
        </w:tc>
        <w:tc>
          <w:tcPr>
            <w:tcW w:w="1318" w:type="dxa"/>
            <w:vMerge w:val="continue"/>
            <w:tcBorders>
              <w:left w:val="single" w:color="auto" w:sz="4" w:space="0"/>
              <w:right w:val="single" w:color="auto" w:sz="4" w:space="0"/>
            </w:tcBorders>
            <w:shd w:val="clear" w:color="auto" w:fill="auto"/>
            <w:vAlign w:val="center"/>
          </w:tcPr>
          <w:p w14:paraId="2C1E58A0">
            <w:pPr>
              <w:pageBreakBefore w:val="0"/>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nil"/>
              <w:left w:val="nil"/>
              <w:bottom w:val="single" w:color="auto" w:sz="4" w:space="0"/>
              <w:right w:val="single" w:color="auto" w:sz="4" w:space="0"/>
            </w:tcBorders>
            <w:shd w:val="clear" w:color="auto" w:fill="auto"/>
            <w:vAlign w:val="center"/>
          </w:tcPr>
          <w:p w14:paraId="3AF69B53">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自定义列宽宽度可输入</w:t>
            </w:r>
          </w:p>
        </w:tc>
      </w:tr>
      <w:tr w14:paraId="25048412">
        <w:tblPrEx>
          <w:tblCellMar>
            <w:top w:w="0" w:type="dxa"/>
            <w:left w:w="108" w:type="dxa"/>
            <w:bottom w:w="0" w:type="dxa"/>
            <w:right w:w="108" w:type="dxa"/>
          </w:tblCellMar>
        </w:tblPrEx>
        <w:trPr>
          <w:trHeight w:val="320"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14:paraId="4D190FF5">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77</w:t>
            </w:r>
          </w:p>
        </w:tc>
        <w:tc>
          <w:tcPr>
            <w:tcW w:w="1318" w:type="dxa"/>
            <w:vMerge w:val="continue"/>
            <w:tcBorders>
              <w:left w:val="single" w:color="auto" w:sz="4" w:space="0"/>
              <w:bottom w:val="single" w:color="auto" w:sz="4" w:space="0"/>
              <w:right w:val="single" w:color="auto" w:sz="4" w:space="0"/>
            </w:tcBorders>
            <w:shd w:val="clear" w:color="auto" w:fill="auto"/>
            <w:vAlign w:val="center"/>
          </w:tcPr>
          <w:p w14:paraId="56E3EE27">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299" w:type="dxa"/>
            <w:tcBorders>
              <w:top w:val="nil"/>
              <w:left w:val="nil"/>
              <w:bottom w:val="single" w:color="auto" w:sz="4" w:space="0"/>
              <w:right w:val="single" w:color="auto" w:sz="4" w:space="0"/>
            </w:tcBorders>
            <w:shd w:val="clear" w:color="auto" w:fill="auto"/>
            <w:vAlign w:val="center"/>
          </w:tcPr>
          <w:p w14:paraId="775421DE">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材料仪器中的有效期可修改</w:t>
            </w:r>
          </w:p>
        </w:tc>
      </w:tr>
    </w:tbl>
    <w:p w14:paraId="59FC5095">
      <w:pPr>
        <w:pageBreakBefore w:val="0"/>
        <w:kinsoku/>
        <w:wordWrap/>
        <w:overflowPunct/>
        <w:topLinePunct w:val="0"/>
        <w:bidi w:val="0"/>
        <w:snapToGrid/>
        <w:spacing w:after="0" w:line="360" w:lineRule="auto"/>
        <w:ind w:firstLine="720"/>
        <w:textAlignment w:val="auto"/>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（2）辅助实验功能优化</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136"/>
        <w:gridCol w:w="5506"/>
      </w:tblGrid>
      <w:tr w14:paraId="3D397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0" w:type="auto"/>
            <w:shd w:val="clear" w:color="000000" w:fill="D0CECE"/>
            <w:vAlign w:val="center"/>
          </w:tcPr>
          <w:p w14:paraId="5C8039A5">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序号</w:t>
            </w:r>
          </w:p>
        </w:tc>
        <w:tc>
          <w:tcPr>
            <w:tcW w:w="0" w:type="auto"/>
            <w:shd w:val="clear" w:color="000000" w:fill="D0CECE"/>
            <w:vAlign w:val="center"/>
          </w:tcPr>
          <w:p w14:paraId="284BAFD3">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一级模块</w:t>
            </w:r>
          </w:p>
        </w:tc>
        <w:tc>
          <w:tcPr>
            <w:tcW w:w="5506" w:type="dxa"/>
            <w:shd w:val="clear" w:color="000000" w:fill="D0CECE"/>
            <w:vAlign w:val="center"/>
          </w:tcPr>
          <w:p w14:paraId="156F156D">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二级功能</w:t>
            </w:r>
          </w:p>
        </w:tc>
      </w:tr>
      <w:tr w14:paraId="07F2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0" w:type="auto"/>
            <w:vAlign w:val="center"/>
          </w:tcPr>
          <w:p w14:paraId="5E6AEB89">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w:t>
            </w:r>
          </w:p>
        </w:tc>
        <w:tc>
          <w:tcPr>
            <w:tcW w:w="0" w:type="auto"/>
            <w:vMerge w:val="restart"/>
            <w:shd w:val="clear" w:color="auto" w:fill="auto"/>
            <w:vAlign w:val="center"/>
          </w:tcPr>
          <w:p w14:paraId="3C9B9B31">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辅助实验功能优化</w:t>
            </w:r>
          </w:p>
        </w:tc>
        <w:tc>
          <w:tcPr>
            <w:tcW w:w="5506" w:type="dxa"/>
            <w:shd w:val="clear" w:color="auto" w:fill="auto"/>
            <w:vAlign w:val="center"/>
          </w:tcPr>
          <w:p w14:paraId="1039DB97">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新增辅助实验打印报告功能</w:t>
            </w:r>
          </w:p>
        </w:tc>
      </w:tr>
      <w:tr w14:paraId="707C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14:paraId="36034FBC">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2</w:t>
            </w:r>
          </w:p>
        </w:tc>
        <w:tc>
          <w:tcPr>
            <w:tcW w:w="0" w:type="auto"/>
            <w:vMerge w:val="continue"/>
            <w:shd w:val="clear" w:color="auto" w:fill="auto"/>
            <w:vAlign w:val="center"/>
          </w:tcPr>
          <w:p w14:paraId="4C706AD0">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5506" w:type="dxa"/>
            <w:shd w:val="clear" w:color="auto" w:fill="auto"/>
            <w:vAlign w:val="center"/>
          </w:tcPr>
          <w:p w14:paraId="29C73AB7">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对回退的储备液进行特殊标记</w:t>
            </w:r>
          </w:p>
        </w:tc>
      </w:tr>
      <w:tr w14:paraId="680DA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0" w:type="auto"/>
            <w:vAlign w:val="center"/>
          </w:tcPr>
          <w:p w14:paraId="4DFC820C">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3</w:t>
            </w:r>
          </w:p>
        </w:tc>
        <w:tc>
          <w:tcPr>
            <w:tcW w:w="0" w:type="auto"/>
            <w:vMerge w:val="continue"/>
            <w:shd w:val="clear" w:color="auto" w:fill="auto"/>
            <w:vAlign w:val="center"/>
          </w:tcPr>
          <w:p w14:paraId="6E9F984F">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5506" w:type="dxa"/>
            <w:shd w:val="clear" w:color="auto" w:fill="auto"/>
            <w:vAlign w:val="center"/>
          </w:tcPr>
          <w:p w14:paraId="37337AFF">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辅助实验中查看称量记录在任何状态都可查看</w:t>
            </w:r>
          </w:p>
        </w:tc>
      </w:tr>
      <w:tr w14:paraId="2C54C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0" w:type="auto"/>
            <w:vAlign w:val="center"/>
          </w:tcPr>
          <w:p w14:paraId="06982E2D">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4</w:t>
            </w:r>
          </w:p>
        </w:tc>
        <w:tc>
          <w:tcPr>
            <w:tcW w:w="0" w:type="auto"/>
            <w:vMerge w:val="continue"/>
            <w:shd w:val="clear" w:color="auto" w:fill="auto"/>
            <w:vAlign w:val="center"/>
          </w:tcPr>
          <w:p w14:paraId="5111B70A">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5506" w:type="dxa"/>
            <w:shd w:val="clear" w:color="auto" w:fill="auto"/>
            <w:vAlign w:val="center"/>
          </w:tcPr>
          <w:p w14:paraId="23054108">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滴定液录入修改</w:t>
            </w:r>
          </w:p>
        </w:tc>
      </w:tr>
      <w:tr w14:paraId="06F9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0" w:type="auto"/>
            <w:vAlign w:val="center"/>
          </w:tcPr>
          <w:p w14:paraId="4640F929">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5</w:t>
            </w:r>
          </w:p>
        </w:tc>
        <w:tc>
          <w:tcPr>
            <w:tcW w:w="0" w:type="auto"/>
            <w:vMerge w:val="continue"/>
            <w:shd w:val="clear" w:color="auto" w:fill="auto"/>
            <w:vAlign w:val="center"/>
          </w:tcPr>
          <w:p w14:paraId="49431427">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5506" w:type="dxa"/>
            <w:shd w:val="clear" w:color="auto" w:fill="auto"/>
            <w:vAlign w:val="center"/>
          </w:tcPr>
          <w:p w14:paraId="0248C2B0">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滴定液配置与标定修改</w:t>
            </w:r>
          </w:p>
        </w:tc>
      </w:tr>
      <w:tr w14:paraId="1B8EC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0" w:type="auto"/>
            <w:vAlign w:val="center"/>
          </w:tcPr>
          <w:p w14:paraId="202637DF">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6</w:t>
            </w:r>
          </w:p>
        </w:tc>
        <w:tc>
          <w:tcPr>
            <w:tcW w:w="0" w:type="auto"/>
            <w:vMerge w:val="continue"/>
            <w:shd w:val="clear" w:color="auto" w:fill="auto"/>
            <w:vAlign w:val="center"/>
          </w:tcPr>
          <w:p w14:paraId="08B41D87">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5506" w:type="dxa"/>
            <w:shd w:val="clear" w:color="auto" w:fill="auto"/>
            <w:vAlign w:val="center"/>
          </w:tcPr>
          <w:p w14:paraId="21CC6D4B">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滴定液稀释功能完善</w:t>
            </w:r>
          </w:p>
        </w:tc>
      </w:tr>
      <w:tr w14:paraId="0E8E7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0" w:type="auto"/>
            <w:vAlign w:val="center"/>
          </w:tcPr>
          <w:p w14:paraId="786B4E78">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7</w:t>
            </w:r>
          </w:p>
        </w:tc>
        <w:tc>
          <w:tcPr>
            <w:tcW w:w="0" w:type="auto"/>
            <w:vMerge w:val="continue"/>
            <w:shd w:val="clear" w:color="auto" w:fill="auto"/>
            <w:vAlign w:val="center"/>
          </w:tcPr>
          <w:p w14:paraId="1FB4F81C">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5506" w:type="dxa"/>
            <w:shd w:val="clear" w:color="auto" w:fill="auto"/>
            <w:vAlign w:val="center"/>
          </w:tcPr>
          <w:p w14:paraId="3A92BC92">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滴定液录入信息调整</w:t>
            </w:r>
          </w:p>
        </w:tc>
      </w:tr>
      <w:tr w14:paraId="349D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0" w:type="auto"/>
            <w:vAlign w:val="center"/>
          </w:tcPr>
          <w:p w14:paraId="18B9CC5E">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8</w:t>
            </w:r>
          </w:p>
        </w:tc>
        <w:tc>
          <w:tcPr>
            <w:tcW w:w="0" w:type="auto"/>
            <w:vMerge w:val="continue"/>
            <w:shd w:val="clear" w:color="auto" w:fill="auto"/>
            <w:vAlign w:val="center"/>
          </w:tcPr>
          <w:p w14:paraId="5BCC2CCD">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5506" w:type="dxa"/>
            <w:shd w:val="clear" w:color="auto" w:fill="auto"/>
            <w:vAlign w:val="center"/>
          </w:tcPr>
          <w:p w14:paraId="365CCB0A">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储备液制备辅助实验增加浓度校验</w:t>
            </w:r>
          </w:p>
        </w:tc>
      </w:tr>
      <w:tr w14:paraId="7F0FC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0" w:type="auto"/>
            <w:vAlign w:val="center"/>
          </w:tcPr>
          <w:p w14:paraId="006364DA">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9</w:t>
            </w:r>
          </w:p>
        </w:tc>
        <w:tc>
          <w:tcPr>
            <w:tcW w:w="0" w:type="auto"/>
            <w:vMerge w:val="continue"/>
            <w:shd w:val="clear" w:color="auto" w:fill="auto"/>
            <w:vAlign w:val="center"/>
          </w:tcPr>
          <w:p w14:paraId="2FF932B7">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5506" w:type="dxa"/>
            <w:shd w:val="clear" w:color="auto" w:fill="auto"/>
            <w:vAlign w:val="center"/>
          </w:tcPr>
          <w:p w14:paraId="2DDCBD8F">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滴定液配置与标定流程修改</w:t>
            </w:r>
          </w:p>
        </w:tc>
      </w:tr>
    </w:tbl>
    <w:p w14:paraId="19715B80">
      <w:pPr>
        <w:pageBreakBefore w:val="0"/>
        <w:kinsoku/>
        <w:wordWrap/>
        <w:overflowPunct/>
        <w:topLinePunct w:val="0"/>
        <w:bidi w:val="0"/>
        <w:snapToGrid/>
        <w:spacing w:after="0" w:line="360" w:lineRule="auto"/>
        <w:ind w:firstLine="720"/>
        <w:textAlignment w:val="auto"/>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（3）组件模板配置功能优化</w:t>
      </w:r>
    </w:p>
    <w:tbl>
      <w:tblPr>
        <w:tblStyle w:val="63"/>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284"/>
        <w:gridCol w:w="6338"/>
      </w:tblGrid>
      <w:tr w14:paraId="37D04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97" w:type="dxa"/>
            <w:shd w:val="clear" w:color="000000" w:fill="D0CECE"/>
          </w:tcPr>
          <w:p w14:paraId="008A27AA">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b/>
                <w:bCs/>
                <w:color w:val="auto"/>
                <w:kern w:val="0"/>
                <w:sz w:val="24"/>
                <w:szCs w:val="24"/>
                <w:highlight w:val="none"/>
                <w14:ligatures w14:val="none"/>
              </w:rPr>
            </w:pPr>
            <w:r>
              <w:rPr>
                <w:rFonts w:hint="eastAsia" w:ascii="宋体" w:hAnsi="宋体" w:eastAsia="宋体" w:cs="宋体"/>
                <w:b/>
                <w:bCs/>
                <w:color w:val="auto"/>
                <w:kern w:val="0"/>
                <w:sz w:val="24"/>
                <w:szCs w:val="24"/>
                <w:highlight w:val="none"/>
                <w14:ligatures w14:val="none"/>
              </w:rPr>
              <w:t>序号</w:t>
            </w:r>
          </w:p>
        </w:tc>
        <w:tc>
          <w:tcPr>
            <w:tcW w:w="1284" w:type="dxa"/>
            <w:shd w:val="clear" w:color="000000" w:fill="D0CECE"/>
            <w:vAlign w:val="center"/>
          </w:tcPr>
          <w:p w14:paraId="062DC86D">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b/>
                <w:bCs/>
                <w:color w:val="auto"/>
                <w:kern w:val="0"/>
                <w:sz w:val="24"/>
                <w:szCs w:val="24"/>
                <w:highlight w:val="none"/>
                <w14:ligatures w14:val="none"/>
              </w:rPr>
            </w:pPr>
            <w:r>
              <w:rPr>
                <w:rFonts w:hint="eastAsia" w:ascii="宋体" w:hAnsi="宋体" w:eastAsia="宋体" w:cs="宋体"/>
                <w:b/>
                <w:bCs/>
                <w:color w:val="auto"/>
                <w:kern w:val="0"/>
                <w:sz w:val="24"/>
                <w:szCs w:val="24"/>
                <w:highlight w:val="none"/>
                <w14:ligatures w14:val="none"/>
              </w:rPr>
              <w:t>一级模块</w:t>
            </w:r>
          </w:p>
        </w:tc>
        <w:tc>
          <w:tcPr>
            <w:tcW w:w="6338" w:type="dxa"/>
            <w:shd w:val="clear" w:color="000000" w:fill="D0CECE"/>
            <w:vAlign w:val="center"/>
          </w:tcPr>
          <w:p w14:paraId="1DE7B01B">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b/>
                <w:bCs/>
                <w:color w:val="auto"/>
                <w:kern w:val="0"/>
                <w:sz w:val="24"/>
                <w:szCs w:val="24"/>
                <w:highlight w:val="none"/>
                <w14:ligatures w14:val="none"/>
              </w:rPr>
            </w:pPr>
            <w:r>
              <w:rPr>
                <w:rFonts w:hint="eastAsia" w:ascii="宋体" w:hAnsi="宋体" w:eastAsia="宋体" w:cs="宋体"/>
                <w:b/>
                <w:bCs/>
                <w:color w:val="auto"/>
                <w:kern w:val="0"/>
                <w:sz w:val="24"/>
                <w:szCs w:val="24"/>
                <w:highlight w:val="none"/>
                <w14:ligatures w14:val="none"/>
              </w:rPr>
              <w:t>二级功能</w:t>
            </w:r>
          </w:p>
        </w:tc>
      </w:tr>
      <w:tr w14:paraId="7316C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97" w:type="dxa"/>
            <w:vAlign w:val="center"/>
          </w:tcPr>
          <w:p w14:paraId="5EC4BF6F">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w:t>
            </w:r>
          </w:p>
        </w:tc>
        <w:tc>
          <w:tcPr>
            <w:tcW w:w="1284" w:type="dxa"/>
            <w:vMerge w:val="restart"/>
            <w:shd w:val="clear" w:color="auto" w:fill="auto"/>
            <w:vAlign w:val="center"/>
          </w:tcPr>
          <w:p w14:paraId="179CA095">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组件模板配置功能优化</w:t>
            </w:r>
          </w:p>
        </w:tc>
        <w:tc>
          <w:tcPr>
            <w:tcW w:w="6338" w:type="dxa"/>
            <w:shd w:val="clear" w:color="auto" w:fill="auto"/>
            <w:vAlign w:val="center"/>
          </w:tcPr>
          <w:p w14:paraId="45E7C928">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模板中组件可以有方法定位到组件列表中原始组件</w:t>
            </w:r>
          </w:p>
        </w:tc>
      </w:tr>
      <w:tr w14:paraId="47876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97" w:type="dxa"/>
            <w:vAlign w:val="center"/>
          </w:tcPr>
          <w:p w14:paraId="4D6362EB">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2</w:t>
            </w:r>
          </w:p>
        </w:tc>
        <w:tc>
          <w:tcPr>
            <w:tcW w:w="1284" w:type="dxa"/>
            <w:vMerge w:val="continue"/>
            <w:shd w:val="clear" w:color="auto" w:fill="auto"/>
            <w:vAlign w:val="center"/>
          </w:tcPr>
          <w:p w14:paraId="3BE0D502">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338" w:type="dxa"/>
            <w:shd w:val="clear" w:color="auto" w:fill="auto"/>
            <w:vAlign w:val="center"/>
          </w:tcPr>
          <w:p w14:paraId="6CAF3324">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模板中的组件若是已在组件列表中删除则将组件名称背景色换成红色</w:t>
            </w:r>
          </w:p>
        </w:tc>
      </w:tr>
      <w:tr w14:paraId="52A57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97" w:type="dxa"/>
            <w:vAlign w:val="center"/>
          </w:tcPr>
          <w:p w14:paraId="1740964A">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3</w:t>
            </w:r>
          </w:p>
        </w:tc>
        <w:tc>
          <w:tcPr>
            <w:tcW w:w="1284" w:type="dxa"/>
            <w:vMerge w:val="continue"/>
            <w:shd w:val="clear" w:color="auto" w:fill="auto"/>
            <w:vAlign w:val="center"/>
          </w:tcPr>
          <w:p w14:paraId="02117B36">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338" w:type="dxa"/>
            <w:shd w:val="clear" w:color="auto" w:fill="auto"/>
            <w:vAlign w:val="center"/>
          </w:tcPr>
          <w:p w14:paraId="5A5E3D2A">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模板配置、修改、新增应该路由区分</w:t>
            </w:r>
          </w:p>
        </w:tc>
      </w:tr>
      <w:tr w14:paraId="62E22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7" w:type="dxa"/>
            <w:vAlign w:val="center"/>
          </w:tcPr>
          <w:p w14:paraId="7A891454">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4</w:t>
            </w:r>
          </w:p>
        </w:tc>
        <w:tc>
          <w:tcPr>
            <w:tcW w:w="1284" w:type="dxa"/>
            <w:vMerge w:val="continue"/>
            <w:shd w:val="clear" w:color="auto" w:fill="auto"/>
            <w:vAlign w:val="center"/>
          </w:tcPr>
          <w:p w14:paraId="2EE20B03">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338" w:type="dxa"/>
            <w:shd w:val="clear" w:color="auto" w:fill="auto"/>
            <w:vAlign w:val="center"/>
          </w:tcPr>
          <w:p w14:paraId="71EE6E99">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表格可配置默认隐藏列，实验中可手动显示</w:t>
            </w:r>
          </w:p>
        </w:tc>
      </w:tr>
      <w:tr w14:paraId="4FE6A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7" w:type="dxa"/>
            <w:vAlign w:val="center"/>
          </w:tcPr>
          <w:p w14:paraId="0523FCC2">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5</w:t>
            </w:r>
          </w:p>
        </w:tc>
        <w:tc>
          <w:tcPr>
            <w:tcW w:w="1284" w:type="dxa"/>
            <w:vMerge w:val="continue"/>
            <w:shd w:val="clear" w:color="auto" w:fill="auto"/>
            <w:vAlign w:val="center"/>
          </w:tcPr>
          <w:p w14:paraId="5401A102">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338" w:type="dxa"/>
            <w:shd w:val="clear" w:color="auto" w:fill="auto"/>
            <w:vAlign w:val="center"/>
          </w:tcPr>
          <w:p w14:paraId="1449833D">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自定义表格数据配置里配置区域的删除和确定按钮位置调整</w:t>
            </w:r>
          </w:p>
        </w:tc>
      </w:tr>
      <w:tr w14:paraId="5D8CA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97" w:type="dxa"/>
            <w:vAlign w:val="center"/>
          </w:tcPr>
          <w:p w14:paraId="60E14D3F">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6</w:t>
            </w:r>
          </w:p>
        </w:tc>
        <w:tc>
          <w:tcPr>
            <w:tcW w:w="1284" w:type="dxa"/>
            <w:vMerge w:val="continue"/>
            <w:shd w:val="clear" w:color="auto" w:fill="auto"/>
            <w:vAlign w:val="center"/>
          </w:tcPr>
          <w:p w14:paraId="74BFBBAF">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338" w:type="dxa"/>
            <w:shd w:val="clear" w:color="auto" w:fill="auto"/>
            <w:vAlign w:val="center"/>
          </w:tcPr>
          <w:p w14:paraId="69F85BED">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自定义表格数据配置里配置区域表格高度太小</w:t>
            </w:r>
          </w:p>
        </w:tc>
      </w:tr>
      <w:tr w14:paraId="095D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97" w:type="dxa"/>
            <w:vAlign w:val="center"/>
          </w:tcPr>
          <w:p w14:paraId="46FACF5E">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7</w:t>
            </w:r>
          </w:p>
        </w:tc>
        <w:tc>
          <w:tcPr>
            <w:tcW w:w="1284" w:type="dxa"/>
            <w:vMerge w:val="continue"/>
            <w:shd w:val="clear" w:color="auto" w:fill="auto"/>
            <w:vAlign w:val="center"/>
          </w:tcPr>
          <w:p w14:paraId="3AD7D50D">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338" w:type="dxa"/>
            <w:shd w:val="clear" w:color="auto" w:fill="auto"/>
            <w:vAlign w:val="center"/>
          </w:tcPr>
          <w:p w14:paraId="449DA118">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隐藏组件修改中部分信息</w:t>
            </w:r>
          </w:p>
        </w:tc>
      </w:tr>
      <w:tr w14:paraId="5AB1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97" w:type="dxa"/>
            <w:vAlign w:val="center"/>
          </w:tcPr>
          <w:p w14:paraId="31E8968F">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8</w:t>
            </w:r>
          </w:p>
        </w:tc>
        <w:tc>
          <w:tcPr>
            <w:tcW w:w="1284" w:type="dxa"/>
            <w:vMerge w:val="continue"/>
            <w:shd w:val="clear" w:color="auto" w:fill="auto"/>
            <w:vAlign w:val="center"/>
          </w:tcPr>
          <w:p w14:paraId="30743159">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338" w:type="dxa"/>
            <w:shd w:val="clear" w:color="auto" w:fill="auto"/>
            <w:vAlign w:val="center"/>
          </w:tcPr>
          <w:p w14:paraId="3BE196A0">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下拉联动和单选联动样式优化</w:t>
            </w:r>
          </w:p>
        </w:tc>
      </w:tr>
      <w:tr w14:paraId="7EC49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7" w:type="dxa"/>
            <w:vAlign w:val="center"/>
          </w:tcPr>
          <w:p w14:paraId="07522402">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9</w:t>
            </w:r>
          </w:p>
        </w:tc>
        <w:tc>
          <w:tcPr>
            <w:tcW w:w="1284" w:type="dxa"/>
            <w:vMerge w:val="continue"/>
            <w:shd w:val="clear" w:color="auto" w:fill="auto"/>
            <w:vAlign w:val="center"/>
          </w:tcPr>
          <w:p w14:paraId="1B51EFA2">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338" w:type="dxa"/>
            <w:shd w:val="clear" w:color="auto" w:fill="auto"/>
            <w:vAlign w:val="center"/>
          </w:tcPr>
          <w:p w14:paraId="0989D211">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查看计算组件的模板绑定情况</w:t>
            </w:r>
          </w:p>
        </w:tc>
      </w:tr>
      <w:tr w14:paraId="2D7CA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97" w:type="dxa"/>
            <w:vAlign w:val="center"/>
          </w:tcPr>
          <w:p w14:paraId="5993B882">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10</w:t>
            </w:r>
          </w:p>
        </w:tc>
        <w:tc>
          <w:tcPr>
            <w:tcW w:w="1284" w:type="dxa"/>
            <w:vMerge w:val="continue"/>
            <w:shd w:val="clear" w:color="auto" w:fill="auto"/>
            <w:vAlign w:val="center"/>
          </w:tcPr>
          <w:p w14:paraId="2988AC56">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338" w:type="dxa"/>
            <w:shd w:val="clear" w:color="auto" w:fill="auto"/>
            <w:vAlign w:val="center"/>
          </w:tcPr>
          <w:p w14:paraId="420B9218">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在路径完全一致的情况下组件名称唯一</w:t>
            </w:r>
          </w:p>
        </w:tc>
      </w:tr>
      <w:tr w14:paraId="0B290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97" w:type="dxa"/>
            <w:vAlign w:val="center"/>
          </w:tcPr>
          <w:p w14:paraId="1001F532">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11</w:t>
            </w:r>
          </w:p>
        </w:tc>
        <w:tc>
          <w:tcPr>
            <w:tcW w:w="1284" w:type="dxa"/>
            <w:vMerge w:val="continue"/>
            <w:shd w:val="clear" w:color="auto" w:fill="auto"/>
            <w:vAlign w:val="center"/>
          </w:tcPr>
          <w:p w14:paraId="2AE78AFA">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338" w:type="dxa"/>
            <w:shd w:val="clear" w:color="auto" w:fill="auto"/>
            <w:vAlign w:val="center"/>
          </w:tcPr>
          <w:p w14:paraId="04454B5E">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模板修改的默认绑定计算模板增加计算组件路径</w:t>
            </w:r>
          </w:p>
        </w:tc>
      </w:tr>
      <w:tr w14:paraId="6FDB3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97" w:type="dxa"/>
            <w:vAlign w:val="center"/>
          </w:tcPr>
          <w:p w14:paraId="08B03DF0">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12</w:t>
            </w:r>
          </w:p>
        </w:tc>
        <w:tc>
          <w:tcPr>
            <w:tcW w:w="1284" w:type="dxa"/>
            <w:vMerge w:val="continue"/>
            <w:shd w:val="clear" w:color="auto" w:fill="auto"/>
            <w:vAlign w:val="center"/>
          </w:tcPr>
          <w:p w14:paraId="25B89129">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338" w:type="dxa"/>
            <w:shd w:val="clear" w:color="auto" w:fill="auto"/>
            <w:vAlign w:val="center"/>
          </w:tcPr>
          <w:p w14:paraId="2AEB5BF1">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计算组件暂存时不校验公式配置中的信息是否有问题</w:t>
            </w:r>
          </w:p>
        </w:tc>
      </w:tr>
      <w:tr w14:paraId="17CD4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97" w:type="dxa"/>
            <w:vAlign w:val="center"/>
          </w:tcPr>
          <w:p w14:paraId="275B1475">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13</w:t>
            </w:r>
          </w:p>
        </w:tc>
        <w:tc>
          <w:tcPr>
            <w:tcW w:w="1284" w:type="dxa"/>
            <w:vMerge w:val="continue"/>
            <w:shd w:val="clear" w:color="auto" w:fill="auto"/>
            <w:vAlign w:val="center"/>
          </w:tcPr>
          <w:p w14:paraId="3DA6C40E">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p>
        </w:tc>
        <w:tc>
          <w:tcPr>
            <w:tcW w:w="6338" w:type="dxa"/>
            <w:shd w:val="clear" w:color="auto" w:fill="auto"/>
            <w:vAlign w:val="center"/>
          </w:tcPr>
          <w:p w14:paraId="49480684">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列宽调整到1时这一列的列名及内容不会对行高产生影响</w:t>
            </w:r>
          </w:p>
        </w:tc>
      </w:tr>
    </w:tbl>
    <w:p w14:paraId="7F0DAF27">
      <w:pPr>
        <w:pStyle w:val="7"/>
        <w:pageBreakBefore w:val="0"/>
        <w:kinsoku/>
        <w:wordWrap/>
        <w:overflowPunct/>
        <w:topLinePunct w:val="0"/>
        <w:bidi w:val="0"/>
        <w:snapToGrid/>
        <w:spacing w:before="0" w:after="0" w:line="360" w:lineRule="auto"/>
        <w:textAlignment w:val="auto"/>
        <w:rPr>
          <w:rFonts w:hint="eastAsia" w:ascii="宋体" w:hAnsi="宋体" w:eastAsia="宋体" w:cs="宋体"/>
          <w:b/>
          <w:bCs/>
          <w:color w:val="auto"/>
          <w:sz w:val="24"/>
          <w:szCs w:val="24"/>
          <w:highlight w:val="none"/>
          <w:shd w:val="clear" w:color="auto" w:fill="FFFFFF"/>
          <w:lang w:bidi="ar"/>
        </w:rPr>
      </w:pPr>
      <w:r>
        <w:rPr>
          <w:rFonts w:hint="eastAsia" w:ascii="宋体" w:hAnsi="宋体" w:eastAsia="宋体" w:cs="宋体"/>
          <w:b/>
          <w:bCs/>
          <w:color w:val="auto"/>
          <w:sz w:val="24"/>
          <w:szCs w:val="24"/>
          <w:highlight w:val="none"/>
          <w:shd w:val="clear" w:color="auto" w:fill="FFFFFF"/>
          <w:lang w:bidi="ar"/>
        </w:rPr>
        <w:t>4.3浙江省食品药品检验研究院公众检测服务平台2025年运维项目运维开需求</w:t>
      </w:r>
    </w:p>
    <w:p w14:paraId="67D40ACB">
      <w:pPr>
        <w:pageBreakBefore w:val="0"/>
        <w:kinsoku/>
        <w:wordWrap/>
        <w:overflowPunct/>
        <w:topLinePunct w:val="0"/>
        <w:bidi w:val="0"/>
        <w:snapToGrid/>
        <w:spacing w:after="0" w:line="360" w:lineRule="auto"/>
        <w:ind w:left="0" w:leftChars="0" w:firstLine="420" w:firstLineChars="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公众检测服务平台2025年运维项目的主要运维开发需求为接口开发，具体清单如下：</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2132"/>
        <w:gridCol w:w="5829"/>
      </w:tblGrid>
      <w:tr w14:paraId="1D9A1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0" w:type="auto"/>
            <w:shd w:val="clear" w:color="000000" w:fill="D0CECE"/>
            <w:vAlign w:val="center"/>
          </w:tcPr>
          <w:p w14:paraId="1D413DF9">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序号</w:t>
            </w:r>
          </w:p>
        </w:tc>
        <w:tc>
          <w:tcPr>
            <w:tcW w:w="0" w:type="auto"/>
            <w:shd w:val="clear" w:color="000000" w:fill="D0CECE"/>
            <w:vAlign w:val="center"/>
          </w:tcPr>
          <w:p w14:paraId="56564D1C">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一级模块</w:t>
            </w:r>
          </w:p>
        </w:tc>
        <w:tc>
          <w:tcPr>
            <w:tcW w:w="0" w:type="auto"/>
            <w:shd w:val="clear" w:color="000000" w:fill="D0CECE"/>
            <w:vAlign w:val="center"/>
          </w:tcPr>
          <w:p w14:paraId="790D79B3">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二级功能</w:t>
            </w:r>
          </w:p>
        </w:tc>
      </w:tr>
      <w:tr w14:paraId="41EDE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0" w:type="auto"/>
            <w:vAlign w:val="center"/>
          </w:tcPr>
          <w:p w14:paraId="56A21330">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1</w:t>
            </w:r>
          </w:p>
        </w:tc>
        <w:tc>
          <w:tcPr>
            <w:tcW w:w="0" w:type="auto"/>
            <w:shd w:val="clear" w:color="auto" w:fill="auto"/>
            <w:vAlign w:val="center"/>
          </w:tcPr>
          <w:p w14:paraId="1F3AE337">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协议数据推送接口</w:t>
            </w:r>
          </w:p>
        </w:tc>
        <w:tc>
          <w:tcPr>
            <w:tcW w:w="0" w:type="auto"/>
            <w:shd w:val="clear" w:color="auto" w:fill="auto"/>
            <w:vAlign w:val="center"/>
          </w:tcPr>
          <w:p w14:paraId="2B956031">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公众平台协议审核通过后，将协议信息、检品信息、对照品信息、附件信息、审核信息发送至</w:t>
            </w:r>
            <w:r>
              <w:rPr>
                <w:rFonts w:hint="eastAsia" w:ascii="宋体" w:hAnsi="宋体" w:cs="宋体"/>
                <w:color w:val="auto"/>
                <w:kern w:val="0"/>
                <w:sz w:val="24"/>
                <w:szCs w:val="24"/>
                <w:highlight w:val="none"/>
                <w:lang w:eastAsia="zh-CN"/>
                <w14:ligatures w14:val="none"/>
              </w:rPr>
              <w:t>实验室资源管理系统</w:t>
            </w:r>
            <w:r>
              <w:rPr>
                <w:rFonts w:hint="eastAsia" w:ascii="宋体" w:hAnsi="宋体" w:eastAsia="宋体" w:cs="宋体"/>
                <w:color w:val="auto"/>
                <w:kern w:val="0"/>
                <w:sz w:val="24"/>
                <w:szCs w:val="24"/>
                <w:highlight w:val="none"/>
                <w14:ligatures w14:val="none"/>
              </w:rPr>
              <w:t>。</w:t>
            </w:r>
          </w:p>
        </w:tc>
      </w:tr>
      <w:tr w14:paraId="022D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0" w:type="auto"/>
            <w:vAlign w:val="center"/>
          </w:tcPr>
          <w:p w14:paraId="51663DA5">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2</w:t>
            </w:r>
          </w:p>
        </w:tc>
        <w:tc>
          <w:tcPr>
            <w:tcW w:w="0" w:type="auto"/>
            <w:shd w:val="clear" w:color="auto" w:fill="auto"/>
            <w:vAlign w:val="center"/>
          </w:tcPr>
          <w:p w14:paraId="10EB36BF">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协议修改数据推送接口</w:t>
            </w:r>
          </w:p>
        </w:tc>
        <w:tc>
          <w:tcPr>
            <w:tcW w:w="0" w:type="auto"/>
            <w:shd w:val="clear" w:color="auto" w:fill="auto"/>
            <w:vAlign w:val="center"/>
          </w:tcPr>
          <w:p w14:paraId="6421EC98">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公众平台协议修改审核通过后，如涉及试剂试药信息和附件信息，将对应修改内容发送至</w:t>
            </w:r>
            <w:r>
              <w:rPr>
                <w:rFonts w:hint="eastAsia" w:ascii="宋体" w:hAnsi="宋体" w:cs="宋体"/>
                <w:color w:val="auto"/>
                <w:kern w:val="0"/>
                <w:sz w:val="24"/>
                <w:szCs w:val="24"/>
                <w:highlight w:val="none"/>
                <w:lang w:eastAsia="zh-CN"/>
                <w14:ligatures w14:val="none"/>
              </w:rPr>
              <w:t>实验室资源管理系统</w:t>
            </w:r>
            <w:r>
              <w:rPr>
                <w:rFonts w:hint="eastAsia" w:ascii="宋体" w:hAnsi="宋体" w:eastAsia="宋体" w:cs="宋体"/>
                <w:color w:val="auto"/>
                <w:kern w:val="0"/>
                <w:sz w:val="24"/>
                <w:szCs w:val="24"/>
                <w:highlight w:val="none"/>
                <w14:ligatures w14:val="none"/>
              </w:rPr>
              <w:t>。</w:t>
            </w:r>
          </w:p>
        </w:tc>
      </w:tr>
      <w:tr w14:paraId="07A9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0" w:type="auto"/>
            <w:vAlign w:val="center"/>
          </w:tcPr>
          <w:p w14:paraId="0459FA96">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3</w:t>
            </w:r>
          </w:p>
        </w:tc>
        <w:tc>
          <w:tcPr>
            <w:tcW w:w="0" w:type="auto"/>
            <w:shd w:val="clear" w:color="auto" w:fill="auto"/>
            <w:vAlign w:val="center"/>
          </w:tcPr>
          <w:p w14:paraId="01DA7F74">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协议作废数据推送接口</w:t>
            </w:r>
          </w:p>
        </w:tc>
        <w:tc>
          <w:tcPr>
            <w:tcW w:w="0" w:type="auto"/>
            <w:shd w:val="clear" w:color="auto" w:fill="auto"/>
            <w:vAlign w:val="center"/>
          </w:tcPr>
          <w:p w14:paraId="5C34219D">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公众协议作废申请通过后，将作废信息告知</w:t>
            </w:r>
            <w:r>
              <w:rPr>
                <w:rFonts w:hint="eastAsia" w:ascii="宋体" w:hAnsi="宋体" w:cs="宋体"/>
                <w:color w:val="auto"/>
                <w:kern w:val="0"/>
                <w:sz w:val="24"/>
                <w:szCs w:val="24"/>
                <w:highlight w:val="none"/>
                <w:lang w:eastAsia="zh-CN"/>
                <w14:ligatures w14:val="none"/>
              </w:rPr>
              <w:t>实验室资源管理系统</w:t>
            </w:r>
            <w:r>
              <w:rPr>
                <w:rFonts w:hint="eastAsia" w:ascii="宋体" w:hAnsi="宋体" w:eastAsia="宋体" w:cs="宋体"/>
                <w:color w:val="auto"/>
                <w:kern w:val="0"/>
                <w:sz w:val="24"/>
                <w:szCs w:val="24"/>
                <w:highlight w:val="none"/>
                <w14:ligatures w14:val="none"/>
              </w:rPr>
              <w:t>。</w:t>
            </w:r>
          </w:p>
        </w:tc>
      </w:tr>
      <w:tr w14:paraId="08291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0" w:type="auto"/>
            <w:vAlign w:val="center"/>
          </w:tcPr>
          <w:p w14:paraId="5711F7FA">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4</w:t>
            </w:r>
          </w:p>
        </w:tc>
        <w:tc>
          <w:tcPr>
            <w:tcW w:w="0" w:type="auto"/>
            <w:shd w:val="clear" w:color="auto" w:fill="auto"/>
            <w:vAlign w:val="center"/>
          </w:tcPr>
          <w:p w14:paraId="2B3560B6">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报告盖章结果查询接口</w:t>
            </w:r>
          </w:p>
        </w:tc>
        <w:tc>
          <w:tcPr>
            <w:tcW w:w="0" w:type="auto"/>
            <w:shd w:val="clear" w:color="auto" w:fill="auto"/>
            <w:vAlign w:val="center"/>
          </w:tcPr>
          <w:p w14:paraId="78C1C4B0">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提供检品报告盖章能力及盖章结果查询接口。</w:t>
            </w:r>
          </w:p>
        </w:tc>
      </w:tr>
      <w:tr w14:paraId="3B53B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0" w:type="auto"/>
            <w:vAlign w:val="center"/>
          </w:tcPr>
          <w:p w14:paraId="050B1F9F">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5</w:t>
            </w:r>
          </w:p>
        </w:tc>
        <w:tc>
          <w:tcPr>
            <w:tcW w:w="0" w:type="auto"/>
            <w:shd w:val="clear" w:color="auto" w:fill="auto"/>
            <w:vAlign w:val="center"/>
          </w:tcPr>
          <w:p w14:paraId="0BD0DF7A">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取回查询接口</w:t>
            </w:r>
          </w:p>
        </w:tc>
        <w:tc>
          <w:tcPr>
            <w:tcW w:w="0" w:type="auto"/>
            <w:shd w:val="clear" w:color="auto" w:fill="auto"/>
            <w:vAlign w:val="center"/>
          </w:tcPr>
          <w:p w14:paraId="669AD16D">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提供报告下载状态和收费单状态查询接口。</w:t>
            </w:r>
          </w:p>
        </w:tc>
      </w:tr>
      <w:tr w14:paraId="63D1E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0" w:type="auto"/>
            <w:vAlign w:val="center"/>
          </w:tcPr>
          <w:p w14:paraId="5F21F519">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6</w:t>
            </w:r>
          </w:p>
        </w:tc>
        <w:tc>
          <w:tcPr>
            <w:tcW w:w="0" w:type="auto"/>
            <w:shd w:val="clear" w:color="auto" w:fill="auto"/>
            <w:vAlign w:val="center"/>
          </w:tcPr>
          <w:p w14:paraId="75CA5274">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cs="宋体"/>
                <w:color w:val="auto"/>
                <w:kern w:val="0"/>
                <w:sz w:val="24"/>
                <w:szCs w:val="24"/>
                <w:highlight w:val="none"/>
                <w:lang w:eastAsia="zh-CN"/>
                <w14:ligatures w14:val="none"/>
              </w:rPr>
              <w:t>实验室资源管理系统</w:t>
            </w:r>
            <w:r>
              <w:rPr>
                <w:rFonts w:hint="eastAsia" w:ascii="宋体" w:hAnsi="宋体" w:eastAsia="宋体" w:cs="宋体"/>
                <w:color w:val="auto"/>
                <w:kern w:val="0"/>
                <w:sz w:val="24"/>
                <w:szCs w:val="24"/>
                <w:highlight w:val="none"/>
                <w14:ligatures w14:val="none"/>
              </w:rPr>
              <w:t>检品收费请求接口</w:t>
            </w:r>
          </w:p>
        </w:tc>
        <w:tc>
          <w:tcPr>
            <w:tcW w:w="0" w:type="auto"/>
            <w:shd w:val="clear" w:color="auto" w:fill="auto"/>
            <w:vAlign w:val="center"/>
          </w:tcPr>
          <w:p w14:paraId="12EB0F93">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提供非公众发起检品收费单开具接口。</w:t>
            </w:r>
          </w:p>
        </w:tc>
      </w:tr>
      <w:tr w14:paraId="5B6F4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0" w:type="auto"/>
            <w:vAlign w:val="center"/>
          </w:tcPr>
          <w:p w14:paraId="50A60DB2">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7</w:t>
            </w:r>
          </w:p>
        </w:tc>
        <w:tc>
          <w:tcPr>
            <w:tcW w:w="0" w:type="auto"/>
            <w:shd w:val="clear" w:color="auto" w:fill="auto"/>
            <w:vAlign w:val="center"/>
          </w:tcPr>
          <w:p w14:paraId="0C27F89C">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cs="宋体"/>
                <w:color w:val="auto"/>
                <w:kern w:val="0"/>
                <w:sz w:val="24"/>
                <w:szCs w:val="24"/>
                <w:highlight w:val="none"/>
                <w:lang w:eastAsia="zh-CN"/>
                <w14:ligatures w14:val="none"/>
              </w:rPr>
              <w:t>实验室资源管理系统</w:t>
            </w:r>
            <w:r>
              <w:rPr>
                <w:rFonts w:hint="eastAsia" w:ascii="宋体" w:hAnsi="宋体" w:eastAsia="宋体" w:cs="宋体"/>
                <w:color w:val="auto"/>
                <w:kern w:val="0"/>
                <w:sz w:val="24"/>
                <w:szCs w:val="24"/>
                <w:highlight w:val="none"/>
                <w14:ligatures w14:val="none"/>
              </w:rPr>
              <w:t>检品收费取消接口</w:t>
            </w:r>
          </w:p>
        </w:tc>
        <w:tc>
          <w:tcPr>
            <w:tcW w:w="0" w:type="auto"/>
            <w:shd w:val="clear" w:color="auto" w:fill="auto"/>
            <w:vAlign w:val="center"/>
          </w:tcPr>
          <w:p w14:paraId="51E271F8">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提供非公众发起检品收费单取消接口。</w:t>
            </w:r>
          </w:p>
        </w:tc>
      </w:tr>
      <w:tr w14:paraId="5F7AE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0" w:type="auto"/>
            <w:vAlign w:val="center"/>
          </w:tcPr>
          <w:p w14:paraId="5F29ECC5">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8</w:t>
            </w:r>
          </w:p>
        </w:tc>
        <w:tc>
          <w:tcPr>
            <w:tcW w:w="0" w:type="auto"/>
            <w:shd w:val="clear" w:color="auto" w:fill="auto"/>
            <w:vAlign w:val="center"/>
          </w:tcPr>
          <w:p w14:paraId="517EC241">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野山参鉴定合同数据推送接口</w:t>
            </w:r>
          </w:p>
        </w:tc>
        <w:tc>
          <w:tcPr>
            <w:tcW w:w="0" w:type="auto"/>
            <w:shd w:val="clear" w:color="auto" w:fill="auto"/>
            <w:vAlign w:val="center"/>
          </w:tcPr>
          <w:p w14:paraId="4F585DCC">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14:ligatures w14:val="none"/>
              </w:rPr>
            </w:pPr>
            <w:r>
              <w:rPr>
                <w:rFonts w:hint="eastAsia" w:ascii="宋体" w:hAnsi="宋体" w:eastAsia="宋体" w:cs="宋体"/>
                <w:color w:val="auto"/>
                <w:kern w:val="0"/>
                <w:sz w:val="24"/>
                <w:szCs w:val="24"/>
                <w:highlight w:val="none"/>
                <w14:ligatures w14:val="none"/>
              </w:rPr>
              <w:t>公众平台野山参鉴定合同申请通过后，将合同数据推送至</w:t>
            </w:r>
            <w:r>
              <w:rPr>
                <w:rFonts w:hint="eastAsia" w:ascii="宋体" w:hAnsi="宋体" w:cs="宋体"/>
                <w:color w:val="auto"/>
                <w:kern w:val="0"/>
                <w:sz w:val="24"/>
                <w:szCs w:val="24"/>
                <w:highlight w:val="none"/>
                <w:lang w:eastAsia="zh-CN"/>
                <w14:ligatures w14:val="none"/>
              </w:rPr>
              <w:t>实验室资源管理系统</w:t>
            </w:r>
            <w:r>
              <w:rPr>
                <w:rFonts w:hint="eastAsia" w:ascii="宋体" w:hAnsi="宋体" w:eastAsia="宋体" w:cs="宋体"/>
                <w:color w:val="auto"/>
                <w:kern w:val="0"/>
                <w:sz w:val="24"/>
                <w:szCs w:val="24"/>
                <w:highlight w:val="none"/>
                <w14:ligatures w14:val="none"/>
              </w:rPr>
              <w:t>。</w:t>
            </w:r>
          </w:p>
        </w:tc>
      </w:tr>
    </w:tbl>
    <w:p w14:paraId="48A3DD6D">
      <w:pPr>
        <w:pStyle w:val="6"/>
        <w:pageBreakBefore w:val="0"/>
        <w:kinsoku/>
        <w:wordWrap/>
        <w:overflowPunct/>
        <w:topLinePunct w:val="0"/>
        <w:bidi w:val="0"/>
        <w:snapToGrid/>
        <w:spacing w:before="0" w:after="0" w:line="360" w:lineRule="auto"/>
        <w:textAlignment w:val="auto"/>
        <w:rPr>
          <w:rFonts w:hint="eastAsia" w:ascii="宋体" w:hAnsi="宋体" w:eastAsia="宋体" w:cs="宋体"/>
          <w:b/>
          <w:bCs/>
          <w:color w:val="auto"/>
          <w:sz w:val="24"/>
          <w:szCs w:val="24"/>
          <w:highlight w:val="none"/>
          <w:shd w:val="clear" w:color="auto" w:fill="FFFFFF"/>
          <w:lang w:bidi="ar"/>
        </w:rPr>
      </w:pPr>
      <w:r>
        <w:rPr>
          <w:rFonts w:hint="eastAsia" w:ascii="宋体" w:hAnsi="宋体" w:eastAsia="宋体" w:cs="宋体"/>
          <w:b/>
          <w:bCs/>
          <w:color w:val="auto"/>
          <w:sz w:val="24"/>
          <w:szCs w:val="24"/>
          <w:highlight w:val="none"/>
          <w:shd w:val="clear" w:color="auto" w:fill="FFFFFF"/>
          <w:lang w:bidi="ar"/>
        </w:rPr>
        <w:t>5.服务考核与验收</w:t>
      </w:r>
    </w:p>
    <w:p w14:paraId="78052033">
      <w:pPr>
        <w:pageBreakBefore w:val="0"/>
        <w:kinsoku/>
        <w:wordWrap/>
        <w:overflowPunct/>
        <w:topLinePunct w:val="0"/>
        <w:bidi w:val="0"/>
        <w:snapToGrid/>
        <w:spacing w:after="0" w:line="360" w:lineRule="auto"/>
        <w:ind w:left="0" w:leftChars="0" w:firstLine="420" w:firstLineChars="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每季度初进行季度例会，对上季度工作进行总结、考核和通报，以此来管理和完善服务维护等相关工作。</w:t>
      </w:r>
    </w:p>
    <w:p w14:paraId="38DD4B13">
      <w:pPr>
        <w:pageBreakBefore w:val="0"/>
        <w:kinsoku/>
        <w:wordWrap/>
        <w:overflowPunct/>
        <w:topLinePunct w:val="0"/>
        <w:bidi w:val="0"/>
        <w:snapToGrid/>
        <w:spacing w:after="0" w:line="360" w:lineRule="auto"/>
        <w:ind w:left="0" w:leftChars="0" w:firstLine="420" w:firstLineChars="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根据实际情况的变化，在双方协商一致的情况下，可对季度评分表进行修订和完善。</w:t>
      </w:r>
    </w:p>
    <w:p w14:paraId="2A56A3CC">
      <w:pPr>
        <w:pageBreakBefore w:val="0"/>
        <w:kinsoku/>
        <w:wordWrap/>
        <w:overflowPunct/>
        <w:topLinePunct w:val="0"/>
        <w:bidi w:val="0"/>
        <w:snapToGrid/>
        <w:spacing w:after="0" w:line="360" w:lineRule="auto"/>
        <w:ind w:left="0" w:leftChars="0" w:firstLine="420" w:firstLineChars="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季度服务质量考核将从以下几个方面进行：</w:t>
      </w:r>
    </w:p>
    <w:tbl>
      <w:tblPr>
        <w:tblStyle w:val="63"/>
        <w:tblW w:w="8500" w:type="dxa"/>
        <w:tblInd w:w="113" w:type="dxa"/>
        <w:tblLayout w:type="autofit"/>
        <w:tblCellMar>
          <w:top w:w="0" w:type="dxa"/>
          <w:left w:w="108" w:type="dxa"/>
          <w:bottom w:w="0" w:type="dxa"/>
          <w:right w:w="108" w:type="dxa"/>
        </w:tblCellMar>
      </w:tblPr>
      <w:tblGrid>
        <w:gridCol w:w="1480"/>
        <w:gridCol w:w="4820"/>
        <w:gridCol w:w="940"/>
        <w:gridCol w:w="1260"/>
      </w:tblGrid>
      <w:tr w14:paraId="4C762FD5">
        <w:tblPrEx>
          <w:tblCellMar>
            <w:top w:w="0" w:type="dxa"/>
            <w:left w:w="108" w:type="dxa"/>
            <w:bottom w:w="0" w:type="dxa"/>
            <w:right w:w="108" w:type="dxa"/>
          </w:tblCellMar>
        </w:tblPrEx>
        <w:trPr>
          <w:trHeight w:val="270" w:hRule="atLeast"/>
        </w:trPr>
        <w:tc>
          <w:tcPr>
            <w:tcW w:w="1480" w:type="dxa"/>
            <w:tcBorders>
              <w:top w:val="single" w:color="auto" w:sz="4" w:space="0"/>
              <w:left w:val="single" w:color="auto" w:sz="4" w:space="0"/>
              <w:bottom w:val="single" w:color="auto" w:sz="4" w:space="0"/>
              <w:right w:val="single" w:color="auto" w:sz="4" w:space="0"/>
            </w:tcBorders>
            <w:shd w:val="clear" w:color="000000" w:fill="C0C0C0"/>
            <w:vAlign w:val="center"/>
          </w:tcPr>
          <w:p w14:paraId="0D941089">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考核内容</w:t>
            </w:r>
          </w:p>
        </w:tc>
        <w:tc>
          <w:tcPr>
            <w:tcW w:w="4820" w:type="dxa"/>
            <w:tcBorders>
              <w:top w:val="single" w:color="auto" w:sz="4" w:space="0"/>
              <w:left w:val="nil"/>
              <w:bottom w:val="single" w:color="auto" w:sz="4" w:space="0"/>
              <w:right w:val="single" w:color="auto" w:sz="4" w:space="0"/>
            </w:tcBorders>
            <w:shd w:val="clear" w:color="000000" w:fill="C0C0C0"/>
            <w:vAlign w:val="center"/>
          </w:tcPr>
          <w:p w14:paraId="4B2A21DF">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考核说明</w:t>
            </w:r>
          </w:p>
        </w:tc>
        <w:tc>
          <w:tcPr>
            <w:tcW w:w="940" w:type="dxa"/>
            <w:tcBorders>
              <w:top w:val="single" w:color="auto" w:sz="4" w:space="0"/>
              <w:left w:val="nil"/>
              <w:bottom w:val="single" w:color="auto" w:sz="4" w:space="0"/>
              <w:right w:val="single" w:color="auto" w:sz="4" w:space="0"/>
            </w:tcBorders>
            <w:shd w:val="clear" w:color="000000" w:fill="C0C0C0"/>
            <w:vAlign w:val="center"/>
          </w:tcPr>
          <w:p w14:paraId="7D4E36DF">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分值</w:t>
            </w:r>
          </w:p>
        </w:tc>
        <w:tc>
          <w:tcPr>
            <w:tcW w:w="1260" w:type="dxa"/>
            <w:tcBorders>
              <w:top w:val="single" w:color="auto" w:sz="4" w:space="0"/>
              <w:left w:val="nil"/>
              <w:bottom w:val="single" w:color="auto" w:sz="4" w:space="0"/>
              <w:right w:val="single" w:color="auto" w:sz="4" w:space="0"/>
            </w:tcBorders>
            <w:shd w:val="clear" w:color="000000" w:fill="C0C0C0"/>
            <w:vAlign w:val="center"/>
          </w:tcPr>
          <w:p w14:paraId="3F05A0FD">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14:paraId="71AF0B09">
        <w:tblPrEx>
          <w:tblCellMar>
            <w:top w:w="0" w:type="dxa"/>
            <w:left w:w="108" w:type="dxa"/>
            <w:bottom w:w="0" w:type="dxa"/>
            <w:right w:w="108" w:type="dxa"/>
          </w:tblCellMar>
        </w:tblPrEx>
        <w:trPr>
          <w:trHeight w:val="480" w:hRule="atLeast"/>
        </w:trPr>
        <w:tc>
          <w:tcPr>
            <w:tcW w:w="1480" w:type="dxa"/>
            <w:vMerge w:val="restart"/>
            <w:tcBorders>
              <w:top w:val="nil"/>
              <w:left w:val="single" w:color="auto" w:sz="4" w:space="0"/>
              <w:bottom w:val="single" w:color="auto" w:sz="4" w:space="0"/>
              <w:right w:val="single" w:color="auto" w:sz="4" w:space="0"/>
            </w:tcBorders>
            <w:vAlign w:val="center"/>
          </w:tcPr>
          <w:p w14:paraId="152CD88F">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服务考核</w:t>
            </w:r>
          </w:p>
        </w:tc>
        <w:tc>
          <w:tcPr>
            <w:tcW w:w="4820" w:type="dxa"/>
            <w:tcBorders>
              <w:top w:val="nil"/>
              <w:left w:val="nil"/>
              <w:bottom w:val="single" w:color="auto" w:sz="4" w:space="0"/>
              <w:right w:val="single" w:color="auto" w:sz="4" w:space="0"/>
            </w:tcBorders>
            <w:vAlign w:val="center"/>
          </w:tcPr>
          <w:p w14:paraId="49B7F429">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驻场人员服务态度良好，积极配合工作，主动了解用户需求，耐心解答问题。</w:t>
            </w:r>
          </w:p>
        </w:tc>
        <w:tc>
          <w:tcPr>
            <w:tcW w:w="940" w:type="dxa"/>
            <w:tcBorders>
              <w:top w:val="nil"/>
              <w:left w:val="nil"/>
              <w:bottom w:val="single" w:color="auto" w:sz="4" w:space="0"/>
              <w:right w:val="single" w:color="auto" w:sz="4" w:space="0"/>
            </w:tcBorders>
            <w:vAlign w:val="center"/>
          </w:tcPr>
          <w:p w14:paraId="542A8D15">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20 </w:t>
            </w:r>
          </w:p>
        </w:tc>
        <w:tc>
          <w:tcPr>
            <w:tcW w:w="1260" w:type="dxa"/>
            <w:tcBorders>
              <w:top w:val="nil"/>
              <w:left w:val="nil"/>
              <w:bottom w:val="single" w:color="auto" w:sz="4" w:space="0"/>
              <w:right w:val="single" w:color="auto" w:sz="4" w:space="0"/>
            </w:tcBorders>
            <w:vAlign w:val="center"/>
          </w:tcPr>
          <w:p w14:paraId="66E8890B">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B723E5B">
        <w:tblPrEx>
          <w:tblCellMar>
            <w:top w:w="0" w:type="dxa"/>
            <w:left w:w="108" w:type="dxa"/>
            <w:bottom w:w="0" w:type="dxa"/>
            <w:right w:w="108" w:type="dxa"/>
          </w:tblCellMar>
        </w:tblPrEx>
        <w:trPr>
          <w:trHeight w:val="270" w:hRule="atLeast"/>
        </w:trPr>
        <w:tc>
          <w:tcPr>
            <w:tcW w:w="1480" w:type="dxa"/>
            <w:vMerge w:val="continue"/>
            <w:tcBorders>
              <w:top w:val="nil"/>
              <w:left w:val="single" w:color="auto" w:sz="4" w:space="0"/>
              <w:bottom w:val="single" w:color="auto" w:sz="4" w:space="0"/>
              <w:right w:val="single" w:color="auto" w:sz="4" w:space="0"/>
            </w:tcBorders>
            <w:vAlign w:val="center"/>
          </w:tcPr>
          <w:p w14:paraId="1D4C4D74">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rPr>
            </w:pPr>
          </w:p>
        </w:tc>
        <w:tc>
          <w:tcPr>
            <w:tcW w:w="4820" w:type="dxa"/>
            <w:tcBorders>
              <w:top w:val="nil"/>
              <w:left w:val="nil"/>
              <w:bottom w:val="single" w:color="auto" w:sz="4" w:space="0"/>
              <w:right w:val="single" w:color="auto" w:sz="4" w:space="0"/>
            </w:tcBorders>
            <w:vAlign w:val="center"/>
          </w:tcPr>
          <w:p w14:paraId="0489432D">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驻场人员专业技术能力符合实际业务需求，能够准确判断问题及故障原因并采取有效措施进行解决。</w:t>
            </w:r>
          </w:p>
        </w:tc>
        <w:tc>
          <w:tcPr>
            <w:tcW w:w="940" w:type="dxa"/>
            <w:tcBorders>
              <w:top w:val="nil"/>
              <w:left w:val="nil"/>
              <w:bottom w:val="single" w:color="auto" w:sz="4" w:space="0"/>
              <w:right w:val="single" w:color="auto" w:sz="4" w:space="0"/>
            </w:tcBorders>
            <w:vAlign w:val="center"/>
          </w:tcPr>
          <w:p w14:paraId="18EBCB7E">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25 </w:t>
            </w:r>
          </w:p>
        </w:tc>
        <w:tc>
          <w:tcPr>
            <w:tcW w:w="1260" w:type="dxa"/>
            <w:tcBorders>
              <w:top w:val="nil"/>
              <w:left w:val="nil"/>
              <w:bottom w:val="single" w:color="auto" w:sz="4" w:space="0"/>
              <w:right w:val="single" w:color="auto" w:sz="4" w:space="0"/>
            </w:tcBorders>
            <w:vAlign w:val="center"/>
          </w:tcPr>
          <w:p w14:paraId="01ED947D">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76D05F0">
        <w:tblPrEx>
          <w:tblCellMar>
            <w:top w:w="0" w:type="dxa"/>
            <w:left w:w="108" w:type="dxa"/>
            <w:bottom w:w="0" w:type="dxa"/>
            <w:right w:w="108" w:type="dxa"/>
          </w:tblCellMar>
        </w:tblPrEx>
        <w:trPr>
          <w:trHeight w:val="270" w:hRule="atLeast"/>
        </w:trPr>
        <w:tc>
          <w:tcPr>
            <w:tcW w:w="1480" w:type="dxa"/>
            <w:vMerge w:val="continue"/>
            <w:tcBorders>
              <w:top w:val="nil"/>
              <w:left w:val="single" w:color="auto" w:sz="4" w:space="0"/>
              <w:bottom w:val="single" w:color="auto" w:sz="4" w:space="0"/>
              <w:right w:val="single" w:color="auto" w:sz="4" w:space="0"/>
            </w:tcBorders>
            <w:vAlign w:val="center"/>
          </w:tcPr>
          <w:p w14:paraId="3D9340A1">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rPr>
            </w:pPr>
          </w:p>
        </w:tc>
        <w:tc>
          <w:tcPr>
            <w:tcW w:w="4820" w:type="dxa"/>
            <w:tcBorders>
              <w:top w:val="nil"/>
              <w:left w:val="nil"/>
              <w:bottom w:val="single" w:color="auto" w:sz="4" w:space="0"/>
              <w:right w:val="single" w:color="auto" w:sz="4" w:space="0"/>
            </w:tcBorders>
            <w:vAlign w:val="center"/>
          </w:tcPr>
          <w:p w14:paraId="0C6C1E97">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驻场人员能第一时间响应问题，及时与客户沟通，明确问题并给出解决方案。</w:t>
            </w:r>
          </w:p>
        </w:tc>
        <w:tc>
          <w:tcPr>
            <w:tcW w:w="940" w:type="dxa"/>
            <w:tcBorders>
              <w:top w:val="nil"/>
              <w:left w:val="nil"/>
              <w:bottom w:val="single" w:color="auto" w:sz="4" w:space="0"/>
              <w:right w:val="single" w:color="auto" w:sz="4" w:space="0"/>
            </w:tcBorders>
            <w:vAlign w:val="center"/>
          </w:tcPr>
          <w:p w14:paraId="3AFDB06A">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25 </w:t>
            </w:r>
          </w:p>
        </w:tc>
        <w:tc>
          <w:tcPr>
            <w:tcW w:w="1260" w:type="dxa"/>
            <w:tcBorders>
              <w:top w:val="nil"/>
              <w:left w:val="nil"/>
              <w:bottom w:val="single" w:color="auto" w:sz="4" w:space="0"/>
              <w:right w:val="single" w:color="auto" w:sz="4" w:space="0"/>
            </w:tcBorders>
            <w:vAlign w:val="center"/>
          </w:tcPr>
          <w:p w14:paraId="22FDEA29">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0009FD01">
        <w:tblPrEx>
          <w:tblCellMar>
            <w:top w:w="0" w:type="dxa"/>
            <w:left w:w="108" w:type="dxa"/>
            <w:bottom w:w="0" w:type="dxa"/>
            <w:right w:w="108" w:type="dxa"/>
          </w:tblCellMar>
        </w:tblPrEx>
        <w:trPr>
          <w:trHeight w:val="480" w:hRule="atLeast"/>
        </w:trPr>
        <w:tc>
          <w:tcPr>
            <w:tcW w:w="1480" w:type="dxa"/>
            <w:vMerge w:val="continue"/>
            <w:tcBorders>
              <w:top w:val="nil"/>
              <w:left w:val="single" w:color="auto" w:sz="4" w:space="0"/>
              <w:bottom w:val="single" w:color="auto" w:sz="4" w:space="0"/>
              <w:right w:val="single" w:color="auto" w:sz="4" w:space="0"/>
            </w:tcBorders>
            <w:vAlign w:val="center"/>
          </w:tcPr>
          <w:p w14:paraId="64D3768C">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rPr>
            </w:pPr>
          </w:p>
        </w:tc>
        <w:tc>
          <w:tcPr>
            <w:tcW w:w="4820" w:type="dxa"/>
            <w:tcBorders>
              <w:top w:val="nil"/>
              <w:left w:val="nil"/>
              <w:bottom w:val="single" w:color="auto" w:sz="4" w:space="0"/>
              <w:right w:val="single" w:color="auto" w:sz="4" w:space="0"/>
            </w:tcBorders>
            <w:vAlign w:val="center"/>
          </w:tcPr>
          <w:p w14:paraId="60BA5D70">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驻场人员是否遵守浙江省食品药品检验研究院相关工作规定</w:t>
            </w:r>
          </w:p>
        </w:tc>
        <w:tc>
          <w:tcPr>
            <w:tcW w:w="940" w:type="dxa"/>
            <w:tcBorders>
              <w:top w:val="nil"/>
              <w:left w:val="nil"/>
              <w:bottom w:val="single" w:color="auto" w:sz="4" w:space="0"/>
              <w:right w:val="single" w:color="auto" w:sz="4" w:space="0"/>
            </w:tcBorders>
            <w:vAlign w:val="center"/>
          </w:tcPr>
          <w:p w14:paraId="1DBE4E56">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20 </w:t>
            </w:r>
          </w:p>
        </w:tc>
        <w:tc>
          <w:tcPr>
            <w:tcW w:w="1260" w:type="dxa"/>
            <w:tcBorders>
              <w:top w:val="nil"/>
              <w:left w:val="nil"/>
              <w:bottom w:val="single" w:color="auto" w:sz="4" w:space="0"/>
              <w:right w:val="single" w:color="auto" w:sz="4" w:space="0"/>
            </w:tcBorders>
            <w:vAlign w:val="center"/>
          </w:tcPr>
          <w:p w14:paraId="3FF3A8D6">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BA1A1C9">
        <w:tblPrEx>
          <w:tblCellMar>
            <w:top w:w="0" w:type="dxa"/>
            <w:left w:w="108" w:type="dxa"/>
            <w:bottom w:w="0" w:type="dxa"/>
            <w:right w:w="108" w:type="dxa"/>
          </w:tblCellMar>
        </w:tblPrEx>
        <w:trPr>
          <w:trHeight w:val="960" w:hRule="atLeast"/>
        </w:trPr>
        <w:tc>
          <w:tcPr>
            <w:tcW w:w="1480" w:type="dxa"/>
            <w:tcBorders>
              <w:top w:val="nil"/>
              <w:left w:val="single" w:color="auto" w:sz="4" w:space="0"/>
              <w:bottom w:val="single" w:color="auto" w:sz="4" w:space="0"/>
              <w:right w:val="single" w:color="auto" w:sz="4" w:space="0"/>
            </w:tcBorders>
            <w:vAlign w:val="center"/>
          </w:tcPr>
          <w:p w14:paraId="0DACEEB6">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组织管理考核</w:t>
            </w:r>
          </w:p>
        </w:tc>
        <w:tc>
          <w:tcPr>
            <w:tcW w:w="4820" w:type="dxa"/>
            <w:tcBorders>
              <w:top w:val="nil"/>
              <w:left w:val="nil"/>
              <w:bottom w:val="single" w:color="auto" w:sz="4" w:space="0"/>
              <w:right w:val="single" w:color="auto" w:sz="4" w:space="0"/>
            </w:tcBorders>
            <w:vAlign w:val="center"/>
          </w:tcPr>
          <w:p w14:paraId="26A3EE89">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考核供应商组织管理能力，能够根据要求及时输出技术文档及管理总结。</w:t>
            </w:r>
          </w:p>
        </w:tc>
        <w:tc>
          <w:tcPr>
            <w:tcW w:w="940" w:type="dxa"/>
            <w:tcBorders>
              <w:top w:val="nil"/>
              <w:left w:val="nil"/>
              <w:bottom w:val="single" w:color="auto" w:sz="4" w:space="0"/>
              <w:right w:val="single" w:color="auto" w:sz="4" w:space="0"/>
            </w:tcBorders>
            <w:vAlign w:val="center"/>
          </w:tcPr>
          <w:p w14:paraId="7B4E1E6A">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10 </w:t>
            </w:r>
          </w:p>
        </w:tc>
        <w:tc>
          <w:tcPr>
            <w:tcW w:w="1260" w:type="dxa"/>
            <w:tcBorders>
              <w:top w:val="nil"/>
              <w:left w:val="nil"/>
              <w:bottom w:val="single" w:color="auto" w:sz="4" w:space="0"/>
              <w:right w:val="single" w:color="auto" w:sz="4" w:space="0"/>
            </w:tcBorders>
            <w:vAlign w:val="center"/>
          </w:tcPr>
          <w:p w14:paraId="0313A840">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bl>
    <w:p w14:paraId="0E67A32B">
      <w:pPr>
        <w:pageBreakBefore w:val="0"/>
        <w:kinsoku/>
        <w:wordWrap/>
        <w:overflowPunct/>
        <w:topLinePunct w:val="0"/>
        <w:bidi w:val="0"/>
        <w:snapToGrid/>
        <w:spacing w:after="0" w:line="360" w:lineRule="auto"/>
        <w:ind w:left="0" w:leftChars="0" w:firstLine="420" w:firstLineChars="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参照以上验收考评标准，每季度评分一次，评分结果须经双方共同确认。以季度考核结果，计算年度考核成绩。</w:t>
      </w:r>
    </w:p>
    <w:p w14:paraId="7236BFDE">
      <w:pPr>
        <w:pStyle w:val="5"/>
        <w:pageBreakBefore w:val="0"/>
        <w:tabs>
          <w:tab w:val="left" w:pos="0"/>
          <w:tab w:val="clear" w:pos="900"/>
        </w:tabs>
        <w:kinsoku/>
        <w:wordWrap/>
        <w:overflowPunct/>
        <w:topLinePunct w:val="0"/>
        <w:bidi w:val="0"/>
        <w:snapToGrid/>
        <w:spacing w:before="0" w:after="0" w:line="360" w:lineRule="auto"/>
        <w:ind w:left="0" w:leftChars="0" w:firstLine="419" w:firstLineChars="174"/>
        <w:textAlignment w:val="auto"/>
        <w:rPr>
          <w:rFonts w:hint="eastAsia" w:ascii="宋体" w:hAnsi="宋体" w:eastAsia="宋体" w:cs="宋体"/>
          <w:b/>
          <w:bCs/>
          <w:color w:val="auto"/>
          <w:sz w:val="24"/>
          <w:szCs w:val="24"/>
          <w:highlight w:val="none"/>
          <w:shd w:val="clear" w:color="auto" w:fill="FFFFFF"/>
          <w:lang w:bidi="ar"/>
        </w:rPr>
      </w:pPr>
      <w:bookmarkStart w:id="30" w:name="_Toc198297171"/>
      <w:r>
        <w:rPr>
          <w:rFonts w:hint="eastAsia" w:ascii="宋体" w:hAnsi="宋体" w:eastAsia="宋体" w:cs="宋体"/>
          <w:b/>
          <w:bCs/>
          <w:color w:val="auto"/>
          <w:sz w:val="24"/>
          <w:szCs w:val="24"/>
          <w:highlight w:val="none"/>
          <w:shd w:val="clear" w:color="auto" w:fill="FFFFFF"/>
          <w:lang w:bidi="ar"/>
        </w:rPr>
        <w:t>（二）</w:t>
      </w:r>
      <w:bookmarkStart w:id="31" w:name="_Hlk198296428"/>
      <w:r>
        <w:rPr>
          <w:rFonts w:hint="eastAsia" w:ascii="宋体" w:hAnsi="宋体" w:eastAsia="宋体" w:cs="宋体"/>
          <w:b/>
          <w:bCs/>
          <w:color w:val="auto"/>
          <w:sz w:val="24"/>
          <w:szCs w:val="24"/>
          <w:highlight w:val="none"/>
          <w:shd w:val="clear" w:color="auto" w:fill="FFFFFF"/>
          <w:lang w:bidi="ar"/>
        </w:rPr>
        <w:t>IDC机房租赁及安全</w:t>
      </w:r>
      <w:bookmarkEnd w:id="30"/>
      <w:bookmarkEnd w:id="31"/>
    </w:p>
    <w:p w14:paraId="5CDD4B60">
      <w:pPr>
        <w:pStyle w:val="6"/>
        <w:pageBreakBefore w:val="0"/>
        <w:numPr>
          <w:ilvl w:val="0"/>
          <w:numId w:val="17"/>
        </w:numPr>
        <w:kinsoku/>
        <w:wordWrap/>
        <w:overflowPunct/>
        <w:topLinePunct w:val="0"/>
        <w:bidi w:val="0"/>
        <w:snapToGrid/>
        <w:spacing w:before="0" w:after="0" w:line="360" w:lineRule="auto"/>
        <w:ind w:left="0" w:leftChars="0" w:firstLine="400" w:firstLineChars="0"/>
        <w:textAlignment w:val="auto"/>
        <w:rPr>
          <w:rFonts w:hint="eastAsia" w:ascii="宋体" w:hAnsi="宋体" w:eastAsia="宋体" w:cs="宋体"/>
          <w:b/>
          <w:bCs/>
          <w:color w:val="auto"/>
          <w:sz w:val="24"/>
          <w:szCs w:val="24"/>
          <w:highlight w:val="none"/>
          <w:shd w:val="clear" w:color="auto" w:fill="FFFFFF"/>
          <w:lang w:bidi="ar"/>
        </w:rPr>
      </w:pPr>
      <w:bookmarkStart w:id="32" w:name="_Toc29359"/>
      <w:r>
        <w:rPr>
          <w:rFonts w:hint="eastAsia" w:ascii="宋体" w:hAnsi="宋体" w:eastAsia="宋体" w:cs="宋体"/>
          <w:b/>
          <w:bCs/>
          <w:color w:val="auto"/>
          <w:sz w:val="24"/>
          <w:szCs w:val="24"/>
          <w:highlight w:val="none"/>
          <w:shd w:val="clear" w:color="auto" w:fill="FFFFFF"/>
          <w:lang w:bidi="ar"/>
        </w:rPr>
        <w:t>项目内容和要求</w:t>
      </w:r>
      <w:bookmarkEnd w:id="32"/>
    </w:p>
    <w:p w14:paraId="752E5A8F">
      <w:pPr>
        <w:pageBreakBefore w:val="0"/>
        <w:kinsoku/>
        <w:wordWrap/>
        <w:overflowPunct/>
        <w:topLinePunct w:val="0"/>
        <w:bidi w:val="0"/>
        <w:snapToGrid/>
        <w:spacing w:after="0" w:line="360" w:lineRule="auto"/>
        <w:ind w:left="0" w:leftChars="0" w:firstLine="417" w:firstLineChars="174"/>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为保障浙江省食品药品检验研究院药品及生物制品数据处理及存储等相关硬件的运行环境稳定，要求满足承担的机房环境满足T3或者B级以上机房建设要求。供应商需为机房至滨江院区的通信提供主用及备用裸纤保障，确保通信稳定。</w:t>
      </w:r>
    </w:p>
    <w:p w14:paraId="3A15DF18">
      <w:pPr>
        <w:pageBreakBefore w:val="0"/>
        <w:kinsoku/>
        <w:wordWrap/>
        <w:overflowPunct/>
        <w:topLinePunct w:val="0"/>
        <w:bidi w:val="0"/>
        <w:snapToGrid/>
        <w:spacing w:after="0" w:line="360" w:lineRule="auto"/>
        <w:ind w:left="0" w:leftChars="0" w:firstLine="417" w:firstLineChars="174"/>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保障从 IDC 机房到浙江省食品药品检验研究院滨江院区的网络和不少于6个IDC机房机柜的正常使用。</w:t>
      </w:r>
    </w:p>
    <w:p w14:paraId="6F67A613">
      <w:pPr>
        <w:pageBreakBefore w:val="0"/>
        <w:kinsoku/>
        <w:wordWrap/>
        <w:overflowPunct/>
        <w:topLinePunct w:val="0"/>
        <w:bidi w:val="0"/>
        <w:snapToGrid/>
        <w:spacing w:after="0" w:line="360" w:lineRule="auto"/>
        <w:ind w:left="0" w:leftChars="0" w:firstLine="417" w:firstLineChars="174"/>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本项目服务期为12个月，自2025年8月14</w:t>
      </w:r>
      <w:r>
        <w:rPr>
          <w:rFonts w:hint="eastAsia" w:ascii="宋体" w:hAnsi="宋体" w:cs="宋体"/>
          <w:color w:val="auto"/>
          <w:kern w:val="0"/>
          <w:sz w:val="24"/>
          <w:szCs w:val="24"/>
          <w:highlight w:val="none"/>
          <w:lang w:val="en-US" w:eastAsia="zh-CN" w:bidi="ar"/>
        </w:rPr>
        <w:t>日</w:t>
      </w:r>
      <w:r>
        <w:rPr>
          <w:rFonts w:hint="eastAsia" w:ascii="宋体" w:hAnsi="宋体" w:eastAsia="宋体" w:cs="宋体"/>
          <w:color w:val="auto"/>
          <w:kern w:val="0"/>
          <w:sz w:val="24"/>
          <w:szCs w:val="24"/>
          <w:highlight w:val="none"/>
          <w:lang w:bidi="ar"/>
        </w:rPr>
        <w:t>起至2026年8月13</w:t>
      </w:r>
      <w:r>
        <w:rPr>
          <w:rFonts w:hint="eastAsia" w:ascii="宋体" w:hAnsi="宋体" w:cs="宋体"/>
          <w:color w:val="auto"/>
          <w:kern w:val="0"/>
          <w:sz w:val="24"/>
          <w:szCs w:val="24"/>
          <w:highlight w:val="none"/>
          <w:lang w:val="en-US" w:eastAsia="zh-CN" w:bidi="ar"/>
        </w:rPr>
        <w:t>日</w:t>
      </w:r>
      <w:r>
        <w:rPr>
          <w:rFonts w:hint="eastAsia" w:ascii="宋体" w:hAnsi="宋体" w:eastAsia="宋体" w:cs="宋体"/>
          <w:color w:val="auto"/>
          <w:kern w:val="0"/>
          <w:sz w:val="24"/>
          <w:szCs w:val="24"/>
          <w:highlight w:val="none"/>
          <w:lang w:bidi="ar"/>
        </w:rPr>
        <w:t>止。</w:t>
      </w:r>
    </w:p>
    <w:p w14:paraId="6573D872">
      <w:pPr>
        <w:pStyle w:val="6"/>
        <w:pageBreakBefore w:val="0"/>
        <w:numPr>
          <w:ilvl w:val="0"/>
          <w:numId w:val="17"/>
        </w:numPr>
        <w:kinsoku/>
        <w:wordWrap/>
        <w:overflowPunct/>
        <w:topLinePunct w:val="0"/>
        <w:bidi w:val="0"/>
        <w:snapToGrid/>
        <w:spacing w:before="0" w:after="0" w:line="360" w:lineRule="auto"/>
        <w:ind w:left="0" w:leftChars="0" w:firstLine="400" w:firstLineChars="0"/>
        <w:textAlignment w:val="auto"/>
        <w:rPr>
          <w:rFonts w:hint="eastAsia" w:ascii="宋体" w:hAnsi="宋体" w:eastAsia="宋体" w:cs="宋体"/>
          <w:b/>
          <w:bCs/>
          <w:color w:val="auto"/>
          <w:sz w:val="24"/>
          <w:szCs w:val="24"/>
          <w:highlight w:val="none"/>
          <w:shd w:val="clear" w:color="auto" w:fill="FFFFFF"/>
          <w:lang w:bidi="ar"/>
        </w:rPr>
      </w:pPr>
      <w:r>
        <w:rPr>
          <w:rFonts w:hint="eastAsia" w:ascii="宋体" w:hAnsi="宋体" w:eastAsia="宋体" w:cs="宋体"/>
          <w:b/>
          <w:bCs/>
          <w:color w:val="auto"/>
          <w:sz w:val="24"/>
          <w:szCs w:val="24"/>
          <w:highlight w:val="none"/>
          <w:shd w:val="clear" w:color="auto" w:fill="FFFFFF"/>
          <w:lang w:val="en-US" w:eastAsia="zh-CN" w:bidi="ar"/>
        </w:rPr>
        <w:t>机房</w:t>
      </w:r>
      <w:r>
        <w:rPr>
          <w:rFonts w:hint="eastAsia" w:ascii="宋体" w:hAnsi="宋体" w:eastAsia="宋体" w:cs="宋体"/>
          <w:b/>
          <w:bCs/>
          <w:color w:val="auto"/>
          <w:sz w:val="24"/>
          <w:szCs w:val="24"/>
          <w:highlight w:val="none"/>
          <w:shd w:val="clear" w:color="auto" w:fill="FFFFFF"/>
          <w:lang w:bidi="ar"/>
        </w:rPr>
        <w:t>要求</w:t>
      </w:r>
    </w:p>
    <w:p w14:paraId="766B2AA0">
      <w:pPr>
        <w:pageBreakBefore w:val="0"/>
        <w:numPr>
          <w:ilvl w:val="0"/>
          <w:numId w:val="18"/>
        </w:numPr>
        <w:tabs>
          <w:tab w:val="left" w:pos="220"/>
        </w:tabs>
        <w:kinsoku/>
        <w:wordWrap/>
        <w:overflowPunct/>
        <w:topLinePunct w:val="0"/>
        <w:bidi w:val="0"/>
        <w:snapToGrid/>
        <w:spacing w:after="0" w:line="360" w:lineRule="auto"/>
        <w:ind w:left="5" w:leftChars="0" w:firstLine="415" w:firstLineChars="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租赁机房要求：</w:t>
      </w:r>
    </w:p>
    <w:p w14:paraId="053C3914">
      <w:pPr>
        <w:pageBreakBefore w:val="0"/>
        <w:kinsoku/>
        <w:wordWrap/>
        <w:overflowPunct/>
        <w:topLinePunct w:val="0"/>
        <w:bidi w:val="0"/>
        <w:snapToGrid/>
        <w:spacing w:after="0" w:line="360" w:lineRule="auto"/>
        <w:ind w:left="0" w:leftChars="0" w:firstLine="417" w:firstLineChars="174"/>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标准的IDC应符合电信专业级机房的建设规范，具备并符合机房功能、机房建筑、机房环境、供电系统、空调系统等条件要求。</w:t>
      </w:r>
    </w:p>
    <w:p w14:paraId="2C80C607">
      <w:pPr>
        <w:pageBreakBefore w:val="0"/>
        <w:kinsoku/>
        <w:wordWrap/>
        <w:overflowPunct/>
        <w:topLinePunct w:val="0"/>
        <w:bidi w:val="0"/>
        <w:snapToGrid/>
        <w:spacing w:after="0" w:line="360" w:lineRule="auto"/>
        <w:ind w:left="0" w:leftChars="0" w:firstLine="417" w:firstLineChars="174"/>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机房主要技术参数如下：</w:t>
      </w:r>
    </w:p>
    <w:p w14:paraId="44F0BEF9">
      <w:pPr>
        <w:pageBreakBefore w:val="0"/>
        <w:kinsoku/>
        <w:wordWrap/>
        <w:overflowPunct/>
        <w:topLinePunct w:val="0"/>
        <w:bidi w:val="0"/>
        <w:snapToGrid/>
        <w:spacing w:after="0" w:line="360" w:lineRule="auto"/>
        <w:ind w:left="0" w:leftChars="0" w:firstLine="417" w:firstLineChars="174"/>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温度：23℃±2℃（夏季）、20℃±2℃（冬季）。</w:t>
      </w:r>
    </w:p>
    <w:p w14:paraId="3E8EB958">
      <w:pPr>
        <w:pageBreakBefore w:val="0"/>
        <w:kinsoku/>
        <w:wordWrap/>
        <w:overflowPunct/>
        <w:topLinePunct w:val="0"/>
        <w:bidi w:val="0"/>
        <w:snapToGrid/>
        <w:spacing w:after="0" w:line="360" w:lineRule="auto"/>
        <w:ind w:left="0" w:leftChars="0" w:firstLine="417" w:firstLineChars="174"/>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湿度：55%±10%。</w:t>
      </w:r>
    </w:p>
    <w:p w14:paraId="3AAC1DB6">
      <w:pPr>
        <w:pageBreakBefore w:val="0"/>
        <w:kinsoku/>
        <w:wordWrap/>
        <w:overflowPunct/>
        <w:topLinePunct w:val="0"/>
        <w:bidi w:val="0"/>
        <w:snapToGrid/>
        <w:spacing w:after="0" w:line="360" w:lineRule="auto"/>
        <w:ind w:left="0" w:leftChars="0" w:firstLine="417" w:firstLineChars="174"/>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湿度变化率：＜5%不凝露。</w:t>
      </w:r>
    </w:p>
    <w:p w14:paraId="776916EC">
      <w:pPr>
        <w:pageBreakBefore w:val="0"/>
        <w:kinsoku/>
        <w:wordWrap/>
        <w:overflowPunct/>
        <w:topLinePunct w:val="0"/>
        <w:bidi w:val="0"/>
        <w:snapToGrid/>
        <w:spacing w:after="0" w:line="360" w:lineRule="auto"/>
        <w:ind w:left="0" w:leftChars="0" w:firstLine="417" w:firstLineChars="174"/>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尘埃：国际B级，粒径≥0.5µm其个数≤18000/ dm³。</w:t>
      </w:r>
    </w:p>
    <w:p w14:paraId="4B4000E9">
      <w:pPr>
        <w:pageBreakBefore w:val="0"/>
        <w:kinsoku/>
        <w:wordWrap/>
        <w:overflowPunct/>
        <w:topLinePunct w:val="0"/>
        <w:bidi w:val="0"/>
        <w:snapToGrid/>
        <w:spacing w:after="0" w:line="360" w:lineRule="auto"/>
        <w:ind w:left="0" w:leftChars="0" w:firstLine="417" w:firstLineChars="174"/>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噪音：≤68dB（主机操作人员位置；计算机停机测试）。</w:t>
      </w:r>
    </w:p>
    <w:p w14:paraId="359F052D">
      <w:pPr>
        <w:pageBreakBefore w:val="0"/>
        <w:kinsoku/>
        <w:wordWrap/>
        <w:overflowPunct/>
        <w:topLinePunct w:val="0"/>
        <w:bidi w:val="0"/>
        <w:snapToGrid/>
        <w:spacing w:after="0" w:line="360" w:lineRule="auto"/>
        <w:ind w:left="0" w:leftChars="0" w:firstLine="417" w:firstLineChars="174"/>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照度：机房≥400LX；辅助房间≥200LX；应急照明≥50LX。</w:t>
      </w:r>
    </w:p>
    <w:p w14:paraId="2B756933">
      <w:pPr>
        <w:pageBreakBefore w:val="0"/>
        <w:kinsoku/>
        <w:wordWrap/>
        <w:overflowPunct/>
        <w:topLinePunct w:val="0"/>
        <w:bidi w:val="0"/>
        <w:snapToGrid/>
        <w:spacing w:after="0" w:line="360" w:lineRule="auto"/>
        <w:ind w:left="0" w:leftChars="0" w:firstLine="417" w:firstLineChars="174"/>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接地电阻：R≤1欧姆，接地电位差≤1V。</w:t>
      </w:r>
    </w:p>
    <w:p w14:paraId="2406507C">
      <w:pPr>
        <w:pageBreakBefore w:val="0"/>
        <w:numPr>
          <w:ilvl w:val="0"/>
          <w:numId w:val="18"/>
        </w:numPr>
        <w:tabs>
          <w:tab w:val="left" w:pos="220"/>
        </w:tabs>
        <w:kinsoku/>
        <w:wordWrap/>
        <w:overflowPunct/>
        <w:topLinePunct w:val="0"/>
        <w:bidi w:val="0"/>
        <w:snapToGrid/>
        <w:spacing w:after="0" w:line="360" w:lineRule="auto"/>
        <w:ind w:left="5" w:leftChars="0" w:firstLine="415" w:firstLineChars="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机房其他要求：</w:t>
      </w:r>
    </w:p>
    <w:p w14:paraId="60122D58">
      <w:pPr>
        <w:pageBreakBefore w:val="0"/>
        <w:numPr>
          <w:ilvl w:val="0"/>
          <w:numId w:val="19"/>
        </w:numPr>
        <w:kinsoku/>
        <w:wordWrap/>
        <w:overflowPunct/>
        <w:topLinePunct w:val="0"/>
        <w:bidi w:val="0"/>
        <w:snapToGrid/>
        <w:spacing w:after="0" w:line="360" w:lineRule="auto"/>
        <w:ind w:left="0" w:leftChars="0" w:firstLine="400" w:firstLineChars="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单机柜42U以上，标准功耗2.2KW。</w:t>
      </w:r>
    </w:p>
    <w:p w14:paraId="0B8EDF03">
      <w:pPr>
        <w:pageBreakBefore w:val="0"/>
        <w:numPr>
          <w:ilvl w:val="0"/>
          <w:numId w:val="19"/>
        </w:numPr>
        <w:kinsoku/>
        <w:wordWrap/>
        <w:overflowPunct/>
        <w:topLinePunct w:val="0"/>
        <w:bidi w:val="0"/>
        <w:snapToGrid/>
        <w:spacing w:after="0" w:line="360" w:lineRule="auto"/>
        <w:ind w:left="0" w:leftChars="0" w:firstLine="400" w:firstLineChars="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机房要求由双路10KV市电进行供电；单路市电可以负担机楼100%的负荷正常运转。</w:t>
      </w:r>
    </w:p>
    <w:p w14:paraId="5F62626E">
      <w:pPr>
        <w:pageBreakBefore w:val="0"/>
        <w:numPr>
          <w:ilvl w:val="0"/>
          <w:numId w:val="19"/>
        </w:numPr>
        <w:kinsoku/>
        <w:wordWrap/>
        <w:overflowPunct/>
        <w:topLinePunct w:val="0"/>
        <w:bidi w:val="0"/>
        <w:snapToGrid/>
        <w:spacing w:after="0" w:line="360" w:lineRule="auto"/>
        <w:ind w:left="0" w:leftChars="0" w:firstLine="400" w:firstLineChars="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机房机柜双路供电可用率要求达到99.99%</w:t>
      </w:r>
      <w:r>
        <w:rPr>
          <w:rFonts w:hint="eastAsia" w:ascii="宋体" w:hAnsi="宋体" w:eastAsia="宋体" w:cs="宋体"/>
          <w:color w:val="auto"/>
          <w:kern w:val="0"/>
          <w:sz w:val="24"/>
          <w:szCs w:val="24"/>
          <w:highlight w:val="none"/>
          <w:lang w:eastAsia="zh-CN" w:bidi="ar"/>
        </w:rPr>
        <w:t>。</w:t>
      </w:r>
    </w:p>
    <w:p w14:paraId="24952884">
      <w:pPr>
        <w:pageBreakBefore w:val="0"/>
        <w:numPr>
          <w:ilvl w:val="0"/>
          <w:numId w:val="19"/>
        </w:numPr>
        <w:kinsoku/>
        <w:wordWrap/>
        <w:overflowPunct/>
        <w:topLinePunct w:val="0"/>
        <w:bidi w:val="0"/>
        <w:snapToGrid/>
        <w:spacing w:after="0" w:line="360" w:lineRule="auto"/>
        <w:ind w:left="0" w:leftChars="0" w:firstLine="400" w:firstLineChars="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UPS系统要求双路1+1冗余备份。</w:t>
      </w:r>
    </w:p>
    <w:p w14:paraId="2BC23BD9">
      <w:pPr>
        <w:pageBreakBefore w:val="0"/>
        <w:numPr>
          <w:ilvl w:val="0"/>
          <w:numId w:val="19"/>
        </w:numPr>
        <w:kinsoku/>
        <w:wordWrap/>
        <w:overflowPunct/>
        <w:topLinePunct w:val="0"/>
        <w:bidi w:val="0"/>
        <w:snapToGrid/>
        <w:spacing w:after="0" w:line="360" w:lineRule="auto"/>
        <w:ind w:left="0" w:leftChars="0" w:firstLine="400" w:firstLineChars="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机房配有大型发电机组保障。</w:t>
      </w:r>
    </w:p>
    <w:p w14:paraId="1955D3B1">
      <w:pPr>
        <w:pageBreakBefore w:val="0"/>
        <w:numPr>
          <w:ilvl w:val="0"/>
          <w:numId w:val="19"/>
        </w:numPr>
        <w:kinsoku/>
        <w:wordWrap/>
        <w:overflowPunct/>
        <w:topLinePunct w:val="0"/>
        <w:bidi w:val="0"/>
        <w:snapToGrid/>
        <w:spacing w:after="0" w:line="360" w:lineRule="auto"/>
        <w:ind w:left="0" w:leftChars="0" w:firstLine="400" w:firstLineChars="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空调采用分布式恒温恒湿风冷型空调系统，且存在冗余。</w:t>
      </w:r>
    </w:p>
    <w:p w14:paraId="0B84730C">
      <w:pPr>
        <w:pageBreakBefore w:val="0"/>
        <w:numPr>
          <w:ilvl w:val="0"/>
          <w:numId w:val="19"/>
        </w:numPr>
        <w:kinsoku/>
        <w:wordWrap/>
        <w:overflowPunct/>
        <w:topLinePunct w:val="0"/>
        <w:bidi w:val="0"/>
        <w:snapToGrid/>
        <w:spacing w:after="0" w:line="360" w:lineRule="auto"/>
        <w:ind w:left="0" w:leftChars="0" w:firstLine="400" w:firstLineChars="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机柜内服务器进风处温度要求控制在21~25℃，湿度控制在40%～70%之间；且在任何情况下机房内均不出现结露状态。数据中心灰尘粒子浓度满足国家标准。机房配置的机房专用精密空调具有除尘能力，保证持续除尘。</w:t>
      </w:r>
    </w:p>
    <w:p w14:paraId="5193DF53">
      <w:pPr>
        <w:pageBreakBefore w:val="0"/>
        <w:numPr>
          <w:ilvl w:val="0"/>
          <w:numId w:val="19"/>
        </w:numPr>
        <w:kinsoku/>
        <w:wordWrap/>
        <w:overflowPunct/>
        <w:topLinePunct w:val="0"/>
        <w:bidi w:val="0"/>
        <w:snapToGrid/>
        <w:spacing w:after="0" w:line="360" w:lineRule="auto"/>
        <w:ind w:left="0" w:leftChars="0" w:firstLine="400" w:firstLineChars="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机房内安装防静电架空活动地板，高度≥50厘米；机柜下均安装有抗震机墩。机房活动地板下不布置输电电缆，规避火灾风险。并在地板下安装有水浸检测装置，能检测活动地板下漏水情况。</w:t>
      </w:r>
    </w:p>
    <w:p w14:paraId="04F6802A">
      <w:pPr>
        <w:pageBreakBefore w:val="0"/>
        <w:numPr>
          <w:ilvl w:val="0"/>
          <w:numId w:val="19"/>
        </w:numPr>
        <w:kinsoku/>
        <w:wordWrap/>
        <w:overflowPunct/>
        <w:topLinePunct w:val="0"/>
        <w:bidi w:val="0"/>
        <w:snapToGrid/>
        <w:spacing w:after="0" w:line="360" w:lineRule="auto"/>
        <w:ind w:left="0" w:leftChars="0" w:firstLine="400" w:firstLineChars="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机房消防采用管网式气体灭火方式。</w:t>
      </w:r>
    </w:p>
    <w:p w14:paraId="3273B5BD">
      <w:pPr>
        <w:pageBreakBefore w:val="0"/>
        <w:numPr>
          <w:ilvl w:val="0"/>
          <w:numId w:val="19"/>
        </w:numPr>
        <w:kinsoku/>
        <w:wordWrap/>
        <w:overflowPunct/>
        <w:topLinePunct w:val="0"/>
        <w:bidi w:val="0"/>
        <w:snapToGrid/>
        <w:spacing w:after="0" w:line="360" w:lineRule="auto"/>
        <w:ind w:left="0" w:leftChars="0" w:firstLine="400" w:firstLineChars="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机房机柜上方采用双层桥架，走线直观明了。</w:t>
      </w:r>
    </w:p>
    <w:p w14:paraId="3E651A10">
      <w:pPr>
        <w:pageBreakBefore w:val="0"/>
        <w:numPr>
          <w:ilvl w:val="0"/>
          <w:numId w:val="19"/>
        </w:numPr>
        <w:kinsoku/>
        <w:wordWrap/>
        <w:overflowPunct/>
        <w:topLinePunct w:val="0"/>
        <w:bidi w:val="0"/>
        <w:snapToGrid/>
        <w:spacing w:after="0" w:line="360" w:lineRule="auto"/>
        <w:ind w:left="0" w:leftChars="0" w:firstLine="400" w:firstLineChars="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托管机房要求通过ISO27001信息安全体系认证。</w:t>
      </w:r>
    </w:p>
    <w:p w14:paraId="5C1E4488">
      <w:pPr>
        <w:pageBreakBefore w:val="0"/>
        <w:numPr>
          <w:ilvl w:val="0"/>
          <w:numId w:val="19"/>
        </w:numPr>
        <w:kinsoku/>
        <w:wordWrap/>
        <w:overflowPunct/>
        <w:topLinePunct w:val="0"/>
        <w:bidi w:val="0"/>
        <w:snapToGrid/>
        <w:spacing w:after="0" w:line="360" w:lineRule="auto"/>
        <w:ind w:left="0" w:leftChars="0" w:firstLine="400" w:firstLineChars="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机房运维要求：机房配置7×24小时专业维护人员值守。</w:t>
      </w:r>
    </w:p>
    <w:p w14:paraId="4B244FE6">
      <w:pPr>
        <w:pStyle w:val="6"/>
        <w:pageBreakBefore w:val="0"/>
        <w:numPr>
          <w:ilvl w:val="0"/>
          <w:numId w:val="17"/>
        </w:numPr>
        <w:kinsoku/>
        <w:wordWrap/>
        <w:overflowPunct/>
        <w:topLinePunct w:val="0"/>
        <w:bidi w:val="0"/>
        <w:snapToGrid/>
        <w:spacing w:before="0" w:after="0" w:line="360" w:lineRule="auto"/>
        <w:ind w:left="0" w:leftChars="0" w:firstLine="400" w:firstLineChars="0"/>
        <w:textAlignment w:val="auto"/>
        <w:rPr>
          <w:rFonts w:hint="eastAsia" w:ascii="宋体" w:hAnsi="宋体" w:eastAsia="宋体" w:cs="宋体"/>
          <w:b/>
          <w:bCs/>
          <w:color w:val="auto"/>
          <w:sz w:val="24"/>
          <w:szCs w:val="24"/>
          <w:highlight w:val="none"/>
          <w:shd w:val="clear" w:color="auto" w:fill="FFFFFF"/>
          <w:lang w:val="en-US" w:eastAsia="zh-CN" w:bidi="ar"/>
        </w:rPr>
      </w:pPr>
      <w:bookmarkStart w:id="33" w:name="_Toc20839"/>
      <w:r>
        <w:rPr>
          <w:rFonts w:hint="eastAsia" w:ascii="宋体" w:hAnsi="宋体" w:eastAsia="宋体" w:cs="宋体"/>
          <w:b/>
          <w:bCs/>
          <w:color w:val="auto"/>
          <w:sz w:val="24"/>
          <w:szCs w:val="24"/>
          <w:highlight w:val="none"/>
          <w:shd w:val="clear" w:color="auto" w:fill="FFFFFF"/>
          <w:lang w:val="en-US" w:eastAsia="zh-CN" w:bidi="ar"/>
        </w:rPr>
        <w:t>运维要求</w:t>
      </w:r>
      <w:bookmarkEnd w:id="33"/>
    </w:p>
    <w:p w14:paraId="08D29F3E">
      <w:pPr>
        <w:pageBreakBefore w:val="0"/>
        <w:numPr>
          <w:ilvl w:val="0"/>
          <w:numId w:val="20"/>
        </w:numPr>
        <w:kinsoku/>
        <w:wordWrap/>
        <w:overflowPunct/>
        <w:topLinePunct w:val="0"/>
        <w:bidi w:val="0"/>
        <w:snapToGrid/>
        <w:spacing w:after="0" w:line="360" w:lineRule="auto"/>
        <w:ind w:left="0" w:leftChars="0" w:firstLine="420" w:firstLineChars="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确保IDC机房内数据处理及存储等相关硬件与浙江省食品药品检验研究院本地网络稳定，实现相关冗余目标，提供说明。</w:t>
      </w:r>
    </w:p>
    <w:p w14:paraId="238E915E">
      <w:pPr>
        <w:pageBreakBefore w:val="0"/>
        <w:numPr>
          <w:ilvl w:val="0"/>
          <w:numId w:val="20"/>
        </w:numPr>
        <w:kinsoku/>
        <w:wordWrap/>
        <w:overflowPunct/>
        <w:topLinePunct w:val="0"/>
        <w:bidi w:val="0"/>
        <w:snapToGrid/>
        <w:spacing w:after="0" w:line="360" w:lineRule="auto"/>
        <w:ind w:left="0" w:leftChars="0" w:firstLine="420" w:firstLineChars="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根据浙江省食品药品检验研究院数据处理及存储等更新情况，合理增加配置IDC机房资源，做好相关硬件新增、升级、改造、替代的设备上架、调试工作。</w:t>
      </w:r>
    </w:p>
    <w:p w14:paraId="33A309A2">
      <w:pPr>
        <w:pageBreakBefore w:val="0"/>
        <w:numPr>
          <w:ilvl w:val="0"/>
          <w:numId w:val="20"/>
        </w:numPr>
        <w:kinsoku/>
        <w:wordWrap/>
        <w:overflowPunct/>
        <w:topLinePunct w:val="0"/>
        <w:bidi w:val="0"/>
        <w:snapToGrid/>
        <w:spacing w:after="0" w:line="360" w:lineRule="auto"/>
        <w:ind w:left="0" w:leftChars="0" w:firstLine="420" w:firstLineChars="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供应商拟派本项目服务人员应当为本单位在职员工，服务人员组织架构合理，人员数量充足，具有类似项目经验。</w:t>
      </w:r>
    </w:p>
    <w:p w14:paraId="5456820C">
      <w:pPr>
        <w:pageBreakBefore w:val="0"/>
        <w:numPr>
          <w:ilvl w:val="0"/>
          <w:numId w:val="20"/>
        </w:numPr>
        <w:kinsoku/>
        <w:wordWrap/>
        <w:overflowPunct/>
        <w:topLinePunct w:val="0"/>
        <w:bidi w:val="0"/>
        <w:snapToGrid/>
        <w:spacing w:after="0" w:line="360" w:lineRule="auto"/>
        <w:ind w:left="0" w:leftChars="0" w:firstLine="420" w:firstLineChars="0"/>
        <w:textAlignment w:val="auto"/>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本次项目投标单位须提供承诺，如涉及机房变更，机房搬迁、数据迁移等相关成本均已包含在本次预算内，不再产生额外费用。</w:t>
      </w:r>
    </w:p>
    <w:p w14:paraId="750E72B2">
      <w:pPr>
        <w:pStyle w:val="6"/>
        <w:pageBreakBefore w:val="0"/>
        <w:numPr>
          <w:ilvl w:val="0"/>
          <w:numId w:val="17"/>
        </w:numPr>
        <w:kinsoku/>
        <w:wordWrap/>
        <w:overflowPunct/>
        <w:topLinePunct w:val="0"/>
        <w:bidi w:val="0"/>
        <w:snapToGrid/>
        <w:spacing w:before="0" w:after="0" w:line="360" w:lineRule="auto"/>
        <w:ind w:left="0" w:leftChars="0" w:firstLine="400" w:firstLineChars="0"/>
        <w:textAlignment w:val="auto"/>
        <w:rPr>
          <w:rFonts w:hint="eastAsia" w:ascii="宋体" w:hAnsi="宋体" w:eastAsia="宋体" w:cs="宋体"/>
          <w:b/>
          <w:bCs/>
          <w:color w:val="auto"/>
          <w:sz w:val="24"/>
          <w:szCs w:val="24"/>
          <w:highlight w:val="none"/>
          <w:shd w:val="clear" w:color="auto" w:fill="FFFFFF"/>
          <w:lang w:val="en-US" w:eastAsia="zh-CN" w:bidi="ar"/>
        </w:rPr>
      </w:pPr>
      <w:r>
        <w:rPr>
          <w:rFonts w:hint="eastAsia" w:ascii="宋体" w:hAnsi="宋体" w:eastAsia="宋体" w:cs="宋体"/>
          <w:b/>
          <w:bCs/>
          <w:color w:val="auto"/>
          <w:sz w:val="24"/>
          <w:szCs w:val="24"/>
          <w:highlight w:val="none"/>
          <w:shd w:val="clear" w:color="auto" w:fill="FFFFFF"/>
          <w:lang w:val="en-US" w:eastAsia="zh-CN" w:bidi="ar"/>
        </w:rPr>
        <w:t>基础机房安全巡检服务要求</w:t>
      </w:r>
    </w:p>
    <w:p w14:paraId="6E7178C1">
      <w:pPr>
        <w:pageBreakBefore w:val="0"/>
        <w:kinsoku/>
        <w:wordWrap/>
        <w:overflowPunct/>
        <w:topLinePunct w:val="0"/>
        <w:bidi w:val="0"/>
        <w:snapToGrid/>
        <w:spacing w:after="0" w:line="360" w:lineRule="auto"/>
        <w:ind w:left="0" w:leftChars="0" w:firstLine="417" w:firstLineChars="174"/>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供应商需要对本项目提供基础机房安全巡检服务，具体内容如下：</w:t>
      </w:r>
    </w:p>
    <w:p w14:paraId="11B60F89">
      <w:pPr>
        <w:pageBreakBefore w:val="0"/>
        <w:kinsoku/>
        <w:wordWrap/>
        <w:overflowPunct/>
        <w:topLinePunct w:val="0"/>
        <w:bidi w:val="0"/>
        <w:snapToGrid/>
        <w:spacing w:after="0" w:line="360" w:lineRule="auto"/>
        <w:ind w:left="0" w:leftChars="0" w:firstLine="419" w:firstLineChars="174"/>
        <w:textAlignment w:val="auto"/>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（1） 物理环境检查</w:t>
      </w:r>
    </w:p>
    <w:p w14:paraId="3FE16EBD">
      <w:pPr>
        <w:pageBreakBefore w:val="0"/>
        <w:kinsoku/>
        <w:wordWrap/>
        <w:overflowPunct/>
        <w:topLinePunct w:val="0"/>
        <w:bidi w:val="0"/>
        <w:snapToGrid/>
        <w:spacing w:after="0" w:line="360" w:lineRule="auto"/>
        <w:ind w:left="0" w:leftChars="0" w:firstLine="417" w:firstLineChars="174"/>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温度和湿度监控：定期检查机房内的温湿度条件，确保符合设备运行的标准范围。</w:t>
      </w:r>
    </w:p>
    <w:p w14:paraId="3FB1C6F1">
      <w:pPr>
        <w:pageBreakBefore w:val="0"/>
        <w:kinsoku/>
        <w:wordWrap/>
        <w:overflowPunct/>
        <w:topLinePunct w:val="0"/>
        <w:bidi w:val="0"/>
        <w:snapToGrid/>
        <w:spacing w:after="0" w:line="360" w:lineRule="auto"/>
        <w:ind w:left="0" w:leftChars="0" w:firstLine="417" w:firstLineChars="174"/>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电力供应系统检查：包括不间断电源（UPS）、配电柜、电缆等设施的检查，确保电力供应的稳定性。</w:t>
      </w:r>
    </w:p>
    <w:p w14:paraId="39F766AC">
      <w:pPr>
        <w:pageBreakBefore w:val="0"/>
        <w:kinsoku/>
        <w:wordWrap/>
        <w:overflowPunct/>
        <w:topLinePunct w:val="0"/>
        <w:bidi w:val="0"/>
        <w:snapToGrid/>
        <w:spacing w:after="0" w:line="360" w:lineRule="auto"/>
        <w:ind w:left="0" w:leftChars="0" w:firstLine="417" w:firstLineChars="174"/>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消防安全检查：检查火灾报警系统、灭火装置的有效性，以及防火隔离措施是否到位。</w:t>
      </w:r>
    </w:p>
    <w:p w14:paraId="55ED9776">
      <w:pPr>
        <w:pageBreakBefore w:val="0"/>
        <w:kinsoku/>
        <w:wordWrap/>
        <w:overflowPunct/>
        <w:topLinePunct w:val="0"/>
        <w:bidi w:val="0"/>
        <w:snapToGrid/>
        <w:spacing w:after="0" w:line="360" w:lineRule="auto"/>
        <w:ind w:left="0" w:leftChars="0" w:firstLine="417" w:firstLineChars="174"/>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防水防潮检查：检查是否有漏水隐患，排水系统是否正常工作。</w:t>
      </w:r>
    </w:p>
    <w:p w14:paraId="748E8269">
      <w:pPr>
        <w:pageBreakBefore w:val="0"/>
        <w:kinsoku/>
        <w:wordWrap/>
        <w:overflowPunct/>
        <w:topLinePunct w:val="0"/>
        <w:bidi w:val="0"/>
        <w:snapToGrid/>
        <w:spacing w:after="0" w:line="360" w:lineRule="auto"/>
        <w:ind w:left="0" w:leftChars="0" w:firstLine="419" w:firstLineChars="174"/>
        <w:textAlignment w:val="auto"/>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（2）网络与设备安全检查</w:t>
      </w:r>
    </w:p>
    <w:p w14:paraId="149C6B06">
      <w:pPr>
        <w:pageBreakBefore w:val="0"/>
        <w:kinsoku/>
        <w:wordWrap/>
        <w:overflowPunct/>
        <w:topLinePunct w:val="0"/>
        <w:bidi w:val="0"/>
        <w:snapToGrid/>
        <w:spacing w:after="0" w:line="360" w:lineRule="auto"/>
        <w:ind w:left="0" w:leftChars="0" w:firstLine="417" w:firstLineChars="174"/>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网络设备检查：对路由器、交换机等网络设备进行状态检查，确保网络连接的可靠性。</w:t>
      </w:r>
    </w:p>
    <w:p w14:paraId="2559EE7A">
      <w:pPr>
        <w:pageBreakBefore w:val="0"/>
        <w:kinsoku/>
        <w:wordWrap/>
        <w:overflowPunct/>
        <w:topLinePunct w:val="0"/>
        <w:bidi w:val="0"/>
        <w:snapToGrid/>
        <w:spacing w:after="0" w:line="360" w:lineRule="auto"/>
        <w:ind w:left="0" w:leftChars="0" w:firstLine="417" w:firstLineChars="174"/>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服务器健康检查：监测服务器的工作状态，如CPU使用率、内存占用、硬盘空间等关键指标。</w:t>
      </w:r>
    </w:p>
    <w:p w14:paraId="08D85276">
      <w:pPr>
        <w:pageBreakBefore w:val="0"/>
        <w:kinsoku/>
        <w:wordWrap/>
        <w:overflowPunct/>
        <w:topLinePunct w:val="0"/>
        <w:bidi w:val="0"/>
        <w:snapToGrid/>
        <w:spacing w:after="0" w:line="360" w:lineRule="auto"/>
        <w:ind w:left="0" w:leftChars="0" w:firstLine="417" w:firstLineChars="174"/>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网络安全检查：实施漏洞扫描，更新防火墙规则，检测并处理恶意软件或未经授权的访问尝试。</w:t>
      </w:r>
    </w:p>
    <w:p w14:paraId="23DDFFCC">
      <w:pPr>
        <w:pageBreakBefore w:val="0"/>
        <w:kinsoku/>
        <w:wordWrap/>
        <w:overflowPunct/>
        <w:topLinePunct w:val="0"/>
        <w:bidi w:val="0"/>
        <w:snapToGrid/>
        <w:spacing w:after="0" w:line="360" w:lineRule="auto"/>
        <w:ind w:left="0" w:leftChars="0" w:firstLine="419" w:firstLineChars="174"/>
        <w:textAlignment w:val="auto"/>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（3）数据备份与恢复测试</w:t>
      </w:r>
    </w:p>
    <w:p w14:paraId="13F9D0B5">
      <w:pPr>
        <w:pageBreakBefore w:val="0"/>
        <w:kinsoku/>
        <w:wordWrap/>
        <w:overflowPunct/>
        <w:topLinePunct w:val="0"/>
        <w:bidi w:val="0"/>
        <w:snapToGrid/>
        <w:spacing w:after="0" w:line="360" w:lineRule="auto"/>
        <w:ind w:left="0" w:leftChars="0" w:firstLine="417" w:firstLineChars="174"/>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定期执行数据备份操作，并进行恢复测试以验证备份数据的完整性和可用性。</w:t>
      </w:r>
    </w:p>
    <w:p w14:paraId="50B5CBCB">
      <w:pPr>
        <w:pageBreakBefore w:val="0"/>
        <w:kinsoku/>
        <w:wordWrap/>
        <w:overflowPunct/>
        <w:topLinePunct w:val="0"/>
        <w:bidi w:val="0"/>
        <w:snapToGrid/>
        <w:spacing w:after="0" w:line="360" w:lineRule="auto"/>
        <w:ind w:left="0" w:leftChars="0" w:firstLine="419" w:firstLineChars="174"/>
        <w:textAlignment w:val="auto"/>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（4）访问控制与安全管理</w:t>
      </w:r>
    </w:p>
    <w:p w14:paraId="15C1AFCC">
      <w:pPr>
        <w:pageBreakBefore w:val="0"/>
        <w:kinsoku/>
        <w:wordWrap/>
        <w:overflowPunct/>
        <w:topLinePunct w:val="0"/>
        <w:bidi w:val="0"/>
        <w:snapToGrid/>
        <w:spacing w:after="0" w:line="360" w:lineRule="auto"/>
        <w:ind w:left="0" w:leftChars="0" w:firstLine="417" w:firstLineChars="174"/>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门禁系统检查：确保只有授权人员能够进入机房区域。</w:t>
      </w:r>
    </w:p>
    <w:p w14:paraId="1F32C2DE">
      <w:pPr>
        <w:pageBreakBefore w:val="0"/>
        <w:kinsoku/>
        <w:wordWrap/>
        <w:overflowPunct/>
        <w:topLinePunct w:val="0"/>
        <w:bidi w:val="0"/>
        <w:snapToGrid/>
        <w:spacing w:after="0" w:line="360" w:lineRule="auto"/>
        <w:ind w:left="0" w:leftChars="0" w:firstLine="417" w:firstLineChars="174"/>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视频监控系统检查：保证监控设备正常运行，记录保存期限合规。</w:t>
      </w:r>
    </w:p>
    <w:p w14:paraId="0BB73718">
      <w:pPr>
        <w:pageBreakBefore w:val="0"/>
        <w:kinsoku/>
        <w:wordWrap/>
        <w:overflowPunct/>
        <w:topLinePunct w:val="0"/>
        <w:bidi w:val="0"/>
        <w:snapToGrid/>
        <w:spacing w:after="0" w:line="360" w:lineRule="auto"/>
        <w:ind w:left="0" w:leftChars="0" w:firstLine="417" w:firstLineChars="174"/>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身份验证机制审查：包括生物识别、密码策略等在内的多种身份验证方式的有效性评估。</w:t>
      </w:r>
    </w:p>
    <w:p w14:paraId="0B0DAA40">
      <w:pPr>
        <w:pageBreakBefore w:val="0"/>
        <w:kinsoku/>
        <w:wordWrap/>
        <w:overflowPunct/>
        <w:topLinePunct w:val="0"/>
        <w:bidi w:val="0"/>
        <w:snapToGrid/>
        <w:spacing w:after="0" w:line="360" w:lineRule="auto"/>
        <w:ind w:left="0" w:leftChars="0" w:firstLine="422" w:firstLineChars="175"/>
        <w:textAlignment w:val="auto"/>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（5） 文档记录与报告</w:t>
      </w:r>
    </w:p>
    <w:p w14:paraId="3ED84ADA">
      <w:pPr>
        <w:pageBreakBefore w:val="0"/>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对每次巡检的结果进行详细记录，形成书面报告，并根据发现的问题提出改进建议。</w:t>
      </w:r>
    </w:p>
    <w:p w14:paraId="2C886D8E">
      <w:pPr>
        <w:pageBreakBefore w:val="0"/>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建立问题跟踪机制，确保所有发现的问题都能得到及时有效的解决。</w:t>
      </w:r>
    </w:p>
    <w:p w14:paraId="3D0B9270">
      <w:pPr>
        <w:pStyle w:val="5"/>
        <w:pageBreakBefore w:val="0"/>
        <w:kinsoku/>
        <w:wordWrap/>
        <w:overflowPunct/>
        <w:topLinePunct w:val="0"/>
        <w:bidi w:val="0"/>
        <w:snapToGrid/>
        <w:spacing w:before="0" w:after="0" w:line="360" w:lineRule="auto"/>
        <w:ind w:left="0" w:leftChars="0" w:firstLine="422" w:firstLineChars="175"/>
        <w:textAlignment w:val="auto"/>
        <w:rPr>
          <w:rFonts w:hint="eastAsia" w:ascii="宋体" w:hAnsi="宋体" w:eastAsia="宋体" w:cs="宋体"/>
          <w:b/>
          <w:bCs/>
          <w:color w:val="auto"/>
          <w:sz w:val="24"/>
          <w:szCs w:val="24"/>
          <w:highlight w:val="none"/>
          <w:shd w:val="clear" w:color="auto" w:fill="FFFFFF"/>
          <w:lang w:bidi="ar"/>
        </w:rPr>
      </w:pPr>
      <w:bookmarkStart w:id="34" w:name="_Toc198297172"/>
      <w:r>
        <w:rPr>
          <w:rFonts w:hint="eastAsia" w:ascii="宋体" w:hAnsi="宋体" w:eastAsia="宋体" w:cs="宋体"/>
          <w:b/>
          <w:bCs/>
          <w:color w:val="auto"/>
          <w:sz w:val="24"/>
          <w:szCs w:val="24"/>
          <w:highlight w:val="none"/>
          <w:shd w:val="clear" w:color="auto" w:fill="FFFFFF"/>
          <w:lang w:bidi="ar"/>
        </w:rPr>
        <w:t>（三）终端运维</w:t>
      </w:r>
      <w:bookmarkEnd w:id="34"/>
    </w:p>
    <w:p w14:paraId="2258182A">
      <w:pPr>
        <w:pStyle w:val="6"/>
        <w:pageBreakBefore w:val="0"/>
        <w:kinsoku/>
        <w:wordWrap/>
        <w:overflowPunct/>
        <w:topLinePunct w:val="0"/>
        <w:bidi w:val="0"/>
        <w:snapToGrid/>
        <w:spacing w:before="0" w:after="0" w:line="360" w:lineRule="auto"/>
        <w:ind w:left="0" w:leftChars="0" w:firstLine="422" w:firstLineChars="175"/>
        <w:textAlignment w:val="auto"/>
        <w:rPr>
          <w:rFonts w:hint="eastAsia" w:ascii="宋体" w:hAnsi="宋体" w:eastAsia="宋体" w:cs="宋体"/>
          <w:b/>
          <w:bCs/>
          <w:color w:val="auto"/>
          <w:sz w:val="24"/>
          <w:szCs w:val="24"/>
          <w:highlight w:val="none"/>
          <w:shd w:val="clear" w:color="auto" w:fill="FFFFFF"/>
          <w:lang w:bidi="ar"/>
        </w:rPr>
      </w:pPr>
      <w:bookmarkStart w:id="35" w:name="_Toc1879990351"/>
      <w:r>
        <w:rPr>
          <w:rFonts w:hint="eastAsia" w:ascii="宋体" w:hAnsi="宋体" w:eastAsia="宋体" w:cs="宋体"/>
          <w:b/>
          <w:bCs/>
          <w:color w:val="auto"/>
          <w:sz w:val="24"/>
          <w:szCs w:val="24"/>
          <w:highlight w:val="none"/>
          <w:shd w:val="clear" w:color="auto" w:fill="FFFFFF"/>
          <w:lang w:bidi="ar"/>
        </w:rPr>
        <w:t>1.终端运维总体范围情况</w:t>
      </w:r>
      <w:bookmarkEnd w:id="35"/>
    </w:p>
    <w:p w14:paraId="2E24FBD3">
      <w:pPr>
        <w:pageBreakBefore w:val="0"/>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本部分涉及浙江省食品药品检验研究院所有终端设备维护、网络维护、桌面办公问题支持等。</w:t>
      </w:r>
    </w:p>
    <w:p w14:paraId="5132FAE5">
      <w:pPr>
        <w:pStyle w:val="6"/>
        <w:pageBreakBefore w:val="0"/>
        <w:kinsoku/>
        <w:wordWrap/>
        <w:overflowPunct/>
        <w:topLinePunct w:val="0"/>
        <w:bidi w:val="0"/>
        <w:snapToGrid/>
        <w:spacing w:before="0" w:after="0" w:line="360" w:lineRule="auto"/>
        <w:ind w:left="0" w:leftChars="0" w:firstLine="422" w:firstLineChars="175"/>
        <w:textAlignment w:val="auto"/>
        <w:rPr>
          <w:rFonts w:hint="eastAsia" w:ascii="宋体" w:hAnsi="宋体" w:eastAsia="宋体" w:cs="宋体"/>
          <w:b/>
          <w:bCs/>
          <w:color w:val="auto"/>
          <w:sz w:val="24"/>
          <w:szCs w:val="24"/>
          <w:highlight w:val="none"/>
          <w:shd w:val="clear" w:color="auto" w:fill="FFFFFF"/>
          <w:lang w:bidi="ar"/>
        </w:rPr>
      </w:pPr>
      <w:bookmarkStart w:id="36" w:name="_Toc1070930946"/>
      <w:r>
        <w:rPr>
          <w:rFonts w:hint="eastAsia" w:ascii="宋体" w:hAnsi="宋体" w:eastAsia="宋体" w:cs="宋体"/>
          <w:b/>
          <w:bCs/>
          <w:color w:val="auto"/>
          <w:sz w:val="24"/>
          <w:szCs w:val="24"/>
          <w:highlight w:val="none"/>
          <w:shd w:val="clear" w:color="auto" w:fill="FFFFFF"/>
          <w:lang w:bidi="ar"/>
        </w:rPr>
        <w:t>2.服务总体要求</w:t>
      </w:r>
      <w:bookmarkEnd w:id="36"/>
    </w:p>
    <w:p w14:paraId="47383682">
      <w:pPr>
        <w:pageBreakBefore w:val="0"/>
        <w:numPr>
          <w:ilvl w:val="0"/>
          <w:numId w:val="21"/>
        </w:numPr>
        <w:kinsoku/>
        <w:wordWrap/>
        <w:overflowPunct/>
        <w:topLinePunct w:val="0"/>
        <w:bidi w:val="0"/>
        <w:adjustRightInd w:val="0"/>
        <w:snapToGrid/>
        <w:spacing w:after="0" w:line="360" w:lineRule="auto"/>
        <w:ind w:left="0" w:leftChars="0" w:firstLine="420" w:firstLineChars="175"/>
        <w:jc w:val="both"/>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日常办公运维：省食品药品检验研究院办公大楼</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含滨江中心、绍兴滨海院区、台州注册实验室、杭州注册实验室</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Hans"/>
        </w:rPr>
        <w:t>，包括电脑，打印机，网络等方面，电脑运维（包括但不限于软件安装维护、硬件维护更换、蓝屏、假死、卡顿等），打印机运维（驱动安装、卡纸、报错等），网络运维（包括但不限于内外网电脑的连接、路由器的安装调试、省院网络中断排查等），硬件采购维修（提供包含打印机、电脑等设备单项不高于</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Hans"/>
        </w:rPr>
        <w:t>00元的维修事项和单价不高于</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Hans"/>
        </w:rPr>
        <w:t>00元的小型配件采购事项）。</w:t>
      </w:r>
    </w:p>
    <w:p w14:paraId="2D340C12">
      <w:pPr>
        <w:pageBreakBefore w:val="0"/>
        <w:numPr>
          <w:ilvl w:val="0"/>
          <w:numId w:val="21"/>
        </w:numPr>
        <w:kinsoku/>
        <w:wordWrap/>
        <w:overflowPunct/>
        <w:topLinePunct w:val="0"/>
        <w:bidi w:val="0"/>
        <w:adjustRightInd w:val="0"/>
        <w:snapToGrid/>
        <w:spacing w:after="0" w:line="360" w:lineRule="auto"/>
        <w:ind w:left="0" w:leftChars="0" w:firstLine="420" w:firstLineChars="175"/>
        <w:jc w:val="both"/>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没有甲方事先书面同意，供应商不得将由甲方提供的有关合同或任何合同条文、规格、计划、图纸、样品或资料提供给与履行本合同无关的任何其他人。即使向履行本合同有关的人员提供，也应注意保密并限于履行合同的必需范围。</w:t>
      </w:r>
    </w:p>
    <w:p w14:paraId="697CF5C3">
      <w:pPr>
        <w:pageBreakBefore w:val="0"/>
        <w:numPr>
          <w:ilvl w:val="0"/>
          <w:numId w:val="21"/>
        </w:numPr>
        <w:kinsoku/>
        <w:wordWrap/>
        <w:overflowPunct/>
        <w:topLinePunct w:val="0"/>
        <w:bidi w:val="0"/>
        <w:adjustRightInd w:val="0"/>
        <w:snapToGrid/>
        <w:spacing w:after="0" w:line="360" w:lineRule="auto"/>
        <w:ind w:left="0" w:leftChars="0" w:firstLine="420" w:firstLineChars="175"/>
        <w:jc w:val="both"/>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供应商应保证提供服务过程中不会侵犯任何第三方的知识产权。</w:t>
      </w:r>
    </w:p>
    <w:p w14:paraId="772F1023">
      <w:pPr>
        <w:pageBreakBefore w:val="0"/>
        <w:numPr>
          <w:ilvl w:val="0"/>
          <w:numId w:val="21"/>
        </w:numPr>
        <w:kinsoku/>
        <w:wordWrap/>
        <w:overflowPunct/>
        <w:topLinePunct w:val="0"/>
        <w:bidi w:val="0"/>
        <w:adjustRightInd w:val="0"/>
        <w:snapToGrid/>
        <w:spacing w:after="0" w:line="360" w:lineRule="auto"/>
        <w:ind w:left="0" w:leftChars="0" w:firstLine="420" w:firstLineChars="175"/>
        <w:jc w:val="both"/>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服务期：合同签订起一年。</w:t>
      </w:r>
    </w:p>
    <w:p w14:paraId="37AD1A35">
      <w:pPr>
        <w:pageBreakBefore w:val="0"/>
        <w:numPr>
          <w:ilvl w:val="0"/>
          <w:numId w:val="21"/>
        </w:numPr>
        <w:kinsoku/>
        <w:wordWrap/>
        <w:overflowPunct/>
        <w:topLinePunct w:val="0"/>
        <w:bidi w:val="0"/>
        <w:adjustRightInd w:val="0"/>
        <w:snapToGrid/>
        <w:spacing w:after="0" w:line="360" w:lineRule="auto"/>
        <w:ind w:left="0" w:leftChars="0" w:firstLine="420" w:firstLineChars="175"/>
        <w:jc w:val="both"/>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服务履行方式：驻场运维。</w:t>
      </w:r>
    </w:p>
    <w:p w14:paraId="54F47973">
      <w:pPr>
        <w:pageBreakBefore w:val="0"/>
        <w:numPr>
          <w:ilvl w:val="0"/>
          <w:numId w:val="21"/>
        </w:numPr>
        <w:kinsoku/>
        <w:wordWrap/>
        <w:overflowPunct/>
        <w:topLinePunct w:val="0"/>
        <w:bidi w:val="0"/>
        <w:adjustRightInd w:val="0"/>
        <w:snapToGrid/>
        <w:spacing w:after="0" w:line="360" w:lineRule="auto"/>
        <w:ind w:left="0" w:leftChars="0" w:firstLine="420" w:firstLineChars="175"/>
        <w:jc w:val="both"/>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服务履行地点：杭州市滨江区平乐街 325 号浙江省食品药品检验研究院。</w:t>
      </w:r>
    </w:p>
    <w:p w14:paraId="08F5501B">
      <w:pPr>
        <w:pStyle w:val="6"/>
        <w:pageBreakBefore w:val="0"/>
        <w:kinsoku/>
        <w:wordWrap/>
        <w:overflowPunct/>
        <w:topLinePunct w:val="0"/>
        <w:bidi w:val="0"/>
        <w:snapToGrid/>
        <w:spacing w:before="0" w:after="0" w:line="360" w:lineRule="auto"/>
        <w:ind w:left="0" w:leftChars="0" w:firstLine="422" w:firstLineChars="175"/>
        <w:textAlignment w:val="auto"/>
        <w:rPr>
          <w:rFonts w:hint="eastAsia" w:ascii="宋体" w:hAnsi="宋体" w:eastAsia="宋体" w:cs="宋体"/>
          <w:b/>
          <w:bCs/>
          <w:color w:val="auto"/>
          <w:sz w:val="24"/>
          <w:szCs w:val="24"/>
          <w:highlight w:val="none"/>
          <w:shd w:val="clear" w:color="auto" w:fill="FFFFFF"/>
          <w:lang w:bidi="ar"/>
        </w:rPr>
      </w:pPr>
      <w:r>
        <w:rPr>
          <w:rFonts w:hint="eastAsia" w:ascii="宋体" w:hAnsi="宋体" w:eastAsia="宋体" w:cs="宋体"/>
          <w:b/>
          <w:bCs/>
          <w:color w:val="auto"/>
          <w:sz w:val="24"/>
          <w:szCs w:val="24"/>
          <w:highlight w:val="none"/>
          <w:shd w:val="clear" w:color="auto" w:fill="FFFFFF"/>
          <w:lang w:bidi="ar"/>
        </w:rPr>
        <w:t>3.服务具体要求</w:t>
      </w:r>
    </w:p>
    <w:p w14:paraId="186BFB07">
      <w:pPr>
        <w:pageBreakBefore w:val="0"/>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Hans"/>
        </w:rPr>
        <w:t>人员要求：供应商必须派遣2名</w:t>
      </w:r>
      <w:r>
        <w:rPr>
          <w:rFonts w:hint="eastAsia" w:ascii="宋体" w:hAnsi="宋体" w:eastAsia="宋体" w:cs="宋体"/>
          <w:color w:val="auto"/>
          <w:sz w:val="24"/>
          <w:szCs w:val="24"/>
          <w:highlight w:val="none"/>
        </w:rPr>
        <w:t>具有计算机相关专业大专学历及以上，从事</w:t>
      </w:r>
      <w:r>
        <w:rPr>
          <w:rFonts w:hint="eastAsia" w:ascii="宋体" w:hAnsi="宋体" w:eastAsia="宋体" w:cs="宋体"/>
          <w:color w:val="auto"/>
          <w:sz w:val="24"/>
          <w:szCs w:val="24"/>
          <w:highlight w:val="none"/>
          <w:lang w:eastAsia="zh-Hans"/>
        </w:rPr>
        <w:t>终端运维</w:t>
      </w:r>
      <w:r>
        <w:rPr>
          <w:rFonts w:hint="eastAsia" w:ascii="宋体" w:hAnsi="宋体" w:eastAsia="宋体" w:cs="宋体"/>
          <w:color w:val="auto"/>
          <w:sz w:val="24"/>
          <w:szCs w:val="24"/>
          <w:highlight w:val="none"/>
        </w:rPr>
        <w:t>工作年限不低于</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年的</w:t>
      </w:r>
      <w:r>
        <w:rPr>
          <w:rFonts w:hint="eastAsia" w:ascii="宋体" w:hAnsi="宋体" w:eastAsia="宋体" w:cs="宋体"/>
          <w:color w:val="auto"/>
          <w:sz w:val="24"/>
          <w:szCs w:val="24"/>
          <w:highlight w:val="none"/>
          <w:lang w:eastAsia="zh-Hans"/>
        </w:rPr>
        <w:t>工程师，</w:t>
      </w:r>
      <w:r>
        <w:rPr>
          <w:rFonts w:hint="eastAsia" w:ascii="宋体" w:hAnsi="宋体" w:eastAsia="宋体" w:cs="宋体"/>
          <w:color w:val="auto"/>
          <w:sz w:val="24"/>
          <w:szCs w:val="24"/>
          <w:highlight w:val="none"/>
          <w:lang w:bidi="ar"/>
        </w:rPr>
        <w:t>驻场人员务必严格遵守浙江省食品药品检验研究院的工作时间（含节假日加班保障）和考勤规定，其考勤情况（请假、外出等）需直接向我院负责该项目的责任人进行汇报审批，经同意后方可请假、外出。若出现缺勤、外出未经审批等情况，每人次扣除合同金额的千分之一。</w:t>
      </w:r>
    </w:p>
    <w:p w14:paraId="5ABCBD7F">
      <w:pPr>
        <w:pageBreakBefore w:val="0"/>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硬件与软件安装配置：这包括操作系统（如Windows、Linux和Mac等）的安装与配置，以及企业网络设备的部署和管理，如路由器、交换机和防火墙等，确保网络的稳定运行。此外，还涉及企业应用程序的安装与配置，如院内网络版、单机版仪器配套软件的安装部署、环境部署等。</w:t>
      </w:r>
    </w:p>
    <w:p w14:paraId="4E3A0D3A">
      <w:pPr>
        <w:pageBreakBefore w:val="0"/>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桌面运维能力要求：对电脑、打印机、扫描仪等桌面硬件设备进行定期巡检和维护，及时响应并解决桌面硬件设备的故障和问题；负责桌面办公软件的安装、配置和维护。及时解决员工在软件使用过程中遇到的问题和故障。</w:t>
      </w:r>
    </w:p>
    <w:p w14:paraId="3B69A3F1">
      <w:pPr>
        <w:pageBreakBefore w:val="0"/>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故障排查与性能优化：当终端设备或软件出现故障时，运维团队需要及时进行故障排查，并提供和执行基础的解决方案。同时，他们还需要对系统进行性能优化，确保终端设备的运行效率和稳定性。</w:t>
      </w:r>
    </w:p>
    <w:p w14:paraId="45C6AEBD">
      <w:pPr>
        <w:pageBreakBefore w:val="0"/>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日常运维与安全管理：日常运维工作包括数据备份、病毒清查、系统更新等，确保终端设备的正常运行和数据安全。安全管理则涉及设置访问权限、加密敏感数据等，以防止未经授权的访问和数据泄露。</w:t>
      </w:r>
    </w:p>
    <w:p w14:paraId="2B221D63">
      <w:pPr>
        <w:pageBreakBefore w:val="0"/>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Hans"/>
        </w:rPr>
        <w:t>网络终端运维：随着网络设备和终端用户数量的增加，对网络终端运维服务的需求也在增长。这包括定期巡检和维护网络终端设备，及时处理设备故障和问题，以及对网络终端设备进行软件和硬件的更新与升级，以提升设备的性能和安全性。</w:t>
      </w:r>
    </w:p>
    <w:p w14:paraId="54753B0E">
      <w:pPr>
        <w:pageBreakBefore w:val="0"/>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文件要求：驻场人员务必定期增补与更新经验维护知识文档，确保内容时效性与完整性；同时，需按时提交维护周报，详细汇报工作进展及遇到的问题，以便及时跟进与解决。</w:t>
      </w:r>
    </w:p>
    <w:p w14:paraId="6D7F2DB9">
      <w:pPr>
        <w:pageBreakBefore w:val="0"/>
        <w:kinsoku/>
        <w:wordWrap/>
        <w:overflowPunct/>
        <w:topLinePunct w:val="0"/>
        <w:bidi w:val="0"/>
        <w:snapToGrid/>
        <w:spacing w:after="0" w:line="360" w:lineRule="auto"/>
        <w:ind w:left="0" w:leftChars="0" w:firstLine="420" w:firstLineChars="175"/>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网络和数据安全要求：中标供应商必须具备确保招标方信息系统网络和数据安全的技术能力和安全防护措施。中标供应商需做好项目关键数据岗位人员的背景预审，并按要求提交相关材料，进行背景审查，审查通过后签署相关保密协议或承诺，确保关键数据岗位人员的安全可靠；在项目实施过程中必须按照《浙江省大数据发展管理局关于印发对政务信息系统建设运维企业开展网络和数据安全专项检查方案的通知》（浙数局发﹝2021﹞14号）的文件精神，严格落实网络和数据安全责任，遵守网络和数据安全管理各项要求和操作规范，确保招标方网络和数据安全。项目实施期间，如因中标供应商原因造成网络和数据安全事件的，招标方将追责问责。</w:t>
      </w:r>
    </w:p>
    <w:p w14:paraId="71ED1B4A">
      <w:pPr>
        <w:pStyle w:val="3"/>
        <w:numPr>
          <w:ilvl w:val="0"/>
          <w:numId w:val="5"/>
        </w:numPr>
        <w:tabs>
          <w:tab w:val="left" w:pos="0"/>
          <w:tab w:val="clear" w:pos="432"/>
        </w:tabs>
        <w:spacing w:before="0" w:after="0" w:line="360" w:lineRule="auto"/>
        <w:ind w:left="-5" w:firstLine="425"/>
        <w:rPr>
          <w:rFonts w:ascii="宋体" w:hAnsi="宋体" w:cs="宋体"/>
          <w:color w:val="auto"/>
          <w:sz w:val="24"/>
          <w:szCs w:val="24"/>
          <w:highlight w:val="none"/>
        </w:rPr>
      </w:pPr>
      <w:r>
        <w:rPr>
          <w:rFonts w:hint="eastAsia" w:ascii="宋体" w:hAnsi="宋体" w:cs="宋体"/>
          <w:color w:val="auto"/>
          <w:sz w:val="24"/>
          <w:szCs w:val="24"/>
          <w:highlight w:val="none"/>
        </w:rPr>
        <w:t>验收要求</w:t>
      </w:r>
      <w:bookmarkEnd w:id="25"/>
    </w:p>
    <w:p w14:paraId="717314B0">
      <w:pPr>
        <w:spacing w:line="360" w:lineRule="auto"/>
        <w:ind w:left="-5" w:firstLine="425"/>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中标供应商完成项目</w:t>
      </w:r>
      <w:r>
        <w:rPr>
          <w:rFonts w:hint="eastAsia" w:ascii="宋体" w:hAnsi="宋体" w:cs="宋体"/>
          <w:color w:val="auto"/>
          <w:sz w:val="24"/>
          <w:highlight w:val="none"/>
          <w:lang w:val="en-US" w:eastAsia="zh-CN"/>
        </w:rPr>
        <w:t>运维</w:t>
      </w:r>
      <w:r>
        <w:rPr>
          <w:rFonts w:hint="eastAsia" w:ascii="宋体" w:hAnsi="宋体" w:cs="宋体"/>
          <w:color w:val="auto"/>
          <w:sz w:val="24"/>
          <w:highlight w:val="none"/>
        </w:rPr>
        <w:t>内容，采购人</w:t>
      </w:r>
      <w:r>
        <w:rPr>
          <w:rFonts w:hint="eastAsia" w:ascii="宋体" w:hAnsi="宋体" w:cs="宋体"/>
          <w:color w:val="auto"/>
          <w:sz w:val="24"/>
          <w:highlight w:val="none"/>
          <w:lang w:val="en-US" w:eastAsia="zh-CN"/>
        </w:rPr>
        <w:t>根据</w:t>
      </w:r>
      <w:r>
        <w:rPr>
          <w:rFonts w:hint="eastAsia" w:ascii="宋体" w:hAnsi="宋体" w:cs="宋体"/>
          <w:color w:val="auto"/>
          <w:sz w:val="24"/>
          <w:highlight w:val="none"/>
        </w:rPr>
        <w:t>浙江省数据局+中共浙江省委机要局关于印发《浙江省本级电子政务运维项目管理办法》的通知</w:t>
      </w:r>
      <w:r>
        <w:rPr>
          <w:rFonts w:hint="eastAsia" w:ascii="宋体" w:hAnsi="宋体" w:cs="宋体"/>
          <w:color w:val="auto"/>
          <w:sz w:val="24"/>
          <w:highlight w:val="none"/>
          <w:lang w:val="en-US" w:eastAsia="zh-CN"/>
        </w:rPr>
        <w:t>要求</w:t>
      </w:r>
      <w:r>
        <w:rPr>
          <w:rFonts w:hint="eastAsia" w:ascii="宋体" w:hAnsi="宋体" w:cs="宋体"/>
          <w:color w:val="auto"/>
          <w:sz w:val="24"/>
          <w:highlight w:val="none"/>
        </w:rPr>
        <w:t>组织项目验收。</w:t>
      </w:r>
    </w:p>
    <w:p w14:paraId="5C886891">
      <w:pPr>
        <w:pStyle w:val="3"/>
        <w:numPr>
          <w:ilvl w:val="0"/>
          <w:numId w:val="5"/>
        </w:numPr>
        <w:tabs>
          <w:tab w:val="left" w:pos="0"/>
          <w:tab w:val="clear" w:pos="432"/>
        </w:tabs>
        <w:spacing w:before="0" w:after="0" w:line="360" w:lineRule="auto"/>
        <w:ind w:left="-5" w:firstLine="425"/>
        <w:rPr>
          <w:rFonts w:ascii="宋体" w:hAnsi="宋体" w:cs="宋体"/>
          <w:color w:val="auto"/>
          <w:sz w:val="24"/>
          <w:szCs w:val="24"/>
          <w:highlight w:val="none"/>
        </w:rPr>
      </w:pPr>
      <w:bookmarkStart w:id="37" w:name="_Toc194347106"/>
      <w:r>
        <w:rPr>
          <w:rFonts w:hint="eastAsia" w:ascii="宋体" w:hAnsi="宋体" w:cs="宋体"/>
          <w:color w:val="auto"/>
          <w:sz w:val="24"/>
          <w:szCs w:val="24"/>
          <w:highlight w:val="none"/>
        </w:rPr>
        <w:t>其他要求</w:t>
      </w:r>
      <w:bookmarkEnd w:id="37"/>
    </w:p>
    <w:p w14:paraId="0935D793">
      <w:pPr>
        <w:pStyle w:val="4"/>
        <w:numPr>
          <w:ilvl w:val="1"/>
          <w:numId w:val="5"/>
        </w:numPr>
        <w:tabs>
          <w:tab w:val="left" w:pos="0"/>
          <w:tab w:val="clear" w:pos="432"/>
        </w:tabs>
        <w:ind w:left="-5" w:firstLine="425"/>
        <w:rPr>
          <w:rFonts w:ascii="宋体" w:hAnsi="宋体" w:eastAsia="宋体" w:cs="宋体"/>
          <w:color w:val="auto"/>
          <w:sz w:val="24"/>
          <w:szCs w:val="24"/>
          <w:highlight w:val="none"/>
        </w:rPr>
      </w:pPr>
      <w:bookmarkStart w:id="38" w:name="_Toc194347109"/>
      <w:r>
        <w:rPr>
          <w:rFonts w:hint="eastAsia" w:ascii="宋体" w:hAnsi="宋体" w:eastAsia="宋体" w:cs="宋体"/>
          <w:color w:val="auto"/>
          <w:sz w:val="24"/>
          <w:szCs w:val="24"/>
          <w:highlight w:val="none"/>
        </w:rPr>
        <w:t>投标要求</w:t>
      </w:r>
      <w:bookmarkEnd w:id="38"/>
    </w:p>
    <w:p w14:paraId="2ADB8481">
      <w:pPr>
        <w:spacing w:line="360" w:lineRule="auto"/>
        <w:ind w:left="-5" w:firstLine="425"/>
        <w:rPr>
          <w:rFonts w:ascii="宋体" w:hAnsi="宋体" w:cs="宋体"/>
          <w:color w:val="auto"/>
          <w:sz w:val="24"/>
          <w:highlight w:val="none"/>
        </w:rPr>
      </w:pPr>
      <w:r>
        <w:rPr>
          <w:rFonts w:hint="eastAsia" w:ascii="宋体" w:hAnsi="宋体" w:cs="宋体"/>
          <w:color w:val="auto"/>
          <w:sz w:val="24"/>
          <w:highlight w:val="none"/>
        </w:rPr>
        <w:t>（1）投标人应提供对本项目背景、业务现状及分析、建设目标、内容的理解， 并分析本项目建设的重点、难点，提出解决方案和措施。</w:t>
      </w:r>
    </w:p>
    <w:p w14:paraId="6288CCC7">
      <w:pPr>
        <w:spacing w:line="360" w:lineRule="auto"/>
        <w:ind w:left="-5" w:firstLine="425"/>
        <w:rPr>
          <w:rFonts w:ascii="宋体" w:hAnsi="宋体" w:cs="宋体"/>
          <w:color w:val="auto"/>
          <w:sz w:val="24"/>
          <w:highlight w:val="none"/>
        </w:rPr>
      </w:pPr>
      <w:r>
        <w:rPr>
          <w:rFonts w:hint="eastAsia" w:ascii="宋体" w:hAnsi="宋体" w:cs="宋体"/>
          <w:color w:val="auto"/>
          <w:sz w:val="24"/>
          <w:highlight w:val="none"/>
        </w:rPr>
        <w:t>（2）投标人应提供针对本项目</w:t>
      </w:r>
      <w:r>
        <w:rPr>
          <w:rFonts w:hint="eastAsia" w:ascii="宋体" w:hAnsi="宋体" w:cs="宋体"/>
          <w:color w:val="auto"/>
          <w:sz w:val="24"/>
          <w:highlight w:val="none"/>
          <w:lang w:val="en-US" w:eastAsia="zh-CN"/>
        </w:rPr>
        <w:t>运维开发的</w:t>
      </w:r>
      <w:r>
        <w:rPr>
          <w:rFonts w:hint="eastAsia" w:ascii="宋体" w:hAnsi="宋体" w:cs="宋体"/>
          <w:color w:val="auto"/>
          <w:sz w:val="24"/>
          <w:highlight w:val="none"/>
        </w:rPr>
        <w:t>系统功能建设、设计思路、设计架构、网络安全要求的总体方案，并提出数据库设计方案、接口设计及数据采集方案。</w:t>
      </w:r>
    </w:p>
    <w:p w14:paraId="7C8C4774">
      <w:pPr>
        <w:spacing w:line="360" w:lineRule="auto"/>
        <w:ind w:left="-5" w:firstLine="425"/>
        <w:rPr>
          <w:rFonts w:ascii="宋体" w:hAnsi="宋体" w:cs="宋体"/>
          <w:color w:val="auto"/>
          <w:sz w:val="24"/>
          <w:highlight w:val="none"/>
        </w:rPr>
      </w:pPr>
      <w:r>
        <w:rPr>
          <w:rFonts w:hint="eastAsia" w:ascii="宋体" w:hAnsi="宋体" w:cs="宋体"/>
          <w:color w:val="auto"/>
          <w:sz w:val="24"/>
          <w:highlight w:val="none"/>
        </w:rPr>
        <w:t>（3）投标人应提供针对本项目的质量保障措施、进度实施计划、售后服务方案、质保方案，明确项目人员配备情况。</w:t>
      </w:r>
    </w:p>
    <w:p w14:paraId="041CF655">
      <w:pPr>
        <w:pStyle w:val="3"/>
        <w:numPr>
          <w:ilvl w:val="0"/>
          <w:numId w:val="5"/>
        </w:numPr>
        <w:tabs>
          <w:tab w:val="left" w:pos="0"/>
          <w:tab w:val="clear" w:pos="432"/>
        </w:tabs>
        <w:spacing w:before="0" w:after="0" w:line="360" w:lineRule="auto"/>
        <w:ind w:left="-5" w:firstLine="425"/>
        <w:rPr>
          <w:rFonts w:ascii="宋体" w:hAnsi="宋体" w:cs="宋体"/>
          <w:color w:val="auto"/>
          <w:sz w:val="24"/>
          <w:szCs w:val="24"/>
          <w:highlight w:val="none"/>
        </w:rPr>
      </w:pPr>
      <w:bookmarkStart w:id="39" w:name="_Toc194347110"/>
      <w:r>
        <w:rPr>
          <w:rFonts w:hint="eastAsia" w:ascii="宋体" w:hAnsi="宋体" w:cs="宋体"/>
          <w:color w:val="auto"/>
          <w:sz w:val="24"/>
          <w:szCs w:val="24"/>
          <w:highlight w:val="none"/>
        </w:rPr>
        <w:t>商务要求</w:t>
      </w:r>
      <w:bookmarkEnd w:id="39"/>
    </w:p>
    <w:p w14:paraId="58F3F2EC">
      <w:pPr>
        <w:pStyle w:val="4"/>
        <w:numPr>
          <w:ilvl w:val="1"/>
          <w:numId w:val="5"/>
        </w:numPr>
        <w:tabs>
          <w:tab w:val="left" w:pos="0"/>
          <w:tab w:val="clear" w:pos="432"/>
        </w:tabs>
        <w:ind w:left="-5" w:firstLine="425"/>
        <w:rPr>
          <w:rFonts w:ascii="宋体" w:hAnsi="宋体" w:eastAsia="宋体" w:cs="宋体"/>
          <w:color w:val="auto"/>
          <w:sz w:val="24"/>
          <w:szCs w:val="24"/>
          <w:highlight w:val="none"/>
        </w:rPr>
      </w:pPr>
      <w:bookmarkStart w:id="40" w:name="_Toc194347111"/>
      <w:r>
        <w:rPr>
          <w:rFonts w:hint="eastAsia" w:ascii="宋体" w:hAnsi="宋体" w:eastAsia="宋体" w:cs="宋体"/>
          <w:color w:val="auto"/>
          <w:sz w:val="24"/>
          <w:szCs w:val="24"/>
          <w:highlight w:val="none"/>
        </w:rPr>
        <w:t>付款条件</w:t>
      </w:r>
      <w:bookmarkEnd w:id="40"/>
    </w:p>
    <w:p w14:paraId="3F661BA4">
      <w:pPr>
        <w:keepNext w:val="0"/>
        <w:keepLines w:val="0"/>
        <w:widowControl w:val="0"/>
        <w:suppressLineNumbers w:val="0"/>
        <w:adjustRightInd w:val="0"/>
        <w:spacing w:before="0" w:beforeAutospacing="0" w:after="0" w:afterAutospacing="0" w:line="360" w:lineRule="auto"/>
        <w:ind w:left="0" w:right="0" w:firstLine="420" w:firstLineChars="0"/>
        <w:jc w:val="both"/>
        <w:rPr>
          <w:rFonts w:ascii="宋体" w:hAnsi="宋体" w:cs="宋体"/>
          <w:color w:val="auto"/>
          <w:sz w:val="24"/>
          <w:highlight w:val="none"/>
        </w:rPr>
      </w:pPr>
      <w:bookmarkStart w:id="41" w:name="OLE_LINK22"/>
      <w:bookmarkStart w:id="42" w:name="OLE_LINK21"/>
      <w:bookmarkStart w:id="43" w:name="OLE_LINK1"/>
      <w:bookmarkStart w:id="44" w:name="OLE_LINK2"/>
      <w:r>
        <w:rPr>
          <w:rFonts w:hint="eastAsia" w:ascii="宋体" w:hAnsi="宋体" w:cs="宋体"/>
          <w:color w:val="auto"/>
          <w:sz w:val="24"/>
          <w:highlight w:val="none"/>
        </w:rPr>
        <w:t>项目合同签订并具备实施条件后</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在收到中标供应商开具的增值税电子普通发票的</w:t>
      </w:r>
      <w:r>
        <w:rPr>
          <w:rFonts w:hint="eastAsia" w:ascii="宋体" w:hAnsi="宋体" w:cs="宋体"/>
          <w:color w:val="auto"/>
          <w:sz w:val="24"/>
          <w:highlight w:val="none"/>
        </w:rPr>
        <w:t>7个工作日内支付合同总金额的</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0%作为预付款，</w:t>
      </w:r>
      <w:r>
        <w:rPr>
          <w:rFonts w:hint="eastAsia" w:ascii="宋体" w:hAnsi="宋体" w:cs="宋体"/>
          <w:color w:val="auto"/>
          <w:sz w:val="24"/>
          <w:highlight w:val="none"/>
          <w:lang w:val="en-US" w:eastAsia="zh-CN"/>
        </w:rPr>
        <w:t>在2025年8月14日后收到</w:t>
      </w:r>
      <w:r>
        <w:rPr>
          <w:rFonts w:hint="eastAsia" w:ascii="宋体" w:hAnsi="宋体" w:eastAsia="宋体" w:cs="宋体"/>
          <w:color w:val="auto"/>
          <w:kern w:val="2"/>
          <w:sz w:val="24"/>
          <w:szCs w:val="24"/>
          <w:highlight w:val="none"/>
          <w:lang w:val="en-US" w:eastAsia="zh-CN" w:bidi="ar"/>
        </w:rPr>
        <w:t>收到中标供应商开具的增值税电子普通发票的7个工作日内支付进度款项50万元整，在2025年12月15日前，</w:t>
      </w:r>
      <w:r>
        <w:rPr>
          <w:rFonts w:hint="eastAsia" w:ascii="宋体" w:hAnsi="宋体" w:cs="宋体"/>
          <w:color w:val="auto"/>
          <w:sz w:val="24"/>
          <w:highlight w:val="none"/>
          <w:lang w:val="en-US" w:eastAsia="zh-CN"/>
        </w:rPr>
        <w:t>收到</w:t>
      </w:r>
      <w:r>
        <w:rPr>
          <w:rFonts w:hint="eastAsia" w:ascii="宋体" w:hAnsi="宋体" w:eastAsia="宋体" w:cs="宋体"/>
          <w:color w:val="auto"/>
          <w:kern w:val="2"/>
          <w:sz w:val="24"/>
          <w:szCs w:val="24"/>
          <w:highlight w:val="none"/>
          <w:lang w:val="en-US" w:eastAsia="zh-CN" w:bidi="ar"/>
        </w:rPr>
        <w:t>收到中标供应商开具的增值税电子普通发票的7个工作日内支付项目进度款20%，剩余款项在</w:t>
      </w:r>
      <w:r>
        <w:rPr>
          <w:rFonts w:hint="eastAsia" w:ascii="宋体" w:hAnsi="宋体" w:cs="宋体"/>
          <w:color w:val="auto"/>
          <w:sz w:val="24"/>
          <w:highlight w:val="none"/>
        </w:rPr>
        <w:t>项目服务期结束通过终验后支付。</w:t>
      </w:r>
      <w:bookmarkEnd w:id="41"/>
      <w:bookmarkEnd w:id="42"/>
    </w:p>
    <w:bookmarkEnd w:id="43"/>
    <w:bookmarkEnd w:id="44"/>
    <w:p w14:paraId="2A30CF00">
      <w:pPr>
        <w:pStyle w:val="4"/>
        <w:numPr>
          <w:ilvl w:val="1"/>
          <w:numId w:val="5"/>
        </w:numPr>
        <w:tabs>
          <w:tab w:val="left" w:pos="0"/>
          <w:tab w:val="clear" w:pos="432"/>
        </w:tabs>
        <w:ind w:left="-5" w:firstLine="425"/>
        <w:rPr>
          <w:rFonts w:ascii="宋体" w:hAnsi="宋体" w:eastAsia="宋体" w:cs="宋体"/>
          <w:color w:val="auto"/>
          <w:sz w:val="24"/>
          <w:szCs w:val="24"/>
          <w:highlight w:val="none"/>
        </w:rPr>
      </w:pPr>
      <w:bookmarkStart w:id="45" w:name="_Toc194347112"/>
      <w:r>
        <w:rPr>
          <w:rFonts w:hint="eastAsia" w:ascii="宋体" w:hAnsi="宋体" w:eastAsia="宋体" w:cs="宋体"/>
          <w:color w:val="auto"/>
          <w:sz w:val="24"/>
          <w:szCs w:val="24"/>
          <w:highlight w:val="none"/>
        </w:rPr>
        <w:t>服务期限及地点</w:t>
      </w:r>
      <w:bookmarkEnd w:id="45"/>
    </w:p>
    <w:p w14:paraId="5B91A6C3">
      <w:pPr>
        <w:pStyle w:val="5"/>
        <w:numPr>
          <w:ilvl w:val="0"/>
          <w:numId w:val="0"/>
        </w:numPr>
        <w:spacing w:before="0" w:after="0" w:line="360" w:lineRule="auto"/>
        <w:ind w:left="420" w:leftChars="0"/>
        <w:rPr>
          <w:rFonts w:ascii="宋体" w:hAnsi="宋体" w:cs="宋体"/>
          <w:b w:val="0"/>
          <w:bCs w:val="0"/>
          <w:color w:val="auto"/>
          <w:sz w:val="24"/>
          <w:highlight w:val="none"/>
        </w:rPr>
      </w:pPr>
      <w:bookmarkStart w:id="46" w:name="_Toc194347113"/>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rPr>
        <w:t>服务地点</w:t>
      </w:r>
      <w:bookmarkEnd w:id="46"/>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highlight w:val="none"/>
        </w:rPr>
        <w:t>采购人指定地点。</w:t>
      </w:r>
    </w:p>
    <w:p w14:paraId="08AAD22F">
      <w:pPr>
        <w:pStyle w:val="5"/>
        <w:numPr>
          <w:ilvl w:val="0"/>
          <w:numId w:val="0"/>
        </w:numPr>
        <w:spacing w:before="0" w:after="0" w:line="360" w:lineRule="auto"/>
        <w:ind w:left="420" w:leftChars="0"/>
        <w:rPr>
          <w:rFonts w:ascii="宋体" w:hAnsi="宋体" w:cs="宋体"/>
          <w:b w:val="0"/>
          <w:bCs w:val="0"/>
          <w:color w:val="auto"/>
          <w:sz w:val="24"/>
          <w:highlight w:val="none"/>
        </w:rPr>
      </w:pPr>
      <w:bookmarkStart w:id="47" w:name="_Toc194347114"/>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rPr>
        <w:t>服务期限</w:t>
      </w:r>
      <w:bookmarkEnd w:id="47"/>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highlight w:val="none"/>
        </w:rPr>
        <w:t>本项目</w:t>
      </w:r>
      <w:r>
        <w:rPr>
          <w:rFonts w:hint="eastAsia" w:ascii="宋体" w:hAnsi="宋体" w:cs="宋体"/>
          <w:b w:val="0"/>
          <w:bCs w:val="0"/>
          <w:color w:val="auto"/>
          <w:sz w:val="24"/>
          <w:highlight w:val="none"/>
          <w:lang w:val="en-US" w:eastAsia="zh-CN"/>
        </w:rPr>
        <w:t>服务期限</w:t>
      </w:r>
      <w:r>
        <w:rPr>
          <w:rFonts w:hint="eastAsia" w:ascii="宋体" w:hAnsi="宋体" w:cs="宋体"/>
          <w:b w:val="0"/>
          <w:bCs w:val="0"/>
          <w:color w:val="auto"/>
          <w:sz w:val="24"/>
          <w:highlight w:val="none"/>
        </w:rPr>
        <w:t>为</w:t>
      </w:r>
      <w:r>
        <w:rPr>
          <w:rFonts w:hint="eastAsia" w:ascii="宋体" w:hAnsi="宋体" w:cs="宋体"/>
          <w:b w:val="0"/>
          <w:bCs w:val="0"/>
          <w:color w:val="auto"/>
          <w:sz w:val="24"/>
          <w:highlight w:val="none"/>
          <w:lang w:val="en-US" w:eastAsia="zh-CN"/>
        </w:rPr>
        <w:t>1年</w:t>
      </w:r>
      <w:r>
        <w:rPr>
          <w:rFonts w:hint="eastAsia" w:ascii="宋体" w:hAnsi="宋体" w:cs="宋体"/>
          <w:b w:val="0"/>
          <w:bCs w:val="0"/>
          <w:color w:val="auto"/>
          <w:sz w:val="24"/>
          <w:highlight w:val="none"/>
        </w:rPr>
        <w:t>。</w:t>
      </w:r>
    </w:p>
    <w:p w14:paraId="54364D88">
      <w:pPr>
        <w:spacing w:line="360" w:lineRule="auto"/>
        <w:jc w:val="left"/>
        <w:outlineLvl w:val="0"/>
        <w:rPr>
          <w:rFonts w:ascii="宋体" w:hAnsi="宋体" w:cs="宋体"/>
          <w:b/>
          <w:color w:val="auto"/>
          <w:sz w:val="24"/>
          <w:highlight w:val="none"/>
        </w:rPr>
      </w:pPr>
    </w:p>
    <w:p w14:paraId="085141C7">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48" w:name="_Toc184308099"/>
      <w:bookmarkEnd w:id="48"/>
      <w:bookmarkStart w:id="49" w:name="_Toc184314456"/>
      <w:bookmarkEnd w:id="49"/>
      <w:bookmarkStart w:id="50" w:name="_Toc184313273"/>
      <w:bookmarkEnd w:id="50"/>
      <w:bookmarkStart w:id="51" w:name="_Toc184308064"/>
      <w:bookmarkEnd w:id="51"/>
      <w:bookmarkStart w:id="52" w:name="_Toc184313291"/>
      <w:bookmarkEnd w:id="52"/>
      <w:bookmarkStart w:id="53" w:name="_Toc184308103"/>
      <w:bookmarkEnd w:id="53"/>
      <w:bookmarkStart w:id="54" w:name="_Toc184314421"/>
      <w:bookmarkEnd w:id="54"/>
      <w:bookmarkStart w:id="55" w:name="_Toc184314433"/>
      <w:bookmarkEnd w:id="55"/>
      <w:bookmarkStart w:id="56" w:name="_Toc184310289"/>
      <w:bookmarkEnd w:id="56"/>
      <w:bookmarkStart w:id="57" w:name="_Toc184310296"/>
      <w:bookmarkEnd w:id="57"/>
      <w:bookmarkStart w:id="58" w:name="_Toc184308059"/>
      <w:bookmarkEnd w:id="58"/>
      <w:bookmarkStart w:id="59" w:name="_Toc184308101"/>
      <w:bookmarkEnd w:id="59"/>
      <w:bookmarkStart w:id="60" w:name="_Toc184312092"/>
      <w:bookmarkEnd w:id="60"/>
      <w:bookmarkStart w:id="61" w:name="_Toc184312090"/>
      <w:bookmarkEnd w:id="61"/>
      <w:bookmarkStart w:id="62" w:name="_Toc184310326"/>
      <w:bookmarkEnd w:id="62"/>
      <w:bookmarkStart w:id="63" w:name="_Toc184308058"/>
      <w:bookmarkEnd w:id="63"/>
      <w:bookmarkStart w:id="64" w:name="_Toc184314454"/>
      <w:bookmarkEnd w:id="64"/>
      <w:bookmarkStart w:id="65" w:name="_Toc184312126"/>
      <w:bookmarkEnd w:id="65"/>
      <w:bookmarkStart w:id="66" w:name="_Toc184313272"/>
      <w:bookmarkEnd w:id="66"/>
      <w:bookmarkStart w:id="67" w:name="_Toc184310340"/>
      <w:bookmarkEnd w:id="67"/>
      <w:bookmarkStart w:id="68" w:name="_Toc184313307"/>
      <w:bookmarkEnd w:id="68"/>
      <w:bookmarkStart w:id="69" w:name="_Toc184310329"/>
      <w:bookmarkEnd w:id="69"/>
      <w:bookmarkStart w:id="70" w:name="_Toc184310272"/>
      <w:bookmarkEnd w:id="70"/>
      <w:bookmarkStart w:id="71" w:name="_Toc184310291"/>
      <w:bookmarkEnd w:id="71"/>
      <w:bookmarkStart w:id="72" w:name="_Toc184308081"/>
      <w:bookmarkEnd w:id="72"/>
      <w:bookmarkStart w:id="73" w:name="_Toc184314446"/>
      <w:bookmarkEnd w:id="73"/>
      <w:bookmarkStart w:id="74" w:name="_Toc184313275"/>
      <w:bookmarkEnd w:id="74"/>
      <w:bookmarkStart w:id="75" w:name="_Toc184312121"/>
      <w:bookmarkEnd w:id="75"/>
      <w:bookmarkStart w:id="76" w:name="_Toc184312083"/>
      <w:bookmarkEnd w:id="76"/>
      <w:bookmarkStart w:id="77" w:name="_Toc184310307"/>
      <w:bookmarkEnd w:id="77"/>
      <w:bookmarkStart w:id="78" w:name="_Toc184308041"/>
      <w:bookmarkEnd w:id="78"/>
      <w:bookmarkStart w:id="79" w:name="_Toc184312099"/>
      <w:bookmarkEnd w:id="79"/>
      <w:bookmarkStart w:id="80" w:name="_Toc184314427"/>
      <w:bookmarkEnd w:id="80"/>
      <w:bookmarkStart w:id="81" w:name="_Toc184314429"/>
      <w:bookmarkEnd w:id="81"/>
      <w:bookmarkStart w:id="82" w:name="_Toc184308068"/>
      <w:bookmarkEnd w:id="82"/>
      <w:bookmarkStart w:id="83" w:name="_Toc184313256"/>
      <w:bookmarkEnd w:id="83"/>
      <w:bookmarkStart w:id="84" w:name="_Toc184308066"/>
      <w:bookmarkEnd w:id="84"/>
      <w:bookmarkStart w:id="85" w:name="_Toc184308039"/>
      <w:bookmarkEnd w:id="85"/>
      <w:bookmarkStart w:id="86" w:name="_Toc184310320"/>
      <w:bookmarkEnd w:id="86"/>
      <w:bookmarkStart w:id="87" w:name="_Toc184310328"/>
      <w:bookmarkEnd w:id="87"/>
      <w:bookmarkStart w:id="88" w:name="_Toc184314458"/>
      <w:bookmarkEnd w:id="88"/>
      <w:bookmarkStart w:id="89" w:name="_Toc184314466"/>
      <w:bookmarkEnd w:id="89"/>
      <w:bookmarkStart w:id="90" w:name="_Toc184313258"/>
      <w:bookmarkEnd w:id="90"/>
      <w:bookmarkStart w:id="91" w:name="_Toc184308075"/>
      <w:bookmarkEnd w:id="91"/>
      <w:bookmarkStart w:id="92" w:name="_Toc184308049"/>
      <w:bookmarkEnd w:id="92"/>
      <w:bookmarkStart w:id="93" w:name="_Toc184313280"/>
      <w:bookmarkEnd w:id="93"/>
      <w:bookmarkStart w:id="94" w:name="_Toc184310295"/>
      <w:bookmarkEnd w:id="94"/>
      <w:bookmarkStart w:id="95" w:name="_Toc184308074"/>
      <w:bookmarkEnd w:id="95"/>
      <w:bookmarkStart w:id="96" w:name="_Toc184313309"/>
      <w:bookmarkEnd w:id="96"/>
      <w:bookmarkStart w:id="97" w:name="_Toc184310321"/>
      <w:bookmarkEnd w:id="97"/>
      <w:bookmarkStart w:id="98" w:name="_Toc184312089"/>
      <w:bookmarkEnd w:id="98"/>
      <w:bookmarkStart w:id="99" w:name="_Toc184313306"/>
      <w:bookmarkEnd w:id="99"/>
      <w:bookmarkStart w:id="100" w:name="_Toc184310319"/>
      <w:bookmarkEnd w:id="100"/>
      <w:bookmarkStart w:id="101" w:name="_Toc184310286"/>
      <w:bookmarkEnd w:id="101"/>
      <w:bookmarkStart w:id="102" w:name="_Toc184310311"/>
      <w:bookmarkEnd w:id="102"/>
      <w:bookmarkStart w:id="103" w:name="_Toc184312111"/>
      <w:bookmarkEnd w:id="103"/>
      <w:bookmarkStart w:id="104" w:name="_Toc184314464"/>
      <w:bookmarkEnd w:id="104"/>
      <w:bookmarkStart w:id="105" w:name="_Toc184310276"/>
      <w:bookmarkEnd w:id="105"/>
      <w:bookmarkStart w:id="106" w:name="_Toc184310282"/>
      <w:bookmarkEnd w:id="106"/>
      <w:bookmarkStart w:id="107" w:name="_Toc184308080"/>
      <w:bookmarkEnd w:id="107"/>
      <w:bookmarkStart w:id="108" w:name="_Toc184313283"/>
      <w:bookmarkEnd w:id="108"/>
      <w:bookmarkStart w:id="109" w:name="_Toc184310299"/>
      <w:bookmarkEnd w:id="109"/>
      <w:bookmarkStart w:id="110" w:name="_Toc184313297"/>
      <w:bookmarkEnd w:id="110"/>
      <w:bookmarkStart w:id="111" w:name="_Toc184312080"/>
      <w:bookmarkEnd w:id="111"/>
      <w:bookmarkStart w:id="112" w:name="_Toc184310324"/>
      <w:bookmarkEnd w:id="112"/>
      <w:bookmarkStart w:id="113" w:name="_Toc184314426"/>
      <w:bookmarkEnd w:id="113"/>
      <w:bookmarkStart w:id="114" w:name="_Toc184308084"/>
      <w:bookmarkEnd w:id="114"/>
      <w:bookmarkStart w:id="115" w:name="_Toc184312091"/>
      <w:bookmarkEnd w:id="115"/>
      <w:bookmarkStart w:id="116" w:name="_Toc184313286"/>
      <w:bookmarkEnd w:id="116"/>
      <w:bookmarkStart w:id="117" w:name="_Toc184310331"/>
      <w:bookmarkEnd w:id="117"/>
      <w:bookmarkStart w:id="118" w:name="_Toc184312103"/>
      <w:bookmarkEnd w:id="118"/>
      <w:bookmarkStart w:id="119" w:name="_Toc184314424"/>
      <w:bookmarkEnd w:id="119"/>
      <w:bookmarkStart w:id="120" w:name="_Toc184314430"/>
      <w:bookmarkEnd w:id="120"/>
      <w:bookmarkStart w:id="121" w:name="_Toc184314444"/>
      <w:bookmarkEnd w:id="121"/>
      <w:bookmarkStart w:id="122" w:name="_Toc184313294"/>
      <w:bookmarkEnd w:id="122"/>
      <w:bookmarkStart w:id="123" w:name="_Toc184308072"/>
      <w:bookmarkEnd w:id="123"/>
      <w:bookmarkStart w:id="124" w:name="_Toc184314440"/>
      <w:bookmarkEnd w:id="124"/>
      <w:bookmarkStart w:id="125" w:name="_Toc184313285"/>
      <w:bookmarkEnd w:id="125"/>
      <w:bookmarkStart w:id="126" w:name="_Toc184314481"/>
      <w:bookmarkEnd w:id="126"/>
      <w:bookmarkStart w:id="127" w:name="_Toc184310297"/>
      <w:bookmarkEnd w:id="127"/>
      <w:bookmarkStart w:id="128" w:name="_Toc184314436"/>
      <w:bookmarkEnd w:id="128"/>
      <w:bookmarkStart w:id="129" w:name="_Toc184308045"/>
      <w:bookmarkEnd w:id="129"/>
      <w:bookmarkStart w:id="130" w:name="_Toc184308102"/>
      <w:bookmarkEnd w:id="130"/>
      <w:bookmarkStart w:id="131" w:name="_Toc184308073"/>
      <w:bookmarkEnd w:id="131"/>
      <w:bookmarkStart w:id="132" w:name="_Toc184313253"/>
      <w:bookmarkEnd w:id="132"/>
      <w:bookmarkStart w:id="133" w:name="_Toc184313308"/>
      <w:bookmarkEnd w:id="133"/>
      <w:bookmarkStart w:id="134" w:name="_Toc184312105"/>
      <w:bookmarkEnd w:id="134"/>
      <w:bookmarkStart w:id="135" w:name="_Toc184308104"/>
      <w:bookmarkEnd w:id="135"/>
      <w:bookmarkStart w:id="136" w:name="_Toc184310338"/>
      <w:bookmarkEnd w:id="136"/>
      <w:bookmarkStart w:id="137" w:name="_Toc184312109"/>
      <w:bookmarkEnd w:id="137"/>
      <w:bookmarkStart w:id="138" w:name="_Toc184314457"/>
      <w:bookmarkEnd w:id="138"/>
      <w:bookmarkStart w:id="139" w:name="_Toc184308069"/>
      <w:bookmarkEnd w:id="139"/>
      <w:bookmarkStart w:id="140" w:name="_Toc184314455"/>
      <w:bookmarkEnd w:id="140"/>
      <w:bookmarkStart w:id="141" w:name="_Toc184312128"/>
      <w:bookmarkEnd w:id="141"/>
      <w:bookmarkStart w:id="142" w:name="_Toc184313287"/>
      <w:bookmarkEnd w:id="142"/>
      <w:bookmarkStart w:id="143" w:name="_Toc184310279"/>
      <w:bookmarkEnd w:id="143"/>
      <w:bookmarkStart w:id="144" w:name="_Toc184312074"/>
      <w:bookmarkEnd w:id="144"/>
      <w:bookmarkStart w:id="145" w:name="_Toc184308065"/>
      <w:bookmarkEnd w:id="145"/>
      <w:bookmarkStart w:id="146" w:name="_Toc184308094"/>
      <w:bookmarkEnd w:id="146"/>
      <w:bookmarkStart w:id="147" w:name="_Toc184308095"/>
      <w:bookmarkEnd w:id="147"/>
      <w:bookmarkStart w:id="148" w:name="_Toc184310275"/>
      <w:bookmarkEnd w:id="148"/>
      <w:bookmarkStart w:id="149" w:name="_Toc184313274"/>
      <w:bookmarkEnd w:id="149"/>
      <w:bookmarkStart w:id="150" w:name="_Toc184314410"/>
      <w:bookmarkEnd w:id="150"/>
      <w:bookmarkStart w:id="151" w:name="_Toc184312096"/>
      <w:bookmarkEnd w:id="151"/>
      <w:bookmarkStart w:id="152" w:name="_Toc184312117"/>
      <w:bookmarkEnd w:id="152"/>
      <w:bookmarkStart w:id="153" w:name="_Toc184312136"/>
      <w:bookmarkEnd w:id="153"/>
      <w:bookmarkStart w:id="154" w:name="_Toc184314471"/>
      <w:bookmarkEnd w:id="154"/>
      <w:bookmarkStart w:id="155" w:name="_Toc184308089"/>
      <w:bookmarkEnd w:id="155"/>
      <w:bookmarkStart w:id="156" w:name="_Toc184313290"/>
      <w:bookmarkEnd w:id="156"/>
      <w:bookmarkStart w:id="157" w:name="_Toc184313292"/>
      <w:bookmarkEnd w:id="157"/>
      <w:bookmarkStart w:id="158" w:name="_Toc184312088"/>
      <w:bookmarkEnd w:id="158"/>
      <w:bookmarkStart w:id="159" w:name="_Toc184310337"/>
      <w:bookmarkEnd w:id="159"/>
      <w:bookmarkStart w:id="160" w:name="_Toc184314468"/>
      <w:bookmarkEnd w:id="160"/>
      <w:bookmarkStart w:id="161" w:name="_Toc184314474"/>
      <w:bookmarkEnd w:id="161"/>
      <w:bookmarkStart w:id="162" w:name="_Toc184314441"/>
      <w:bookmarkEnd w:id="162"/>
      <w:bookmarkStart w:id="163" w:name="_Toc184314472"/>
      <w:bookmarkEnd w:id="163"/>
      <w:bookmarkStart w:id="164" w:name="_Toc184312131"/>
      <w:bookmarkEnd w:id="164"/>
      <w:bookmarkStart w:id="165" w:name="_Toc184313265"/>
      <w:bookmarkEnd w:id="165"/>
      <w:bookmarkStart w:id="166" w:name="_Toc184308052"/>
      <w:bookmarkEnd w:id="166"/>
      <w:bookmarkStart w:id="167" w:name="_Toc184312082"/>
      <w:bookmarkEnd w:id="167"/>
      <w:bookmarkStart w:id="168" w:name="_Toc184312107"/>
      <w:bookmarkEnd w:id="168"/>
      <w:bookmarkStart w:id="169" w:name="_Toc184313295"/>
      <w:bookmarkEnd w:id="169"/>
      <w:bookmarkStart w:id="170" w:name="_Toc184313278"/>
      <w:bookmarkEnd w:id="170"/>
      <w:bookmarkStart w:id="171" w:name="_Toc184310304"/>
      <w:bookmarkEnd w:id="171"/>
      <w:bookmarkStart w:id="172" w:name="_Toc184310290"/>
      <w:bookmarkEnd w:id="172"/>
      <w:bookmarkStart w:id="173" w:name="_Toc184313301"/>
      <w:bookmarkEnd w:id="173"/>
      <w:bookmarkStart w:id="174" w:name="_Toc184312118"/>
      <w:bookmarkEnd w:id="174"/>
      <w:bookmarkStart w:id="175" w:name="_Toc184310274"/>
      <w:bookmarkEnd w:id="175"/>
      <w:bookmarkStart w:id="176" w:name="_Toc184310325"/>
      <w:bookmarkEnd w:id="176"/>
      <w:bookmarkStart w:id="177" w:name="_Toc184312086"/>
      <w:bookmarkEnd w:id="177"/>
      <w:bookmarkStart w:id="178" w:name="_Toc184308061"/>
      <w:bookmarkEnd w:id="178"/>
      <w:bookmarkStart w:id="179" w:name="_Toc184312095"/>
      <w:bookmarkEnd w:id="179"/>
      <w:bookmarkStart w:id="180" w:name="_Toc184314473"/>
      <w:bookmarkEnd w:id="180"/>
      <w:bookmarkStart w:id="181" w:name="_Toc184310302"/>
      <w:bookmarkEnd w:id="181"/>
      <w:bookmarkStart w:id="182" w:name="_Toc184314431"/>
      <w:bookmarkEnd w:id="182"/>
      <w:bookmarkStart w:id="183" w:name="_Toc184310294"/>
      <w:bookmarkEnd w:id="183"/>
      <w:bookmarkStart w:id="184" w:name="_Toc184310305"/>
      <w:bookmarkEnd w:id="184"/>
      <w:bookmarkStart w:id="185" w:name="_Toc184308076"/>
      <w:bookmarkEnd w:id="185"/>
      <w:bookmarkStart w:id="186" w:name="_Toc184312122"/>
      <w:bookmarkEnd w:id="186"/>
      <w:bookmarkStart w:id="187" w:name="_Toc184310309"/>
      <w:bookmarkEnd w:id="187"/>
      <w:bookmarkStart w:id="188" w:name="_Toc184308079"/>
      <w:bookmarkEnd w:id="188"/>
      <w:bookmarkStart w:id="189" w:name="_Toc184308044"/>
      <w:bookmarkEnd w:id="189"/>
      <w:bookmarkStart w:id="190" w:name="_Toc184310334"/>
      <w:bookmarkEnd w:id="190"/>
      <w:bookmarkStart w:id="191" w:name="_Toc184310306"/>
      <w:bookmarkEnd w:id="191"/>
      <w:bookmarkStart w:id="192" w:name="_Toc184314479"/>
      <w:bookmarkEnd w:id="192"/>
      <w:bookmarkStart w:id="193" w:name="_Toc184310323"/>
      <w:bookmarkEnd w:id="193"/>
      <w:bookmarkStart w:id="194" w:name="_Toc184314423"/>
      <w:bookmarkEnd w:id="194"/>
      <w:bookmarkStart w:id="195" w:name="_Toc184313289"/>
      <w:bookmarkEnd w:id="195"/>
      <w:bookmarkStart w:id="196" w:name="_Toc184314420"/>
      <w:bookmarkEnd w:id="196"/>
      <w:bookmarkStart w:id="197" w:name="_Toc184308083"/>
      <w:bookmarkEnd w:id="197"/>
      <w:bookmarkStart w:id="198" w:name="_Toc184312087"/>
      <w:bookmarkEnd w:id="198"/>
      <w:bookmarkStart w:id="199" w:name="_Toc184308108"/>
      <w:bookmarkEnd w:id="199"/>
      <w:bookmarkStart w:id="200" w:name="_Toc184314465"/>
      <w:bookmarkEnd w:id="200"/>
      <w:bookmarkStart w:id="201" w:name="_Toc184313303"/>
      <w:bookmarkEnd w:id="201"/>
      <w:bookmarkStart w:id="202" w:name="_Toc184308047"/>
      <w:bookmarkEnd w:id="202"/>
      <w:bookmarkStart w:id="203" w:name="_Toc184313247"/>
      <w:bookmarkEnd w:id="203"/>
      <w:bookmarkStart w:id="204" w:name="_Toc184310278"/>
      <w:bookmarkEnd w:id="204"/>
      <w:bookmarkStart w:id="205" w:name="_Toc184310273"/>
      <w:bookmarkEnd w:id="205"/>
      <w:bookmarkStart w:id="206" w:name="_Toc184313261"/>
      <w:bookmarkEnd w:id="206"/>
      <w:bookmarkStart w:id="207" w:name="_Toc184312135"/>
      <w:bookmarkEnd w:id="207"/>
      <w:bookmarkStart w:id="208" w:name="_Toc184314447"/>
      <w:bookmarkEnd w:id="208"/>
      <w:bookmarkStart w:id="209" w:name="_Toc184313288"/>
      <w:bookmarkEnd w:id="209"/>
      <w:bookmarkStart w:id="210" w:name="_Toc184308097"/>
      <w:bookmarkEnd w:id="210"/>
      <w:bookmarkStart w:id="211" w:name="_Toc184314450"/>
      <w:bookmarkEnd w:id="211"/>
      <w:bookmarkStart w:id="212" w:name="_Toc184312138"/>
      <w:bookmarkEnd w:id="212"/>
      <w:bookmarkStart w:id="213" w:name="_Toc184314469"/>
      <w:bookmarkEnd w:id="213"/>
      <w:bookmarkStart w:id="214" w:name="_Toc184308038"/>
      <w:bookmarkEnd w:id="214"/>
      <w:bookmarkStart w:id="215" w:name="_Toc184314478"/>
      <w:bookmarkEnd w:id="215"/>
      <w:bookmarkStart w:id="216" w:name="_Toc184308042"/>
      <w:bookmarkEnd w:id="216"/>
      <w:bookmarkStart w:id="217" w:name="_Toc184308085"/>
      <w:bookmarkEnd w:id="217"/>
      <w:bookmarkStart w:id="218" w:name="_Toc184310298"/>
      <w:bookmarkEnd w:id="218"/>
      <w:bookmarkStart w:id="219" w:name="_Toc184313304"/>
      <w:bookmarkEnd w:id="219"/>
      <w:bookmarkStart w:id="220" w:name="_Toc184310300"/>
      <w:bookmarkEnd w:id="220"/>
      <w:bookmarkStart w:id="221" w:name="_Toc184314477"/>
      <w:bookmarkEnd w:id="221"/>
      <w:bookmarkStart w:id="222" w:name="_Toc184314463"/>
      <w:bookmarkEnd w:id="222"/>
      <w:bookmarkStart w:id="223" w:name="_Toc184312067"/>
      <w:bookmarkEnd w:id="223"/>
      <w:bookmarkStart w:id="224" w:name="_Toc184312134"/>
      <w:bookmarkEnd w:id="224"/>
      <w:bookmarkStart w:id="225" w:name="_Toc184310315"/>
      <w:bookmarkEnd w:id="225"/>
      <w:bookmarkStart w:id="226" w:name="_Toc184308051"/>
      <w:bookmarkEnd w:id="226"/>
      <w:bookmarkStart w:id="227" w:name="_Toc184312077"/>
      <w:bookmarkEnd w:id="227"/>
      <w:bookmarkStart w:id="228" w:name="_Toc184314428"/>
      <w:bookmarkEnd w:id="228"/>
      <w:bookmarkStart w:id="229" w:name="_Toc184310293"/>
      <w:bookmarkEnd w:id="229"/>
      <w:bookmarkStart w:id="230" w:name="_Toc184313296"/>
      <w:bookmarkEnd w:id="230"/>
      <w:bookmarkStart w:id="231" w:name="_Toc184308090"/>
      <w:bookmarkEnd w:id="231"/>
      <w:bookmarkStart w:id="232" w:name="_Toc184314461"/>
      <w:bookmarkEnd w:id="232"/>
      <w:bookmarkStart w:id="233" w:name="_Toc184313282"/>
      <w:bookmarkEnd w:id="233"/>
      <w:bookmarkStart w:id="234" w:name="_Toc184313241"/>
      <w:bookmarkEnd w:id="234"/>
      <w:bookmarkStart w:id="235" w:name="_Toc184313277"/>
      <w:bookmarkEnd w:id="235"/>
      <w:bookmarkStart w:id="236" w:name="_Toc184313240"/>
      <w:bookmarkEnd w:id="236"/>
      <w:bookmarkStart w:id="237" w:name="_Toc184313255"/>
      <w:bookmarkEnd w:id="237"/>
      <w:bookmarkStart w:id="238" w:name="_Toc184314417"/>
      <w:bookmarkEnd w:id="238"/>
      <w:bookmarkStart w:id="239" w:name="_Toc184308088"/>
      <w:bookmarkEnd w:id="239"/>
      <w:bookmarkStart w:id="240" w:name="_Toc184308056"/>
      <w:bookmarkEnd w:id="240"/>
      <w:bookmarkStart w:id="241" w:name="_Toc184312075"/>
      <w:bookmarkEnd w:id="241"/>
      <w:bookmarkStart w:id="242" w:name="_Toc184310301"/>
      <w:bookmarkEnd w:id="242"/>
      <w:bookmarkStart w:id="243" w:name="_Toc184313245"/>
      <w:bookmarkEnd w:id="243"/>
      <w:bookmarkStart w:id="244" w:name="_Toc184308054"/>
      <w:bookmarkEnd w:id="244"/>
      <w:bookmarkStart w:id="245" w:name="_Toc184313268"/>
      <w:bookmarkEnd w:id="245"/>
      <w:bookmarkStart w:id="246" w:name="_Toc184312098"/>
      <w:bookmarkEnd w:id="246"/>
      <w:bookmarkStart w:id="247" w:name="_Toc184312071"/>
      <w:bookmarkEnd w:id="247"/>
      <w:bookmarkStart w:id="248" w:name="_Toc184308063"/>
      <w:bookmarkEnd w:id="248"/>
      <w:bookmarkStart w:id="249" w:name="_Toc184313244"/>
      <w:bookmarkEnd w:id="249"/>
      <w:bookmarkStart w:id="250" w:name="_Toc184308040"/>
      <w:bookmarkEnd w:id="250"/>
      <w:bookmarkStart w:id="251" w:name="_Toc184310313"/>
      <w:bookmarkEnd w:id="251"/>
      <w:bookmarkStart w:id="252" w:name="_Toc184313270"/>
      <w:bookmarkEnd w:id="252"/>
      <w:bookmarkStart w:id="253" w:name="_Toc184312115"/>
      <w:bookmarkEnd w:id="253"/>
      <w:bookmarkStart w:id="254" w:name="_Toc184314434"/>
      <w:bookmarkEnd w:id="254"/>
      <w:bookmarkStart w:id="255" w:name="_Toc184310327"/>
      <w:bookmarkEnd w:id="255"/>
      <w:bookmarkStart w:id="256" w:name="_Toc184312093"/>
      <w:bookmarkEnd w:id="256"/>
      <w:bookmarkStart w:id="257" w:name="_Toc184308070"/>
      <w:bookmarkEnd w:id="257"/>
      <w:bookmarkStart w:id="258" w:name="_Toc184310280"/>
      <w:bookmarkEnd w:id="258"/>
      <w:bookmarkStart w:id="259" w:name="_Toc184312110"/>
      <w:bookmarkEnd w:id="259"/>
      <w:bookmarkStart w:id="260" w:name="_Toc184314411"/>
      <w:bookmarkEnd w:id="260"/>
      <w:bookmarkStart w:id="261" w:name="_Toc184308087"/>
      <w:bookmarkEnd w:id="261"/>
      <w:bookmarkStart w:id="262" w:name="_Toc184312139"/>
      <w:bookmarkEnd w:id="262"/>
      <w:bookmarkStart w:id="263" w:name="_Toc184312076"/>
      <w:bookmarkEnd w:id="263"/>
      <w:bookmarkStart w:id="264" w:name="_Toc184312133"/>
      <w:bookmarkEnd w:id="264"/>
      <w:bookmarkStart w:id="265" w:name="_Toc184313242"/>
      <w:bookmarkEnd w:id="265"/>
      <w:bookmarkStart w:id="266" w:name="_Toc184312102"/>
      <w:bookmarkEnd w:id="266"/>
      <w:bookmarkStart w:id="267" w:name="_Toc184314422"/>
      <w:bookmarkEnd w:id="267"/>
      <w:bookmarkStart w:id="268" w:name="_Toc184314482"/>
      <w:bookmarkEnd w:id="268"/>
      <w:bookmarkStart w:id="269" w:name="_Toc184310303"/>
      <w:bookmarkEnd w:id="269"/>
      <w:bookmarkStart w:id="270" w:name="_Toc184314480"/>
      <w:bookmarkEnd w:id="270"/>
      <w:bookmarkStart w:id="271" w:name="_Toc184314460"/>
      <w:bookmarkEnd w:id="271"/>
      <w:bookmarkStart w:id="272" w:name="_Toc184314443"/>
      <w:bookmarkEnd w:id="272"/>
      <w:bookmarkStart w:id="273" w:name="_Toc184313305"/>
      <w:bookmarkEnd w:id="273"/>
      <w:bookmarkStart w:id="274" w:name="_Toc184310285"/>
      <w:bookmarkEnd w:id="274"/>
      <w:bookmarkStart w:id="275" w:name="_Toc184313254"/>
      <w:bookmarkEnd w:id="275"/>
      <w:bookmarkStart w:id="276" w:name="_Toc184310288"/>
      <w:bookmarkEnd w:id="276"/>
      <w:bookmarkStart w:id="277" w:name="_Toc184312084"/>
      <w:bookmarkEnd w:id="277"/>
      <w:bookmarkStart w:id="278" w:name="_Toc184312079"/>
      <w:bookmarkEnd w:id="278"/>
      <w:bookmarkStart w:id="279" w:name="_Toc184314459"/>
      <w:bookmarkEnd w:id="279"/>
      <w:bookmarkStart w:id="280" w:name="_Toc184313310"/>
      <w:bookmarkEnd w:id="280"/>
      <w:bookmarkStart w:id="281" w:name="_Toc184314415"/>
      <w:bookmarkEnd w:id="281"/>
      <w:bookmarkStart w:id="282" w:name="_Toc184308060"/>
      <w:bookmarkEnd w:id="282"/>
      <w:bookmarkStart w:id="283" w:name="_Toc184312106"/>
      <w:bookmarkEnd w:id="283"/>
      <w:bookmarkStart w:id="284" w:name="_Toc184310335"/>
      <w:bookmarkEnd w:id="284"/>
      <w:bookmarkStart w:id="285" w:name="_Toc184313276"/>
      <w:bookmarkEnd w:id="285"/>
      <w:bookmarkStart w:id="286" w:name="_Toc184314419"/>
      <w:bookmarkEnd w:id="286"/>
      <w:bookmarkStart w:id="287" w:name="_Toc184310287"/>
      <w:bookmarkEnd w:id="287"/>
      <w:bookmarkStart w:id="288" w:name="_Toc184313299"/>
      <w:bookmarkEnd w:id="288"/>
      <w:bookmarkStart w:id="289" w:name="_Toc184308057"/>
      <w:bookmarkEnd w:id="289"/>
      <w:bookmarkStart w:id="290" w:name="_Toc184312068"/>
      <w:bookmarkEnd w:id="290"/>
      <w:bookmarkStart w:id="291" w:name="_Toc184308048"/>
      <w:bookmarkEnd w:id="291"/>
      <w:bookmarkStart w:id="292" w:name="_Toc184308096"/>
      <w:bookmarkEnd w:id="292"/>
      <w:bookmarkStart w:id="293" w:name="_Toc184310317"/>
      <w:bookmarkEnd w:id="293"/>
      <w:bookmarkStart w:id="294" w:name="_Toc184313281"/>
      <w:bookmarkEnd w:id="294"/>
      <w:bookmarkStart w:id="295" w:name="_Toc184313251"/>
      <w:bookmarkEnd w:id="295"/>
      <w:bookmarkStart w:id="296" w:name="_Toc184312130"/>
      <w:bookmarkEnd w:id="296"/>
      <w:bookmarkStart w:id="297" w:name="_Toc184313249"/>
      <w:bookmarkEnd w:id="297"/>
      <w:bookmarkStart w:id="298" w:name="_Toc184310292"/>
      <w:bookmarkEnd w:id="298"/>
      <w:bookmarkStart w:id="299" w:name="_Toc184313279"/>
      <w:bookmarkEnd w:id="299"/>
      <w:bookmarkStart w:id="300" w:name="_Toc184310342"/>
      <w:bookmarkEnd w:id="300"/>
      <w:bookmarkStart w:id="301" w:name="_Toc184314439"/>
      <w:bookmarkEnd w:id="301"/>
      <w:bookmarkStart w:id="302" w:name="_Toc184314418"/>
      <w:bookmarkEnd w:id="302"/>
      <w:bookmarkStart w:id="303" w:name="_Toc184313263"/>
      <w:bookmarkEnd w:id="303"/>
      <w:bookmarkStart w:id="304" w:name="_Toc184314449"/>
      <w:bookmarkEnd w:id="304"/>
      <w:bookmarkStart w:id="305" w:name="_Toc184314445"/>
      <w:bookmarkEnd w:id="305"/>
      <w:bookmarkStart w:id="306" w:name="_Toc184308050"/>
      <w:bookmarkEnd w:id="306"/>
      <w:bookmarkStart w:id="307" w:name="_Toc184310322"/>
      <w:bookmarkEnd w:id="307"/>
      <w:bookmarkStart w:id="308" w:name="_Toc184312119"/>
      <w:bookmarkEnd w:id="308"/>
      <w:bookmarkStart w:id="309" w:name="_Toc184312113"/>
      <w:bookmarkEnd w:id="309"/>
      <w:bookmarkStart w:id="310" w:name="_Toc184310339"/>
      <w:bookmarkEnd w:id="310"/>
      <w:bookmarkStart w:id="311" w:name="_Toc184314435"/>
      <w:bookmarkEnd w:id="311"/>
      <w:bookmarkStart w:id="312" w:name="_Toc184314414"/>
      <w:bookmarkEnd w:id="312"/>
      <w:bookmarkStart w:id="313" w:name="_Toc184310344"/>
      <w:bookmarkEnd w:id="313"/>
      <w:bookmarkStart w:id="314" w:name="_Toc184308106"/>
      <w:bookmarkEnd w:id="314"/>
      <w:bookmarkStart w:id="315" w:name="_Toc184308082"/>
      <w:bookmarkEnd w:id="315"/>
      <w:bookmarkStart w:id="316" w:name="_Toc184310316"/>
      <w:bookmarkEnd w:id="316"/>
      <w:bookmarkStart w:id="317" w:name="_Toc184312104"/>
      <w:bookmarkEnd w:id="317"/>
      <w:bookmarkStart w:id="318" w:name="_Toc184314442"/>
      <w:bookmarkEnd w:id="318"/>
      <w:bookmarkStart w:id="319" w:name="_Toc184313250"/>
      <w:bookmarkEnd w:id="319"/>
      <w:bookmarkStart w:id="320" w:name="_Toc184313248"/>
      <w:bookmarkEnd w:id="320"/>
      <w:bookmarkStart w:id="321" w:name="_Toc184314451"/>
      <w:bookmarkEnd w:id="321"/>
      <w:bookmarkStart w:id="322" w:name="_Toc184314412"/>
      <w:bookmarkEnd w:id="322"/>
      <w:bookmarkStart w:id="323" w:name="_Toc184312085"/>
      <w:bookmarkEnd w:id="323"/>
      <w:bookmarkStart w:id="324" w:name="_Toc184314438"/>
      <w:bookmarkEnd w:id="324"/>
      <w:bookmarkStart w:id="325" w:name="_Toc184313267"/>
      <w:bookmarkEnd w:id="325"/>
      <w:bookmarkStart w:id="326" w:name="_Toc184313293"/>
      <w:bookmarkEnd w:id="326"/>
      <w:bookmarkStart w:id="327" w:name="_Toc184313271"/>
      <w:bookmarkEnd w:id="327"/>
      <w:bookmarkStart w:id="328" w:name="_Toc184308043"/>
      <w:bookmarkEnd w:id="328"/>
      <w:bookmarkStart w:id="329" w:name="_Toc184308053"/>
      <w:bookmarkEnd w:id="329"/>
      <w:bookmarkStart w:id="330" w:name="_Toc184314425"/>
      <w:bookmarkEnd w:id="330"/>
      <w:bookmarkStart w:id="331" w:name="_Toc184308062"/>
      <w:bookmarkEnd w:id="331"/>
      <w:bookmarkStart w:id="332" w:name="_Toc184310343"/>
      <w:bookmarkEnd w:id="332"/>
      <w:bookmarkStart w:id="333" w:name="_Toc184312070"/>
      <w:bookmarkEnd w:id="333"/>
      <w:bookmarkStart w:id="334" w:name="_Toc184313302"/>
      <w:bookmarkEnd w:id="334"/>
      <w:bookmarkStart w:id="335" w:name="_Toc184312124"/>
      <w:bookmarkEnd w:id="335"/>
      <w:bookmarkStart w:id="336" w:name="_Toc184313300"/>
      <w:bookmarkEnd w:id="336"/>
      <w:bookmarkStart w:id="337" w:name="_Toc184314467"/>
      <w:bookmarkEnd w:id="337"/>
      <w:bookmarkStart w:id="338" w:name="_Toc184313259"/>
      <w:bookmarkEnd w:id="338"/>
      <w:bookmarkStart w:id="339" w:name="_Toc184310310"/>
      <w:bookmarkEnd w:id="339"/>
      <w:bookmarkStart w:id="340" w:name="_Toc184312125"/>
      <w:bookmarkEnd w:id="340"/>
      <w:bookmarkStart w:id="341" w:name="_Toc184308071"/>
      <w:bookmarkEnd w:id="341"/>
      <w:bookmarkStart w:id="342" w:name="_Toc184310308"/>
      <w:bookmarkEnd w:id="342"/>
      <w:bookmarkStart w:id="343" w:name="_Toc184312108"/>
      <w:bookmarkEnd w:id="343"/>
      <w:bookmarkStart w:id="344" w:name="_Toc184312127"/>
      <w:bookmarkEnd w:id="344"/>
      <w:bookmarkStart w:id="345" w:name="_Toc184312137"/>
      <w:bookmarkEnd w:id="345"/>
      <w:bookmarkStart w:id="346" w:name="_Toc184313269"/>
      <w:bookmarkEnd w:id="346"/>
      <w:bookmarkStart w:id="347" w:name="_Toc184313284"/>
      <w:bookmarkEnd w:id="347"/>
      <w:bookmarkStart w:id="348" w:name="_Toc184310318"/>
      <w:bookmarkEnd w:id="348"/>
      <w:bookmarkStart w:id="349" w:name="_Toc184310312"/>
      <w:bookmarkEnd w:id="349"/>
      <w:bookmarkStart w:id="350" w:name="_Toc184312073"/>
      <w:bookmarkEnd w:id="350"/>
      <w:bookmarkStart w:id="351" w:name="_Toc184313266"/>
      <w:bookmarkEnd w:id="351"/>
      <w:bookmarkStart w:id="352" w:name="_Toc184308078"/>
      <w:bookmarkEnd w:id="352"/>
      <w:bookmarkStart w:id="353" w:name="_Toc184308046"/>
      <w:bookmarkEnd w:id="353"/>
      <w:bookmarkStart w:id="354" w:name="_Toc184312078"/>
      <w:bookmarkEnd w:id="354"/>
      <w:bookmarkStart w:id="355" w:name="_Toc184308077"/>
      <w:bookmarkEnd w:id="355"/>
      <w:bookmarkStart w:id="356" w:name="_Toc184313298"/>
      <w:bookmarkEnd w:id="356"/>
      <w:bookmarkStart w:id="357" w:name="_Toc184308036"/>
      <w:bookmarkEnd w:id="357"/>
      <w:bookmarkStart w:id="358" w:name="_Toc184314448"/>
      <w:bookmarkEnd w:id="358"/>
      <w:bookmarkStart w:id="359" w:name="_Toc184310277"/>
      <w:bookmarkEnd w:id="359"/>
      <w:bookmarkStart w:id="360" w:name="_Toc184314462"/>
      <w:bookmarkEnd w:id="360"/>
      <w:bookmarkStart w:id="361" w:name="_Toc184310336"/>
      <w:bookmarkEnd w:id="361"/>
      <w:bookmarkStart w:id="362" w:name="_Toc184313238"/>
      <w:bookmarkEnd w:id="362"/>
      <w:bookmarkStart w:id="363" w:name="_Toc184312069"/>
      <w:bookmarkEnd w:id="363"/>
      <w:bookmarkStart w:id="364" w:name="_Toc184312081"/>
      <w:bookmarkEnd w:id="364"/>
      <w:bookmarkStart w:id="365" w:name="_Toc184314475"/>
      <w:bookmarkEnd w:id="365"/>
      <w:bookmarkStart w:id="366" w:name="_Toc184312129"/>
      <w:bookmarkEnd w:id="366"/>
      <w:bookmarkStart w:id="367" w:name="_Toc184313239"/>
      <w:bookmarkEnd w:id="367"/>
      <w:bookmarkStart w:id="368" w:name="_Toc184312114"/>
      <w:bookmarkEnd w:id="368"/>
      <w:bookmarkStart w:id="369" w:name="_Toc184310281"/>
      <w:bookmarkEnd w:id="369"/>
      <w:bookmarkStart w:id="370" w:name="_Toc184308105"/>
      <w:bookmarkEnd w:id="370"/>
      <w:bookmarkStart w:id="371" w:name="_Toc184312120"/>
      <w:bookmarkEnd w:id="371"/>
      <w:bookmarkStart w:id="372" w:name="_Toc184312116"/>
      <w:bookmarkEnd w:id="372"/>
      <w:bookmarkStart w:id="373" w:name="_Toc184308100"/>
      <w:bookmarkEnd w:id="373"/>
      <w:bookmarkStart w:id="374" w:name="_Toc184314416"/>
      <w:bookmarkEnd w:id="374"/>
      <w:bookmarkStart w:id="375" w:name="_Toc184314476"/>
      <w:bookmarkEnd w:id="375"/>
      <w:bookmarkStart w:id="376" w:name="_Toc184313262"/>
      <w:bookmarkEnd w:id="376"/>
      <w:bookmarkStart w:id="377" w:name="_Toc184312072"/>
      <w:bookmarkEnd w:id="377"/>
      <w:bookmarkStart w:id="378" w:name="_Toc184308086"/>
      <w:bookmarkEnd w:id="378"/>
      <w:bookmarkStart w:id="379" w:name="_Toc184312123"/>
      <w:bookmarkEnd w:id="379"/>
      <w:bookmarkStart w:id="380" w:name="_Toc184312101"/>
      <w:bookmarkEnd w:id="380"/>
      <w:bookmarkStart w:id="381" w:name="_Toc184313264"/>
      <w:bookmarkEnd w:id="381"/>
      <w:bookmarkStart w:id="382" w:name="_Toc184308098"/>
      <w:bookmarkEnd w:id="382"/>
      <w:bookmarkStart w:id="383" w:name="_Toc184308093"/>
      <w:bookmarkEnd w:id="383"/>
      <w:bookmarkStart w:id="384" w:name="_Toc184310283"/>
      <w:bookmarkEnd w:id="384"/>
      <w:bookmarkStart w:id="385" w:name="_Toc184313243"/>
      <w:bookmarkEnd w:id="385"/>
      <w:bookmarkStart w:id="386" w:name="_Toc184312097"/>
      <w:bookmarkEnd w:id="386"/>
      <w:bookmarkStart w:id="387" w:name="_Toc184310341"/>
      <w:bookmarkEnd w:id="387"/>
      <w:bookmarkStart w:id="388" w:name="_Toc184314432"/>
      <w:bookmarkEnd w:id="388"/>
      <w:bookmarkStart w:id="389" w:name="_Toc184308037"/>
      <w:bookmarkEnd w:id="389"/>
      <w:bookmarkStart w:id="390" w:name="_Toc184310314"/>
      <w:bookmarkEnd w:id="390"/>
      <w:bookmarkStart w:id="391" w:name="_Toc184310284"/>
      <w:bookmarkEnd w:id="391"/>
      <w:bookmarkStart w:id="392" w:name="_Toc184314470"/>
      <w:bookmarkEnd w:id="392"/>
      <w:bookmarkStart w:id="393" w:name="_Toc184314413"/>
      <w:bookmarkEnd w:id="393"/>
      <w:bookmarkStart w:id="394" w:name="_Toc184308091"/>
      <w:bookmarkEnd w:id="394"/>
      <w:bookmarkStart w:id="395" w:name="_Toc184308092"/>
      <w:bookmarkEnd w:id="395"/>
      <w:bookmarkStart w:id="396" w:name="_Toc184313260"/>
      <w:bookmarkEnd w:id="396"/>
      <w:bookmarkStart w:id="397" w:name="_Toc184310332"/>
      <w:bookmarkEnd w:id="397"/>
      <w:bookmarkStart w:id="398" w:name="_Toc184308067"/>
      <w:bookmarkEnd w:id="398"/>
      <w:bookmarkStart w:id="399" w:name="_Toc184313246"/>
      <w:bookmarkEnd w:id="399"/>
      <w:bookmarkStart w:id="400" w:name="_Toc184310330"/>
      <w:bookmarkEnd w:id="400"/>
      <w:bookmarkStart w:id="401" w:name="_Toc184312100"/>
      <w:bookmarkEnd w:id="401"/>
      <w:bookmarkStart w:id="402" w:name="_Toc184314453"/>
      <w:bookmarkEnd w:id="402"/>
      <w:bookmarkStart w:id="403" w:name="_Toc184314437"/>
      <w:bookmarkEnd w:id="403"/>
      <w:bookmarkStart w:id="404" w:name="_Toc184313257"/>
      <w:bookmarkEnd w:id="404"/>
      <w:bookmarkStart w:id="405" w:name="_Toc184314452"/>
      <w:bookmarkEnd w:id="405"/>
      <w:bookmarkStart w:id="406" w:name="_Toc184310333"/>
      <w:bookmarkEnd w:id="406"/>
      <w:bookmarkStart w:id="407" w:name="_Toc184312094"/>
      <w:bookmarkEnd w:id="407"/>
      <w:bookmarkStart w:id="408" w:name="_Toc184308107"/>
      <w:bookmarkEnd w:id="408"/>
      <w:bookmarkStart w:id="409" w:name="_Toc184312112"/>
      <w:bookmarkEnd w:id="409"/>
      <w:bookmarkStart w:id="410" w:name="_Toc184312132"/>
      <w:bookmarkEnd w:id="410"/>
      <w:bookmarkStart w:id="411" w:name="_Toc184308055"/>
      <w:bookmarkEnd w:id="411"/>
      <w:bookmarkStart w:id="412" w:name="_Toc184313252"/>
      <w:bookmarkEnd w:id="412"/>
      <w:r>
        <w:rPr>
          <w:rFonts w:hint="eastAsia" w:ascii="宋体" w:hAnsi="宋体" w:cs="宋体"/>
          <w:b/>
          <w:color w:val="auto"/>
          <w:sz w:val="36"/>
          <w:szCs w:val="36"/>
          <w:highlight w:val="none"/>
        </w:rPr>
        <w:t>评标办法</w:t>
      </w:r>
    </w:p>
    <w:p w14:paraId="312828C2">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4964"/>
        <w:gridCol w:w="873"/>
        <w:gridCol w:w="953"/>
        <w:gridCol w:w="2298"/>
      </w:tblGrid>
      <w:tr w14:paraId="3EB98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776" w:type="dxa"/>
            <w:vAlign w:val="center"/>
          </w:tcPr>
          <w:p w14:paraId="4658EA9E">
            <w:pPr>
              <w:keepNext w:val="0"/>
              <w:keepLines w:val="0"/>
              <w:pageBreakBefore w:val="0"/>
              <w:kinsoku/>
              <w:wordWrap/>
              <w:overflowPunct/>
              <w:topLinePunct w:val="0"/>
              <w:autoSpaceDE/>
              <w:autoSpaceDN/>
              <w:bidi w:val="0"/>
              <w:adjustRightInd w:val="0"/>
              <w:snapToGrid w:val="0"/>
              <w:spacing w:line="360" w:lineRule="auto"/>
              <w:jc w:val="center"/>
              <w:outlineLvl w:val="0"/>
              <w:rPr>
                <w:rFonts w:hint="eastAsia" w:ascii="宋体" w:hAnsi="宋体" w:eastAsia="宋体" w:cs="宋体"/>
                <w:bCs/>
                <w:color w:val="auto"/>
                <w:sz w:val="24"/>
                <w:szCs w:val="24"/>
                <w:highlight w:val="none"/>
              </w:rPr>
            </w:pPr>
            <w:bookmarkStart w:id="413" w:name="_Toc17588"/>
            <w:r>
              <w:rPr>
                <w:rFonts w:hint="eastAsia" w:ascii="宋体" w:hAnsi="宋体" w:eastAsia="宋体" w:cs="宋体"/>
                <w:bCs/>
                <w:color w:val="auto"/>
                <w:sz w:val="24"/>
                <w:szCs w:val="24"/>
                <w:highlight w:val="none"/>
              </w:rPr>
              <w:t>序号</w:t>
            </w:r>
            <w:bookmarkEnd w:id="413"/>
          </w:p>
        </w:tc>
        <w:tc>
          <w:tcPr>
            <w:tcW w:w="4964" w:type="dxa"/>
            <w:vAlign w:val="center"/>
          </w:tcPr>
          <w:p w14:paraId="27588B2B">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bCs/>
                <w:color w:val="auto"/>
                <w:sz w:val="24"/>
                <w:szCs w:val="24"/>
                <w:highlight w:val="none"/>
              </w:rPr>
            </w:pPr>
            <w:bookmarkStart w:id="414" w:name="_Toc22841"/>
            <w:r>
              <w:rPr>
                <w:rFonts w:hint="eastAsia" w:ascii="宋体" w:hAnsi="宋体" w:eastAsia="宋体" w:cs="宋体"/>
                <w:bCs/>
                <w:color w:val="auto"/>
                <w:sz w:val="24"/>
                <w:szCs w:val="24"/>
                <w:highlight w:val="none"/>
              </w:rPr>
              <w:t>评标标准</w:t>
            </w:r>
            <w:bookmarkEnd w:id="414"/>
          </w:p>
        </w:tc>
        <w:tc>
          <w:tcPr>
            <w:tcW w:w="873" w:type="dxa"/>
            <w:vAlign w:val="center"/>
          </w:tcPr>
          <w:p w14:paraId="3AC7AA19">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bCs/>
                <w:color w:val="auto"/>
                <w:sz w:val="24"/>
                <w:szCs w:val="24"/>
                <w:highlight w:val="none"/>
              </w:rPr>
            </w:pPr>
            <w:bookmarkStart w:id="415" w:name="_Toc27932"/>
            <w:r>
              <w:rPr>
                <w:rFonts w:hint="eastAsia" w:ascii="宋体" w:hAnsi="宋体" w:eastAsia="宋体" w:cs="宋体"/>
                <w:bCs/>
                <w:color w:val="auto"/>
                <w:sz w:val="24"/>
                <w:szCs w:val="24"/>
                <w:highlight w:val="none"/>
              </w:rPr>
              <w:t>权重</w:t>
            </w:r>
            <w:bookmarkEnd w:id="415"/>
          </w:p>
        </w:tc>
        <w:tc>
          <w:tcPr>
            <w:tcW w:w="953" w:type="dxa"/>
            <w:vAlign w:val="center"/>
          </w:tcPr>
          <w:p w14:paraId="79CFAB71">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bCs/>
                <w:color w:val="auto"/>
                <w:sz w:val="24"/>
                <w:szCs w:val="24"/>
                <w:highlight w:val="none"/>
              </w:rPr>
            </w:pPr>
            <w:bookmarkStart w:id="416" w:name="_Toc26704"/>
            <w:r>
              <w:rPr>
                <w:rFonts w:hint="eastAsia" w:ascii="宋体" w:hAnsi="宋体" w:eastAsia="宋体" w:cs="宋体"/>
                <w:bCs/>
                <w:color w:val="auto"/>
                <w:sz w:val="24"/>
                <w:szCs w:val="24"/>
                <w:highlight w:val="none"/>
              </w:rPr>
              <w:t>主观分/客观分属性</w:t>
            </w:r>
          </w:p>
        </w:tc>
        <w:tc>
          <w:tcPr>
            <w:tcW w:w="2298" w:type="dxa"/>
            <w:vAlign w:val="center"/>
          </w:tcPr>
          <w:p w14:paraId="71CE29AA">
            <w:pPr>
              <w:keepNext w:val="0"/>
              <w:keepLines w:val="0"/>
              <w:pageBreakBefore w:val="0"/>
              <w:kinsoku/>
              <w:wordWrap/>
              <w:overflowPunct/>
              <w:topLinePunct w:val="0"/>
              <w:autoSpaceDE/>
              <w:autoSpaceDN/>
              <w:bidi w:val="0"/>
              <w:adjustRightInd w:val="0"/>
              <w:snapToGri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r>
              <w:rPr>
                <w:rFonts w:hint="eastAsia" w:ascii="宋体" w:hAnsi="宋体" w:eastAsia="宋体" w:cs="宋体"/>
                <w:color w:val="auto"/>
                <w:sz w:val="24"/>
                <w:szCs w:val="24"/>
                <w:highlight w:val="none"/>
                <w:shd w:val="clear" w:color="auto" w:fill="FFFFFF"/>
              </w:rPr>
              <w:t>*</w:t>
            </w:r>
            <w:bookmarkEnd w:id="416"/>
          </w:p>
        </w:tc>
      </w:tr>
      <w:tr w14:paraId="6231B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76" w:type="dxa"/>
            <w:vAlign w:val="center"/>
          </w:tcPr>
          <w:p w14:paraId="78FBACA0">
            <w:pPr>
              <w:keepNext w:val="0"/>
              <w:keepLines w:val="0"/>
              <w:pageBreakBefore w:val="0"/>
              <w:kinsoku/>
              <w:wordWrap/>
              <w:overflowPunct/>
              <w:topLinePunct w:val="0"/>
              <w:autoSpaceDE/>
              <w:autoSpaceDN/>
              <w:bidi w:val="0"/>
              <w:adjustRightInd w:val="0"/>
              <w:snapToGrid w:val="0"/>
              <w:spacing w:line="360" w:lineRule="auto"/>
              <w:jc w:val="center"/>
              <w:outlineLvl w:val="0"/>
              <w:rPr>
                <w:rFonts w:hint="eastAsia" w:ascii="宋体" w:hAnsi="宋体" w:eastAsia="宋体" w:cs="宋体"/>
                <w:bCs/>
                <w:color w:val="auto"/>
                <w:sz w:val="24"/>
                <w:szCs w:val="24"/>
                <w:highlight w:val="none"/>
              </w:rPr>
            </w:pPr>
            <w:bookmarkStart w:id="417" w:name="_Toc4237"/>
            <w:r>
              <w:rPr>
                <w:rFonts w:hint="eastAsia" w:ascii="宋体" w:hAnsi="宋体" w:eastAsia="宋体" w:cs="宋体"/>
                <w:bCs/>
                <w:color w:val="auto"/>
                <w:sz w:val="24"/>
                <w:szCs w:val="24"/>
                <w:highlight w:val="none"/>
              </w:rPr>
              <w:t>1</w:t>
            </w:r>
            <w:bookmarkEnd w:id="417"/>
          </w:p>
        </w:tc>
        <w:tc>
          <w:tcPr>
            <w:tcW w:w="4964" w:type="dxa"/>
            <w:vAlign w:val="center"/>
          </w:tcPr>
          <w:p w14:paraId="1AE0AE64">
            <w:pPr>
              <w:keepNext w:val="0"/>
              <w:keepLines w:val="0"/>
              <w:pageBreakBefore w:val="0"/>
              <w:numPr>
                <w:ilvl w:val="0"/>
                <w:numId w:val="22"/>
              </w:numPr>
              <w:kinsoku/>
              <w:wordWrap/>
              <w:overflowPunct/>
              <w:topLinePunct w:val="0"/>
              <w:autoSpaceDE/>
              <w:autoSpaceDN/>
              <w:bidi w:val="0"/>
              <w:adjustRightInd w:val="0"/>
              <w:spacing w:line="360" w:lineRule="auto"/>
              <w:jc w:val="left"/>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具有ISO9001质量管理体系认证证书且认证范围包括信息技术服务等履约相关内容的得1分，没有不得分；</w:t>
            </w:r>
          </w:p>
          <w:p w14:paraId="590B3811">
            <w:pPr>
              <w:keepNext w:val="0"/>
              <w:keepLines w:val="0"/>
              <w:pageBreakBefore w:val="0"/>
              <w:numPr>
                <w:ilvl w:val="0"/>
                <w:numId w:val="22"/>
              </w:numPr>
              <w:kinsoku/>
              <w:wordWrap/>
              <w:overflowPunct/>
              <w:topLinePunct w:val="0"/>
              <w:autoSpaceDE/>
              <w:autoSpaceDN/>
              <w:bidi w:val="0"/>
              <w:adjustRightInd w:val="0"/>
              <w:spacing w:line="360" w:lineRule="auto"/>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具有ISO20000信息技术服务管理体系认证证书且认证范围包括信息技术服务等履约相关内容的得</w:t>
            </w:r>
            <w:r>
              <w:rPr>
                <w:rFonts w:hint="eastAsia"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分，没有不得分</w:t>
            </w:r>
            <w:r>
              <w:rPr>
                <w:rFonts w:hint="eastAsia" w:ascii="宋体" w:hAnsi="宋体" w:eastAsia="宋体" w:cs="宋体"/>
                <w:color w:val="auto"/>
                <w:sz w:val="24"/>
                <w:szCs w:val="24"/>
                <w:highlight w:val="none"/>
                <w:lang w:val="en-US" w:eastAsia="zh-CN"/>
              </w:rPr>
              <w:t>；</w:t>
            </w:r>
          </w:p>
          <w:p w14:paraId="30B8B6D0">
            <w:pPr>
              <w:keepNext w:val="0"/>
              <w:keepLines w:val="0"/>
              <w:pageBreakBefore w:val="0"/>
              <w:numPr>
                <w:ilvl w:val="0"/>
                <w:numId w:val="22"/>
              </w:numPr>
              <w:kinsoku/>
              <w:wordWrap/>
              <w:overflowPunct/>
              <w:topLinePunct w:val="0"/>
              <w:autoSpaceDE/>
              <w:autoSpaceDN/>
              <w:bidi w:val="0"/>
              <w:adjustRightInd w:val="0"/>
              <w:spacing w:line="360" w:lineRule="auto"/>
              <w:jc w:val="left"/>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具有ISO27001信息安全管理体系认证证书且认证范围包括信息技术服务等履约相关内容的得</w:t>
            </w:r>
            <w:r>
              <w:rPr>
                <w:rFonts w:hint="eastAsia" w:ascii="宋体" w:hAnsi="宋体" w:cs="宋体"/>
                <w:color w:val="auto"/>
                <w:sz w:val="24"/>
                <w:szCs w:val="24"/>
                <w:highlight w:val="none"/>
                <w:lang w:val="en-US" w:eastAsia="zh-CN"/>
              </w:rPr>
              <w:t>1</w:t>
            </w:r>
            <w:r>
              <w:rPr>
                <w:rFonts w:hint="default" w:ascii="宋体" w:hAnsi="宋体" w:eastAsia="宋体" w:cs="宋体"/>
                <w:color w:val="auto"/>
                <w:sz w:val="24"/>
                <w:szCs w:val="24"/>
                <w:highlight w:val="none"/>
                <w:lang w:val="en-US" w:eastAsia="zh-CN"/>
              </w:rPr>
              <w:t>分，没有不得分</w:t>
            </w:r>
            <w:r>
              <w:rPr>
                <w:rFonts w:hint="eastAsia" w:ascii="宋体" w:hAnsi="宋体" w:eastAsia="宋体" w:cs="宋体"/>
                <w:color w:val="auto"/>
                <w:sz w:val="24"/>
                <w:szCs w:val="24"/>
                <w:highlight w:val="none"/>
                <w:lang w:val="en-US" w:eastAsia="zh-CN"/>
              </w:rPr>
              <w:t>；</w:t>
            </w:r>
          </w:p>
          <w:p w14:paraId="3C99E4C3">
            <w:pPr>
              <w:keepNext w:val="0"/>
              <w:keepLines w:val="0"/>
              <w:pageBreakBefore w:val="0"/>
              <w:numPr>
                <w:ilvl w:val="0"/>
                <w:numId w:val="0"/>
              </w:numPr>
              <w:kinsoku/>
              <w:wordWrap/>
              <w:overflowPunct/>
              <w:topLinePunct w:val="0"/>
              <w:autoSpaceDE/>
              <w:autoSpaceDN/>
              <w:bidi w:val="0"/>
              <w:adjustRightInd w:val="0"/>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备注：提供上述证书复印件且证书在全国认证认可信息公共服务平台查询状态为有效（提供查询结果截图），否则不得分。</w:t>
            </w:r>
          </w:p>
        </w:tc>
        <w:tc>
          <w:tcPr>
            <w:tcW w:w="873" w:type="dxa"/>
            <w:vAlign w:val="center"/>
          </w:tcPr>
          <w:p w14:paraId="395A576B">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953" w:type="dxa"/>
            <w:vAlign w:val="center"/>
          </w:tcPr>
          <w:p w14:paraId="7785B992">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2298" w:type="dxa"/>
            <w:vAlign w:val="center"/>
          </w:tcPr>
          <w:p w14:paraId="41EDE293">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评标标准相应的商务资料</w:t>
            </w:r>
          </w:p>
        </w:tc>
      </w:tr>
      <w:tr w14:paraId="0757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76" w:type="dxa"/>
            <w:vAlign w:val="center"/>
          </w:tcPr>
          <w:p w14:paraId="06241DE6">
            <w:pPr>
              <w:keepNext w:val="0"/>
              <w:keepLines w:val="0"/>
              <w:pageBreakBefore w:val="0"/>
              <w:kinsoku/>
              <w:wordWrap/>
              <w:overflowPunct/>
              <w:topLinePunct w:val="0"/>
              <w:autoSpaceDE/>
              <w:autoSpaceDN/>
              <w:bidi w:val="0"/>
              <w:adjustRightInd w:val="0"/>
              <w:snapToGrid w:val="0"/>
              <w:spacing w:line="360" w:lineRule="auto"/>
              <w:jc w:val="center"/>
              <w:outlineLvl w:val="0"/>
              <w:rPr>
                <w:rFonts w:hint="eastAsia" w:ascii="宋体" w:hAnsi="宋体" w:eastAsia="宋体" w:cs="宋体"/>
                <w:bCs/>
                <w:color w:val="auto"/>
                <w:sz w:val="24"/>
                <w:szCs w:val="24"/>
                <w:highlight w:val="none"/>
              </w:rPr>
            </w:pPr>
            <w:bookmarkStart w:id="418" w:name="_Toc20216"/>
            <w:r>
              <w:rPr>
                <w:rFonts w:hint="eastAsia" w:ascii="宋体" w:hAnsi="宋体" w:eastAsia="宋体" w:cs="宋体"/>
                <w:bCs/>
                <w:color w:val="auto"/>
                <w:sz w:val="24"/>
                <w:szCs w:val="24"/>
                <w:highlight w:val="none"/>
              </w:rPr>
              <w:t>2</w:t>
            </w:r>
            <w:bookmarkEnd w:id="418"/>
          </w:p>
        </w:tc>
        <w:tc>
          <w:tcPr>
            <w:tcW w:w="4964" w:type="dxa"/>
            <w:vAlign w:val="center"/>
          </w:tcPr>
          <w:p w14:paraId="0FC0B9DE">
            <w:pPr>
              <w:numPr>
                <w:ilvl w:val="0"/>
                <w:numId w:val="23"/>
              </w:numPr>
              <w:spacing w:line="360" w:lineRule="auto"/>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投标人自202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年1月1日（以合同签订最晚落款时间为准）以来</w:t>
            </w:r>
            <w:r>
              <w:rPr>
                <w:rFonts w:hint="eastAsia" w:ascii="宋体" w:hAnsi="宋体" w:eastAsia="宋体" w:cs="宋体"/>
                <w:color w:val="auto"/>
                <w:sz w:val="24"/>
                <w:szCs w:val="24"/>
                <w:highlight w:val="none"/>
                <w:lang w:val="en-US" w:eastAsia="zh-CN"/>
              </w:rPr>
              <w:t>具有类似信息化软件运维项目</w:t>
            </w:r>
            <w:r>
              <w:rPr>
                <w:rFonts w:hint="eastAsia" w:ascii="宋体" w:hAnsi="宋体" w:eastAsia="宋体" w:cs="宋体"/>
                <w:color w:val="auto"/>
                <w:sz w:val="24"/>
                <w:szCs w:val="24"/>
                <w:highlight w:val="none"/>
              </w:rPr>
              <w:t>案例的每个得0.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最高得0.4分。</w:t>
            </w:r>
          </w:p>
          <w:p w14:paraId="12D4A9FF">
            <w:pPr>
              <w:numPr>
                <w:ilvl w:val="0"/>
                <w:numId w:val="23"/>
              </w:numPr>
              <w:spacing w:line="360" w:lineRule="auto"/>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投标人自202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年1月1日（以合同签订最晚落款时间为准）以来</w:t>
            </w:r>
            <w:r>
              <w:rPr>
                <w:rFonts w:hint="eastAsia" w:ascii="宋体" w:hAnsi="宋体" w:eastAsia="宋体" w:cs="宋体"/>
                <w:color w:val="auto"/>
                <w:sz w:val="24"/>
                <w:szCs w:val="24"/>
                <w:highlight w:val="none"/>
                <w:lang w:val="en-US" w:eastAsia="zh-CN"/>
              </w:rPr>
              <w:t>具有类似信息化终端运维项目</w:t>
            </w:r>
            <w:r>
              <w:rPr>
                <w:rFonts w:hint="eastAsia" w:ascii="宋体" w:hAnsi="宋体" w:eastAsia="宋体" w:cs="宋体"/>
                <w:color w:val="auto"/>
                <w:sz w:val="24"/>
                <w:szCs w:val="24"/>
                <w:highlight w:val="none"/>
              </w:rPr>
              <w:t>案例的每个得0.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最高得0.4分。</w:t>
            </w:r>
          </w:p>
          <w:p w14:paraId="0FB30E58">
            <w:pPr>
              <w:numPr>
                <w:ilvl w:val="0"/>
                <w:numId w:val="23"/>
              </w:numPr>
              <w:spacing w:line="360" w:lineRule="auto"/>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投标人自202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年1月1日（以合同签订最晚落款时间为准）以来</w:t>
            </w:r>
            <w:r>
              <w:rPr>
                <w:rFonts w:hint="eastAsia" w:ascii="宋体" w:hAnsi="宋体" w:eastAsia="宋体" w:cs="宋体"/>
                <w:color w:val="auto"/>
                <w:sz w:val="24"/>
                <w:szCs w:val="24"/>
                <w:highlight w:val="none"/>
                <w:lang w:val="en-US" w:eastAsia="zh-CN"/>
              </w:rPr>
              <w:t>具有类似信息化IDC机房租赁及安全项目</w:t>
            </w:r>
            <w:r>
              <w:rPr>
                <w:rFonts w:hint="eastAsia" w:ascii="宋体" w:hAnsi="宋体" w:eastAsia="宋体" w:cs="宋体"/>
                <w:color w:val="auto"/>
                <w:sz w:val="24"/>
                <w:szCs w:val="24"/>
                <w:highlight w:val="none"/>
              </w:rPr>
              <w:t>案例的每个得0.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最高得0.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4A38C584">
            <w:pPr>
              <w:keepNext w:val="0"/>
              <w:keepLines w:val="0"/>
              <w:pageBreakBefore w:val="0"/>
              <w:kinsoku/>
              <w:wordWrap/>
              <w:overflowPunct/>
              <w:topLinePunct w:val="0"/>
              <w:autoSpaceDE/>
              <w:autoSpaceDN/>
              <w:bidi w:val="0"/>
              <w:adjustRightInd w:val="0"/>
              <w:spacing w:line="360" w:lineRule="auto"/>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备注：需提供相应的</w:t>
            </w:r>
            <w:r>
              <w:rPr>
                <w:rFonts w:hint="eastAsia" w:ascii="宋体" w:hAnsi="宋体" w:eastAsia="宋体" w:cs="宋体"/>
                <w:b/>
                <w:bCs/>
                <w:color w:val="auto"/>
                <w:sz w:val="24"/>
                <w:szCs w:val="24"/>
                <w:highlight w:val="none"/>
              </w:rPr>
              <w:t>合同等证明材料，否则不得分。</w:t>
            </w:r>
          </w:p>
        </w:tc>
        <w:tc>
          <w:tcPr>
            <w:tcW w:w="873" w:type="dxa"/>
            <w:vAlign w:val="center"/>
          </w:tcPr>
          <w:p w14:paraId="6337F9D1">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53" w:type="dxa"/>
            <w:vAlign w:val="center"/>
          </w:tcPr>
          <w:p w14:paraId="3FD213BC">
            <w:pPr>
              <w:keepNext w:val="0"/>
              <w:keepLines w:val="0"/>
              <w:pageBreakBefore w:val="0"/>
              <w:kinsoku/>
              <w:wordWrap/>
              <w:overflowPunct/>
              <w:topLinePunct w:val="0"/>
              <w:autoSpaceDE/>
              <w:autoSpaceDN/>
              <w:bidi w:val="0"/>
              <w:adjustRightInd w:val="0"/>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c>
          <w:tcPr>
            <w:tcW w:w="2298" w:type="dxa"/>
            <w:vAlign w:val="center"/>
          </w:tcPr>
          <w:p w14:paraId="0A3FC817">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评标标准相应的商务资料</w:t>
            </w:r>
          </w:p>
        </w:tc>
      </w:tr>
      <w:tr w14:paraId="4149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76" w:type="dxa"/>
            <w:vAlign w:val="center"/>
          </w:tcPr>
          <w:p w14:paraId="488B7924">
            <w:pPr>
              <w:keepNext w:val="0"/>
              <w:keepLines w:val="0"/>
              <w:pageBreakBefore w:val="0"/>
              <w:kinsoku/>
              <w:wordWrap/>
              <w:overflowPunct/>
              <w:topLinePunct w:val="0"/>
              <w:autoSpaceDE/>
              <w:autoSpaceDN/>
              <w:bidi w:val="0"/>
              <w:adjustRightInd w:val="0"/>
              <w:snapToGrid w:val="0"/>
              <w:spacing w:line="360" w:lineRule="auto"/>
              <w:jc w:val="center"/>
              <w:outlineLvl w:val="0"/>
              <w:rPr>
                <w:rFonts w:hint="eastAsia" w:ascii="宋体" w:hAnsi="宋体" w:eastAsia="宋体" w:cs="宋体"/>
                <w:bCs/>
                <w:color w:val="auto"/>
                <w:sz w:val="24"/>
                <w:szCs w:val="24"/>
                <w:highlight w:val="none"/>
                <w:lang w:val="en-US" w:eastAsia="zh-CN"/>
              </w:rPr>
            </w:pPr>
            <w:bookmarkStart w:id="419" w:name="_Toc8252"/>
            <w:r>
              <w:rPr>
                <w:rFonts w:hint="eastAsia" w:ascii="宋体" w:hAnsi="宋体" w:eastAsia="宋体" w:cs="宋体"/>
                <w:bCs/>
                <w:color w:val="auto"/>
                <w:sz w:val="24"/>
                <w:szCs w:val="24"/>
                <w:highlight w:val="none"/>
                <w:lang w:val="en-US" w:eastAsia="zh-CN"/>
              </w:rPr>
              <w:t>3</w:t>
            </w:r>
          </w:p>
        </w:tc>
        <w:tc>
          <w:tcPr>
            <w:tcW w:w="4964" w:type="dxa"/>
            <w:vAlign w:val="center"/>
          </w:tcPr>
          <w:p w14:paraId="78C06ABB">
            <w:pPr>
              <w:keepNext w:val="0"/>
              <w:keepLines w:val="0"/>
              <w:pageBreakBefore w:val="0"/>
              <w:kinsoku/>
              <w:wordWrap/>
              <w:overflowPunct/>
              <w:topLinePunct w:val="0"/>
              <w:autoSpaceDE/>
              <w:autoSpaceDN/>
              <w:bidi w:val="0"/>
              <w:adjustRightInd w:val="0"/>
              <w:spacing w:line="360" w:lineRule="auto"/>
              <w:jc w:val="left"/>
              <w:outlineLvl w:val="0"/>
              <w:rPr>
                <w:rFonts w:hint="default"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软件运维服务方案</w:t>
            </w:r>
          </w:p>
        </w:tc>
        <w:tc>
          <w:tcPr>
            <w:tcW w:w="873" w:type="dxa"/>
            <w:vAlign w:val="center"/>
          </w:tcPr>
          <w:p w14:paraId="3F67D42E">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953" w:type="dxa"/>
            <w:vAlign w:val="center"/>
          </w:tcPr>
          <w:p w14:paraId="66F1B356">
            <w:pPr>
              <w:keepNext w:val="0"/>
              <w:keepLines w:val="0"/>
              <w:pageBreakBefore w:val="0"/>
              <w:kinsoku/>
              <w:wordWrap/>
              <w:overflowPunct/>
              <w:topLinePunct w:val="0"/>
              <w:autoSpaceDE/>
              <w:autoSpaceDN/>
              <w:bidi w:val="0"/>
              <w:adjustRightInd w:val="0"/>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2298" w:type="dxa"/>
            <w:vAlign w:val="center"/>
          </w:tcPr>
          <w:p w14:paraId="4C902C5E">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w:t>
            </w:r>
          </w:p>
        </w:tc>
      </w:tr>
      <w:tr w14:paraId="7225C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76" w:type="dxa"/>
            <w:vAlign w:val="center"/>
          </w:tcPr>
          <w:p w14:paraId="3AC719D0">
            <w:pPr>
              <w:keepNext w:val="0"/>
              <w:keepLines w:val="0"/>
              <w:pageBreakBefore w:val="0"/>
              <w:kinsoku/>
              <w:wordWrap/>
              <w:overflowPunct/>
              <w:topLinePunct w:val="0"/>
              <w:autoSpaceDE/>
              <w:autoSpaceDN/>
              <w:bidi w:val="0"/>
              <w:adjustRightInd w:val="0"/>
              <w:snapToGrid w:val="0"/>
              <w:spacing w:line="360" w:lineRule="auto"/>
              <w:jc w:val="center"/>
              <w:outlineLvl w:val="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3.1</w:t>
            </w:r>
          </w:p>
        </w:tc>
        <w:tc>
          <w:tcPr>
            <w:tcW w:w="4964" w:type="dxa"/>
            <w:vAlign w:val="center"/>
          </w:tcPr>
          <w:p w14:paraId="54FF1C61">
            <w:pPr>
              <w:keepNext w:val="0"/>
              <w:keepLines w:val="0"/>
              <w:pageBreakBefore w:val="0"/>
              <w:kinsoku/>
              <w:wordWrap/>
              <w:overflowPunct/>
              <w:topLinePunct w:val="0"/>
              <w:autoSpaceDE/>
              <w:autoSpaceDN/>
              <w:bidi w:val="0"/>
              <w:adjustRightInd w:val="0"/>
              <w:spacing w:line="360" w:lineRule="auto"/>
              <w:jc w:val="left"/>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rPr>
              <w:t>对投标人根据</w:t>
            </w: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rPr>
              <w:t>项目</w:t>
            </w:r>
            <w:r>
              <w:rPr>
                <w:rFonts w:hint="eastAsia" w:ascii="宋体" w:hAnsi="宋体" w:cs="宋体"/>
                <w:color w:val="auto"/>
                <w:sz w:val="24"/>
                <w:szCs w:val="24"/>
                <w:highlight w:val="none"/>
                <w:lang w:val="en-US" w:eastAsia="zh-CN"/>
              </w:rPr>
              <w:t>所需运维</w:t>
            </w:r>
            <w:r>
              <w:rPr>
                <w:rFonts w:hint="eastAsia" w:ascii="宋体" w:hAnsi="宋体" w:eastAsia="宋体" w:cs="宋体"/>
                <w:b w:val="0"/>
                <w:bCs w:val="0"/>
                <w:color w:val="auto"/>
                <w:sz w:val="24"/>
                <w:szCs w:val="24"/>
                <w:highlight w:val="none"/>
                <w:lang w:val="en-US" w:eastAsia="zh-CN"/>
              </w:rPr>
              <w:t>软件</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实际情况提出的针对本项目的需求理解和分析进行评分。（分值：</w:t>
            </w:r>
            <w:r>
              <w:rPr>
                <w:rFonts w:hint="eastAsia" w:ascii="宋体" w:hAnsi="宋体" w:eastAsia="宋体" w:cs="宋体"/>
                <w:color w:val="auto"/>
                <w:sz w:val="24"/>
                <w:szCs w:val="24"/>
                <w:highlight w:val="none"/>
                <w:lang w:val="en-US" w:eastAsia="zh-CN"/>
              </w:rPr>
              <w:t>3分，2分，1分，0分</w:t>
            </w:r>
            <w:r>
              <w:rPr>
                <w:rFonts w:hint="eastAsia" w:ascii="宋体" w:hAnsi="宋体" w:eastAsia="宋体" w:cs="宋体"/>
                <w:color w:val="auto"/>
                <w:sz w:val="24"/>
                <w:szCs w:val="24"/>
                <w:highlight w:val="none"/>
              </w:rPr>
              <w:t>）</w:t>
            </w:r>
          </w:p>
        </w:tc>
        <w:tc>
          <w:tcPr>
            <w:tcW w:w="873" w:type="dxa"/>
            <w:vAlign w:val="center"/>
          </w:tcPr>
          <w:p w14:paraId="6E289CC5">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953" w:type="dxa"/>
            <w:vAlign w:val="center"/>
          </w:tcPr>
          <w:p w14:paraId="05980161">
            <w:pPr>
              <w:keepNext w:val="0"/>
              <w:keepLines w:val="0"/>
              <w:pageBreakBefore w:val="0"/>
              <w:kinsoku/>
              <w:wordWrap/>
              <w:overflowPunct/>
              <w:topLinePunct w:val="0"/>
              <w:autoSpaceDE/>
              <w:autoSpaceDN/>
              <w:bidi w:val="0"/>
              <w:adjustRightInd w:val="0"/>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2298" w:type="dxa"/>
            <w:vAlign w:val="center"/>
          </w:tcPr>
          <w:p w14:paraId="1643255D">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评标标准相应的技术资料</w:t>
            </w:r>
          </w:p>
        </w:tc>
      </w:tr>
      <w:tr w14:paraId="7EFA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6" w:type="dxa"/>
            <w:vAlign w:val="center"/>
          </w:tcPr>
          <w:p w14:paraId="32F46DF2">
            <w:pPr>
              <w:keepNext w:val="0"/>
              <w:keepLines w:val="0"/>
              <w:pageBreakBefore w:val="0"/>
              <w:widowControl/>
              <w:suppressLineNumbers w:val="0"/>
              <w:kinsoku/>
              <w:wordWrap/>
              <w:overflowPunct/>
              <w:topLinePunct w:val="0"/>
              <w:autoSpaceDE/>
              <w:autoSpaceDN/>
              <w:bidi w:val="0"/>
              <w:adjustRightInd w:val="0"/>
              <w:spacing w:line="360" w:lineRule="auto"/>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3.2</w:t>
            </w:r>
          </w:p>
        </w:tc>
        <w:tc>
          <w:tcPr>
            <w:tcW w:w="4964" w:type="dxa"/>
            <w:vAlign w:val="center"/>
          </w:tcPr>
          <w:p w14:paraId="1498EB93">
            <w:pPr>
              <w:keepNext w:val="0"/>
              <w:keepLines w:val="0"/>
              <w:pageBreakBefore w:val="0"/>
              <w:kinsoku/>
              <w:wordWrap/>
              <w:overflowPunct/>
              <w:topLinePunct w:val="0"/>
              <w:autoSpaceDE/>
              <w:autoSpaceDN/>
              <w:bidi w:val="0"/>
              <w:adjustRightInd w:val="0"/>
              <w:spacing w:line="360" w:lineRule="auto"/>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对投标人针对本项目的“</w:t>
            </w:r>
            <w:r>
              <w:rPr>
                <w:rFonts w:hint="eastAsia" w:ascii="宋体" w:hAnsi="宋体" w:eastAsia="宋体" w:cs="宋体"/>
                <w:b w:val="0"/>
                <w:bCs w:val="0"/>
                <w:color w:val="auto"/>
                <w:sz w:val="24"/>
                <w:szCs w:val="24"/>
                <w:highlight w:val="none"/>
                <w:lang w:val="en-US" w:eastAsia="zh-CN"/>
              </w:rPr>
              <w:t>软件运维服务方案</w:t>
            </w:r>
            <w:r>
              <w:rPr>
                <w:rFonts w:hint="eastAsia" w:ascii="宋体" w:hAnsi="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rPr>
              <w:t>省院数字化系统包括实验室资源管理、报告数据整合等4系统2025年运维</w:t>
            </w:r>
            <w:r>
              <w:rPr>
                <w:rFonts w:hint="eastAsia" w:ascii="宋体" w:hAnsi="宋体" w:eastAsia="宋体" w:cs="宋体"/>
                <w:color w:val="auto"/>
                <w:sz w:val="24"/>
                <w:szCs w:val="24"/>
                <w:highlight w:val="none"/>
                <w:lang w:val="en-US" w:eastAsia="zh-CN"/>
              </w:rPr>
              <w:t>服务方案”进行评分。（分值：</w:t>
            </w:r>
            <w:r>
              <w:rPr>
                <w:rFonts w:hint="eastAsia" w:ascii="宋体" w:hAnsi="宋体" w:cs="宋体"/>
                <w:color w:val="auto"/>
                <w:sz w:val="24"/>
                <w:szCs w:val="24"/>
                <w:highlight w:val="none"/>
                <w:lang w:val="en-US" w:eastAsia="zh-CN"/>
              </w:rPr>
              <w:t>2分，1.5分，1分，0.5分，0分</w:t>
            </w:r>
            <w:r>
              <w:rPr>
                <w:rFonts w:hint="eastAsia" w:ascii="宋体" w:hAnsi="宋体" w:eastAsia="宋体" w:cs="宋体"/>
                <w:color w:val="auto"/>
                <w:sz w:val="24"/>
                <w:szCs w:val="24"/>
                <w:highlight w:val="none"/>
                <w:lang w:val="en-US" w:eastAsia="zh-CN"/>
              </w:rPr>
              <w:t>）</w:t>
            </w:r>
          </w:p>
        </w:tc>
        <w:tc>
          <w:tcPr>
            <w:tcW w:w="873" w:type="dxa"/>
            <w:vAlign w:val="center"/>
          </w:tcPr>
          <w:p w14:paraId="785D99BA">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953" w:type="dxa"/>
            <w:vAlign w:val="center"/>
          </w:tcPr>
          <w:p w14:paraId="3259AD13">
            <w:pPr>
              <w:keepNext w:val="0"/>
              <w:keepLines w:val="0"/>
              <w:pageBreakBefore w:val="0"/>
              <w:kinsoku/>
              <w:wordWrap/>
              <w:overflowPunct/>
              <w:topLinePunct w:val="0"/>
              <w:autoSpaceDE/>
              <w:autoSpaceDN/>
              <w:bidi w:val="0"/>
              <w:adjustRightInd w:val="0"/>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2298" w:type="dxa"/>
            <w:vAlign w:val="center"/>
          </w:tcPr>
          <w:p w14:paraId="2CF68ADE">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评标标准相应的技术资料</w:t>
            </w:r>
          </w:p>
        </w:tc>
      </w:tr>
      <w:tr w14:paraId="39BEA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6" w:type="dxa"/>
            <w:vAlign w:val="center"/>
          </w:tcPr>
          <w:p w14:paraId="5DF0874D">
            <w:pPr>
              <w:keepNext w:val="0"/>
              <w:keepLines w:val="0"/>
              <w:pageBreakBefore w:val="0"/>
              <w:widowControl/>
              <w:suppressLineNumbers w:val="0"/>
              <w:kinsoku/>
              <w:wordWrap/>
              <w:overflowPunct/>
              <w:topLinePunct w:val="0"/>
              <w:autoSpaceDE/>
              <w:autoSpaceDN/>
              <w:bidi w:val="0"/>
              <w:adjustRightInd w:val="0"/>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3.3</w:t>
            </w:r>
          </w:p>
        </w:tc>
        <w:tc>
          <w:tcPr>
            <w:tcW w:w="4964" w:type="dxa"/>
            <w:vAlign w:val="center"/>
          </w:tcPr>
          <w:p w14:paraId="0435CD5E">
            <w:pPr>
              <w:keepNext w:val="0"/>
              <w:keepLines w:val="0"/>
              <w:pageBreakBefore w:val="0"/>
              <w:kinsoku/>
              <w:wordWrap/>
              <w:overflowPunct/>
              <w:topLinePunct w:val="0"/>
              <w:autoSpaceDE/>
              <w:autoSpaceDN/>
              <w:bidi w:val="0"/>
              <w:adjustRightInd w:val="0"/>
              <w:spacing w:line="360" w:lineRule="auto"/>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对投标人针对本项目的“</w:t>
            </w:r>
            <w:r>
              <w:rPr>
                <w:rFonts w:hint="eastAsia" w:ascii="宋体" w:hAnsi="宋体" w:eastAsia="宋体" w:cs="宋体"/>
                <w:b w:val="0"/>
                <w:bCs w:val="0"/>
                <w:color w:val="auto"/>
                <w:sz w:val="24"/>
                <w:szCs w:val="24"/>
                <w:highlight w:val="none"/>
                <w:lang w:val="en-US" w:eastAsia="zh-CN"/>
              </w:rPr>
              <w:t>软件运维服务方案</w:t>
            </w:r>
            <w:r>
              <w:rPr>
                <w:rFonts w:hint="eastAsia" w:ascii="宋体" w:hAnsi="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rPr>
              <w:t>省院数字化系统包括实验室资源管理、报告数据整合等4系统2025年运维</w:t>
            </w:r>
            <w:r>
              <w:rPr>
                <w:rFonts w:hint="eastAsia" w:ascii="宋体" w:hAnsi="宋体" w:cs="宋体"/>
                <w:color w:val="auto"/>
                <w:sz w:val="24"/>
                <w:szCs w:val="24"/>
                <w:highlight w:val="none"/>
                <w:lang w:val="en-US" w:eastAsia="zh-CN"/>
              </w:rPr>
              <w:t>开发实施</w:t>
            </w:r>
            <w:r>
              <w:rPr>
                <w:rFonts w:hint="eastAsia" w:ascii="宋体" w:hAnsi="宋体" w:eastAsia="宋体" w:cs="宋体"/>
                <w:color w:val="auto"/>
                <w:sz w:val="24"/>
                <w:szCs w:val="24"/>
                <w:highlight w:val="none"/>
                <w:lang w:val="en-US" w:eastAsia="zh-CN"/>
              </w:rPr>
              <w:t>方案”进行评分。（分值：</w:t>
            </w:r>
            <w:r>
              <w:rPr>
                <w:rFonts w:hint="eastAsia" w:ascii="宋体" w:hAnsi="宋体" w:cs="宋体"/>
                <w:color w:val="auto"/>
                <w:sz w:val="24"/>
                <w:szCs w:val="24"/>
                <w:highlight w:val="none"/>
                <w:lang w:val="en-US" w:eastAsia="zh-CN"/>
              </w:rPr>
              <w:t>2分，1.5分，1分，0.5分，0分</w:t>
            </w:r>
            <w:r>
              <w:rPr>
                <w:rFonts w:hint="eastAsia" w:ascii="宋体" w:hAnsi="宋体" w:eastAsia="宋体" w:cs="宋体"/>
                <w:color w:val="auto"/>
                <w:sz w:val="24"/>
                <w:szCs w:val="24"/>
                <w:highlight w:val="none"/>
                <w:lang w:val="en-US" w:eastAsia="zh-CN"/>
              </w:rPr>
              <w:t>）</w:t>
            </w:r>
          </w:p>
        </w:tc>
        <w:tc>
          <w:tcPr>
            <w:tcW w:w="873" w:type="dxa"/>
            <w:vAlign w:val="center"/>
          </w:tcPr>
          <w:p w14:paraId="24AB7313">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953" w:type="dxa"/>
            <w:vAlign w:val="center"/>
          </w:tcPr>
          <w:p w14:paraId="7CD483E5">
            <w:pPr>
              <w:keepNext w:val="0"/>
              <w:keepLines w:val="0"/>
              <w:pageBreakBefore w:val="0"/>
              <w:kinsoku/>
              <w:wordWrap/>
              <w:overflowPunct/>
              <w:topLinePunct w:val="0"/>
              <w:autoSpaceDE/>
              <w:autoSpaceDN/>
              <w:bidi w:val="0"/>
              <w:adjustRightInd w:val="0"/>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2298" w:type="dxa"/>
            <w:vAlign w:val="center"/>
          </w:tcPr>
          <w:p w14:paraId="48E41BAA">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评标标准相应的技术资料</w:t>
            </w:r>
          </w:p>
        </w:tc>
      </w:tr>
      <w:tr w14:paraId="2C8BB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76" w:type="dxa"/>
            <w:vAlign w:val="center"/>
          </w:tcPr>
          <w:p w14:paraId="08E48C1D">
            <w:pPr>
              <w:keepNext w:val="0"/>
              <w:keepLines w:val="0"/>
              <w:pageBreakBefore w:val="0"/>
              <w:widowControl/>
              <w:suppressLineNumbers w:val="0"/>
              <w:kinsoku/>
              <w:wordWrap/>
              <w:overflowPunct/>
              <w:topLinePunct w:val="0"/>
              <w:autoSpaceDE/>
              <w:autoSpaceDN/>
              <w:bidi w:val="0"/>
              <w:adjustRightInd w:val="0"/>
              <w:spacing w:line="360" w:lineRule="auto"/>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4964" w:type="dxa"/>
            <w:vAlign w:val="center"/>
          </w:tcPr>
          <w:p w14:paraId="1A9BDB6E">
            <w:pPr>
              <w:keepNext w:val="0"/>
              <w:keepLines w:val="0"/>
              <w:pageBreakBefore w:val="0"/>
              <w:kinsoku/>
              <w:wordWrap/>
              <w:overflowPunct/>
              <w:topLinePunct w:val="0"/>
              <w:autoSpaceDE/>
              <w:autoSpaceDN/>
              <w:bidi w:val="0"/>
              <w:adjustRightInd w:val="0"/>
              <w:spacing w:line="360" w:lineRule="auto"/>
              <w:jc w:val="left"/>
              <w:outlineLvl w:val="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CN"/>
              </w:rPr>
              <w:t>对投标人针对本项目的“</w:t>
            </w:r>
            <w:r>
              <w:rPr>
                <w:rFonts w:hint="eastAsia" w:ascii="宋体" w:hAnsi="宋体" w:eastAsia="宋体" w:cs="宋体"/>
                <w:b w:val="0"/>
                <w:bCs w:val="0"/>
                <w:color w:val="auto"/>
                <w:sz w:val="24"/>
                <w:szCs w:val="24"/>
                <w:highlight w:val="none"/>
                <w:lang w:val="en-US" w:eastAsia="zh-CN"/>
              </w:rPr>
              <w:t>软件运维服务方案</w:t>
            </w:r>
            <w:r>
              <w:rPr>
                <w:rFonts w:hint="eastAsia" w:ascii="宋体" w:hAnsi="宋体" w:cs="宋体"/>
                <w:b w:val="0"/>
                <w:bCs w:val="0"/>
                <w:color w:val="auto"/>
                <w:sz w:val="24"/>
                <w:szCs w:val="24"/>
                <w:highlight w:val="none"/>
                <w:lang w:val="en-US" w:eastAsia="zh-CN"/>
              </w:rPr>
              <w:t>-</w:t>
            </w:r>
            <w:r>
              <w:rPr>
                <w:rFonts w:hint="eastAsia" w:ascii="宋体" w:hAnsi="宋体" w:eastAsia="宋体" w:cs="宋体"/>
                <w:color w:val="auto"/>
                <w:kern w:val="0"/>
                <w:sz w:val="24"/>
                <w:szCs w:val="24"/>
                <w:highlight w:val="none"/>
                <w:lang w:bidi="ar"/>
                <w14:ligatures w14:val="none"/>
              </w:rPr>
              <w:t>浙江省食品药品检验研究院生物制品批签发电子证照2025年运维</w:t>
            </w:r>
            <w:r>
              <w:rPr>
                <w:rFonts w:hint="eastAsia" w:ascii="宋体" w:hAnsi="宋体" w:eastAsia="宋体" w:cs="宋体"/>
                <w:color w:val="auto"/>
                <w:sz w:val="24"/>
                <w:szCs w:val="24"/>
                <w:highlight w:val="none"/>
                <w:lang w:val="en-US" w:eastAsia="zh-CN"/>
              </w:rPr>
              <w:t>服务方案”进行评分。（分值：</w:t>
            </w:r>
            <w:r>
              <w:rPr>
                <w:rFonts w:hint="eastAsia" w:ascii="宋体" w:hAnsi="宋体" w:cs="宋体"/>
                <w:color w:val="auto"/>
                <w:sz w:val="24"/>
                <w:szCs w:val="24"/>
                <w:highlight w:val="none"/>
                <w:lang w:val="en-US" w:eastAsia="zh-CN"/>
              </w:rPr>
              <w:t>2分，1.5分，1分，0.5分，0分</w:t>
            </w:r>
            <w:r>
              <w:rPr>
                <w:rFonts w:hint="eastAsia" w:ascii="宋体" w:hAnsi="宋体" w:eastAsia="宋体" w:cs="宋体"/>
                <w:color w:val="auto"/>
                <w:sz w:val="24"/>
                <w:szCs w:val="24"/>
                <w:highlight w:val="none"/>
                <w:lang w:val="en-US" w:eastAsia="zh-CN"/>
              </w:rPr>
              <w:t>）</w:t>
            </w:r>
          </w:p>
        </w:tc>
        <w:tc>
          <w:tcPr>
            <w:tcW w:w="873" w:type="dxa"/>
            <w:vAlign w:val="center"/>
          </w:tcPr>
          <w:p w14:paraId="605E2293">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953" w:type="dxa"/>
            <w:vAlign w:val="center"/>
          </w:tcPr>
          <w:p w14:paraId="40ECF25B">
            <w:pPr>
              <w:keepNext w:val="0"/>
              <w:keepLines w:val="0"/>
              <w:pageBreakBefore w:val="0"/>
              <w:kinsoku/>
              <w:wordWrap/>
              <w:overflowPunct/>
              <w:topLinePunct w:val="0"/>
              <w:autoSpaceDE/>
              <w:autoSpaceDN/>
              <w:bidi w:val="0"/>
              <w:adjustRightInd w:val="0"/>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2298" w:type="dxa"/>
            <w:vAlign w:val="center"/>
          </w:tcPr>
          <w:p w14:paraId="0285AFB7">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评标标准相应的技术资料</w:t>
            </w:r>
          </w:p>
        </w:tc>
      </w:tr>
      <w:tr w14:paraId="4CB6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76" w:type="dxa"/>
            <w:vAlign w:val="center"/>
          </w:tcPr>
          <w:p w14:paraId="5FB989A4">
            <w:pPr>
              <w:keepNext w:val="0"/>
              <w:keepLines w:val="0"/>
              <w:pageBreakBefore w:val="0"/>
              <w:widowControl/>
              <w:suppressLineNumbers w:val="0"/>
              <w:kinsoku/>
              <w:wordWrap/>
              <w:overflowPunct/>
              <w:topLinePunct w:val="0"/>
              <w:autoSpaceDE/>
              <w:autoSpaceDN/>
              <w:bidi w:val="0"/>
              <w:adjustRightInd w:val="0"/>
              <w:spacing w:line="360" w:lineRule="auto"/>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4964" w:type="dxa"/>
            <w:vAlign w:val="center"/>
          </w:tcPr>
          <w:p w14:paraId="5A095FD6">
            <w:pPr>
              <w:keepNext w:val="0"/>
              <w:keepLines w:val="0"/>
              <w:pageBreakBefore w:val="0"/>
              <w:kinsoku/>
              <w:wordWrap/>
              <w:overflowPunct/>
              <w:topLinePunct w:val="0"/>
              <w:autoSpaceDE/>
              <w:autoSpaceDN/>
              <w:bidi w:val="0"/>
              <w:adjustRightInd w:val="0"/>
              <w:spacing w:line="360" w:lineRule="auto"/>
              <w:jc w:val="left"/>
              <w:outlineLvl w:val="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CN"/>
              </w:rPr>
              <w:t>对投标人针对本项目的“</w:t>
            </w:r>
            <w:r>
              <w:rPr>
                <w:rFonts w:hint="eastAsia" w:ascii="宋体" w:hAnsi="宋体" w:eastAsia="宋体" w:cs="宋体"/>
                <w:b w:val="0"/>
                <w:bCs w:val="0"/>
                <w:color w:val="auto"/>
                <w:sz w:val="24"/>
                <w:szCs w:val="24"/>
                <w:highlight w:val="none"/>
                <w:lang w:val="en-US" w:eastAsia="zh-CN"/>
              </w:rPr>
              <w:t>软件运维服务方案</w:t>
            </w:r>
            <w:r>
              <w:rPr>
                <w:rFonts w:hint="eastAsia" w:ascii="宋体" w:hAnsi="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lang w:bidi="ar"/>
              </w:rPr>
              <w:t>浙江省食品药品检验研究院防疫药械智控应用2025年运维</w:t>
            </w:r>
            <w:r>
              <w:rPr>
                <w:rFonts w:hint="eastAsia" w:ascii="宋体" w:hAnsi="宋体" w:eastAsia="宋体" w:cs="宋体"/>
                <w:color w:val="auto"/>
                <w:sz w:val="24"/>
                <w:szCs w:val="24"/>
                <w:highlight w:val="none"/>
                <w:lang w:val="en-US" w:eastAsia="zh-CN"/>
              </w:rPr>
              <w:t>服务方案”进行评分。（分值：</w:t>
            </w:r>
            <w:r>
              <w:rPr>
                <w:rFonts w:hint="eastAsia" w:ascii="宋体" w:hAnsi="宋体" w:cs="宋体"/>
                <w:color w:val="auto"/>
                <w:sz w:val="24"/>
                <w:szCs w:val="24"/>
                <w:highlight w:val="none"/>
                <w:lang w:val="en-US" w:eastAsia="zh-CN"/>
              </w:rPr>
              <w:t>2分，1.5分，1分，0.5分，0分</w:t>
            </w:r>
            <w:r>
              <w:rPr>
                <w:rFonts w:hint="eastAsia" w:ascii="宋体" w:hAnsi="宋体" w:eastAsia="宋体" w:cs="宋体"/>
                <w:color w:val="auto"/>
                <w:sz w:val="24"/>
                <w:szCs w:val="24"/>
                <w:highlight w:val="none"/>
                <w:lang w:val="en-US" w:eastAsia="zh-CN"/>
              </w:rPr>
              <w:t>）</w:t>
            </w:r>
          </w:p>
        </w:tc>
        <w:tc>
          <w:tcPr>
            <w:tcW w:w="873" w:type="dxa"/>
            <w:vAlign w:val="center"/>
          </w:tcPr>
          <w:p w14:paraId="32FBE107">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953" w:type="dxa"/>
            <w:vAlign w:val="center"/>
          </w:tcPr>
          <w:p w14:paraId="3A735615">
            <w:pPr>
              <w:keepNext w:val="0"/>
              <w:keepLines w:val="0"/>
              <w:pageBreakBefore w:val="0"/>
              <w:kinsoku/>
              <w:wordWrap/>
              <w:overflowPunct/>
              <w:topLinePunct w:val="0"/>
              <w:autoSpaceDE/>
              <w:autoSpaceDN/>
              <w:bidi w:val="0"/>
              <w:adjustRightInd w:val="0"/>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2298" w:type="dxa"/>
            <w:vAlign w:val="center"/>
          </w:tcPr>
          <w:p w14:paraId="2DD525D7">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评标标准相应的技术资料</w:t>
            </w:r>
          </w:p>
        </w:tc>
      </w:tr>
      <w:tr w14:paraId="5379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76" w:type="dxa"/>
            <w:vAlign w:val="center"/>
          </w:tcPr>
          <w:p w14:paraId="67F49D15">
            <w:pPr>
              <w:keepNext w:val="0"/>
              <w:keepLines w:val="0"/>
              <w:pageBreakBefore w:val="0"/>
              <w:widowControl/>
              <w:suppressLineNumbers w:val="0"/>
              <w:kinsoku/>
              <w:wordWrap/>
              <w:overflowPunct/>
              <w:topLinePunct w:val="0"/>
              <w:autoSpaceDE/>
              <w:autoSpaceDN/>
              <w:bidi w:val="0"/>
              <w:adjustRightInd w:val="0"/>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3.6</w:t>
            </w:r>
          </w:p>
        </w:tc>
        <w:tc>
          <w:tcPr>
            <w:tcW w:w="4964" w:type="dxa"/>
            <w:vAlign w:val="center"/>
          </w:tcPr>
          <w:p w14:paraId="5726F09F">
            <w:pPr>
              <w:keepNext w:val="0"/>
              <w:keepLines w:val="0"/>
              <w:pageBreakBefore w:val="0"/>
              <w:kinsoku/>
              <w:wordWrap/>
              <w:overflowPunct/>
              <w:topLinePunct w:val="0"/>
              <w:autoSpaceDE/>
              <w:autoSpaceDN/>
              <w:bidi w:val="0"/>
              <w:adjustRightInd w:val="0"/>
              <w:spacing w:line="360" w:lineRule="auto"/>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对投标人针对本项目的“</w:t>
            </w:r>
            <w:r>
              <w:rPr>
                <w:rFonts w:hint="eastAsia" w:ascii="宋体" w:hAnsi="宋体" w:eastAsia="宋体" w:cs="宋体"/>
                <w:b w:val="0"/>
                <w:bCs w:val="0"/>
                <w:color w:val="auto"/>
                <w:sz w:val="24"/>
                <w:szCs w:val="24"/>
                <w:highlight w:val="none"/>
                <w:lang w:val="en-US" w:eastAsia="zh-CN"/>
              </w:rPr>
              <w:t>软件运维服务方案</w:t>
            </w:r>
            <w:r>
              <w:rPr>
                <w:rFonts w:hint="eastAsia" w:ascii="宋体" w:hAnsi="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lang w:bidi="ar"/>
              </w:rPr>
              <w:t>浙江省食品药品检验研究院防疫药械智控应用2025年运维</w:t>
            </w:r>
            <w:r>
              <w:rPr>
                <w:rFonts w:hint="eastAsia" w:ascii="宋体" w:hAnsi="宋体" w:cs="宋体"/>
                <w:color w:val="auto"/>
                <w:sz w:val="24"/>
                <w:szCs w:val="24"/>
                <w:highlight w:val="none"/>
                <w:lang w:val="en-US" w:eastAsia="zh-CN"/>
              </w:rPr>
              <w:t>开发实施</w:t>
            </w:r>
            <w:r>
              <w:rPr>
                <w:rFonts w:hint="eastAsia" w:ascii="宋体" w:hAnsi="宋体" w:eastAsia="宋体" w:cs="宋体"/>
                <w:color w:val="auto"/>
                <w:sz w:val="24"/>
                <w:szCs w:val="24"/>
                <w:highlight w:val="none"/>
                <w:lang w:val="en-US" w:eastAsia="zh-CN"/>
              </w:rPr>
              <w:t>方案”进行评分。（分值：</w:t>
            </w:r>
            <w:r>
              <w:rPr>
                <w:rFonts w:hint="eastAsia" w:ascii="宋体" w:hAnsi="宋体" w:cs="宋体"/>
                <w:color w:val="auto"/>
                <w:sz w:val="24"/>
                <w:szCs w:val="24"/>
                <w:highlight w:val="none"/>
                <w:lang w:val="en-US" w:eastAsia="zh-CN"/>
              </w:rPr>
              <w:t>2分，1.5分，1分，0.5分，0分</w:t>
            </w:r>
            <w:r>
              <w:rPr>
                <w:rFonts w:hint="eastAsia" w:ascii="宋体" w:hAnsi="宋体" w:eastAsia="宋体" w:cs="宋体"/>
                <w:color w:val="auto"/>
                <w:sz w:val="24"/>
                <w:szCs w:val="24"/>
                <w:highlight w:val="none"/>
                <w:lang w:val="en-US" w:eastAsia="zh-CN"/>
              </w:rPr>
              <w:t>）</w:t>
            </w:r>
          </w:p>
        </w:tc>
        <w:tc>
          <w:tcPr>
            <w:tcW w:w="873" w:type="dxa"/>
            <w:vAlign w:val="center"/>
          </w:tcPr>
          <w:p w14:paraId="2E380C63">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953" w:type="dxa"/>
            <w:vAlign w:val="center"/>
          </w:tcPr>
          <w:p w14:paraId="6EB15F93">
            <w:pPr>
              <w:keepNext w:val="0"/>
              <w:keepLines w:val="0"/>
              <w:pageBreakBefore w:val="0"/>
              <w:kinsoku/>
              <w:wordWrap/>
              <w:overflowPunct/>
              <w:topLinePunct w:val="0"/>
              <w:autoSpaceDE/>
              <w:autoSpaceDN/>
              <w:bidi w:val="0"/>
              <w:adjustRightInd w:val="0"/>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2298" w:type="dxa"/>
            <w:vAlign w:val="center"/>
          </w:tcPr>
          <w:p w14:paraId="5A5CBE6D">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评标标准相应的技术资料</w:t>
            </w:r>
          </w:p>
        </w:tc>
      </w:tr>
      <w:tr w14:paraId="53EB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776" w:type="dxa"/>
            <w:vAlign w:val="center"/>
          </w:tcPr>
          <w:p w14:paraId="7991047D">
            <w:pPr>
              <w:keepNext w:val="0"/>
              <w:keepLines w:val="0"/>
              <w:pageBreakBefore w:val="0"/>
              <w:widowControl/>
              <w:suppressLineNumbers w:val="0"/>
              <w:kinsoku/>
              <w:wordWrap/>
              <w:overflowPunct/>
              <w:topLinePunct w:val="0"/>
              <w:autoSpaceDE/>
              <w:autoSpaceDN/>
              <w:bidi w:val="0"/>
              <w:adjustRightInd w:val="0"/>
              <w:spacing w:line="360" w:lineRule="auto"/>
              <w:jc w:val="center"/>
              <w:textAlignment w:val="center"/>
              <w:rPr>
                <w:rFonts w:hint="eastAsia" w:ascii="宋体" w:hAnsi="宋体" w:eastAsia="宋体" w:cs="宋体"/>
                <w:bCs/>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4964" w:type="dxa"/>
            <w:vAlign w:val="center"/>
          </w:tcPr>
          <w:p w14:paraId="72363459">
            <w:pPr>
              <w:keepNext w:val="0"/>
              <w:keepLines w:val="0"/>
              <w:pageBreakBefore w:val="0"/>
              <w:kinsoku/>
              <w:wordWrap/>
              <w:overflowPunct/>
              <w:topLinePunct w:val="0"/>
              <w:autoSpaceDE/>
              <w:autoSpaceDN/>
              <w:bidi w:val="0"/>
              <w:adjustRightInd w:val="0"/>
              <w:spacing w:line="360" w:lineRule="auto"/>
              <w:jc w:val="left"/>
              <w:outlineLvl w:val="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CN"/>
              </w:rPr>
              <w:t>对投标人针对本项目的“</w:t>
            </w:r>
            <w:r>
              <w:rPr>
                <w:rFonts w:hint="eastAsia" w:ascii="宋体" w:hAnsi="宋体" w:eastAsia="宋体" w:cs="宋体"/>
                <w:b w:val="0"/>
                <w:bCs w:val="0"/>
                <w:color w:val="auto"/>
                <w:sz w:val="24"/>
                <w:szCs w:val="24"/>
                <w:highlight w:val="none"/>
                <w:lang w:val="en-US" w:eastAsia="zh-CN"/>
              </w:rPr>
              <w:t>软件运维服务方案</w:t>
            </w:r>
            <w:r>
              <w:rPr>
                <w:rFonts w:hint="eastAsia" w:ascii="宋体" w:hAnsi="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lang w:bidi="ar"/>
              </w:rPr>
              <w:t>浙江省食品药品检验研究院公众检测服务平台2025年运维</w:t>
            </w:r>
            <w:r>
              <w:rPr>
                <w:rFonts w:hint="eastAsia" w:ascii="宋体" w:hAnsi="宋体" w:eastAsia="宋体" w:cs="宋体"/>
                <w:color w:val="auto"/>
                <w:sz w:val="24"/>
                <w:szCs w:val="24"/>
                <w:highlight w:val="none"/>
                <w:lang w:val="en-US" w:eastAsia="zh-CN"/>
              </w:rPr>
              <w:t>服务方案”进行评分。（分值：</w:t>
            </w:r>
            <w:r>
              <w:rPr>
                <w:rFonts w:hint="eastAsia" w:ascii="宋体" w:hAnsi="宋体" w:cs="宋体"/>
                <w:color w:val="auto"/>
                <w:sz w:val="24"/>
                <w:szCs w:val="24"/>
                <w:highlight w:val="none"/>
                <w:lang w:val="en-US" w:eastAsia="zh-CN"/>
              </w:rPr>
              <w:t>2分，1.5分，1分，0.5分，0分</w:t>
            </w:r>
            <w:r>
              <w:rPr>
                <w:rFonts w:hint="eastAsia" w:ascii="宋体" w:hAnsi="宋体" w:eastAsia="宋体" w:cs="宋体"/>
                <w:color w:val="auto"/>
                <w:sz w:val="24"/>
                <w:szCs w:val="24"/>
                <w:highlight w:val="none"/>
                <w:lang w:val="en-US" w:eastAsia="zh-CN"/>
              </w:rPr>
              <w:t>）</w:t>
            </w:r>
          </w:p>
        </w:tc>
        <w:tc>
          <w:tcPr>
            <w:tcW w:w="873" w:type="dxa"/>
            <w:vAlign w:val="center"/>
          </w:tcPr>
          <w:p w14:paraId="0F7A1A9B">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953" w:type="dxa"/>
            <w:vAlign w:val="center"/>
          </w:tcPr>
          <w:p w14:paraId="17AD1043">
            <w:pPr>
              <w:keepNext w:val="0"/>
              <w:keepLines w:val="0"/>
              <w:pageBreakBefore w:val="0"/>
              <w:kinsoku/>
              <w:wordWrap/>
              <w:overflowPunct/>
              <w:topLinePunct w:val="0"/>
              <w:autoSpaceDE/>
              <w:autoSpaceDN/>
              <w:bidi w:val="0"/>
              <w:adjustRightInd w:val="0"/>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2298" w:type="dxa"/>
            <w:vAlign w:val="center"/>
          </w:tcPr>
          <w:p w14:paraId="6802204D">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评标标准相应的技术资料</w:t>
            </w:r>
          </w:p>
        </w:tc>
      </w:tr>
      <w:tr w14:paraId="7169B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76" w:type="dxa"/>
            <w:vAlign w:val="center"/>
          </w:tcPr>
          <w:p w14:paraId="0187AD1A">
            <w:pPr>
              <w:keepNext w:val="0"/>
              <w:keepLines w:val="0"/>
              <w:pageBreakBefore w:val="0"/>
              <w:widowControl/>
              <w:suppressLineNumbers w:val="0"/>
              <w:kinsoku/>
              <w:wordWrap/>
              <w:overflowPunct/>
              <w:topLinePunct w:val="0"/>
              <w:autoSpaceDE/>
              <w:autoSpaceDN/>
              <w:bidi w:val="0"/>
              <w:adjustRightInd w:val="0"/>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3.8</w:t>
            </w:r>
          </w:p>
        </w:tc>
        <w:tc>
          <w:tcPr>
            <w:tcW w:w="4964" w:type="dxa"/>
            <w:vAlign w:val="center"/>
          </w:tcPr>
          <w:p w14:paraId="36A8CA11">
            <w:pPr>
              <w:keepNext w:val="0"/>
              <w:keepLines w:val="0"/>
              <w:pageBreakBefore w:val="0"/>
              <w:kinsoku/>
              <w:wordWrap/>
              <w:overflowPunct/>
              <w:topLinePunct w:val="0"/>
              <w:autoSpaceDE/>
              <w:autoSpaceDN/>
              <w:bidi w:val="0"/>
              <w:adjustRightInd w:val="0"/>
              <w:spacing w:line="360" w:lineRule="auto"/>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对投标人针对本项目的“</w:t>
            </w:r>
            <w:r>
              <w:rPr>
                <w:rFonts w:hint="eastAsia" w:ascii="宋体" w:hAnsi="宋体" w:eastAsia="宋体" w:cs="宋体"/>
                <w:b w:val="0"/>
                <w:bCs w:val="0"/>
                <w:color w:val="auto"/>
                <w:sz w:val="24"/>
                <w:szCs w:val="24"/>
                <w:highlight w:val="none"/>
                <w:lang w:val="en-US" w:eastAsia="zh-CN"/>
              </w:rPr>
              <w:t>软件运维服务方案</w:t>
            </w:r>
            <w:r>
              <w:rPr>
                <w:rFonts w:hint="eastAsia" w:ascii="宋体" w:hAnsi="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lang w:bidi="ar"/>
              </w:rPr>
              <w:t>浙江省食品药品检验研究院公众检测服务平台2025年运维</w:t>
            </w:r>
            <w:r>
              <w:rPr>
                <w:rFonts w:hint="eastAsia" w:ascii="宋体" w:hAnsi="宋体" w:cs="宋体"/>
                <w:color w:val="auto"/>
                <w:sz w:val="24"/>
                <w:szCs w:val="24"/>
                <w:highlight w:val="none"/>
                <w:lang w:val="en-US" w:eastAsia="zh-CN"/>
              </w:rPr>
              <w:t>开发实施</w:t>
            </w:r>
            <w:r>
              <w:rPr>
                <w:rFonts w:hint="eastAsia" w:ascii="宋体" w:hAnsi="宋体" w:eastAsia="宋体" w:cs="宋体"/>
                <w:color w:val="auto"/>
                <w:sz w:val="24"/>
                <w:szCs w:val="24"/>
                <w:highlight w:val="none"/>
                <w:lang w:val="en-US" w:eastAsia="zh-CN"/>
              </w:rPr>
              <w:t>方案”进行评分。（分值：</w:t>
            </w:r>
            <w:r>
              <w:rPr>
                <w:rFonts w:hint="eastAsia" w:ascii="宋体" w:hAnsi="宋体" w:cs="宋体"/>
                <w:color w:val="auto"/>
                <w:sz w:val="24"/>
                <w:szCs w:val="24"/>
                <w:highlight w:val="none"/>
                <w:lang w:val="en-US" w:eastAsia="zh-CN"/>
              </w:rPr>
              <w:t>2分，1.5分，1分，0.5分，0分</w:t>
            </w:r>
            <w:r>
              <w:rPr>
                <w:rFonts w:hint="eastAsia" w:ascii="宋体" w:hAnsi="宋体" w:eastAsia="宋体" w:cs="宋体"/>
                <w:color w:val="auto"/>
                <w:sz w:val="24"/>
                <w:szCs w:val="24"/>
                <w:highlight w:val="none"/>
                <w:lang w:val="en-US" w:eastAsia="zh-CN"/>
              </w:rPr>
              <w:t>）</w:t>
            </w:r>
          </w:p>
        </w:tc>
        <w:tc>
          <w:tcPr>
            <w:tcW w:w="873" w:type="dxa"/>
            <w:vAlign w:val="center"/>
          </w:tcPr>
          <w:p w14:paraId="19C41876">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953" w:type="dxa"/>
            <w:vAlign w:val="center"/>
          </w:tcPr>
          <w:p w14:paraId="76807DD2">
            <w:pPr>
              <w:keepNext w:val="0"/>
              <w:keepLines w:val="0"/>
              <w:pageBreakBefore w:val="0"/>
              <w:kinsoku/>
              <w:wordWrap/>
              <w:overflowPunct/>
              <w:topLinePunct w:val="0"/>
              <w:autoSpaceDE/>
              <w:autoSpaceDN/>
              <w:bidi w:val="0"/>
              <w:adjustRightInd w:val="0"/>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2298" w:type="dxa"/>
            <w:vAlign w:val="center"/>
          </w:tcPr>
          <w:p w14:paraId="6C665925">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评标标准相应的技术资料</w:t>
            </w:r>
          </w:p>
        </w:tc>
      </w:tr>
      <w:tr w14:paraId="66540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76" w:type="dxa"/>
            <w:vAlign w:val="center"/>
          </w:tcPr>
          <w:p w14:paraId="747A83EA">
            <w:pPr>
              <w:keepNext w:val="0"/>
              <w:keepLines w:val="0"/>
              <w:pageBreakBefore w:val="0"/>
              <w:widowControl/>
              <w:suppressLineNumbers w:val="0"/>
              <w:kinsoku/>
              <w:wordWrap/>
              <w:overflowPunct/>
              <w:topLinePunct w:val="0"/>
              <w:autoSpaceDE/>
              <w:autoSpaceDN/>
              <w:bidi w:val="0"/>
              <w:adjustRightInd w:val="0"/>
              <w:spacing w:line="360" w:lineRule="auto"/>
              <w:jc w:val="center"/>
              <w:textAlignment w:val="center"/>
              <w:rPr>
                <w:rFonts w:hint="default" w:ascii="宋体" w:hAnsi="宋体" w:eastAsia="宋体" w:cs="宋体"/>
                <w:bCs/>
                <w:color w:val="auto"/>
                <w:sz w:val="24"/>
                <w:szCs w:val="24"/>
                <w:highlight w:val="none"/>
                <w:lang w:val="en-US"/>
              </w:rPr>
            </w:pPr>
            <w:r>
              <w:rPr>
                <w:rFonts w:hint="eastAsia" w:ascii="宋体" w:hAnsi="宋体" w:eastAsia="宋体" w:cs="宋体"/>
                <w:i w:val="0"/>
                <w:iCs w:val="0"/>
                <w:color w:val="auto"/>
                <w:kern w:val="0"/>
                <w:sz w:val="24"/>
                <w:szCs w:val="24"/>
                <w:highlight w:val="none"/>
                <w:u w:val="none"/>
                <w:lang w:val="en-US" w:eastAsia="zh-CN" w:bidi="ar"/>
              </w:rPr>
              <w:t>3.9</w:t>
            </w:r>
          </w:p>
        </w:tc>
        <w:tc>
          <w:tcPr>
            <w:tcW w:w="4964" w:type="dxa"/>
            <w:vAlign w:val="center"/>
          </w:tcPr>
          <w:p w14:paraId="1A0DD6DE">
            <w:pPr>
              <w:keepNext w:val="0"/>
              <w:keepLines w:val="0"/>
              <w:pageBreakBefore w:val="0"/>
              <w:kinsoku/>
              <w:wordWrap/>
              <w:overflowPunct/>
              <w:topLinePunct w:val="0"/>
              <w:autoSpaceDE/>
              <w:autoSpaceDN/>
              <w:bidi w:val="0"/>
              <w:adjustRightInd w:val="0"/>
              <w:spacing w:line="360" w:lineRule="auto"/>
              <w:jc w:val="left"/>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投标文件完全满足采购需求中“第三、（一）条中的3服务具体要求”全部条款内容要求的得</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每</w:t>
            </w:r>
            <w:r>
              <w:rPr>
                <w:rFonts w:hint="eastAsia" w:ascii="宋体" w:hAnsi="宋体" w:eastAsia="宋体" w:cs="宋体"/>
                <w:color w:val="auto"/>
                <w:sz w:val="24"/>
                <w:szCs w:val="24"/>
                <w:highlight w:val="none"/>
                <w:lang w:val="en-US" w:eastAsia="zh-CN"/>
              </w:rPr>
              <w:t>有1项不满足扣</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分，扣完为止。</w:t>
            </w:r>
          </w:p>
        </w:tc>
        <w:tc>
          <w:tcPr>
            <w:tcW w:w="873" w:type="dxa"/>
            <w:vAlign w:val="center"/>
          </w:tcPr>
          <w:p w14:paraId="759C7A18">
            <w:pPr>
              <w:keepNext w:val="0"/>
              <w:keepLines w:val="0"/>
              <w:pageBreakBefore w:val="0"/>
              <w:kinsoku/>
              <w:wordWrap/>
              <w:overflowPunct/>
              <w:topLinePunct w:val="0"/>
              <w:autoSpaceDE/>
              <w:autoSpaceDN/>
              <w:bidi w:val="0"/>
              <w:adjustRightInd w:val="0"/>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953" w:type="dxa"/>
            <w:vAlign w:val="center"/>
          </w:tcPr>
          <w:p w14:paraId="15E76933">
            <w:pPr>
              <w:keepNext w:val="0"/>
              <w:keepLines w:val="0"/>
              <w:pageBreakBefore w:val="0"/>
              <w:kinsoku/>
              <w:wordWrap/>
              <w:overflowPunct/>
              <w:topLinePunct w:val="0"/>
              <w:autoSpaceDE/>
              <w:autoSpaceDN/>
              <w:bidi w:val="0"/>
              <w:adjustRightInd w:val="0"/>
              <w:spacing w:line="360" w:lineRule="auto"/>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2298" w:type="dxa"/>
            <w:vAlign w:val="center"/>
          </w:tcPr>
          <w:p w14:paraId="54C8AA27">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评标标准相应的</w:t>
            </w:r>
            <w:r>
              <w:rPr>
                <w:rFonts w:hint="eastAsia" w:ascii="宋体" w:hAnsi="宋体" w:cs="宋体"/>
                <w:bCs/>
                <w:color w:val="auto"/>
                <w:sz w:val="24"/>
                <w:szCs w:val="24"/>
                <w:highlight w:val="none"/>
                <w:lang w:val="en-US" w:eastAsia="zh-CN"/>
              </w:rPr>
              <w:t>技术响应表</w:t>
            </w:r>
          </w:p>
        </w:tc>
      </w:tr>
      <w:tr w14:paraId="10211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76" w:type="dxa"/>
            <w:vAlign w:val="center"/>
          </w:tcPr>
          <w:p w14:paraId="5D241F14">
            <w:pPr>
              <w:keepNext w:val="0"/>
              <w:keepLines w:val="0"/>
              <w:pageBreakBefore w:val="0"/>
              <w:widowControl/>
              <w:suppressLineNumbers w:val="0"/>
              <w:kinsoku/>
              <w:wordWrap/>
              <w:overflowPunct/>
              <w:topLinePunct w:val="0"/>
              <w:autoSpaceDE/>
              <w:autoSpaceDN/>
              <w:bidi w:val="0"/>
              <w:adjustRightInd w:val="0"/>
              <w:spacing w:line="360" w:lineRule="auto"/>
              <w:jc w:val="center"/>
              <w:textAlignment w:val="center"/>
              <w:rPr>
                <w:rFonts w:hint="default" w:ascii="宋体" w:hAnsi="宋体" w:eastAsia="宋体" w:cs="宋体"/>
                <w:bCs/>
                <w:color w:val="auto"/>
                <w:sz w:val="24"/>
                <w:szCs w:val="24"/>
                <w:highlight w:val="none"/>
                <w:lang w:val="en-US"/>
              </w:rPr>
            </w:pPr>
            <w:r>
              <w:rPr>
                <w:rFonts w:hint="eastAsia" w:ascii="宋体" w:hAnsi="宋体" w:eastAsia="宋体" w:cs="宋体"/>
                <w:i w:val="0"/>
                <w:iCs w:val="0"/>
                <w:color w:val="auto"/>
                <w:kern w:val="0"/>
                <w:sz w:val="24"/>
                <w:szCs w:val="24"/>
                <w:highlight w:val="none"/>
                <w:u w:val="none"/>
                <w:lang w:val="en-US" w:eastAsia="zh-CN" w:bidi="ar"/>
              </w:rPr>
              <w:t>4</w:t>
            </w:r>
          </w:p>
        </w:tc>
        <w:tc>
          <w:tcPr>
            <w:tcW w:w="4964" w:type="dxa"/>
            <w:vAlign w:val="center"/>
          </w:tcPr>
          <w:p w14:paraId="412CCE79">
            <w:pPr>
              <w:keepNext w:val="0"/>
              <w:keepLines w:val="0"/>
              <w:pageBreakBefore w:val="0"/>
              <w:kinsoku/>
              <w:wordWrap/>
              <w:overflowPunct/>
              <w:topLinePunct w:val="0"/>
              <w:autoSpaceDE/>
              <w:autoSpaceDN/>
              <w:bidi w:val="0"/>
              <w:adjustRightInd w:val="0"/>
              <w:spacing w:line="360" w:lineRule="auto"/>
              <w:jc w:val="left"/>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Hans"/>
              </w:rPr>
              <w:t>IDC机房租赁及安全</w:t>
            </w:r>
            <w:r>
              <w:rPr>
                <w:rFonts w:hint="eastAsia" w:ascii="宋体" w:hAnsi="宋体" w:eastAsia="宋体" w:cs="宋体"/>
                <w:color w:val="auto"/>
                <w:sz w:val="24"/>
                <w:szCs w:val="24"/>
                <w:highlight w:val="none"/>
                <w:lang w:val="en-US" w:eastAsia="zh-CN"/>
              </w:rPr>
              <w:t>的服务方案</w:t>
            </w:r>
          </w:p>
        </w:tc>
        <w:tc>
          <w:tcPr>
            <w:tcW w:w="873" w:type="dxa"/>
            <w:vAlign w:val="center"/>
          </w:tcPr>
          <w:p w14:paraId="421B8F4E">
            <w:pPr>
              <w:keepNext w:val="0"/>
              <w:keepLines w:val="0"/>
              <w:pageBreakBefore w:val="0"/>
              <w:kinsoku/>
              <w:wordWrap/>
              <w:overflowPunct/>
              <w:topLinePunct w:val="0"/>
              <w:autoSpaceDE/>
              <w:autoSpaceDN/>
              <w:bidi w:val="0"/>
              <w:adjustRightInd w:val="0"/>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953" w:type="dxa"/>
            <w:vAlign w:val="center"/>
          </w:tcPr>
          <w:p w14:paraId="3B4E2595">
            <w:pPr>
              <w:keepNext w:val="0"/>
              <w:keepLines w:val="0"/>
              <w:pageBreakBefore w:val="0"/>
              <w:kinsoku/>
              <w:wordWrap/>
              <w:overflowPunct/>
              <w:topLinePunct w:val="0"/>
              <w:autoSpaceDE/>
              <w:autoSpaceDN/>
              <w:bidi w:val="0"/>
              <w:adjustRightInd w:val="0"/>
              <w:spacing w:line="360" w:lineRule="auto"/>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2298" w:type="dxa"/>
            <w:vAlign w:val="center"/>
          </w:tcPr>
          <w:p w14:paraId="4E737469">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w:t>
            </w:r>
          </w:p>
        </w:tc>
      </w:tr>
      <w:tr w14:paraId="64A3E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76" w:type="dxa"/>
            <w:vAlign w:val="center"/>
          </w:tcPr>
          <w:p w14:paraId="42545FCF">
            <w:pPr>
              <w:keepNext w:val="0"/>
              <w:keepLines w:val="0"/>
              <w:pageBreakBefore w:val="0"/>
              <w:widowControl/>
              <w:suppressLineNumbers w:val="0"/>
              <w:kinsoku/>
              <w:wordWrap/>
              <w:overflowPunct/>
              <w:topLinePunct w:val="0"/>
              <w:autoSpaceDE/>
              <w:autoSpaceDN/>
              <w:bidi w:val="0"/>
              <w:adjustRightInd w:val="0"/>
              <w:spacing w:line="360" w:lineRule="auto"/>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4.1</w:t>
            </w:r>
          </w:p>
        </w:tc>
        <w:tc>
          <w:tcPr>
            <w:tcW w:w="4964" w:type="dxa"/>
            <w:vAlign w:val="center"/>
          </w:tcPr>
          <w:p w14:paraId="22DC3C95">
            <w:pPr>
              <w:keepNext w:val="0"/>
              <w:keepLines w:val="0"/>
              <w:pageBreakBefore w:val="0"/>
              <w:kinsoku/>
              <w:wordWrap/>
              <w:overflowPunct/>
              <w:topLinePunct w:val="0"/>
              <w:autoSpaceDE/>
              <w:autoSpaceDN/>
              <w:bidi w:val="0"/>
              <w:adjustRightInd w:val="0"/>
              <w:spacing w:line="360" w:lineRule="auto"/>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对投标人根据</w:t>
            </w: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Hans"/>
              </w:rPr>
              <w:t>IDC机房租赁及安全</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实际情况提出的针对本项目的需求理解和分析进行评分。（分值：</w:t>
            </w:r>
            <w:r>
              <w:rPr>
                <w:rFonts w:hint="eastAsia" w:ascii="宋体" w:hAnsi="宋体" w:eastAsia="宋体" w:cs="宋体"/>
                <w:color w:val="auto"/>
                <w:sz w:val="24"/>
                <w:szCs w:val="24"/>
                <w:highlight w:val="none"/>
                <w:lang w:val="en-US" w:eastAsia="zh-CN"/>
              </w:rPr>
              <w:t>3分，2分，1分，0分</w:t>
            </w:r>
            <w:r>
              <w:rPr>
                <w:rFonts w:hint="eastAsia" w:ascii="宋体" w:hAnsi="宋体" w:eastAsia="宋体" w:cs="宋体"/>
                <w:color w:val="auto"/>
                <w:sz w:val="24"/>
                <w:szCs w:val="24"/>
                <w:highlight w:val="none"/>
              </w:rPr>
              <w:t>）</w:t>
            </w:r>
          </w:p>
        </w:tc>
        <w:tc>
          <w:tcPr>
            <w:tcW w:w="873" w:type="dxa"/>
            <w:vAlign w:val="center"/>
          </w:tcPr>
          <w:p w14:paraId="6B716A20">
            <w:pPr>
              <w:keepNext w:val="0"/>
              <w:keepLines w:val="0"/>
              <w:pageBreakBefore w:val="0"/>
              <w:kinsoku/>
              <w:wordWrap/>
              <w:overflowPunct/>
              <w:topLinePunct w:val="0"/>
              <w:autoSpaceDE/>
              <w:autoSpaceDN/>
              <w:bidi w:val="0"/>
              <w:adjustRightInd w:val="0"/>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953" w:type="dxa"/>
            <w:vAlign w:val="center"/>
          </w:tcPr>
          <w:p w14:paraId="1FDD1B21">
            <w:pPr>
              <w:keepNext w:val="0"/>
              <w:keepLines w:val="0"/>
              <w:pageBreakBefore w:val="0"/>
              <w:kinsoku/>
              <w:wordWrap/>
              <w:overflowPunct/>
              <w:topLinePunct w:val="0"/>
              <w:autoSpaceDE/>
              <w:autoSpaceDN/>
              <w:bidi w:val="0"/>
              <w:adjustRightInd w:val="0"/>
              <w:spacing w:line="360" w:lineRule="auto"/>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2298" w:type="dxa"/>
            <w:vAlign w:val="center"/>
          </w:tcPr>
          <w:p w14:paraId="3714A7D6">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评标标准相应的技术资料</w:t>
            </w:r>
          </w:p>
        </w:tc>
      </w:tr>
      <w:tr w14:paraId="7D34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76" w:type="dxa"/>
            <w:vAlign w:val="center"/>
          </w:tcPr>
          <w:p w14:paraId="3514A64D">
            <w:pPr>
              <w:keepNext w:val="0"/>
              <w:keepLines w:val="0"/>
              <w:pageBreakBefore w:val="0"/>
              <w:widowControl/>
              <w:suppressLineNumbers w:val="0"/>
              <w:kinsoku/>
              <w:wordWrap/>
              <w:overflowPunct/>
              <w:topLinePunct w:val="0"/>
              <w:autoSpaceDE/>
              <w:autoSpaceDN/>
              <w:bidi w:val="0"/>
              <w:adjustRightInd w:val="0"/>
              <w:spacing w:line="360" w:lineRule="auto"/>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4.2</w:t>
            </w:r>
          </w:p>
        </w:tc>
        <w:tc>
          <w:tcPr>
            <w:tcW w:w="4964" w:type="dxa"/>
            <w:vAlign w:val="center"/>
          </w:tcPr>
          <w:p w14:paraId="6C554C3A">
            <w:pPr>
              <w:keepNext w:val="0"/>
              <w:keepLines w:val="0"/>
              <w:pageBreakBefore w:val="0"/>
              <w:kinsoku/>
              <w:wordWrap/>
              <w:overflowPunct/>
              <w:topLinePunct w:val="0"/>
              <w:autoSpaceDE/>
              <w:autoSpaceDN/>
              <w:bidi w:val="0"/>
              <w:adjustRightInd w:val="0"/>
              <w:spacing w:line="360" w:lineRule="auto"/>
              <w:jc w:val="left"/>
              <w:outlineLvl w:val="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CN"/>
              </w:rPr>
              <w:t>投标文件完全满足采购需求中“第三</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zh-CN"/>
              </w:rPr>
              <w:t>条</w:t>
            </w:r>
            <w:r>
              <w:rPr>
                <w:rFonts w:hint="eastAsia" w:ascii="宋体" w:hAnsi="宋体" w:cs="宋体"/>
                <w:color w:val="auto"/>
                <w:sz w:val="24"/>
                <w:szCs w:val="24"/>
                <w:highlight w:val="none"/>
                <w:lang w:val="en-US" w:eastAsia="zh-CN"/>
              </w:rPr>
              <w:t>中的2</w:t>
            </w:r>
            <w:r>
              <w:rPr>
                <w:rFonts w:hint="eastAsia" w:ascii="宋体" w:hAnsi="宋体" w:eastAsia="宋体" w:cs="宋体"/>
                <w:color w:val="auto"/>
                <w:sz w:val="24"/>
                <w:szCs w:val="24"/>
                <w:highlight w:val="none"/>
                <w:lang w:val="en-US" w:eastAsia="zh-CN"/>
              </w:rPr>
              <w:t>机房要求</w:t>
            </w:r>
            <w:r>
              <w:rPr>
                <w:rFonts w:hint="eastAsia" w:ascii="宋体" w:hAnsi="宋体" w:cs="宋体"/>
                <w:color w:val="auto"/>
                <w:sz w:val="24"/>
                <w:szCs w:val="24"/>
                <w:highlight w:val="none"/>
                <w:lang w:val="en-US" w:eastAsia="zh-CN"/>
              </w:rPr>
              <w:t>和4基础机房安全巡检服务要求</w:t>
            </w:r>
            <w:r>
              <w:rPr>
                <w:rFonts w:hint="eastAsia" w:ascii="宋体" w:hAnsi="宋体" w:eastAsia="宋体" w:cs="宋体"/>
                <w:color w:val="auto"/>
                <w:sz w:val="24"/>
                <w:szCs w:val="24"/>
                <w:highlight w:val="none"/>
                <w:lang w:val="en-US" w:eastAsia="zh-CN"/>
              </w:rPr>
              <w:t>”全部条款内容要求的得</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每</w:t>
            </w:r>
            <w:r>
              <w:rPr>
                <w:rFonts w:hint="eastAsia" w:ascii="宋体" w:hAnsi="宋体" w:eastAsia="宋体" w:cs="宋体"/>
                <w:color w:val="auto"/>
                <w:sz w:val="24"/>
                <w:szCs w:val="24"/>
                <w:highlight w:val="none"/>
                <w:lang w:val="en-US" w:eastAsia="zh-CN"/>
              </w:rPr>
              <w:t>有1项不满足扣</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分，扣完为止。</w:t>
            </w:r>
          </w:p>
        </w:tc>
        <w:tc>
          <w:tcPr>
            <w:tcW w:w="873" w:type="dxa"/>
            <w:vAlign w:val="center"/>
          </w:tcPr>
          <w:p w14:paraId="095CFDC9">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953" w:type="dxa"/>
            <w:vAlign w:val="center"/>
          </w:tcPr>
          <w:p w14:paraId="4E5CBB1A">
            <w:pPr>
              <w:keepNext w:val="0"/>
              <w:keepLines w:val="0"/>
              <w:pageBreakBefore w:val="0"/>
              <w:kinsoku/>
              <w:wordWrap/>
              <w:overflowPunct/>
              <w:topLinePunct w:val="0"/>
              <w:autoSpaceDE/>
              <w:autoSpaceDN/>
              <w:bidi w:val="0"/>
              <w:adjustRightInd w:val="0"/>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2298" w:type="dxa"/>
            <w:vAlign w:val="center"/>
          </w:tcPr>
          <w:p w14:paraId="2AD6CAB1">
            <w:pPr>
              <w:keepNext w:val="0"/>
              <w:keepLines w:val="0"/>
              <w:pageBreakBefore w:val="0"/>
              <w:kinsoku/>
              <w:wordWrap/>
              <w:overflowPunct/>
              <w:topLinePunct w:val="0"/>
              <w:autoSpaceDE/>
              <w:autoSpaceDN/>
              <w:bidi w:val="0"/>
              <w:adjustRightInd w:val="0"/>
              <w:spacing w:line="360" w:lineRule="auto"/>
              <w:jc w:val="center"/>
              <w:outlineLvl w:val="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评标标准相应的</w:t>
            </w:r>
            <w:r>
              <w:rPr>
                <w:rFonts w:hint="eastAsia" w:ascii="宋体" w:hAnsi="宋体" w:cs="宋体"/>
                <w:bCs/>
                <w:color w:val="auto"/>
                <w:sz w:val="24"/>
                <w:szCs w:val="24"/>
                <w:highlight w:val="none"/>
                <w:lang w:val="en-US" w:eastAsia="zh-CN"/>
              </w:rPr>
              <w:t>技术响应表</w:t>
            </w:r>
          </w:p>
        </w:tc>
      </w:tr>
      <w:tr w14:paraId="1C26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76" w:type="dxa"/>
            <w:vAlign w:val="center"/>
          </w:tcPr>
          <w:p w14:paraId="2BE55F8C">
            <w:pPr>
              <w:keepNext w:val="0"/>
              <w:keepLines w:val="0"/>
              <w:pageBreakBefore w:val="0"/>
              <w:widowControl/>
              <w:suppressLineNumbers w:val="0"/>
              <w:kinsoku/>
              <w:wordWrap/>
              <w:overflowPunct/>
              <w:topLinePunct w:val="0"/>
              <w:autoSpaceDE/>
              <w:autoSpaceDN/>
              <w:bidi w:val="0"/>
              <w:adjustRightInd w:val="0"/>
              <w:spacing w:line="360" w:lineRule="auto"/>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4.3</w:t>
            </w:r>
          </w:p>
        </w:tc>
        <w:tc>
          <w:tcPr>
            <w:tcW w:w="4964" w:type="dxa"/>
            <w:vAlign w:val="center"/>
          </w:tcPr>
          <w:p w14:paraId="02561472">
            <w:pPr>
              <w:keepNext w:val="0"/>
              <w:keepLines w:val="0"/>
              <w:pageBreakBefore w:val="0"/>
              <w:kinsoku/>
              <w:wordWrap/>
              <w:overflowPunct/>
              <w:topLinePunct w:val="0"/>
              <w:autoSpaceDE/>
              <w:autoSpaceDN/>
              <w:bidi w:val="0"/>
              <w:adjustRightInd w:val="0"/>
              <w:spacing w:line="360" w:lineRule="auto"/>
              <w:jc w:val="left"/>
              <w:outlineLvl w:val="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CN"/>
              </w:rPr>
              <w:t>对投标人针对本项目IDC机房租赁及安全</w:t>
            </w:r>
            <w:r>
              <w:rPr>
                <w:rFonts w:hint="eastAsia" w:ascii="宋体" w:hAnsi="宋体" w:cs="宋体"/>
                <w:color w:val="auto"/>
                <w:sz w:val="24"/>
                <w:szCs w:val="24"/>
                <w:highlight w:val="none"/>
                <w:lang w:val="en-US" w:eastAsia="zh-CN"/>
              </w:rPr>
              <w:t>要求中</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0"/>
                <w:sz w:val="24"/>
                <w:szCs w:val="24"/>
                <w:highlight w:val="none"/>
                <w:lang w:bidi="ar"/>
              </w:rPr>
              <w:t>确保IDC机房内数据处理及存储等相关硬件与浙江省食品药品检验研究院本地网络稳定，实现相关冗余目标</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的服务工作方案</w:t>
            </w:r>
            <w:r>
              <w:rPr>
                <w:rFonts w:hint="eastAsia" w:ascii="宋体" w:hAnsi="宋体" w:eastAsia="宋体" w:cs="宋体"/>
                <w:color w:val="auto"/>
                <w:sz w:val="24"/>
                <w:szCs w:val="24"/>
                <w:highlight w:val="none"/>
                <w:lang w:val="en-US" w:eastAsia="zh-CN"/>
              </w:rPr>
              <w:t>进行评分。（分值：3分，2分，1分，0分）</w:t>
            </w:r>
          </w:p>
        </w:tc>
        <w:tc>
          <w:tcPr>
            <w:tcW w:w="873" w:type="dxa"/>
            <w:vAlign w:val="center"/>
          </w:tcPr>
          <w:p w14:paraId="133E30B2">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953" w:type="dxa"/>
            <w:vAlign w:val="center"/>
          </w:tcPr>
          <w:p w14:paraId="08ACA41C">
            <w:pPr>
              <w:keepNext w:val="0"/>
              <w:keepLines w:val="0"/>
              <w:pageBreakBefore w:val="0"/>
              <w:kinsoku/>
              <w:wordWrap/>
              <w:overflowPunct/>
              <w:topLinePunct w:val="0"/>
              <w:autoSpaceDE/>
              <w:autoSpaceDN/>
              <w:bidi w:val="0"/>
              <w:adjustRightInd w:val="0"/>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2298" w:type="dxa"/>
            <w:vAlign w:val="center"/>
          </w:tcPr>
          <w:p w14:paraId="24BD32D4">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评标标准相应的技术资料</w:t>
            </w:r>
          </w:p>
        </w:tc>
      </w:tr>
      <w:tr w14:paraId="0282D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6" w:type="dxa"/>
            <w:vAlign w:val="center"/>
          </w:tcPr>
          <w:p w14:paraId="5F41BE0A">
            <w:pPr>
              <w:keepNext w:val="0"/>
              <w:keepLines w:val="0"/>
              <w:pageBreakBefore w:val="0"/>
              <w:widowControl/>
              <w:suppressLineNumbers w:val="0"/>
              <w:kinsoku/>
              <w:wordWrap/>
              <w:overflowPunct/>
              <w:topLinePunct w:val="0"/>
              <w:autoSpaceDE/>
              <w:autoSpaceDN/>
              <w:bidi w:val="0"/>
              <w:adjustRightInd w:val="0"/>
              <w:spacing w:line="360" w:lineRule="auto"/>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4.4</w:t>
            </w:r>
          </w:p>
        </w:tc>
        <w:tc>
          <w:tcPr>
            <w:tcW w:w="4964" w:type="dxa"/>
            <w:vAlign w:val="center"/>
          </w:tcPr>
          <w:p w14:paraId="40F65EA2">
            <w:pPr>
              <w:keepNext w:val="0"/>
              <w:keepLines w:val="0"/>
              <w:pageBreakBefore w:val="0"/>
              <w:kinsoku/>
              <w:wordWrap/>
              <w:overflowPunct/>
              <w:topLinePunct w:val="0"/>
              <w:autoSpaceDE/>
              <w:autoSpaceDN/>
              <w:bidi w:val="0"/>
              <w:adjustRightInd w:val="0"/>
              <w:spacing w:line="360" w:lineRule="auto"/>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对投标人针对本项目IDC机房租赁及安全</w:t>
            </w:r>
            <w:r>
              <w:rPr>
                <w:rFonts w:hint="eastAsia" w:ascii="宋体" w:hAnsi="宋体" w:cs="宋体"/>
                <w:color w:val="auto"/>
                <w:sz w:val="24"/>
                <w:szCs w:val="24"/>
                <w:highlight w:val="none"/>
                <w:lang w:val="en-US" w:eastAsia="zh-CN"/>
              </w:rPr>
              <w:t>要求中</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0"/>
                <w:sz w:val="24"/>
                <w:szCs w:val="24"/>
                <w:highlight w:val="none"/>
                <w:lang w:bidi="ar"/>
              </w:rPr>
              <w:t>保障从 IDC 机房到浙江省食品药品检验研究院滨江院区的网络和不少于6个IDC机房机柜的正常使用。根据浙江省食品药品检验研究院数据处理及存储等更新情况，合理增加配置IDC机房资源，做好相关硬件新增、升级、改造、替代的设备上架、调试工作</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的服务工作方案</w:t>
            </w:r>
            <w:r>
              <w:rPr>
                <w:rFonts w:hint="eastAsia" w:ascii="宋体" w:hAnsi="宋体" w:eastAsia="宋体" w:cs="宋体"/>
                <w:color w:val="auto"/>
                <w:sz w:val="24"/>
                <w:szCs w:val="24"/>
                <w:highlight w:val="none"/>
                <w:lang w:val="en-US" w:eastAsia="zh-CN"/>
              </w:rPr>
              <w:t>进行评分。（分值：3分，2分，1分，0分）</w:t>
            </w:r>
          </w:p>
        </w:tc>
        <w:tc>
          <w:tcPr>
            <w:tcW w:w="873" w:type="dxa"/>
            <w:vAlign w:val="center"/>
          </w:tcPr>
          <w:p w14:paraId="5F12C24B">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953" w:type="dxa"/>
            <w:vAlign w:val="center"/>
          </w:tcPr>
          <w:p w14:paraId="3D74E791">
            <w:pPr>
              <w:keepNext w:val="0"/>
              <w:keepLines w:val="0"/>
              <w:pageBreakBefore w:val="0"/>
              <w:kinsoku/>
              <w:wordWrap/>
              <w:overflowPunct/>
              <w:topLinePunct w:val="0"/>
              <w:autoSpaceDE/>
              <w:autoSpaceDN/>
              <w:bidi w:val="0"/>
              <w:adjustRightInd w:val="0"/>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2298" w:type="dxa"/>
            <w:vAlign w:val="center"/>
          </w:tcPr>
          <w:p w14:paraId="6AAE3FC2">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评标标准相应的技术资料</w:t>
            </w:r>
          </w:p>
        </w:tc>
      </w:tr>
      <w:tr w14:paraId="556D1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76" w:type="dxa"/>
            <w:vAlign w:val="center"/>
          </w:tcPr>
          <w:p w14:paraId="0CA591EA">
            <w:pPr>
              <w:keepNext w:val="0"/>
              <w:keepLines w:val="0"/>
              <w:pageBreakBefore w:val="0"/>
              <w:widowControl/>
              <w:suppressLineNumbers w:val="0"/>
              <w:kinsoku/>
              <w:wordWrap/>
              <w:overflowPunct/>
              <w:topLinePunct w:val="0"/>
              <w:autoSpaceDE/>
              <w:autoSpaceDN/>
              <w:bidi w:val="0"/>
              <w:adjustRightInd w:val="0"/>
              <w:spacing w:line="360" w:lineRule="auto"/>
              <w:jc w:val="center"/>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cs="宋体"/>
                <w:bCs/>
                <w:color w:val="auto"/>
                <w:sz w:val="24"/>
                <w:szCs w:val="24"/>
                <w:highlight w:val="none"/>
                <w:lang w:val="en-US" w:eastAsia="zh-CN"/>
              </w:rPr>
              <w:t>5</w:t>
            </w:r>
          </w:p>
        </w:tc>
        <w:tc>
          <w:tcPr>
            <w:tcW w:w="4964" w:type="dxa"/>
            <w:vAlign w:val="center"/>
          </w:tcPr>
          <w:p w14:paraId="74ADAED5">
            <w:pPr>
              <w:keepNext w:val="0"/>
              <w:keepLines w:val="0"/>
              <w:pageBreakBefore w:val="0"/>
              <w:kinsoku/>
              <w:wordWrap/>
              <w:overflowPunct/>
              <w:topLinePunct w:val="0"/>
              <w:autoSpaceDE/>
              <w:autoSpaceDN/>
              <w:bidi w:val="0"/>
              <w:adjustRightInd w:val="0"/>
              <w:spacing w:line="360" w:lineRule="auto"/>
              <w:jc w:val="left"/>
              <w:outlineLvl w:val="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CN"/>
              </w:rPr>
              <w:t>对投标人针对本项目IDC机房租赁及安全</w:t>
            </w:r>
            <w:r>
              <w:rPr>
                <w:rFonts w:hint="eastAsia" w:ascii="宋体" w:hAnsi="宋体" w:cs="宋体"/>
                <w:color w:val="auto"/>
                <w:sz w:val="24"/>
                <w:szCs w:val="24"/>
                <w:highlight w:val="none"/>
                <w:lang w:val="en-US" w:eastAsia="zh-CN"/>
              </w:rPr>
              <w:t>要求中</w:t>
            </w:r>
            <w:r>
              <w:rPr>
                <w:rFonts w:hint="eastAsia" w:ascii="宋体" w:hAnsi="宋体" w:eastAsia="宋体" w:cs="宋体"/>
                <w:color w:val="auto"/>
                <w:kern w:val="0"/>
                <w:sz w:val="24"/>
                <w:szCs w:val="24"/>
                <w:highlight w:val="none"/>
                <w:lang w:bidi="ar"/>
              </w:rPr>
              <w:t>服务</w:t>
            </w:r>
            <w:r>
              <w:rPr>
                <w:rFonts w:hint="eastAsia" w:ascii="宋体" w:hAnsi="宋体" w:eastAsia="宋体" w:cs="宋体"/>
                <w:color w:val="auto"/>
                <w:kern w:val="0"/>
                <w:sz w:val="24"/>
                <w:szCs w:val="24"/>
                <w:highlight w:val="none"/>
                <w:lang w:val="en-US" w:eastAsia="zh-CN" w:bidi="ar"/>
              </w:rPr>
              <w:t>团队</w:t>
            </w:r>
            <w:r>
              <w:rPr>
                <w:rFonts w:hint="eastAsia" w:ascii="宋体" w:hAnsi="宋体" w:cs="宋体"/>
                <w:color w:val="auto"/>
                <w:sz w:val="24"/>
                <w:szCs w:val="24"/>
                <w:highlight w:val="none"/>
                <w:lang w:val="en-US" w:eastAsia="zh-CN"/>
              </w:rPr>
              <w:t>的要求，对服务人员的组织架构、人员情况和类似项目经验情况</w:t>
            </w:r>
            <w:r>
              <w:rPr>
                <w:rFonts w:hint="eastAsia" w:ascii="宋体" w:hAnsi="宋体" w:eastAsia="宋体" w:cs="宋体"/>
                <w:color w:val="auto"/>
                <w:sz w:val="24"/>
                <w:szCs w:val="24"/>
                <w:highlight w:val="none"/>
                <w:lang w:val="en-US" w:eastAsia="zh-CN"/>
              </w:rPr>
              <w:t>进行评分。（分值：3分，2分，1分，0分）</w:t>
            </w:r>
          </w:p>
        </w:tc>
        <w:tc>
          <w:tcPr>
            <w:tcW w:w="873" w:type="dxa"/>
            <w:vAlign w:val="center"/>
          </w:tcPr>
          <w:p w14:paraId="5C7FB39A">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color w:val="auto"/>
                <w:sz w:val="24"/>
                <w:szCs w:val="24"/>
                <w:highlight w:val="none"/>
                <w:lang w:val="en-US" w:eastAsia="zh-CN"/>
              </w:rPr>
            </w:pPr>
            <w:r>
              <w:rPr>
                <w:rFonts w:hint="default" w:ascii="宋体" w:hAnsi="宋体" w:cs="宋体"/>
                <w:color w:val="auto"/>
                <w:sz w:val="24"/>
                <w:szCs w:val="24"/>
                <w:highlight w:val="none"/>
                <w:lang w:val="en-US" w:eastAsia="zh-CN"/>
              </w:rPr>
              <w:t>3</w:t>
            </w:r>
          </w:p>
        </w:tc>
        <w:tc>
          <w:tcPr>
            <w:tcW w:w="953" w:type="dxa"/>
            <w:vAlign w:val="center"/>
          </w:tcPr>
          <w:p w14:paraId="2056D3DE">
            <w:pPr>
              <w:keepNext w:val="0"/>
              <w:keepLines w:val="0"/>
              <w:pageBreakBefore w:val="0"/>
              <w:kinsoku/>
              <w:wordWrap/>
              <w:overflowPunct/>
              <w:topLinePunct w:val="0"/>
              <w:autoSpaceDE/>
              <w:autoSpaceDN/>
              <w:bidi w:val="0"/>
              <w:adjustRightInd w:val="0"/>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2298" w:type="dxa"/>
            <w:vAlign w:val="center"/>
          </w:tcPr>
          <w:p w14:paraId="7ED21718">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评标标准相应的技术资料</w:t>
            </w:r>
          </w:p>
        </w:tc>
      </w:tr>
      <w:tr w14:paraId="2D04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76" w:type="dxa"/>
            <w:vAlign w:val="center"/>
          </w:tcPr>
          <w:p w14:paraId="126B0193">
            <w:pPr>
              <w:keepNext w:val="0"/>
              <w:keepLines w:val="0"/>
              <w:pageBreakBefore w:val="0"/>
              <w:widowControl/>
              <w:suppressLineNumbers w:val="0"/>
              <w:kinsoku/>
              <w:wordWrap/>
              <w:overflowPunct/>
              <w:topLinePunct w:val="0"/>
              <w:autoSpaceDE/>
              <w:autoSpaceDN/>
              <w:bidi w:val="0"/>
              <w:adjustRightInd w:val="0"/>
              <w:spacing w:line="360" w:lineRule="auto"/>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4.6</w:t>
            </w:r>
          </w:p>
        </w:tc>
        <w:tc>
          <w:tcPr>
            <w:tcW w:w="4964" w:type="dxa"/>
            <w:vAlign w:val="center"/>
          </w:tcPr>
          <w:p w14:paraId="1DEFB06D">
            <w:pPr>
              <w:keepNext w:val="0"/>
              <w:keepLines w:val="0"/>
              <w:pageBreakBefore w:val="0"/>
              <w:kinsoku/>
              <w:wordWrap/>
              <w:overflowPunct/>
              <w:topLinePunct w:val="0"/>
              <w:autoSpaceDE/>
              <w:autoSpaceDN/>
              <w:bidi w:val="0"/>
              <w:adjustRightInd w:val="0"/>
              <w:spacing w:line="360" w:lineRule="auto"/>
              <w:jc w:val="left"/>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投标人承诺“如涉及机房变更，机房搬迁、数据迁移等相关成本均已包含在本次预算内，不再产生额外费用。”的得3分，否则不得分。</w:t>
            </w:r>
          </w:p>
        </w:tc>
        <w:tc>
          <w:tcPr>
            <w:tcW w:w="873" w:type="dxa"/>
            <w:vAlign w:val="center"/>
          </w:tcPr>
          <w:p w14:paraId="684BDEEE">
            <w:pPr>
              <w:keepNext w:val="0"/>
              <w:keepLines w:val="0"/>
              <w:pageBreakBefore w:val="0"/>
              <w:kinsoku/>
              <w:wordWrap/>
              <w:overflowPunct/>
              <w:topLinePunct w:val="0"/>
              <w:autoSpaceDE/>
              <w:autoSpaceDN/>
              <w:bidi w:val="0"/>
              <w:adjustRightInd w:val="0"/>
              <w:spacing w:line="360" w:lineRule="auto"/>
              <w:jc w:val="center"/>
              <w:outlineLvl w:val="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953" w:type="dxa"/>
            <w:vAlign w:val="center"/>
          </w:tcPr>
          <w:p w14:paraId="4D776E57">
            <w:pPr>
              <w:keepNext w:val="0"/>
              <w:keepLines w:val="0"/>
              <w:pageBreakBefore w:val="0"/>
              <w:kinsoku/>
              <w:wordWrap/>
              <w:overflowPunct/>
              <w:topLinePunct w:val="0"/>
              <w:autoSpaceDE/>
              <w:autoSpaceDN/>
              <w:bidi w:val="0"/>
              <w:adjustRightInd w:val="0"/>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2298" w:type="dxa"/>
            <w:vAlign w:val="center"/>
          </w:tcPr>
          <w:p w14:paraId="093A0781">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评标标准相应的</w:t>
            </w:r>
            <w:r>
              <w:rPr>
                <w:rFonts w:hint="eastAsia" w:ascii="宋体" w:hAnsi="宋体" w:cs="宋体"/>
                <w:bCs/>
                <w:color w:val="auto"/>
                <w:sz w:val="24"/>
                <w:szCs w:val="24"/>
                <w:highlight w:val="none"/>
                <w:lang w:val="en-US" w:eastAsia="zh-CN"/>
              </w:rPr>
              <w:t>承诺</w:t>
            </w:r>
          </w:p>
        </w:tc>
      </w:tr>
      <w:tr w14:paraId="00D68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76" w:type="dxa"/>
            <w:vAlign w:val="center"/>
          </w:tcPr>
          <w:p w14:paraId="0A7CE23B">
            <w:pPr>
              <w:keepNext w:val="0"/>
              <w:keepLines w:val="0"/>
              <w:pageBreakBefore w:val="0"/>
              <w:widowControl/>
              <w:suppressLineNumbers w:val="0"/>
              <w:kinsoku/>
              <w:wordWrap/>
              <w:overflowPunct/>
              <w:topLinePunct w:val="0"/>
              <w:autoSpaceDE/>
              <w:autoSpaceDN/>
              <w:bidi w:val="0"/>
              <w:adjustRightInd w:val="0"/>
              <w:spacing w:line="360" w:lineRule="auto"/>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4964" w:type="dxa"/>
            <w:vAlign w:val="center"/>
          </w:tcPr>
          <w:p w14:paraId="564C5ECE">
            <w:pPr>
              <w:keepNext w:val="0"/>
              <w:keepLines w:val="0"/>
              <w:pageBreakBefore w:val="0"/>
              <w:kinsoku/>
              <w:wordWrap/>
              <w:overflowPunct/>
              <w:topLinePunct w:val="0"/>
              <w:autoSpaceDE/>
              <w:autoSpaceDN/>
              <w:bidi w:val="0"/>
              <w:adjustRightInd w:val="0"/>
              <w:spacing w:line="360" w:lineRule="auto"/>
              <w:jc w:val="left"/>
              <w:outlineLvl w:val="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终端运维</w:t>
            </w:r>
          </w:p>
        </w:tc>
        <w:tc>
          <w:tcPr>
            <w:tcW w:w="873" w:type="dxa"/>
            <w:vAlign w:val="center"/>
          </w:tcPr>
          <w:p w14:paraId="5DE0C22F">
            <w:pPr>
              <w:keepNext w:val="0"/>
              <w:keepLines w:val="0"/>
              <w:pageBreakBefore w:val="0"/>
              <w:kinsoku/>
              <w:wordWrap/>
              <w:overflowPunct/>
              <w:topLinePunct w:val="0"/>
              <w:autoSpaceDE/>
              <w:autoSpaceDN/>
              <w:bidi w:val="0"/>
              <w:adjustRightInd w:val="0"/>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953" w:type="dxa"/>
            <w:vAlign w:val="center"/>
          </w:tcPr>
          <w:p w14:paraId="3E8C83DC">
            <w:pPr>
              <w:keepNext w:val="0"/>
              <w:keepLines w:val="0"/>
              <w:pageBreakBefore w:val="0"/>
              <w:kinsoku/>
              <w:wordWrap/>
              <w:overflowPunct/>
              <w:topLinePunct w:val="0"/>
              <w:autoSpaceDE/>
              <w:autoSpaceDN/>
              <w:bidi w:val="0"/>
              <w:adjustRightInd w:val="0"/>
              <w:spacing w:line="360" w:lineRule="auto"/>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2298" w:type="dxa"/>
            <w:vAlign w:val="center"/>
          </w:tcPr>
          <w:p w14:paraId="22388AFC">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w:t>
            </w:r>
          </w:p>
        </w:tc>
      </w:tr>
      <w:tr w14:paraId="2FDAF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76" w:type="dxa"/>
            <w:vAlign w:val="center"/>
          </w:tcPr>
          <w:p w14:paraId="5A25E453">
            <w:pPr>
              <w:keepNext w:val="0"/>
              <w:keepLines w:val="0"/>
              <w:pageBreakBefore w:val="0"/>
              <w:widowControl/>
              <w:suppressLineNumbers w:val="0"/>
              <w:kinsoku/>
              <w:wordWrap/>
              <w:overflowPunct/>
              <w:topLinePunct w:val="0"/>
              <w:autoSpaceDE/>
              <w:autoSpaceDN/>
              <w:bidi w:val="0"/>
              <w:adjustRightInd w:val="0"/>
              <w:spacing w:line="360" w:lineRule="auto"/>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5.1</w:t>
            </w:r>
          </w:p>
        </w:tc>
        <w:tc>
          <w:tcPr>
            <w:tcW w:w="4964" w:type="dxa"/>
            <w:vAlign w:val="center"/>
          </w:tcPr>
          <w:p w14:paraId="6C03CC7E">
            <w:pPr>
              <w:keepNext w:val="0"/>
              <w:keepLines w:val="0"/>
              <w:pageBreakBefore w:val="0"/>
              <w:kinsoku/>
              <w:wordWrap/>
              <w:overflowPunct/>
              <w:topLinePunct w:val="0"/>
              <w:autoSpaceDE/>
              <w:autoSpaceDN/>
              <w:bidi w:val="0"/>
              <w:adjustRightInd w:val="0"/>
              <w:spacing w:line="360" w:lineRule="auto"/>
              <w:jc w:val="left"/>
              <w:outlineLvl w:val="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rPr>
              <w:t>对投标人根据</w:t>
            </w: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rPr>
              <w:t>项目</w:t>
            </w:r>
            <w:r>
              <w:rPr>
                <w:rFonts w:hint="eastAsia" w:ascii="宋体" w:hAnsi="宋体" w:cs="宋体"/>
                <w:color w:val="auto"/>
                <w:sz w:val="24"/>
                <w:szCs w:val="24"/>
                <w:highlight w:val="none"/>
                <w:lang w:val="en-US" w:eastAsia="zh-CN"/>
              </w:rPr>
              <w:t>所需运维</w:t>
            </w:r>
            <w:r>
              <w:rPr>
                <w:rFonts w:hint="eastAsia" w:ascii="宋体" w:hAnsi="宋体" w:eastAsia="宋体" w:cs="宋体"/>
                <w:color w:val="auto"/>
                <w:sz w:val="24"/>
                <w:szCs w:val="24"/>
                <w:highlight w:val="none"/>
                <w:lang w:val="en-US" w:eastAsia="zh-Hans"/>
              </w:rPr>
              <w:t>终端</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rPr>
              <w:t>实际情况提出的针对本项目的需求理解和分析进行评分。（分值：</w:t>
            </w:r>
            <w:r>
              <w:rPr>
                <w:rFonts w:hint="eastAsia" w:ascii="宋体" w:hAnsi="宋体" w:eastAsia="宋体" w:cs="宋体"/>
                <w:color w:val="auto"/>
                <w:sz w:val="24"/>
                <w:szCs w:val="24"/>
                <w:highlight w:val="none"/>
                <w:lang w:val="en-US" w:eastAsia="zh-CN"/>
              </w:rPr>
              <w:t>3分，2分，1分，0分</w:t>
            </w:r>
            <w:r>
              <w:rPr>
                <w:rFonts w:hint="eastAsia" w:ascii="宋体" w:hAnsi="宋体" w:eastAsia="宋体" w:cs="宋体"/>
                <w:color w:val="auto"/>
                <w:sz w:val="24"/>
                <w:szCs w:val="24"/>
                <w:highlight w:val="none"/>
              </w:rPr>
              <w:t>）</w:t>
            </w:r>
          </w:p>
        </w:tc>
        <w:tc>
          <w:tcPr>
            <w:tcW w:w="873" w:type="dxa"/>
            <w:vAlign w:val="center"/>
          </w:tcPr>
          <w:p w14:paraId="2F9DE4B9">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953" w:type="dxa"/>
            <w:vAlign w:val="center"/>
          </w:tcPr>
          <w:p w14:paraId="1207AD3F">
            <w:pPr>
              <w:keepNext w:val="0"/>
              <w:keepLines w:val="0"/>
              <w:pageBreakBefore w:val="0"/>
              <w:kinsoku/>
              <w:wordWrap/>
              <w:overflowPunct/>
              <w:topLinePunct w:val="0"/>
              <w:autoSpaceDE/>
              <w:autoSpaceDN/>
              <w:bidi w:val="0"/>
              <w:adjustRightInd w:val="0"/>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2298" w:type="dxa"/>
            <w:vAlign w:val="center"/>
          </w:tcPr>
          <w:p w14:paraId="6045F96D">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评标标准相应的技术资料</w:t>
            </w:r>
          </w:p>
        </w:tc>
      </w:tr>
      <w:tr w14:paraId="511F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76" w:type="dxa"/>
            <w:vAlign w:val="center"/>
          </w:tcPr>
          <w:p w14:paraId="6D788FEC">
            <w:pPr>
              <w:keepNext w:val="0"/>
              <w:keepLines w:val="0"/>
              <w:pageBreakBefore w:val="0"/>
              <w:widowControl/>
              <w:suppressLineNumbers w:val="0"/>
              <w:kinsoku/>
              <w:wordWrap/>
              <w:overflowPunct/>
              <w:topLinePunct w:val="0"/>
              <w:autoSpaceDE/>
              <w:autoSpaceDN/>
              <w:bidi w:val="0"/>
              <w:adjustRightInd w:val="0"/>
              <w:spacing w:line="360" w:lineRule="auto"/>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5.2</w:t>
            </w:r>
          </w:p>
        </w:tc>
        <w:tc>
          <w:tcPr>
            <w:tcW w:w="4964" w:type="dxa"/>
            <w:vAlign w:val="center"/>
          </w:tcPr>
          <w:p w14:paraId="719DB0DE">
            <w:pPr>
              <w:keepNext w:val="0"/>
              <w:keepLines w:val="0"/>
              <w:pageBreakBefore w:val="0"/>
              <w:kinsoku/>
              <w:wordWrap/>
              <w:overflowPunct/>
              <w:topLinePunct w:val="0"/>
              <w:autoSpaceDE/>
              <w:autoSpaceDN/>
              <w:bidi w:val="0"/>
              <w:adjustRightInd w:val="0"/>
              <w:spacing w:line="360" w:lineRule="auto"/>
              <w:jc w:val="left"/>
              <w:outlineLvl w:val="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CN"/>
              </w:rPr>
              <w:t>对投标人针对本项目</w:t>
            </w:r>
            <w:r>
              <w:rPr>
                <w:rFonts w:hint="eastAsia" w:ascii="宋体" w:hAnsi="宋体" w:cs="宋体"/>
                <w:color w:val="auto"/>
                <w:sz w:val="24"/>
                <w:szCs w:val="24"/>
                <w:highlight w:val="none"/>
                <w:lang w:val="en-US" w:eastAsia="zh-CN"/>
              </w:rPr>
              <w:t>需求中</w:t>
            </w:r>
            <w:r>
              <w:rPr>
                <w:rFonts w:hint="eastAsia" w:ascii="宋体" w:hAnsi="宋体" w:eastAsia="宋体" w:cs="宋体"/>
                <w:color w:val="auto"/>
                <w:sz w:val="24"/>
                <w:szCs w:val="24"/>
                <w:highlight w:val="none"/>
                <w:lang w:val="en-US" w:eastAsia="zh-CN"/>
              </w:rPr>
              <w:t>“终端运维</w:t>
            </w:r>
            <w:r>
              <w:rPr>
                <w:rFonts w:hint="eastAsia" w:ascii="宋体" w:hAnsi="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lang w:eastAsia="zh-Hans"/>
              </w:rPr>
              <w:t>硬件与软件安装配置</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的服务方案</w:t>
            </w:r>
            <w:r>
              <w:rPr>
                <w:rFonts w:hint="eastAsia" w:ascii="宋体" w:hAnsi="宋体" w:eastAsia="宋体" w:cs="宋体"/>
                <w:color w:val="auto"/>
                <w:sz w:val="24"/>
                <w:szCs w:val="24"/>
                <w:highlight w:val="none"/>
                <w:lang w:val="en-US" w:eastAsia="zh-CN"/>
              </w:rPr>
              <w:t>进行评分。（分值：</w:t>
            </w:r>
            <w:r>
              <w:rPr>
                <w:rFonts w:hint="eastAsia" w:ascii="宋体" w:hAnsi="宋体" w:cs="宋体"/>
                <w:color w:val="auto"/>
                <w:sz w:val="24"/>
                <w:szCs w:val="24"/>
                <w:highlight w:val="none"/>
                <w:lang w:val="en-US" w:eastAsia="zh-CN"/>
              </w:rPr>
              <w:t>2分，1.5分，1分，0.5分，0分</w:t>
            </w:r>
            <w:r>
              <w:rPr>
                <w:rFonts w:hint="eastAsia" w:ascii="宋体" w:hAnsi="宋体" w:eastAsia="宋体" w:cs="宋体"/>
                <w:color w:val="auto"/>
                <w:sz w:val="24"/>
                <w:szCs w:val="24"/>
                <w:highlight w:val="none"/>
                <w:lang w:val="en-US" w:eastAsia="zh-CN"/>
              </w:rPr>
              <w:t>）</w:t>
            </w:r>
          </w:p>
        </w:tc>
        <w:tc>
          <w:tcPr>
            <w:tcW w:w="873" w:type="dxa"/>
            <w:vAlign w:val="center"/>
          </w:tcPr>
          <w:p w14:paraId="09673D91">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953" w:type="dxa"/>
            <w:vAlign w:val="center"/>
          </w:tcPr>
          <w:p w14:paraId="64A487A8">
            <w:pPr>
              <w:keepNext w:val="0"/>
              <w:keepLines w:val="0"/>
              <w:pageBreakBefore w:val="0"/>
              <w:kinsoku/>
              <w:wordWrap/>
              <w:overflowPunct/>
              <w:topLinePunct w:val="0"/>
              <w:autoSpaceDE/>
              <w:autoSpaceDN/>
              <w:bidi w:val="0"/>
              <w:adjustRightInd w:val="0"/>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2298" w:type="dxa"/>
            <w:vAlign w:val="center"/>
          </w:tcPr>
          <w:p w14:paraId="2CD5C7F4">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评标标准相应的技术资料</w:t>
            </w:r>
          </w:p>
        </w:tc>
      </w:tr>
      <w:tr w14:paraId="025D6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76" w:type="dxa"/>
            <w:vAlign w:val="center"/>
          </w:tcPr>
          <w:p w14:paraId="267C5447">
            <w:pPr>
              <w:keepNext w:val="0"/>
              <w:keepLines w:val="0"/>
              <w:pageBreakBefore w:val="0"/>
              <w:widowControl/>
              <w:suppressLineNumbers w:val="0"/>
              <w:kinsoku/>
              <w:wordWrap/>
              <w:overflowPunct/>
              <w:topLinePunct w:val="0"/>
              <w:autoSpaceDE/>
              <w:autoSpaceDN/>
              <w:bidi w:val="0"/>
              <w:adjustRightInd w:val="0"/>
              <w:spacing w:line="360" w:lineRule="auto"/>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5.3</w:t>
            </w:r>
          </w:p>
        </w:tc>
        <w:tc>
          <w:tcPr>
            <w:tcW w:w="4964" w:type="dxa"/>
            <w:vAlign w:val="center"/>
          </w:tcPr>
          <w:p w14:paraId="74642BF5">
            <w:pPr>
              <w:keepNext w:val="0"/>
              <w:keepLines w:val="0"/>
              <w:pageBreakBefore w:val="0"/>
              <w:kinsoku/>
              <w:wordWrap/>
              <w:overflowPunct/>
              <w:topLinePunct w:val="0"/>
              <w:autoSpaceDE/>
              <w:autoSpaceDN/>
              <w:bidi w:val="0"/>
              <w:adjustRightInd w:val="0"/>
              <w:spacing w:line="360" w:lineRule="auto"/>
              <w:jc w:val="left"/>
              <w:outlineLvl w:val="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CN"/>
              </w:rPr>
              <w:t>对投标人针对本项目</w:t>
            </w:r>
            <w:r>
              <w:rPr>
                <w:rFonts w:hint="eastAsia" w:ascii="宋体" w:hAnsi="宋体" w:cs="宋体"/>
                <w:color w:val="auto"/>
                <w:sz w:val="24"/>
                <w:szCs w:val="24"/>
                <w:highlight w:val="none"/>
                <w:lang w:val="en-US" w:eastAsia="zh-CN"/>
              </w:rPr>
              <w:t>需求中</w:t>
            </w:r>
            <w:r>
              <w:rPr>
                <w:rFonts w:hint="eastAsia" w:ascii="宋体" w:hAnsi="宋体" w:eastAsia="宋体" w:cs="宋体"/>
                <w:color w:val="auto"/>
                <w:sz w:val="24"/>
                <w:szCs w:val="24"/>
                <w:highlight w:val="none"/>
                <w:lang w:val="en-US" w:eastAsia="zh-CN"/>
              </w:rPr>
              <w:t>“终端运维</w:t>
            </w:r>
            <w:r>
              <w:rPr>
                <w:rFonts w:hint="eastAsia" w:ascii="宋体" w:hAnsi="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lang w:eastAsia="zh-Hans"/>
              </w:rPr>
              <w:t>桌面运维能力要求</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的服务方案</w:t>
            </w:r>
            <w:r>
              <w:rPr>
                <w:rFonts w:hint="eastAsia" w:ascii="宋体" w:hAnsi="宋体" w:eastAsia="宋体" w:cs="宋体"/>
                <w:color w:val="auto"/>
                <w:sz w:val="24"/>
                <w:szCs w:val="24"/>
                <w:highlight w:val="none"/>
                <w:lang w:val="en-US" w:eastAsia="zh-CN"/>
              </w:rPr>
              <w:t>进行评分。（分值：</w:t>
            </w:r>
            <w:r>
              <w:rPr>
                <w:rFonts w:hint="eastAsia" w:ascii="宋体" w:hAnsi="宋体" w:cs="宋体"/>
                <w:color w:val="auto"/>
                <w:sz w:val="24"/>
                <w:szCs w:val="24"/>
                <w:highlight w:val="none"/>
                <w:lang w:val="en-US" w:eastAsia="zh-CN"/>
              </w:rPr>
              <w:t>2分，1.5分，1分，0.5分，0分</w:t>
            </w:r>
            <w:r>
              <w:rPr>
                <w:rFonts w:hint="eastAsia" w:ascii="宋体" w:hAnsi="宋体" w:eastAsia="宋体" w:cs="宋体"/>
                <w:color w:val="auto"/>
                <w:sz w:val="24"/>
                <w:szCs w:val="24"/>
                <w:highlight w:val="none"/>
                <w:lang w:val="en-US" w:eastAsia="zh-CN"/>
              </w:rPr>
              <w:t>）</w:t>
            </w:r>
          </w:p>
        </w:tc>
        <w:tc>
          <w:tcPr>
            <w:tcW w:w="873" w:type="dxa"/>
            <w:vAlign w:val="center"/>
          </w:tcPr>
          <w:p w14:paraId="18C21CFE">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953" w:type="dxa"/>
            <w:vAlign w:val="center"/>
          </w:tcPr>
          <w:p w14:paraId="7F869A86">
            <w:pPr>
              <w:keepNext w:val="0"/>
              <w:keepLines w:val="0"/>
              <w:pageBreakBefore w:val="0"/>
              <w:kinsoku/>
              <w:wordWrap/>
              <w:overflowPunct/>
              <w:topLinePunct w:val="0"/>
              <w:autoSpaceDE/>
              <w:autoSpaceDN/>
              <w:bidi w:val="0"/>
              <w:adjustRightInd w:val="0"/>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2298" w:type="dxa"/>
            <w:vAlign w:val="center"/>
          </w:tcPr>
          <w:p w14:paraId="5D7F973C">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评标标准相应的技术资料</w:t>
            </w:r>
          </w:p>
        </w:tc>
      </w:tr>
      <w:tr w14:paraId="4F76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76" w:type="dxa"/>
            <w:vAlign w:val="center"/>
          </w:tcPr>
          <w:p w14:paraId="126CC7BC">
            <w:pPr>
              <w:keepNext w:val="0"/>
              <w:keepLines w:val="0"/>
              <w:pageBreakBefore w:val="0"/>
              <w:widowControl/>
              <w:suppressLineNumbers w:val="0"/>
              <w:kinsoku/>
              <w:wordWrap/>
              <w:overflowPunct/>
              <w:topLinePunct w:val="0"/>
              <w:autoSpaceDE/>
              <w:autoSpaceDN/>
              <w:bidi w:val="0"/>
              <w:adjustRightInd w:val="0"/>
              <w:spacing w:line="360" w:lineRule="auto"/>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5.4</w:t>
            </w:r>
          </w:p>
        </w:tc>
        <w:tc>
          <w:tcPr>
            <w:tcW w:w="4964" w:type="dxa"/>
            <w:vAlign w:val="center"/>
          </w:tcPr>
          <w:p w14:paraId="34DED199">
            <w:pPr>
              <w:keepNext w:val="0"/>
              <w:keepLines w:val="0"/>
              <w:pageBreakBefore w:val="0"/>
              <w:kinsoku/>
              <w:wordWrap/>
              <w:overflowPunct/>
              <w:topLinePunct w:val="0"/>
              <w:autoSpaceDE/>
              <w:autoSpaceDN/>
              <w:bidi w:val="0"/>
              <w:adjustRightInd w:val="0"/>
              <w:spacing w:line="360" w:lineRule="auto"/>
              <w:jc w:val="left"/>
              <w:outlineLvl w:val="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CN"/>
              </w:rPr>
              <w:t>对投标人针对本项目</w:t>
            </w:r>
            <w:r>
              <w:rPr>
                <w:rFonts w:hint="eastAsia" w:ascii="宋体" w:hAnsi="宋体" w:cs="宋体"/>
                <w:color w:val="auto"/>
                <w:sz w:val="24"/>
                <w:szCs w:val="24"/>
                <w:highlight w:val="none"/>
                <w:lang w:val="en-US" w:eastAsia="zh-CN"/>
              </w:rPr>
              <w:t>需求中</w:t>
            </w:r>
            <w:r>
              <w:rPr>
                <w:rFonts w:hint="eastAsia" w:ascii="宋体" w:hAnsi="宋体" w:eastAsia="宋体" w:cs="宋体"/>
                <w:color w:val="auto"/>
                <w:sz w:val="24"/>
                <w:szCs w:val="24"/>
                <w:highlight w:val="none"/>
                <w:lang w:val="en-US" w:eastAsia="zh-CN"/>
              </w:rPr>
              <w:t>“终端运维</w:t>
            </w:r>
            <w:r>
              <w:rPr>
                <w:rFonts w:hint="eastAsia" w:ascii="宋体" w:hAnsi="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lang w:eastAsia="zh-Hans"/>
              </w:rPr>
              <w:t>故障排查与性能优化</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的服务方案</w:t>
            </w:r>
            <w:r>
              <w:rPr>
                <w:rFonts w:hint="eastAsia" w:ascii="宋体" w:hAnsi="宋体" w:eastAsia="宋体" w:cs="宋体"/>
                <w:color w:val="auto"/>
                <w:sz w:val="24"/>
                <w:szCs w:val="24"/>
                <w:highlight w:val="none"/>
                <w:lang w:val="en-US" w:eastAsia="zh-CN"/>
              </w:rPr>
              <w:t>进行评分。（分值：</w:t>
            </w:r>
            <w:r>
              <w:rPr>
                <w:rFonts w:hint="eastAsia" w:ascii="宋体" w:hAnsi="宋体" w:cs="宋体"/>
                <w:color w:val="auto"/>
                <w:sz w:val="24"/>
                <w:szCs w:val="24"/>
                <w:highlight w:val="none"/>
                <w:lang w:val="en-US" w:eastAsia="zh-CN"/>
              </w:rPr>
              <w:t>2分，1.5分，1分，0.5分，0分</w:t>
            </w:r>
            <w:r>
              <w:rPr>
                <w:rFonts w:hint="eastAsia" w:ascii="宋体" w:hAnsi="宋体" w:eastAsia="宋体" w:cs="宋体"/>
                <w:color w:val="auto"/>
                <w:sz w:val="24"/>
                <w:szCs w:val="24"/>
                <w:highlight w:val="none"/>
                <w:lang w:val="en-US" w:eastAsia="zh-CN"/>
              </w:rPr>
              <w:t>）</w:t>
            </w:r>
          </w:p>
        </w:tc>
        <w:tc>
          <w:tcPr>
            <w:tcW w:w="873" w:type="dxa"/>
            <w:vAlign w:val="center"/>
          </w:tcPr>
          <w:p w14:paraId="17FAAF97">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953" w:type="dxa"/>
            <w:vAlign w:val="center"/>
          </w:tcPr>
          <w:p w14:paraId="6AA5953D">
            <w:pPr>
              <w:keepNext w:val="0"/>
              <w:keepLines w:val="0"/>
              <w:pageBreakBefore w:val="0"/>
              <w:kinsoku/>
              <w:wordWrap/>
              <w:overflowPunct/>
              <w:topLinePunct w:val="0"/>
              <w:autoSpaceDE/>
              <w:autoSpaceDN/>
              <w:bidi w:val="0"/>
              <w:adjustRightInd w:val="0"/>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2298" w:type="dxa"/>
            <w:vAlign w:val="center"/>
          </w:tcPr>
          <w:p w14:paraId="064D5305">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评标标准相应的技术资料</w:t>
            </w:r>
          </w:p>
        </w:tc>
      </w:tr>
      <w:tr w14:paraId="0229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76" w:type="dxa"/>
            <w:vAlign w:val="center"/>
          </w:tcPr>
          <w:p w14:paraId="57175DD2">
            <w:pPr>
              <w:keepNext w:val="0"/>
              <w:keepLines w:val="0"/>
              <w:pageBreakBefore w:val="0"/>
              <w:widowControl/>
              <w:suppressLineNumbers w:val="0"/>
              <w:kinsoku/>
              <w:wordWrap/>
              <w:overflowPunct/>
              <w:topLinePunct w:val="0"/>
              <w:autoSpaceDE/>
              <w:autoSpaceDN/>
              <w:bidi w:val="0"/>
              <w:adjustRightInd w:val="0"/>
              <w:spacing w:line="360" w:lineRule="auto"/>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5.5</w:t>
            </w:r>
          </w:p>
        </w:tc>
        <w:tc>
          <w:tcPr>
            <w:tcW w:w="4964" w:type="dxa"/>
            <w:vAlign w:val="center"/>
          </w:tcPr>
          <w:p w14:paraId="1C0553A9">
            <w:pPr>
              <w:keepNext w:val="0"/>
              <w:keepLines w:val="0"/>
              <w:pageBreakBefore w:val="0"/>
              <w:kinsoku/>
              <w:wordWrap/>
              <w:overflowPunct/>
              <w:topLinePunct w:val="0"/>
              <w:autoSpaceDE/>
              <w:autoSpaceDN/>
              <w:bidi w:val="0"/>
              <w:adjustRightInd w:val="0"/>
              <w:spacing w:line="360" w:lineRule="auto"/>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对投标人针对本项目</w:t>
            </w:r>
            <w:r>
              <w:rPr>
                <w:rFonts w:hint="eastAsia" w:ascii="宋体" w:hAnsi="宋体" w:cs="宋体"/>
                <w:color w:val="auto"/>
                <w:sz w:val="24"/>
                <w:szCs w:val="24"/>
                <w:highlight w:val="none"/>
                <w:lang w:val="en-US" w:eastAsia="zh-CN"/>
              </w:rPr>
              <w:t>需求中</w:t>
            </w:r>
            <w:r>
              <w:rPr>
                <w:rFonts w:hint="eastAsia" w:ascii="宋体" w:hAnsi="宋体" w:eastAsia="宋体" w:cs="宋体"/>
                <w:color w:val="auto"/>
                <w:sz w:val="24"/>
                <w:szCs w:val="24"/>
                <w:highlight w:val="none"/>
                <w:lang w:val="en-US" w:eastAsia="zh-CN"/>
              </w:rPr>
              <w:t>“终端运维</w:t>
            </w:r>
            <w:r>
              <w:rPr>
                <w:rFonts w:hint="eastAsia" w:ascii="宋体" w:hAnsi="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lang w:eastAsia="zh-Hans"/>
              </w:rPr>
              <w:t>日常运维与安全管理</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的服务方案</w:t>
            </w:r>
            <w:r>
              <w:rPr>
                <w:rFonts w:hint="eastAsia" w:ascii="宋体" w:hAnsi="宋体" w:eastAsia="宋体" w:cs="宋体"/>
                <w:color w:val="auto"/>
                <w:sz w:val="24"/>
                <w:szCs w:val="24"/>
                <w:highlight w:val="none"/>
                <w:lang w:val="en-US" w:eastAsia="zh-CN"/>
              </w:rPr>
              <w:t>进行评分。（分值：</w:t>
            </w:r>
            <w:r>
              <w:rPr>
                <w:rFonts w:hint="eastAsia" w:ascii="宋体" w:hAnsi="宋体" w:cs="宋体"/>
                <w:color w:val="auto"/>
                <w:sz w:val="24"/>
                <w:szCs w:val="24"/>
                <w:highlight w:val="none"/>
                <w:lang w:val="en-US" w:eastAsia="zh-CN"/>
              </w:rPr>
              <w:t>2分，1.5分，1分，0.5分，0分</w:t>
            </w:r>
            <w:r>
              <w:rPr>
                <w:rFonts w:hint="eastAsia" w:ascii="宋体" w:hAnsi="宋体" w:eastAsia="宋体" w:cs="宋体"/>
                <w:color w:val="auto"/>
                <w:sz w:val="24"/>
                <w:szCs w:val="24"/>
                <w:highlight w:val="none"/>
                <w:lang w:val="en-US" w:eastAsia="zh-CN"/>
              </w:rPr>
              <w:t>）</w:t>
            </w:r>
          </w:p>
        </w:tc>
        <w:tc>
          <w:tcPr>
            <w:tcW w:w="873" w:type="dxa"/>
            <w:vAlign w:val="center"/>
          </w:tcPr>
          <w:p w14:paraId="2E5BF085">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953" w:type="dxa"/>
            <w:vAlign w:val="center"/>
          </w:tcPr>
          <w:p w14:paraId="1629E7FF">
            <w:pPr>
              <w:keepNext w:val="0"/>
              <w:keepLines w:val="0"/>
              <w:pageBreakBefore w:val="0"/>
              <w:kinsoku/>
              <w:wordWrap/>
              <w:overflowPunct/>
              <w:topLinePunct w:val="0"/>
              <w:autoSpaceDE/>
              <w:autoSpaceDN/>
              <w:bidi w:val="0"/>
              <w:adjustRightInd w:val="0"/>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2298" w:type="dxa"/>
            <w:vAlign w:val="center"/>
          </w:tcPr>
          <w:p w14:paraId="3680E1B8">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评标标准相应的技术资料</w:t>
            </w:r>
          </w:p>
        </w:tc>
      </w:tr>
      <w:tr w14:paraId="051D1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76" w:type="dxa"/>
            <w:vAlign w:val="center"/>
          </w:tcPr>
          <w:p w14:paraId="508E6603">
            <w:pPr>
              <w:keepNext w:val="0"/>
              <w:keepLines w:val="0"/>
              <w:pageBreakBefore w:val="0"/>
              <w:widowControl/>
              <w:suppressLineNumbers w:val="0"/>
              <w:kinsoku/>
              <w:wordWrap/>
              <w:overflowPunct/>
              <w:topLinePunct w:val="0"/>
              <w:autoSpaceDE/>
              <w:autoSpaceDN/>
              <w:bidi w:val="0"/>
              <w:adjustRightInd w:val="0"/>
              <w:spacing w:line="360" w:lineRule="auto"/>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5.6</w:t>
            </w:r>
          </w:p>
        </w:tc>
        <w:tc>
          <w:tcPr>
            <w:tcW w:w="4964" w:type="dxa"/>
            <w:vAlign w:val="center"/>
          </w:tcPr>
          <w:p w14:paraId="739C41BD">
            <w:pPr>
              <w:keepNext w:val="0"/>
              <w:keepLines w:val="0"/>
              <w:pageBreakBefore w:val="0"/>
              <w:kinsoku/>
              <w:wordWrap/>
              <w:overflowPunct/>
              <w:topLinePunct w:val="0"/>
              <w:autoSpaceDE/>
              <w:autoSpaceDN/>
              <w:bidi w:val="0"/>
              <w:adjustRightInd w:val="0"/>
              <w:spacing w:line="360" w:lineRule="auto"/>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对投标人针对本项目</w:t>
            </w:r>
            <w:r>
              <w:rPr>
                <w:rFonts w:hint="eastAsia" w:ascii="宋体" w:hAnsi="宋体" w:cs="宋体"/>
                <w:color w:val="auto"/>
                <w:sz w:val="24"/>
                <w:szCs w:val="24"/>
                <w:highlight w:val="none"/>
                <w:lang w:val="en-US" w:eastAsia="zh-CN"/>
              </w:rPr>
              <w:t>需求中</w:t>
            </w:r>
            <w:r>
              <w:rPr>
                <w:rFonts w:hint="eastAsia" w:ascii="宋体" w:hAnsi="宋体" w:eastAsia="宋体" w:cs="宋体"/>
                <w:color w:val="auto"/>
                <w:sz w:val="24"/>
                <w:szCs w:val="24"/>
                <w:highlight w:val="none"/>
                <w:lang w:val="en-US" w:eastAsia="zh-CN"/>
              </w:rPr>
              <w:t>“终端运维</w:t>
            </w:r>
            <w:r>
              <w:rPr>
                <w:rFonts w:hint="eastAsia" w:ascii="宋体" w:hAnsi="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lang w:eastAsia="zh-Hans"/>
              </w:rPr>
              <w:t>网络终端运维</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的服务方案</w:t>
            </w:r>
            <w:r>
              <w:rPr>
                <w:rFonts w:hint="eastAsia" w:ascii="宋体" w:hAnsi="宋体" w:eastAsia="宋体" w:cs="宋体"/>
                <w:color w:val="auto"/>
                <w:sz w:val="24"/>
                <w:szCs w:val="24"/>
                <w:highlight w:val="none"/>
                <w:lang w:val="en-US" w:eastAsia="zh-CN"/>
              </w:rPr>
              <w:t>进行评分。（分值：</w:t>
            </w:r>
            <w:r>
              <w:rPr>
                <w:rFonts w:hint="eastAsia" w:ascii="宋体" w:hAnsi="宋体" w:cs="宋体"/>
                <w:color w:val="auto"/>
                <w:sz w:val="24"/>
                <w:szCs w:val="24"/>
                <w:highlight w:val="none"/>
                <w:lang w:val="en-US" w:eastAsia="zh-CN"/>
              </w:rPr>
              <w:t>2分，1.5分，1分，0.5分，0分</w:t>
            </w:r>
            <w:r>
              <w:rPr>
                <w:rFonts w:hint="eastAsia" w:ascii="宋体" w:hAnsi="宋体" w:eastAsia="宋体" w:cs="宋体"/>
                <w:color w:val="auto"/>
                <w:sz w:val="24"/>
                <w:szCs w:val="24"/>
                <w:highlight w:val="none"/>
                <w:lang w:val="en-US" w:eastAsia="zh-CN"/>
              </w:rPr>
              <w:t>）</w:t>
            </w:r>
          </w:p>
        </w:tc>
        <w:tc>
          <w:tcPr>
            <w:tcW w:w="873" w:type="dxa"/>
            <w:vAlign w:val="center"/>
          </w:tcPr>
          <w:p w14:paraId="73BD18C1">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953" w:type="dxa"/>
            <w:vAlign w:val="center"/>
          </w:tcPr>
          <w:p w14:paraId="6E29C4EB">
            <w:pPr>
              <w:keepNext w:val="0"/>
              <w:keepLines w:val="0"/>
              <w:pageBreakBefore w:val="0"/>
              <w:kinsoku/>
              <w:wordWrap/>
              <w:overflowPunct/>
              <w:topLinePunct w:val="0"/>
              <w:autoSpaceDE/>
              <w:autoSpaceDN/>
              <w:bidi w:val="0"/>
              <w:adjustRightInd w:val="0"/>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2298" w:type="dxa"/>
            <w:vAlign w:val="center"/>
          </w:tcPr>
          <w:p w14:paraId="75EE8F3E">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评标标准相应的技术资料</w:t>
            </w:r>
          </w:p>
        </w:tc>
      </w:tr>
      <w:tr w14:paraId="4B15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6" w:type="dxa"/>
            <w:vAlign w:val="center"/>
          </w:tcPr>
          <w:p w14:paraId="12845904">
            <w:pPr>
              <w:keepNext w:val="0"/>
              <w:keepLines w:val="0"/>
              <w:pageBreakBefore w:val="0"/>
              <w:widowControl/>
              <w:suppressLineNumbers w:val="0"/>
              <w:kinsoku/>
              <w:wordWrap/>
              <w:overflowPunct/>
              <w:topLinePunct w:val="0"/>
              <w:autoSpaceDE/>
              <w:autoSpaceDN/>
              <w:bidi w:val="0"/>
              <w:adjustRightInd w:val="0"/>
              <w:spacing w:line="360" w:lineRule="auto"/>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5.7</w:t>
            </w:r>
          </w:p>
        </w:tc>
        <w:tc>
          <w:tcPr>
            <w:tcW w:w="4964" w:type="dxa"/>
            <w:vAlign w:val="center"/>
          </w:tcPr>
          <w:p w14:paraId="4C5EDC5D">
            <w:pPr>
              <w:keepNext w:val="0"/>
              <w:keepLines w:val="0"/>
              <w:pageBreakBefore w:val="0"/>
              <w:kinsoku/>
              <w:wordWrap/>
              <w:overflowPunct/>
              <w:topLinePunct w:val="0"/>
              <w:autoSpaceDE/>
              <w:autoSpaceDN/>
              <w:bidi w:val="0"/>
              <w:adjustRightInd w:val="0"/>
              <w:spacing w:line="360" w:lineRule="auto"/>
              <w:jc w:val="left"/>
              <w:outlineLvl w:val="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CN"/>
              </w:rPr>
              <w:t>对投标人针对本项目</w:t>
            </w:r>
            <w:r>
              <w:rPr>
                <w:rFonts w:hint="eastAsia" w:ascii="宋体" w:hAnsi="宋体" w:cs="宋体"/>
                <w:color w:val="auto"/>
                <w:sz w:val="24"/>
                <w:szCs w:val="24"/>
                <w:highlight w:val="none"/>
                <w:lang w:val="en-US" w:eastAsia="zh-CN"/>
              </w:rPr>
              <w:t>需求中</w:t>
            </w:r>
            <w:r>
              <w:rPr>
                <w:rFonts w:hint="eastAsia" w:ascii="宋体" w:hAnsi="宋体" w:eastAsia="宋体" w:cs="宋体"/>
                <w:color w:val="auto"/>
                <w:sz w:val="24"/>
                <w:szCs w:val="24"/>
                <w:highlight w:val="none"/>
                <w:lang w:val="en-US" w:eastAsia="zh-CN"/>
              </w:rPr>
              <w:t>“终端运维</w:t>
            </w:r>
            <w:r>
              <w:rPr>
                <w:rFonts w:hint="eastAsia" w:ascii="宋体" w:hAnsi="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lang w:eastAsia="zh-Hans"/>
              </w:rPr>
              <w:t>文件要求</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的服务方案</w:t>
            </w:r>
            <w:r>
              <w:rPr>
                <w:rFonts w:hint="eastAsia" w:ascii="宋体" w:hAnsi="宋体" w:eastAsia="宋体" w:cs="宋体"/>
                <w:color w:val="auto"/>
                <w:sz w:val="24"/>
                <w:szCs w:val="24"/>
                <w:highlight w:val="none"/>
                <w:lang w:val="en-US" w:eastAsia="zh-CN"/>
              </w:rPr>
              <w:t>进行评分。（分值：</w:t>
            </w:r>
            <w:r>
              <w:rPr>
                <w:rFonts w:hint="eastAsia" w:ascii="宋体" w:hAnsi="宋体" w:cs="宋体"/>
                <w:color w:val="auto"/>
                <w:sz w:val="24"/>
                <w:szCs w:val="24"/>
                <w:highlight w:val="none"/>
                <w:lang w:val="en-US" w:eastAsia="zh-CN"/>
              </w:rPr>
              <w:t>2分，1.5分，1分，0.5分，0分</w:t>
            </w:r>
            <w:r>
              <w:rPr>
                <w:rFonts w:hint="eastAsia" w:ascii="宋体" w:hAnsi="宋体" w:eastAsia="宋体" w:cs="宋体"/>
                <w:color w:val="auto"/>
                <w:sz w:val="24"/>
                <w:szCs w:val="24"/>
                <w:highlight w:val="none"/>
                <w:lang w:val="en-US" w:eastAsia="zh-CN"/>
              </w:rPr>
              <w:t>）</w:t>
            </w:r>
          </w:p>
        </w:tc>
        <w:tc>
          <w:tcPr>
            <w:tcW w:w="873" w:type="dxa"/>
            <w:vAlign w:val="center"/>
          </w:tcPr>
          <w:p w14:paraId="322E36D4">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953" w:type="dxa"/>
            <w:vAlign w:val="center"/>
          </w:tcPr>
          <w:p w14:paraId="1AD58E8A">
            <w:pPr>
              <w:keepNext w:val="0"/>
              <w:keepLines w:val="0"/>
              <w:pageBreakBefore w:val="0"/>
              <w:kinsoku/>
              <w:wordWrap/>
              <w:overflowPunct/>
              <w:topLinePunct w:val="0"/>
              <w:autoSpaceDE/>
              <w:autoSpaceDN/>
              <w:bidi w:val="0"/>
              <w:adjustRightInd w:val="0"/>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2298" w:type="dxa"/>
            <w:vAlign w:val="center"/>
          </w:tcPr>
          <w:p w14:paraId="69059C8B">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评标标准相应的技术资料</w:t>
            </w:r>
          </w:p>
        </w:tc>
      </w:tr>
      <w:tr w14:paraId="0B109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6" w:type="dxa"/>
            <w:vAlign w:val="center"/>
          </w:tcPr>
          <w:p w14:paraId="2122E9CA">
            <w:pPr>
              <w:keepNext w:val="0"/>
              <w:keepLines w:val="0"/>
              <w:pageBreakBefore w:val="0"/>
              <w:widowControl/>
              <w:suppressLineNumbers w:val="0"/>
              <w:kinsoku/>
              <w:wordWrap/>
              <w:overflowPunct/>
              <w:topLinePunct w:val="0"/>
              <w:autoSpaceDE/>
              <w:autoSpaceDN/>
              <w:bidi w:val="0"/>
              <w:adjustRightInd w:val="0"/>
              <w:spacing w:line="360" w:lineRule="auto"/>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.8</w:t>
            </w:r>
          </w:p>
        </w:tc>
        <w:tc>
          <w:tcPr>
            <w:tcW w:w="4964" w:type="dxa"/>
            <w:vAlign w:val="center"/>
          </w:tcPr>
          <w:p w14:paraId="27565FD1">
            <w:pPr>
              <w:keepNext w:val="0"/>
              <w:keepLines w:val="0"/>
              <w:pageBreakBefore w:val="0"/>
              <w:kinsoku/>
              <w:wordWrap/>
              <w:overflowPunct/>
              <w:topLinePunct w:val="0"/>
              <w:autoSpaceDE/>
              <w:autoSpaceDN/>
              <w:bidi w:val="0"/>
              <w:adjustRightInd w:val="0"/>
              <w:spacing w:line="360" w:lineRule="auto"/>
              <w:jc w:val="left"/>
              <w:outlineLvl w:val="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CN"/>
              </w:rPr>
              <w:t>对投标人针对本项目</w:t>
            </w:r>
            <w:r>
              <w:rPr>
                <w:rFonts w:hint="eastAsia" w:ascii="宋体" w:hAnsi="宋体" w:cs="宋体"/>
                <w:color w:val="auto"/>
                <w:sz w:val="24"/>
                <w:szCs w:val="24"/>
                <w:highlight w:val="none"/>
                <w:lang w:val="en-US" w:eastAsia="zh-CN"/>
              </w:rPr>
              <w:t>需求中</w:t>
            </w:r>
            <w:r>
              <w:rPr>
                <w:rFonts w:hint="eastAsia" w:ascii="宋体" w:hAnsi="宋体" w:eastAsia="宋体" w:cs="宋体"/>
                <w:color w:val="auto"/>
                <w:sz w:val="24"/>
                <w:szCs w:val="24"/>
                <w:highlight w:val="none"/>
                <w:lang w:val="en-US" w:eastAsia="zh-CN"/>
              </w:rPr>
              <w:t>“终端运维</w:t>
            </w:r>
            <w:r>
              <w:rPr>
                <w:rFonts w:hint="eastAsia" w:ascii="宋体" w:hAnsi="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lang w:eastAsia="zh-Hans"/>
              </w:rPr>
              <w:t>网络和数据安全要求</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的服务方案</w:t>
            </w:r>
            <w:r>
              <w:rPr>
                <w:rFonts w:hint="eastAsia" w:ascii="宋体" w:hAnsi="宋体" w:eastAsia="宋体" w:cs="宋体"/>
                <w:color w:val="auto"/>
                <w:sz w:val="24"/>
                <w:szCs w:val="24"/>
                <w:highlight w:val="none"/>
                <w:lang w:val="en-US" w:eastAsia="zh-CN"/>
              </w:rPr>
              <w:t>进行评分。（分值：</w:t>
            </w:r>
            <w:r>
              <w:rPr>
                <w:rFonts w:hint="eastAsia" w:ascii="宋体" w:hAnsi="宋体" w:cs="宋体"/>
                <w:color w:val="auto"/>
                <w:sz w:val="24"/>
                <w:szCs w:val="24"/>
                <w:highlight w:val="none"/>
                <w:lang w:val="en-US" w:eastAsia="zh-CN"/>
              </w:rPr>
              <w:t>2分，1.5分，1分，0.5分，0分</w:t>
            </w:r>
            <w:r>
              <w:rPr>
                <w:rFonts w:hint="eastAsia" w:ascii="宋体" w:hAnsi="宋体" w:eastAsia="宋体" w:cs="宋体"/>
                <w:color w:val="auto"/>
                <w:sz w:val="24"/>
                <w:szCs w:val="24"/>
                <w:highlight w:val="none"/>
                <w:lang w:val="en-US" w:eastAsia="zh-CN"/>
              </w:rPr>
              <w:t>）</w:t>
            </w:r>
          </w:p>
        </w:tc>
        <w:tc>
          <w:tcPr>
            <w:tcW w:w="873" w:type="dxa"/>
            <w:vAlign w:val="center"/>
          </w:tcPr>
          <w:p w14:paraId="7C445794">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953" w:type="dxa"/>
            <w:vAlign w:val="center"/>
          </w:tcPr>
          <w:p w14:paraId="5EE7C5F8">
            <w:pPr>
              <w:keepNext w:val="0"/>
              <w:keepLines w:val="0"/>
              <w:pageBreakBefore w:val="0"/>
              <w:kinsoku/>
              <w:wordWrap/>
              <w:overflowPunct/>
              <w:topLinePunct w:val="0"/>
              <w:autoSpaceDE/>
              <w:autoSpaceDN/>
              <w:bidi w:val="0"/>
              <w:adjustRightInd w:val="0"/>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2298" w:type="dxa"/>
            <w:vAlign w:val="center"/>
          </w:tcPr>
          <w:p w14:paraId="54A0D0AF">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评标标准相应的技术资料</w:t>
            </w:r>
          </w:p>
        </w:tc>
      </w:tr>
      <w:tr w14:paraId="4EBB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6" w:type="dxa"/>
            <w:vAlign w:val="center"/>
          </w:tcPr>
          <w:p w14:paraId="4D5F8AA1">
            <w:pPr>
              <w:keepNext w:val="0"/>
              <w:keepLines w:val="0"/>
              <w:pageBreakBefore w:val="0"/>
              <w:widowControl/>
              <w:suppressLineNumbers w:val="0"/>
              <w:kinsoku/>
              <w:wordWrap/>
              <w:overflowPunct/>
              <w:topLinePunct w:val="0"/>
              <w:autoSpaceDE/>
              <w:autoSpaceDN/>
              <w:bidi w:val="0"/>
              <w:adjustRightInd w:val="0"/>
              <w:spacing w:line="360" w:lineRule="auto"/>
              <w:jc w:val="center"/>
              <w:textAlignment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.9</w:t>
            </w:r>
          </w:p>
        </w:tc>
        <w:tc>
          <w:tcPr>
            <w:tcW w:w="4964" w:type="dxa"/>
            <w:vAlign w:val="center"/>
          </w:tcPr>
          <w:p w14:paraId="2463C83D">
            <w:pPr>
              <w:keepNext w:val="0"/>
              <w:keepLines w:val="0"/>
              <w:pageBreakBefore w:val="0"/>
              <w:kinsoku/>
              <w:wordWrap/>
              <w:overflowPunct/>
              <w:topLinePunct w:val="0"/>
              <w:autoSpaceDE/>
              <w:autoSpaceDN/>
              <w:bidi w:val="0"/>
              <w:adjustRightInd w:val="0"/>
              <w:spacing w:line="360" w:lineRule="auto"/>
              <w:jc w:val="left"/>
              <w:outlineLvl w:val="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CN"/>
              </w:rPr>
              <w:t>投标文件完全满足采购需求中“第三</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val="en-US" w:eastAsia="zh-CN"/>
              </w:rPr>
              <w:t>条</w:t>
            </w:r>
            <w:r>
              <w:rPr>
                <w:rFonts w:hint="eastAsia" w:ascii="宋体" w:hAnsi="宋体" w:cs="宋体"/>
                <w:color w:val="auto"/>
                <w:sz w:val="24"/>
                <w:szCs w:val="24"/>
                <w:highlight w:val="none"/>
                <w:lang w:val="en-US" w:eastAsia="zh-CN"/>
              </w:rPr>
              <w:t>中的3服务具体要求</w:t>
            </w:r>
            <w:r>
              <w:rPr>
                <w:rFonts w:hint="eastAsia" w:ascii="宋体" w:hAnsi="宋体" w:eastAsia="宋体" w:cs="宋体"/>
                <w:color w:val="auto"/>
                <w:sz w:val="24"/>
                <w:szCs w:val="24"/>
                <w:highlight w:val="none"/>
                <w:lang w:val="en-US" w:eastAsia="zh-CN"/>
              </w:rPr>
              <w:t>”全部条款内容要求的得</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每</w:t>
            </w:r>
            <w:r>
              <w:rPr>
                <w:rFonts w:hint="eastAsia" w:ascii="宋体" w:hAnsi="宋体" w:eastAsia="宋体" w:cs="宋体"/>
                <w:color w:val="auto"/>
                <w:sz w:val="24"/>
                <w:szCs w:val="24"/>
                <w:highlight w:val="none"/>
                <w:lang w:val="en-US" w:eastAsia="zh-CN"/>
              </w:rPr>
              <w:t>有1项不满足扣</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分，扣完为止。</w:t>
            </w:r>
          </w:p>
        </w:tc>
        <w:tc>
          <w:tcPr>
            <w:tcW w:w="873" w:type="dxa"/>
            <w:vAlign w:val="center"/>
          </w:tcPr>
          <w:p w14:paraId="3705CFBF">
            <w:pPr>
              <w:keepNext w:val="0"/>
              <w:keepLines w:val="0"/>
              <w:pageBreakBefore w:val="0"/>
              <w:kinsoku/>
              <w:wordWrap/>
              <w:overflowPunct/>
              <w:topLinePunct w:val="0"/>
              <w:autoSpaceDE/>
              <w:autoSpaceDN/>
              <w:bidi w:val="0"/>
              <w:adjustRightInd w:val="0"/>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953" w:type="dxa"/>
            <w:vAlign w:val="center"/>
          </w:tcPr>
          <w:p w14:paraId="1F40507B">
            <w:pPr>
              <w:keepNext w:val="0"/>
              <w:keepLines w:val="0"/>
              <w:pageBreakBefore w:val="0"/>
              <w:kinsoku/>
              <w:wordWrap/>
              <w:overflowPunct/>
              <w:topLinePunct w:val="0"/>
              <w:autoSpaceDE/>
              <w:autoSpaceDN/>
              <w:bidi w:val="0"/>
              <w:adjustRightInd w:val="0"/>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2298" w:type="dxa"/>
            <w:vAlign w:val="center"/>
          </w:tcPr>
          <w:p w14:paraId="376E1288">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评标标准相应的</w:t>
            </w:r>
            <w:r>
              <w:rPr>
                <w:rFonts w:hint="eastAsia" w:ascii="宋体" w:hAnsi="宋体" w:cs="宋体"/>
                <w:bCs/>
                <w:color w:val="auto"/>
                <w:sz w:val="24"/>
                <w:szCs w:val="24"/>
                <w:highlight w:val="none"/>
                <w:lang w:val="en-US" w:eastAsia="zh-CN"/>
              </w:rPr>
              <w:t>技术响应表</w:t>
            </w:r>
          </w:p>
        </w:tc>
      </w:tr>
      <w:tr w14:paraId="62C5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6" w:type="dxa"/>
            <w:vAlign w:val="center"/>
          </w:tcPr>
          <w:p w14:paraId="33404282">
            <w:pPr>
              <w:keepNext w:val="0"/>
              <w:keepLines w:val="0"/>
              <w:pageBreakBefore w:val="0"/>
              <w:widowControl/>
              <w:suppressLineNumbers w:val="0"/>
              <w:kinsoku/>
              <w:wordWrap/>
              <w:overflowPunct/>
              <w:topLinePunct w:val="0"/>
              <w:autoSpaceDE/>
              <w:autoSpaceDN/>
              <w:bidi w:val="0"/>
              <w:adjustRightInd w:val="0"/>
              <w:spacing w:line="360" w:lineRule="auto"/>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w:t>
            </w:r>
          </w:p>
        </w:tc>
        <w:tc>
          <w:tcPr>
            <w:tcW w:w="4964" w:type="dxa"/>
            <w:vAlign w:val="center"/>
          </w:tcPr>
          <w:p w14:paraId="1FB3E139">
            <w:pPr>
              <w:keepNext w:val="0"/>
              <w:keepLines w:val="0"/>
              <w:pageBreakBefore w:val="0"/>
              <w:kinsoku/>
              <w:wordWrap/>
              <w:overflowPunct/>
              <w:topLinePunct w:val="0"/>
              <w:autoSpaceDE/>
              <w:autoSpaceDN/>
              <w:bidi w:val="0"/>
              <w:adjustRightInd w:val="0"/>
              <w:spacing w:line="360" w:lineRule="auto"/>
              <w:jc w:val="left"/>
              <w:outlineLvl w:val="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CN"/>
              </w:rPr>
              <w:t>对投标人针对本项目</w:t>
            </w:r>
            <w:r>
              <w:rPr>
                <w:rFonts w:hint="eastAsia" w:ascii="宋体" w:hAnsi="宋体" w:eastAsia="宋体" w:cs="宋体"/>
                <w:color w:val="auto"/>
                <w:sz w:val="24"/>
                <w:szCs w:val="24"/>
                <w:highlight w:val="none"/>
              </w:rPr>
              <w:t>实施重点、难点</w:t>
            </w:r>
            <w:r>
              <w:rPr>
                <w:rFonts w:hint="eastAsia" w:ascii="宋体" w:hAnsi="宋体" w:cs="宋体"/>
                <w:color w:val="auto"/>
                <w:sz w:val="24"/>
                <w:szCs w:val="24"/>
                <w:highlight w:val="none"/>
                <w:lang w:val="en-US" w:eastAsia="zh-CN"/>
              </w:rPr>
              <w:t>理解的全面透彻情况和相应</w:t>
            </w:r>
            <w:r>
              <w:rPr>
                <w:rFonts w:hint="eastAsia" w:ascii="宋体" w:hAnsi="宋体" w:eastAsia="宋体" w:cs="宋体"/>
                <w:color w:val="auto"/>
                <w:sz w:val="24"/>
                <w:szCs w:val="24"/>
                <w:highlight w:val="none"/>
              </w:rPr>
              <w:t>解决方案与合理化建议</w:t>
            </w:r>
            <w:r>
              <w:rPr>
                <w:rFonts w:hint="eastAsia" w:ascii="宋体" w:hAnsi="宋体" w:eastAsia="宋体" w:cs="宋体"/>
                <w:color w:val="auto"/>
                <w:sz w:val="24"/>
                <w:szCs w:val="24"/>
                <w:highlight w:val="none"/>
                <w:lang w:val="en-US" w:eastAsia="zh-CN"/>
              </w:rPr>
              <w:t>进行评分。（分值：3分，2分，1分，0分）</w:t>
            </w:r>
          </w:p>
        </w:tc>
        <w:tc>
          <w:tcPr>
            <w:tcW w:w="873" w:type="dxa"/>
            <w:vAlign w:val="center"/>
          </w:tcPr>
          <w:p w14:paraId="184D159D">
            <w:pPr>
              <w:keepNext w:val="0"/>
              <w:keepLines w:val="0"/>
              <w:pageBreakBefore w:val="0"/>
              <w:kinsoku/>
              <w:wordWrap/>
              <w:overflowPunct/>
              <w:topLinePunct w:val="0"/>
              <w:autoSpaceDE/>
              <w:autoSpaceDN/>
              <w:bidi w:val="0"/>
              <w:adjustRightInd w:val="0"/>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953" w:type="dxa"/>
            <w:vAlign w:val="center"/>
          </w:tcPr>
          <w:p w14:paraId="257F4E52">
            <w:pPr>
              <w:keepNext w:val="0"/>
              <w:keepLines w:val="0"/>
              <w:pageBreakBefore w:val="0"/>
              <w:kinsoku/>
              <w:wordWrap/>
              <w:overflowPunct/>
              <w:topLinePunct w:val="0"/>
              <w:autoSpaceDE/>
              <w:autoSpaceDN/>
              <w:bidi w:val="0"/>
              <w:adjustRightInd w:val="0"/>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2298" w:type="dxa"/>
            <w:vAlign w:val="center"/>
          </w:tcPr>
          <w:p w14:paraId="4A4E6B18">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评标标准相应的技术资料</w:t>
            </w:r>
          </w:p>
        </w:tc>
      </w:tr>
      <w:tr w14:paraId="16CDE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6" w:type="dxa"/>
            <w:vAlign w:val="center"/>
          </w:tcPr>
          <w:p w14:paraId="232C75BD">
            <w:pPr>
              <w:keepNext w:val="0"/>
              <w:keepLines w:val="0"/>
              <w:pageBreakBefore w:val="0"/>
              <w:widowControl/>
              <w:suppressLineNumbers w:val="0"/>
              <w:kinsoku/>
              <w:wordWrap/>
              <w:overflowPunct/>
              <w:topLinePunct w:val="0"/>
              <w:autoSpaceDE/>
              <w:autoSpaceDN/>
              <w:bidi w:val="0"/>
              <w:adjustRightInd w:val="0"/>
              <w:spacing w:line="360" w:lineRule="auto"/>
              <w:jc w:val="center"/>
              <w:textAlignment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7</w:t>
            </w:r>
          </w:p>
        </w:tc>
        <w:tc>
          <w:tcPr>
            <w:tcW w:w="4964" w:type="dxa"/>
            <w:vAlign w:val="center"/>
          </w:tcPr>
          <w:p w14:paraId="00892DD9">
            <w:pPr>
              <w:keepNext w:val="0"/>
              <w:keepLines w:val="0"/>
              <w:pageBreakBefore w:val="0"/>
              <w:kinsoku/>
              <w:wordWrap/>
              <w:overflowPunct/>
              <w:topLinePunct w:val="0"/>
              <w:autoSpaceDE/>
              <w:autoSpaceDN/>
              <w:bidi w:val="0"/>
              <w:adjustRightInd w:val="0"/>
              <w:spacing w:line="360" w:lineRule="auto"/>
              <w:jc w:val="left"/>
              <w:outlineLvl w:val="0"/>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CN"/>
              </w:rPr>
              <w:t>对投标人针对本项目</w:t>
            </w:r>
            <w:r>
              <w:rPr>
                <w:rFonts w:hint="eastAsia" w:ascii="宋体" w:hAnsi="宋体" w:cs="宋体"/>
                <w:color w:val="auto"/>
                <w:sz w:val="24"/>
                <w:szCs w:val="24"/>
                <w:highlight w:val="none"/>
                <w:lang w:val="en-US" w:eastAsia="zh-CN"/>
              </w:rPr>
              <w:t>的服务质量目标及相应的保障体系和磋商情况</w:t>
            </w:r>
            <w:r>
              <w:rPr>
                <w:rFonts w:hint="eastAsia" w:ascii="宋体" w:hAnsi="宋体" w:eastAsia="宋体" w:cs="宋体"/>
                <w:color w:val="auto"/>
                <w:sz w:val="24"/>
                <w:szCs w:val="24"/>
                <w:highlight w:val="none"/>
                <w:lang w:val="en-US" w:eastAsia="zh-CN"/>
              </w:rPr>
              <w:t>进行评分。（分值：</w:t>
            </w:r>
            <w:r>
              <w:rPr>
                <w:rFonts w:hint="eastAsia" w:ascii="宋体" w:hAnsi="宋体" w:cs="宋体"/>
                <w:color w:val="auto"/>
                <w:sz w:val="24"/>
                <w:szCs w:val="24"/>
                <w:highlight w:val="none"/>
                <w:lang w:val="en-US" w:eastAsia="zh-CN"/>
              </w:rPr>
              <w:t>2分，1.5分，1分，0.5分，0分</w:t>
            </w:r>
            <w:r>
              <w:rPr>
                <w:rFonts w:hint="eastAsia" w:ascii="宋体" w:hAnsi="宋体" w:eastAsia="宋体" w:cs="宋体"/>
                <w:color w:val="auto"/>
                <w:sz w:val="24"/>
                <w:szCs w:val="24"/>
                <w:highlight w:val="none"/>
                <w:lang w:val="en-US" w:eastAsia="zh-CN"/>
              </w:rPr>
              <w:t>）</w:t>
            </w:r>
          </w:p>
        </w:tc>
        <w:tc>
          <w:tcPr>
            <w:tcW w:w="873" w:type="dxa"/>
            <w:vAlign w:val="center"/>
          </w:tcPr>
          <w:p w14:paraId="2C3029CE">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953" w:type="dxa"/>
            <w:vAlign w:val="center"/>
          </w:tcPr>
          <w:p w14:paraId="43C49182">
            <w:pPr>
              <w:keepNext w:val="0"/>
              <w:keepLines w:val="0"/>
              <w:pageBreakBefore w:val="0"/>
              <w:kinsoku/>
              <w:wordWrap/>
              <w:overflowPunct/>
              <w:topLinePunct w:val="0"/>
              <w:autoSpaceDE/>
              <w:autoSpaceDN/>
              <w:bidi w:val="0"/>
              <w:adjustRightInd w:val="0"/>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2298" w:type="dxa"/>
            <w:vAlign w:val="center"/>
          </w:tcPr>
          <w:p w14:paraId="07AF38DC">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评标标准相应的技术资料</w:t>
            </w:r>
          </w:p>
        </w:tc>
      </w:tr>
      <w:bookmarkEnd w:id="419"/>
      <w:tr w14:paraId="6970C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76" w:type="dxa"/>
            <w:shd w:val="clear" w:color="auto" w:fill="auto"/>
            <w:vAlign w:val="center"/>
          </w:tcPr>
          <w:p w14:paraId="6B8A0F1D">
            <w:pPr>
              <w:keepNext w:val="0"/>
              <w:keepLines w:val="0"/>
              <w:pageBreakBefore w:val="0"/>
              <w:kinsoku/>
              <w:wordWrap/>
              <w:overflowPunct/>
              <w:topLinePunct w:val="0"/>
              <w:autoSpaceDE/>
              <w:autoSpaceDN/>
              <w:bidi w:val="0"/>
              <w:adjustRightInd w:val="0"/>
              <w:spacing w:line="360" w:lineRule="auto"/>
              <w:ind w:firstLine="0" w:firstLineChars="0"/>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4964" w:type="dxa"/>
            <w:shd w:val="clear" w:color="auto" w:fill="auto"/>
            <w:vAlign w:val="center"/>
          </w:tcPr>
          <w:p w14:paraId="7B754072">
            <w:pPr>
              <w:keepNext w:val="0"/>
              <w:keepLines w:val="0"/>
              <w:pageBreakBefore w:val="0"/>
              <w:kinsoku/>
              <w:wordWrap/>
              <w:overflowPunct/>
              <w:topLinePunct w:val="0"/>
              <w:autoSpaceDE/>
              <w:autoSpaceDN/>
              <w:bidi w:val="0"/>
              <w:adjustRightInd w:val="0"/>
              <w:spacing w:line="360" w:lineRule="auto"/>
              <w:jc w:val="left"/>
              <w:outlineLvl w:val="0"/>
              <w:rPr>
                <w:rFonts w:hint="eastAsia" w:ascii="宋体" w:hAnsi="宋体" w:eastAsia="宋体" w:cs="宋体"/>
                <w:color w:val="auto"/>
                <w:sz w:val="24"/>
                <w:szCs w:val="24"/>
                <w:highlight w:val="none"/>
              </w:rPr>
            </w:pPr>
            <w:bookmarkStart w:id="420" w:name="_Toc12829"/>
            <w:r>
              <w:rPr>
                <w:rFonts w:hint="eastAsia" w:ascii="宋体" w:hAnsi="宋体" w:eastAsia="宋体" w:cs="宋体"/>
                <w:color w:val="auto"/>
                <w:sz w:val="24"/>
                <w:szCs w:val="24"/>
                <w:highlight w:val="none"/>
              </w:rPr>
              <w:t>有效投标报价的最低报价作为评标基准价，其最低报价为满分；按［投标报价得分=（评标基准价/投标报价）*权重］的计算公式计算。</w:t>
            </w:r>
            <w:bookmarkEnd w:id="420"/>
          </w:p>
          <w:p w14:paraId="493B5149">
            <w:pPr>
              <w:keepNext w:val="0"/>
              <w:keepLines w:val="0"/>
              <w:pageBreakBefore w:val="0"/>
              <w:kinsoku/>
              <w:wordWrap/>
              <w:overflowPunct/>
              <w:topLinePunct w:val="0"/>
              <w:autoSpaceDE/>
              <w:autoSpaceDN/>
              <w:bidi w:val="0"/>
              <w:adjustRightInd w:val="0"/>
              <w:spacing w:line="360" w:lineRule="auto"/>
              <w:jc w:val="left"/>
              <w:outlineLvl w:val="0"/>
              <w:rPr>
                <w:rFonts w:hint="eastAsia" w:ascii="宋体" w:hAnsi="宋体" w:eastAsia="宋体" w:cs="宋体"/>
                <w:color w:val="auto"/>
                <w:sz w:val="24"/>
                <w:szCs w:val="24"/>
                <w:highlight w:val="none"/>
              </w:rPr>
            </w:pPr>
            <w:bookmarkStart w:id="421" w:name="_Toc4105"/>
            <w:r>
              <w:rPr>
                <w:rFonts w:hint="eastAsia" w:ascii="宋体" w:hAnsi="宋体" w:eastAsia="宋体" w:cs="宋体"/>
                <w:color w:val="auto"/>
                <w:sz w:val="24"/>
                <w:szCs w:val="24"/>
                <w:highlight w:val="none"/>
              </w:rPr>
              <w:t>评标过程中，不得去掉报价中的最高报价和最低报价。</w:t>
            </w:r>
            <w:bookmarkEnd w:id="421"/>
          </w:p>
        </w:tc>
        <w:tc>
          <w:tcPr>
            <w:tcW w:w="873" w:type="dxa"/>
            <w:vAlign w:val="center"/>
          </w:tcPr>
          <w:p w14:paraId="527812C3">
            <w:pPr>
              <w:keepNext w:val="0"/>
              <w:keepLines w:val="0"/>
              <w:pageBreakBefore w:val="0"/>
              <w:kinsoku/>
              <w:wordWrap/>
              <w:overflowPunct/>
              <w:topLinePunct w:val="0"/>
              <w:autoSpaceDE/>
              <w:autoSpaceDN/>
              <w:bidi w:val="0"/>
              <w:adjustRightInd w:val="0"/>
              <w:spacing w:line="360" w:lineRule="auto"/>
              <w:ind w:firstLine="120" w:firstLineChars="50"/>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953" w:type="dxa"/>
            <w:vAlign w:val="center"/>
          </w:tcPr>
          <w:p w14:paraId="5A68DB5F">
            <w:pPr>
              <w:keepNext w:val="0"/>
              <w:keepLines w:val="0"/>
              <w:pageBreakBefore w:val="0"/>
              <w:kinsoku/>
              <w:wordWrap/>
              <w:overflowPunct/>
              <w:topLinePunct w:val="0"/>
              <w:autoSpaceDE/>
              <w:autoSpaceDN/>
              <w:bidi w:val="0"/>
              <w:adjustRightInd w:val="0"/>
              <w:spacing w:line="360" w:lineRule="auto"/>
              <w:outlineLvl w:val="0"/>
              <w:rPr>
                <w:rFonts w:hint="eastAsia" w:ascii="宋体" w:hAnsi="宋体" w:eastAsia="宋体" w:cs="宋体"/>
                <w:color w:val="auto"/>
                <w:sz w:val="24"/>
                <w:szCs w:val="24"/>
                <w:highlight w:val="none"/>
              </w:rPr>
            </w:pPr>
            <w:bookmarkStart w:id="422" w:name="_Toc19432"/>
            <w:r>
              <w:rPr>
                <w:rFonts w:hint="eastAsia" w:ascii="宋体" w:hAnsi="宋体" w:eastAsia="宋体" w:cs="宋体"/>
                <w:color w:val="auto"/>
                <w:sz w:val="24"/>
                <w:szCs w:val="24"/>
                <w:highlight w:val="none"/>
              </w:rPr>
              <w:t>投标报价</w:t>
            </w:r>
          </w:p>
          <w:bookmarkEnd w:id="422"/>
        </w:tc>
        <w:tc>
          <w:tcPr>
            <w:tcW w:w="2298" w:type="dxa"/>
            <w:vAlign w:val="center"/>
          </w:tcPr>
          <w:p w14:paraId="6B1BF5E0">
            <w:pPr>
              <w:keepNext w:val="0"/>
              <w:keepLines w:val="0"/>
              <w:pageBreakBefore w:val="0"/>
              <w:kinsoku/>
              <w:wordWrap/>
              <w:overflowPunct/>
              <w:topLinePunct w:val="0"/>
              <w:autoSpaceDE/>
              <w:autoSpaceDN/>
              <w:bidi w:val="0"/>
              <w:adjustRightInd w:val="0"/>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投标报价</w:t>
            </w:r>
          </w:p>
        </w:tc>
      </w:tr>
    </w:tbl>
    <w:p w14:paraId="368DF54F">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4A896B2E">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6E8B638">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5920DD1">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379E6DF">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67FC7B5">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8AF606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04227A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58136DC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34448640">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143EC0CC">
      <w:pPr>
        <w:pStyle w:val="14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60204F4B">
      <w:pPr>
        <w:pStyle w:val="14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79EEE6D3">
      <w:pPr>
        <w:pStyle w:val="14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625E21D">
      <w:pPr>
        <w:pStyle w:val="14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3613F7C">
      <w:pPr>
        <w:pStyle w:val="14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639430B">
      <w:pPr>
        <w:pStyle w:val="14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FE3FDD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8D48AB0">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C3C509C">
      <w:pPr>
        <w:pStyle w:val="14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30698F2">
      <w:pPr>
        <w:pStyle w:val="14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7030483D">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rPr>
        <w:t>本项目推荐的中标候选人数量：</w:t>
      </w:r>
      <w:r>
        <w:rPr>
          <w:rFonts w:hint="eastAsia" w:ascii="宋体" w:hAnsi="宋体" w:cs="宋体"/>
          <w:color w:val="auto"/>
          <w:kern w:val="0"/>
          <w:sz w:val="24"/>
          <w:highlight w:val="none"/>
          <w:u w:val="single"/>
        </w:rPr>
        <w:t xml:space="preserve"> 1家  </w:t>
      </w:r>
      <w:r>
        <w:rPr>
          <w:rFonts w:hint="eastAsia" w:ascii="宋体" w:hAnsi="宋体" w:cs="宋体"/>
          <w:color w:val="auto"/>
          <w:kern w:val="0"/>
          <w:sz w:val="24"/>
          <w:highlight w:val="none"/>
        </w:rPr>
        <w:t>。</w:t>
      </w:r>
    </w:p>
    <w:p w14:paraId="3FA512F2">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50EA24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127A3AC">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EF3E66C">
      <w:pPr>
        <w:pStyle w:val="14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4E9DC69">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A34C01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C286E3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47CCED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640309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4D7CEDD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CB51458">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4D0EA1B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4E4A0C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0481989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012FE80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4.2.10投标人提供虚假材料投标的（包括商务、技术响应情况与实际不符的）；</w:t>
      </w:r>
    </w:p>
    <w:p w14:paraId="4BFB8C76">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E1A635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参与同一个采购包（标段）的供应商存在下列情形之一且无法合理解释的，其投标（响应）文件无效：（1）不同供应商的电子投标（响应）文件上传计算机的IP地址或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8DACB9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4.2.13投标人仅提交备份投标文件，未在电子交易平台传输递交投标文件的，投标无效；</w:t>
      </w:r>
    </w:p>
    <w:p w14:paraId="1621CA76">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4.2.14投标文件不满足招标文件的其它实质性要求的；</w:t>
      </w:r>
    </w:p>
    <w:p w14:paraId="5941ED1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4.2.15法律、法规、规章（适用本区划的）及省级以上规范性文件（适用本区划的）规定的其他无效情形。</w:t>
      </w:r>
    </w:p>
    <w:p w14:paraId="74CE41BB">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06E760B">
      <w:pPr>
        <w:pStyle w:val="24"/>
        <w:snapToGrid w:val="0"/>
        <w:spacing w:line="360" w:lineRule="auto"/>
        <w:rPr>
          <w:rFonts w:cs="宋体"/>
          <w:color w:val="auto"/>
          <w:highlight w:val="none"/>
        </w:rPr>
      </w:pPr>
      <w:r>
        <w:rPr>
          <w:rFonts w:hint="eastAsia" w:cs="宋体"/>
          <w:color w:val="auto"/>
          <w:highlight w:val="none"/>
        </w:rPr>
        <w:t>5.1符合专业条件的投标人或者对招标文件作实质响应的投标人不足3家的；</w:t>
      </w:r>
    </w:p>
    <w:p w14:paraId="11F68EC5">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5A39A5DC">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7C5C5CA">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204226F3">
      <w:pPr>
        <w:pStyle w:val="24"/>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62BD0197">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82B0279">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2CF51C9D">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0276FA1">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C638F35">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3601889">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41EAD6E0">
      <w:pPr>
        <w:pStyle w:val="24"/>
        <w:snapToGrid w:val="0"/>
        <w:spacing w:line="360" w:lineRule="auto"/>
        <w:rPr>
          <w:rFonts w:cs="宋体"/>
          <w:b/>
          <w:color w:val="auto"/>
          <w:sz w:val="36"/>
          <w:szCs w:val="36"/>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3"/>
      <w:bookmarkStart w:id="423" w:name="第五部分"/>
      <w:bookmarkStart w:id="424" w:name="_Toc86217003"/>
    </w:p>
    <w:p w14:paraId="6AC81F39">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6324CEF4">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610F040">
      <w:pPr>
        <w:autoSpaceDE w:val="0"/>
        <w:autoSpaceDN w:val="0"/>
        <w:spacing w:line="360" w:lineRule="auto"/>
        <w:jc w:val="center"/>
        <w:rPr>
          <w:rFonts w:ascii="宋体" w:hAnsi="宋体" w:cs="宋体"/>
          <w:b/>
          <w:color w:val="auto"/>
          <w:szCs w:val="21"/>
          <w:highlight w:val="none"/>
        </w:rPr>
      </w:pPr>
    </w:p>
    <w:p w14:paraId="6109BE1D">
      <w:pPr>
        <w:spacing w:line="360" w:lineRule="auto"/>
        <w:rPr>
          <w:rFonts w:hint="eastAsia" w:ascii="宋体" w:hAnsi="宋体" w:eastAsia="宋体" w:cs="宋体"/>
          <w:b/>
          <w:color w:val="auto"/>
          <w:kern w:val="1"/>
          <w:sz w:val="24"/>
          <w:highlight w:val="none"/>
          <w:u w:val="single"/>
        </w:rPr>
      </w:pPr>
      <w:r>
        <w:rPr>
          <w:rFonts w:hint="eastAsia" w:ascii="宋体" w:hAnsi="宋体" w:eastAsia="宋体" w:cs="宋体"/>
          <w:color w:val="auto"/>
          <w:kern w:val="1"/>
          <w:sz w:val="24"/>
          <w:highlight w:val="none"/>
        </w:rPr>
        <w:t xml:space="preserve"> </w:t>
      </w:r>
      <w:r>
        <w:rPr>
          <w:rFonts w:hint="eastAsia" w:ascii="宋体" w:hAnsi="宋体" w:eastAsia="宋体" w:cs="宋体"/>
          <w:b/>
          <w:color w:val="auto"/>
          <w:kern w:val="1"/>
          <w:sz w:val="24"/>
          <w:highlight w:val="none"/>
          <w:u w:val="single"/>
        </w:rPr>
        <w:t>备注：本合同为合同样稿，合同以双方签字盖章的文本为准，投标文件中各项招标需求均可在签订合同时列入或以更优的投标文件承诺内容列入。</w:t>
      </w:r>
    </w:p>
    <w:p w14:paraId="2D5DD0BA">
      <w:pPr>
        <w:rPr>
          <w:rFonts w:hint="eastAsia" w:ascii="宋体" w:hAnsi="宋体" w:eastAsia="宋体" w:cs="宋体"/>
          <w:b/>
          <w:bCs/>
          <w:color w:val="auto"/>
          <w:sz w:val="24"/>
          <w:highlight w:val="none"/>
        </w:rPr>
      </w:pPr>
    </w:p>
    <w:p w14:paraId="1E74560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合同编号：</w:t>
      </w:r>
    </w:p>
    <w:p w14:paraId="1E8FC646">
      <w:pPr>
        <w:spacing w:before="300"/>
        <w:jc w:val="center"/>
        <w:rPr>
          <w:rFonts w:hint="eastAsia" w:ascii="宋体" w:hAnsi="宋体" w:eastAsia="宋体" w:cs="宋体"/>
          <w:b/>
          <w:bCs/>
          <w:color w:val="auto"/>
          <w:spacing w:val="180"/>
          <w:sz w:val="24"/>
          <w:szCs w:val="24"/>
          <w:highlight w:val="none"/>
        </w:rPr>
      </w:pPr>
    </w:p>
    <w:p w14:paraId="47CF68AD">
      <w:pPr>
        <w:spacing w:before="300"/>
        <w:jc w:val="center"/>
        <w:rPr>
          <w:rFonts w:hint="eastAsia" w:ascii="宋体" w:hAnsi="宋体" w:eastAsia="宋体" w:cs="宋体"/>
          <w:b/>
          <w:bCs/>
          <w:color w:val="auto"/>
          <w:spacing w:val="180"/>
          <w:sz w:val="24"/>
          <w:szCs w:val="24"/>
          <w:highlight w:val="none"/>
        </w:rPr>
      </w:pPr>
    </w:p>
    <w:p w14:paraId="50F979B5">
      <w:pPr>
        <w:spacing w:before="3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w:t>
      </w:r>
    </w:p>
    <w:p w14:paraId="0F1A25B1">
      <w:pPr>
        <w:spacing w:before="3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rPr>
        <w:t>合同</w:t>
      </w:r>
    </w:p>
    <w:p w14:paraId="241EDC80">
      <w:pPr>
        <w:ind w:firstLine="643"/>
        <w:rPr>
          <w:rFonts w:hint="eastAsia" w:ascii="宋体" w:hAnsi="宋体" w:eastAsia="宋体" w:cs="宋体"/>
          <w:b/>
          <w:bCs/>
          <w:color w:val="auto"/>
          <w:sz w:val="24"/>
          <w:szCs w:val="24"/>
          <w:highlight w:val="none"/>
        </w:rPr>
      </w:pPr>
    </w:p>
    <w:p w14:paraId="51861924">
      <w:pPr>
        <w:ind w:firstLine="643"/>
        <w:rPr>
          <w:rFonts w:hint="eastAsia" w:ascii="宋体" w:hAnsi="宋体" w:eastAsia="宋体" w:cs="宋体"/>
          <w:b/>
          <w:bCs/>
          <w:color w:val="auto"/>
          <w:sz w:val="24"/>
          <w:szCs w:val="24"/>
          <w:highlight w:val="none"/>
        </w:rPr>
      </w:pPr>
    </w:p>
    <w:p w14:paraId="61A057D0">
      <w:pPr>
        <w:ind w:firstLine="643"/>
        <w:rPr>
          <w:rFonts w:hint="eastAsia" w:ascii="宋体" w:hAnsi="宋体" w:eastAsia="宋体" w:cs="宋体"/>
          <w:b/>
          <w:bCs/>
          <w:color w:val="auto"/>
          <w:sz w:val="24"/>
          <w:szCs w:val="24"/>
          <w:highlight w:val="none"/>
        </w:rPr>
      </w:pPr>
    </w:p>
    <w:p w14:paraId="1BD81935">
      <w:pPr>
        <w:ind w:firstLine="643"/>
        <w:rPr>
          <w:rFonts w:hint="eastAsia" w:ascii="宋体" w:hAnsi="宋体" w:eastAsia="宋体" w:cs="宋体"/>
          <w:b/>
          <w:bCs/>
          <w:color w:val="auto"/>
          <w:sz w:val="24"/>
          <w:szCs w:val="24"/>
          <w:highlight w:val="none"/>
        </w:rPr>
      </w:pPr>
    </w:p>
    <w:p w14:paraId="72CA8E14">
      <w:pPr>
        <w:ind w:firstLine="643"/>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甲方（采购方）：</w:t>
      </w:r>
      <w:r>
        <w:rPr>
          <w:rFonts w:hint="eastAsia" w:ascii="宋体" w:hAnsi="宋体" w:eastAsia="宋体" w:cs="宋体"/>
          <w:b/>
          <w:bCs/>
          <w:color w:val="auto"/>
          <w:sz w:val="24"/>
          <w:szCs w:val="24"/>
          <w:highlight w:val="none"/>
          <w:u w:val="single"/>
        </w:rPr>
        <w:t xml:space="preserve">                              </w:t>
      </w:r>
    </w:p>
    <w:p w14:paraId="035ECCEB">
      <w:pPr>
        <w:ind w:firstLine="64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乙方（服务方）：</w:t>
      </w:r>
      <w:r>
        <w:rPr>
          <w:rFonts w:hint="eastAsia" w:ascii="宋体" w:hAnsi="宋体" w:eastAsia="宋体" w:cs="宋体"/>
          <w:b/>
          <w:bCs/>
          <w:color w:val="auto"/>
          <w:sz w:val="24"/>
          <w:szCs w:val="24"/>
          <w:highlight w:val="none"/>
          <w:u w:val="single"/>
        </w:rPr>
        <w:t xml:space="preserve">                              </w:t>
      </w:r>
    </w:p>
    <w:p w14:paraId="73FC1816">
      <w:pPr>
        <w:spacing w:before="360" w:line="360" w:lineRule="auto"/>
        <w:ind w:firstLine="602"/>
        <w:rPr>
          <w:rFonts w:hint="eastAsia" w:ascii="宋体" w:hAnsi="宋体" w:eastAsia="宋体" w:cs="宋体"/>
          <w:b/>
          <w:bCs/>
          <w:color w:val="auto"/>
          <w:sz w:val="24"/>
          <w:szCs w:val="24"/>
          <w:highlight w:val="none"/>
        </w:rPr>
      </w:pPr>
    </w:p>
    <w:p w14:paraId="30B00CD2">
      <w:pPr>
        <w:ind w:firstLine="562"/>
        <w:rPr>
          <w:rFonts w:hint="eastAsia" w:ascii="宋体" w:hAnsi="宋体" w:eastAsia="宋体" w:cs="宋体"/>
          <w:b/>
          <w:bCs/>
          <w:color w:val="auto"/>
          <w:sz w:val="24"/>
          <w:szCs w:val="24"/>
          <w:highlight w:val="none"/>
        </w:rPr>
      </w:pPr>
    </w:p>
    <w:p w14:paraId="50B0F41F">
      <w:pPr>
        <w:ind w:firstLine="560"/>
        <w:rPr>
          <w:rFonts w:hint="eastAsia" w:ascii="宋体" w:hAnsi="宋体" w:eastAsia="宋体" w:cs="宋体"/>
          <w:color w:val="auto"/>
          <w:sz w:val="24"/>
          <w:szCs w:val="24"/>
          <w:highlight w:val="none"/>
        </w:rPr>
      </w:pPr>
    </w:p>
    <w:p w14:paraId="635F813F">
      <w:pPr>
        <w:spacing w:line="360" w:lineRule="auto"/>
        <w:ind w:firstLine="602"/>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 xml:space="preserve">签订地点： </w:t>
      </w:r>
      <w:r>
        <w:rPr>
          <w:rFonts w:hint="eastAsia" w:ascii="宋体" w:hAnsi="宋体" w:eastAsia="宋体" w:cs="宋体"/>
          <w:b/>
          <w:bCs/>
          <w:color w:val="auto"/>
          <w:sz w:val="24"/>
          <w:szCs w:val="24"/>
          <w:highlight w:val="none"/>
          <w:u w:val="single"/>
        </w:rPr>
        <w:t xml:space="preserve">             </w:t>
      </w:r>
    </w:p>
    <w:p w14:paraId="34778882">
      <w:pPr>
        <w:spacing w:line="360" w:lineRule="auto"/>
        <w:ind w:firstLine="954" w:firstLineChars="396"/>
        <w:rPr>
          <w:rFonts w:hint="eastAsia" w:ascii="宋体" w:hAnsi="宋体" w:eastAsia="宋体" w:cs="宋体"/>
          <w:b/>
          <w:bCs/>
          <w:color w:val="auto"/>
          <w:sz w:val="24"/>
          <w:szCs w:val="24"/>
          <w:highlight w:val="none"/>
        </w:rPr>
      </w:pPr>
    </w:p>
    <w:p w14:paraId="1EDA06A6">
      <w:pPr>
        <w:spacing w:line="360" w:lineRule="auto"/>
        <w:ind w:firstLine="602"/>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签订日期：</w:t>
      </w:r>
      <w:r>
        <w:rPr>
          <w:rFonts w:hint="eastAsia" w:ascii="宋体" w:hAnsi="宋体" w:eastAsia="宋体" w:cs="宋体"/>
          <w:b/>
          <w:bCs/>
          <w:color w:val="auto"/>
          <w:sz w:val="24"/>
          <w:szCs w:val="24"/>
          <w:highlight w:val="none"/>
          <w:u w:val="single"/>
        </w:rPr>
        <w:t xml:space="preserve">     年   月 </w:t>
      </w:r>
    </w:p>
    <w:p w14:paraId="283422F4">
      <w:pPr>
        <w:ind w:firstLine="562"/>
        <w:rPr>
          <w:rFonts w:hint="eastAsia" w:ascii="宋体" w:hAnsi="宋体" w:eastAsia="宋体" w:cs="宋体"/>
          <w:b/>
          <w:bCs/>
          <w:color w:val="auto"/>
          <w:sz w:val="24"/>
          <w:szCs w:val="24"/>
          <w:highlight w:val="none"/>
        </w:rPr>
        <w:sectPr>
          <w:headerReference r:id="rId10" w:type="first"/>
          <w:footerReference r:id="rId13" w:type="first"/>
          <w:headerReference r:id="rId8" w:type="default"/>
          <w:footerReference r:id="rId11" w:type="default"/>
          <w:headerReference r:id="rId9" w:type="even"/>
          <w:footerReference r:id="rId12" w:type="even"/>
          <w:footnotePr>
            <w:numFmt w:val="decimal"/>
          </w:footnotePr>
          <w:pgSz w:w="11906" w:h="16838"/>
          <w:pgMar w:top="1440" w:right="1800" w:bottom="1440" w:left="1800" w:header="851" w:footer="992" w:gutter="0"/>
          <w:cols w:space="720" w:num="1"/>
          <w:titlePg/>
          <w:docGrid w:type="lines" w:linePitch="312" w:charSpace="0"/>
        </w:sectPr>
      </w:pPr>
    </w:p>
    <w:p w14:paraId="55A08AC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甲方（采购人）：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住所地：</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rPr>
        <w:br w:type="textWrapping"/>
      </w:r>
    </w:p>
    <w:p w14:paraId="6AF390A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乙方（服务方）：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住所地：</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电话：  </w:t>
      </w:r>
    </w:p>
    <w:p w14:paraId="1D41EA97">
      <w:pPr>
        <w:snapToGrid w:val="0"/>
        <w:spacing w:line="360" w:lineRule="auto"/>
        <w:ind w:firstLine="560"/>
        <w:rPr>
          <w:rFonts w:hint="eastAsia" w:ascii="宋体" w:hAnsi="宋体" w:eastAsia="宋体" w:cs="宋体"/>
          <w:color w:val="auto"/>
          <w:sz w:val="24"/>
          <w:szCs w:val="24"/>
          <w:highlight w:val="none"/>
        </w:rPr>
      </w:pPr>
    </w:p>
    <w:p w14:paraId="42660CE8">
      <w:pPr>
        <w:adjustRightInd w:val="0"/>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项目采购结果和采购文件的要求，并依照《中华人民共和国民法典》等有关法律、行政法规的规定，同时在平等、公平、诚实和信用的原则下，经双方协商一致，订立本合同。</w:t>
      </w:r>
    </w:p>
    <w:p w14:paraId="4033653A">
      <w:pPr>
        <w:adjustRightInd w:val="0"/>
        <w:snapToGrid w:val="0"/>
        <w:spacing w:line="360" w:lineRule="auto"/>
        <w:ind w:firstLine="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1、项目内容及合同价格：</w:t>
      </w:r>
    </w:p>
    <w:p w14:paraId="156B8A46">
      <w:pPr>
        <w:adjustRightInd w:val="0"/>
        <w:snapToGrid w:val="0"/>
        <w:spacing w:line="360" w:lineRule="auto"/>
        <w:ind w:right="240"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金额单位：元</w:t>
      </w:r>
    </w:p>
    <w:tbl>
      <w:tblPr>
        <w:tblStyle w:val="63"/>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2"/>
        <w:gridCol w:w="2841"/>
        <w:gridCol w:w="992"/>
        <w:gridCol w:w="1013"/>
        <w:gridCol w:w="1362"/>
      </w:tblGrid>
      <w:tr w14:paraId="03A69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512" w:type="dxa"/>
            <w:tcBorders>
              <w:top w:val="single" w:color="auto" w:sz="4" w:space="0"/>
              <w:left w:val="single" w:color="auto" w:sz="4" w:space="0"/>
              <w:bottom w:val="single" w:color="auto" w:sz="4" w:space="0"/>
              <w:right w:val="single" w:color="auto" w:sz="4" w:space="0"/>
            </w:tcBorders>
            <w:noWrap w:val="0"/>
            <w:vAlign w:val="center"/>
          </w:tcPr>
          <w:p w14:paraId="2B11864E">
            <w:pPr>
              <w:pStyle w:val="33"/>
              <w:snapToGrid w:val="0"/>
              <w:spacing w:before="120" w:after="12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服务内容名称</w:t>
            </w:r>
          </w:p>
        </w:tc>
        <w:tc>
          <w:tcPr>
            <w:tcW w:w="2841" w:type="dxa"/>
            <w:tcBorders>
              <w:top w:val="single" w:color="auto" w:sz="4" w:space="0"/>
              <w:left w:val="single" w:color="auto" w:sz="4" w:space="0"/>
              <w:bottom w:val="single" w:color="auto" w:sz="4" w:space="0"/>
              <w:right w:val="single" w:color="auto" w:sz="4" w:space="0"/>
            </w:tcBorders>
            <w:noWrap w:val="0"/>
            <w:vAlign w:val="center"/>
          </w:tcPr>
          <w:p w14:paraId="039A0B9C">
            <w:pPr>
              <w:pStyle w:val="33"/>
              <w:snapToGrid w:val="0"/>
              <w:spacing w:before="120" w:after="12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技术需求</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B7498CD">
            <w:pPr>
              <w:pStyle w:val="33"/>
              <w:snapToGrid w:val="0"/>
              <w:spacing w:before="120" w:after="120" w:line="360" w:lineRule="auto"/>
              <w:ind w:left="-10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013" w:type="dxa"/>
            <w:tcBorders>
              <w:top w:val="single" w:color="auto" w:sz="4" w:space="0"/>
              <w:left w:val="single" w:color="auto" w:sz="4" w:space="0"/>
              <w:bottom w:val="single" w:color="auto" w:sz="4" w:space="0"/>
              <w:right w:val="single" w:color="auto" w:sz="4" w:space="0"/>
            </w:tcBorders>
            <w:noWrap w:val="0"/>
            <w:vAlign w:val="center"/>
          </w:tcPr>
          <w:p w14:paraId="1D7008B0">
            <w:pPr>
              <w:pStyle w:val="33"/>
              <w:snapToGrid w:val="0"/>
              <w:spacing w:before="120" w:after="120" w:line="360" w:lineRule="auto"/>
              <w:ind w:left="-10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362" w:type="dxa"/>
            <w:tcBorders>
              <w:top w:val="single" w:color="auto" w:sz="4" w:space="0"/>
              <w:left w:val="single" w:color="auto" w:sz="4" w:space="0"/>
              <w:bottom w:val="single" w:color="auto" w:sz="4" w:space="0"/>
              <w:right w:val="single" w:color="auto" w:sz="4" w:space="0"/>
            </w:tcBorders>
            <w:noWrap w:val="0"/>
            <w:vAlign w:val="center"/>
          </w:tcPr>
          <w:p w14:paraId="74EB40C8">
            <w:pPr>
              <w:pStyle w:val="33"/>
              <w:snapToGrid w:val="0"/>
              <w:spacing w:before="120" w:after="12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r>
      <w:tr w14:paraId="5ABCE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512" w:type="dxa"/>
            <w:tcBorders>
              <w:top w:val="single" w:color="auto" w:sz="4" w:space="0"/>
              <w:left w:val="single" w:color="auto" w:sz="4" w:space="0"/>
              <w:bottom w:val="single" w:color="auto" w:sz="4" w:space="0"/>
              <w:right w:val="single" w:color="auto" w:sz="4" w:space="0"/>
            </w:tcBorders>
            <w:noWrap w:val="0"/>
            <w:vAlign w:val="center"/>
          </w:tcPr>
          <w:p w14:paraId="468161DA">
            <w:pPr>
              <w:pStyle w:val="485"/>
              <w:jc w:val="center"/>
              <w:rPr>
                <w:rFonts w:hint="eastAsia" w:ascii="宋体" w:hAnsi="宋体" w:eastAsia="宋体" w:cs="宋体"/>
                <w:color w:val="auto"/>
                <w:sz w:val="24"/>
                <w:szCs w:val="24"/>
                <w:highlight w:val="none"/>
              </w:rPr>
            </w:pPr>
          </w:p>
        </w:tc>
        <w:tc>
          <w:tcPr>
            <w:tcW w:w="2841" w:type="dxa"/>
            <w:tcBorders>
              <w:top w:val="single" w:color="auto" w:sz="4" w:space="0"/>
              <w:left w:val="single" w:color="auto" w:sz="4" w:space="0"/>
              <w:bottom w:val="single" w:color="auto" w:sz="4" w:space="0"/>
              <w:right w:val="single" w:color="auto" w:sz="4" w:space="0"/>
            </w:tcBorders>
            <w:noWrap w:val="0"/>
            <w:vAlign w:val="center"/>
          </w:tcPr>
          <w:p w14:paraId="67280AA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详见项目对应采购文件</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5F80FF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w:t>
            </w:r>
          </w:p>
        </w:tc>
        <w:tc>
          <w:tcPr>
            <w:tcW w:w="1013" w:type="dxa"/>
            <w:tcBorders>
              <w:top w:val="single" w:color="auto" w:sz="4" w:space="0"/>
              <w:left w:val="single" w:color="auto" w:sz="4" w:space="0"/>
              <w:bottom w:val="single" w:color="auto" w:sz="4" w:space="0"/>
              <w:right w:val="single" w:color="auto" w:sz="4" w:space="0"/>
            </w:tcBorders>
            <w:noWrap w:val="0"/>
            <w:vAlign w:val="center"/>
          </w:tcPr>
          <w:p w14:paraId="44F65878">
            <w:pPr>
              <w:pStyle w:val="968"/>
              <w:rPr>
                <w:rFonts w:hint="eastAsia" w:ascii="宋体" w:hAnsi="宋体" w:eastAsia="宋体" w:cs="宋体"/>
                <w:color w:val="auto"/>
                <w:kern w:val="2"/>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14:paraId="760BF21A">
            <w:pPr>
              <w:pStyle w:val="968"/>
              <w:rPr>
                <w:rFonts w:hint="eastAsia" w:ascii="宋体" w:hAnsi="宋体" w:eastAsia="宋体" w:cs="宋体"/>
                <w:color w:val="auto"/>
                <w:kern w:val="2"/>
                <w:sz w:val="24"/>
                <w:szCs w:val="24"/>
                <w:highlight w:val="none"/>
              </w:rPr>
            </w:pPr>
          </w:p>
        </w:tc>
      </w:tr>
      <w:tr w14:paraId="581F0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512" w:type="dxa"/>
            <w:tcBorders>
              <w:top w:val="single" w:color="auto" w:sz="4" w:space="0"/>
              <w:left w:val="single" w:color="auto" w:sz="4" w:space="0"/>
              <w:bottom w:val="single" w:color="auto" w:sz="4" w:space="0"/>
              <w:right w:val="single" w:color="auto" w:sz="4" w:space="0"/>
            </w:tcBorders>
            <w:noWrap w:val="0"/>
            <w:vAlign w:val="center"/>
          </w:tcPr>
          <w:p w14:paraId="58BEA874">
            <w:pPr>
              <w:pStyle w:val="485"/>
              <w:jc w:val="center"/>
              <w:rPr>
                <w:rFonts w:hint="eastAsia" w:ascii="宋体" w:hAnsi="宋体" w:eastAsia="宋体" w:cs="宋体"/>
                <w:color w:val="auto"/>
                <w:sz w:val="24"/>
                <w:szCs w:val="24"/>
                <w:highlight w:val="none"/>
              </w:rPr>
            </w:pPr>
          </w:p>
        </w:tc>
        <w:tc>
          <w:tcPr>
            <w:tcW w:w="2841" w:type="dxa"/>
            <w:tcBorders>
              <w:top w:val="single" w:color="auto" w:sz="4" w:space="0"/>
              <w:left w:val="single" w:color="auto" w:sz="4" w:space="0"/>
              <w:bottom w:val="single" w:color="auto" w:sz="4" w:space="0"/>
              <w:right w:val="single" w:color="auto" w:sz="4" w:space="0"/>
            </w:tcBorders>
            <w:noWrap w:val="0"/>
            <w:vAlign w:val="center"/>
          </w:tcPr>
          <w:p w14:paraId="75F5F34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详见项目对应采购文件</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2D7257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w:t>
            </w:r>
          </w:p>
        </w:tc>
        <w:tc>
          <w:tcPr>
            <w:tcW w:w="1013" w:type="dxa"/>
            <w:tcBorders>
              <w:top w:val="single" w:color="auto" w:sz="4" w:space="0"/>
              <w:left w:val="single" w:color="auto" w:sz="4" w:space="0"/>
              <w:bottom w:val="single" w:color="auto" w:sz="4" w:space="0"/>
              <w:right w:val="single" w:color="auto" w:sz="4" w:space="0"/>
            </w:tcBorders>
            <w:noWrap w:val="0"/>
            <w:vAlign w:val="center"/>
          </w:tcPr>
          <w:p w14:paraId="2333C4EB">
            <w:pPr>
              <w:pStyle w:val="968"/>
              <w:rPr>
                <w:rFonts w:hint="eastAsia" w:ascii="宋体" w:hAnsi="宋体" w:eastAsia="宋体" w:cs="宋体"/>
                <w:color w:val="auto"/>
                <w:kern w:val="2"/>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14:paraId="5AD98831">
            <w:pPr>
              <w:pStyle w:val="968"/>
              <w:rPr>
                <w:rFonts w:hint="eastAsia" w:ascii="宋体" w:hAnsi="宋体" w:eastAsia="宋体" w:cs="宋体"/>
                <w:color w:val="auto"/>
                <w:kern w:val="2"/>
                <w:sz w:val="24"/>
                <w:szCs w:val="24"/>
                <w:highlight w:val="none"/>
              </w:rPr>
            </w:pPr>
          </w:p>
        </w:tc>
      </w:tr>
      <w:tr w14:paraId="7971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512" w:type="dxa"/>
            <w:tcBorders>
              <w:top w:val="single" w:color="auto" w:sz="4" w:space="0"/>
              <w:left w:val="single" w:color="auto" w:sz="4" w:space="0"/>
              <w:bottom w:val="single" w:color="auto" w:sz="4" w:space="0"/>
              <w:right w:val="single" w:color="auto" w:sz="4" w:space="0"/>
            </w:tcBorders>
            <w:noWrap w:val="0"/>
            <w:vAlign w:val="center"/>
          </w:tcPr>
          <w:p w14:paraId="274C9CCF">
            <w:pPr>
              <w:pStyle w:val="485"/>
              <w:jc w:val="center"/>
              <w:rPr>
                <w:rFonts w:hint="eastAsia" w:ascii="宋体" w:hAnsi="宋体" w:eastAsia="宋体" w:cs="宋体"/>
                <w:color w:val="auto"/>
                <w:sz w:val="24"/>
                <w:szCs w:val="24"/>
                <w:highlight w:val="none"/>
              </w:rPr>
            </w:pPr>
          </w:p>
        </w:tc>
        <w:tc>
          <w:tcPr>
            <w:tcW w:w="2841" w:type="dxa"/>
            <w:tcBorders>
              <w:top w:val="single" w:color="auto" w:sz="4" w:space="0"/>
              <w:left w:val="single" w:color="auto" w:sz="4" w:space="0"/>
              <w:bottom w:val="single" w:color="auto" w:sz="4" w:space="0"/>
              <w:right w:val="single" w:color="auto" w:sz="4" w:space="0"/>
            </w:tcBorders>
            <w:noWrap w:val="0"/>
            <w:vAlign w:val="center"/>
          </w:tcPr>
          <w:p w14:paraId="235F202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详见项目对应采购文件</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D9EF47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w:t>
            </w:r>
          </w:p>
        </w:tc>
        <w:tc>
          <w:tcPr>
            <w:tcW w:w="1013" w:type="dxa"/>
            <w:tcBorders>
              <w:top w:val="single" w:color="auto" w:sz="4" w:space="0"/>
              <w:left w:val="single" w:color="auto" w:sz="4" w:space="0"/>
              <w:bottom w:val="single" w:color="auto" w:sz="4" w:space="0"/>
              <w:right w:val="single" w:color="auto" w:sz="4" w:space="0"/>
            </w:tcBorders>
            <w:noWrap w:val="0"/>
            <w:vAlign w:val="center"/>
          </w:tcPr>
          <w:p w14:paraId="075E6B7C">
            <w:pPr>
              <w:pStyle w:val="968"/>
              <w:rPr>
                <w:rFonts w:hint="eastAsia" w:ascii="宋体" w:hAnsi="宋体" w:eastAsia="宋体" w:cs="宋体"/>
                <w:color w:val="auto"/>
                <w:kern w:val="2"/>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14:paraId="2E1B9027">
            <w:pPr>
              <w:pStyle w:val="968"/>
              <w:rPr>
                <w:rFonts w:hint="eastAsia" w:ascii="宋体" w:hAnsi="宋体" w:eastAsia="宋体" w:cs="宋体"/>
                <w:color w:val="auto"/>
                <w:kern w:val="2"/>
                <w:sz w:val="24"/>
                <w:szCs w:val="24"/>
                <w:highlight w:val="none"/>
              </w:rPr>
            </w:pPr>
          </w:p>
        </w:tc>
      </w:tr>
      <w:tr w14:paraId="03AE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512" w:type="dxa"/>
            <w:tcBorders>
              <w:top w:val="single" w:color="auto" w:sz="4" w:space="0"/>
              <w:left w:val="single" w:color="auto" w:sz="4" w:space="0"/>
              <w:bottom w:val="single" w:color="auto" w:sz="4" w:space="0"/>
              <w:right w:val="single" w:color="auto" w:sz="4" w:space="0"/>
            </w:tcBorders>
            <w:noWrap w:val="0"/>
            <w:vAlign w:val="center"/>
          </w:tcPr>
          <w:p w14:paraId="6FB10F9C">
            <w:pPr>
              <w:pStyle w:val="485"/>
              <w:jc w:val="center"/>
              <w:rPr>
                <w:rFonts w:hint="eastAsia" w:ascii="宋体" w:hAnsi="宋体" w:eastAsia="宋体" w:cs="宋体"/>
                <w:color w:val="auto"/>
                <w:sz w:val="24"/>
                <w:szCs w:val="24"/>
                <w:highlight w:val="none"/>
              </w:rPr>
            </w:pPr>
          </w:p>
        </w:tc>
        <w:tc>
          <w:tcPr>
            <w:tcW w:w="2841" w:type="dxa"/>
            <w:tcBorders>
              <w:top w:val="single" w:color="auto" w:sz="4" w:space="0"/>
              <w:left w:val="single" w:color="auto" w:sz="4" w:space="0"/>
              <w:bottom w:val="single" w:color="auto" w:sz="4" w:space="0"/>
              <w:right w:val="single" w:color="auto" w:sz="4" w:space="0"/>
            </w:tcBorders>
            <w:noWrap w:val="0"/>
            <w:vAlign w:val="center"/>
          </w:tcPr>
          <w:p w14:paraId="1D160BE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详见项目对应采购文件</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1AADD1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w:t>
            </w:r>
          </w:p>
        </w:tc>
        <w:tc>
          <w:tcPr>
            <w:tcW w:w="1013" w:type="dxa"/>
            <w:tcBorders>
              <w:top w:val="single" w:color="auto" w:sz="4" w:space="0"/>
              <w:left w:val="single" w:color="auto" w:sz="4" w:space="0"/>
              <w:bottom w:val="single" w:color="auto" w:sz="4" w:space="0"/>
              <w:right w:val="single" w:color="auto" w:sz="4" w:space="0"/>
            </w:tcBorders>
            <w:noWrap w:val="0"/>
            <w:vAlign w:val="center"/>
          </w:tcPr>
          <w:p w14:paraId="2E4D8096">
            <w:pPr>
              <w:pStyle w:val="968"/>
              <w:rPr>
                <w:rFonts w:hint="eastAsia" w:ascii="宋体" w:hAnsi="宋体" w:eastAsia="宋体" w:cs="宋体"/>
                <w:color w:val="auto"/>
                <w:kern w:val="2"/>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14:paraId="2CE6EFD7">
            <w:pPr>
              <w:pStyle w:val="968"/>
              <w:rPr>
                <w:rFonts w:hint="eastAsia" w:ascii="宋体" w:hAnsi="宋体" w:eastAsia="宋体" w:cs="宋体"/>
                <w:color w:val="auto"/>
                <w:kern w:val="2"/>
                <w:sz w:val="24"/>
                <w:szCs w:val="24"/>
                <w:highlight w:val="none"/>
              </w:rPr>
            </w:pPr>
          </w:p>
        </w:tc>
      </w:tr>
      <w:tr w14:paraId="5B49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512" w:type="dxa"/>
            <w:tcBorders>
              <w:top w:val="single" w:color="auto" w:sz="4" w:space="0"/>
              <w:left w:val="single" w:color="auto" w:sz="4" w:space="0"/>
              <w:bottom w:val="single" w:color="auto" w:sz="4" w:space="0"/>
              <w:right w:val="single" w:color="auto" w:sz="4" w:space="0"/>
            </w:tcBorders>
            <w:noWrap w:val="0"/>
            <w:vAlign w:val="center"/>
          </w:tcPr>
          <w:p w14:paraId="0D262963">
            <w:pPr>
              <w:pStyle w:val="485"/>
              <w:jc w:val="center"/>
              <w:rPr>
                <w:rFonts w:hint="eastAsia" w:ascii="宋体" w:hAnsi="宋体" w:eastAsia="宋体" w:cs="宋体"/>
                <w:color w:val="auto"/>
                <w:sz w:val="24"/>
                <w:szCs w:val="24"/>
                <w:highlight w:val="none"/>
              </w:rPr>
            </w:pPr>
          </w:p>
        </w:tc>
        <w:tc>
          <w:tcPr>
            <w:tcW w:w="2841" w:type="dxa"/>
            <w:tcBorders>
              <w:top w:val="single" w:color="auto" w:sz="4" w:space="0"/>
              <w:left w:val="single" w:color="auto" w:sz="4" w:space="0"/>
              <w:bottom w:val="single" w:color="auto" w:sz="4" w:space="0"/>
              <w:right w:val="single" w:color="auto" w:sz="4" w:space="0"/>
            </w:tcBorders>
            <w:noWrap w:val="0"/>
            <w:vAlign w:val="center"/>
          </w:tcPr>
          <w:p w14:paraId="5F7DC9E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详见项目对应采购文件</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F85247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w:t>
            </w:r>
          </w:p>
        </w:tc>
        <w:tc>
          <w:tcPr>
            <w:tcW w:w="1013" w:type="dxa"/>
            <w:tcBorders>
              <w:top w:val="single" w:color="auto" w:sz="4" w:space="0"/>
              <w:left w:val="single" w:color="auto" w:sz="4" w:space="0"/>
              <w:bottom w:val="single" w:color="auto" w:sz="4" w:space="0"/>
              <w:right w:val="single" w:color="auto" w:sz="4" w:space="0"/>
            </w:tcBorders>
            <w:noWrap w:val="0"/>
            <w:vAlign w:val="center"/>
          </w:tcPr>
          <w:p w14:paraId="74603163">
            <w:pPr>
              <w:pStyle w:val="968"/>
              <w:rPr>
                <w:rFonts w:hint="eastAsia" w:ascii="宋体" w:hAnsi="宋体" w:eastAsia="宋体" w:cs="宋体"/>
                <w:color w:val="auto"/>
                <w:kern w:val="2"/>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14:paraId="2B432308">
            <w:pPr>
              <w:pStyle w:val="968"/>
              <w:rPr>
                <w:rFonts w:hint="eastAsia" w:ascii="宋体" w:hAnsi="宋体" w:eastAsia="宋体" w:cs="宋体"/>
                <w:color w:val="auto"/>
                <w:kern w:val="2"/>
                <w:sz w:val="24"/>
                <w:szCs w:val="24"/>
                <w:highlight w:val="none"/>
              </w:rPr>
            </w:pPr>
          </w:p>
        </w:tc>
      </w:tr>
      <w:tr w14:paraId="66AEF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512" w:type="dxa"/>
            <w:tcBorders>
              <w:top w:val="single" w:color="auto" w:sz="4" w:space="0"/>
              <w:left w:val="single" w:color="auto" w:sz="4" w:space="0"/>
              <w:bottom w:val="single" w:color="auto" w:sz="4" w:space="0"/>
              <w:right w:val="single" w:color="auto" w:sz="4" w:space="0"/>
            </w:tcBorders>
            <w:noWrap w:val="0"/>
            <w:vAlign w:val="center"/>
          </w:tcPr>
          <w:p w14:paraId="5D46F312">
            <w:pPr>
              <w:pStyle w:val="485"/>
              <w:jc w:val="center"/>
              <w:rPr>
                <w:rFonts w:hint="eastAsia" w:ascii="宋体" w:hAnsi="宋体" w:eastAsia="宋体" w:cs="宋体"/>
                <w:color w:val="auto"/>
                <w:sz w:val="24"/>
                <w:szCs w:val="24"/>
                <w:highlight w:val="none"/>
              </w:rPr>
            </w:pPr>
          </w:p>
        </w:tc>
        <w:tc>
          <w:tcPr>
            <w:tcW w:w="2841" w:type="dxa"/>
            <w:tcBorders>
              <w:top w:val="single" w:color="auto" w:sz="4" w:space="0"/>
              <w:left w:val="single" w:color="auto" w:sz="4" w:space="0"/>
              <w:bottom w:val="single" w:color="auto" w:sz="4" w:space="0"/>
              <w:right w:val="single" w:color="auto" w:sz="4" w:space="0"/>
            </w:tcBorders>
            <w:noWrap w:val="0"/>
            <w:vAlign w:val="center"/>
          </w:tcPr>
          <w:p w14:paraId="0537C36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详见项目对应采购文件</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03BB65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w:t>
            </w:r>
          </w:p>
        </w:tc>
        <w:tc>
          <w:tcPr>
            <w:tcW w:w="1013" w:type="dxa"/>
            <w:tcBorders>
              <w:top w:val="single" w:color="auto" w:sz="4" w:space="0"/>
              <w:left w:val="single" w:color="auto" w:sz="4" w:space="0"/>
              <w:bottom w:val="single" w:color="auto" w:sz="4" w:space="0"/>
              <w:right w:val="single" w:color="auto" w:sz="4" w:space="0"/>
            </w:tcBorders>
            <w:noWrap w:val="0"/>
            <w:vAlign w:val="center"/>
          </w:tcPr>
          <w:p w14:paraId="283FE5B9">
            <w:pPr>
              <w:pStyle w:val="968"/>
              <w:rPr>
                <w:rFonts w:hint="eastAsia" w:ascii="宋体" w:hAnsi="宋体" w:eastAsia="宋体" w:cs="宋体"/>
                <w:color w:val="auto"/>
                <w:kern w:val="2"/>
                <w:sz w:val="24"/>
                <w:szCs w:val="24"/>
                <w:highlight w:val="none"/>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14:paraId="27D06697">
            <w:pPr>
              <w:pStyle w:val="968"/>
              <w:rPr>
                <w:rFonts w:hint="eastAsia" w:ascii="宋体" w:hAnsi="宋体" w:eastAsia="宋体" w:cs="宋体"/>
                <w:color w:val="auto"/>
                <w:kern w:val="2"/>
                <w:sz w:val="24"/>
                <w:szCs w:val="24"/>
                <w:highlight w:val="none"/>
              </w:rPr>
            </w:pPr>
          </w:p>
        </w:tc>
      </w:tr>
      <w:tr w14:paraId="0F0A4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5353" w:type="dxa"/>
            <w:gridSpan w:val="2"/>
            <w:tcBorders>
              <w:top w:val="single" w:color="auto" w:sz="4" w:space="0"/>
              <w:left w:val="single" w:color="auto" w:sz="4" w:space="0"/>
              <w:bottom w:val="single" w:color="auto" w:sz="4" w:space="0"/>
              <w:right w:val="single" w:color="auto" w:sz="4" w:space="0"/>
            </w:tcBorders>
            <w:noWrap w:val="0"/>
            <w:vAlign w:val="center"/>
          </w:tcPr>
          <w:p w14:paraId="57FA5016">
            <w:pPr>
              <w:pStyle w:val="33"/>
              <w:snapToGrid w:val="0"/>
              <w:spacing w:before="120" w:after="120" w:line="360" w:lineRule="auto"/>
              <w:ind w:firstLine="511" w:firstLineChars="21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8EDADD1">
            <w:pPr>
              <w:pStyle w:val="33"/>
              <w:snapToGrid w:val="0"/>
              <w:spacing w:before="120" w:after="120" w:line="360" w:lineRule="auto"/>
              <w:jc w:val="center"/>
              <w:rPr>
                <w:rFonts w:hint="eastAsia" w:ascii="宋体" w:hAnsi="宋体" w:eastAsia="宋体" w:cs="宋体"/>
                <w:color w:val="auto"/>
                <w:sz w:val="24"/>
                <w:szCs w:val="24"/>
                <w:highlight w:val="none"/>
              </w:rPr>
            </w:pPr>
          </w:p>
        </w:tc>
        <w:tc>
          <w:tcPr>
            <w:tcW w:w="2375" w:type="dxa"/>
            <w:gridSpan w:val="2"/>
            <w:tcBorders>
              <w:top w:val="single" w:color="auto" w:sz="4" w:space="0"/>
              <w:left w:val="single" w:color="auto" w:sz="4" w:space="0"/>
              <w:bottom w:val="single" w:color="auto" w:sz="4" w:space="0"/>
              <w:right w:val="single" w:color="auto" w:sz="4" w:space="0"/>
            </w:tcBorders>
            <w:noWrap w:val="0"/>
            <w:vAlign w:val="center"/>
          </w:tcPr>
          <w:p w14:paraId="1FA032F6">
            <w:pPr>
              <w:pStyle w:val="968"/>
              <w:ind w:firstLine="511" w:firstLineChars="213"/>
              <w:rPr>
                <w:rFonts w:hint="eastAsia" w:ascii="宋体" w:hAnsi="宋体" w:eastAsia="宋体" w:cs="宋体"/>
                <w:color w:val="auto"/>
                <w:kern w:val="2"/>
                <w:sz w:val="24"/>
                <w:szCs w:val="24"/>
                <w:highlight w:val="none"/>
              </w:rPr>
            </w:pPr>
          </w:p>
        </w:tc>
      </w:tr>
      <w:tr w14:paraId="5B9BF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8720" w:type="dxa"/>
            <w:gridSpan w:val="5"/>
            <w:tcBorders>
              <w:top w:val="single" w:color="auto" w:sz="4" w:space="0"/>
              <w:left w:val="single" w:color="auto" w:sz="4" w:space="0"/>
              <w:bottom w:val="single" w:color="auto" w:sz="4" w:space="0"/>
              <w:right w:val="single" w:color="auto" w:sz="4" w:space="0"/>
            </w:tcBorders>
            <w:noWrap w:val="0"/>
            <w:vAlign w:val="center"/>
          </w:tcPr>
          <w:p w14:paraId="4A5DF3AB">
            <w:pPr>
              <w:pStyle w:val="33"/>
              <w:snapToGrid w:val="0"/>
              <w:spacing w:before="120"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合同总价大写：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p>
        </w:tc>
      </w:tr>
    </w:tbl>
    <w:p w14:paraId="660D7898">
      <w:pPr>
        <w:autoSpaceDE w:val="0"/>
        <w:autoSpaceDN w:val="0"/>
        <w:adjustRightInd w:val="0"/>
        <w:snapToGrid w:val="0"/>
        <w:spacing w:line="360" w:lineRule="auto"/>
        <w:ind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2、实施时间</w:t>
      </w:r>
    </w:p>
    <w:p w14:paraId="5A097C2D">
      <w:pPr>
        <w:autoSpaceDE w:val="0"/>
        <w:autoSpaceDN w:val="0"/>
        <w:adjustRightInd w:val="0"/>
        <w:snapToGrid w:val="0"/>
        <w:spacing w:line="360" w:lineRule="auto"/>
        <w:ind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软件运维和终端运维</w:t>
      </w:r>
      <w:r>
        <w:rPr>
          <w:rFonts w:hint="eastAsia" w:ascii="宋体" w:hAnsi="宋体" w:eastAsia="宋体" w:cs="宋体"/>
          <w:b/>
          <w:color w:val="auto"/>
          <w:sz w:val="24"/>
          <w:szCs w:val="24"/>
          <w:highlight w:val="none"/>
        </w:rPr>
        <w:t>期</w:t>
      </w:r>
      <w:r>
        <w:rPr>
          <w:rFonts w:hint="eastAsia" w:ascii="宋体" w:hAnsi="宋体" w:eastAsia="宋体" w:cs="宋体"/>
          <w:b/>
          <w:color w:val="auto"/>
          <w:sz w:val="24"/>
          <w:szCs w:val="24"/>
          <w:highlight w:val="none"/>
          <w:lang w:val="en-US" w:eastAsia="zh-CN"/>
        </w:rPr>
        <w:t>等</w:t>
      </w:r>
      <w:r>
        <w:rPr>
          <w:rFonts w:hint="eastAsia" w:ascii="宋体" w:hAnsi="宋体" w:eastAsia="宋体" w:cs="宋体"/>
          <w:b/>
          <w:color w:val="auto"/>
          <w:sz w:val="24"/>
          <w:szCs w:val="24"/>
          <w:highlight w:val="none"/>
        </w:rPr>
        <w:t>：</w:t>
      </w:r>
    </w:p>
    <w:p w14:paraId="43C86A5A">
      <w:pPr>
        <w:numPr>
          <w:ilvl w:val="0"/>
          <w:numId w:val="24"/>
        </w:numPr>
        <w:spacing w:line="360" w:lineRule="auto"/>
        <w:ind w:left="5" w:right="-21" w:rightChars="-10" w:firstLine="41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运维</w:t>
      </w:r>
      <w:r>
        <w:rPr>
          <w:rFonts w:hint="eastAsia" w:ascii="宋体" w:hAnsi="宋体" w:eastAsia="宋体" w:cs="宋体"/>
          <w:color w:val="auto"/>
          <w:sz w:val="24"/>
          <w:highlight w:val="none"/>
        </w:rPr>
        <w:t>服务地点：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3652CC5">
      <w:pPr>
        <w:numPr>
          <w:ilvl w:val="0"/>
          <w:numId w:val="24"/>
        </w:numPr>
        <w:spacing w:line="360" w:lineRule="auto"/>
        <w:ind w:left="5" w:right="-21" w:rightChars="-10" w:firstLine="41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运维</w:t>
      </w:r>
      <w:r>
        <w:rPr>
          <w:rFonts w:hint="eastAsia" w:ascii="宋体" w:hAnsi="宋体" w:eastAsia="宋体" w:cs="宋体"/>
          <w:color w:val="auto"/>
          <w:sz w:val="24"/>
          <w:highlight w:val="none"/>
        </w:rPr>
        <w:t>服务期限：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B9EBA94">
      <w:pPr>
        <w:numPr>
          <w:ilvl w:val="0"/>
          <w:numId w:val="24"/>
        </w:numPr>
        <w:spacing w:line="360" w:lineRule="auto"/>
        <w:ind w:left="5" w:firstLine="415" w:firstLine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乙方投入本项目开发的</w:t>
      </w:r>
      <w:r>
        <w:rPr>
          <w:rFonts w:hint="eastAsia" w:ascii="宋体" w:hAnsi="宋体" w:eastAsia="宋体" w:cs="宋体"/>
          <w:color w:val="auto"/>
          <w:sz w:val="24"/>
          <w:highlight w:val="none"/>
          <w:lang w:val="en-US" w:eastAsia="zh-CN"/>
        </w:rPr>
        <w:t>维保</w:t>
      </w:r>
      <w:r>
        <w:rPr>
          <w:rFonts w:hint="eastAsia" w:ascii="宋体" w:hAnsi="宋体" w:eastAsia="宋体" w:cs="宋体"/>
          <w:color w:val="auto"/>
          <w:sz w:val="24"/>
          <w:highlight w:val="none"/>
        </w:rPr>
        <w:t>人员为：</w:t>
      </w:r>
      <w:r>
        <w:rPr>
          <w:rFonts w:hint="eastAsia" w:ascii="宋体" w:hAnsi="宋体" w:eastAsia="宋体" w:cs="宋体"/>
          <w:color w:val="auto"/>
          <w:sz w:val="24"/>
          <w:highlight w:val="none"/>
          <w:u w:val="single"/>
        </w:rPr>
        <w:t>详见附件一。（按响应文件中的承诺在签署合同时可作为附件之一）</w:t>
      </w:r>
      <w:r>
        <w:rPr>
          <w:rFonts w:hint="eastAsia" w:ascii="宋体" w:hAnsi="宋体" w:eastAsia="宋体" w:cs="宋体"/>
          <w:color w:val="auto"/>
          <w:sz w:val="24"/>
          <w:highlight w:val="none"/>
          <w:u w:val="single"/>
          <w:lang w:eastAsia="zh-CN"/>
        </w:rPr>
        <w:t>。</w:t>
      </w:r>
    </w:p>
    <w:p w14:paraId="3AEA7764">
      <w:pPr>
        <w:autoSpaceDE w:val="0"/>
        <w:autoSpaceDN w:val="0"/>
        <w:adjustRightInd w:val="0"/>
        <w:snapToGrid w:val="0"/>
        <w:spacing w:line="360" w:lineRule="auto"/>
        <w:ind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cs="宋体"/>
          <w:b/>
          <w:color w:val="auto"/>
          <w:sz w:val="24"/>
          <w:szCs w:val="24"/>
          <w:highlight w:val="none"/>
          <w:lang w:val="en-US" w:eastAsia="zh-CN"/>
        </w:rPr>
        <w:t>2</w:t>
      </w:r>
      <w:r>
        <w:rPr>
          <w:rFonts w:hint="eastAsia" w:ascii="宋体" w:hAnsi="宋体" w:eastAsia="宋体" w:cs="宋体"/>
          <w:b/>
          <w:bCs/>
          <w:color w:val="auto"/>
          <w:sz w:val="24"/>
          <w:szCs w:val="24"/>
          <w:highlight w:val="none"/>
          <w:lang w:bidi="ar"/>
        </w:rPr>
        <w:t>IDC机房租赁及安全</w:t>
      </w:r>
      <w:r>
        <w:rPr>
          <w:rFonts w:hint="eastAsia" w:ascii="宋体" w:hAnsi="宋体" w:eastAsia="宋体" w:cs="宋体"/>
          <w:b/>
          <w:bCs/>
          <w:color w:val="auto"/>
          <w:sz w:val="24"/>
          <w:szCs w:val="24"/>
          <w:highlight w:val="none"/>
          <w:lang w:val="en-US" w:eastAsia="zh-CN" w:bidi="ar"/>
        </w:rPr>
        <w:t>服务</w:t>
      </w:r>
      <w:r>
        <w:rPr>
          <w:rFonts w:hint="eastAsia" w:ascii="宋体" w:hAnsi="宋体" w:eastAsia="宋体" w:cs="宋体"/>
          <w:b/>
          <w:color w:val="auto"/>
          <w:sz w:val="24"/>
          <w:szCs w:val="24"/>
          <w:highlight w:val="none"/>
        </w:rPr>
        <w:t>期</w:t>
      </w:r>
      <w:r>
        <w:rPr>
          <w:rFonts w:hint="eastAsia" w:ascii="宋体" w:hAnsi="宋体" w:cs="宋体"/>
          <w:b/>
          <w:color w:val="auto"/>
          <w:sz w:val="24"/>
          <w:szCs w:val="24"/>
          <w:highlight w:val="none"/>
          <w:lang w:val="en-US" w:eastAsia="zh-CN"/>
        </w:rPr>
        <w:t>等</w:t>
      </w:r>
      <w:r>
        <w:rPr>
          <w:rFonts w:hint="eastAsia" w:ascii="宋体" w:hAnsi="宋体" w:eastAsia="宋体" w:cs="宋体"/>
          <w:b/>
          <w:color w:val="auto"/>
          <w:sz w:val="24"/>
          <w:szCs w:val="24"/>
          <w:highlight w:val="none"/>
        </w:rPr>
        <w:t>：</w:t>
      </w:r>
    </w:p>
    <w:p w14:paraId="2FF874FC">
      <w:pPr>
        <w:numPr>
          <w:ilvl w:val="0"/>
          <w:numId w:val="25"/>
        </w:numPr>
        <w:spacing w:line="360" w:lineRule="auto"/>
        <w:ind w:left="5" w:right="-21" w:rightChars="-10" w:firstLine="41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3252D54">
      <w:pPr>
        <w:numPr>
          <w:ilvl w:val="0"/>
          <w:numId w:val="25"/>
        </w:numPr>
        <w:spacing w:line="360" w:lineRule="auto"/>
        <w:ind w:left="5" w:right="-21" w:rightChars="-10" w:firstLine="41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42E4AD2">
      <w:pPr>
        <w:numPr>
          <w:ilvl w:val="0"/>
          <w:numId w:val="25"/>
        </w:numPr>
        <w:spacing w:line="360" w:lineRule="auto"/>
        <w:ind w:left="5" w:firstLine="415" w:firstLineChars="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乙方投入本项目开发的</w:t>
      </w:r>
      <w:r>
        <w:rPr>
          <w:rFonts w:hint="eastAsia" w:ascii="宋体" w:hAnsi="宋体" w:cs="宋体"/>
          <w:color w:val="auto"/>
          <w:sz w:val="24"/>
          <w:highlight w:val="none"/>
          <w:lang w:val="en-US" w:eastAsia="zh-CN"/>
        </w:rPr>
        <w:t>服务</w:t>
      </w:r>
      <w:r>
        <w:rPr>
          <w:rFonts w:hint="eastAsia" w:ascii="宋体" w:hAnsi="宋体" w:eastAsia="宋体" w:cs="宋体"/>
          <w:color w:val="auto"/>
          <w:sz w:val="24"/>
          <w:highlight w:val="none"/>
        </w:rPr>
        <w:t>人员为：</w:t>
      </w:r>
      <w:r>
        <w:rPr>
          <w:rFonts w:hint="eastAsia" w:ascii="宋体" w:hAnsi="宋体" w:eastAsia="宋体" w:cs="宋体"/>
          <w:color w:val="auto"/>
          <w:sz w:val="24"/>
          <w:highlight w:val="none"/>
          <w:u w:val="single"/>
        </w:rPr>
        <w:t>详见附件一。（按响应文件中的承诺在签署合同时可作为附件之一）</w:t>
      </w:r>
      <w:r>
        <w:rPr>
          <w:rFonts w:hint="eastAsia" w:ascii="宋体" w:hAnsi="宋体" w:eastAsia="宋体" w:cs="宋体"/>
          <w:color w:val="auto"/>
          <w:sz w:val="24"/>
          <w:highlight w:val="none"/>
          <w:u w:val="single"/>
          <w:lang w:eastAsia="zh-CN"/>
        </w:rPr>
        <w:t>。</w:t>
      </w:r>
    </w:p>
    <w:p w14:paraId="2D1D6D28">
      <w:pPr>
        <w:autoSpaceDE w:val="0"/>
        <w:autoSpaceDN w:val="0"/>
        <w:adjustRightInd w:val="0"/>
        <w:snapToGrid w:val="0"/>
        <w:spacing w:line="360" w:lineRule="auto"/>
        <w:ind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3、质量标准</w:t>
      </w:r>
    </w:p>
    <w:p w14:paraId="773B4750">
      <w:pPr>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3.1软件运维和终端运维的质量标准：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723134B">
      <w:pPr>
        <w:numPr>
          <w:ilvl w:val="-1"/>
          <w:numId w:val="0"/>
        </w:numPr>
        <w:spacing w:line="360" w:lineRule="auto"/>
        <w:ind w:left="420" w:firstLine="0" w:firstLineChars="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3.2IDC机房租赁及安全服务的质量标准：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984C1CA">
      <w:pPr>
        <w:widowControl/>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4、服务</w:t>
      </w:r>
      <w:r>
        <w:rPr>
          <w:rFonts w:hint="eastAsia" w:ascii="宋体" w:hAnsi="宋体" w:cs="宋体"/>
          <w:b/>
          <w:color w:val="auto"/>
          <w:sz w:val="24"/>
          <w:szCs w:val="24"/>
          <w:highlight w:val="none"/>
          <w:lang w:val="en-US" w:eastAsia="zh-CN"/>
        </w:rPr>
        <w:t>响应及</w:t>
      </w:r>
      <w:r>
        <w:rPr>
          <w:rFonts w:hint="eastAsia" w:ascii="宋体" w:hAnsi="宋体" w:eastAsia="宋体" w:cs="宋体"/>
          <w:b/>
          <w:color w:val="auto"/>
          <w:sz w:val="24"/>
          <w:szCs w:val="24"/>
          <w:highlight w:val="none"/>
        </w:rPr>
        <w:t xml:space="preserve">保证：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DA50A80">
      <w:pPr>
        <w:autoSpaceDE w:val="0"/>
        <w:autoSpaceDN w:val="0"/>
        <w:adjustRightInd w:val="0"/>
        <w:snapToGrid w:val="0"/>
        <w:spacing w:line="360" w:lineRule="auto"/>
        <w:ind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5、相关定义</w:t>
      </w:r>
    </w:p>
    <w:p w14:paraId="445BB6C0">
      <w:pPr>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除非本合同另有特别约定，本合同所使用的术语、概念的含义如下：</w:t>
      </w:r>
    </w:p>
    <w:p w14:paraId="0BB29901">
      <w:pPr>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rPr>
        <w:t>（1）合同：是指双方所签署的合同正文、所有附件、所有补充文件，以及双方在合同履行中所签</w:t>
      </w:r>
      <w:r>
        <w:rPr>
          <w:rFonts w:hint="eastAsia" w:ascii="宋体" w:hAnsi="宋体" w:eastAsia="宋体" w:cs="宋体"/>
          <w:color w:val="auto"/>
          <w:sz w:val="24"/>
          <w:szCs w:val="24"/>
          <w:highlight w:val="none"/>
          <w:lang w:val="zh-TW" w:eastAsia="zh-TW"/>
        </w:rPr>
        <w:t>署、确认的其他与双方权利义务相关的所有书面材料、技术文档等文件。也称为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TW" w:eastAsia="zh-TW"/>
        </w:rPr>
        <w:t>技术服务合同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TW" w:eastAsia="zh-TW"/>
        </w:rPr>
        <w:t>或</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TW" w:eastAsia="zh-TW"/>
        </w:rPr>
        <w:t>服务合同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TW" w:eastAsia="zh-TW"/>
        </w:rPr>
        <w:t>。</w:t>
      </w:r>
    </w:p>
    <w:p w14:paraId="2FFBF667">
      <w:pPr>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rPr>
        <w:t>（2）</w:t>
      </w:r>
      <w:r>
        <w:rPr>
          <w:rFonts w:hint="eastAsia" w:ascii="宋体" w:hAnsi="宋体" w:eastAsia="宋体" w:cs="宋体"/>
          <w:color w:val="auto"/>
          <w:sz w:val="24"/>
          <w:szCs w:val="24"/>
          <w:highlight w:val="none"/>
          <w:lang w:val="zh-TW" w:eastAsia="zh-TW"/>
        </w:rPr>
        <w:t>产品：指乙方根据本合同规定须向甲方提供的一切软件、硬件产品及服务。</w:t>
      </w:r>
    </w:p>
    <w:p w14:paraId="4DA9588F">
      <w:pPr>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（3）服务价款：是指根据本合同约定，乙方在正确地完全履行合同义务后甲方应支付给乙方的全部价款。</w:t>
      </w:r>
    </w:p>
    <w:p w14:paraId="7F918639">
      <w:pPr>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（4）工作说明书：是指约定服务的工作内容、范围、质量标准、项目进度、资源管理等特定内容的文件。</w:t>
      </w:r>
    </w:p>
    <w:p w14:paraId="3E3A9F2C">
      <w:pPr>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（5）技术文档：指乙方向甲丙方提供产品过程中，使用或产生的技术资料、项目文档，文档的形式可以是纸面文件，也可以为电子文档，技术文档包括一般文档和项目专用文档。</w:t>
      </w:r>
    </w:p>
    <w:p w14:paraId="21FA9B48">
      <w:pPr>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服务成果：是指乙方按照附件一的约定所完成的项目工作成果，包括以纸质、电子磁盘或其他介质体现的服务文档、各种数据、参数，乙方为履行本合同所搜集、使用、编制、创作的所有其他技术文档和解决方案，以及乙方按照合同、法律、法规及行业规范等规定应当提供的服务。</w:t>
      </w:r>
    </w:p>
    <w:p w14:paraId="5E6D043C">
      <w:pPr>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（7）交付：是指乙方将合同约定的服务成果提交给甲方使用。</w:t>
      </w:r>
    </w:p>
    <w:p w14:paraId="3432D3B1">
      <w:pPr>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（8）服务期：项目实施期、</w:t>
      </w:r>
      <w:r>
        <w:rPr>
          <w:rFonts w:hint="eastAsia" w:ascii="宋体" w:hAnsi="宋体" w:eastAsia="宋体" w:cs="宋体"/>
          <w:color w:val="auto"/>
          <w:sz w:val="24"/>
          <w:szCs w:val="24"/>
          <w:highlight w:val="none"/>
          <w:lang w:eastAsia="zh-CN"/>
        </w:rPr>
        <w:t>试运营</w:t>
      </w:r>
      <w:r>
        <w:rPr>
          <w:rFonts w:hint="eastAsia" w:ascii="宋体" w:hAnsi="宋体" w:eastAsia="宋体" w:cs="宋体"/>
          <w:color w:val="auto"/>
          <w:sz w:val="24"/>
          <w:szCs w:val="24"/>
          <w:highlight w:val="none"/>
        </w:rPr>
        <w:t>期及免费维护期。</w:t>
      </w:r>
    </w:p>
    <w:p w14:paraId="3C890CF1">
      <w:pPr>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（9）知识产权：指受中国法律及国际公约保护的专利权、商标权、著作权、商业秘密等及其他与之相关的权利。</w:t>
      </w:r>
    </w:p>
    <w:p w14:paraId="1D50132B">
      <w:pPr>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（10）不可抗力：本合同各方由于地震、台风、水灾、火灾、战争以及其它不能预见</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对其发生和后果不能防止或不能避免且不可克服的客观情况。</w:t>
      </w:r>
    </w:p>
    <w:p w14:paraId="55CA502B">
      <w:pPr>
        <w:suppressAutoHyphens/>
        <w:spacing w:line="360" w:lineRule="auto"/>
        <w:ind w:firstLine="42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w:t>
      </w:r>
      <w:r>
        <w:rPr>
          <w:rFonts w:hint="eastAsia" w:ascii="宋体" w:hAnsi="宋体" w:eastAsia="宋体" w:cs="宋体"/>
          <w:b/>
          <w:color w:val="auto"/>
          <w:sz w:val="24"/>
          <w:szCs w:val="24"/>
          <w:highlight w:val="none"/>
          <w:lang w:val="en-US" w:eastAsia="zh-CN"/>
        </w:rPr>
        <w:t>项目服务</w:t>
      </w:r>
      <w:r>
        <w:rPr>
          <w:rFonts w:hint="eastAsia" w:ascii="宋体" w:hAnsi="宋体" w:eastAsia="宋体" w:cs="宋体"/>
          <w:b/>
          <w:color w:val="auto"/>
          <w:sz w:val="24"/>
          <w:szCs w:val="24"/>
          <w:highlight w:val="none"/>
        </w:rPr>
        <w:t>内容</w:t>
      </w:r>
    </w:p>
    <w:p w14:paraId="25A5661A">
      <w:pPr>
        <w:pStyle w:val="16"/>
        <w:tabs>
          <w:tab w:val="right" w:pos="-2120"/>
        </w:tabs>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w:t>
      </w:r>
      <w:r>
        <w:rPr>
          <w:rFonts w:hint="eastAsia" w:hAnsi="宋体" w:cs="宋体"/>
          <w:b/>
          <w:bCs/>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软件运维和终端</w:t>
      </w:r>
      <w:r>
        <w:rPr>
          <w:rFonts w:hint="eastAsia" w:ascii="宋体" w:hAnsi="宋体" w:eastAsia="宋体" w:cs="宋体"/>
          <w:b/>
          <w:bCs/>
          <w:color w:val="auto"/>
          <w:sz w:val="24"/>
          <w:szCs w:val="24"/>
          <w:highlight w:val="none"/>
          <w:lang w:val="en-US" w:eastAsia="zh-CN"/>
        </w:rPr>
        <w:t>运维服务</w:t>
      </w:r>
      <w:r>
        <w:rPr>
          <w:rFonts w:hint="eastAsia" w:ascii="宋体" w:hAnsi="宋体" w:eastAsia="宋体" w:cs="宋体"/>
          <w:b/>
          <w:bCs/>
          <w:color w:val="auto"/>
          <w:sz w:val="24"/>
          <w:szCs w:val="24"/>
          <w:highlight w:val="none"/>
        </w:rPr>
        <w:t>内容</w:t>
      </w:r>
    </w:p>
    <w:p w14:paraId="676AE8C6">
      <w:pPr>
        <w:pStyle w:val="16"/>
        <w:tabs>
          <w:tab w:val="right" w:pos="-2120"/>
        </w:tabs>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本项目采购文件所述的</w:t>
      </w:r>
      <w:r>
        <w:rPr>
          <w:rFonts w:hint="eastAsia" w:ascii="宋体" w:hAnsi="宋体" w:eastAsia="宋体" w:cs="宋体"/>
          <w:color w:val="auto"/>
          <w:sz w:val="24"/>
          <w:szCs w:val="24"/>
          <w:highlight w:val="none"/>
          <w:lang w:val="en-US" w:eastAsia="zh-CN"/>
        </w:rPr>
        <w:t>运维部分</w:t>
      </w: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eastAsia="zh-CN"/>
        </w:rPr>
        <w:t>。</w:t>
      </w:r>
    </w:p>
    <w:p w14:paraId="32848711">
      <w:pPr>
        <w:pStyle w:val="16"/>
        <w:tabs>
          <w:tab w:val="right" w:pos="-212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甲方在乙方</w:t>
      </w:r>
      <w:r>
        <w:rPr>
          <w:rFonts w:hint="eastAsia" w:ascii="宋体" w:hAnsi="宋体" w:eastAsia="宋体" w:cs="宋体"/>
          <w:color w:val="auto"/>
          <w:sz w:val="24"/>
          <w:szCs w:val="24"/>
          <w:highlight w:val="none"/>
          <w:lang w:val="en-US" w:eastAsia="zh-CN"/>
        </w:rPr>
        <w:t>运维</w:t>
      </w:r>
      <w:r>
        <w:rPr>
          <w:rFonts w:hint="eastAsia" w:ascii="宋体" w:hAnsi="宋体" w:eastAsia="宋体" w:cs="宋体"/>
          <w:color w:val="auto"/>
          <w:sz w:val="24"/>
          <w:szCs w:val="24"/>
          <w:highlight w:val="none"/>
        </w:rPr>
        <w:t>过程或技术服务过程中，有权对</w:t>
      </w:r>
      <w:r>
        <w:rPr>
          <w:rFonts w:hint="eastAsia" w:ascii="宋体" w:hAnsi="宋体" w:eastAsia="宋体" w:cs="宋体"/>
          <w:color w:val="auto"/>
          <w:sz w:val="24"/>
          <w:szCs w:val="24"/>
          <w:highlight w:val="none"/>
          <w:lang w:val="en-US" w:eastAsia="zh-CN"/>
        </w:rPr>
        <w:t>运维</w:t>
      </w:r>
      <w:r>
        <w:rPr>
          <w:rFonts w:hint="eastAsia" w:ascii="宋体" w:hAnsi="宋体" w:eastAsia="宋体" w:cs="宋体"/>
          <w:color w:val="auto"/>
          <w:sz w:val="24"/>
          <w:szCs w:val="24"/>
          <w:highlight w:val="none"/>
        </w:rPr>
        <w:t>内容根据实际情况提出适当的弹性需求，乙方应予以配合。</w:t>
      </w:r>
    </w:p>
    <w:p w14:paraId="63D0C334">
      <w:pPr>
        <w:pStyle w:val="16"/>
        <w:tabs>
          <w:tab w:val="right" w:pos="-2120"/>
        </w:tabs>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w:t>
      </w:r>
      <w:r>
        <w:rPr>
          <w:rFonts w:hint="eastAsia" w:hAnsi="宋体" w:cs="宋体"/>
          <w:b/>
          <w:bCs/>
          <w:color w:val="auto"/>
          <w:sz w:val="24"/>
          <w:szCs w:val="24"/>
          <w:highlight w:val="none"/>
          <w:lang w:val="en-US" w:eastAsia="zh-CN"/>
        </w:rPr>
        <w:t>2IDC机房租赁及安全服务</w:t>
      </w:r>
      <w:r>
        <w:rPr>
          <w:rFonts w:hint="eastAsia" w:ascii="宋体" w:hAnsi="宋体" w:eastAsia="宋体" w:cs="宋体"/>
          <w:b/>
          <w:bCs/>
          <w:color w:val="auto"/>
          <w:sz w:val="24"/>
          <w:szCs w:val="24"/>
          <w:highlight w:val="none"/>
        </w:rPr>
        <w:t>内容</w:t>
      </w:r>
    </w:p>
    <w:p w14:paraId="28676E0A">
      <w:pPr>
        <w:pStyle w:val="16"/>
        <w:tabs>
          <w:tab w:val="right" w:pos="-2120"/>
        </w:tabs>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本项目采购文件所述的</w:t>
      </w:r>
      <w:r>
        <w:rPr>
          <w:rFonts w:hint="eastAsia" w:ascii="宋体" w:hAnsi="宋体" w:eastAsia="宋体" w:cs="宋体"/>
          <w:color w:val="auto"/>
          <w:sz w:val="24"/>
          <w:szCs w:val="24"/>
          <w:highlight w:val="none"/>
          <w:lang w:val="en-US" w:eastAsia="zh-CN"/>
        </w:rPr>
        <w:t>IDC机房租赁及安全服务部分</w:t>
      </w: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eastAsia="zh-CN"/>
        </w:rPr>
        <w:t>。</w:t>
      </w:r>
    </w:p>
    <w:p w14:paraId="229FB2F1">
      <w:pPr>
        <w:pStyle w:val="16"/>
        <w:tabs>
          <w:tab w:val="right" w:pos="-212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甲方在乙方</w:t>
      </w:r>
      <w:r>
        <w:rPr>
          <w:rFonts w:hint="eastAsia" w:ascii="宋体" w:hAnsi="宋体" w:eastAsia="宋体" w:cs="宋体"/>
          <w:color w:val="auto"/>
          <w:sz w:val="24"/>
          <w:szCs w:val="24"/>
          <w:highlight w:val="none"/>
          <w:lang w:val="en-US" w:eastAsia="zh-CN"/>
        </w:rPr>
        <w:t>运维</w:t>
      </w:r>
      <w:r>
        <w:rPr>
          <w:rFonts w:hint="eastAsia" w:ascii="宋体" w:hAnsi="宋体" w:eastAsia="宋体" w:cs="宋体"/>
          <w:color w:val="auto"/>
          <w:sz w:val="24"/>
          <w:szCs w:val="24"/>
          <w:highlight w:val="none"/>
        </w:rPr>
        <w:t>过程或技术服务过程中，有权对</w:t>
      </w:r>
      <w:r>
        <w:rPr>
          <w:rFonts w:hint="eastAsia" w:ascii="宋体" w:hAnsi="宋体" w:eastAsia="宋体" w:cs="宋体"/>
          <w:color w:val="auto"/>
          <w:sz w:val="24"/>
          <w:szCs w:val="24"/>
          <w:highlight w:val="none"/>
          <w:lang w:val="en-US" w:eastAsia="zh-CN"/>
        </w:rPr>
        <w:t>运维</w:t>
      </w:r>
      <w:r>
        <w:rPr>
          <w:rFonts w:hint="eastAsia" w:ascii="宋体" w:hAnsi="宋体" w:eastAsia="宋体" w:cs="宋体"/>
          <w:color w:val="auto"/>
          <w:sz w:val="24"/>
          <w:szCs w:val="24"/>
          <w:highlight w:val="none"/>
        </w:rPr>
        <w:t>内容根据实际情况提出适当的弹性需求，乙方应予以配合。</w:t>
      </w:r>
    </w:p>
    <w:p w14:paraId="4DBE9527">
      <w:pPr>
        <w:autoSpaceDE w:val="0"/>
        <w:autoSpaceDN w:val="0"/>
        <w:adjustRightInd w:val="0"/>
        <w:snapToGrid w:val="0"/>
        <w:spacing w:line="360" w:lineRule="auto"/>
        <w:ind w:firstLine="482" w:firstLineChars="200"/>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7、合同价款及支付</w:t>
      </w:r>
    </w:p>
    <w:p w14:paraId="12616048">
      <w:pPr>
        <w:keepNext w:val="0"/>
        <w:keepLines w:val="0"/>
        <w:widowControl w:val="0"/>
        <w:suppressLineNumbers w:val="0"/>
        <w:adjustRightInd w:val="0"/>
        <w:spacing w:before="0" w:beforeAutospacing="0" w:after="0" w:afterAutospacing="0" w:line="360" w:lineRule="auto"/>
        <w:ind w:left="0" w:right="0" w:firstLine="420" w:firstLineChars="0"/>
        <w:jc w:val="both"/>
        <w:rPr>
          <w:rFonts w:ascii="宋体" w:hAnsi="宋体" w:cs="宋体"/>
          <w:color w:val="auto"/>
          <w:sz w:val="24"/>
          <w:highlight w:val="none"/>
        </w:rPr>
      </w:pPr>
      <w:r>
        <w:rPr>
          <w:rFonts w:hint="eastAsia" w:ascii="宋体" w:hAnsi="宋体" w:cs="宋体"/>
          <w:color w:val="auto"/>
          <w:sz w:val="24"/>
          <w:highlight w:val="none"/>
        </w:rPr>
        <w:t>项目合同签订并具备实施条件后</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在收到中标供应商开具的增值税电子普通发票的</w:t>
      </w:r>
      <w:r>
        <w:rPr>
          <w:rFonts w:hint="eastAsia" w:ascii="宋体" w:hAnsi="宋体" w:cs="宋体"/>
          <w:color w:val="auto"/>
          <w:sz w:val="24"/>
          <w:highlight w:val="none"/>
        </w:rPr>
        <w:t>7个工作日内支付合同总金额的</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0%作为预付款，</w:t>
      </w:r>
      <w:r>
        <w:rPr>
          <w:rFonts w:hint="eastAsia" w:ascii="宋体" w:hAnsi="宋体" w:cs="宋体"/>
          <w:color w:val="auto"/>
          <w:sz w:val="24"/>
          <w:highlight w:val="none"/>
          <w:lang w:val="en-US" w:eastAsia="zh-CN"/>
        </w:rPr>
        <w:t>在2025年8月14日后收到</w:t>
      </w:r>
      <w:r>
        <w:rPr>
          <w:rFonts w:hint="eastAsia" w:ascii="宋体" w:hAnsi="宋体" w:eastAsia="宋体" w:cs="宋体"/>
          <w:color w:val="auto"/>
          <w:kern w:val="2"/>
          <w:sz w:val="24"/>
          <w:szCs w:val="24"/>
          <w:highlight w:val="none"/>
          <w:lang w:val="en-US" w:eastAsia="zh-CN" w:bidi="ar"/>
        </w:rPr>
        <w:t>收到中标供应商开具的增值税电子普通发票的7个工作日内支付进度款项50万元整，在2025年12月15日前，</w:t>
      </w:r>
      <w:r>
        <w:rPr>
          <w:rFonts w:hint="eastAsia" w:ascii="宋体" w:hAnsi="宋体" w:cs="宋体"/>
          <w:color w:val="auto"/>
          <w:sz w:val="24"/>
          <w:highlight w:val="none"/>
          <w:lang w:val="en-US" w:eastAsia="zh-CN"/>
        </w:rPr>
        <w:t>收到</w:t>
      </w:r>
      <w:r>
        <w:rPr>
          <w:rFonts w:hint="eastAsia" w:ascii="宋体" w:hAnsi="宋体" w:eastAsia="宋体" w:cs="宋体"/>
          <w:color w:val="auto"/>
          <w:kern w:val="2"/>
          <w:sz w:val="24"/>
          <w:szCs w:val="24"/>
          <w:highlight w:val="none"/>
          <w:lang w:val="en-US" w:eastAsia="zh-CN" w:bidi="ar"/>
        </w:rPr>
        <w:t>收到中标供应商开具的增值税电子普通发票的7个工作日内支付项目进度款20%，剩余款项在</w:t>
      </w:r>
      <w:r>
        <w:rPr>
          <w:rFonts w:hint="eastAsia" w:ascii="宋体" w:hAnsi="宋体" w:cs="宋体"/>
          <w:color w:val="auto"/>
          <w:sz w:val="24"/>
          <w:highlight w:val="none"/>
        </w:rPr>
        <w:t>项目服务期结束通过终验后支付。</w:t>
      </w:r>
    </w:p>
    <w:p w14:paraId="08E2AD25">
      <w:pPr>
        <w:widowControl/>
        <w:autoSpaceDE w:val="0"/>
        <w:autoSpaceDN w:val="0"/>
        <w:spacing w:line="360" w:lineRule="auto"/>
        <w:ind w:firstLine="540" w:firstLineChars="224"/>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8、违约责任</w:t>
      </w:r>
    </w:p>
    <w:p w14:paraId="238D48A0">
      <w:pPr>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经甲方同意乙方逾期交付产品的，乙方应按逾期产品总额每日千分之六向甲方支付违约金，由甲方从待付货款中扣除。逾期超过约定日期10个工作日不能交货的，甲方可解除本合同。乙方因逾期交货或因其他违约行为导致甲方解除合同的，乙方应向甲方支付合同总金额20%的违约金，如造成甲方损失超过违约金的，超出部分由乙方继续承担赔偿责任。</w:t>
      </w:r>
    </w:p>
    <w:p w14:paraId="391C7138">
      <w:pPr>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所交的产品品种、型号、规格、技术参数、质量不符合招标采购文件规定标准的，甲方有权拒收该货物，乙方愿意更换货物但逾期交货的，按乙方逾期交货处理。乙方拒绝更换货物的，甲方可单方面解除合同。</w:t>
      </w:r>
    </w:p>
    <w:p w14:paraId="0EDBAF57">
      <w:pPr>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（3）本条规定的损失包括直接损失和间接损失。</w:t>
      </w:r>
    </w:p>
    <w:p w14:paraId="75147ECE">
      <w:pPr>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（4）甲方为实现本合同约定权利而支出的费用，包括诉讼费、律师费、调查费等由乙方另行承担。 </w:t>
      </w:r>
    </w:p>
    <w:p w14:paraId="7A9A3D67">
      <w:pPr>
        <w:widowControl/>
        <w:autoSpaceDE w:val="0"/>
        <w:autoSpaceDN w:val="0"/>
        <w:spacing w:line="360" w:lineRule="auto"/>
        <w:ind w:firstLine="540" w:firstLineChars="224"/>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9、产品</w:t>
      </w:r>
      <w:r>
        <w:rPr>
          <w:rFonts w:hint="eastAsia" w:ascii="宋体" w:hAnsi="宋体" w:eastAsia="宋体" w:cs="宋体"/>
          <w:b/>
          <w:bCs/>
          <w:color w:val="auto"/>
          <w:sz w:val="24"/>
          <w:szCs w:val="24"/>
          <w:highlight w:val="none"/>
          <w:lang w:val="en-US" w:eastAsia="zh-CN"/>
        </w:rPr>
        <w:t>和服务</w:t>
      </w:r>
      <w:r>
        <w:rPr>
          <w:rFonts w:hint="eastAsia" w:ascii="宋体" w:hAnsi="宋体" w:eastAsia="宋体" w:cs="宋体"/>
          <w:b/>
          <w:bCs/>
          <w:color w:val="auto"/>
          <w:sz w:val="24"/>
          <w:szCs w:val="24"/>
          <w:highlight w:val="none"/>
        </w:rPr>
        <w:t>交付</w:t>
      </w:r>
    </w:p>
    <w:p w14:paraId="3ED353B9">
      <w:pPr>
        <w:widowControl/>
        <w:autoSpaceDE w:val="0"/>
        <w:autoSpaceDN w:val="0"/>
        <w:spacing w:line="360" w:lineRule="auto"/>
        <w:ind w:firstLine="42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（1）交付地点：甲方指定地点。</w:t>
      </w:r>
    </w:p>
    <w:p w14:paraId="021FD7E1">
      <w:pPr>
        <w:widowControl/>
        <w:autoSpaceDE w:val="0"/>
        <w:autoSpaceDN w:val="0"/>
        <w:spacing w:line="360" w:lineRule="auto"/>
        <w:ind w:firstLine="42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（2）安装调试时间：按甲方要求的时间完成安装和调试，如在甲方规定的时间内由于乙方的原因不能完成安装和调试，乙方应承担由此给用户造成的损失。</w:t>
      </w:r>
    </w:p>
    <w:p w14:paraId="526F9D5D">
      <w:pPr>
        <w:widowControl/>
        <w:autoSpaceDE w:val="0"/>
        <w:autoSpaceDN w:val="0"/>
        <w:spacing w:line="360" w:lineRule="auto"/>
        <w:ind w:firstLine="42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安装标准：符合我国国家有关技术规范要求和技术标准。</w:t>
      </w:r>
    </w:p>
    <w:p w14:paraId="211C1E3F">
      <w:pPr>
        <w:widowControl/>
        <w:autoSpaceDE w:val="0"/>
        <w:autoSpaceDN w:val="0"/>
        <w:spacing w:line="360" w:lineRule="auto"/>
        <w:ind w:firstLine="42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（3）安装调试、试运行过程中发生的费用由乙方负责。</w:t>
      </w:r>
    </w:p>
    <w:p w14:paraId="197BCCF4">
      <w:pPr>
        <w:widowControl/>
        <w:autoSpaceDE w:val="0"/>
        <w:autoSpaceDN w:val="0"/>
        <w:spacing w:line="360" w:lineRule="auto"/>
        <w:ind w:firstLine="42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乙方应在投标文件中提供其安装调试过程中甲方需配合的内容。</w:t>
      </w:r>
    </w:p>
    <w:p w14:paraId="0864A75C">
      <w:pPr>
        <w:widowControl/>
        <w:autoSpaceDE w:val="0"/>
        <w:autoSpaceDN w:val="0"/>
        <w:spacing w:line="360" w:lineRule="auto"/>
        <w:ind w:firstLine="42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在项目实施过程中，向甲方提供齐全的电子版和书面的操作说明等文档。</w:t>
      </w:r>
    </w:p>
    <w:p w14:paraId="63DC4D53">
      <w:pPr>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（4）乙方应对甲方的相关操作和技术人员进行培训，使其能熟练掌握该系统。</w:t>
      </w:r>
    </w:p>
    <w:p w14:paraId="25F4CD05">
      <w:pPr>
        <w:widowControl/>
        <w:autoSpaceDE w:val="0"/>
        <w:autoSpaceDN w:val="0"/>
        <w:spacing w:line="360" w:lineRule="auto"/>
        <w:ind w:firstLine="540" w:firstLineChars="224"/>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10、验收</w:t>
      </w:r>
    </w:p>
    <w:p w14:paraId="4A2E64AA">
      <w:pPr>
        <w:widowControl/>
        <w:autoSpaceDE w:val="0"/>
        <w:autoSpaceDN w:val="0"/>
        <w:spacing w:line="360" w:lineRule="auto"/>
        <w:ind w:firstLine="537" w:firstLineChars="224"/>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（1）乙方应提供项目相关软件、设备的有效验收文件，经用户认可后，作为验收标准。用户对项目验收合格后，双方共同签署验收合格证书并加盖公章。验收中发现软件、</w:t>
      </w:r>
      <w:r>
        <w:rPr>
          <w:rFonts w:hint="eastAsia" w:ascii="宋体" w:hAnsi="宋体" w:eastAsia="宋体" w:cs="宋体"/>
          <w:color w:val="auto"/>
          <w:sz w:val="24"/>
          <w:szCs w:val="24"/>
          <w:highlight w:val="none"/>
          <w:lang w:val="en-US" w:eastAsia="zh-CN"/>
        </w:rPr>
        <w:t>运维服务</w:t>
      </w:r>
      <w:r>
        <w:rPr>
          <w:rFonts w:hint="eastAsia" w:ascii="宋体" w:hAnsi="宋体" w:eastAsia="宋体" w:cs="宋体"/>
          <w:color w:val="auto"/>
          <w:sz w:val="24"/>
          <w:szCs w:val="24"/>
          <w:highlight w:val="none"/>
        </w:rPr>
        <w:t>达不到验收标准或合同规定的性能指标，</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必须修改相应内容</w:t>
      </w:r>
      <w:r>
        <w:rPr>
          <w:rFonts w:hint="eastAsia" w:ascii="宋体" w:hAnsi="宋体" w:eastAsia="宋体" w:cs="宋体"/>
          <w:color w:val="auto"/>
          <w:sz w:val="24"/>
          <w:szCs w:val="24"/>
          <w:highlight w:val="none"/>
          <w:lang w:val="en-US" w:eastAsia="zh-CN"/>
        </w:rPr>
        <w:t>或改进相应服务标准</w:t>
      </w:r>
      <w:r>
        <w:rPr>
          <w:rFonts w:hint="eastAsia" w:ascii="宋体" w:hAnsi="宋体" w:eastAsia="宋体" w:cs="宋体"/>
          <w:color w:val="auto"/>
          <w:sz w:val="24"/>
          <w:szCs w:val="24"/>
          <w:highlight w:val="none"/>
        </w:rPr>
        <w:t>，以满足用户需求。</w:t>
      </w:r>
    </w:p>
    <w:p w14:paraId="63089414">
      <w:pPr>
        <w:widowControl/>
        <w:autoSpaceDE w:val="0"/>
        <w:autoSpaceDN w:val="0"/>
        <w:spacing w:line="360" w:lineRule="auto"/>
        <w:ind w:firstLine="537" w:firstLineChars="224"/>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（2）验收费用由乙方负责。</w:t>
      </w:r>
    </w:p>
    <w:p w14:paraId="53CA4613">
      <w:pPr>
        <w:widowControl/>
        <w:autoSpaceDE w:val="0"/>
        <w:autoSpaceDN w:val="0"/>
        <w:spacing w:line="360" w:lineRule="auto"/>
        <w:ind w:firstLine="540" w:firstLineChars="224"/>
        <w:textAlignment w:val="bottom"/>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11、</w:t>
      </w:r>
      <w:r>
        <w:rPr>
          <w:rFonts w:hint="eastAsia" w:ascii="宋体" w:hAnsi="宋体" w:eastAsia="宋体" w:cs="宋体"/>
          <w:b/>
          <w:bCs/>
          <w:color w:val="auto"/>
          <w:sz w:val="24"/>
          <w:szCs w:val="24"/>
          <w:highlight w:val="none"/>
        </w:rPr>
        <w:t>问题处理约定</w:t>
      </w:r>
    </w:p>
    <w:p w14:paraId="2B42F805">
      <w:pPr>
        <w:widowControl/>
        <w:autoSpaceDE w:val="0"/>
        <w:autoSpaceDN w:val="0"/>
        <w:spacing w:line="360" w:lineRule="auto"/>
        <w:ind w:firstLine="537" w:firstLineChars="224"/>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如果甲方发现工作成果中存在缺陷，双方应当视问题的严重性给出合适的处理措施。约定如下： </w:t>
      </w:r>
    </w:p>
    <w:p w14:paraId="1873BB7A">
      <w:pPr>
        <w:widowControl/>
        <w:autoSpaceDE w:val="0"/>
        <w:autoSpaceDN w:val="0"/>
        <w:spacing w:line="360" w:lineRule="auto"/>
        <w:ind w:firstLine="537" w:firstLineChars="224"/>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如果工作成果存在严重的缺陷，则退回给乙方。乙方应当给出纠正缺陷，双方协商第二次验收的时间。乙方应当赔偿给甲方造成的损失。</w:t>
      </w:r>
    </w:p>
    <w:p w14:paraId="5078D9AB">
      <w:pPr>
        <w:widowControl/>
        <w:autoSpaceDE w:val="0"/>
        <w:autoSpaceDN w:val="0"/>
        <w:spacing w:line="360" w:lineRule="auto"/>
        <w:ind w:firstLine="537" w:firstLineChars="224"/>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如果工作成果存在一些轻微的缺陷，则乙方应当给出纠正缺陷的措施，双方协商是否需要第二次验收。</w:t>
      </w:r>
    </w:p>
    <w:p w14:paraId="6314BEBC">
      <w:pPr>
        <w:widowControl/>
        <w:autoSpaceDE w:val="0"/>
        <w:autoSpaceDN w:val="0"/>
        <w:spacing w:line="360" w:lineRule="auto"/>
        <w:ind w:firstLine="540" w:firstLineChars="224"/>
        <w:textAlignment w:val="bottom"/>
        <w:rPr>
          <w:rFonts w:hint="eastAsia" w:ascii="宋体" w:hAnsi="宋体" w:eastAsia="宋体" w:cs="宋体"/>
          <w:b/>
          <w:bCs/>
          <w:color w:val="auto"/>
          <w:sz w:val="24"/>
          <w:szCs w:val="24"/>
          <w:highlight w:val="none"/>
          <w:lang w:val="en-US" w:eastAsia="zh-CN"/>
        </w:rPr>
      </w:pPr>
      <w:r>
        <w:rPr>
          <w:rFonts w:hint="eastAsia" w:ascii="宋体" w:hAnsi="宋体" w:eastAsia="宋体" w:cs="宋体"/>
          <w:b/>
          <w:color w:val="auto"/>
          <w:sz w:val="24"/>
          <w:szCs w:val="24"/>
          <w:highlight w:val="none"/>
        </w:rPr>
        <w:t>12、</w:t>
      </w:r>
      <w:r>
        <w:rPr>
          <w:rFonts w:hint="eastAsia" w:ascii="宋体" w:hAnsi="宋体" w:eastAsia="宋体" w:cs="宋体"/>
          <w:b/>
          <w:bCs/>
          <w:color w:val="auto"/>
          <w:sz w:val="24"/>
          <w:szCs w:val="24"/>
          <w:highlight w:val="none"/>
        </w:rPr>
        <w:t>转</w:t>
      </w:r>
      <w:r>
        <w:rPr>
          <w:rFonts w:hint="eastAsia" w:ascii="宋体" w:hAnsi="宋体" w:eastAsia="宋体" w:cs="宋体"/>
          <w:b/>
          <w:bCs/>
          <w:color w:val="auto"/>
          <w:sz w:val="24"/>
          <w:szCs w:val="24"/>
          <w:highlight w:val="none"/>
          <w:lang w:val="en-US" w:eastAsia="zh-CN"/>
        </w:rPr>
        <w:t>包分包</w:t>
      </w:r>
    </w:p>
    <w:p w14:paraId="50231503">
      <w:pPr>
        <w:widowControl/>
        <w:autoSpaceDE w:val="0"/>
        <w:autoSpaceDN w:val="0"/>
        <w:spacing w:line="360" w:lineRule="auto"/>
        <w:ind w:firstLine="537" w:firstLineChars="224"/>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在本合同有效期内，乙方不得将本合同项下的受托项目全部转让给任何其它方执行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除分包协议中明确的分包内容之外，</w:t>
      </w:r>
      <w:r>
        <w:rPr>
          <w:rFonts w:hint="eastAsia" w:ascii="宋体" w:hAnsi="宋体" w:eastAsia="宋体" w:cs="宋体"/>
          <w:color w:val="auto"/>
          <w:sz w:val="24"/>
          <w:szCs w:val="24"/>
          <w:highlight w:val="none"/>
        </w:rPr>
        <w:t>乙方不得将</w:t>
      </w:r>
      <w:r>
        <w:rPr>
          <w:rFonts w:hint="eastAsia" w:ascii="宋体" w:hAnsi="宋体" w:eastAsia="宋体" w:cs="宋体"/>
          <w:color w:val="auto"/>
          <w:sz w:val="24"/>
          <w:szCs w:val="24"/>
          <w:highlight w:val="none"/>
          <w:lang w:val="en-US" w:eastAsia="zh-CN"/>
        </w:rPr>
        <w:t>其他内容</w:t>
      </w:r>
      <w:r>
        <w:rPr>
          <w:rFonts w:hint="eastAsia" w:ascii="宋体" w:hAnsi="宋体" w:eastAsia="宋体" w:cs="宋体"/>
          <w:color w:val="auto"/>
          <w:sz w:val="24"/>
          <w:szCs w:val="24"/>
          <w:highlight w:val="none"/>
        </w:rPr>
        <w:t>转让给任何其它方执行。违反本项规定的，乙方将承担全部可能产生的责任。</w:t>
      </w:r>
    </w:p>
    <w:p w14:paraId="389B2D4C">
      <w:pPr>
        <w:widowControl/>
        <w:autoSpaceDE w:val="0"/>
        <w:autoSpaceDN w:val="0"/>
        <w:spacing w:line="360" w:lineRule="auto"/>
        <w:ind w:firstLine="540" w:firstLineChars="224"/>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13、保密责任和义务</w:t>
      </w:r>
    </w:p>
    <w:p w14:paraId="36B66DCF">
      <w:pPr>
        <w:widowControl/>
        <w:autoSpaceDE w:val="0"/>
        <w:autoSpaceDN w:val="0"/>
        <w:spacing w:line="360" w:lineRule="auto"/>
        <w:ind w:firstLine="537" w:firstLineChars="224"/>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对本合同所述的技术资料和技术秘密采取保密措施，乙方未经甲方的书面同意，不得将本项目所涉及的技术秘密和资料向与本项目无关的人员或第三方透露，也不能就有关合同内容的任何部分进行新闻的发布、公开的宣称、否认或承认。</w:t>
      </w:r>
    </w:p>
    <w:p w14:paraId="196B23FF">
      <w:pPr>
        <w:widowControl/>
        <w:autoSpaceDE w:val="0"/>
        <w:autoSpaceDN w:val="0"/>
        <w:spacing w:line="360" w:lineRule="auto"/>
        <w:ind w:firstLine="537" w:firstLineChars="224"/>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（2）乙方知道违反本条规定将给甲方造成难以弥补的损失，为此同意承担由此产生的经济上和法律上的责任。</w:t>
      </w:r>
    </w:p>
    <w:p w14:paraId="68548166">
      <w:pPr>
        <w:widowControl/>
        <w:autoSpaceDE w:val="0"/>
        <w:autoSpaceDN w:val="0"/>
        <w:spacing w:line="360" w:lineRule="auto"/>
        <w:ind w:firstLine="537" w:firstLineChars="224"/>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（3）乙方承认本合同中的技术资料和技术秘密为甲方所专有，将其对乙方进行披露并不意味着任何所有权、专利权的转让。</w:t>
      </w:r>
    </w:p>
    <w:p w14:paraId="78C9955D">
      <w:pPr>
        <w:widowControl/>
        <w:autoSpaceDE w:val="0"/>
        <w:autoSpaceDN w:val="0"/>
        <w:spacing w:line="360" w:lineRule="auto"/>
        <w:ind w:firstLine="537" w:firstLineChars="224"/>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本合同项目的研究开发结束并通过验收后，乙方应向甲方提供本合同项目的研究成果，包括技术规范、测试文件和质量标准等相关的技术资料，或者计算机软件、文档及源代码等。乙方应归还甲方提供的所有技术资料或文件等，并承诺不保留任何复印件。</w:t>
      </w:r>
    </w:p>
    <w:p w14:paraId="08861077">
      <w:pPr>
        <w:widowControl/>
        <w:autoSpaceDE w:val="0"/>
        <w:autoSpaceDN w:val="0"/>
        <w:spacing w:line="360" w:lineRule="auto"/>
        <w:ind w:firstLine="537" w:firstLineChars="224"/>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本条规定的义务和权利在本合同期满或终止后持续有效，而不受合同履行完毕时间的限制，除非甲方自行公开技术资料和技术秘密或向乙方出具放弃保密权利的书面声明。</w:t>
      </w:r>
    </w:p>
    <w:p w14:paraId="3704ED39">
      <w:pPr>
        <w:widowControl/>
        <w:autoSpaceDE w:val="0"/>
        <w:autoSpaceDN w:val="0"/>
        <w:spacing w:line="360" w:lineRule="auto"/>
        <w:ind w:firstLine="540" w:firstLineChars="224"/>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14、知识产权归属</w:t>
      </w:r>
    </w:p>
    <w:p w14:paraId="56B8E3B8">
      <w:pPr>
        <w:widowControl/>
        <w:autoSpaceDE w:val="0"/>
        <w:autoSpaceDN w:val="0"/>
        <w:spacing w:line="360" w:lineRule="auto"/>
        <w:ind w:firstLine="537" w:firstLineChars="224"/>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（1）本合同项目技术成果的专利申请权、计算机软件的著作、技术秘密以及技术资料等知识产权归甲方所有。同时乙方放弃计算机软件著作权的署名权。</w:t>
      </w:r>
    </w:p>
    <w:p w14:paraId="1506D6B4">
      <w:pPr>
        <w:widowControl/>
        <w:autoSpaceDE w:val="0"/>
        <w:autoSpaceDN w:val="0"/>
        <w:spacing w:line="360" w:lineRule="auto"/>
        <w:ind w:firstLine="537" w:firstLineChars="224"/>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（2）乙方原有的嵌入本项目的功能模块的知识产权归乙方所有。</w:t>
      </w:r>
    </w:p>
    <w:p w14:paraId="4760F0CF">
      <w:pPr>
        <w:widowControl/>
        <w:autoSpaceDE w:val="0"/>
        <w:autoSpaceDN w:val="0"/>
        <w:spacing w:line="360" w:lineRule="auto"/>
        <w:ind w:firstLine="537" w:firstLineChars="224"/>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（3）乙方不得在向甲方交付研究开发成果之前，将研究开发成果及非专利技术泄露或转让给第三方。</w:t>
      </w:r>
    </w:p>
    <w:p w14:paraId="72548A39">
      <w:pPr>
        <w:widowControl/>
        <w:autoSpaceDE w:val="0"/>
        <w:autoSpaceDN w:val="0"/>
        <w:spacing w:line="360" w:lineRule="auto"/>
        <w:ind w:firstLine="537" w:firstLineChars="224"/>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履行本合同期间及以后，乙方不得就本合同的研究开发项目与任何第三方签订或接受委托开发合同。乙方如重复签订研究开发项目合同，应对以后签订合同的无效及其对侵犯甲方的知识产权承担所有经济和法律的责任。</w:t>
      </w:r>
    </w:p>
    <w:p w14:paraId="044C08AD">
      <w:pPr>
        <w:widowControl/>
        <w:autoSpaceDE w:val="0"/>
        <w:autoSpaceDN w:val="0"/>
        <w:spacing w:line="360" w:lineRule="auto"/>
        <w:ind w:firstLine="540" w:firstLineChars="224"/>
        <w:textAlignment w:val="bottom"/>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15、</w:t>
      </w:r>
      <w:r>
        <w:rPr>
          <w:rFonts w:hint="eastAsia" w:ascii="宋体" w:hAnsi="宋体" w:eastAsia="宋体" w:cs="宋体"/>
          <w:b/>
          <w:bCs/>
          <w:color w:val="auto"/>
          <w:sz w:val="24"/>
          <w:szCs w:val="24"/>
          <w:highlight w:val="none"/>
        </w:rPr>
        <w:t>第三方知识产权</w:t>
      </w:r>
    </w:p>
    <w:p w14:paraId="75CA3415">
      <w:pPr>
        <w:widowControl/>
        <w:autoSpaceDE w:val="0"/>
        <w:autoSpaceDN w:val="0"/>
        <w:spacing w:line="360" w:lineRule="auto"/>
        <w:ind w:firstLine="42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（1）乙方承诺，其在受托开发本合同项目中，不会侵犯第三方的知识产权，同时，在交付本合同成果中也不会涉及或非法使用第三方的知识产权。</w:t>
      </w:r>
    </w:p>
    <w:p w14:paraId="1F5410B5">
      <w:pPr>
        <w:widowControl/>
        <w:autoSpaceDE w:val="0"/>
        <w:autoSpaceDN w:val="0"/>
        <w:spacing w:line="360" w:lineRule="auto"/>
        <w:ind w:firstLine="42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任何因甲方使用本项目的成果而引起对第三方知识产权的侵权诉讼，乙方应积极协助甲方进行抗辩。如确因本项目成果引起的侵权，乙方应承担所有的赔偿责任，包括甲方因诉讼产生的一切费用，包括但不限于诉讼费、仲裁费、调查费、律师费等。</w:t>
      </w:r>
    </w:p>
    <w:p w14:paraId="7EC7482C">
      <w:pPr>
        <w:suppressAutoHyphens/>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16、</w:t>
      </w:r>
      <w:r>
        <w:rPr>
          <w:rFonts w:hint="eastAsia" w:ascii="宋体" w:hAnsi="宋体" w:eastAsia="宋体" w:cs="宋体"/>
          <w:b/>
          <w:bCs/>
          <w:color w:val="auto"/>
          <w:sz w:val="24"/>
          <w:szCs w:val="24"/>
          <w:highlight w:val="none"/>
        </w:rPr>
        <w:t>风险责任的承担</w:t>
      </w:r>
    </w:p>
    <w:p w14:paraId="6A1F65F3">
      <w:pPr>
        <w:widowControl/>
        <w:autoSpaceDE w:val="0"/>
        <w:autoSpaceDN w:val="0"/>
        <w:spacing w:line="360" w:lineRule="auto"/>
        <w:ind w:firstLine="42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在研究开发过程中，由于受现有的科学知识、技术水平或试验条件的限制，发生无法预见、无法防止或无法克服的技术困难，导致研究开发工作全部或部分失败，该风险责任的损失由双方共同承担，即根据损失的金额各自承担50%。</w:t>
      </w:r>
    </w:p>
    <w:p w14:paraId="1B465B2D">
      <w:pPr>
        <w:widowControl/>
        <w:autoSpaceDE w:val="0"/>
        <w:autoSpaceDN w:val="0"/>
        <w:spacing w:line="360" w:lineRule="auto"/>
        <w:ind w:firstLine="42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（2）确定上述风险必须同时具备以下三个条件：</w:t>
      </w:r>
    </w:p>
    <w:p w14:paraId="1E3709E5">
      <w:pPr>
        <w:widowControl/>
        <w:autoSpaceDE w:val="0"/>
        <w:autoSpaceDN w:val="0"/>
        <w:spacing w:line="360" w:lineRule="auto"/>
        <w:ind w:firstLine="42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研究开发的项目本身在国际和国内现有技术水平下具有足够的难度；</w:t>
      </w:r>
    </w:p>
    <w:p w14:paraId="0254D395">
      <w:pPr>
        <w:widowControl/>
        <w:autoSpaceDE w:val="0"/>
        <w:autoSpaceDN w:val="0"/>
        <w:spacing w:line="360" w:lineRule="auto"/>
        <w:ind w:firstLine="42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研究开发方在开发过程中已充分发挥了主观的努力；</w:t>
      </w:r>
    </w:p>
    <w:p w14:paraId="37A9E306">
      <w:pPr>
        <w:widowControl/>
        <w:autoSpaceDE w:val="0"/>
        <w:autoSpaceDN w:val="0"/>
        <w:spacing w:line="360" w:lineRule="auto"/>
        <w:ind w:firstLine="42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同领域的专家认为在技术上是属于合理的失败。</w:t>
      </w:r>
    </w:p>
    <w:p w14:paraId="6B35D20E">
      <w:pPr>
        <w:widowControl/>
        <w:autoSpaceDE w:val="0"/>
        <w:autoSpaceDN w:val="0"/>
        <w:spacing w:line="360" w:lineRule="auto"/>
        <w:ind w:firstLine="42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（3）乙方发现可能致使研究开发失败或部分失败的情形时，应当及时通知甲方并采取适当措施减少损失。没有及时通知并采取适当措施，致使损失扩大的，乙方应当就扩大的损失承担责任。</w:t>
      </w:r>
    </w:p>
    <w:p w14:paraId="4703D964">
      <w:pPr>
        <w:suppressAutoHyphens/>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17、违约与赔偿</w:t>
      </w:r>
    </w:p>
    <w:p w14:paraId="212F4249">
      <w:pPr>
        <w:widowControl/>
        <w:autoSpaceDE w:val="0"/>
        <w:autoSpaceDN w:val="0"/>
        <w:spacing w:line="360" w:lineRule="auto"/>
        <w:ind w:firstLine="42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（1）甲方未按本合同规定支付第一期研究开发报酬，乙方有权解除合同。</w:t>
      </w:r>
    </w:p>
    <w:p w14:paraId="1EA29D21">
      <w:pPr>
        <w:widowControl/>
        <w:autoSpaceDE w:val="0"/>
        <w:autoSpaceDN w:val="0"/>
        <w:spacing w:line="360" w:lineRule="auto"/>
        <w:ind w:firstLine="42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逾期支付第二期开发研究报酬的，自逾期的第二天起，每逾期一天支付应付报酬额的0.05%违约金，违约金总额不超过应付款额的50%。逾期二个月仍不支付的，造成研发工作停滞、延误或失败的，乙方对此不承担责任。</w:t>
      </w:r>
    </w:p>
    <w:p w14:paraId="5A4F6249">
      <w:pPr>
        <w:widowControl/>
        <w:autoSpaceDE w:val="0"/>
        <w:autoSpaceDN w:val="0"/>
        <w:spacing w:line="360" w:lineRule="auto"/>
        <w:ind w:firstLine="42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未按计划或不实施研究开发工作，甲方有权要求乙方实施研究开发计划并采取补救措施。如乙方逾期一个月仍未按计划或不实施研究开发工作，甲方有权解除本合同，并且乙方应在二周内返还所有甲方提供的研究开发报酬，返还或销毁甲方提供的有关技术资料和文件，并承担本合同报酬总额20%的违约金。</w:t>
      </w:r>
    </w:p>
    <w:p w14:paraId="18E6D3B8">
      <w:pPr>
        <w:autoSpaceDE w:val="0"/>
        <w:autoSpaceDN w:val="0"/>
        <w:adjustRightInd w:val="0"/>
        <w:snapToGrid w:val="0"/>
        <w:spacing w:line="360" w:lineRule="auto"/>
        <w:ind w:firstLine="480" w:firstLineChars="2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按本合同规定的研究开发进程完成开发项目。未经甲方同意乙方逾期完成开发项目，乙方应按逾期产品总额每日千分之六向甲方支付违约金，由甲方从待付货款中扣除。逾期超过约定日期10个工作日不能交货的，甲方可解除本合同。乙方因逾期交货或因其他违约行为导致甲方解除合同的，乙方应向甲方支付合同总金额20%的违约金，如造成甲方损失超过违约金的，超出部分由乙方继续承担赔偿责任。</w:t>
      </w:r>
    </w:p>
    <w:p w14:paraId="6CD89855">
      <w:pPr>
        <w:widowControl/>
        <w:autoSpaceDE w:val="0"/>
        <w:autoSpaceDN w:val="0"/>
        <w:spacing w:line="360" w:lineRule="auto"/>
        <w:ind w:firstLine="42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（5）乙方未能完成甲方委托的开发项目或开发成果不符合本合同约定的要求，乙方承担本合同报酬总额20%的违约金，并返还研究开发费用。</w:t>
      </w:r>
    </w:p>
    <w:p w14:paraId="5441E7DB">
      <w:pPr>
        <w:widowControl/>
        <w:autoSpaceDE w:val="0"/>
        <w:autoSpaceDN w:val="0"/>
        <w:spacing w:line="360" w:lineRule="auto"/>
        <w:ind w:firstLine="42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（6）乙方将甲方支付的研发经费用于履行合同以外的目的，甲方有权制止并要求其纠正。如因此造成本合同研究开发项目停滞、延误或失败的，乙方应当承担给甲方造成的损失赔偿责任。</w:t>
      </w:r>
    </w:p>
    <w:p w14:paraId="5E2A2747">
      <w:pPr>
        <w:widowControl/>
        <w:autoSpaceDE w:val="0"/>
        <w:autoSpaceDN w:val="0"/>
        <w:spacing w:line="360" w:lineRule="auto"/>
        <w:ind w:firstLine="42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（7）因一方违约给另一方造成的损失超过约定违约金的，违约方除支付违约金外，承担赔偿损失（超出违约金部分）责任。</w:t>
      </w:r>
    </w:p>
    <w:p w14:paraId="145BFC23">
      <w:pPr>
        <w:widowControl/>
        <w:autoSpaceDE w:val="0"/>
        <w:autoSpaceDN w:val="0"/>
        <w:spacing w:line="360" w:lineRule="auto"/>
        <w:ind w:firstLine="42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（8）本条约定的损失，包括直接损失和间接损失。</w:t>
      </w:r>
    </w:p>
    <w:p w14:paraId="76E155D7">
      <w:pPr>
        <w:widowControl/>
        <w:autoSpaceDE w:val="0"/>
        <w:autoSpaceDN w:val="0"/>
        <w:spacing w:line="360" w:lineRule="auto"/>
        <w:ind w:firstLine="42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（9）因一方违约导致诉讼的，由违约方承担守约方为此支付的诉讼费、调查费及律师费等。</w:t>
      </w:r>
    </w:p>
    <w:p w14:paraId="45140C3B">
      <w:pPr>
        <w:suppressAutoHyphens/>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18、</w:t>
      </w:r>
      <w:r>
        <w:rPr>
          <w:rFonts w:hint="eastAsia" w:ascii="宋体" w:hAnsi="宋体" w:eastAsia="宋体" w:cs="宋体"/>
          <w:b/>
          <w:bCs/>
          <w:color w:val="auto"/>
          <w:sz w:val="24"/>
          <w:szCs w:val="24"/>
          <w:highlight w:val="none"/>
        </w:rPr>
        <w:t xml:space="preserve">不可抗力 </w:t>
      </w:r>
    </w:p>
    <w:p w14:paraId="426A0F0A">
      <w:pPr>
        <w:widowControl/>
        <w:autoSpaceDE w:val="0"/>
        <w:autoSpaceDN w:val="0"/>
        <w:spacing w:line="360" w:lineRule="auto"/>
        <w:ind w:firstLine="42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（1）不可抗力是指本合同生效后，发生不能预见并且对其发生和后果不能防止或避免的事件，如地震、台风、水灾、火灾、战争等，致使直接影响本合同的履行或不能按约定的条件履行。</w:t>
      </w:r>
    </w:p>
    <w:p w14:paraId="5CDE4F35">
      <w:pPr>
        <w:widowControl/>
        <w:autoSpaceDE w:val="0"/>
        <w:autoSpaceDN w:val="0"/>
        <w:spacing w:line="360" w:lineRule="auto"/>
        <w:ind w:firstLine="42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（2）发生不可抗力的一方应立即通知对方，并在十五天内提供不可抗力的详情及将有关证明文件送交对方。</w:t>
      </w:r>
    </w:p>
    <w:p w14:paraId="0E479C48">
      <w:pPr>
        <w:widowControl/>
        <w:autoSpaceDE w:val="0"/>
        <w:autoSpaceDN w:val="0"/>
        <w:spacing w:line="360" w:lineRule="auto"/>
        <w:ind w:firstLine="42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（3）发生不可抗力事件时，甲乙双方应协商以寻找一个合理的解决方法，并尽一切努力减轻不可抗力产生的后果。</w:t>
      </w:r>
    </w:p>
    <w:p w14:paraId="755F4FD7">
      <w:pPr>
        <w:widowControl/>
        <w:autoSpaceDE w:val="0"/>
        <w:autoSpaceDN w:val="0"/>
        <w:spacing w:line="360" w:lineRule="auto"/>
        <w:ind w:firstLine="42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（4）如不可抗力事件持续三十天时，甲乙双方应友好协商解决本合同是否继续履行或终止的问题。</w:t>
      </w:r>
    </w:p>
    <w:p w14:paraId="65A16E9B">
      <w:pPr>
        <w:suppressAutoHyphens/>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19、解除合同 </w:t>
      </w:r>
    </w:p>
    <w:p w14:paraId="3A7F991A">
      <w:pPr>
        <w:widowControl/>
        <w:autoSpaceDE w:val="0"/>
        <w:autoSpaceDN w:val="0"/>
        <w:spacing w:line="360" w:lineRule="auto"/>
        <w:ind w:firstLine="42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（1）如果满足以下条件，任一方在通知对方后，都可以解除本合同。</w:t>
      </w:r>
    </w:p>
    <w:p w14:paraId="55B7C898">
      <w:pPr>
        <w:widowControl/>
        <w:autoSpaceDE w:val="0"/>
        <w:autoSpaceDN w:val="0"/>
        <w:spacing w:line="360" w:lineRule="auto"/>
        <w:ind w:firstLine="42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14:paraId="0954B6E4">
      <w:pPr>
        <w:widowControl/>
        <w:autoSpaceDE w:val="0"/>
        <w:autoSpaceDN w:val="0"/>
        <w:spacing w:line="360" w:lineRule="auto"/>
        <w:ind w:firstLine="42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当一方按正常程序停止经营业务、破产、处于付款拖欠、延期偿付、公司重组或倒闭状况，或全部转让利润与债权人、书面承认无力偿还到期债务、委派清算人清算其业务或财产，或参与或接受与破产或债权人权利有关的法律或行政诉讼程序时。</w:t>
      </w:r>
    </w:p>
    <w:p w14:paraId="0FFD2D13">
      <w:pPr>
        <w:widowControl/>
        <w:autoSpaceDE w:val="0"/>
        <w:autoSpaceDN w:val="0"/>
        <w:spacing w:line="360" w:lineRule="auto"/>
        <w:ind w:firstLine="42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（4）当本合同以任何原因终止时，乙方应立即停止使用并销毁包含甲方机密信息的所有物件，并证明该销毁情况；或者将这些物件归还对方。</w:t>
      </w:r>
    </w:p>
    <w:p w14:paraId="2E91C3BF">
      <w:pPr>
        <w:suppressAutoHyphens/>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20、争议解决</w:t>
      </w:r>
    </w:p>
    <w:p w14:paraId="09DE97EA">
      <w:pPr>
        <w:widowControl/>
        <w:autoSpaceDE w:val="0"/>
        <w:autoSpaceDN w:val="0"/>
        <w:spacing w:line="360" w:lineRule="auto"/>
        <w:ind w:firstLine="42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（1）本合同及其修订本的有效性、履行和与本合同及其修订本效力有关的所有事宜，将受中华人民共和国法律管辖，任何争议仅适用中华人民共和国法律。</w:t>
      </w:r>
    </w:p>
    <w:p w14:paraId="51DF8814">
      <w:pPr>
        <w:widowControl/>
        <w:autoSpaceDE w:val="0"/>
        <w:autoSpaceDN w:val="0"/>
        <w:spacing w:line="360" w:lineRule="auto"/>
        <w:ind w:firstLine="42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（2）甲乙双方因合同的解释或履行发生争议时，首先应争取通过友好协商解决，该协商应在三十天内解决。</w:t>
      </w:r>
    </w:p>
    <w:p w14:paraId="1014E017">
      <w:pPr>
        <w:widowControl/>
        <w:autoSpaceDE w:val="0"/>
        <w:autoSpaceDN w:val="0"/>
        <w:spacing w:line="360" w:lineRule="auto"/>
        <w:ind w:firstLine="42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（3）如协商不能解决时，提交甲方所在地人民法院裁定。</w:t>
      </w:r>
    </w:p>
    <w:p w14:paraId="296426EF">
      <w:pPr>
        <w:widowControl/>
        <w:autoSpaceDE w:val="0"/>
        <w:autoSpaceDN w:val="0"/>
        <w:spacing w:line="360" w:lineRule="auto"/>
        <w:ind w:firstLine="42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（4）争议进行期间，除争议事项外，甲乙双方应继续履行各自本合同中规定的义务和行使权利。</w:t>
      </w:r>
    </w:p>
    <w:p w14:paraId="4346124B">
      <w:pPr>
        <w:suppressAutoHyphens/>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21、</w:t>
      </w:r>
      <w:r>
        <w:rPr>
          <w:rFonts w:hint="eastAsia" w:ascii="宋体" w:hAnsi="宋体" w:eastAsia="宋体" w:cs="宋体"/>
          <w:b/>
          <w:bCs/>
          <w:color w:val="auto"/>
          <w:sz w:val="24"/>
          <w:szCs w:val="24"/>
          <w:highlight w:val="none"/>
        </w:rPr>
        <w:t xml:space="preserve">一般条款 </w:t>
      </w:r>
    </w:p>
    <w:p w14:paraId="4D5E3F0D">
      <w:pPr>
        <w:widowControl/>
        <w:autoSpaceDE w:val="0"/>
        <w:autoSpaceDN w:val="0"/>
        <w:spacing w:line="360" w:lineRule="auto"/>
        <w:ind w:firstLine="42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非本合同另有规定，任何一方对本合同提出的任何弃权、修改或更改须以书面形式提交给对方，并经对方签字认可，否则本合同的任何条款均不得视作已被弃权、修改或更改。本合同的修改或变更，须由双方友好协商并经授权代表签署书面文件方可生效。</w:t>
      </w:r>
    </w:p>
    <w:p w14:paraId="4047D4E9">
      <w:pPr>
        <w:widowControl/>
        <w:autoSpaceDE w:val="0"/>
        <w:autoSpaceDN w:val="0"/>
        <w:spacing w:line="360" w:lineRule="auto"/>
        <w:ind w:firstLine="42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（2）如本合同的一条或者一条以上的条款被适用法律视为无法实施或无效，则：该无法实施的条款不会影响到本合同中其他任何条款。</w:t>
      </w:r>
    </w:p>
    <w:p w14:paraId="1602650C">
      <w:pPr>
        <w:widowControl/>
        <w:autoSpaceDE w:val="0"/>
        <w:autoSpaceDN w:val="0"/>
        <w:spacing w:line="360" w:lineRule="auto"/>
        <w:ind w:firstLine="42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双方应本着诚信的原则商议，用一条意思最接近的条款替换该无法实施或无效的条款。</w:t>
      </w:r>
    </w:p>
    <w:p w14:paraId="073CEC91">
      <w:pPr>
        <w:widowControl/>
        <w:autoSpaceDE w:val="0"/>
        <w:autoSpaceDN w:val="0"/>
        <w:spacing w:line="360" w:lineRule="auto"/>
        <w:ind w:firstLine="42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（3）合同各方在此声明并保证：</w:t>
      </w:r>
    </w:p>
    <w:p w14:paraId="214423E6">
      <w:pPr>
        <w:widowControl/>
        <w:autoSpaceDE w:val="0"/>
        <w:autoSpaceDN w:val="0"/>
        <w:spacing w:line="360" w:lineRule="auto"/>
        <w:ind w:firstLine="42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代表各方签署本合同的人员拥有明确的授权，其签字对签约方具有约束力；</w:t>
      </w:r>
    </w:p>
    <w:p w14:paraId="4E1758AD">
      <w:pPr>
        <w:widowControl/>
        <w:autoSpaceDE w:val="0"/>
        <w:autoSpaceDN w:val="0"/>
        <w:spacing w:line="360" w:lineRule="auto"/>
        <w:ind w:firstLine="42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本合同的执行、递交与履行不会违反各方公司的章程、规定；</w:t>
      </w:r>
    </w:p>
    <w:p w14:paraId="4592F748">
      <w:pPr>
        <w:widowControl/>
        <w:autoSpaceDE w:val="0"/>
        <w:autoSpaceDN w:val="0"/>
        <w:spacing w:line="360" w:lineRule="auto"/>
        <w:ind w:firstLine="42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本合同的执行、递交与履行已经得到全部所需合作方或公司行为的正式授权；并且本合同已对上述方形成了有效的、具有约束力的同时能按其条款执行的义务。</w:t>
      </w:r>
    </w:p>
    <w:p w14:paraId="54EB69CD">
      <w:pPr>
        <w:widowControl/>
        <w:autoSpaceDE w:val="0"/>
        <w:autoSpaceDN w:val="0"/>
        <w:spacing w:line="360" w:lineRule="auto"/>
        <w:ind w:firstLine="42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（4）双方同意，本合同条款的上下文如果表示出该条款在本合同有效期后仍然有效，则该条款在本合同有效期后应继续保持有效。</w:t>
      </w:r>
    </w:p>
    <w:p w14:paraId="7B405D85">
      <w:pPr>
        <w:widowControl/>
        <w:autoSpaceDE w:val="0"/>
        <w:autoSpaceDN w:val="0"/>
        <w:spacing w:line="360" w:lineRule="auto"/>
        <w:ind w:firstLine="42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（5）本合同与附件构成双方间的完整的合同，并将取代之前所有的书面或口头、执行或未执行的讨论、合同或声明。未经双方授权代表再签订正式合同，本合同将不作变化、增删和修改或其他活动。 </w:t>
      </w:r>
    </w:p>
    <w:p w14:paraId="37BF86A7">
      <w:pPr>
        <w:suppressAutoHyphens/>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22、组成合同</w:t>
      </w:r>
      <w:r>
        <w:rPr>
          <w:rFonts w:hint="eastAsia" w:ascii="宋体" w:hAnsi="宋体" w:eastAsia="宋体" w:cs="宋体"/>
          <w:b/>
          <w:bCs/>
          <w:color w:val="auto"/>
          <w:sz w:val="24"/>
          <w:szCs w:val="24"/>
          <w:highlight w:val="none"/>
        </w:rPr>
        <w:t>文件及优先顺序</w:t>
      </w:r>
    </w:p>
    <w:p w14:paraId="4215028D">
      <w:pPr>
        <w:suppressAutoHyphens/>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组成合同的各项文件应相互解释，互为说明。除合同另有规定外，其优先顺序如下：</w:t>
      </w:r>
    </w:p>
    <w:p w14:paraId="6A514723">
      <w:pPr>
        <w:suppressAutoHyphens/>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（1）本合同。</w:t>
      </w:r>
    </w:p>
    <w:p w14:paraId="023251ED">
      <w:pPr>
        <w:suppressAutoHyphens/>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（2）中标通知书。</w:t>
      </w:r>
    </w:p>
    <w:p w14:paraId="504AF876">
      <w:pPr>
        <w:suppressAutoHyphens/>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（3）响应文件及其附件（含询标纪要）；【如有负偏离采购文件要求的内容，则无条件按采购文件要求执行】。</w:t>
      </w:r>
    </w:p>
    <w:p w14:paraId="3112C4CC">
      <w:pPr>
        <w:suppressAutoHyphens/>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（4）采购文件（含补充文件、答疑纪要）。</w:t>
      </w:r>
    </w:p>
    <w:p w14:paraId="0189FA1D">
      <w:pPr>
        <w:suppressAutoHyphens/>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（5）标准、规范及有关技术文件。</w:t>
      </w:r>
    </w:p>
    <w:p w14:paraId="256141E6">
      <w:pPr>
        <w:suppressAutoHyphens/>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甲乙双方有关项目实施过程中的洽商、变更等书面协议或文件作为本合同的组成部分。</w:t>
      </w:r>
    </w:p>
    <w:p w14:paraId="70FE2E02">
      <w:pPr>
        <w:suppressAutoHyphens/>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（签订合同时，采购要求、投标的优惠承诺等均可作为合同条款。）</w:t>
      </w:r>
    </w:p>
    <w:p w14:paraId="69118620">
      <w:pPr>
        <w:suppressAutoHyphens/>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23、合同成立及生效</w:t>
      </w:r>
    </w:p>
    <w:p w14:paraId="2BCB539A">
      <w:pPr>
        <w:widowControl/>
        <w:autoSpaceDE w:val="0"/>
        <w:autoSpaceDN w:val="0"/>
        <w:spacing w:line="360" w:lineRule="auto"/>
        <w:ind w:firstLine="42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本合同一式</w:t>
      </w:r>
      <w:r>
        <w:rPr>
          <w:rFonts w:hint="eastAsia" w:ascii="宋体" w:hAnsi="宋体" w:eastAsia="宋体" w:cs="宋体"/>
          <w:color w:val="auto"/>
          <w:sz w:val="24"/>
          <w:highlight w:val="none"/>
          <w:u w:val="single"/>
        </w:rPr>
        <w:t>柒</w:t>
      </w:r>
      <w:r>
        <w:rPr>
          <w:rFonts w:hint="eastAsia" w:ascii="宋体" w:hAnsi="宋体" w:eastAsia="宋体" w:cs="宋体"/>
          <w:color w:val="auto"/>
          <w:sz w:val="24"/>
          <w:highlight w:val="none"/>
        </w:rPr>
        <w:t>份，甲方肆份，乙方贰份，鉴证方壹份</w:t>
      </w:r>
      <w:r>
        <w:rPr>
          <w:rFonts w:hint="eastAsia" w:ascii="宋体" w:hAnsi="宋体" w:eastAsia="宋体" w:cs="宋体"/>
          <w:color w:val="auto"/>
          <w:sz w:val="24"/>
          <w:szCs w:val="24"/>
          <w:highlight w:val="none"/>
        </w:rPr>
        <w:t>，自合同双方授权代表签字盖章并具备本合同约定的附加合同生效条件后生效，并报经浙江政府采购网的政府采购云平台备案后才能进入合同支付程序。</w:t>
      </w:r>
    </w:p>
    <w:p w14:paraId="7261D940">
      <w:pPr>
        <w:widowControl/>
        <w:autoSpaceDE w:val="0"/>
        <w:autoSpaceDN w:val="0"/>
        <w:spacing w:line="360" w:lineRule="auto"/>
        <w:ind w:firstLine="42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bookmarkStart w:id="425" w:name="_Hlk4733739"/>
      <w:bookmarkStart w:id="426" w:name="_Hlk4733863"/>
      <w:r>
        <w:rPr>
          <w:rFonts w:hint="eastAsia" w:ascii="宋体" w:hAnsi="宋体" w:eastAsia="宋体" w:cs="宋体"/>
          <w:color w:val="auto"/>
          <w:sz w:val="24"/>
          <w:szCs w:val="24"/>
          <w:highlight w:val="none"/>
        </w:rPr>
        <w:t>如果由于乙方原因导致合同不生效的，</w:t>
      </w:r>
      <w:bookmarkEnd w:id="425"/>
      <w:bookmarkEnd w:id="426"/>
      <w:r>
        <w:rPr>
          <w:rFonts w:hint="eastAsia" w:ascii="宋体" w:hAnsi="宋体" w:eastAsia="宋体" w:cs="宋体"/>
          <w:color w:val="auto"/>
          <w:sz w:val="24"/>
          <w:szCs w:val="24"/>
          <w:highlight w:val="none"/>
        </w:rPr>
        <w:t>视作中标供应商自动放弃中标资格，乙方向甲方支付数额为本项目预算金额的2%的违约金，并承担缔约过错给甲方造成的损失。</w:t>
      </w:r>
    </w:p>
    <w:p w14:paraId="660C0A9A">
      <w:pPr>
        <w:snapToGrid w:val="0"/>
        <w:spacing w:line="360" w:lineRule="auto"/>
        <w:rPr>
          <w:rFonts w:hint="eastAsia" w:ascii="宋体" w:hAnsi="宋体" w:eastAsia="宋体" w:cs="宋体"/>
          <w:color w:val="auto"/>
          <w:sz w:val="24"/>
          <w:szCs w:val="24"/>
          <w:highlight w:val="none"/>
          <w:u w:val="single"/>
        </w:rPr>
        <w:sectPr>
          <w:footnotePr>
            <w:numFmt w:val="decimal"/>
          </w:footnotePr>
          <w:pgSz w:w="11906" w:h="16838"/>
          <w:pgMar w:top="1440" w:right="1800" w:bottom="1440" w:left="1800" w:header="851" w:footer="992" w:gutter="0"/>
          <w:cols w:space="720" w:num="1"/>
          <w:docGrid w:type="lines" w:linePitch="312" w:charSpace="0"/>
        </w:sectPr>
      </w:pPr>
    </w:p>
    <w:p w14:paraId="1E4B1FC2">
      <w:pPr>
        <w:snapToGrid w:val="0"/>
        <w:rPr>
          <w:rFonts w:hint="eastAsia" w:ascii="宋体" w:hAnsi="宋体" w:eastAsia="宋体" w:cs="宋体"/>
          <w:color w:val="auto"/>
          <w:sz w:val="24"/>
          <w:szCs w:val="24"/>
          <w:highlight w:val="none"/>
          <w:u w:val="single"/>
        </w:rPr>
      </w:pPr>
    </w:p>
    <w:tbl>
      <w:tblPr>
        <w:tblStyle w:val="63"/>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150"/>
        <w:gridCol w:w="5697"/>
      </w:tblGrid>
      <w:tr w14:paraId="6B6A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1271" w:type="dxa"/>
            <w:vMerge w:val="restart"/>
            <w:tcBorders>
              <w:top w:val="single" w:color="auto" w:sz="4" w:space="0"/>
              <w:left w:val="single" w:color="auto" w:sz="4" w:space="0"/>
              <w:right w:val="single" w:color="auto" w:sz="4" w:space="0"/>
            </w:tcBorders>
            <w:noWrap w:val="0"/>
            <w:textDirection w:val="tbRlV"/>
            <w:vAlign w:val="center"/>
          </w:tcPr>
          <w:p w14:paraId="43C5B3F2">
            <w:pPr>
              <w:snapToGrid w:val="0"/>
              <w:ind w:left="113" w:right="113"/>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（采购人）甲方</w:t>
            </w:r>
          </w:p>
        </w:tc>
        <w:tc>
          <w:tcPr>
            <w:tcW w:w="2150" w:type="dxa"/>
            <w:tcBorders>
              <w:top w:val="single" w:color="auto" w:sz="4" w:space="0"/>
              <w:left w:val="single" w:color="auto" w:sz="4" w:space="0"/>
              <w:bottom w:val="single" w:color="auto" w:sz="4" w:space="0"/>
              <w:right w:val="single" w:color="auto" w:sz="4" w:space="0"/>
            </w:tcBorders>
            <w:noWrap w:val="0"/>
            <w:vAlign w:val="center"/>
          </w:tcPr>
          <w:p w14:paraId="0386598D">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tc>
        <w:tc>
          <w:tcPr>
            <w:tcW w:w="5697" w:type="dxa"/>
            <w:tcBorders>
              <w:top w:val="single" w:color="auto" w:sz="4" w:space="0"/>
              <w:left w:val="single" w:color="auto" w:sz="4" w:space="0"/>
              <w:bottom w:val="single" w:color="auto" w:sz="4" w:space="0"/>
              <w:right w:val="single" w:color="auto" w:sz="4" w:space="0"/>
            </w:tcBorders>
            <w:noWrap w:val="0"/>
            <w:vAlign w:val="center"/>
          </w:tcPr>
          <w:p w14:paraId="4E32515F">
            <w:pPr>
              <w:snapToGrid w:val="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（盖章）</w:t>
            </w:r>
          </w:p>
        </w:tc>
      </w:tr>
      <w:tr w14:paraId="454BD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1271" w:type="dxa"/>
            <w:vMerge w:val="continue"/>
            <w:tcBorders>
              <w:left w:val="single" w:color="auto" w:sz="4" w:space="0"/>
              <w:right w:val="single" w:color="auto" w:sz="4" w:space="0"/>
            </w:tcBorders>
            <w:noWrap w:val="0"/>
            <w:vAlign w:val="center"/>
          </w:tcPr>
          <w:p w14:paraId="1D7CAAAA">
            <w:pPr>
              <w:widowControl/>
              <w:snapToGrid w:val="0"/>
              <w:rPr>
                <w:rFonts w:hint="eastAsia" w:ascii="宋体" w:hAnsi="宋体" w:eastAsia="宋体" w:cs="宋体"/>
                <w:color w:val="auto"/>
                <w:sz w:val="24"/>
                <w:szCs w:val="24"/>
                <w:highlight w:val="none"/>
              </w:rPr>
            </w:pPr>
          </w:p>
        </w:tc>
        <w:tc>
          <w:tcPr>
            <w:tcW w:w="2150" w:type="dxa"/>
            <w:tcBorders>
              <w:top w:val="single" w:color="auto" w:sz="4" w:space="0"/>
              <w:left w:val="single" w:color="auto" w:sz="4" w:space="0"/>
              <w:right w:val="single" w:color="auto" w:sz="4" w:space="0"/>
            </w:tcBorders>
            <w:noWrap w:val="0"/>
            <w:vAlign w:val="center"/>
          </w:tcPr>
          <w:p w14:paraId="4068277B">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p>
        </w:tc>
        <w:tc>
          <w:tcPr>
            <w:tcW w:w="5697" w:type="dxa"/>
            <w:tcBorders>
              <w:top w:val="single" w:color="auto" w:sz="4" w:space="0"/>
              <w:left w:val="single" w:color="auto" w:sz="4" w:space="0"/>
              <w:right w:val="single" w:color="auto" w:sz="4" w:space="0"/>
            </w:tcBorders>
            <w:noWrap w:val="0"/>
            <w:vAlign w:val="center"/>
          </w:tcPr>
          <w:p w14:paraId="7BCF8A27">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（签字或签章）</w:t>
            </w:r>
          </w:p>
        </w:tc>
      </w:tr>
      <w:tr w14:paraId="4F3CF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1271" w:type="dxa"/>
            <w:vMerge w:val="continue"/>
            <w:tcBorders>
              <w:left w:val="single" w:color="auto" w:sz="4" w:space="0"/>
              <w:right w:val="single" w:color="auto" w:sz="4" w:space="0"/>
            </w:tcBorders>
            <w:noWrap w:val="0"/>
            <w:vAlign w:val="center"/>
          </w:tcPr>
          <w:p w14:paraId="6D2B0DE5">
            <w:pPr>
              <w:widowControl/>
              <w:snapToGrid w:val="0"/>
              <w:rPr>
                <w:rFonts w:hint="eastAsia" w:ascii="宋体" w:hAnsi="宋体" w:eastAsia="宋体" w:cs="宋体"/>
                <w:color w:val="auto"/>
                <w:sz w:val="24"/>
                <w:szCs w:val="24"/>
                <w:highlight w:val="none"/>
              </w:rPr>
            </w:pPr>
          </w:p>
        </w:tc>
        <w:tc>
          <w:tcPr>
            <w:tcW w:w="2150" w:type="dxa"/>
            <w:tcBorders>
              <w:top w:val="single" w:color="auto" w:sz="4" w:space="0"/>
              <w:left w:val="single" w:color="auto" w:sz="4" w:space="0"/>
              <w:right w:val="single" w:color="auto" w:sz="4" w:space="0"/>
            </w:tcBorders>
            <w:noWrap w:val="0"/>
            <w:vAlign w:val="center"/>
          </w:tcPr>
          <w:p w14:paraId="049CC71C">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c>
          <w:tcPr>
            <w:tcW w:w="5697" w:type="dxa"/>
            <w:tcBorders>
              <w:top w:val="single" w:color="auto" w:sz="4" w:space="0"/>
              <w:left w:val="single" w:color="auto" w:sz="4" w:space="0"/>
              <w:right w:val="single" w:color="auto" w:sz="4" w:space="0"/>
            </w:tcBorders>
            <w:noWrap w:val="0"/>
            <w:vAlign w:val="center"/>
          </w:tcPr>
          <w:p w14:paraId="7B29E023">
            <w:pPr>
              <w:snapToGrid w:val="0"/>
              <w:rPr>
                <w:rFonts w:hint="eastAsia" w:ascii="宋体" w:hAnsi="宋体" w:eastAsia="宋体" w:cs="宋体"/>
                <w:color w:val="auto"/>
                <w:sz w:val="24"/>
                <w:szCs w:val="24"/>
                <w:highlight w:val="none"/>
              </w:rPr>
            </w:pPr>
          </w:p>
        </w:tc>
      </w:tr>
      <w:tr w14:paraId="5C1B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1271" w:type="dxa"/>
            <w:vMerge w:val="continue"/>
            <w:tcBorders>
              <w:left w:val="single" w:color="auto" w:sz="4" w:space="0"/>
              <w:right w:val="single" w:color="auto" w:sz="4" w:space="0"/>
            </w:tcBorders>
            <w:noWrap w:val="0"/>
            <w:vAlign w:val="center"/>
          </w:tcPr>
          <w:p w14:paraId="013D0E10">
            <w:pPr>
              <w:widowControl/>
              <w:snapToGrid w:val="0"/>
              <w:rPr>
                <w:rFonts w:hint="eastAsia" w:ascii="宋体" w:hAnsi="宋体" w:eastAsia="宋体" w:cs="宋体"/>
                <w:color w:val="auto"/>
                <w:sz w:val="24"/>
                <w:szCs w:val="24"/>
                <w:highlight w:val="none"/>
              </w:rPr>
            </w:pPr>
          </w:p>
        </w:tc>
        <w:tc>
          <w:tcPr>
            <w:tcW w:w="2150" w:type="dxa"/>
            <w:tcBorders>
              <w:top w:val="single" w:color="auto" w:sz="4" w:space="0"/>
              <w:left w:val="single" w:color="auto" w:sz="4" w:space="0"/>
              <w:bottom w:val="single" w:color="auto" w:sz="4" w:space="0"/>
              <w:right w:val="single" w:color="auto" w:sz="4" w:space="0"/>
            </w:tcBorders>
            <w:noWrap w:val="0"/>
            <w:vAlign w:val="center"/>
          </w:tcPr>
          <w:p w14:paraId="199F2090">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tc>
        <w:tc>
          <w:tcPr>
            <w:tcW w:w="5697" w:type="dxa"/>
            <w:tcBorders>
              <w:top w:val="single" w:color="auto" w:sz="4" w:space="0"/>
              <w:left w:val="single" w:color="auto" w:sz="4" w:space="0"/>
              <w:bottom w:val="single" w:color="auto" w:sz="4" w:space="0"/>
              <w:right w:val="single" w:color="auto" w:sz="4" w:space="0"/>
            </w:tcBorders>
            <w:noWrap w:val="0"/>
            <w:vAlign w:val="center"/>
          </w:tcPr>
          <w:p w14:paraId="7410206D">
            <w:pPr>
              <w:snapToGrid w:val="0"/>
              <w:rPr>
                <w:rFonts w:hint="eastAsia" w:ascii="宋体" w:hAnsi="宋体" w:eastAsia="宋体" w:cs="宋体"/>
                <w:i/>
                <w:iCs/>
                <w:color w:val="auto"/>
                <w:sz w:val="24"/>
                <w:szCs w:val="24"/>
                <w:highlight w:val="none"/>
                <w:u w:val="single"/>
              </w:rPr>
            </w:pPr>
          </w:p>
        </w:tc>
      </w:tr>
      <w:tr w14:paraId="6C8BD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1271" w:type="dxa"/>
            <w:vMerge w:val="continue"/>
            <w:tcBorders>
              <w:left w:val="single" w:color="auto" w:sz="4" w:space="0"/>
              <w:right w:val="single" w:color="auto" w:sz="4" w:space="0"/>
            </w:tcBorders>
            <w:noWrap w:val="0"/>
            <w:vAlign w:val="center"/>
          </w:tcPr>
          <w:p w14:paraId="5FA9B91B">
            <w:pPr>
              <w:widowControl/>
              <w:snapToGrid w:val="0"/>
              <w:rPr>
                <w:rFonts w:hint="eastAsia" w:ascii="宋体" w:hAnsi="宋体" w:eastAsia="宋体" w:cs="宋体"/>
                <w:color w:val="auto"/>
                <w:sz w:val="24"/>
                <w:szCs w:val="24"/>
                <w:highlight w:val="none"/>
              </w:rPr>
            </w:pPr>
          </w:p>
        </w:tc>
        <w:tc>
          <w:tcPr>
            <w:tcW w:w="2150" w:type="dxa"/>
            <w:tcBorders>
              <w:top w:val="single" w:color="auto" w:sz="4" w:space="0"/>
              <w:left w:val="single" w:color="auto" w:sz="4" w:space="0"/>
              <w:bottom w:val="single" w:color="auto" w:sz="4" w:space="0"/>
              <w:right w:val="single" w:color="auto" w:sz="4" w:space="0"/>
            </w:tcBorders>
            <w:noWrap w:val="0"/>
            <w:vAlign w:val="center"/>
          </w:tcPr>
          <w:p w14:paraId="6FEBB724">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5697" w:type="dxa"/>
            <w:tcBorders>
              <w:top w:val="single" w:color="auto" w:sz="4" w:space="0"/>
              <w:left w:val="single" w:color="auto" w:sz="4" w:space="0"/>
              <w:bottom w:val="single" w:color="auto" w:sz="4" w:space="0"/>
              <w:right w:val="single" w:color="auto" w:sz="4" w:space="0"/>
            </w:tcBorders>
            <w:noWrap w:val="0"/>
            <w:vAlign w:val="center"/>
          </w:tcPr>
          <w:p w14:paraId="21BA7E2D">
            <w:pPr>
              <w:snapToGrid w:val="0"/>
              <w:rPr>
                <w:rFonts w:hint="eastAsia" w:ascii="宋体" w:hAnsi="宋体" w:eastAsia="宋体" w:cs="宋体"/>
                <w:color w:val="auto"/>
                <w:sz w:val="24"/>
                <w:szCs w:val="24"/>
                <w:highlight w:val="none"/>
              </w:rPr>
            </w:pPr>
          </w:p>
        </w:tc>
      </w:tr>
      <w:tr w14:paraId="1263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1271" w:type="dxa"/>
            <w:vMerge w:val="continue"/>
            <w:tcBorders>
              <w:left w:val="single" w:color="auto" w:sz="4" w:space="0"/>
              <w:right w:val="single" w:color="auto" w:sz="4" w:space="0"/>
            </w:tcBorders>
            <w:noWrap w:val="0"/>
            <w:vAlign w:val="center"/>
          </w:tcPr>
          <w:p w14:paraId="49C0EF62">
            <w:pPr>
              <w:widowControl/>
              <w:snapToGrid w:val="0"/>
              <w:rPr>
                <w:rFonts w:hint="eastAsia" w:ascii="宋体" w:hAnsi="宋体" w:eastAsia="宋体" w:cs="宋体"/>
                <w:color w:val="auto"/>
                <w:sz w:val="24"/>
                <w:szCs w:val="24"/>
                <w:highlight w:val="none"/>
              </w:rPr>
            </w:pPr>
          </w:p>
        </w:tc>
        <w:tc>
          <w:tcPr>
            <w:tcW w:w="2150" w:type="dxa"/>
            <w:tcBorders>
              <w:top w:val="single" w:color="auto" w:sz="4" w:space="0"/>
              <w:left w:val="single" w:color="auto" w:sz="4" w:space="0"/>
              <w:bottom w:val="single" w:color="auto" w:sz="4" w:space="0"/>
              <w:right w:val="single" w:color="auto" w:sz="4" w:space="0"/>
            </w:tcBorders>
            <w:noWrap w:val="0"/>
            <w:vAlign w:val="center"/>
          </w:tcPr>
          <w:p w14:paraId="253091F0">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纳税人识别号</w:t>
            </w:r>
          </w:p>
        </w:tc>
        <w:tc>
          <w:tcPr>
            <w:tcW w:w="5697" w:type="dxa"/>
            <w:tcBorders>
              <w:top w:val="single" w:color="auto" w:sz="4" w:space="0"/>
              <w:left w:val="single" w:color="auto" w:sz="4" w:space="0"/>
              <w:bottom w:val="single" w:color="auto" w:sz="4" w:space="0"/>
              <w:right w:val="single" w:color="auto" w:sz="4" w:space="0"/>
            </w:tcBorders>
            <w:noWrap w:val="0"/>
            <w:vAlign w:val="center"/>
          </w:tcPr>
          <w:p w14:paraId="5C001719">
            <w:pPr>
              <w:snapToGrid w:val="0"/>
              <w:rPr>
                <w:rFonts w:hint="eastAsia" w:ascii="宋体" w:hAnsi="宋体" w:eastAsia="宋体" w:cs="宋体"/>
                <w:color w:val="auto"/>
                <w:sz w:val="24"/>
                <w:szCs w:val="24"/>
                <w:highlight w:val="none"/>
              </w:rPr>
            </w:pPr>
          </w:p>
        </w:tc>
      </w:tr>
      <w:tr w14:paraId="5D660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1271" w:type="dxa"/>
            <w:vMerge w:val="continue"/>
            <w:tcBorders>
              <w:left w:val="single" w:color="auto" w:sz="4" w:space="0"/>
              <w:right w:val="single" w:color="auto" w:sz="4" w:space="0"/>
            </w:tcBorders>
            <w:noWrap w:val="0"/>
            <w:vAlign w:val="center"/>
          </w:tcPr>
          <w:p w14:paraId="36EC7859">
            <w:pPr>
              <w:widowControl/>
              <w:snapToGrid w:val="0"/>
              <w:rPr>
                <w:rFonts w:hint="eastAsia" w:ascii="宋体" w:hAnsi="宋体" w:eastAsia="宋体" w:cs="宋体"/>
                <w:color w:val="auto"/>
                <w:sz w:val="24"/>
                <w:szCs w:val="24"/>
                <w:highlight w:val="none"/>
              </w:rPr>
            </w:pPr>
          </w:p>
        </w:tc>
        <w:tc>
          <w:tcPr>
            <w:tcW w:w="2150" w:type="dxa"/>
            <w:tcBorders>
              <w:top w:val="single" w:color="auto" w:sz="4" w:space="0"/>
              <w:left w:val="single" w:color="auto" w:sz="4" w:space="0"/>
              <w:bottom w:val="single" w:color="auto" w:sz="4" w:space="0"/>
              <w:right w:val="single" w:color="auto" w:sz="4" w:space="0"/>
            </w:tcBorders>
            <w:noWrap w:val="0"/>
            <w:vAlign w:val="center"/>
          </w:tcPr>
          <w:p w14:paraId="4CAE7650">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签署日期</w:t>
            </w:r>
          </w:p>
        </w:tc>
        <w:tc>
          <w:tcPr>
            <w:tcW w:w="5697" w:type="dxa"/>
            <w:tcBorders>
              <w:top w:val="single" w:color="auto" w:sz="4" w:space="0"/>
              <w:left w:val="single" w:color="auto" w:sz="4" w:space="0"/>
              <w:bottom w:val="single" w:color="auto" w:sz="4" w:space="0"/>
              <w:right w:val="single" w:color="auto" w:sz="4" w:space="0"/>
            </w:tcBorders>
            <w:noWrap w:val="0"/>
            <w:vAlign w:val="center"/>
          </w:tcPr>
          <w:p w14:paraId="20679AA9">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tc>
      </w:tr>
      <w:tr w14:paraId="3529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2" w:hRule="atLeast"/>
        </w:trPr>
        <w:tc>
          <w:tcPr>
            <w:tcW w:w="1271" w:type="dxa"/>
            <w:vMerge w:val="restart"/>
            <w:tcBorders>
              <w:left w:val="single" w:color="auto" w:sz="4" w:space="0"/>
              <w:right w:val="single" w:color="auto" w:sz="4" w:space="0"/>
            </w:tcBorders>
            <w:noWrap w:val="0"/>
            <w:textDirection w:val="tbRlV"/>
            <w:vAlign w:val="center"/>
          </w:tcPr>
          <w:p w14:paraId="095640AB">
            <w:pPr>
              <w:snapToGrid w:val="0"/>
              <w:ind w:left="113" w:right="113"/>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（服务方）乙方</w:t>
            </w:r>
          </w:p>
        </w:tc>
        <w:tc>
          <w:tcPr>
            <w:tcW w:w="2150" w:type="dxa"/>
            <w:tcBorders>
              <w:top w:val="single" w:color="auto" w:sz="4" w:space="0"/>
              <w:left w:val="single" w:color="auto" w:sz="4" w:space="0"/>
              <w:bottom w:val="single" w:color="auto" w:sz="4" w:space="0"/>
              <w:right w:val="single" w:color="auto" w:sz="4" w:space="0"/>
            </w:tcBorders>
            <w:noWrap w:val="0"/>
            <w:vAlign w:val="center"/>
          </w:tcPr>
          <w:p w14:paraId="735D324B">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tc>
        <w:tc>
          <w:tcPr>
            <w:tcW w:w="5697" w:type="dxa"/>
            <w:tcBorders>
              <w:top w:val="single" w:color="auto" w:sz="4" w:space="0"/>
              <w:left w:val="single" w:color="auto" w:sz="4" w:space="0"/>
              <w:bottom w:val="single" w:color="auto" w:sz="4" w:space="0"/>
              <w:right w:val="single" w:color="auto" w:sz="4" w:space="0"/>
            </w:tcBorders>
            <w:noWrap w:val="0"/>
            <w:vAlign w:val="center"/>
          </w:tcPr>
          <w:p w14:paraId="60AD2E14">
            <w:pPr>
              <w:snapToGrid w:val="0"/>
              <w:rPr>
                <w:rFonts w:hint="eastAsia" w:ascii="宋体" w:hAnsi="宋体" w:eastAsia="宋体" w:cs="宋体"/>
                <w:color w:val="auto"/>
                <w:sz w:val="24"/>
                <w:szCs w:val="24"/>
                <w:highlight w:val="none"/>
              </w:rPr>
            </w:pPr>
          </w:p>
        </w:tc>
      </w:tr>
      <w:tr w14:paraId="55E9C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1271" w:type="dxa"/>
            <w:vMerge w:val="continue"/>
            <w:tcBorders>
              <w:left w:val="single" w:color="auto" w:sz="4" w:space="0"/>
              <w:right w:val="single" w:color="auto" w:sz="4" w:space="0"/>
            </w:tcBorders>
            <w:noWrap w:val="0"/>
            <w:vAlign w:val="center"/>
          </w:tcPr>
          <w:p w14:paraId="37BFB57D">
            <w:pPr>
              <w:widowControl/>
              <w:snapToGrid w:val="0"/>
              <w:rPr>
                <w:rFonts w:hint="eastAsia" w:ascii="宋体" w:hAnsi="宋体" w:eastAsia="宋体" w:cs="宋体"/>
                <w:color w:val="auto"/>
                <w:sz w:val="24"/>
                <w:szCs w:val="24"/>
                <w:highlight w:val="none"/>
              </w:rPr>
            </w:pPr>
          </w:p>
        </w:tc>
        <w:tc>
          <w:tcPr>
            <w:tcW w:w="2150" w:type="dxa"/>
            <w:tcBorders>
              <w:top w:val="single" w:color="auto" w:sz="4" w:space="0"/>
              <w:left w:val="single" w:color="auto" w:sz="4" w:space="0"/>
              <w:bottom w:val="single" w:color="auto" w:sz="4" w:space="0"/>
              <w:right w:val="single" w:color="auto" w:sz="4" w:space="0"/>
            </w:tcBorders>
            <w:noWrap w:val="0"/>
            <w:vAlign w:val="center"/>
          </w:tcPr>
          <w:p w14:paraId="4E36A502">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5A8A75BC">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（或授权代表）</w:t>
            </w:r>
          </w:p>
        </w:tc>
        <w:tc>
          <w:tcPr>
            <w:tcW w:w="5697" w:type="dxa"/>
            <w:tcBorders>
              <w:top w:val="single" w:color="auto" w:sz="4" w:space="0"/>
              <w:left w:val="single" w:color="auto" w:sz="4" w:space="0"/>
              <w:bottom w:val="single" w:color="auto" w:sz="4" w:space="0"/>
              <w:right w:val="single" w:color="auto" w:sz="4" w:space="0"/>
            </w:tcBorders>
            <w:noWrap w:val="0"/>
            <w:vAlign w:val="center"/>
          </w:tcPr>
          <w:p w14:paraId="7795EA7D">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（签字或签章）</w:t>
            </w:r>
          </w:p>
        </w:tc>
      </w:tr>
      <w:tr w14:paraId="4F0CC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1271" w:type="dxa"/>
            <w:vMerge w:val="continue"/>
            <w:tcBorders>
              <w:left w:val="single" w:color="auto" w:sz="4" w:space="0"/>
              <w:right w:val="single" w:color="auto" w:sz="4" w:space="0"/>
            </w:tcBorders>
            <w:noWrap w:val="0"/>
            <w:vAlign w:val="center"/>
          </w:tcPr>
          <w:p w14:paraId="6A9EE9F2">
            <w:pPr>
              <w:widowControl/>
              <w:snapToGrid w:val="0"/>
              <w:rPr>
                <w:rFonts w:hint="eastAsia" w:ascii="宋体" w:hAnsi="宋体" w:eastAsia="宋体" w:cs="宋体"/>
                <w:color w:val="auto"/>
                <w:sz w:val="24"/>
                <w:szCs w:val="24"/>
                <w:highlight w:val="none"/>
              </w:rPr>
            </w:pPr>
          </w:p>
        </w:tc>
        <w:tc>
          <w:tcPr>
            <w:tcW w:w="2150" w:type="dxa"/>
            <w:tcBorders>
              <w:top w:val="single" w:color="auto" w:sz="4" w:space="0"/>
              <w:left w:val="single" w:color="auto" w:sz="4" w:space="0"/>
              <w:bottom w:val="single" w:color="auto" w:sz="4" w:space="0"/>
              <w:right w:val="single" w:color="auto" w:sz="4" w:space="0"/>
            </w:tcBorders>
            <w:noWrap w:val="0"/>
            <w:vAlign w:val="center"/>
          </w:tcPr>
          <w:p w14:paraId="64055D45">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c>
          <w:tcPr>
            <w:tcW w:w="5697" w:type="dxa"/>
            <w:tcBorders>
              <w:top w:val="single" w:color="auto" w:sz="4" w:space="0"/>
              <w:left w:val="single" w:color="auto" w:sz="4" w:space="0"/>
              <w:bottom w:val="single" w:color="auto" w:sz="4" w:space="0"/>
              <w:right w:val="single" w:color="auto" w:sz="4" w:space="0"/>
            </w:tcBorders>
            <w:noWrap w:val="0"/>
            <w:vAlign w:val="center"/>
          </w:tcPr>
          <w:p w14:paraId="35D2EE11">
            <w:pPr>
              <w:snapToGrid w:val="0"/>
              <w:rPr>
                <w:rFonts w:hint="eastAsia" w:ascii="宋体" w:hAnsi="宋体" w:eastAsia="宋体" w:cs="宋体"/>
                <w:color w:val="auto"/>
                <w:sz w:val="24"/>
                <w:szCs w:val="24"/>
                <w:highlight w:val="none"/>
              </w:rPr>
            </w:pPr>
          </w:p>
        </w:tc>
      </w:tr>
      <w:tr w14:paraId="2099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1271" w:type="dxa"/>
            <w:vMerge w:val="continue"/>
            <w:tcBorders>
              <w:left w:val="single" w:color="auto" w:sz="4" w:space="0"/>
              <w:right w:val="single" w:color="auto" w:sz="4" w:space="0"/>
            </w:tcBorders>
            <w:noWrap w:val="0"/>
            <w:vAlign w:val="center"/>
          </w:tcPr>
          <w:p w14:paraId="4B30A123">
            <w:pPr>
              <w:widowControl/>
              <w:snapToGrid w:val="0"/>
              <w:rPr>
                <w:rFonts w:hint="eastAsia" w:ascii="宋体" w:hAnsi="宋体" w:eastAsia="宋体" w:cs="宋体"/>
                <w:color w:val="auto"/>
                <w:sz w:val="24"/>
                <w:szCs w:val="24"/>
                <w:highlight w:val="none"/>
              </w:rPr>
            </w:pPr>
          </w:p>
        </w:tc>
        <w:tc>
          <w:tcPr>
            <w:tcW w:w="2150" w:type="dxa"/>
            <w:tcBorders>
              <w:top w:val="single" w:color="auto" w:sz="4" w:space="0"/>
              <w:left w:val="single" w:color="auto" w:sz="4" w:space="0"/>
              <w:bottom w:val="single" w:color="auto" w:sz="4" w:space="0"/>
              <w:right w:val="single" w:color="auto" w:sz="4" w:space="0"/>
            </w:tcBorders>
            <w:noWrap w:val="0"/>
            <w:vAlign w:val="center"/>
          </w:tcPr>
          <w:p w14:paraId="55E477D6">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tc>
        <w:tc>
          <w:tcPr>
            <w:tcW w:w="5697" w:type="dxa"/>
            <w:tcBorders>
              <w:top w:val="single" w:color="auto" w:sz="4" w:space="0"/>
              <w:left w:val="single" w:color="auto" w:sz="4" w:space="0"/>
              <w:bottom w:val="single" w:color="auto" w:sz="4" w:space="0"/>
              <w:right w:val="single" w:color="auto" w:sz="4" w:space="0"/>
            </w:tcBorders>
            <w:noWrap w:val="0"/>
            <w:vAlign w:val="center"/>
          </w:tcPr>
          <w:p w14:paraId="5552D6C8">
            <w:pPr>
              <w:snapToGrid w:val="0"/>
              <w:rPr>
                <w:rFonts w:hint="eastAsia" w:ascii="宋体" w:hAnsi="宋体" w:eastAsia="宋体" w:cs="宋体"/>
                <w:color w:val="auto"/>
                <w:sz w:val="24"/>
                <w:szCs w:val="24"/>
                <w:highlight w:val="none"/>
              </w:rPr>
            </w:pPr>
          </w:p>
        </w:tc>
      </w:tr>
      <w:tr w14:paraId="26084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1271" w:type="dxa"/>
            <w:vMerge w:val="continue"/>
            <w:tcBorders>
              <w:left w:val="single" w:color="auto" w:sz="4" w:space="0"/>
              <w:right w:val="single" w:color="auto" w:sz="4" w:space="0"/>
            </w:tcBorders>
            <w:noWrap w:val="0"/>
            <w:vAlign w:val="center"/>
          </w:tcPr>
          <w:p w14:paraId="6DEB4CC9">
            <w:pPr>
              <w:widowControl/>
              <w:snapToGrid w:val="0"/>
              <w:rPr>
                <w:rFonts w:hint="eastAsia" w:ascii="宋体" w:hAnsi="宋体" w:eastAsia="宋体" w:cs="宋体"/>
                <w:color w:val="auto"/>
                <w:sz w:val="24"/>
                <w:szCs w:val="24"/>
                <w:highlight w:val="none"/>
              </w:rPr>
            </w:pPr>
          </w:p>
        </w:tc>
        <w:tc>
          <w:tcPr>
            <w:tcW w:w="2150" w:type="dxa"/>
            <w:tcBorders>
              <w:top w:val="single" w:color="auto" w:sz="4" w:space="0"/>
              <w:left w:val="single" w:color="auto" w:sz="4" w:space="0"/>
              <w:bottom w:val="single" w:color="auto" w:sz="4" w:space="0"/>
              <w:right w:val="single" w:color="auto" w:sz="4" w:space="0"/>
            </w:tcBorders>
            <w:noWrap w:val="0"/>
            <w:vAlign w:val="center"/>
          </w:tcPr>
          <w:p w14:paraId="1C259D49">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5697" w:type="dxa"/>
            <w:tcBorders>
              <w:top w:val="single" w:color="auto" w:sz="4" w:space="0"/>
              <w:left w:val="single" w:color="auto" w:sz="4" w:space="0"/>
              <w:bottom w:val="single" w:color="auto" w:sz="4" w:space="0"/>
              <w:right w:val="single" w:color="auto" w:sz="4" w:space="0"/>
            </w:tcBorders>
            <w:noWrap w:val="0"/>
            <w:vAlign w:val="center"/>
          </w:tcPr>
          <w:p w14:paraId="6FF1BE60">
            <w:pPr>
              <w:snapToGrid w:val="0"/>
              <w:rPr>
                <w:rFonts w:hint="eastAsia" w:ascii="宋体" w:hAnsi="宋体" w:eastAsia="宋体" w:cs="宋体"/>
                <w:color w:val="auto"/>
                <w:sz w:val="24"/>
                <w:szCs w:val="24"/>
                <w:highlight w:val="none"/>
              </w:rPr>
            </w:pPr>
          </w:p>
        </w:tc>
      </w:tr>
      <w:tr w14:paraId="1D371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1271" w:type="dxa"/>
            <w:vMerge w:val="continue"/>
            <w:tcBorders>
              <w:left w:val="single" w:color="auto" w:sz="4" w:space="0"/>
              <w:right w:val="single" w:color="auto" w:sz="4" w:space="0"/>
            </w:tcBorders>
            <w:noWrap w:val="0"/>
            <w:vAlign w:val="center"/>
          </w:tcPr>
          <w:p w14:paraId="620947A3">
            <w:pPr>
              <w:widowControl/>
              <w:snapToGrid w:val="0"/>
              <w:rPr>
                <w:rFonts w:hint="eastAsia" w:ascii="宋体" w:hAnsi="宋体" w:eastAsia="宋体" w:cs="宋体"/>
                <w:color w:val="auto"/>
                <w:sz w:val="24"/>
                <w:szCs w:val="24"/>
                <w:highlight w:val="none"/>
              </w:rPr>
            </w:pPr>
          </w:p>
        </w:tc>
        <w:tc>
          <w:tcPr>
            <w:tcW w:w="2150" w:type="dxa"/>
            <w:tcBorders>
              <w:top w:val="single" w:color="auto" w:sz="4" w:space="0"/>
              <w:left w:val="single" w:color="auto" w:sz="4" w:space="0"/>
              <w:bottom w:val="single" w:color="auto" w:sz="4" w:space="0"/>
              <w:right w:val="single" w:color="auto" w:sz="4" w:space="0"/>
            </w:tcBorders>
            <w:noWrap w:val="0"/>
            <w:vAlign w:val="center"/>
          </w:tcPr>
          <w:p w14:paraId="46CF563F">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5697" w:type="dxa"/>
            <w:tcBorders>
              <w:top w:val="single" w:color="auto" w:sz="4" w:space="0"/>
              <w:left w:val="single" w:color="auto" w:sz="4" w:space="0"/>
              <w:bottom w:val="single" w:color="auto" w:sz="4" w:space="0"/>
              <w:right w:val="single" w:color="auto" w:sz="4" w:space="0"/>
            </w:tcBorders>
            <w:noWrap w:val="0"/>
            <w:vAlign w:val="center"/>
          </w:tcPr>
          <w:p w14:paraId="36AFB25F">
            <w:pPr>
              <w:snapToGrid w:val="0"/>
              <w:rPr>
                <w:rFonts w:hint="eastAsia" w:ascii="宋体" w:hAnsi="宋体" w:eastAsia="宋体" w:cs="宋体"/>
                <w:color w:val="auto"/>
                <w:sz w:val="24"/>
                <w:szCs w:val="24"/>
                <w:highlight w:val="none"/>
              </w:rPr>
            </w:pPr>
          </w:p>
        </w:tc>
      </w:tr>
      <w:tr w14:paraId="023F3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1271" w:type="dxa"/>
            <w:vMerge w:val="continue"/>
            <w:tcBorders>
              <w:left w:val="single" w:color="auto" w:sz="4" w:space="0"/>
              <w:right w:val="single" w:color="auto" w:sz="4" w:space="0"/>
            </w:tcBorders>
            <w:noWrap w:val="0"/>
            <w:vAlign w:val="center"/>
          </w:tcPr>
          <w:p w14:paraId="09962ED1">
            <w:pPr>
              <w:widowControl/>
              <w:snapToGrid w:val="0"/>
              <w:rPr>
                <w:rFonts w:hint="eastAsia" w:ascii="宋体" w:hAnsi="宋体" w:eastAsia="宋体" w:cs="宋体"/>
                <w:color w:val="auto"/>
                <w:sz w:val="24"/>
                <w:szCs w:val="24"/>
                <w:highlight w:val="none"/>
              </w:rPr>
            </w:pPr>
          </w:p>
        </w:tc>
        <w:tc>
          <w:tcPr>
            <w:tcW w:w="2150" w:type="dxa"/>
            <w:tcBorders>
              <w:top w:val="single" w:color="auto" w:sz="4" w:space="0"/>
              <w:left w:val="single" w:color="auto" w:sz="4" w:space="0"/>
              <w:bottom w:val="single" w:color="auto" w:sz="4" w:space="0"/>
              <w:right w:val="single" w:color="auto" w:sz="4" w:space="0"/>
            </w:tcBorders>
            <w:noWrap w:val="0"/>
            <w:vAlign w:val="center"/>
          </w:tcPr>
          <w:p w14:paraId="0654BEFD">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p>
        </w:tc>
        <w:tc>
          <w:tcPr>
            <w:tcW w:w="5697" w:type="dxa"/>
            <w:tcBorders>
              <w:top w:val="single" w:color="auto" w:sz="4" w:space="0"/>
              <w:left w:val="single" w:color="auto" w:sz="4" w:space="0"/>
              <w:bottom w:val="single" w:color="auto" w:sz="4" w:space="0"/>
              <w:right w:val="single" w:color="auto" w:sz="4" w:space="0"/>
            </w:tcBorders>
            <w:noWrap w:val="0"/>
            <w:vAlign w:val="center"/>
          </w:tcPr>
          <w:p w14:paraId="652E2ADD">
            <w:pPr>
              <w:snapToGrid w:val="0"/>
              <w:rPr>
                <w:rFonts w:hint="eastAsia" w:ascii="宋体" w:hAnsi="宋体" w:eastAsia="宋体" w:cs="宋体"/>
                <w:color w:val="auto"/>
                <w:sz w:val="24"/>
                <w:szCs w:val="24"/>
                <w:highlight w:val="none"/>
              </w:rPr>
            </w:pPr>
          </w:p>
        </w:tc>
      </w:tr>
      <w:tr w14:paraId="18C0B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271" w:type="dxa"/>
            <w:vMerge w:val="continue"/>
            <w:tcBorders>
              <w:left w:val="single" w:color="auto" w:sz="4" w:space="0"/>
              <w:right w:val="single" w:color="auto" w:sz="4" w:space="0"/>
            </w:tcBorders>
            <w:noWrap w:val="0"/>
            <w:vAlign w:val="center"/>
          </w:tcPr>
          <w:p w14:paraId="49968EA8">
            <w:pPr>
              <w:widowControl/>
              <w:snapToGrid w:val="0"/>
              <w:rPr>
                <w:rFonts w:hint="eastAsia" w:ascii="宋体" w:hAnsi="宋体" w:eastAsia="宋体" w:cs="宋体"/>
                <w:color w:val="auto"/>
                <w:sz w:val="24"/>
                <w:szCs w:val="24"/>
                <w:highlight w:val="none"/>
              </w:rPr>
            </w:pPr>
          </w:p>
        </w:tc>
        <w:tc>
          <w:tcPr>
            <w:tcW w:w="2150" w:type="dxa"/>
            <w:tcBorders>
              <w:top w:val="single" w:color="auto" w:sz="4" w:space="0"/>
              <w:left w:val="single" w:color="auto" w:sz="4" w:space="0"/>
              <w:bottom w:val="single" w:color="auto" w:sz="4" w:space="0"/>
              <w:right w:val="single" w:color="auto" w:sz="4" w:space="0"/>
            </w:tcBorders>
            <w:noWrap w:val="0"/>
            <w:vAlign w:val="center"/>
          </w:tcPr>
          <w:p w14:paraId="4B44028F">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签署日期</w:t>
            </w:r>
          </w:p>
        </w:tc>
        <w:tc>
          <w:tcPr>
            <w:tcW w:w="5697" w:type="dxa"/>
            <w:tcBorders>
              <w:top w:val="single" w:color="auto" w:sz="4" w:space="0"/>
              <w:left w:val="single" w:color="auto" w:sz="4" w:space="0"/>
              <w:bottom w:val="single" w:color="auto" w:sz="4" w:space="0"/>
              <w:right w:val="single" w:color="auto" w:sz="4" w:space="0"/>
            </w:tcBorders>
            <w:noWrap w:val="0"/>
            <w:vAlign w:val="center"/>
          </w:tcPr>
          <w:p w14:paraId="65E3E746">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tc>
      </w:tr>
    </w:tbl>
    <w:p w14:paraId="0EE109D8">
      <w:pPr>
        <w:ind w:firstLine="560"/>
        <w:rPr>
          <w:rFonts w:hint="eastAsia" w:ascii="宋体" w:hAnsi="宋体" w:eastAsia="宋体" w:cs="宋体"/>
          <w:color w:val="auto"/>
          <w:sz w:val="24"/>
          <w:szCs w:val="24"/>
          <w:highlight w:val="none"/>
        </w:rPr>
      </w:pPr>
    </w:p>
    <w:p w14:paraId="16A2F885">
      <w:pPr>
        <w:ind w:firstLine="56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附件一《</w:t>
      </w:r>
      <w:r>
        <w:rPr>
          <w:rFonts w:hint="eastAsia" w:ascii="宋体" w:hAnsi="宋体" w:cs="宋体"/>
          <w:b/>
          <w:bCs/>
          <w:color w:val="auto"/>
          <w:sz w:val="24"/>
          <w:szCs w:val="24"/>
          <w:highlight w:val="none"/>
          <w:lang w:val="en-US" w:eastAsia="zh-CN"/>
        </w:rPr>
        <w:t>运维</w:t>
      </w:r>
      <w:r>
        <w:rPr>
          <w:rFonts w:hint="eastAsia" w:ascii="宋体" w:hAnsi="宋体" w:eastAsia="宋体" w:cs="宋体"/>
          <w:b/>
          <w:bCs/>
          <w:color w:val="auto"/>
          <w:sz w:val="24"/>
          <w:szCs w:val="24"/>
          <w:highlight w:val="none"/>
        </w:rPr>
        <w:t>开发部分功能清单》</w:t>
      </w:r>
    </w:p>
    <w:p w14:paraId="40C09383">
      <w:pPr>
        <w:ind w:firstLine="56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运维服务内容和要求</w:t>
      </w:r>
      <w:r>
        <w:rPr>
          <w:rFonts w:hint="eastAsia" w:ascii="宋体" w:hAnsi="宋体" w:eastAsia="宋体" w:cs="宋体"/>
          <w:b/>
          <w:bCs/>
          <w:color w:val="auto"/>
          <w:sz w:val="24"/>
          <w:szCs w:val="24"/>
          <w:highlight w:val="none"/>
        </w:rPr>
        <w:t>清单》</w:t>
      </w:r>
    </w:p>
    <w:p w14:paraId="412D9ACA">
      <w:pPr>
        <w:jc w:val="center"/>
        <w:rPr>
          <w:rFonts w:ascii="宋体" w:hAnsi="宋体" w:cs="宋体"/>
          <w:b/>
          <w:bCs/>
          <w:color w:val="auto"/>
          <w:sz w:val="28"/>
          <w:highlight w:val="none"/>
        </w:rPr>
      </w:pPr>
    </w:p>
    <w:p w14:paraId="039DEFBD">
      <w:pPr>
        <w:widowControl/>
        <w:adjustRightInd/>
        <w:jc w:val="left"/>
        <w:rPr>
          <w:rFonts w:ascii="宋体" w:hAnsi="宋体" w:cs="宋体"/>
          <w:b/>
          <w:color w:val="auto"/>
          <w:sz w:val="24"/>
          <w:highlight w:val="none"/>
        </w:rPr>
      </w:pPr>
    </w:p>
    <w:p w14:paraId="6E2826B7">
      <w:pPr>
        <w:spacing w:line="360" w:lineRule="auto"/>
        <w:ind w:left="-420" w:leftChars="-200" w:right="-420" w:rightChars="-200" w:firstLine="480" w:firstLineChars="200"/>
        <w:jc w:val="center"/>
        <w:outlineLvl w:val="0"/>
        <w:rPr>
          <w:rFonts w:ascii="宋体" w:hAnsi="宋体" w:cs="宋体"/>
          <w:color w:val="auto"/>
          <w:sz w:val="24"/>
          <w:highlight w:val="none"/>
        </w:rPr>
      </w:pPr>
    </w:p>
    <w:p w14:paraId="54AE3D15">
      <w:pPr>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1C9E722D">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23"/>
      <w:r>
        <w:rPr>
          <w:rFonts w:hint="eastAsia" w:ascii="宋体" w:hAnsi="宋体" w:cs="宋体"/>
          <w:b/>
          <w:color w:val="auto"/>
          <w:sz w:val="36"/>
          <w:szCs w:val="20"/>
          <w:highlight w:val="none"/>
        </w:rPr>
        <w:t xml:space="preserve"> </w:t>
      </w:r>
      <w:bookmarkEnd w:id="424"/>
      <w:r>
        <w:rPr>
          <w:rFonts w:hint="eastAsia" w:ascii="宋体" w:hAnsi="宋体" w:cs="宋体"/>
          <w:b/>
          <w:color w:val="auto"/>
          <w:sz w:val="36"/>
          <w:szCs w:val="20"/>
          <w:highlight w:val="none"/>
        </w:rPr>
        <w:t>应提交的有关格式范例</w:t>
      </w:r>
    </w:p>
    <w:p w14:paraId="244F3647">
      <w:pPr>
        <w:spacing w:line="360" w:lineRule="auto"/>
        <w:jc w:val="center"/>
        <w:outlineLvl w:val="0"/>
        <w:rPr>
          <w:rFonts w:ascii="宋体" w:hAnsi="宋体" w:cs="宋体"/>
          <w:b/>
          <w:color w:val="auto"/>
          <w:kern w:val="0"/>
          <w:sz w:val="36"/>
          <w:szCs w:val="36"/>
          <w:highlight w:val="none"/>
        </w:rPr>
      </w:pPr>
    </w:p>
    <w:p w14:paraId="52FBB0D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D72964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92912C1">
      <w:pPr>
        <w:spacing w:line="360" w:lineRule="auto"/>
        <w:jc w:val="center"/>
        <w:outlineLvl w:val="0"/>
        <w:rPr>
          <w:rFonts w:ascii="宋体" w:hAnsi="宋体" w:cs="宋体"/>
          <w:b/>
          <w:color w:val="auto"/>
          <w:kern w:val="0"/>
          <w:sz w:val="36"/>
          <w:szCs w:val="36"/>
          <w:highlight w:val="none"/>
        </w:rPr>
      </w:pPr>
    </w:p>
    <w:p w14:paraId="1E2FD1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511B550">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4"/>
          <w:highlight w:val="none"/>
        </w:rPr>
        <w:t>（2）联合协议</w:t>
      </w:r>
      <w:r>
        <w:rPr>
          <w:rFonts w:hint="eastAsia" w:ascii="宋体" w:hAnsi="宋体" w:cs="宋体"/>
          <w:color w:val="auto"/>
          <w:sz w:val="24"/>
          <w:highlight w:val="none"/>
        </w:rPr>
        <w:t>………………………………………………………………（页码）</w:t>
      </w:r>
    </w:p>
    <w:p w14:paraId="768D76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（3）落实政府采购政策需满足的资格要求………………………………（页码）</w:t>
      </w:r>
    </w:p>
    <w:p w14:paraId="216166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（4）本项目的特定资格要求………………………………………………（页码）</w:t>
      </w:r>
    </w:p>
    <w:p w14:paraId="49DC5C6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（5）分包意向协议…………………………………………………………（页码）</w:t>
      </w:r>
    </w:p>
    <w:p w14:paraId="05B8A168">
      <w:pPr>
        <w:snapToGrid w:val="0"/>
        <w:spacing w:line="360" w:lineRule="auto"/>
        <w:ind w:firstLine="480" w:firstLineChars="200"/>
        <w:rPr>
          <w:rFonts w:ascii="宋体" w:hAnsi="宋体" w:cs="宋体"/>
          <w:color w:val="auto"/>
          <w:sz w:val="24"/>
          <w:highlight w:val="none"/>
        </w:rPr>
      </w:pPr>
    </w:p>
    <w:p w14:paraId="6F3D80BF">
      <w:pPr>
        <w:spacing w:line="360" w:lineRule="auto"/>
        <w:ind w:firstLine="480" w:firstLineChars="200"/>
        <w:rPr>
          <w:rFonts w:ascii="宋体" w:hAnsi="宋体" w:cs="宋体"/>
          <w:color w:val="auto"/>
          <w:sz w:val="24"/>
          <w:highlight w:val="none"/>
        </w:rPr>
      </w:pPr>
    </w:p>
    <w:p w14:paraId="6F4E3C7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9693137">
      <w:pPr>
        <w:snapToGrid w:val="0"/>
        <w:spacing w:line="360" w:lineRule="auto"/>
        <w:rPr>
          <w:rFonts w:ascii="宋体" w:hAnsi="宋体" w:cs="宋体"/>
          <w:color w:val="auto"/>
          <w:sz w:val="24"/>
          <w:highlight w:val="none"/>
          <w:u w:val="single"/>
        </w:rPr>
      </w:pPr>
    </w:p>
    <w:p w14:paraId="40A119BA">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lang w:eastAsia="zh-CN"/>
        </w:rPr>
        <w:t>浙江省食品药品检验研究院</w:t>
      </w:r>
      <w:r>
        <w:rPr>
          <w:rFonts w:hint="eastAsia" w:ascii="宋体" w:hAnsi="宋体" w:cs="宋体"/>
          <w:color w:val="auto"/>
          <w:sz w:val="24"/>
          <w:highlight w:val="none"/>
          <w:u w:val="single"/>
        </w:rPr>
        <w:t>：</w:t>
      </w:r>
    </w:p>
    <w:p w14:paraId="0EAD5F5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lang w:eastAsia="zh-CN"/>
        </w:rPr>
        <w:t>浙江省食品药品检验研究院2025年度软硬件运维及机房租赁项目</w:t>
      </w:r>
      <w:r>
        <w:rPr>
          <w:rFonts w:hint="eastAsia" w:ascii="宋体" w:hAnsi="宋体" w:cs="宋体"/>
          <w:color w:val="auto"/>
          <w:sz w:val="24"/>
          <w:highlight w:val="none"/>
          <w:u w:val="single"/>
        </w:rPr>
        <w:t>【项目编号：</w:t>
      </w:r>
      <w:r>
        <w:rPr>
          <w:rFonts w:hint="eastAsia" w:ascii="宋体" w:hAnsi="宋体" w:cs="宋体"/>
          <w:color w:val="auto"/>
          <w:sz w:val="24"/>
          <w:highlight w:val="none"/>
          <w:u w:val="single"/>
          <w:lang w:eastAsia="zh-CN"/>
        </w:rPr>
        <w:t>ZJ-2580232-06</w:t>
      </w:r>
      <w:r>
        <w:rPr>
          <w:rFonts w:hint="eastAsia" w:ascii="宋体" w:hAnsi="宋体" w:cs="宋体"/>
          <w:color w:val="auto"/>
          <w:sz w:val="24"/>
          <w:highlight w:val="none"/>
          <w:u w:val="single"/>
        </w:rPr>
        <w:t>】</w:t>
      </w:r>
      <w:r>
        <w:rPr>
          <w:rFonts w:hint="eastAsia" w:ascii="宋体" w:hAnsi="宋体" w:cs="宋体"/>
          <w:color w:val="auto"/>
          <w:sz w:val="24"/>
          <w:highlight w:val="none"/>
        </w:rPr>
        <w:t>政府采购活动，郑重承诺：</w:t>
      </w:r>
    </w:p>
    <w:p w14:paraId="41269A9F">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E7C291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5275BBF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D3C65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84CFDA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01E61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C90C3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35B8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A940D4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218147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8FC7D2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4573AE3">
      <w:pPr>
        <w:snapToGrid w:val="0"/>
        <w:spacing w:line="360" w:lineRule="auto"/>
        <w:ind w:firstLine="5520" w:firstLineChars="2300"/>
        <w:rPr>
          <w:rFonts w:ascii="宋体" w:hAnsi="宋体" w:cs="宋体"/>
          <w:color w:val="auto"/>
          <w:kern w:val="0"/>
          <w:sz w:val="24"/>
          <w:highlight w:val="none"/>
          <w:lang w:val="zh-CN"/>
        </w:rPr>
      </w:pPr>
    </w:p>
    <w:p w14:paraId="378F734D">
      <w:pPr>
        <w:snapToGrid w:val="0"/>
        <w:spacing w:line="360" w:lineRule="auto"/>
        <w:ind w:firstLine="5520" w:firstLineChars="2300"/>
        <w:rPr>
          <w:rFonts w:ascii="宋体" w:hAnsi="宋体" w:cs="宋体"/>
          <w:color w:val="auto"/>
          <w:kern w:val="0"/>
          <w:sz w:val="24"/>
          <w:highlight w:val="none"/>
          <w:lang w:val="zh-CN"/>
        </w:rPr>
      </w:pPr>
    </w:p>
    <w:p w14:paraId="524C0A74">
      <w:pPr>
        <w:snapToGrid w:val="0"/>
        <w:spacing w:line="360" w:lineRule="auto"/>
        <w:ind w:firstLine="5520" w:firstLineChars="2300"/>
        <w:rPr>
          <w:rFonts w:ascii="宋体" w:hAnsi="宋体" w:cs="宋体"/>
          <w:color w:val="auto"/>
          <w:kern w:val="0"/>
          <w:sz w:val="24"/>
          <w:highlight w:val="none"/>
          <w:lang w:val="zh-CN"/>
        </w:rPr>
      </w:pPr>
    </w:p>
    <w:p w14:paraId="131FD51F">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32F76C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AA1A543">
      <w:pPr>
        <w:snapToGrid w:val="0"/>
        <w:spacing w:line="360" w:lineRule="auto"/>
        <w:ind w:right="480"/>
        <w:jc w:val="center"/>
        <w:rPr>
          <w:rFonts w:ascii="宋体" w:hAnsi="宋体" w:cs="宋体"/>
          <w:b/>
          <w:color w:val="auto"/>
          <w:kern w:val="0"/>
          <w:sz w:val="32"/>
          <w:szCs w:val="32"/>
          <w:highlight w:val="none"/>
        </w:rPr>
      </w:pPr>
    </w:p>
    <w:p w14:paraId="2FA792FA">
      <w:pPr>
        <w:snapToGrid w:val="0"/>
        <w:spacing w:line="360" w:lineRule="auto"/>
        <w:ind w:right="480"/>
        <w:jc w:val="center"/>
        <w:rPr>
          <w:rFonts w:ascii="宋体" w:hAnsi="宋体" w:cs="宋体"/>
          <w:b/>
          <w:color w:val="auto"/>
          <w:kern w:val="0"/>
          <w:sz w:val="32"/>
          <w:szCs w:val="32"/>
          <w:highlight w:val="none"/>
        </w:rPr>
      </w:pPr>
    </w:p>
    <w:p w14:paraId="7C6C10F8">
      <w:pPr>
        <w:snapToGrid w:val="0"/>
        <w:spacing w:line="360" w:lineRule="auto"/>
        <w:ind w:right="480"/>
        <w:jc w:val="center"/>
        <w:rPr>
          <w:rFonts w:ascii="宋体" w:hAnsi="宋体" w:cs="宋体"/>
          <w:b/>
          <w:color w:val="auto"/>
          <w:kern w:val="0"/>
          <w:sz w:val="32"/>
          <w:szCs w:val="32"/>
          <w:highlight w:val="none"/>
        </w:rPr>
      </w:pPr>
    </w:p>
    <w:p w14:paraId="3C533C99">
      <w:pPr>
        <w:rPr>
          <w:rFonts w:ascii="宋体" w:hAnsi="宋体" w:cs="宋体"/>
          <w:color w:val="auto"/>
          <w:highlight w:val="none"/>
        </w:rPr>
      </w:pPr>
    </w:p>
    <w:p w14:paraId="6D2B89E4">
      <w:pPr>
        <w:snapToGrid w:val="0"/>
        <w:spacing w:line="360" w:lineRule="auto"/>
        <w:ind w:right="480"/>
        <w:jc w:val="center"/>
        <w:rPr>
          <w:rFonts w:ascii="宋体" w:hAnsi="宋体" w:cs="宋体"/>
          <w:b/>
          <w:color w:val="auto"/>
          <w:kern w:val="0"/>
          <w:sz w:val="32"/>
          <w:szCs w:val="32"/>
          <w:highlight w:val="none"/>
        </w:rPr>
      </w:pPr>
    </w:p>
    <w:p w14:paraId="70B68030">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214119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22CE7208">
      <w:pPr>
        <w:snapToGrid w:val="0"/>
        <w:spacing w:line="360" w:lineRule="auto"/>
        <w:ind w:right="480"/>
        <w:jc w:val="center"/>
        <w:rPr>
          <w:rFonts w:ascii="宋体" w:hAnsi="宋体" w:cs="宋体"/>
          <w:b/>
          <w:color w:val="auto"/>
          <w:kern w:val="0"/>
          <w:sz w:val="32"/>
          <w:szCs w:val="32"/>
          <w:highlight w:val="none"/>
        </w:rPr>
      </w:pPr>
    </w:p>
    <w:p w14:paraId="1CEEB885">
      <w:pPr>
        <w:snapToGrid w:val="0"/>
        <w:spacing w:line="360" w:lineRule="auto"/>
        <w:ind w:right="480"/>
        <w:jc w:val="center"/>
        <w:rPr>
          <w:rFonts w:ascii="宋体" w:hAnsi="宋体" w:cs="宋体"/>
          <w:b/>
          <w:color w:val="auto"/>
          <w:kern w:val="0"/>
          <w:sz w:val="32"/>
          <w:szCs w:val="32"/>
          <w:highlight w:val="none"/>
        </w:rPr>
      </w:pPr>
    </w:p>
    <w:p w14:paraId="57114C4F">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9087C8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6F6371D">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588503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.专门面向中小企业，服务全部由符合政策要求的中小企业（或小微企业）承接的，提供相应的中小企业声明函（附件7）。 </w:t>
      </w:r>
    </w:p>
    <w:p w14:paraId="34CC36BB">
      <w:pPr>
        <w:widowControl/>
        <w:spacing w:line="360" w:lineRule="auto"/>
        <w:ind w:firstLine="472" w:firstLineChars="196"/>
        <w:jc w:val="left"/>
        <w:rPr>
          <w:rFonts w:ascii="宋体" w:hAnsi="宋体" w:cs="宋体"/>
          <w:color w:val="auto"/>
          <w:sz w:val="24"/>
          <w:highlight w:val="none"/>
        </w:rPr>
      </w:pPr>
      <w:r>
        <w:rPr>
          <w:rFonts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5）和中小企业声明函（附件7），联合协议中中小企业合同金额应当达到招标公告载明的比例；如果供应商本身提供所有标的均由中小企业承接的，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r>
        <w:rPr>
          <w:rFonts w:ascii="宋体" w:hAnsi="宋体" w:cs="宋体"/>
          <w:b/>
          <w:color w:val="auto"/>
          <w:sz w:val="24"/>
          <w:highlight w:val="none"/>
        </w:rPr>
        <w:t xml:space="preserve">  </w:t>
      </w:r>
    </w:p>
    <w:p w14:paraId="4EC0CDBA">
      <w:pPr>
        <w:spacing w:line="360" w:lineRule="auto"/>
        <w:ind w:firstLine="482" w:firstLineChars="200"/>
        <w:rPr>
          <w:rFonts w:ascii="宋体" w:hAnsi="宋体" w:cs="宋体"/>
          <w:color w:val="auto"/>
          <w:sz w:val="24"/>
          <w:highlight w:val="none"/>
        </w:rPr>
      </w:pPr>
      <w:r>
        <w:rPr>
          <w:rFonts w:ascii="宋体" w:hAnsi="宋体" w:cs="宋体"/>
          <w:b/>
          <w:color w:val="auto"/>
          <w:sz w:val="24"/>
          <w:highlight w:val="none"/>
        </w:rPr>
        <w:t>C.</w:t>
      </w:r>
      <w:r>
        <w:rPr>
          <w:rFonts w:hint="eastAsia" w:ascii="宋体" w:hAnsi="宋体" w:cs="宋体"/>
          <w:color w:val="auto"/>
          <w:sz w:val="24"/>
          <w:highlight w:val="none"/>
        </w:rPr>
        <w:t>要求合同分包的，提供分包意向协议（附件</w:t>
      </w:r>
      <w:r>
        <w:rPr>
          <w:rFonts w:ascii="宋体" w:hAnsi="宋体" w:cs="宋体"/>
          <w:color w:val="auto"/>
          <w:sz w:val="24"/>
          <w:highlight w:val="none"/>
        </w:rPr>
        <w:t>6）和中小企业声明函（附件7），分包意向协议中中小企业合同金额应当达到招标公告载明的比例；如果供应商本身提供所有标的均由中小企业承接的，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D9962DA">
      <w:pPr>
        <w:widowControl/>
        <w:spacing w:line="360" w:lineRule="auto"/>
        <w:ind w:left="150"/>
        <w:jc w:val="center"/>
        <w:rPr>
          <w:rFonts w:ascii="宋体" w:hAnsi="宋体" w:cs="宋体"/>
          <w:b/>
          <w:color w:val="auto"/>
          <w:kern w:val="0"/>
          <w:sz w:val="32"/>
          <w:szCs w:val="32"/>
          <w:highlight w:val="none"/>
        </w:rPr>
      </w:pPr>
    </w:p>
    <w:p w14:paraId="7FCC2684">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5BD791B">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6DCCA4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89ECE77">
      <w:pPr>
        <w:rPr>
          <w:rFonts w:ascii="宋体" w:hAnsi="宋体" w:cs="宋体"/>
          <w:color w:val="auto"/>
          <w:highlight w:val="none"/>
        </w:rPr>
      </w:pPr>
    </w:p>
    <w:p w14:paraId="21CBBC39">
      <w:pPr>
        <w:snapToGrid w:val="0"/>
        <w:spacing w:line="360" w:lineRule="auto"/>
        <w:ind w:right="480"/>
        <w:jc w:val="center"/>
        <w:rPr>
          <w:rFonts w:ascii="宋体" w:hAnsi="宋体" w:cs="宋体"/>
          <w:b/>
          <w:color w:val="auto"/>
          <w:kern w:val="0"/>
          <w:sz w:val="32"/>
          <w:szCs w:val="32"/>
          <w:highlight w:val="none"/>
        </w:rPr>
      </w:pPr>
    </w:p>
    <w:p w14:paraId="14B5B81D">
      <w:pPr>
        <w:widowControl/>
        <w:adjustRightInd/>
        <w:jc w:val="left"/>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69F2D443">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33DCFD5">
      <w:pPr>
        <w:spacing w:line="360" w:lineRule="auto"/>
        <w:jc w:val="center"/>
        <w:outlineLvl w:val="0"/>
        <w:rPr>
          <w:rFonts w:ascii="宋体" w:hAnsi="宋体" w:cs="宋体"/>
          <w:b/>
          <w:color w:val="auto"/>
          <w:kern w:val="0"/>
          <w:sz w:val="24"/>
          <w:highlight w:val="none"/>
        </w:rPr>
      </w:pPr>
    </w:p>
    <w:p w14:paraId="364D3F2D">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4BF981F">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（1）投标函………………………………………………………………………（页码）（2）授权委托书或法定代表人（单位负责人、自然人本人）身份证明……（页码）</w:t>
      </w:r>
    </w:p>
    <w:p w14:paraId="3B2AFF8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（3）分包意向协议（如果有）…………………………………………………（页码）</w:t>
      </w:r>
    </w:p>
    <w:p w14:paraId="515C0AC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（4）符合性审查资料……………………………………………………………（页码）</w:t>
      </w:r>
    </w:p>
    <w:p w14:paraId="55645FDF">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5）评标标准相应的商务技术资料……………………………………………（页码）（6）投标标的清单………………………………………………………………（页码）（7）商务技术偏离表……………………………………………………………（页码）</w:t>
      </w:r>
    </w:p>
    <w:p w14:paraId="5BE80A6C">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6B2A0BF7">
      <w:pPr>
        <w:snapToGrid w:val="0"/>
        <w:spacing w:line="360" w:lineRule="auto"/>
        <w:jc w:val="center"/>
        <w:rPr>
          <w:rFonts w:ascii="宋体" w:hAnsi="宋体" w:cs="宋体"/>
          <w:b/>
          <w:color w:val="auto"/>
          <w:kern w:val="0"/>
          <w:sz w:val="32"/>
          <w:szCs w:val="32"/>
          <w:highlight w:val="none"/>
          <w:lang w:val="zh-CN"/>
        </w:rPr>
      </w:pPr>
    </w:p>
    <w:p w14:paraId="20621541">
      <w:pPr>
        <w:snapToGrid w:val="0"/>
        <w:spacing w:line="360" w:lineRule="auto"/>
        <w:jc w:val="center"/>
        <w:rPr>
          <w:rFonts w:ascii="宋体" w:hAnsi="宋体" w:cs="宋体"/>
          <w:b/>
          <w:color w:val="auto"/>
          <w:kern w:val="0"/>
          <w:sz w:val="32"/>
          <w:szCs w:val="32"/>
          <w:highlight w:val="none"/>
          <w:lang w:val="zh-CN"/>
        </w:rPr>
      </w:pPr>
    </w:p>
    <w:p w14:paraId="7FA66A7D">
      <w:pPr>
        <w:snapToGrid w:val="0"/>
        <w:spacing w:line="360" w:lineRule="auto"/>
        <w:jc w:val="center"/>
        <w:rPr>
          <w:rFonts w:ascii="宋体" w:hAnsi="宋体" w:cs="宋体"/>
          <w:b/>
          <w:color w:val="auto"/>
          <w:kern w:val="0"/>
          <w:sz w:val="32"/>
          <w:szCs w:val="32"/>
          <w:highlight w:val="none"/>
          <w:lang w:val="zh-CN"/>
        </w:rPr>
      </w:pPr>
    </w:p>
    <w:p w14:paraId="74C0958E">
      <w:pPr>
        <w:snapToGrid w:val="0"/>
        <w:spacing w:line="360" w:lineRule="auto"/>
        <w:jc w:val="center"/>
        <w:rPr>
          <w:rFonts w:ascii="宋体" w:hAnsi="宋体" w:cs="宋体"/>
          <w:b/>
          <w:color w:val="auto"/>
          <w:kern w:val="0"/>
          <w:sz w:val="32"/>
          <w:szCs w:val="32"/>
          <w:highlight w:val="none"/>
          <w:lang w:val="zh-CN"/>
        </w:rPr>
      </w:pPr>
    </w:p>
    <w:p w14:paraId="38A44C69">
      <w:pPr>
        <w:snapToGrid w:val="0"/>
        <w:spacing w:line="360" w:lineRule="auto"/>
        <w:jc w:val="center"/>
        <w:rPr>
          <w:rFonts w:ascii="宋体" w:hAnsi="宋体" w:cs="宋体"/>
          <w:b/>
          <w:color w:val="auto"/>
          <w:kern w:val="0"/>
          <w:sz w:val="32"/>
          <w:szCs w:val="32"/>
          <w:highlight w:val="none"/>
          <w:lang w:val="zh-CN"/>
        </w:rPr>
      </w:pPr>
    </w:p>
    <w:p w14:paraId="6FEF2A49">
      <w:pPr>
        <w:snapToGrid w:val="0"/>
        <w:spacing w:line="360" w:lineRule="auto"/>
        <w:jc w:val="center"/>
        <w:rPr>
          <w:rFonts w:ascii="宋体" w:hAnsi="宋体" w:cs="宋体"/>
          <w:b/>
          <w:color w:val="auto"/>
          <w:kern w:val="0"/>
          <w:sz w:val="32"/>
          <w:szCs w:val="32"/>
          <w:highlight w:val="none"/>
          <w:lang w:val="zh-CN"/>
        </w:rPr>
      </w:pPr>
    </w:p>
    <w:p w14:paraId="56E54AD9">
      <w:pPr>
        <w:snapToGrid w:val="0"/>
        <w:spacing w:line="360" w:lineRule="auto"/>
        <w:jc w:val="center"/>
        <w:rPr>
          <w:rFonts w:ascii="宋体" w:hAnsi="宋体" w:cs="宋体"/>
          <w:b/>
          <w:color w:val="auto"/>
          <w:kern w:val="0"/>
          <w:sz w:val="32"/>
          <w:szCs w:val="32"/>
          <w:highlight w:val="none"/>
          <w:lang w:val="zh-CN"/>
        </w:rPr>
      </w:pPr>
    </w:p>
    <w:p w14:paraId="4505E74D">
      <w:pPr>
        <w:snapToGrid w:val="0"/>
        <w:spacing w:line="360" w:lineRule="auto"/>
        <w:jc w:val="center"/>
        <w:rPr>
          <w:rFonts w:ascii="宋体" w:hAnsi="宋体" w:cs="宋体"/>
          <w:b/>
          <w:color w:val="auto"/>
          <w:kern w:val="0"/>
          <w:sz w:val="32"/>
          <w:szCs w:val="32"/>
          <w:highlight w:val="none"/>
          <w:lang w:val="zh-CN"/>
        </w:rPr>
      </w:pPr>
    </w:p>
    <w:p w14:paraId="180B82C9">
      <w:pPr>
        <w:snapToGrid w:val="0"/>
        <w:spacing w:line="360" w:lineRule="auto"/>
        <w:jc w:val="center"/>
        <w:rPr>
          <w:rFonts w:ascii="宋体" w:hAnsi="宋体" w:cs="宋体"/>
          <w:b/>
          <w:color w:val="auto"/>
          <w:kern w:val="0"/>
          <w:sz w:val="32"/>
          <w:szCs w:val="32"/>
          <w:highlight w:val="none"/>
          <w:lang w:val="zh-CN"/>
        </w:rPr>
      </w:pPr>
    </w:p>
    <w:p w14:paraId="23C4476D">
      <w:pPr>
        <w:snapToGrid w:val="0"/>
        <w:spacing w:line="360" w:lineRule="auto"/>
        <w:jc w:val="center"/>
        <w:rPr>
          <w:rFonts w:ascii="宋体" w:hAnsi="宋体" w:cs="宋体"/>
          <w:b/>
          <w:color w:val="auto"/>
          <w:kern w:val="0"/>
          <w:sz w:val="32"/>
          <w:szCs w:val="32"/>
          <w:highlight w:val="none"/>
          <w:lang w:val="zh-CN"/>
        </w:rPr>
      </w:pPr>
    </w:p>
    <w:p w14:paraId="76D3E330">
      <w:pPr>
        <w:snapToGrid w:val="0"/>
        <w:spacing w:line="360" w:lineRule="auto"/>
        <w:jc w:val="center"/>
        <w:rPr>
          <w:rFonts w:ascii="宋体" w:hAnsi="宋体" w:cs="宋体"/>
          <w:b/>
          <w:color w:val="auto"/>
          <w:kern w:val="0"/>
          <w:sz w:val="32"/>
          <w:szCs w:val="32"/>
          <w:highlight w:val="none"/>
          <w:lang w:val="zh-CN"/>
        </w:rPr>
      </w:pPr>
    </w:p>
    <w:p w14:paraId="404D2C68">
      <w:pPr>
        <w:snapToGrid w:val="0"/>
        <w:spacing w:line="360" w:lineRule="auto"/>
        <w:jc w:val="center"/>
        <w:rPr>
          <w:rFonts w:ascii="宋体" w:hAnsi="宋体" w:cs="宋体"/>
          <w:b/>
          <w:color w:val="auto"/>
          <w:kern w:val="0"/>
          <w:sz w:val="32"/>
          <w:szCs w:val="32"/>
          <w:highlight w:val="none"/>
          <w:lang w:val="zh-CN"/>
        </w:rPr>
      </w:pPr>
    </w:p>
    <w:p w14:paraId="3CE4748A">
      <w:pPr>
        <w:rPr>
          <w:rFonts w:ascii="宋体" w:hAnsi="宋体" w:cs="宋体"/>
          <w:b/>
          <w:color w:val="auto"/>
          <w:kern w:val="0"/>
          <w:sz w:val="32"/>
          <w:szCs w:val="32"/>
          <w:highlight w:val="none"/>
          <w:lang w:val="zh-CN"/>
        </w:rPr>
      </w:pPr>
    </w:p>
    <w:p w14:paraId="69E30D0D">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D22A66B">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1F7EE0">
      <w:pPr>
        <w:snapToGrid w:val="0"/>
        <w:spacing w:line="360" w:lineRule="auto"/>
        <w:rPr>
          <w:rFonts w:ascii="宋体" w:hAnsi="宋体" w:cs="宋体"/>
          <w:b/>
          <w:bCs/>
          <w:color w:val="auto"/>
          <w:sz w:val="24"/>
          <w:highlight w:val="none"/>
          <w:u w:val="single"/>
        </w:rPr>
      </w:pPr>
      <w:r>
        <w:rPr>
          <w:rFonts w:hint="eastAsia" w:ascii="宋体" w:hAnsi="宋体" w:cs="宋体"/>
          <w:b/>
          <w:bCs/>
          <w:color w:val="auto"/>
          <w:sz w:val="24"/>
          <w:highlight w:val="none"/>
          <w:u w:val="single"/>
          <w:lang w:eastAsia="zh-CN"/>
        </w:rPr>
        <w:t>浙江省食品药品检验研究院</w:t>
      </w:r>
      <w:r>
        <w:rPr>
          <w:rFonts w:hint="eastAsia" w:ascii="宋体" w:hAnsi="宋体" w:cs="宋体"/>
          <w:b/>
          <w:bCs/>
          <w:color w:val="auto"/>
          <w:sz w:val="24"/>
          <w:highlight w:val="none"/>
          <w:u w:val="single"/>
        </w:rPr>
        <w:t>：</w:t>
      </w:r>
    </w:p>
    <w:p w14:paraId="6D428A4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lang w:eastAsia="zh-CN"/>
        </w:rPr>
        <w:t>浙江省食品药品检验研究院2025年度软硬件运维及机房租赁项目</w:t>
      </w:r>
      <w:r>
        <w:rPr>
          <w:rFonts w:hint="eastAsia" w:ascii="宋体" w:hAnsi="宋体" w:cs="宋体"/>
          <w:color w:val="auto"/>
          <w:sz w:val="24"/>
          <w:highlight w:val="none"/>
          <w:u w:val="single"/>
        </w:rPr>
        <w:t>【项目编号：</w:t>
      </w:r>
      <w:r>
        <w:rPr>
          <w:rFonts w:hint="eastAsia" w:ascii="宋体" w:hAnsi="宋体" w:cs="宋体"/>
          <w:color w:val="auto"/>
          <w:sz w:val="24"/>
          <w:highlight w:val="none"/>
          <w:u w:val="single"/>
          <w:lang w:eastAsia="zh-CN"/>
        </w:rPr>
        <w:t>ZJ-2580232-06</w:t>
      </w:r>
      <w:r>
        <w:rPr>
          <w:rFonts w:hint="eastAsia" w:ascii="宋体" w:hAnsi="宋体" w:cs="宋体"/>
          <w:color w:val="auto"/>
          <w:sz w:val="24"/>
          <w:highlight w:val="none"/>
          <w:u w:val="single"/>
        </w:rPr>
        <w:t>】</w:t>
      </w:r>
      <w:r>
        <w:rPr>
          <w:rFonts w:hint="eastAsia" w:ascii="宋体" w:hAnsi="宋体" w:cs="宋体"/>
          <w:color w:val="auto"/>
          <w:sz w:val="24"/>
          <w:highlight w:val="none"/>
        </w:rPr>
        <w:t>招标的有关活动，并对此项目进行投标。为此：</w:t>
      </w:r>
    </w:p>
    <w:p w14:paraId="0666EE5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C33E7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11D80CF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62917E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如为联合体，各成员单位均须提供）</w:t>
      </w:r>
      <w:r>
        <w:rPr>
          <w:rFonts w:hint="eastAsia" w:ascii="宋体" w:hAnsi="宋体" w:cs="宋体"/>
          <w:color w:val="auto"/>
          <w:sz w:val="24"/>
          <w:highlight w:val="none"/>
        </w:rPr>
        <w:t>；</w:t>
      </w:r>
    </w:p>
    <w:p w14:paraId="539B4AA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27" w:name="_Hlk101257010"/>
      <w:r>
        <w:rPr>
          <w:rFonts w:hint="eastAsia" w:ascii="宋体" w:hAnsi="宋体" w:cs="宋体"/>
          <w:color w:val="auto"/>
          <w:sz w:val="24"/>
          <w:highlight w:val="none"/>
        </w:rPr>
        <w:t>（如果有）</w:t>
      </w:r>
      <w:bookmarkEnd w:id="427"/>
      <w:r>
        <w:rPr>
          <w:rFonts w:hint="eastAsia" w:ascii="宋体" w:hAnsi="宋体" w:cs="宋体"/>
          <w:snapToGrid w:val="0"/>
          <w:color w:val="auto"/>
          <w:kern w:val="28"/>
          <w:sz w:val="24"/>
          <w:szCs w:val="20"/>
          <w:highlight w:val="none"/>
        </w:rPr>
        <w:t>；</w:t>
      </w:r>
    </w:p>
    <w:p w14:paraId="2E73DBE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2.1.3落实政府采购政策需满足的资格要求：</w:t>
      </w:r>
    </w:p>
    <w:p w14:paraId="2C5602EC">
      <w:pPr>
        <w:pStyle w:val="16"/>
        <w:numPr>
          <w:ilvl w:val="0"/>
          <w:numId w:val="26"/>
        </w:numPr>
        <w:spacing w:line="360" w:lineRule="auto"/>
        <w:ind w:firstLine="840" w:firstLineChars="350"/>
        <w:rPr>
          <w:rFonts w:hAnsi="宋体" w:cs="宋体"/>
          <w:color w:val="auto"/>
          <w:sz w:val="24"/>
          <w:szCs w:val="24"/>
          <w:highlight w:val="none"/>
        </w:rPr>
      </w:pPr>
      <w:r>
        <w:rPr>
          <w:rFonts w:hint="eastAsia" w:hAnsi="宋体" w:cs="宋体"/>
          <w:color w:val="auto"/>
          <w:sz w:val="24"/>
          <w:szCs w:val="24"/>
          <w:highlight w:val="none"/>
        </w:rPr>
        <w:t>中小企业声明函（服务）；</w:t>
      </w:r>
    </w:p>
    <w:p w14:paraId="73E35FEE">
      <w:pPr>
        <w:pStyle w:val="24"/>
        <w:numPr>
          <w:ilvl w:val="0"/>
          <w:numId w:val="26"/>
        </w:numPr>
        <w:spacing w:line="360" w:lineRule="auto"/>
        <w:ind w:firstLine="840" w:firstLineChars="350"/>
        <w:rPr>
          <w:color w:val="auto"/>
          <w:highlight w:val="none"/>
        </w:rPr>
      </w:pPr>
      <w:r>
        <w:rPr>
          <w:rFonts w:hint="eastAsia"/>
          <w:color w:val="auto"/>
          <w:highlight w:val="none"/>
        </w:rPr>
        <w:t>联合体协议（如果有）；</w:t>
      </w:r>
    </w:p>
    <w:p w14:paraId="0AE35136">
      <w:pPr>
        <w:pStyle w:val="24"/>
        <w:numPr>
          <w:ilvl w:val="0"/>
          <w:numId w:val="26"/>
        </w:numPr>
        <w:spacing w:line="360" w:lineRule="auto"/>
        <w:ind w:firstLine="840" w:firstLineChars="350"/>
        <w:rPr>
          <w:color w:val="auto"/>
          <w:highlight w:val="none"/>
        </w:rPr>
      </w:pPr>
      <w:r>
        <w:rPr>
          <w:rFonts w:hint="eastAsia"/>
          <w:color w:val="auto"/>
          <w:highlight w:val="none"/>
        </w:rPr>
        <w:t>分包协议（如果有）。</w:t>
      </w:r>
    </w:p>
    <w:p w14:paraId="1883C3B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2.1.4本项目的特定资格要求：无；</w:t>
      </w:r>
    </w:p>
    <w:p w14:paraId="305F6473">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C547E6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016E3DD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DFF85E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2.2.3分包意向协议（如果有）；</w:t>
      </w:r>
    </w:p>
    <w:p w14:paraId="372BDF9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14:paraId="1CC5E37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2.2.5评标标准相应的商务技术资料；</w:t>
      </w:r>
    </w:p>
    <w:p w14:paraId="04BF377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2.2.6投标标的清单；</w:t>
      </w:r>
    </w:p>
    <w:p w14:paraId="686FE98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2.2.7商务技术偏离表；</w:t>
      </w:r>
    </w:p>
    <w:p w14:paraId="6A633B6F">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47332D5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C573B1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45EA40C0">
      <w:pPr>
        <w:pStyle w:val="91"/>
        <w:spacing w:line="36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623F323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F9E9EF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C08164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3C5734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014F6C8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0EDC01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我方承诺将通过政采云平台开展质疑、投诉等活动，并确认接受平台以电子送达的方式送达相关文书。我方认可电子送达与邮寄送达具有同等法律效力，以文书到达政采云平台日期为送达日期，本公司保证政采云平台账号真实有效。</w:t>
      </w:r>
    </w:p>
    <w:p w14:paraId="40CB4A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6.其他补充说明：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59D109A">
      <w:pPr>
        <w:spacing w:line="360" w:lineRule="auto"/>
        <w:ind w:firstLine="3600" w:firstLineChars="1500"/>
        <w:rPr>
          <w:rFonts w:ascii="宋体" w:hAnsi="宋体" w:cs="宋体"/>
          <w:color w:val="auto"/>
          <w:sz w:val="24"/>
          <w:highlight w:val="none"/>
        </w:rPr>
      </w:pPr>
    </w:p>
    <w:p w14:paraId="656EBFAE">
      <w:pPr>
        <w:spacing w:line="360" w:lineRule="auto"/>
        <w:ind w:firstLine="3600" w:firstLineChars="1500"/>
        <w:rPr>
          <w:rFonts w:ascii="宋体" w:hAnsi="宋体" w:cs="宋体"/>
          <w:color w:val="auto"/>
          <w:sz w:val="24"/>
          <w:highlight w:val="none"/>
        </w:rPr>
      </w:pPr>
    </w:p>
    <w:p w14:paraId="3FEEB6FE">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21625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F865968">
      <w:pPr>
        <w:snapToGrid w:val="0"/>
        <w:spacing w:line="360" w:lineRule="auto"/>
        <w:ind w:left="420" w:leftChars="200" w:firstLine="4200" w:firstLineChars="1750"/>
        <w:rPr>
          <w:rFonts w:ascii="宋体" w:hAnsi="宋体" w:cs="宋体"/>
          <w:color w:val="auto"/>
          <w:kern w:val="0"/>
          <w:sz w:val="24"/>
          <w:highlight w:val="none"/>
          <w:u w:val="single"/>
        </w:rPr>
      </w:pPr>
    </w:p>
    <w:p w14:paraId="441F679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3CCE4BE">
      <w:pPr>
        <w:snapToGrid w:val="0"/>
        <w:spacing w:line="360" w:lineRule="auto"/>
        <w:jc w:val="center"/>
        <w:rPr>
          <w:rFonts w:ascii="宋体" w:hAnsi="宋体" w:cs="宋体"/>
          <w:b/>
          <w:color w:val="auto"/>
          <w:kern w:val="0"/>
          <w:sz w:val="32"/>
          <w:szCs w:val="32"/>
          <w:highlight w:val="none"/>
        </w:rPr>
      </w:pPr>
    </w:p>
    <w:p w14:paraId="25BCB60F">
      <w:pPr>
        <w:snapToGrid w:val="0"/>
        <w:spacing w:line="360" w:lineRule="auto"/>
        <w:rPr>
          <w:rFonts w:ascii="宋体" w:hAnsi="宋体" w:cs="宋体"/>
          <w:color w:val="auto"/>
          <w:sz w:val="24"/>
          <w:highlight w:val="none"/>
        </w:rPr>
      </w:pPr>
    </w:p>
    <w:p w14:paraId="5D94635C">
      <w:pPr>
        <w:jc w:val="center"/>
        <w:rPr>
          <w:rFonts w:ascii="宋体" w:hAnsi="宋体" w:cs="宋体"/>
          <w:b/>
          <w:color w:val="auto"/>
          <w:kern w:val="0"/>
          <w:sz w:val="32"/>
          <w:szCs w:val="32"/>
          <w:highlight w:val="none"/>
        </w:rPr>
      </w:pPr>
    </w:p>
    <w:p w14:paraId="29082258">
      <w:pPr>
        <w:jc w:val="center"/>
        <w:rPr>
          <w:rFonts w:ascii="宋体" w:hAnsi="宋体" w:cs="宋体"/>
          <w:b/>
          <w:color w:val="auto"/>
          <w:kern w:val="0"/>
          <w:sz w:val="32"/>
          <w:szCs w:val="32"/>
          <w:highlight w:val="none"/>
        </w:rPr>
      </w:pPr>
    </w:p>
    <w:p w14:paraId="36182DE1">
      <w:pPr>
        <w:jc w:val="center"/>
        <w:rPr>
          <w:rFonts w:ascii="宋体" w:hAnsi="宋体" w:cs="宋体"/>
          <w:b/>
          <w:color w:val="auto"/>
          <w:kern w:val="0"/>
          <w:sz w:val="32"/>
          <w:szCs w:val="32"/>
          <w:highlight w:val="none"/>
        </w:rPr>
      </w:pPr>
    </w:p>
    <w:p w14:paraId="750137CD">
      <w:pPr>
        <w:jc w:val="center"/>
        <w:rPr>
          <w:rFonts w:ascii="宋体" w:hAnsi="宋体" w:cs="宋体"/>
          <w:b/>
          <w:color w:val="auto"/>
          <w:kern w:val="0"/>
          <w:sz w:val="32"/>
          <w:szCs w:val="32"/>
          <w:highlight w:val="none"/>
        </w:rPr>
      </w:pPr>
    </w:p>
    <w:p w14:paraId="78D23FE4">
      <w:pPr>
        <w:jc w:val="center"/>
        <w:rPr>
          <w:rFonts w:ascii="宋体" w:hAnsi="宋体" w:cs="宋体"/>
          <w:b/>
          <w:color w:val="auto"/>
          <w:kern w:val="0"/>
          <w:sz w:val="32"/>
          <w:szCs w:val="32"/>
          <w:highlight w:val="none"/>
        </w:rPr>
      </w:pPr>
    </w:p>
    <w:p w14:paraId="59E12CC0">
      <w:pPr>
        <w:jc w:val="center"/>
        <w:rPr>
          <w:rFonts w:ascii="宋体" w:hAnsi="宋体" w:cs="宋体"/>
          <w:b/>
          <w:color w:val="auto"/>
          <w:kern w:val="0"/>
          <w:sz w:val="32"/>
          <w:szCs w:val="32"/>
          <w:highlight w:val="none"/>
        </w:rPr>
      </w:pPr>
    </w:p>
    <w:p w14:paraId="27102347">
      <w:pPr>
        <w:jc w:val="center"/>
        <w:rPr>
          <w:rFonts w:ascii="宋体" w:hAnsi="宋体" w:cs="宋体"/>
          <w:b/>
          <w:color w:val="auto"/>
          <w:kern w:val="0"/>
          <w:sz w:val="32"/>
          <w:szCs w:val="32"/>
          <w:highlight w:val="none"/>
        </w:rPr>
      </w:pPr>
    </w:p>
    <w:p w14:paraId="662006DA">
      <w:pPr>
        <w:jc w:val="center"/>
        <w:rPr>
          <w:rFonts w:ascii="宋体" w:hAnsi="宋体" w:cs="宋体"/>
          <w:b/>
          <w:color w:val="auto"/>
          <w:kern w:val="0"/>
          <w:sz w:val="32"/>
          <w:szCs w:val="32"/>
          <w:highlight w:val="none"/>
        </w:rPr>
      </w:pPr>
    </w:p>
    <w:p w14:paraId="0455D7EC">
      <w:pPr>
        <w:jc w:val="center"/>
        <w:rPr>
          <w:rFonts w:ascii="宋体" w:hAnsi="宋体" w:cs="宋体"/>
          <w:b/>
          <w:color w:val="auto"/>
          <w:kern w:val="0"/>
          <w:sz w:val="32"/>
          <w:szCs w:val="32"/>
          <w:highlight w:val="none"/>
        </w:rPr>
      </w:pPr>
    </w:p>
    <w:p w14:paraId="0DDB04C7">
      <w:pPr>
        <w:jc w:val="center"/>
        <w:rPr>
          <w:rFonts w:ascii="宋体" w:hAnsi="宋体" w:cs="宋体"/>
          <w:b/>
          <w:color w:val="auto"/>
          <w:kern w:val="0"/>
          <w:sz w:val="32"/>
          <w:szCs w:val="32"/>
          <w:highlight w:val="none"/>
        </w:rPr>
      </w:pPr>
    </w:p>
    <w:p w14:paraId="683CA2B7">
      <w:pPr>
        <w:jc w:val="center"/>
        <w:rPr>
          <w:rFonts w:ascii="宋体" w:hAnsi="宋体" w:cs="宋体"/>
          <w:b/>
          <w:color w:val="auto"/>
          <w:kern w:val="0"/>
          <w:sz w:val="32"/>
          <w:szCs w:val="32"/>
          <w:highlight w:val="none"/>
        </w:rPr>
      </w:pPr>
    </w:p>
    <w:p w14:paraId="506705F4">
      <w:pPr>
        <w:jc w:val="center"/>
        <w:rPr>
          <w:rFonts w:ascii="宋体" w:hAnsi="宋体" w:cs="宋体"/>
          <w:b/>
          <w:color w:val="auto"/>
          <w:kern w:val="0"/>
          <w:sz w:val="32"/>
          <w:szCs w:val="32"/>
          <w:highlight w:val="none"/>
        </w:rPr>
      </w:pPr>
    </w:p>
    <w:p w14:paraId="0EBFB312">
      <w:pPr>
        <w:jc w:val="center"/>
        <w:rPr>
          <w:rFonts w:ascii="宋体" w:hAnsi="宋体" w:cs="宋体"/>
          <w:b/>
          <w:color w:val="auto"/>
          <w:kern w:val="0"/>
          <w:sz w:val="32"/>
          <w:szCs w:val="32"/>
          <w:highlight w:val="none"/>
        </w:rPr>
      </w:pPr>
    </w:p>
    <w:p w14:paraId="068A7B4C">
      <w:pPr>
        <w:jc w:val="center"/>
        <w:rPr>
          <w:rFonts w:ascii="宋体" w:hAnsi="宋体" w:cs="宋体"/>
          <w:b/>
          <w:color w:val="auto"/>
          <w:kern w:val="0"/>
          <w:sz w:val="32"/>
          <w:szCs w:val="32"/>
          <w:highlight w:val="none"/>
        </w:rPr>
      </w:pPr>
    </w:p>
    <w:p w14:paraId="5A921D67">
      <w:pPr>
        <w:jc w:val="center"/>
        <w:rPr>
          <w:rFonts w:ascii="宋体" w:hAnsi="宋体" w:cs="宋体"/>
          <w:b/>
          <w:color w:val="auto"/>
          <w:kern w:val="0"/>
          <w:sz w:val="32"/>
          <w:szCs w:val="32"/>
          <w:highlight w:val="none"/>
        </w:rPr>
      </w:pPr>
    </w:p>
    <w:p w14:paraId="5EBFF6BC">
      <w:pPr>
        <w:jc w:val="center"/>
        <w:rPr>
          <w:rFonts w:ascii="宋体" w:hAnsi="宋体" w:cs="宋体"/>
          <w:b/>
          <w:color w:val="auto"/>
          <w:kern w:val="0"/>
          <w:sz w:val="32"/>
          <w:szCs w:val="32"/>
          <w:highlight w:val="none"/>
        </w:rPr>
      </w:pPr>
    </w:p>
    <w:p w14:paraId="11AD1D52">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25D0E7A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47DDE2F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277E3C6">
      <w:pPr>
        <w:snapToGrid w:val="0"/>
        <w:spacing w:line="360" w:lineRule="auto"/>
        <w:rPr>
          <w:rFonts w:ascii="宋体" w:hAnsi="宋体" w:cs="宋体"/>
          <w:b/>
          <w:bCs/>
          <w:color w:val="auto"/>
          <w:kern w:val="0"/>
          <w:sz w:val="24"/>
          <w:highlight w:val="none"/>
          <w:u w:val="single"/>
        </w:rPr>
      </w:pPr>
      <w:r>
        <w:rPr>
          <w:rFonts w:hint="eastAsia" w:ascii="宋体" w:hAnsi="宋体" w:cs="宋体"/>
          <w:b/>
          <w:bCs/>
          <w:color w:val="auto"/>
          <w:sz w:val="24"/>
          <w:highlight w:val="none"/>
          <w:u w:val="single"/>
          <w:lang w:eastAsia="zh-CN"/>
        </w:rPr>
        <w:t>浙江省食品药品检验研究院</w:t>
      </w:r>
      <w:r>
        <w:rPr>
          <w:rFonts w:hint="eastAsia" w:ascii="宋体" w:hAnsi="宋体" w:cs="宋体"/>
          <w:b/>
          <w:bCs/>
          <w:color w:val="auto"/>
          <w:kern w:val="0"/>
          <w:sz w:val="24"/>
          <w:highlight w:val="none"/>
          <w:u w:val="single"/>
          <w:lang w:val="zh-CN"/>
        </w:rPr>
        <w:t>：</w:t>
      </w:r>
    </w:p>
    <w:p w14:paraId="7400F3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lang w:eastAsia="zh-CN"/>
        </w:rPr>
        <w:t>浙江省食品药品检验研究院2025年度软硬件运维及机房租赁项目</w:t>
      </w:r>
      <w:r>
        <w:rPr>
          <w:rFonts w:hint="eastAsia" w:ascii="宋体" w:hAnsi="宋体" w:cs="宋体"/>
          <w:color w:val="auto"/>
          <w:sz w:val="24"/>
          <w:highlight w:val="none"/>
          <w:u w:val="single"/>
        </w:rPr>
        <w:t>【项目编号：</w:t>
      </w:r>
      <w:r>
        <w:rPr>
          <w:rFonts w:hint="eastAsia" w:ascii="宋体" w:hAnsi="宋体" w:cs="宋体"/>
          <w:color w:val="auto"/>
          <w:sz w:val="24"/>
          <w:highlight w:val="none"/>
          <w:u w:val="single"/>
          <w:lang w:eastAsia="zh-CN"/>
        </w:rPr>
        <w:t>ZJ-2580232-06</w:t>
      </w:r>
      <w:r>
        <w:rPr>
          <w:rFonts w:hint="eastAsia" w:ascii="宋体" w:hAnsi="宋体" w:cs="宋体"/>
          <w:color w:val="auto"/>
          <w:sz w:val="24"/>
          <w:highlight w:val="none"/>
          <w:u w:val="single"/>
        </w:rPr>
        <w:t>】</w:t>
      </w:r>
      <w:r>
        <w:rPr>
          <w:rFonts w:hint="eastAsia" w:ascii="宋体" w:hAnsi="宋体" w:cs="宋体"/>
          <w:color w:val="auto"/>
          <w:kern w:val="0"/>
          <w:sz w:val="24"/>
          <w:highlight w:val="none"/>
          <w:lang w:val="zh-CN"/>
        </w:rPr>
        <w:t>政府采购投标的一切事项，其法律后果由我方承担。</w:t>
      </w:r>
    </w:p>
    <w:p w14:paraId="3C50BFA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673844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5DCCF19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6295003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FC8944C">
      <w:pPr>
        <w:snapToGrid w:val="0"/>
        <w:spacing w:line="360" w:lineRule="auto"/>
        <w:rPr>
          <w:rFonts w:ascii="宋体" w:hAnsi="宋体" w:cs="宋体"/>
          <w:color w:val="auto"/>
          <w:sz w:val="24"/>
          <w:highlight w:val="none"/>
        </w:rPr>
      </w:pPr>
    </w:p>
    <w:p w14:paraId="1BCEF103">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1C90009">
      <w:pPr>
        <w:snapToGrid w:val="0"/>
        <w:spacing w:line="360" w:lineRule="auto"/>
        <w:rPr>
          <w:rFonts w:ascii="宋体" w:hAnsi="宋体" w:cs="宋体"/>
          <w:b/>
          <w:bCs/>
          <w:color w:val="auto"/>
          <w:kern w:val="0"/>
          <w:sz w:val="24"/>
          <w:highlight w:val="none"/>
          <w:u w:val="single"/>
        </w:rPr>
      </w:pPr>
      <w:r>
        <w:rPr>
          <w:rFonts w:hint="eastAsia" w:ascii="宋体" w:hAnsi="宋体" w:cs="宋体"/>
          <w:b/>
          <w:bCs/>
          <w:color w:val="auto"/>
          <w:sz w:val="24"/>
          <w:highlight w:val="none"/>
          <w:u w:val="single"/>
          <w:lang w:eastAsia="zh-CN"/>
        </w:rPr>
        <w:t>浙江省食品药品检验研究院</w:t>
      </w:r>
      <w:r>
        <w:rPr>
          <w:rFonts w:hint="eastAsia" w:ascii="宋体" w:hAnsi="宋体" w:cs="宋体"/>
          <w:b/>
          <w:bCs/>
          <w:color w:val="auto"/>
          <w:kern w:val="0"/>
          <w:sz w:val="24"/>
          <w:highlight w:val="none"/>
          <w:u w:val="single"/>
          <w:lang w:val="zh-CN"/>
        </w:rPr>
        <w:t>：</w:t>
      </w:r>
    </w:p>
    <w:p w14:paraId="3B7262D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lang w:eastAsia="zh-CN"/>
        </w:rPr>
        <w:t>浙江省食品药品检验研究院2025年度软硬件运维及机房租赁项目</w:t>
      </w:r>
      <w:r>
        <w:rPr>
          <w:rFonts w:hint="eastAsia" w:ascii="宋体" w:hAnsi="宋体" w:cs="宋体"/>
          <w:color w:val="auto"/>
          <w:sz w:val="24"/>
          <w:highlight w:val="none"/>
          <w:u w:val="single"/>
        </w:rPr>
        <w:t>【项目编号：</w:t>
      </w:r>
      <w:r>
        <w:rPr>
          <w:rFonts w:hint="eastAsia" w:ascii="宋体" w:hAnsi="宋体" w:cs="宋体"/>
          <w:color w:val="auto"/>
          <w:sz w:val="24"/>
          <w:highlight w:val="none"/>
          <w:u w:val="single"/>
          <w:lang w:eastAsia="zh-CN"/>
        </w:rPr>
        <w:t>ZJ-2580232-06</w:t>
      </w:r>
      <w:r>
        <w:rPr>
          <w:rFonts w:hint="eastAsia" w:ascii="宋体" w:hAnsi="宋体" w:cs="宋体"/>
          <w:color w:val="auto"/>
          <w:sz w:val="24"/>
          <w:highlight w:val="none"/>
          <w:u w:val="single"/>
        </w:rPr>
        <w:t>】</w:t>
      </w:r>
      <w:r>
        <w:rPr>
          <w:rFonts w:hint="eastAsia" w:ascii="宋体" w:hAnsi="宋体" w:cs="宋体"/>
          <w:color w:val="auto"/>
          <w:kern w:val="0"/>
          <w:sz w:val="24"/>
          <w:highlight w:val="none"/>
          <w:lang w:val="zh-CN"/>
        </w:rPr>
        <w:t>政府采购投标的一切事项，其法律后果由我方承担。</w:t>
      </w:r>
    </w:p>
    <w:p w14:paraId="6A9EE25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E119BB4">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1531CF90">
      <w:pPr>
        <w:jc w:val="center"/>
        <w:rPr>
          <w:rFonts w:ascii="宋体" w:hAnsi="宋体" w:cs="宋体"/>
          <w:b/>
          <w:color w:val="auto"/>
          <w:kern w:val="0"/>
          <w:sz w:val="32"/>
          <w:szCs w:val="32"/>
          <w:highlight w:val="none"/>
        </w:rPr>
      </w:pPr>
    </w:p>
    <w:p w14:paraId="340D4215">
      <w:pPr>
        <w:rPr>
          <w:rFonts w:ascii="宋体" w:hAnsi="宋体" w:cs="宋体"/>
          <w:color w:val="auto"/>
          <w:highlight w:val="none"/>
        </w:rPr>
      </w:pPr>
    </w:p>
    <w:p w14:paraId="381A497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35E69E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9CDEA51">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7DE102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FEA7C7E">
      <w:pPr>
        <w:autoSpaceDE w:val="0"/>
        <w:autoSpaceDN w:val="0"/>
        <w:spacing w:line="360" w:lineRule="auto"/>
        <w:jc w:val="center"/>
        <w:rPr>
          <w:rFonts w:ascii="宋体" w:hAnsi="宋体" w:cs="宋体"/>
          <w:b/>
          <w:color w:val="auto"/>
          <w:kern w:val="0"/>
          <w:sz w:val="32"/>
          <w:szCs w:val="32"/>
          <w:highlight w:val="none"/>
          <w:lang w:val="zh-CN"/>
        </w:rPr>
      </w:pPr>
    </w:p>
    <w:p w14:paraId="0AD7D77A">
      <w:pPr>
        <w:autoSpaceDE w:val="0"/>
        <w:autoSpaceDN w:val="0"/>
        <w:spacing w:line="360" w:lineRule="auto"/>
        <w:jc w:val="center"/>
        <w:rPr>
          <w:rFonts w:ascii="宋体" w:hAnsi="宋体" w:cs="宋体"/>
          <w:b/>
          <w:color w:val="auto"/>
          <w:kern w:val="0"/>
          <w:sz w:val="32"/>
          <w:szCs w:val="32"/>
          <w:highlight w:val="none"/>
          <w:lang w:val="zh-CN"/>
        </w:rPr>
      </w:pPr>
    </w:p>
    <w:p w14:paraId="1E4527FC">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5592EE2">
      <w:pPr>
        <w:pStyle w:val="15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E37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3F2D8F9">
            <w:pPr>
              <w:pStyle w:val="15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C098EFA">
            <w:pPr>
              <w:pStyle w:val="159"/>
              <w:adjustRightInd w:val="0"/>
              <w:spacing w:line="360" w:lineRule="auto"/>
              <w:rPr>
                <w:rFonts w:hAnsi="宋体" w:cs="宋体"/>
                <w:bCs/>
                <w:color w:val="auto"/>
                <w:sz w:val="24"/>
                <w:highlight w:val="none"/>
              </w:rPr>
            </w:pPr>
          </w:p>
        </w:tc>
      </w:tr>
    </w:tbl>
    <w:p w14:paraId="6F098F7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7BE476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14DD04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25135A5">
      <w:pPr>
        <w:jc w:val="center"/>
        <w:rPr>
          <w:rFonts w:ascii="宋体" w:hAnsi="宋体" w:cs="宋体"/>
          <w:b/>
          <w:color w:val="auto"/>
          <w:kern w:val="0"/>
          <w:sz w:val="32"/>
          <w:szCs w:val="32"/>
          <w:highlight w:val="none"/>
        </w:rPr>
      </w:pPr>
    </w:p>
    <w:p w14:paraId="0409C84B">
      <w:pPr>
        <w:jc w:val="center"/>
        <w:rPr>
          <w:rFonts w:ascii="宋体" w:hAnsi="宋体" w:cs="宋体"/>
          <w:b/>
          <w:color w:val="auto"/>
          <w:kern w:val="0"/>
          <w:sz w:val="32"/>
          <w:szCs w:val="32"/>
          <w:highlight w:val="none"/>
        </w:rPr>
      </w:pPr>
    </w:p>
    <w:p w14:paraId="44413D35">
      <w:pPr>
        <w:jc w:val="center"/>
        <w:rPr>
          <w:rFonts w:ascii="宋体" w:hAnsi="宋体" w:cs="宋体"/>
          <w:b/>
          <w:color w:val="auto"/>
          <w:kern w:val="0"/>
          <w:sz w:val="32"/>
          <w:szCs w:val="32"/>
          <w:highlight w:val="none"/>
        </w:rPr>
      </w:pPr>
    </w:p>
    <w:p w14:paraId="369AC1AD">
      <w:pPr>
        <w:jc w:val="center"/>
        <w:rPr>
          <w:rFonts w:ascii="宋体" w:hAnsi="宋体" w:cs="宋体"/>
          <w:b/>
          <w:color w:val="auto"/>
          <w:kern w:val="0"/>
          <w:sz w:val="32"/>
          <w:szCs w:val="32"/>
          <w:highlight w:val="none"/>
        </w:rPr>
      </w:pPr>
    </w:p>
    <w:p w14:paraId="1127EC6B">
      <w:pPr>
        <w:jc w:val="center"/>
        <w:rPr>
          <w:rFonts w:ascii="宋体" w:hAnsi="宋体" w:cs="宋体"/>
          <w:b/>
          <w:color w:val="auto"/>
          <w:kern w:val="0"/>
          <w:sz w:val="32"/>
          <w:szCs w:val="32"/>
          <w:highlight w:val="none"/>
        </w:rPr>
      </w:pPr>
    </w:p>
    <w:p w14:paraId="426D0A3C">
      <w:pPr>
        <w:jc w:val="center"/>
        <w:rPr>
          <w:rFonts w:ascii="宋体" w:hAnsi="宋体" w:cs="宋体"/>
          <w:b/>
          <w:color w:val="auto"/>
          <w:kern w:val="0"/>
          <w:sz w:val="32"/>
          <w:szCs w:val="32"/>
          <w:highlight w:val="none"/>
        </w:rPr>
      </w:pPr>
    </w:p>
    <w:p w14:paraId="00B97045">
      <w:pPr>
        <w:jc w:val="center"/>
        <w:rPr>
          <w:rFonts w:ascii="宋体" w:hAnsi="宋体" w:cs="宋体"/>
          <w:b/>
          <w:color w:val="auto"/>
          <w:kern w:val="0"/>
          <w:sz w:val="32"/>
          <w:szCs w:val="32"/>
          <w:highlight w:val="none"/>
        </w:rPr>
      </w:pPr>
    </w:p>
    <w:p w14:paraId="6B46E48D">
      <w:pPr>
        <w:jc w:val="center"/>
        <w:rPr>
          <w:rFonts w:ascii="宋体" w:hAnsi="宋体" w:cs="宋体"/>
          <w:b/>
          <w:color w:val="auto"/>
          <w:kern w:val="0"/>
          <w:sz w:val="32"/>
          <w:szCs w:val="32"/>
          <w:highlight w:val="none"/>
        </w:rPr>
      </w:pPr>
    </w:p>
    <w:p w14:paraId="3DBD64F4">
      <w:pPr>
        <w:jc w:val="center"/>
        <w:rPr>
          <w:rFonts w:ascii="宋体" w:hAnsi="宋体" w:cs="宋体"/>
          <w:b/>
          <w:color w:val="auto"/>
          <w:kern w:val="0"/>
          <w:sz w:val="32"/>
          <w:szCs w:val="32"/>
          <w:highlight w:val="none"/>
        </w:rPr>
      </w:pPr>
    </w:p>
    <w:p w14:paraId="0D1B1F5E">
      <w:pPr>
        <w:jc w:val="center"/>
        <w:rPr>
          <w:rFonts w:ascii="宋体" w:hAnsi="宋体" w:cs="宋体"/>
          <w:b/>
          <w:color w:val="auto"/>
          <w:kern w:val="0"/>
          <w:sz w:val="32"/>
          <w:szCs w:val="32"/>
          <w:highlight w:val="none"/>
        </w:rPr>
      </w:pPr>
    </w:p>
    <w:p w14:paraId="0E46E789">
      <w:pPr>
        <w:snapToGrid w:val="0"/>
        <w:spacing w:line="360" w:lineRule="auto"/>
        <w:ind w:right="480"/>
        <w:rPr>
          <w:rFonts w:ascii="宋体" w:hAnsi="宋体" w:cs="宋体"/>
          <w:b/>
          <w:color w:val="auto"/>
          <w:kern w:val="0"/>
          <w:sz w:val="32"/>
          <w:szCs w:val="32"/>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36AC0E81">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29399A8F">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cs="宋体"/>
          <w:color w:val="auto"/>
          <w:sz w:val="24"/>
          <w:highlight w:val="none"/>
        </w:rPr>
        <w:t>]</w:t>
      </w:r>
    </w:p>
    <w:p w14:paraId="2BDC05AF">
      <w:pPr>
        <w:snapToGrid w:val="0"/>
        <w:spacing w:line="360" w:lineRule="auto"/>
        <w:rPr>
          <w:rFonts w:ascii="宋体" w:hAnsi="宋体" w:cs="宋体"/>
          <w:color w:val="auto"/>
          <w:kern w:val="0"/>
          <w:sz w:val="24"/>
          <w:highlight w:val="none"/>
        </w:rPr>
      </w:pPr>
    </w:p>
    <w:p w14:paraId="38426281">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4C5924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74E047D">
      <w:pPr>
        <w:jc w:val="center"/>
        <w:rPr>
          <w:rFonts w:ascii="宋体" w:hAnsi="宋体" w:cs="宋体"/>
          <w:b/>
          <w:color w:val="auto"/>
          <w:kern w:val="0"/>
          <w:sz w:val="32"/>
          <w:szCs w:val="32"/>
          <w:highlight w:val="none"/>
        </w:rPr>
      </w:pPr>
    </w:p>
    <w:p w14:paraId="533B2844">
      <w:pPr>
        <w:pStyle w:val="16"/>
        <w:spacing w:line="360" w:lineRule="auto"/>
        <w:ind w:firstLine="0"/>
        <w:rPr>
          <w:rFonts w:hAnsi="宋体" w:cs="宋体"/>
          <w:bCs/>
          <w:color w:val="auto"/>
          <w:kern w:val="0"/>
          <w:sz w:val="24"/>
          <w:szCs w:val="24"/>
          <w:highlight w:val="none"/>
        </w:rPr>
      </w:pPr>
    </w:p>
    <w:p w14:paraId="0B25669B">
      <w:pPr>
        <w:pStyle w:val="16"/>
        <w:spacing w:line="360" w:lineRule="auto"/>
        <w:ind w:firstLine="0"/>
        <w:rPr>
          <w:rFonts w:hAnsi="宋体" w:cs="宋体"/>
          <w:bCs/>
          <w:color w:val="auto"/>
          <w:kern w:val="0"/>
          <w:sz w:val="24"/>
          <w:szCs w:val="24"/>
          <w:highlight w:val="none"/>
        </w:rPr>
      </w:pPr>
      <w:r>
        <w:rPr>
          <w:rFonts w:hint="eastAsia" w:hAnsi="宋体" w:cs="宋体"/>
          <w:bCs/>
          <w:color w:val="auto"/>
          <w:kern w:val="0"/>
          <w:sz w:val="24"/>
          <w:szCs w:val="24"/>
          <w:highlight w:val="none"/>
        </w:rPr>
        <w:t>项目名称：</w:t>
      </w:r>
    </w:p>
    <w:p w14:paraId="060CB71C">
      <w:pPr>
        <w:pStyle w:val="16"/>
        <w:spacing w:line="360" w:lineRule="auto"/>
        <w:ind w:firstLine="0"/>
        <w:rPr>
          <w:color w:val="auto"/>
          <w:sz w:val="24"/>
          <w:szCs w:val="24"/>
          <w:highlight w:val="none"/>
        </w:rPr>
      </w:pPr>
      <w:r>
        <w:rPr>
          <w:rFonts w:hint="eastAsia" w:hAnsi="宋体" w:cs="宋体"/>
          <w:bCs/>
          <w:color w:val="auto"/>
          <w:sz w:val="24"/>
          <w:szCs w:val="24"/>
          <w:highlight w:val="none"/>
        </w:rPr>
        <w:t>项目编号：</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5203"/>
        <w:gridCol w:w="2551"/>
        <w:gridCol w:w="1418"/>
      </w:tblGrid>
      <w:tr w14:paraId="038E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34" w:type="dxa"/>
            <w:vAlign w:val="center"/>
          </w:tcPr>
          <w:p w14:paraId="4F28819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5203" w:type="dxa"/>
            <w:vAlign w:val="center"/>
          </w:tcPr>
          <w:p w14:paraId="1A6C97E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77F950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2AA8FC6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投标文件中的页码位置</w:t>
            </w:r>
          </w:p>
        </w:tc>
      </w:tr>
      <w:tr w14:paraId="14953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34" w:type="dxa"/>
            <w:vAlign w:val="center"/>
          </w:tcPr>
          <w:p w14:paraId="0195D98A">
            <w:pPr>
              <w:jc w:val="center"/>
              <w:rPr>
                <w:rFonts w:ascii="宋体" w:hAnsi="宋体" w:cs="宋体"/>
                <w:color w:val="auto"/>
                <w:sz w:val="24"/>
                <w:highlight w:val="none"/>
              </w:rPr>
            </w:pPr>
            <w:r>
              <w:rPr>
                <w:rFonts w:hint="eastAsia" w:ascii="宋体" w:hAnsi="宋体" w:cs="宋体"/>
                <w:color w:val="auto"/>
                <w:sz w:val="24"/>
                <w:highlight w:val="none"/>
              </w:rPr>
              <w:t>1</w:t>
            </w:r>
          </w:p>
        </w:tc>
        <w:tc>
          <w:tcPr>
            <w:tcW w:w="5203" w:type="dxa"/>
            <w:vAlign w:val="center"/>
          </w:tcPr>
          <w:p w14:paraId="15A398B8">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2E16648">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465C07DA">
            <w:pPr>
              <w:rPr>
                <w:rFonts w:ascii="宋体" w:hAnsi="宋体" w:cs="宋体"/>
                <w:color w:val="auto"/>
                <w:sz w:val="24"/>
                <w:highlight w:val="none"/>
              </w:rPr>
            </w:pPr>
            <w:r>
              <w:rPr>
                <w:rFonts w:hint="eastAsia" w:ascii="宋体" w:hAnsi="宋体" w:cs="宋体"/>
                <w:color w:val="auto"/>
                <w:sz w:val="24"/>
                <w:highlight w:val="none"/>
              </w:rPr>
              <w:t>见投标文件</w:t>
            </w:r>
          </w:p>
          <w:p w14:paraId="1CAFA13A">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F0E0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34" w:type="dxa"/>
            <w:vAlign w:val="center"/>
          </w:tcPr>
          <w:p w14:paraId="6626BF8A">
            <w:pPr>
              <w:jc w:val="center"/>
              <w:rPr>
                <w:rFonts w:ascii="宋体" w:hAnsi="宋体" w:cs="宋体"/>
                <w:color w:val="auto"/>
                <w:sz w:val="24"/>
                <w:highlight w:val="none"/>
              </w:rPr>
            </w:pPr>
            <w:r>
              <w:rPr>
                <w:rFonts w:hint="eastAsia" w:ascii="宋体" w:hAnsi="宋体" w:cs="宋体"/>
                <w:color w:val="auto"/>
                <w:sz w:val="24"/>
                <w:highlight w:val="none"/>
              </w:rPr>
              <w:t>2</w:t>
            </w:r>
          </w:p>
        </w:tc>
        <w:tc>
          <w:tcPr>
            <w:tcW w:w="5203" w:type="dxa"/>
            <w:shd w:val="clear" w:color="auto" w:fill="auto"/>
            <w:vAlign w:val="center"/>
          </w:tcPr>
          <w:p w14:paraId="52F5CA5D">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shd w:val="clear" w:color="auto" w:fill="auto"/>
            <w:vAlign w:val="center"/>
          </w:tcPr>
          <w:p w14:paraId="74922F1F">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shd w:val="clear" w:color="auto" w:fill="auto"/>
          </w:tcPr>
          <w:p w14:paraId="2E538A33">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A278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34" w:type="dxa"/>
            <w:vAlign w:val="center"/>
          </w:tcPr>
          <w:p w14:paraId="490C19B1">
            <w:pPr>
              <w:jc w:val="center"/>
              <w:rPr>
                <w:rFonts w:ascii="宋体" w:hAnsi="宋体" w:cs="宋体"/>
                <w:color w:val="auto"/>
                <w:sz w:val="24"/>
                <w:highlight w:val="none"/>
              </w:rPr>
            </w:pPr>
            <w:r>
              <w:rPr>
                <w:rFonts w:hint="eastAsia" w:ascii="宋体" w:hAnsi="宋体" w:cs="宋体"/>
                <w:color w:val="auto"/>
                <w:sz w:val="24"/>
                <w:highlight w:val="none"/>
              </w:rPr>
              <w:t>3</w:t>
            </w:r>
          </w:p>
        </w:tc>
        <w:tc>
          <w:tcPr>
            <w:tcW w:w="5203" w:type="dxa"/>
            <w:vAlign w:val="center"/>
          </w:tcPr>
          <w:p w14:paraId="75FFFBD4">
            <w:pPr>
              <w:spacing w:line="360" w:lineRule="auto"/>
              <w:rPr>
                <w:rFonts w:ascii="宋体" w:hAnsi="宋体" w:cs="宋体"/>
                <w:color w:val="auto"/>
                <w:sz w:val="24"/>
                <w:highlight w:val="none"/>
              </w:rPr>
            </w:pPr>
            <w:r>
              <w:rPr>
                <w:rFonts w:hint="eastAsia" w:ascii="宋体" w:hAnsi="宋体" w:cs="宋体"/>
                <w:snapToGrid w:val="0"/>
                <w:color w:val="auto"/>
                <w:sz w:val="24"/>
                <w:highlight w:val="none"/>
              </w:rPr>
              <w:t>其他实质性要求1：</w:t>
            </w:r>
          </w:p>
        </w:tc>
        <w:tc>
          <w:tcPr>
            <w:tcW w:w="2551" w:type="dxa"/>
            <w:vMerge w:val="restart"/>
            <w:vAlign w:val="center"/>
          </w:tcPr>
          <w:p w14:paraId="728DBA89">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35FA2F96">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A153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34" w:type="dxa"/>
            <w:vAlign w:val="center"/>
          </w:tcPr>
          <w:p w14:paraId="7BE26E5B">
            <w:pPr>
              <w:jc w:val="center"/>
              <w:rPr>
                <w:rFonts w:ascii="宋体" w:hAnsi="宋体" w:cs="宋体"/>
                <w:color w:val="auto"/>
                <w:sz w:val="24"/>
                <w:highlight w:val="none"/>
              </w:rPr>
            </w:pPr>
            <w:r>
              <w:rPr>
                <w:rFonts w:hint="eastAsia" w:ascii="宋体" w:hAnsi="宋体" w:cs="宋体"/>
                <w:color w:val="auto"/>
                <w:sz w:val="24"/>
                <w:highlight w:val="none"/>
              </w:rPr>
              <w:t>4</w:t>
            </w:r>
          </w:p>
        </w:tc>
        <w:tc>
          <w:tcPr>
            <w:tcW w:w="5203" w:type="dxa"/>
            <w:vAlign w:val="center"/>
          </w:tcPr>
          <w:p w14:paraId="52AA6071">
            <w:pPr>
              <w:spacing w:line="360" w:lineRule="auto"/>
              <w:rPr>
                <w:rFonts w:ascii="宋体" w:hAnsi="宋体" w:cs="宋体"/>
                <w:snapToGrid w:val="0"/>
                <w:color w:val="auto"/>
                <w:sz w:val="24"/>
                <w:highlight w:val="none"/>
              </w:rPr>
            </w:pPr>
            <w:r>
              <w:rPr>
                <w:rFonts w:hint="eastAsia" w:ascii="宋体" w:hAnsi="宋体" w:cs="宋体"/>
                <w:snapToGrid w:val="0"/>
                <w:color w:val="auto"/>
                <w:sz w:val="24"/>
                <w:highlight w:val="none"/>
              </w:rPr>
              <w:t>其他实质性要求2：</w:t>
            </w:r>
          </w:p>
        </w:tc>
        <w:tc>
          <w:tcPr>
            <w:tcW w:w="2551" w:type="dxa"/>
            <w:vMerge w:val="continue"/>
            <w:vAlign w:val="center"/>
          </w:tcPr>
          <w:p w14:paraId="5B744CCB">
            <w:pPr>
              <w:rPr>
                <w:rFonts w:ascii="宋体" w:hAnsi="宋体" w:cs="宋体"/>
                <w:color w:val="auto"/>
                <w:kern w:val="0"/>
                <w:sz w:val="24"/>
                <w:highlight w:val="none"/>
              </w:rPr>
            </w:pPr>
          </w:p>
        </w:tc>
        <w:tc>
          <w:tcPr>
            <w:tcW w:w="1418" w:type="dxa"/>
          </w:tcPr>
          <w:p w14:paraId="5600C79E">
            <w:pPr>
              <w:rPr>
                <w:rFonts w:ascii="宋体" w:hAnsi="宋体" w:cs="宋体"/>
                <w:color w:val="auto"/>
                <w:sz w:val="24"/>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815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34" w:type="dxa"/>
            <w:vAlign w:val="center"/>
          </w:tcPr>
          <w:p w14:paraId="0500238C">
            <w:pPr>
              <w:jc w:val="center"/>
              <w:rPr>
                <w:rFonts w:ascii="宋体" w:hAnsi="宋体" w:cs="宋体"/>
                <w:color w:val="auto"/>
                <w:sz w:val="24"/>
                <w:highlight w:val="none"/>
              </w:rPr>
            </w:pPr>
            <w:r>
              <w:rPr>
                <w:rFonts w:hint="eastAsia" w:ascii="宋体" w:hAnsi="宋体" w:cs="宋体"/>
                <w:color w:val="auto"/>
                <w:kern w:val="0"/>
                <w:sz w:val="24"/>
                <w:highlight w:val="none"/>
              </w:rPr>
              <w:t>…</w:t>
            </w:r>
          </w:p>
        </w:tc>
        <w:tc>
          <w:tcPr>
            <w:tcW w:w="5203" w:type="dxa"/>
            <w:vAlign w:val="center"/>
          </w:tcPr>
          <w:p w14:paraId="096A8214">
            <w:pPr>
              <w:spacing w:line="360" w:lineRule="auto"/>
              <w:rPr>
                <w:rFonts w:ascii="宋体" w:hAnsi="宋体" w:cs="宋体"/>
                <w:color w:val="auto"/>
                <w:sz w:val="24"/>
                <w:highlight w:val="none"/>
              </w:rPr>
            </w:pPr>
            <w:r>
              <w:rPr>
                <w:rFonts w:hint="eastAsia" w:ascii="宋体" w:hAnsi="宋体" w:cs="宋体"/>
                <w:snapToGrid w:val="0"/>
                <w:color w:val="auto"/>
                <w:sz w:val="24"/>
                <w:highlight w:val="none"/>
              </w:rPr>
              <w:t>其他实质性要求</w:t>
            </w:r>
            <w:r>
              <w:rPr>
                <w:rFonts w:hint="eastAsia" w:ascii="宋体" w:hAnsi="宋体" w:cs="宋体"/>
                <w:color w:val="auto"/>
                <w:kern w:val="0"/>
                <w:sz w:val="24"/>
                <w:highlight w:val="none"/>
              </w:rPr>
              <w:t>…</w:t>
            </w:r>
            <w:r>
              <w:rPr>
                <w:rFonts w:hint="eastAsia" w:ascii="宋体" w:hAnsi="宋体" w:cs="宋体"/>
                <w:snapToGrid w:val="0"/>
                <w:color w:val="auto"/>
                <w:sz w:val="24"/>
                <w:highlight w:val="none"/>
              </w:rPr>
              <w:t>：</w:t>
            </w:r>
          </w:p>
        </w:tc>
        <w:tc>
          <w:tcPr>
            <w:tcW w:w="2551" w:type="dxa"/>
            <w:vMerge w:val="continue"/>
            <w:vAlign w:val="center"/>
          </w:tcPr>
          <w:p w14:paraId="008D5FFB">
            <w:pPr>
              <w:rPr>
                <w:rFonts w:ascii="宋体" w:hAnsi="宋体" w:cs="宋体"/>
                <w:color w:val="auto"/>
                <w:sz w:val="24"/>
                <w:highlight w:val="none"/>
              </w:rPr>
            </w:pPr>
          </w:p>
        </w:tc>
        <w:tc>
          <w:tcPr>
            <w:tcW w:w="1418" w:type="dxa"/>
          </w:tcPr>
          <w:p w14:paraId="5CA4F2F9">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2F57AC8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注：1.按本格式和要求提供。</w:t>
      </w:r>
    </w:p>
    <w:p w14:paraId="3F2572DC">
      <w:pPr>
        <w:spacing w:line="360" w:lineRule="auto"/>
        <w:ind w:right="420"/>
        <w:rPr>
          <w:rFonts w:ascii="宋体" w:hAnsi="宋体" w:cs="宋体"/>
          <w:b/>
          <w:color w:val="auto"/>
          <w:kern w:val="0"/>
          <w:sz w:val="32"/>
          <w:szCs w:val="32"/>
          <w:highlight w:val="none"/>
        </w:rPr>
      </w:pPr>
      <w:r>
        <w:rPr>
          <w:rFonts w:hint="eastAsia" w:ascii="宋体" w:hAnsi="宋体" w:cs="宋体"/>
          <w:b/>
          <w:bCs/>
          <w:color w:val="auto"/>
          <w:sz w:val="24"/>
          <w:highlight w:val="none"/>
        </w:rPr>
        <w:t>2.招标文件中实质性要求必须明确响应。</w:t>
      </w:r>
    </w:p>
    <w:p w14:paraId="4C6BB8B5">
      <w:pPr>
        <w:spacing w:line="360" w:lineRule="auto"/>
        <w:ind w:right="420"/>
        <w:rPr>
          <w:rFonts w:ascii="宋体" w:hAnsi="宋体" w:cs="宋体"/>
          <w:color w:val="auto"/>
          <w:sz w:val="24"/>
          <w:highlight w:val="none"/>
        </w:rPr>
      </w:pPr>
    </w:p>
    <w:p w14:paraId="03206E14">
      <w:pPr>
        <w:jc w:val="center"/>
        <w:rPr>
          <w:rFonts w:ascii="宋体" w:hAnsi="宋体" w:cs="宋体"/>
          <w:b/>
          <w:color w:val="auto"/>
          <w:kern w:val="0"/>
          <w:sz w:val="32"/>
          <w:szCs w:val="32"/>
          <w:highlight w:val="none"/>
        </w:rPr>
      </w:pPr>
    </w:p>
    <w:p w14:paraId="304834F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68F24EAA">
      <w:pPr>
        <w:jc w:val="center"/>
        <w:rPr>
          <w:rFonts w:ascii="宋体" w:hAnsi="宋体" w:cs="宋体"/>
          <w:b/>
          <w:color w:val="auto"/>
          <w:kern w:val="0"/>
          <w:sz w:val="32"/>
          <w:szCs w:val="32"/>
          <w:highlight w:val="none"/>
        </w:rPr>
      </w:pPr>
    </w:p>
    <w:p w14:paraId="684C8A4E">
      <w:pPr>
        <w:jc w:val="center"/>
        <w:rPr>
          <w:rFonts w:ascii="宋体" w:hAnsi="宋体" w:cs="宋体"/>
          <w:b/>
          <w:color w:val="auto"/>
          <w:kern w:val="0"/>
          <w:sz w:val="32"/>
          <w:szCs w:val="32"/>
          <w:highlight w:val="none"/>
        </w:rPr>
      </w:pPr>
    </w:p>
    <w:p w14:paraId="4ED08E0F">
      <w:pPr>
        <w:jc w:val="center"/>
        <w:rPr>
          <w:rFonts w:ascii="宋体" w:hAnsi="宋体" w:cs="宋体"/>
          <w:b/>
          <w:color w:val="auto"/>
          <w:kern w:val="0"/>
          <w:sz w:val="32"/>
          <w:szCs w:val="32"/>
          <w:highlight w:val="none"/>
        </w:rPr>
      </w:pPr>
    </w:p>
    <w:p w14:paraId="7891FAB3">
      <w:pPr>
        <w:jc w:val="center"/>
        <w:rPr>
          <w:rFonts w:ascii="宋体" w:hAnsi="宋体" w:cs="宋体"/>
          <w:b/>
          <w:color w:val="auto"/>
          <w:kern w:val="0"/>
          <w:sz w:val="32"/>
          <w:szCs w:val="32"/>
          <w:highlight w:val="none"/>
        </w:rPr>
      </w:pPr>
    </w:p>
    <w:p w14:paraId="4BC98759">
      <w:pPr>
        <w:jc w:val="center"/>
        <w:rPr>
          <w:rFonts w:ascii="宋体" w:hAnsi="宋体" w:cs="宋体"/>
          <w:b/>
          <w:color w:val="auto"/>
          <w:kern w:val="0"/>
          <w:sz w:val="32"/>
          <w:szCs w:val="32"/>
          <w:highlight w:val="none"/>
        </w:rPr>
      </w:pPr>
    </w:p>
    <w:p w14:paraId="3B9BB727">
      <w:pPr>
        <w:jc w:val="center"/>
        <w:rPr>
          <w:rFonts w:ascii="宋体" w:hAnsi="宋体" w:cs="宋体"/>
          <w:b/>
          <w:color w:val="auto"/>
          <w:kern w:val="0"/>
          <w:sz w:val="32"/>
          <w:szCs w:val="32"/>
          <w:highlight w:val="none"/>
        </w:rPr>
      </w:pPr>
    </w:p>
    <w:p w14:paraId="2CC4F176">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F3AF169">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五、评标标准相应的商务技术资料</w:t>
      </w:r>
    </w:p>
    <w:p w14:paraId="3BCA0029">
      <w:pPr>
        <w:pStyle w:val="16"/>
        <w:spacing w:line="360" w:lineRule="auto"/>
        <w:ind w:firstLine="0"/>
        <w:rPr>
          <w:rFonts w:hAnsi="宋体" w:cs="宋体"/>
          <w:bCs/>
          <w:color w:val="auto"/>
          <w:kern w:val="0"/>
          <w:sz w:val="21"/>
          <w:szCs w:val="21"/>
          <w:highlight w:val="none"/>
        </w:rPr>
      </w:pPr>
    </w:p>
    <w:p w14:paraId="4EF86D7C">
      <w:pPr>
        <w:pStyle w:val="16"/>
        <w:spacing w:line="360" w:lineRule="auto"/>
        <w:ind w:firstLine="0"/>
        <w:rPr>
          <w:rFonts w:hAnsi="宋体" w:cs="宋体"/>
          <w:bCs/>
          <w:color w:val="auto"/>
          <w:kern w:val="0"/>
          <w:sz w:val="24"/>
          <w:szCs w:val="24"/>
          <w:highlight w:val="none"/>
        </w:rPr>
      </w:pPr>
      <w:r>
        <w:rPr>
          <w:rFonts w:hint="eastAsia" w:hAnsi="宋体" w:cs="宋体"/>
          <w:bCs/>
          <w:color w:val="auto"/>
          <w:kern w:val="0"/>
          <w:sz w:val="24"/>
          <w:szCs w:val="24"/>
          <w:highlight w:val="none"/>
        </w:rPr>
        <w:t>项目名称：</w:t>
      </w:r>
    </w:p>
    <w:p w14:paraId="11499D77">
      <w:pPr>
        <w:pStyle w:val="16"/>
        <w:spacing w:line="360" w:lineRule="auto"/>
        <w:ind w:firstLine="0"/>
        <w:rPr>
          <w:color w:val="auto"/>
          <w:sz w:val="24"/>
          <w:szCs w:val="24"/>
          <w:highlight w:val="none"/>
        </w:rPr>
      </w:pPr>
      <w:r>
        <w:rPr>
          <w:rFonts w:hint="eastAsia" w:hAnsi="宋体" w:cs="宋体"/>
          <w:bCs/>
          <w:color w:val="auto"/>
          <w:sz w:val="24"/>
          <w:szCs w:val="24"/>
          <w:highlight w:val="none"/>
        </w:rPr>
        <w:t>项目编号：</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7698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5BC7FB94">
            <w:pPr>
              <w:snapToGrid w:val="0"/>
              <w:spacing w:line="600" w:lineRule="exact"/>
              <w:rPr>
                <w:rFonts w:ascii="宋体" w:hAnsi="宋体" w:cs="宋体"/>
                <w:color w:val="auto"/>
                <w:sz w:val="24"/>
                <w:highlight w:val="none"/>
              </w:rPr>
            </w:pPr>
            <w:r>
              <w:rPr>
                <w:rFonts w:hint="eastAsia" w:ascii="宋体" w:hAnsi="宋体" w:cs="宋体"/>
                <w:color w:val="auto"/>
                <w:sz w:val="24"/>
                <w:highlight w:val="none"/>
                <w:lang w:bidi="ar"/>
              </w:rPr>
              <w:t>序号</w:t>
            </w:r>
          </w:p>
        </w:tc>
        <w:tc>
          <w:tcPr>
            <w:tcW w:w="5465" w:type="dxa"/>
            <w:tcBorders>
              <w:top w:val="single" w:color="auto" w:sz="4" w:space="0"/>
              <w:left w:val="nil"/>
              <w:bottom w:val="single" w:color="auto" w:sz="4" w:space="0"/>
              <w:right w:val="single" w:color="auto" w:sz="4" w:space="0"/>
            </w:tcBorders>
          </w:tcPr>
          <w:p w14:paraId="3AD1E712">
            <w:pPr>
              <w:snapToGrid w:val="0"/>
              <w:spacing w:line="60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lang w:bidi="ar"/>
              </w:rPr>
              <w:t>投标文件中评标标准相应的商务技术资料目录*</w:t>
            </w:r>
          </w:p>
        </w:tc>
        <w:tc>
          <w:tcPr>
            <w:tcW w:w="3046" w:type="dxa"/>
            <w:tcBorders>
              <w:top w:val="single" w:color="auto" w:sz="4" w:space="0"/>
              <w:left w:val="nil"/>
              <w:bottom w:val="single" w:color="auto" w:sz="4" w:space="0"/>
              <w:right w:val="single" w:color="auto" w:sz="4" w:space="0"/>
            </w:tcBorders>
          </w:tcPr>
          <w:p w14:paraId="5B0D7DF8">
            <w:pPr>
              <w:snapToGrid w:val="0"/>
              <w:spacing w:line="60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lang w:bidi="ar"/>
              </w:rPr>
              <w:t>投标文件中的页码位置</w:t>
            </w:r>
          </w:p>
        </w:tc>
      </w:tr>
      <w:tr w14:paraId="51A36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008F5ECE">
            <w:pPr>
              <w:snapToGrid w:val="0"/>
              <w:spacing w:line="600" w:lineRule="exact"/>
              <w:rPr>
                <w:rFonts w:ascii="宋体" w:hAnsi="宋体" w:cs="宋体"/>
                <w:color w:val="auto"/>
                <w:sz w:val="24"/>
                <w:highlight w:val="none"/>
              </w:rPr>
            </w:pPr>
            <w:r>
              <w:rPr>
                <w:rFonts w:hint="eastAsia" w:ascii="宋体" w:hAnsi="宋体" w:cs="宋体"/>
                <w:color w:val="auto"/>
                <w:sz w:val="24"/>
                <w:highlight w:val="none"/>
                <w:lang w:bidi="ar"/>
              </w:rPr>
              <w:t>1</w:t>
            </w:r>
          </w:p>
        </w:tc>
        <w:tc>
          <w:tcPr>
            <w:tcW w:w="5465" w:type="dxa"/>
            <w:tcBorders>
              <w:top w:val="single" w:color="auto" w:sz="4" w:space="0"/>
              <w:left w:val="nil"/>
              <w:bottom w:val="single" w:color="auto" w:sz="4" w:space="0"/>
              <w:right w:val="single" w:color="auto" w:sz="4" w:space="0"/>
            </w:tcBorders>
          </w:tcPr>
          <w:p w14:paraId="6D08B52D">
            <w:pPr>
              <w:snapToGrid w:val="0"/>
              <w:spacing w:line="60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lang w:bidi="ar"/>
              </w:rPr>
              <w:t>XXX</w:t>
            </w:r>
          </w:p>
        </w:tc>
        <w:tc>
          <w:tcPr>
            <w:tcW w:w="3046" w:type="dxa"/>
            <w:tcBorders>
              <w:top w:val="single" w:color="auto" w:sz="4" w:space="0"/>
              <w:left w:val="nil"/>
              <w:bottom w:val="single" w:color="auto" w:sz="4" w:space="0"/>
              <w:right w:val="single" w:color="auto" w:sz="4" w:space="0"/>
            </w:tcBorders>
          </w:tcPr>
          <w:p w14:paraId="6085D1C4">
            <w:pPr>
              <w:spacing w:line="60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14:paraId="699B8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060427DF">
            <w:pPr>
              <w:snapToGrid w:val="0"/>
              <w:spacing w:line="600" w:lineRule="exact"/>
              <w:rPr>
                <w:rFonts w:ascii="宋体" w:hAnsi="宋体" w:cs="宋体"/>
                <w:color w:val="auto"/>
                <w:sz w:val="24"/>
                <w:highlight w:val="none"/>
              </w:rPr>
            </w:pPr>
            <w:r>
              <w:rPr>
                <w:rFonts w:hint="eastAsia" w:ascii="宋体" w:hAnsi="宋体" w:cs="宋体"/>
                <w:color w:val="auto"/>
                <w:sz w:val="24"/>
                <w:highlight w:val="none"/>
                <w:lang w:bidi="ar"/>
              </w:rPr>
              <w:t>2</w:t>
            </w:r>
          </w:p>
        </w:tc>
        <w:tc>
          <w:tcPr>
            <w:tcW w:w="5465" w:type="dxa"/>
            <w:tcBorders>
              <w:top w:val="single" w:color="auto" w:sz="4" w:space="0"/>
              <w:left w:val="nil"/>
              <w:bottom w:val="single" w:color="auto" w:sz="4" w:space="0"/>
              <w:right w:val="single" w:color="auto" w:sz="4" w:space="0"/>
            </w:tcBorders>
          </w:tcPr>
          <w:p w14:paraId="45D75E63">
            <w:pPr>
              <w:snapToGrid w:val="0"/>
              <w:spacing w:line="60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lang w:bidi="ar"/>
              </w:rPr>
              <w:t>XXX</w:t>
            </w:r>
          </w:p>
        </w:tc>
        <w:tc>
          <w:tcPr>
            <w:tcW w:w="3046" w:type="dxa"/>
            <w:tcBorders>
              <w:top w:val="single" w:color="auto" w:sz="4" w:space="0"/>
              <w:left w:val="nil"/>
              <w:bottom w:val="single" w:color="auto" w:sz="4" w:space="0"/>
              <w:right w:val="single" w:color="auto" w:sz="4" w:space="0"/>
            </w:tcBorders>
          </w:tcPr>
          <w:p w14:paraId="08E37160">
            <w:pPr>
              <w:spacing w:line="60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r w14:paraId="1E38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tcPr>
          <w:p w14:paraId="58001930">
            <w:pPr>
              <w:snapToGrid w:val="0"/>
              <w:spacing w:line="600" w:lineRule="exact"/>
              <w:rPr>
                <w:rFonts w:ascii="宋体" w:hAnsi="宋体" w:cs="宋体"/>
                <w:color w:val="auto"/>
                <w:sz w:val="24"/>
                <w:highlight w:val="none"/>
              </w:rPr>
            </w:pPr>
            <w:r>
              <w:rPr>
                <w:rFonts w:hint="eastAsia" w:ascii="宋体" w:hAnsi="宋体" w:cs="宋体"/>
                <w:color w:val="auto"/>
                <w:kern w:val="0"/>
                <w:sz w:val="24"/>
                <w:highlight w:val="none"/>
                <w:lang w:bidi="ar"/>
              </w:rPr>
              <w:t>……</w:t>
            </w:r>
          </w:p>
        </w:tc>
        <w:tc>
          <w:tcPr>
            <w:tcW w:w="5465" w:type="dxa"/>
            <w:tcBorders>
              <w:top w:val="single" w:color="auto" w:sz="4" w:space="0"/>
              <w:left w:val="nil"/>
              <w:bottom w:val="single" w:color="auto" w:sz="4" w:space="0"/>
              <w:right w:val="single" w:color="auto" w:sz="4" w:space="0"/>
            </w:tcBorders>
          </w:tcPr>
          <w:p w14:paraId="5CB7C8E2">
            <w:pPr>
              <w:snapToGrid w:val="0"/>
              <w:spacing w:line="600" w:lineRule="exact"/>
              <w:ind w:firstLine="480" w:firstLineChars="200"/>
              <w:jc w:val="center"/>
              <w:rPr>
                <w:rFonts w:ascii="宋体" w:hAnsi="宋体" w:cs="宋体"/>
                <w:color w:val="auto"/>
                <w:sz w:val="24"/>
                <w:highlight w:val="none"/>
              </w:rPr>
            </w:pPr>
          </w:p>
        </w:tc>
        <w:tc>
          <w:tcPr>
            <w:tcW w:w="3046" w:type="dxa"/>
            <w:tcBorders>
              <w:top w:val="single" w:color="auto" w:sz="4" w:space="0"/>
              <w:left w:val="nil"/>
              <w:bottom w:val="single" w:color="auto" w:sz="4" w:space="0"/>
              <w:right w:val="single" w:color="auto" w:sz="4" w:space="0"/>
            </w:tcBorders>
          </w:tcPr>
          <w:p w14:paraId="6D78C14D">
            <w:pPr>
              <w:spacing w:line="60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lang w:bidi="ar"/>
              </w:rPr>
              <w:t>见投标文件第</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页</w:t>
            </w:r>
          </w:p>
        </w:tc>
      </w:tr>
    </w:tbl>
    <w:p w14:paraId="7D58258D">
      <w:pPr>
        <w:jc w:val="center"/>
        <w:rPr>
          <w:rFonts w:ascii="宋体" w:hAnsi="宋体" w:cs="宋体"/>
          <w:b/>
          <w:color w:val="auto"/>
          <w:kern w:val="0"/>
          <w:sz w:val="32"/>
          <w:szCs w:val="32"/>
          <w:highlight w:val="none"/>
        </w:rPr>
      </w:pPr>
    </w:p>
    <w:p w14:paraId="73A5951E">
      <w:pPr>
        <w:jc w:val="center"/>
        <w:rPr>
          <w:rFonts w:ascii="宋体" w:hAnsi="宋体" w:cs="宋体"/>
          <w:b/>
          <w:color w:val="auto"/>
          <w:kern w:val="0"/>
          <w:sz w:val="32"/>
          <w:szCs w:val="32"/>
          <w:highlight w:val="none"/>
        </w:rPr>
      </w:pPr>
    </w:p>
    <w:p w14:paraId="5A2D00D7">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353CF28">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p w14:paraId="46312E64">
      <w:pPr>
        <w:pStyle w:val="16"/>
        <w:spacing w:line="360" w:lineRule="auto"/>
        <w:ind w:firstLine="0"/>
        <w:rPr>
          <w:rFonts w:hAnsi="宋体" w:cs="宋体"/>
          <w:bCs/>
          <w:color w:val="auto"/>
          <w:kern w:val="0"/>
          <w:sz w:val="21"/>
          <w:szCs w:val="21"/>
          <w:highlight w:val="none"/>
        </w:rPr>
      </w:pPr>
    </w:p>
    <w:p w14:paraId="4EC9F5CF">
      <w:pPr>
        <w:pStyle w:val="16"/>
        <w:spacing w:line="360" w:lineRule="auto"/>
        <w:ind w:firstLine="0"/>
        <w:rPr>
          <w:rFonts w:hAnsi="宋体" w:cs="宋体"/>
          <w:bCs/>
          <w:color w:val="auto"/>
          <w:kern w:val="0"/>
          <w:sz w:val="24"/>
          <w:szCs w:val="24"/>
          <w:highlight w:val="none"/>
        </w:rPr>
      </w:pPr>
      <w:r>
        <w:rPr>
          <w:rFonts w:hint="eastAsia" w:hAnsi="宋体" w:cs="宋体"/>
          <w:bCs/>
          <w:color w:val="auto"/>
          <w:kern w:val="0"/>
          <w:sz w:val="24"/>
          <w:szCs w:val="24"/>
          <w:highlight w:val="none"/>
        </w:rPr>
        <w:t>项目名称：</w:t>
      </w:r>
    </w:p>
    <w:p w14:paraId="23786CA8">
      <w:pPr>
        <w:pStyle w:val="16"/>
        <w:spacing w:line="360" w:lineRule="auto"/>
        <w:ind w:firstLine="0"/>
        <w:rPr>
          <w:color w:val="auto"/>
          <w:sz w:val="24"/>
          <w:szCs w:val="24"/>
          <w:highlight w:val="none"/>
        </w:rPr>
      </w:pPr>
      <w:r>
        <w:rPr>
          <w:rFonts w:hint="eastAsia" w:hAnsi="宋体" w:cs="宋体"/>
          <w:bCs/>
          <w:color w:val="auto"/>
          <w:sz w:val="24"/>
          <w:szCs w:val="24"/>
          <w:highlight w:val="none"/>
        </w:rPr>
        <w:t>项目编号：</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FC0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852DFF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6BC2C2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7887E0C0">
            <w:pPr>
              <w:spacing w:line="360" w:lineRule="auto"/>
              <w:jc w:val="center"/>
              <w:rPr>
                <w:rFonts w:ascii="宋体" w:hAnsi="宋体" w:cs="宋体"/>
                <w:b/>
                <w:color w:val="auto"/>
                <w:sz w:val="24"/>
                <w:highlight w:val="none"/>
              </w:rPr>
            </w:pPr>
          </w:p>
          <w:p w14:paraId="3531108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1254BE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0860CA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FB5C62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E3D5B00">
            <w:pPr>
              <w:spacing w:line="360" w:lineRule="auto"/>
              <w:jc w:val="center"/>
              <w:rPr>
                <w:rFonts w:ascii="宋体" w:hAnsi="宋体" w:cs="宋体"/>
                <w:b/>
                <w:color w:val="auto"/>
                <w:sz w:val="24"/>
                <w:highlight w:val="none"/>
              </w:rPr>
            </w:pPr>
          </w:p>
          <w:p w14:paraId="231A108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183E9E88">
            <w:pPr>
              <w:spacing w:line="360" w:lineRule="auto"/>
              <w:jc w:val="center"/>
              <w:rPr>
                <w:rFonts w:ascii="宋体" w:hAnsi="宋体" w:cs="宋体"/>
                <w:b/>
                <w:color w:val="auto"/>
                <w:sz w:val="24"/>
                <w:highlight w:val="none"/>
              </w:rPr>
            </w:pPr>
          </w:p>
        </w:tc>
      </w:tr>
      <w:tr w14:paraId="01991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EA401A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A267FAA">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7CB6A1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C13504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6A692CF">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EF33E8C">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3518334">
            <w:pPr>
              <w:spacing w:line="360" w:lineRule="auto"/>
              <w:jc w:val="center"/>
              <w:rPr>
                <w:rFonts w:ascii="宋体" w:hAnsi="宋体" w:cs="宋体"/>
                <w:color w:val="auto"/>
                <w:sz w:val="24"/>
                <w:highlight w:val="none"/>
              </w:rPr>
            </w:pPr>
          </w:p>
        </w:tc>
      </w:tr>
      <w:tr w14:paraId="2D4B2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A372C2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25B0F7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47D3455">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8C071AA">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2691DC0">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9FFEB9D">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41822D4">
            <w:pPr>
              <w:spacing w:line="360" w:lineRule="auto"/>
              <w:jc w:val="center"/>
              <w:rPr>
                <w:rFonts w:ascii="宋体" w:hAnsi="宋体" w:cs="宋体"/>
                <w:color w:val="auto"/>
                <w:sz w:val="24"/>
                <w:highlight w:val="none"/>
              </w:rPr>
            </w:pPr>
          </w:p>
        </w:tc>
      </w:tr>
      <w:tr w14:paraId="3C20D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D7DAA2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2C4AB4F">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8A82F36">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E52200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44FD644">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D65EC3B">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EA14AC6">
            <w:pPr>
              <w:spacing w:line="360" w:lineRule="auto"/>
              <w:jc w:val="center"/>
              <w:rPr>
                <w:rFonts w:ascii="宋体" w:hAnsi="宋体" w:cs="宋体"/>
                <w:color w:val="auto"/>
                <w:sz w:val="24"/>
                <w:highlight w:val="none"/>
              </w:rPr>
            </w:pPr>
          </w:p>
        </w:tc>
      </w:tr>
    </w:tbl>
    <w:p w14:paraId="5CAC3BA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DD5EF18">
      <w:pPr>
        <w:jc w:val="center"/>
        <w:rPr>
          <w:rFonts w:ascii="宋体" w:hAnsi="宋体" w:cs="宋体"/>
          <w:b/>
          <w:color w:val="auto"/>
          <w:kern w:val="0"/>
          <w:sz w:val="32"/>
          <w:szCs w:val="32"/>
          <w:highlight w:val="none"/>
        </w:rPr>
      </w:pPr>
    </w:p>
    <w:p w14:paraId="246AE341">
      <w:pPr>
        <w:jc w:val="center"/>
        <w:rPr>
          <w:rFonts w:ascii="宋体" w:hAnsi="宋体" w:cs="宋体"/>
          <w:b/>
          <w:color w:val="auto"/>
          <w:kern w:val="0"/>
          <w:sz w:val="32"/>
          <w:szCs w:val="32"/>
          <w:highlight w:val="none"/>
        </w:rPr>
      </w:pPr>
    </w:p>
    <w:p w14:paraId="4EE58801">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00131D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p w14:paraId="54B0068C">
      <w:pPr>
        <w:pStyle w:val="16"/>
        <w:spacing w:line="360" w:lineRule="auto"/>
        <w:ind w:firstLine="0"/>
        <w:rPr>
          <w:rFonts w:hAnsi="宋体" w:cs="宋体"/>
          <w:bCs/>
          <w:color w:val="auto"/>
          <w:kern w:val="0"/>
          <w:sz w:val="21"/>
          <w:szCs w:val="21"/>
          <w:highlight w:val="none"/>
        </w:rPr>
      </w:pPr>
    </w:p>
    <w:p w14:paraId="4E6B7327">
      <w:pPr>
        <w:pStyle w:val="16"/>
        <w:spacing w:line="360" w:lineRule="auto"/>
        <w:ind w:firstLine="0"/>
        <w:rPr>
          <w:rFonts w:hAnsi="宋体" w:cs="宋体"/>
          <w:bCs/>
          <w:color w:val="auto"/>
          <w:kern w:val="0"/>
          <w:sz w:val="24"/>
          <w:szCs w:val="24"/>
          <w:highlight w:val="none"/>
        </w:rPr>
      </w:pPr>
      <w:r>
        <w:rPr>
          <w:rFonts w:hint="eastAsia" w:hAnsi="宋体" w:cs="宋体"/>
          <w:bCs/>
          <w:color w:val="auto"/>
          <w:kern w:val="0"/>
          <w:sz w:val="24"/>
          <w:szCs w:val="24"/>
          <w:highlight w:val="none"/>
        </w:rPr>
        <w:t>项目名称：</w:t>
      </w:r>
    </w:p>
    <w:p w14:paraId="4121BBD7">
      <w:pPr>
        <w:pStyle w:val="16"/>
        <w:spacing w:line="360" w:lineRule="auto"/>
        <w:ind w:firstLine="0"/>
        <w:rPr>
          <w:rFonts w:hAnsi="宋体" w:cs="宋体"/>
          <w:bCs/>
          <w:color w:val="auto"/>
          <w:sz w:val="24"/>
          <w:szCs w:val="24"/>
          <w:highlight w:val="none"/>
        </w:rPr>
      </w:pPr>
      <w:r>
        <w:rPr>
          <w:rFonts w:hint="eastAsia" w:hAnsi="宋体" w:cs="宋体"/>
          <w:bCs/>
          <w:color w:val="auto"/>
          <w:sz w:val="24"/>
          <w:szCs w:val="24"/>
          <w:highlight w:val="none"/>
        </w:rPr>
        <w:t>项目编号：</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1FB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959" w:type="dxa"/>
            <w:vAlign w:val="center"/>
          </w:tcPr>
          <w:p w14:paraId="583F9784">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center"/>
          </w:tcPr>
          <w:p w14:paraId="6D6EE0F0">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center"/>
          </w:tcPr>
          <w:p w14:paraId="2556ABD7">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center"/>
          </w:tcPr>
          <w:p w14:paraId="0607111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35B1C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2E73924">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center"/>
          </w:tcPr>
          <w:p w14:paraId="1C6B5DF2">
            <w:pPr>
              <w:jc w:val="center"/>
              <w:rPr>
                <w:rFonts w:ascii="宋体" w:hAnsi="宋体" w:cs="宋体"/>
                <w:b/>
                <w:color w:val="auto"/>
                <w:kern w:val="0"/>
                <w:sz w:val="32"/>
                <w:szCs w:val="32"/>
                <w:highlight w:val="none"/>
              </w:rPr>
            </w:pPr>
          </w:p>
        </w:tc>
        <w:tc>
          <w:tcPr>
            <w:tcW w:w="3546" w:type="dxa"/>
            <w:vAlign w:val="center"/>
          </w:tcPr>
          <w:p w14:paraId="5E26769B">
            <w:pPr>
              <w:jc w:val="center"/>
              <w:rPr>
                <w:rFonts w:ascii="宋体" w:hAnsi="宋体" w:cs="宋体"/>
                <w:b/>
                <w:color w:val="auto"/>
                <w:kern w:val="0"/>
                <w:sz w:val="32"/>
                <w:szCs w:val="32"/>
                <w:highlight w:val="none"/>
              </w:rPr>
            </w:pPr>
          </w:p>
        </w:tc>
        <w:tc>
          <w:tcPr>
            <w:tcW w:w="1276" w:type="dxa"/>
            <w:vAlign w:val="center"/>
          </w:tcPr>
          <w:p w14:paraId="7E380B5B">
            <w:pPr>
              <w:jc w:val="center"/>
              <w:rPr>
                <w:rFonts w:ascii="宋体" w:hAnsi="宋体" w:cs="宋体"/>
                <w:b/>
                <w:color w:val="auto"/>
                <w:kern w:val="0"/>
                <w:sz w:val="32"/>
                <w:szCs w:val="32"/>
                <w:highlight w:val="none"/>
              </w:rPr>
            </w:pPr>
          </w:p>
        </w:tc>
      </w:tr>
      <w:tr w14:paraId="14EAE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CEA7270">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center"/>
          </w:tcPr>
          <w:p w14:paraId="1697AA3D">
            <w:pPr>
              <w:jc w:val="center"/>
              <w:rPr>
                <w:rFonts w:ascii="宋体" w:hAnsi="宋体" w:cs="宋体"/>
                <w:b/>
                <w:color w:val="auto"/>
                <w:kern w:val="0"/>
                <w:sz w:val="32"/>
                <w:szCs w:val="32"/>
                <w:highlight w:val="none"/>
              </w:rPr>
            </w:pPr>
          </w:p>
        </w:tc>
        <w:tc>
          <w:tcPr>
            <w:tcW w:w="3546" w:type="dxa"/>
            <w:vAlign w:val="center"/>
          </w:tcPr>
          <w:p w14:paraId="3782A2A7">
            <w:pPr>
              <w:jc w:val="center"/>
              <w:rPr>
                <w:rFonts w:ascii="宋体" w:hAnsi="宋体" w:cs="宋体"/>
                <w:b/>
                <w:color w:val="auto"/>
                <w:kern w:val="0"/>
                <w:sz w:val="32"/>
                <w:szCs w:val="32"/>
                <w:highlight w:val="none"/>
              </w:rPr>
            </w:pPr>
          </w:p>
        </w:tc>
        <w:tc>
          <w:tcPr>
            <w:tcW w:w="1276" w:type="dxa"/>
            <w:vAlign w:val="center"/>
          </w:tcPr>
          <w:p w14:paraId="0144B28F">
            <w:pPr>
              <w:jc w:val="center"/>
              <w:rPr>
                <w:rFonts w:ascii="宋体" w:hAnsi="宋体" w:cs="宋体"/>
                <w:b/>
                <w:color w:val="auto"/>
                <w:kern w:val="0"/>
                <w:sz w:val="32"/>
                <w:szCs w:val="32"/>
                <w:highlight w:val="none"/>
              </w:rPr>
            </w:pPr>
          </w:p>
        </w:tc>
      </w:tr>
      <w:tr w14:paraId="6807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C6CF58B">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center"/>
          </w:tcPr>
          <w:p w14:paraId="1020292F">
            <w:pPr>
              <w:jc w:val="center"/>
              <w:rPr>
                <w:rFonts w:ascii="宋体" w:hAnsi="宋体" w:cs="宋体"/>
                <w:b/>
                <w:color w:val="auto"/>
                <w:kern w:val="0"/>
                <w:sz w:val="32"/>
                <w:szCs w:val="32"/>
                <w:highlight w:val="none"/>
              </w:rPr>
            </w:pPr>
          </w:p>
        </w:tc>
        <w:tc>
          <w:tcPr>
            <w:tcW w:w="3546" w:type="dxa"/>
            <w:vAlign w:val="center"/>
          </w:tcPr>
          <w:p w14:paraId="3242612E">
            <w:pPr>
              <w:jc w:val="center"/>
              <w:rPr>
                <w:rFonts w:ascii="宋体" w:hAnsi="宋体" w:cs="宋体"/>
                <w:b/>
                <w:color w:val="auto"/>
                <w:kern w:val="0"/>
                <w:sz w:val="32"/>
                <w:szCs w:val="32"/>
                <w:highlight w:val="none"/>
              </w:rPr>
            </w:pPr>
          </w:p>
        </w:tc>
        <w:tc>
          <w:tcPr>
            <w:tcW w:w="1276" w:type="dxa"/>
            <w:vAlign w:val="center"/>
          </w:tcPr>
          <w:p w14:paraId="7D8A0B69">
            <w:pPr>
              <w:jc w:val="center"/>
              <w:rPr>
                <w:rFonts w:ascii="宋体" w:hAnsi="宋体" w:cs="宋体"/>
                <w:b/>
                <w:color w:val="auto"/>
                <w:kern w:val="0"/>
                <w:sz w:val="32"/>
                <w:szCs w:val="32"/>
                <w:highlight w:val="none"/>
              </w:rPr>
            </w:pPr>
          </w:p>
        </w:tc>
      </w:tr>
    </w:tbl>
    <w:p w14:paraId="6FDBD3BE">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1B0EAF94">
      <w:pPr>
        <w:jc w:val="center"/>
        <w:rPr>
          <w:rFonts w:ascii="宋体" w:hAnsi="宋体" w:cs="宋体"/>
          <w:b/>
          <w:color w:val="auto"/>
          <w:kern w:val="0"/>
          <w:sz w:val="32"/>
          <w:szCs w:val="32"/>
          <w:highlight w:val="none"/>
        </w:rPr>
      </w:pPr>
    </w:p>
    <w:p w14:paraId="18A6C9C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注：1.按本格式和要求提供。</w:t>
      </w:r>
    </w:p>
    <w:p w14:paraId="35BB0142">
      <w:pPr>
        <w:pStyle w:val="89"/>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2.本表格所反映的偏离情况与“符合性审查资料”、“评标标准相应的商务技术资料”不一致的，以“符合性审查资料”、“评标标准相应的商务技术资料”为准。</w:t>
      </w:r>
    </w:p>
    <w:p w14:paraId="472DC0E9">
      <w:pPr>
        <w:pStyle w:val="89"/>
        <w:ind w:firstLine="48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3.投标人须保证：除商务技术偏离表列出的偏离外，投标人响应招标文件的全部非实质性要求。</w:t>
      </w:r>
    </w:p>
    <w:p w14:paraId="7B64E21A">
      <w:pPr>
        <w:widowControl/>
        <w:adjustRightInd/>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0D36B67C">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82619DE">
      <w:pPr>
        <w:snapToGrid w:val="0"/>
        <w:spacing w:line="360" w:lineRule="auto"/>
        <w:rPr>
          <w:rFonts w:ascii="宋体" w:hAnsi="宋体" w:cs="宋体"/>
          <w:color w:val="auto"/>
          <w:sz w:val="24"/>
          <w:highlight w:val="none"/>
        </w:rPr>
      </w:pPr>
    </w:p>
    <w:p w14:paraId="09D62175">
      <w:pPr>
        <w:snapToGrid w:val="0"/>
        <w:spacing w:line="360" w:lineRule="auto"/>
        <w:rPr>
          <w:rFonts w:ascii="宋体" w:hAnsi="宋体" w:cs="宋体"/>
          <w:b/>
          <w:bCs/>
          <w:color w:val="auto"/>
          <w:kern w:val="0"/>
          <w:sz w:val="24"/>
          <w:highlight w:val="none"/>
          <w:u w:val="single"/>
        </w:rPr>
      </w:pPr>
      <w:r>
        <w:rPr>
          <w:rFonts w:hint="eastAsia" w:ascii="宋体" w:hAnsi="宋体" w:cs="宋体"/>
          <w:b/>
          <w:bCs/>
          <w:color w:val="auto"/>
          <w:sz w:val="24"/>
          <w:highlight w:val="none"/>
          <w:u w:val="single"/>
          <w:lang w:eastAsia="zh-CN"/>
        </w:rPr>
        <w:t>浙江省食品药品检验研究院</w:t>
      </w:r>
      <w:r>
        <w:rPr>
          <w:rFonts w:hint="eastAsia" w:ascii="宋体" w:hAnsi="宋体" w:cs="宋体"/>
          <w:b/>
          <w:bCs/>
          <w:color w:val="auto"/>
          <w:kern w:val="0"/>
          <w:sz w:val="24"/>
          <w:highlight w:val="none"/>
          <w:u w:val="single"/>
          <w:lang w:val="zh-CN"/>
        </w:rPr>
        <w:t>：</w:t>
      </w:r>
    </w:p>
    <w:p w14:paraId="3E27A47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33479E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F5CF14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C8F7F3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5762A3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4C90730B">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5895DD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015C2F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5501F5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55240AC2">
      <w:pPr>
        <w:autoSpaceDE w:val="0"/>
        <w:autoSpaceDN w:val="0"/>
        <w:spacing w:line="360" w:lineRule="auto"/>
        <w:ind w:left="2"/>
        <w:jc w:val="left"/>
        <w:rPr>
          <w:rFonts w:ascii="宋体" w:hAnsi="宋体" w:cs="宋体"/>
          <w:color w:val="auto"/>
          <w:kern w:val="0"/>
          <w:sz w:val="24"/>
          <w:highlight w:val="none"/>
          <w:lang w:val="zh-CN"/>
        </w:rPr>
      </w:pPr>
    </w:p>
    <w:p w14:paraId="426F6D82">
      <w:pPr>
        <w:autoSpaceDE w:val="0"/>
        <w:autoSpaceDN w:val="0"/>
        <w:spacing w:line="360" w:lineRule="auto"/>
        <w:ind w:left="2"/>
        <w:jc w:val="left"/>
        <w:rPr>
          <w:rFonts w:ascii="宋体" w:hAnsi="宋体" w:cs="宋体"/>
          <w:color w:val="auto"/>
          <w:kern w:val="0"/>
          <w:sz w:val="24"/>
          <w:highlight w:val="none"/>
          <w:lang w:val="zh-CN"/>
        </w:rPr>
      </w:pPr>
    </w:p>
    <w:p w14:paraId="1B0E2132">
      <w:pPr>
        <w:autoSpaceDE w:val="0"/>
        <w:autoSpaceDN w:val="0"/>
        <w:spacing w:line="360" w:lineRule="auto"/>
        <w:ind w:left="2"/>
        <w:jc w:val="left"/>
        <w:rPr>
          <w:rFonts w:ascii="宋体" w:hAnsi="宋体" w:cs="宋体"/>
          <w:color w:val="auto"/>
          <w:kern w:val="0"/>
          <w:sz w:val="24"/>
          <w:highlight w:val="none"/>
          <w:lang w:val="zh-CN"/>
        </w:rPr>
      </w:pPr>
    </w:p>
    <w:p w14:paraId="294EE492">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C6F44E8">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DF8118C">
      <w:pPr>
        <w:spacing w:line="360" w:lineRule="auto"/>
        <w:jc w:val="center"/>
        <w:rPr>
          <w:rFonts w:ascii="宋体" w:hAnsi="宋体" w:cs="宋体"/>
          <w:b/>
          <w:bCs/>
          <w:color w:val="auto"/>
          <w:sz w:val="24"/>
          <w:highlight w:val="none"/>
        </w:rPr>
      </w:pPr>
    </w:p>
    <w:p w14:paraId="21F9BCC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1CB829B">
      <w:pPr>
        <w:spacing w:line="360" w:lineRule="auto"/>
        <w:jc w:val="center"/>
        <w:rPr>
          <w:rFonts w:ascii="宋体" w:hAnsi="宋体" w:cs="宋体"/>
          <w:b/>
          <w:bCs/>
          <w:color w:val="auto"/>
          <w:sz w:val="24"/>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7486725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5B6ADD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4340B1D">
      <w:pPr>
        <w:spacing w:line="360" w:lineRule="auto"/>
        <w:jc w:val="center"/>
        <w:outlineLvl w:val="0"/>
        <w:rPr>
          <w:rFonts w:ascii="宋体" w:hAnsi="宋体" w:cs="宋体"/>
          <w:b/>
          <w:color w:val="auto"/>
          <w:kern w:val="0"/>
          <w:sz w:val="36"/>
          <w:szCs w:val="36"/>
          <w:highlight w:val="none"/>
        </w:rPr>
      </w:pPr>
    </w:p>
    <w:p w14:paraId="767067AF">
      <w:pPr>
        <w:numPr>
          <w:ilvl w:val="0"/>
          <w:numId w:val="27"/>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w:t>
      </w:r>
    </w:p>
    <w:p w14:paraId="35E4DDC2">
      <w:pPr>
        <w:pStyle w:val="91"/>
        <w:rPr>
          <w:rFonts w:ascii="宋体" w:hAnsi="宋体" w:eastAsia="宋体" w:cs="宋体"/>
          <w:color w:val="auto"/>
          <w:highlight w:val="none"/>
        </w:rPr>
      </w:pPr>
    </w:p>
    <w:p w14:paraId="1517C945">
      <w:pPr>
        <w:pStyle w:val="91"/>
        <w:rPr>
          <w:rFonts w:ascii="宋体" w:hAnsi="宋体" w:eastAsia="宋体" w:cs="宋体"/>
          <w:color w:val="auto"/>
          <w:highlight w:val="none"/>
        </w:rPr>
      </w:pPr>
    </w:p>
    <w:p w14:paraId="06D9110F">
      <w:pPr>
        <w:snapToGrid w:val="0"/>
        <w:spacing w:line="360" w:lineRule="auto"/>
        <w:ind w:right="480"/>
        <w:jc w:val="center"/>
        <w:rPr>
          <w:rFonts w:ascii="宋体" w:hAnsi="宋体" w:cs="宋体"/>
          <w:b/>
          <w:color w:val="auto"/>
          <w:kern w:val="0"/>
          <w:sz w:val="32"/>
          <w:szCs w:val="32"/>
          <w:highlight w:val="none"/>
        </w:rPr>
      </w:pPr>
    </w:p>
    <w:p w14:paraId="09655AE2">
      <w:pPr>
        <w:snapToGrid w:val="0"/>
        <w:spacing w:line="360" w:lineRule="auto"/>
        <w:ind w:right="480"/>
        <w:jc w:val="center"/>
        <w:rPr>
          <w:rFonts w:ascii="宋体" w:hAnsi="宋体" w:cs="宋体"/>
          <w:b/>
          <w:color w:val="auto"/>
          <w:kern w:val="0"/>
          <w:sz w:val="32"/>
          <w:szCs w:val="32"/>
          <w:highlight w:val="none"/>
        </w:rPr>
      </w:pPr>
    </w:p>
    <w:p w14:paraId="5684A8A0">
      <w:pPr>
        <w:snapToGrid w:val="0"/>
        <w:spacing w:line="360" w:lineRule="auto"/>
        <w:ind w:right="480"/>
        <w:jc w:val="center"/>
        <w:rPr>
          <w:rFonts w:ascii="宋体" w:hAnsi="宋体" w:cs="宋体"/>
          <w:b/>
          <w:color w:val="auto"/>
          <w:kern w:val="0"/>
          <w:sz w:val="32"/>
          <w:szCs w:val="32"/>
          <w:highlight w:val="none"/>
        </w:rPr>
      </w:pPr>
    </w:p>
    <w:p w14:paraId="569F643C">
      <w:pPr>
        <w:snapToGrid w:val="0"/>
        <w:spacing w:line="360" w:lineRule="auto"/>
        <w:ind w:right="480"/>
        <w:jc w:val="center"/>
        <w:rPr>
          <w:rFonts w:ascii="宋体" w:hAnsi="宋体" w:cs="宋体"/>
          <w:b/>
          <w:color w:val="auto"/>
          <w:kern w:val="0"/>
          <w:sz w:val="32"/>
          <w:szCs w:val="32"/>
          <w:highlight w:val="none"/>
        </w:rPr>
      </w:pPr>
    </w:p>
    <w:p w14:paraId="5BD601E3">
      <w:pPr>
        <w:snapToGrid w:val="0"/>
        <w:spacing w:line="360" w:lineRule="auto"/>
        <w:ind w:right="480"/>
        <w:jc w:val="center"/>
        <w:rPr>
          <w:rFonts w:ascii="宋体" w:hAnsi="宋体" w:cs="宋体"/>
          <w:b/>
          <w:color w:val="auto"/>
          <w:kern w:val="0"/>
          <w:sz w:val="32"/>
          <w:szCs w:val="32"/>
          <w:highlight w:val="none"/>
        </w:rPr>
      </w:pPr>
    </w:p>
    <w:p w14:paraId="2F9AC992">
      <w:pPr>
        <w:snapToGrid w:val="0"/>
        <w:spacing w:line="360" w:lineRule="auto"/>
        <w:ind w:right="480"/>
        <w:jc w:val="center"/>
        <w:rPr>
          <w:rFonts w:ascii="宋体" w:hAnsi="宋体" w:cs="宋体"/>
          <w:b/>
          <w:color w:val="auto"/>
          <w:kern w:val="0"/>
          <w:sz w:val="32"/>
          <w:szCs w:val="32"/>
          <w:highlight w:val="none"/>
        </w:rPr>
      </w:pPr>
    </w:p>
    <w:p w14:paraId="43001025">
      <w:pPr>
        <w:snapToGrid w:val="0"/>
        <w:spacing w:line="360" w:lineRule="auto"/>
        <w:ind w:right="480"/>
        <w:jc w:val="center"/>
        <w:rPr>
          <w:rFonts w:ascii="宋体" w:hAnsi="宋体" w:cs="宋体"/>
          <w:b/>
          <w:color w:val="auto"/>
          <w:kern w:val="0"/>
          <w:sz w:val="32"/>
          <w:szCs w:val="32"/>
          <w:highlight w:val="none"/>
        </w:rPr>
      </w:pPr>
    </w:p>
    <w:p w14:paraId="21CD8559">
      <w:pPr>
        <w:snapToGrid w:val="0"/>
        <w:spacing w:line="360" w:lineRule="auto"/>
        <w:ind w:right="480"/>
        <w:jc w:val="center"/>
        <w:rPr>
          <w:rFonts w:ascii="宋体" w:hAnsi="宋体" w:cs="宋体"/>
          <w:b/>
          <w:color w:val="auto"/>
          <w:kern w:val="0"/>
          <w:sz w:val="32"/>
          <w:szCs w:val="32"/>
          <w:highlight w:val="none"/>
        </w:rPr>
      </w:pPr>
    </w:p>
    <w:p w14:paraId="5DCB4D27">
      <w:pPr>
        <w:snapToGrid w:val="0"/>
        <w:spacing w:line="360" w:lineRule="auto"/>
        <w:ind w:right="480"/>
        <w:jc w:val="center"/>
        <w:rPr>
          <w:rFonts w:ascii="宋体" w:hAnsi="宋体" w:cs="宋体"/>
          <w:b/>
          <w:color w:val="auto"/>
          <w:kern w:val="0"/>
          <w:sz w:val="32"/>
          <w:szCs w:val="32"/>
          <w:highlight w:val="none"/>
        </w:rPr>
      </w:pPr>
    </w:p>
    <w:p w14:paraId="05E66070">
      <w:pPr>
        <w:snapToGrid w:val="0"/>
        <w:spacing w:line="360" w:lineRule="auto"/>
        <w:ind w:right="480"/>
        <w:jc w:val="center"/>
        <w:rPr>
          <w:rFonts w:ascii="宋体" w:hAnsi="宋体" w:cs="宋体"/>
          <w:b/>
          <w:color w:val="auto"/>
          <w:kern w:val="0"/>
          <w:sz w:val="32"/>
          <w:szCs w:val="32"/>
          <w:highlight w:val="none"/>
        </w:rPr>
      </w:pPr>
    </w:p>
    <w:p w14:paraId="5E6722EA">
      <w:pPr>
        <w:snapToGrid w:val="0"/>
        <w:spacing w:line="360" w:lineRule="auto"/>
        <w:ind w:right="480"/>
        <w:jc w:val="center"/>
        <w:rPr>
          <w:rFonts w:ascii="宋体" w:hAnsi="宋体" w:cs="宋体"/>
          <w:b/>
          <w:color w:val="auto"/>
          <w:kern w:val="0"/>
          <w:sz w:val="32"/>
          <w:szCs w:val="32"/>
          <w:highlight w:val="none"/>
        </w:rPr>
      </w:pPr>
    </w:p>
    <w:p w14:paraId="6FA17641">
      <w:pPr>
        <w:snapToGrid w:val="0"/>
        <w:spacing w:line="360" w:lineRule="auto"/>
        <w:ind w:right="480"/>
        <w:jc w:val="center"/>
        <w:rPr>
          <w:rFonts w:ascii="宋体" w:hAnsi="宋体" w:cs="宋体"/>
          <w:b/>
          <w:color w:val="auto"/>
          <w:kern w:val="0"/>
          <w:sz w:val="32"/>
          <w:szCs w:val="32"/>
          <w:highlight w:val="none"/>
        </w:rPr>
      </w:pPr>
    </w:p>
    <w:p w14:paraId="552CCF3F">
      <w:pPr>
        <w:snapToGrid w:val="0"/>
        <w:spacing w:line="360" w:lineRule="auto"/>
        <w:ind w:right="480"/>
        <w:jc w:val="center"/>
        <w:rPr>
          <w:rFonts w:ascii="宋体" w:hAnsi="宋体" w:cs="宋体"/>
          <w:b/>
          <w:color w:val="auto"/>
          <w:kern w:val="0"/>
          <w:sz w:val="32"/>
          <w:szCs w:val="32"/>
          <w:highlight w:val="none"/>
        </w:rPr>
      </w:pPr>
    </w:p>
    <w:p w14:paraId="54CE3CCF">
      <w:pPr>
        <w:snapToGrid w:val="0"/>
        <w:spacing w:line="360" w:lineRule="auto"/>
        <w:ind w:right="480"/>
        <w:jc w:val="center"/>
        <w:rPr>
          <w:rFonts w:ascii="宋体" w:hAnsi="宋体" w:cs="宋体"/>
          <w:b/>
          <w:color w:val="auto"/>
          <w:kern w:val="0"/>
          <w:sz w:val="32"/>
          <w:szCs w:val="32"/>
          <w:highlight w:val="none"/>
        </w:rPr>
      </w:pPr>
    </w:p>
    <w:p w14:paraId="5C5C85B0">
      <w:pPr>
        <w:snapToGrid w:val="0"/>
        <w:spacing w:line="360" w:lineRule="auto"/>
        <w:ind w:right="480"/>
        <w:jc w:val="center"/>
        <w:rPr>
          <w:rFonts w:ascii="宋体" w:hAnsi="宋体" w:cs="宋体"/>
          <w:b/>
          <w:color w:val="auto"/>
          <w:kern w:val="0"/>
          <w:sz w:val="32"/>
          <w:szCs w:val="32"/>
          <w:highlight w:val="none"/>
        </w:rPr>
      </w:pPr>
    </w:p>
    <w:p w14:paraId="3DCFEEC0">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3" w:type="first"/>
          <w:footerReference r:id="rId25" w:type="first"/>
          <w:headerReference r:id="rId22" w:type="default"/>
          <w:footerReference r:id="rId24" w:type="default"/>
          <w:pgSz w:w="11906" w:h="16838"/>
          <w:pgMar w:top="1276" w:right="1418" w:bottom="1247" w:left="1418" w:header="851" w:footer="992" w:gutter="0"/>
          <w:cols w:space="720" w:num="1"/>
          <w:titlePg/>
          <w:docGrid w:linePitch="312" w:charSpace="0"/>
        </w:sectPr>
      </w:pPr>
    </w:p>
    <w:p w14:paraId="31B8A774">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C0C35A9">
      <w:pPr>
        <w:snapToGrid w:val="0"/>
        <w:spacing w:line="360" w:lineRule="auto"/>
        <w:rPr>
          <w:rFonts w:ascii="宋体" w:hAnsi="宋体" w:cs="宋体"/>
          <w:b/>
          <w:bCs/>
          <w:color w:val="auto"/>
          <w:kern w:val="0"/>
          <w:sz w:val="24"/>
          <w:highlight w:val="none"/>
          <w:u w:val="single"/>
        </w:rPr>
      </w:pPr>
      <w:r>
        <w:rPr>
          <w:rFonts w:hint="eastAsia" w:ascii="宋体" w:hAnsi="宋体" w:cs="宋体"/>
          <w:b/>
          <w:bCs/>
          <w:color w:val="auto"/>
          <w:sz w:val="24"/>
          <w:highlight w:val="none"/>
          <w:u w:val="single"/>
          <w:lang w:eastAsia="zh-CN"/>
        </w:rPr>
        <w:t>浙江省食品药品检验研究院</w:t>
      </w:r>
      <w:r>
        <w:rPr>
          <w:rFonts w:hint="eastAsia" w:ascii="宋体" w:hAnsi="宋体" w:cs="宋体"/>
          <w:b/>
          <w:bCs/>
          <w:color w:val="auto"/>
          <w:kern w:val="0"/>
          <w:sz w:val="24"/>
          <w:highlight w:val="none"/>
          <w:u w:val="single"/>
          <w:lang w:val="zh-CN"/>
        </w:rPr>
        <w:t>：</w:t>
      </w:r>
    </w:p>
    <w:p w14:paraId="6D64223A">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浙江省食品药品检验研究院2025年度软硬件运维及机房租赁项目</w:t>
      </w:r>
      <w:r>
        <w:rPr>
          <w:rFonts w:hint="eastAsia" w:ascii="宋体" w:hAnsi="宋体" w:cs="宋体"/>
          <w:color w:val="auto"/>
          <w:kern w:val="0"/>
          <w:sz w:val="24"/>
          <w:highlight w:val="none"/>
          <w:u w:val="single"/>
          <w:lang w:val="zh-CN"/>
        </w:rPr>
        <w:t>【项目编号：</w:t>
      </w:r>
      <w:r>
        <w:rPr>
          <w:rFonts w:hint="eastAsia" w:ascii="宋体" w:hAnsi="宋体" w:cs="宋体"/>
          <w:color w:val="auto"/>
          <w:sz w:val="24"/>
          <w:highlight w:val="none"/>
          <w:u w:val="single"/>
          <w:lang w:eastAsia="zh-CN"/>
        </w:rPr>
        <w:t>ZJ-2580232-06</w:t>
      </w:r>
      <w:r>
        <w:rPr>
          <w:rFonts w:hint="eastAsia" w:ascii="宋体" w:hAnsi="宋体" w:cs="宋体"/>
          <w:color w:val="auto"/>
          <w:sz w:val="24"/>
          <w:highlight w:val="none"/>
          <w:u w:val="single"/>
        </w:rPr>
        <w:t>】</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6930A062">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62"/>
        <w:gridCol w:w="1798"/>
        <w:gridCol w:w="2410"/>
        <w:gridCol w:w="2268"/>
        <w:gridCol w:w="2126"/>
        <w:gridCol w:w="2127"/>
        <w:gridCol w:w="2126"/>
      </w:tblGrid>
      <w:tr w14:paraId="59EE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BC972F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62" w:type="dxa"/>
            <w:vAlign w:val="center"/>
          </w:tcPr>
          <w:p w14:paraId="576EC07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798" w:type="dxa"/>
          </w:tcPr>
          <w:p w14:paraId="7E5916BA">
            <w:pPr>
              <w:spacing w:line="360" w:lineRule="auto"/>
              <w:jc w:val="center"/>
              <w:rPr>
                <w:rFonts w:ascii="宋体" w:hAnsi="宋体" w:cs="宋体"/>
                <w:b/>
                <w:color w:val="auto"/>
                <w:sz w:val="24"/>
                <w:highlight w:val="none"/>
              </w:rPr>
            </w:pPr>
          </w:p>
          <w:p w14:paraId="0431EC5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4113253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20D045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2126" w:type="dxa"/>
            <w:vAlign w:val="center"/>
          </w:tcPr>
          <w:p w14:paraId="2A615A6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2127" w:type="dxa"/>
            <w:vAlign w:val="center"/>
          </w:tcPr>
          <w:p w14:paraId="64E0712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2126" w:type="dxa"/>
            <w:vAlign w:val="center"/>
          </w:tcPr>
          <w:p w14:paraId="0F2464C7">
            <w:pPr>
              <w:spacing w:line="360" w:lineRule="auto"/>
              <w:jc w:val="center"/>
              <w:rPr>
                <w:rFonts w:ascii="宋体" w:hAnsi="宋体" w:cs="宋体"/>
                <w:b/>
                <w:color w:val="auto"/>
                <w:sz w:val="24"/>
                <w:highlight w:val="none"/>
              </w:rPr>
            </w:pPr>
          </w:p>
          <w:p w14:paraId="6683FE6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BD325BD">
            <w:pPr>
              <w:spacing w:line="360" w:lineRule="auto"/>
              <w:jc w:val="center"/>
              <w:rPr>
                <w:rFonts w:ascii="宋体" w:hAnsi="宋体" w:cs="宋体"/>
                <w:b/>
                <w:color w:val="auto"/>
                <w:sz w:val="24"/>
                <w:highlight w:val="none"/>
              </w:rPr>
            </w:pPr>
          </w:p>
        </w:tc>
      </w:tr>
      <w:tr w14:paraId="3D8E9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7A92A3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62" w:type="dxa"/>
            <w:vAlign w:val="center"/>
          </w:tcPr>
          <w:p w14:paraId="7EF07E3F">
            <w:pPr>
              <w:widowControl/>
              <w:snapToGrid w:val="0"/>
              <w:spacing w:line="360" w:lineRule="auto"/>
              <w:jc w:val="center"/>
              <w:textAlignment w:val="center"/>
              <w:rPr>
                <w:rFonts w:ascii="宋体" w:hAnsi="宋体" w:cs="宋体"/>
                <w:color w:val="auto"/>
                <w:sz w:val="24"/>
                <w:highlight w:val="none"/>
              </w:rPr>
            </w:pPr>
          </w:p>
        </w:tc>
        <w:tc>
          <w:tcPr>
            <w:tcW w:w="1798" w:type="dxa"/>
            <w:vAlign w:val="center"/>
          </w:tcPr>
          <w:p w14:paraId="1852DC35">
            <w:pPr>
              <w:snapToGrid w:val="0"/>
              <w:spacing w:line="360" w:lineRule="auto"/>
              <w:jc w:val="center"/>
              <w:rPr>
                <w:rFonts w:ascii="宋体" w:hAnsi="宋体" w:cs="宋体"/>
                <w:color w:val="auto"/>
                <w:sz w:val="24"/>
                <w:highlight w:val="none"/>
              </w:rPr>
            </w:pPr>
          </w:p>
        </w:tc>
        <w:tc>
          <w:tcPr>
            <w:tcW w:w="2410" w:type="dxa"/>
            <w:vAlign w:val="center"/>
          </w:tcPr>
          <w:p w14:paraId="22C9F013">
            <w:pPr>
              <w:snapToGrid w:val="0"/>
              <w:spacing w:line="360" w:lineRule="auto"/>
              <w:jc w:val="center"/>
              <w:rPr>
                <w:rFonts w:ascii="宋体" w:hAnsi="宋体" w:cs="宋体"/>
                <w:color w:val="auto"/>
                <w:sz w:val="24"/>
                <w:highlight w:val="none"/>
              </w:rPr>
            </w:pPr>
          </w:p>
        </w:tc>
        <w:tc>
          <w:tcPr>
            <w:tcW w:w="2268" w:type="dxa"/>
            <w:vAlign w:val="center"/>
          </w:tcPr>
          <w:p w14:paraId="2699A930">
            <w:pPr>
              <w:snapToGrid w:val="0"/>
              <w:spacing w:line="360" w:lineRule="auto"/>
              <w:jc w:val="center"/>
              <w:rPr>
                <w:rFonts w:ascii="宋体" w:hAnsi="宋体" w:cs="宋体"/>
                <w:color w:val="auto"/>
                <w:sz w:val="24"/>
                <w:highlight w:val="none"/>
              </w:rPr>
            </w:pPr>
          </w:p>
        </w:tc>
        <w:tc>
          <w:tcPr>
            <w:tcW w:w="2126" w:type="dxa"/>
            <w:vAlign w:val="center"/>
          </w:tcPr>
          <w:p w14:paraId="7FDBC8C0">
            <w:pPr>
              <w:spacing w:line="360" w:lineRule="auto"/>
              <w:jc w:val="center"/>
              <w:rPr>
                <w:rFonts w:ascii="宋体" w:hAnsi="宋体" w:cs="宋体"/>
                <w:color w:val="auto"/>
                <w:sz w:val="24"/>
                <w:highlight w:val="none"/>
              </w:rPr>
            </w:pPr>
          </w:p>
        </w:tc>
        <w:tc>
          <w:tcPr>
            <w:tcW w:w="2127" w:type="dxa"/>
          </w:tcPr>
          <w:p w14:paraId="1E0BF21F">
            <w:pPr>
              <w:spacing w:line="360" w:lineRule="auto"/>
              <w:jc w:val="center"/>
              <w:rPr>
                <w:rFonts w:ascii="宋体" w:hAnsi="宋体" w:cs="宋体"/>
                <w:color w:val="auto"/>
                <w:sz w:val="24"/>
                <w:highlight w:val="none"/>
              </w:rPr>
            </w:pPr>
          </w:p>
        </w:tc>
        <w:tc>
          <w:tcPr>
            <w:tcW w:w="2126" w:type="dxa"/>
            <w:vAlign w:val="center"/>
          </w:tcPr>
          <w:p w14:paraId="6DFAF066">
            <w:pPr>
              <w:spacing w:line="360" w:lineRule="auto"/>
              <w:jc w:val="center"/>
              <w:rPr>
                <w:rFonts w:ascii="宋体" w:hAnsi="宋体" w:cs="宋体"/>
                <w:color w:val="auto"/>
                <w:sz w:val="24"/>
                <w:highlight w:val="none"/>
              </w:rPr>
            </w:pPr>
          </w:p>
        </w:tc>
      </w:tr>
      <w:tr w14:paraId="50A6E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459559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62" w:type="dxa"/>
            <w:vAlign w:val="center"/>
          </w:tcPr>
          <w:p w14:paraId="4CEBE0A9">
            <w:pPr>
              <w:widowControl/>
              <w:snapToGrid w:val="0"/>
              <w:spacing w:line="360" w:lineRule="auto"/>
              <w:jc w:val="center"/>
              <w:textAlignment w:val="center"/>
              <w:rPr>
                <w:rFonts w:ascii="宋体" w:hAnsi="宋体" w:cs="宋体"/>
                <w:color w:val="auto"/>
                <w:sz w:val="24"/>
                <w:highlight w:val="none"/>
              </w:rPr>
            </w:pPr>
          </w:p>
        </w:tc>
        <w:tc>
          <w:tcPr>
            <w:tcW w:w="1798" w:type="dxa"/>
            <w:vAlign w:val="center"/>
          </w:tcPr>
          <w:p w14:paraId="31DD7613">
            <w:pPr>
              <w:snapToGrid w:val="0"/>
              <w:spacing w:line="360" w:lineRule="auto"/>
              <w:jc w:val="center"/>
              <w:rPr>
                <w:rFonts w:ascii="宋体" w:hAnsi="宋体" w:cs="宋体"/>
                <w:color w:val="auto"/>
                <w:sz w:val="24"/>
                <w:highlight w:val="none"/>
              </w:rPr>
            </w:pPr>
          </w:p>
        </w:tc>
        <w:tc>
          <w:tcPr>
            <w:tcW w:w="2410" w:type="dxa"/>
            <w:vAlign w:val="center"/>
          </w:tcPr>
          <w:p w14:paraId="1D795E0A">
            <w:pPr>
              <w:snapToGrid w:val="0"/>
              <w:spacing w:line="360" w:lineRule="auto"/>
              <w:jc w:val="center"/>
              <w:rPr>
                <w:rFonts w:ascii="宋体" w:hAnsi="宋体" w:cs="宋体"/>
                <w:color w:val="auto"/>
                <w:sz w:val="24"/>
                <w:highlight w:val="none"/>
              </w:rPr>
            </w:pPr>
          </w:p>
        </w:tc>
        <w:tc>
          <w:tcPr>
            <w:tcW w:w="2268" w:type="dxa"/>
            <w:vAlign w:val="center"/>
          </w:tcPr>
          <w:p w14:paraId="5B408219">
            <w:pPr>
              <w:snapToGrid w:val="0"/>
              <w:spacing w:line="360" w:lineRule="auto"/>
              <w:jc w:val="center"/>
              <w:rPr>
                <w:rFonts w:ascii="宋体" w:hAnsi="宋体" w:cs="宋体"/>
                <w:color w:val="auto"/>
                <w:sz w:val="24"/>
                <w:highlight w:val="none"/>
              </w:rPr>
            </w:pPr>
          </w:p>
        </w:tc>
        <w:tc>
          <w:tcPr>
            <w:tcW w:w="2126" w:type="dxa"/>
            <w:vAlign w:val="center"/>
          </w:tcPr>
          <w:p w14:paraId="0DE75542">
            <w:pPr>
              <w:spacing w:line="360" w:lineRule="auto"/>
              <w:jc w:val="center"/>
              <w:rPr>
                <w:rFonts w:ascii="宋体" w:hAnsi="宋体" w:cs="宋体"/>
                <w:color w:val="auto"/>
                <w:sz w:val="24"/>
                <w:highlight w:val="none"/>
              </w:rPr>
            </w:pPr>
          </w:p>
        </w:tc>
        <w:tc>
          <w:tcPr>
            <w:tcW w:w="2127" w:type="dxa"/>
          </w:tcPr>
          <w:p w14:paraId="6273BC5A">
            <w:pPr>
              <w:spacing w:line="360" w:lineRule="auto"/>
              <w:jc w:val="center"/>
              <w:rPr>
                <w:rFonts w:ascii="宋体" w:hAnsi="宋体" w:cs="宋体"/>
                <w:color w:val="auto"/>
                <w:sz w:val="24"/>
                <w:highlight w:val="none"/>
              </w:rPr>
            </w:pPr>
          </w:p>
        </w:tc>
        <w:tc>
          <w:tcPr>
            <w:tcW w:w="2126" w:type="dxa"/>
            <w:vAlign w:val="center"/>
          </w:tcPr>
          <w:p w14:paraId="6A519DCE">
            <w:pPr>
              <w:spacing w:line="360" w:lineRule="auto"/>
              <w:jc w:val="center"/>
              <w:rPr>
                <w:rFonts w:ascii="宋体" w:hAnsi="宋体" w:cs="宋体"/>
                <w:color w:val="auto"/>
                <w:sz w:val="24"/>
                <w:highlight w:val="none"/>
              </w:rPr>
            </w:pPr>
          </w:p>
        </w:tc>
      </w:tr>
      <w:tr w14:paraId="4D955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798CE91">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462" w:type="dxa"/>
            <w:vAlign w:val="center"/>
          </w:tcPr>
          <w:p w14:paraId="3060DF1F">
            <w:pPr>
              <w:widowControl/>
              <w:snapToGrid w:val="0"/>
              <w:spacing w:line="360" w:lineRule="auto"/>
              <w:jc w:val="center"/>
              <w:textAlignment w:val="center"/>
              <w:rPr>
                <w:rFonts w:ascii="宋体" w:hAnsi="宋体" w:cs="宋体"/>
                <w:color w:val="auto"/>
                <w:sz w:val="24"/>
                <w:highlight w:val="none"/>
              </w:rPr>
            </w:pPr>
          </w:p>
        </w:tc>
        <w:tc>
          <w:tcPr>
            <w:tcW w:w="1798" w:type="dxa"/>
            <w:vAlign w:val="center"/>
          </w:tcPr>
          <w:p w14:paraId="1D58F9D2">
            <w:pPr>
              <w:snapToGrid w:val="0"/>
              <w:spacing w:line="360" w:lineRule="auto"/>
              <w:jc w:val="center"/>
              <w:rPr>
                <w:rFonts w:ascii="宋体" w:hAnsi="宋体" w:cs="宋体"/>
                <w:color w:val="auto"/>
                <w:sz w:val="24"/>
                <w:highlight w:val="none"/>
              </w:rPr>
            </w:pPr>
          </w:p>
        </w:tc>
        <w:tc>
          <w:tcPr>
            <w:tcW w:w="2410" w:type="dxa"/>
            <w:vAlign w:val="center"/>
          </w:tcPr>
          <w:p w14:paraId="3E2C5B4A">
            <w:pPr>
              <w:snapToGrid w:val="0"/>
              <w:spacing w:line="360" w:lineRule="auto"/>
              <w:jc w:val="center"/>
              <w:rPr>
                <w:rFonts w:ascii="宋体" w:hAnsi="宋体" w:cs="宋体"/>
                <w:color w:val="auto"/>
                <w:sz w:val="24"/>
                <w:highlight w:val="none"/>
              </w:rPr>
            </w:pPr>
          </w:p>
        </w:tc>
        <w:tc>
          <w:tcPr>
            <w:tcW w:w="2268" w:type="dxa"/>
            <w:vAlign w:val="center"/>
          </w:tcPr>
          <w:p w14:paraId="393232BA">
            <w:pPr>
              <w:snapToGrid w:val="0"/>
              <w:spacing w:line="360" w:lineRule="auto"/>
              <w:jc w:val="center"/>
              <w:rPr>
                <w:rFonts w:ascii="宋体" w:hAnsi="宋体" w:cs="宋体"/>
                <w:color w:val="auto"/>
                <w:sz w:val="24"/>
                <w:highlight w:val="none"/>
              </w:rPr>
            </w:pPr>
          </w:p>
        </w:tc>
        <w:tc>
          <w:tcPr>
            <w:tcW w:w="2126" w:type="dxa"/>
            <w:vAlign w:val="center"/>
          </w:tcPr>
          <w:p w14:paraId="5E42E1F4">
            <w:pPr>
              <w:spacing w:line="360" w:lineRule="auto"/>
              <w:jc w:val="center"/>
              <w:rPr>
                <w:rFonts w:ascii="宋体" w:hAnsi="宋体" w:cs="宋体"/>
                <w:color w:val="auto"/>
                <w:sz w:val="24"/>
                <w:highlight w:val="none"/>
              </w:rPr>
            </w:pPr>
          </w:p>
        </w:tc>
        <w:tc>
          <w:tcPr>
            <w:tcW w:w="2127" w:type="dxa"/>
          </w:tcPr>
          <w:p w14:paraId="7C76E461">
            <w:pPr>
              <w:spacing w:line="360" w:lineRule="auto"/>
              <w:jc w:val="center"/>
              <w:rPr>
                <w:rFonts w:ascii="宋体" w:hAnsi="宋体" w:cs="宋体"/>
                <w:color w:val="auto"/>
                <w:sz w:val="24"/>
                <w:highlight w:val="none"/>
              </w:rPr>
            </w:pPr>
          </w:p>
        </w:tc>
        <w:tc>
          <w:tcPr>
            <w:tcW w:w="2126" w:type="dxa"/>
            <w:vAlign w:val="center"/>
          </w:tcPr>
          <w:p w14:paraId="58595BFB">
            <w:pPr>
              <w:spacing w:line="360" w:lineRule="auto"/>
              <w:jc w:val="center"/>
              <w:rPr>
                <w:rFonts w:ascii="宋体" w:hAnsi="宋体" w:cs="宋体"/>
                <w:color w:val="auto"/>
                <w:sz w:val="24"/>
                <w:highlight w:val="none"/>
              </w:rPr>
            </w:pPr>
          </w:p>
        </w:tc>
      </w:tr>
      <w:tr w14:paraId="1A3B7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23468F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62" w:type="dxa"/>
            <w:vAlign w:val="center"/>
          </w:tcPr>
          <w:p w14:paraId="14CA2F2F">
            <w:pPr>
              <w:widowControl/>
              <w:snapToGrid w:val="0"/>
              <w:spacing w:line="360" w:lineRule="auto"/>
              <w:jc w:val="center"/>
              <w:textAlignment w:val="center"/>
              <w:rPr>
                <w:rFonts w:ascii="宋体" w:hAnsi="宋体" w:cs="宋体"/>
                <w:color w:val="auto"/>
                <w:sz w:val="24"/>
                <w:highlight w:val="none"/>
              </w:rPr>
            </w:pPr>
          </w:p>
        </w:tc>
        <w:tc>
          <w:tcPr>
            <w:tcW w:w="1798" w:type="dxa"/>
            <w:vAlign w:val="center"/>
          </w:tcPr>
          <w:p w14:paraId="46103AC1">
            <w:pPr>
              <w:snapToGrid w:val="0"/>
              <w:spacing w:line="360" w:lineRule="auto"/>
              <w:jc w:val="center"/>
              <w:rPr>
                <w:rFonts w:ascii="宋体" w:hAnsi="宋体" w:cs="宋体"/>
                <w:color w:val="auto"/>
                <w:sz w:val="24"/>
                <w:highlight w:val="none"/>
              </w:rPr>
            </w:pPr>
          </w:p>
        </w:tc>
        <w:tc>
          <w:tcPr>
            <w:tcW w:w="2410" w:type="dxa"/>
            <w:vAlign w:val="center"/>
          </w:tcPr>
          <w:p w14:paraId="1665150D">
            <w:pPr>
              <w:snapToGrid w:val="0"/>
              <w:spacing w:line="360" w:lineRule="auto"/>
              <w:jc w:val="center"/>
              <w:rPr>
                <w:rFonts w:ascii="宋体" w:hAnsi="宋体" w:cs="宋体"/>
                <w:color w:val="auto"/>
                <w:sz w:val="24"/>
                <w:highlight w:val="none"/>
              </w:rPr>
            </w:pPr>
          </w:p>
        </w:tc>
        <w:tc>
          <w:tcPr>
            <w:tcW w:w="2268" w:type="dxa"/>
            <w:vAlign w:val="center"/>
          </w:tcPr>
          <w:p w14:paraId="1DB18131">
            <w:pPr>
              <w:snapToGrid w:val="0"/>
              <w:spacing w:line="360" w:lineRule="auto"/>
              <w:jc w:val="center"/>
              <w:rPr>
                <w:rFonts w:ascii="宋体" w:hAnsi="宋体" w:cs="宋体"/>
                <w:color w:val="auto"/>
                <w:sz w:val="24"/>
                <w:highlight w:val="none"/>
              </w:rPr>
            </w:pPr>
          </w:p>
        </w:tc>
        <w:tc>
          <w:tcPr>
            <w:tcW w:w="2126" w:type="dxa"/>
            <w:vAlign w:val="center"/>
          </w:tcPr>
          <w:p w14:paraId="19DE4BD5">
            <w:pPr>
              <w:spacing w:line="360" w:lineRule="auto"/>
              <w:jc w:val="center"/>
              <w:rPr>
                <w:rFonts w:ascii="宋体" w:hAnsi="宋体" w:cs="宋体"/>
                <w:color w:val="auto"/>
                <w:sz w:val="24"/>
                <w:highlight w:val="none"/>
              </w:rPr>
            </w:pPr>
          </w:p>
        </w:tc>
        <w:tc>
          <w:tcPr>
            <w:tcW w:w="2127" w:type="dxa"/>
          </w:tcPr>
          <w:p w14:paraId="0D43608B">
            <w:pPr>
              <w:spacing w:line="360" w:lineRule="auto"/>
              <w:jc w:val="center"/>
              <w:rPr>
                <w:rFonts w:ascii="宋体" w:hAnsi="宋体" w:cs="宋体"/>
                <w:color w:val="auto"/>
                <w:sz w:val="24"/>
                <w:highlight w:val="none"/>
              </w:rPr>
            </w:pPr>
          </w:p>
        </w:tc>
        <w:tc>
          <w:tcPr>
            <w:tcW w:w="2126" w:type="dxa"/>
            <w:vAlign w:val="center"/>
          </w:tcPr>
          <w:p w14:paraId="10C84382">
            <w:pPr>
              <w:spacing w:line="360" w:lineRule="auto"/>
              <w:jc w:val="center"/>
              <w:rPr>
                <w:rFonts w:ascii="宋体" w:hAnsi="宋体" w:cs="宋体"/>
                <w:color w:val="auto"/>
                <w:sz w:val="24"/>
                <w:highlight w:val="none"/>
              </w:rPr>
            </w:pPr>
          </w:p>
        </w:tc>
      </w:tr>
      <w:tr w14:paraId="2B36D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0D100B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0905B552">
            <w:pPr>
              <w:spacing w:line="360" w:lineRule="auto"/>
              <w:jc w:val="center"/>
              <w:rPr>
                <w:rFonts w:ascii="宋体" w:hAnsi="宋体" w:cs="宋体"/>
                <w:color w:val="auto"/>
                <w:sz w:val="24"/>
                <w:highlight w:val="none"/>
              </w:rPr>
            </w:pPr>
          </w:p>
        </w:tc>
      </w:tr>
      <w:tr w14:paraId="6BEA9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47E3F7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44508E9A">
            <w:pPr>
              <w:spacing w:line="360" w:lineRule="auto"/>
              <w:jc w:val="center"/>
              <w:rPr>
                <w:rFonts w:ascii="宋体" w:hAnsi="宋体" w:cs="宋体"/>
                <w:color w:val="auto"/>
                <w:sz w:val="24"/>
                <w:highlight w:val="none"/>
              </w:rPr>
            </w:pPr>
          </w:p>
        </w:tc>
      </w:tr>
    </w:tbl>
    <w:p w14:paraId="5D3A8E55">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770257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0B8A43F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0834082">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172F84F">
      <w:pPr>
        <w:spacing w:line="360" w:lineRule="auto"/>
        <w:ind w:firstLine="482" w:firstLineChars="200"/>
        <w:rPr>
          <w:rFonts w:ascii="宋体" w:hAnsi="宋体" w:cs="宋体"/>
          <w:b/>
          <w:color w:val="auto"/>
          <w:kern w:val="0"/>
          <w:sz w:val="24"/>
          <w:highlight w:val="none"/>
        </w:rPr>
      </w:pPr>
    </w:p>
    <w:p w14:paraId="05BF0161">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1D64E253">
      <w:pPr>
        <w:spacing w:line="360" w:lineRule="auto"/>
        <w:ind w:firstLine="7358" w:firstLineChars="3066"/>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603E919">
      <w:pPr>
        <w:spacing w:line="360" w:lineRule="auto"/>
        <w:ind w:firstLine="7358" w:firstLineChars="3066"/>
        <w:rPr>
          <w:rFonts w:ascii="宋体" w:hAnsi="宋体" w:cs="宋体"/>
          <w:color w:val="auto"/>
          <w:sz w:val="24"/>
          <w:highlight w:val="none"/>
        </w:rPr>
      </w:pPr>
      <w:r>
        <w:rPr>
          <w:rFonts w:hint="eastAsia" w:ascii="宋体" w:hAnsi="宋体" w:cs="宋体"/>
          <w:color w:val="auto"/>
          <w:sz w:val="24"/>
          <w:highlight w:val="none"/>
        </w:rPr>
        <w:t>日期：  年   月   日</w:t>
      </w:r>
    </w:p>
    <w:p w14:paraId="5A1BE373">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15929775">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1D5E93F5">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2B769D4">
      <w:pPr>
        <w:spacing w:line="360" w:lineRule="auto"/>
        <w:jc w:val="center"/>
        <w:rPr>
          <w:rFonts w:ascii="宋体" w:hAnsi="宋体" w:cs="宋体"/>
          <w:b/>
          <w:color w:val="auto"/>
          <w:spacing w:val="6"/>
          <w:sz w:val="32"/>
          <w:szCs w:val="32"/>
          <w:highlight w:val="none"/>
        </w:rPr>
      </w:pPr>
      <w:bookmarkStart w:id="428" w:name="OLE_LINK14"/>
      <w:bookmarkStart w:id="429" w:name="OLE_LINK13"/>
      <w:r>
        <w:rPr>
          <w:rFonts w:hint="eastAsia" w:ascii="宋体" w:hAnsi="宋体" w:cs="宋体"/>
          <w:b/>
          <w:color w:val="auto"/>
          <w:spacing w:val="6"/>
          <w:sz w:val="32"/>
          <w:szCs w:val="32"/>
          <w:highlight w:val="none"/>
        </w:rPr>
        <w:t>残疾人福利性单位声明函</w:t>
      </w:r>
    </w:p>
    <w:bookmarkEnd w:id="428"/>
    <w:bookmarkEnd w:id="429"/>
    <w:p w14:paraId="3D7EDEB9">
      <w:pPr>
        <w:spacing w:line="360" w:lineRule="auto"/>
        <w:rPr>
          <w:rFonts w:ascii="宋体" w:hAnsi="宋体" w:cs="宋体"/>
          <w:b/>
          <w:color w:val="auto"/>
          <w:spacing w:val="6"/>
          <w:sz w:val="30"/>
          <w:szCs w:val="30"/>
          <w:highlight w:val="none"/>
        </w:rPr>
      </w:pPr>
    </w:p>
    <w:p w14:paraId="373B2F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单位的_</w:t>
      </w:r>
      <w:r>
        <w:rPr>
          <w:rFonts w:hint="eastAsia" w:ascii="宋体" w:hAnsi="宋体" w:cs="宋体"/>
          <w:color w:val="auto"/>
          <w:sz w:val="24"/>
          <w:highlight w:val="none"/>
          <w:u w:val="single"/>
          <w:lang w:eastAsia="zh-CN"/>
        </w:rPr>
        <w:t>浙江省食品药品检验研究院2025年度软硬件运维及机房租赁项目</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35BF3C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E54C322">
      <w:pPr>
        <w:spacing w:line="360" w:lineRule="auto"/>
        <w:ind w:firstLine="480" w:firstLineChars="200"/>
        <w:rPr>
          <w:rFonts w:ascii="宋体" w:hAnsi="宋体" w:cs="宋体"/>
          <w:color w:val="auto"/>
          <w:sz w:val="24"/>
          <w:highlight w:val="none"/>
        </w:rPr>
      </w:pPr>
    </w:p>
    <w:p w14:paraId="17E6EF07">
      <w:pPr>
        <w:spacing w:line="360" w:lineRule="auto"/>
        <w:ind w:firstLine="480" w:firstLineChars="200"/>
        <w:rPr>
          <w:rFonts w:ascii="宋体" w:hAnsi="宋体" w:cs="宋体"/>
          <w:color w:val="auto"/>
          <w:sz w:val="24"/>
          <w:highlight w:val="none"/>
        </w:rPr>
      </w:pPr>
    </w:p>
    <w:p w14:paraId="36D5B8CB">
      <w:pPr>
        <w:tabs>
          <w:tab w:val="left" w:pos="4860"/>
        </w:tabs>
        <w:spacing w:line="360" w:lineRule="auto"/>
        <w:ind w:right="1560" w:firstLine="3360" w:firstLineChars="1400"/>
        <w:rPr>
          <w:rFonts w:ascii="宋体" w:hAnsi="宋体" w:cs="宋体"/>
          <w:color w:val="auto"/>
          <w:sz w:val="24"/>
          <w:highlight w:val="none"/>
        </w:rPr>
      </w:pP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617A70B">
      <w:pPr>
        <w:tabs>
          <w:tab w:val="left" w:pos="4860"/>
        </w:tabs>
        <w:spacing w:line="360" w:lineRule="auto"/>
        <w:ind w:right="1560" w:firstLine="3360" w:firstLineChars="1400"/>
        <w:rPr>
          <w:rFonts w:ascii="宋体" w:hAnsi="宋体" w:cs="宋体"/>
          <w:color w:val="auto"/>
          <w:sz w:val="24"/>
          <w:highlight w:val="none"/>
        </w:rPr>
      </w:pPr>
      <w:r>
        <w:rPr>
          <w:rFonts w:hint="eastAsia" w:ascii="宋体" w:hAnsi="宋体" w:cs="宋体"/>
          <w:color w:val="auto"/>
          <w:sz w:val="24"/>
          <w:highlight w:val="none"/>
        </w:rPr>
        <w:t>日  期：</w:t>
      </w:r>
    </w:p>
    <w:p w14:paraId="01505529">
      <w:pPr>
        <w:spacing w:line="360" w:lineRule="auto"/>
        <w:ind w:firstLine="480" w:firstLineChars="200"/>
        <w:rPr>
          <w:rFonts w:ascii="宋体" w:hAnsi="宋体" w:cs="宋体"/>
          <w:color w:val="auto"/>
          <w:sz w:val="24"/>
          <w:highlight w:val="none"/>
        </w:rPr>
      </w:pPr>
    </w:p>
    <w:p w14:paraId="1C8698FB">
      <w:pPr>
        <w:spacing w:line="360" w:lineRule="auto"/>
        <w:ind w:firstLine="420" w:firstLineChars="200"/>
        <w:rPr>
          <w:rFonts w:ascii="宋体" w:hAnsi="宋体" w:cs="宋体"/>
          <w:color w:val="auto"/>
          <w:highlight w:val="none"/>
        </w:rPr>
      </w:pPr>
    </w:p>
    <w:p w14:paraId="6EF0B45F">
      <w:pPr>
        <w:spacing w:line="360" w:lineRule="auto"/>
        <w:ind w:firstLine="420" w:firstLineChars="200"/>
        <w:rPr>
          <w:rFonts w:ascii="宋体" w:hAnsi="宋体" w:cs="宋体"/>
          <w:color w:val="auto"/>
          <w:highlight w:val="none"/>
        </w:rPr>
      </w:pPr>
    </w:p>
    <w:p w14:paraId="514DADB3">
      <w:pPr>
        <w:spacing w:line="360" w:lineRule="auto"/>
        <w:ind w:firstLine="420" w:firstLineChars="200"/>
        <w:rPr>
          <w:rFonts w:ascii="宋体" w:hAnsi="宋体" w:cs="宋体"/>
          <w:color w:val="auto"/>
          <w:highlight w:val="none"/>
        </w:rPr>
      </w:pPr>
    </w:p>
    <w:p w14:paraId="6B4F3109">
      <w:pPr>
        <w:spacing w:line="360" w:lineRule="auto"/>
        <w:ind w:firstLine="420" w:firstLineChars="200"/>
        <w:rPr>
          <w:rFonts w:ascii="宋体" w:hAnsi="宋体" w:cs="宋体"/>
          <w:color w:val="auto"/>
          <w:highlight w:val="none"/>
        </w:rPr>
      </w:pPr>
    </w:p>
    <w:p w14:paraId="7874A32A">
      <w:pPr>
        <w:spacing w:line="360" w:lineRule="auto"/>
        <w:rPr>
          <w:rFonts w:ascii="宋体" w:hAnsi="宋体" w:cs="宋体"/>
          <w:b/>
          <w:color w:val="auto"/>
          <w:sz w:val="24"/>
          <w:highlight w:val="none"/>
        </w:rPr>
      </w:pPr>
    </w:p>
    <w:p w14:paraId="012FD4DC">
      <w:pPr>
        <w:spacing w:line="360" w:lineRule="auto"/>
        <w:rPr>
          <w:rFonts w:ascii="宋体" w:hAnsi="宋体" w:cs="宋体"/>
          <w:b/>
          <w:color w:val="auto"/>
          <w:sz w:val="24"/>
          <w:highlight w:val="none"/>
        </w:rPr>
      </w:pPr>
    </w:p>
    <w:p w14:paraId="529D2E0B">
      <w:pPr>
        <w:spacing w:line="360" w:lineRule="auto"/>
        <w:rPr>
          <w:rFonts w:ascii="宋体" w:hAnsi="宋体" w:cs="宋体"/>
          <w:b/>
          <w:color w:val="auto"/>
          <w:sz w:val="24"/>
          <w:highlight w:val="none"/>
        </w:rPr>
      </w:pPr>
    </w:p>
    <w:p w14:paraId="2FBA5DEB">
      <w:pPr>
        <w:spacing w:line="360" w:lineRule="auto"/>
        <w:rPr>
          <w:rFonts w:ascii="宋体" w:hAnsi="宋体" w:cs="宋体"/>
          <w:b/>
          <w:color w:val="auto"/>
          <w:sz w:val="24"/>
          <w:highlight w:val="none"/>
        </w:rPr>
      </w:pPr>
    </w:p>
    <w:p w14:paraId="6483B521">
      <w:pPr>
        <w:spacing w:line="360" w:lineRule="auto"/>
        <w:rPr>
          <w:rFonts w:ascii="宋体" w:hAnsi="宋体" w:cs="宋体"/>
          <w:b/>
          <w:color w:val="auto"/>
          <w:sz w:val="24"/>
          <w:highlight w:val="none"/>
        </w:rPr>
      </w:pPr>
    </w:p>
    <w:p w14:paraId="70325FC6">
      <w:pPr>
        <w:spacing w:line="360" w:lineRule="auto"/>
        <w:rPr>
          <w:rFonts w:ascii="宋体" w:hAnsi="宋体" w:cs="宋体"/>
          <w:b/>
          <w:color w:val="auto"/>
          <w:sz w:val="24"/>
          <w:highlight w:val="none"/>
        </w:rPr>
      </w:pPr>
    </w:p>
    <w:p w14:paraId="41696636">
      <w:pPr>
        <w:spacing w:line="360" w:lineRule="auto"/>
        <w:rPr>
          <w:rFonts w:ascii="宋体" w:hAnsi="宋体" w:cs="宋体"/>
          <w:b/>
          <w:color w:val="auto"/>
          <w:sz w:val="24"/>
          <w:highlight w:val="none"/>
        </w:rPr>
      </w:pPr>
    </w:p>
    <w:p w14:paraId="6AB2AFBB">
      <w:pPr>
        <w:spacing w:line="360" w:lineRule="auto"/>
        <w:rPr>
          <w:rFonts w:ascii="宋体" w:hAnsi="宋体" w:cs="宋体"/>
          <w:b/>
          <w:color w:val="auto"/>
          <w:sz w:val="24"/>
          <w:highlight w:val="none"/>
        </w:rPr>
      </w:pPr>
    </w:p>
    <w:p w14:paraId="6FF5F8EB">
      <w:pPr>
        <w:spacing w:line="360" w:lineRule="auto"/>
        <w:rPr>
          <w:rFonts w:ascii="宋体" w:hAnsi="宋体" w:cs="宋体"/>
          <w:b/>
          <w:color w:val="auto"/>
          <w:sz w:val="24"/>
          <w:highlight w:val="none"/>
        </w:rPr>
      </w:pPr>
    </w:p>
    <w:p w14:paraId="0148737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2EB5EA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0D91A45">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68A02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B4268E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3EB1B5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D76593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BAA1ED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1ECDC2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CB128B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05A557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7CA2A4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4EBBBC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3CDE38F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5C2F27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5911CC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976C52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03AF398">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FBC661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C3F5CF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89FA8A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FCF141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CD1AA8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263126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6945E7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45A5D8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EEBDCFE">
      <w:pPr>
        <w:spacing w:line="360" w:lineRule="auto"/>
        <w:jc w:val="center"/>
        <w:rPr>
          <w:rFonts w:ascii="宋体" w:hAnsi="宋体" w:cs="宋体"/>
          <w:b/>
          <w:bCs/>
          <w:color w:val="auto"/>
          <w:sz w:val="24"/>
          <w:highlight w:val="none"/>
        </w:rPr>
      </w:pPr>
    </w:p>
    <w:p w14:paraId="129A88C7">
      <w:pPr>
        <w:spacing w:line="360" w:lineRule="auto"/>
        <w:rPr>
          <w:rFonts w:ascii="宋体" w:hAnsi="宋体" w:cs="宋体"/>
          <w:b/>
          <w:color w:val="auto"/>
          <w:sz w:val="24"/>
          <w:highlight w:val="none"/>
        </w:rPr>
      </w:pPr>
    </w:p>
    <w:p w14:paraId="578E41A1">
      <w:pPr>
        <w:spacing w:line="360" w:lineRule="auto"/>
        <w:rPr>
          <w:rFonts w:ascii="宋体" w:hAnsi="宋体" w:cs="宋体"/>
          <w:b/>
          <w:color w:val="auto"/>
          <w:sz w:val="24"/>
          <w:highlight w:val="none"/>
        </w:rPr>
      </w:pPr>
    </w:p>
    <w:p w14:paraId="726D49E1">
      <w:pPr>
        <w:spacing w:line="360" w:lineRule="auto"/>
        <w:rPr>
          <w:rFonts w:ascii="宋体" w:hAnsi="宋体" w:cs="宋体"/>
          <w:b/>
          <w:color w:val="auto"/>
          <w:sz w:val="24"/>
          <w:highlight w:val="none"/>
        </w:rPr>
      </w:pPr>
    </w:p>
    <w:p w14:paraId="1024A08B">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08AF43A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714913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4AE3F1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A7231B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CFC04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5BE7BF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DD2014C">
      <w:pPr>
        <w:widowControl/>
        <w:spacing w:line="360" w:lineRule="auto"/>
        <w:ind w:firstLine="600" w:firstLineChars="200"/>
        <w:jc w:val="left"/>
        <w:rPr>
          <w:rFonts w:ascii="宋体" w:hAnsi="宋体" w:cs="宋体"/>
          <w:color w:val="auto"/>
          <w:sz w:val="30"/>
          <w:szCs w:val="30"/>
          <w:highlight w:val="none"/>
        </w:rPr>
      </w:pPr>
    </w:p>
    <w:p w14:paraId="750EE36B">
      <w:pPr>
        <w:spacing w:line="360" w:lineRule="auto"/>
        <w:jc w:val="center"/>
        <w:rPr>
          <w:rFonts w:ascii="宋体" w:hAnsi="宋体" w:cs="宋体"/>
          <w:b/>
          <w:color w:val="auto"/>
          <w:spacing w:val="6"/>
          <w:sz w:val="32"/>
          <w:szCs w:val="32"/>
          <w:highlight w:val="none"/>
        </w:rPr>
      </w:pPr>
    </w:p>
    <w:p w14:paraId="0BF92C04">
      <w:pPr>
        <w:spacing w:line="360" w:lineRule="auto"/>
        <w:jc w:val="center"/>
        <w:rPr>
          <w:rFonts w:ascii="宋体" w:hAnsi="宋体" w:cs="宋体"/>
          <w:b/>
          <w:color w:val="auto"/>
          <w:spacing w:val="6"/>
          <w:sz w:val="32"/>
          <w:szCs w:val="32"/>
          <w:highlight w:val="none"/>
        </w:rPr>
      </w:pPr>
    </w:p>
    <w:p w14:paraId="59A45291">
      <w:pPr>
        <w:spacing w:line="360" w:lineRule="auto"/>
        <w:jc w:val="center"/>
        <w:rPr>
          <w:rFonts w:ascii="宋体" w:hAnsi="宋体" w:cs="宋体"/>
          <w:b/>
          <w:color w:val="auto"/>
          <w:spacing w:val="6"/>
          <w:sz w:val="32"/>
          <w:szCs w:val="32"/>
          <w:highlight w:val="none"/>
        </w:rPr>
      </w:pPr>
    </w:p>
    <w:p w14:paraId="55CF3738">
      <w:pPr>
        <w:spacing w:line="360" w:lineRule="auto"/>
        <w:jc w:val="center"/>
        <w:rPr>
          <w:rFonts w:ascii="宋体" w:hAnsi="宋体" w:cs="宋体"/>
          <w:b/>
          <w:color w:val="auto"/>
          <w:spacing w:val="6"/>
          <w:sz w:val="32"/>
          <w:szCs w:val="32"/>
          <w:highlight w:val="none"/>
        </w:rPr>
      </w:pPr>
    </w:p>
    <w:p w14:paraId="6BDF90FA">
      <w:pPr>
        <w:spacing w:line="360" w:lineRule="auto"/>
        <w:jc w:val="center"/>
        <w:rPr>
          <w:rFonts w:ascii="宋体" w:hAnsi="宋体" w:cs="宋体"/>
          <w:b/>
          <w:color w:val="auto"/>
          <w:spacing w:val="6"/>
          <w:sz w:val="32"/>
          <w:szCs w:val="32"/>
          <w:highlight w:val="none"/>
        </w:rPr>
      </w:pPr>
    </w:p>
    <w:p w14:paraId="2443C4FA">
      <w:pPr>
        <w:spacing w:line="360" w:lineRule="auto"/>
        <w:jc w:val="center"/>
        <w:rPr>
          <w:rFonts w:ascii="宋体" w:hAnsi="宋体" w:cs="宋体"/>
          <w:b/>
          <w:color w:val="auto"/>
          <w:spacing w:val="6"/>
          <w:sz w:val="32"/>
          <w:szCs w:val="32"/>
          <w:highlight w:val="none"/>
        </w:rPr>
      </w:pPr>
    </w:p>
    <w:p w14:paraId="0CB3B04A">
      <w:pPr>
        <w:spacing w:line="360" w:lineRule="auto"/>
        <w:jc w:val="center"/>
        <w:rPr>
          <w:rFonts w:ascii="宋体" w:hAnsi="宋体" w:cs="宋体"/>
          <w:b/>
          <w:color w:val="auto"/>
          <w:spacing w:val="6"/>
          <w:sz w:val="32"/>
          <w:szCs w:val="32"/>
          <w:highlight w:val="none"/>
        </w:rPr>
      </w:pPr>
    </w:p>
    <w:p w14:paraId="2E603D6F">
      <w:pPr>
        <w:spacing w:line="360" w:lineRule="auto"/>
        <w:jc w:val="center"/>
        <w:rPr>
          <w:rFonts w:ascii="宋体" w:hAnsi="宋体" w:cs="宋体"/>
          <w:b/>
          <w:color w:val="auto"/>
          <w:spacing w:val="6"/>
          <w:sz w:val="32"/>
          <w:szCs w:val="32"/>
          <w:highlight w:val="none"/>
        </w:rPr>
      </w:pPr>
    </w:p>
    <w:p w14:paraId="476E00C4">
      <w:pPr>
        <w:spacing w:line="360" w:lineRule="auto"/>
        <w:jc w:val="center"/>
        <w:rPr>
          <w:rFonts w:ascii="宋体" w:hAnsi="宋体" w:cs="宋体"/>
          <w:b/>
          <w:color w:val="auto"/>
          <w:spacing w:val="6"/>
          <w:sz w:val="32"/>
          <w:szCs w:val="32"/>
          <w:highlight w:val="none"/>
        </w:rPr>
      </w:pPr>
    </w:p>
    <w:p w14:paraId="7F2A4871">
      <w:pPr>
        <w:spacing w:line="360" w:lineRule="auto"/>
        <w:jc w:val="center"/>
        <w:rPr>
          <w:rFonts w:ascii="宋体" w:hAnsi="宋体" w:cs="宋体"/>
          <w:b/>
          <w:color w:val="auto"/>
          <w:spacing w:val="6"/>
          <w:sz w:val="32"/>
          <w:szCs w:val="32"/>
          <w:highlight w:val="none"/>
        </w:rPr>
      </w:pPr>
    </w:p>
    <w:p w14:paraId="1F616502">
      <w:pPr>
        <w:spacing w:line="360" w:lineRule="auto"/>
        <w:jc w:val="center"/>
        <w:rPr>
          <w:rFonts w:ascii="宋体" w:hAnsi="宋体" w:cs="宋体"/>
          <w:b/>
          <w:color w:val="auto"/>
          <w:spacing w:val="6"/>
          <w:sz w:val="32"/>
          <w:szCs w:val="32"/>
          <w:highlight w:val="none"/>
        </w:rPr>
      </w:pPr>
    </w:p>
    <w:p w14:paraId="3EED5974">
      <w:pPr>
        <w:spacing w:line="360" w:lineRule="auto"/>
        <w:jc w:val="center"/>
        <w:rPr>
          <w:rFonts w:ascii="宋体" w:hAnsi="宋体" w:cs="宋体"/>
          <w:b/>
          <w:color w:val="auto"/>
          <w:spacing w:val="6"/>
          <w:sz w:val="32"/>
          <w:szCs w:val="32"/>
          <w:highlight w:val="none"/>
        </w:rPr>
      </w:pPr>
    </w:p>
    <w:p w14:paraId="6DB7B51A">
      <w:pPr>
        <w:spacing w:line="360" w:lineRule="auto"/>
        <w:jc w:val="left"/>
        <w:rPr>
          <w:rFonts w:ascii="宋体" w:hAnsi="宋体" w:cs="宋体"/>
          <w:b/>
          <w:color w:val="auto"/>
          <w:spacing w:val="6"/>
          <w:sz w:val="32"/>
          <w:szCs w:val="32"/>
          <w:highlight w:val="none"/>
        </w:rPr>
      </w:pPr>
    </w:p>
    <w:p w14:paraId="4248941D">
      <w:pPr>
        <w:spacing w:line="360" w:lineRule="auto"/>
        <w:jc w:val="left"/>
        <w:rPr>
          <w:rFonts w:ascii="宋体" w:hAnsi="宋体" w:cs="宋体"/>
          <w:b/>
          <w:color w:val="auto"/>
          <w:spacing w:val="6"/>
          <w:sz w:val="32"/>
          <w:szCs w:val="32"/>
          <w:highlight w:val="none"/>
        </w:rPr>
      </w:pPr>
    </w:p>
    <w:p w14:paraId="43F6B6AC">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B0BCB47">
      <w:pPr>
        <w:spacing w:line="360" w:lineRule="auto"/>
        <w:jc w:val="center"/>
        <w:rPr>
          <w:rFonts w:ascii="宋体" w:hAnsi="宋体" w:cs="宋体"/>
          <w:b/>
          <w:color w:val="auto"/>
          <w:sz w:val="24"/>
          <w:highlight w:val="none"/>
        </w:rPr>
      </w:pPr>
    </w:p>
    <w:p w14:paraId="361181D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9BDF7C2">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900F0E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62E082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62E6DD2">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F5FFD6D">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F29888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6152717">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551DB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EF183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7291A8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0B1E4CF">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C9B23B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FEF59B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0749BB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11DCEE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FDBD1CB">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792FCB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B375BB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90CC89C">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C6C5ED2">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F8864C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0EF7A0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174F4B3">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7D430CE3">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879473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ACBCCE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CEE0EF1">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1199973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0D5D6B9">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6DD4C3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2D63E7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221155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BF489D2">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6739BE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948C909">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54E65F1A">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C04A618">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27C0D18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3FE0F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9DC0E7D">
      <w:pPr>
        <w:spacing w:line="360" w:lineRule="auto"/>
        <w:rPr>
          <w:rFonts w:ascii="宋体" w:hAnsi="宋体" w:cs="宋体"/>
          <w:b/>
          <w:color w:val="auto"/>
          <w:sz w:val="24"/>
          <w:highlight w:val="none"/>
        </w:rPr>
      </w:pPr>
    </w:p>
    <w:p w14:paraId="19BA92D8">
      <w:pPr>
        <w:spacing w:line="360" w:lineRule="auto"/>
        <w:rPr>
          <w:rFonts w:ascii="宋体" w:hAnsi="宋体" w:cs="宋体"/>
          <w:b/>
          <w:color w:val="auto"/>
          <w:sz w:val="24"/>
          <w:highlight w:val="none"/>
        </w:rPr>
      </w:pPr>
    </w:p>
    <w:p w14:paraId="0F7E9920">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1148E84">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F1A6DF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6F4F0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8C4C27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2907C7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E16E43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793600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DAB0A58">
      <w:pPr>
        <w:spacing w:line="360" w:lineRule="auto"/>
        <w:rPr>
          <w:rFonts w:ascii="宋体" w:hAnsi="宋体" w:cs="宋体"/>
          <w:b/>
          <w:color w:val="auto"/>
          <w:sz w:val="24"/>
          <w:highlight w:val="none"/>
        </w:rPr>
      </w:pPr>
    </w:p>
    <w:p w14:paraId="6A31675C">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465F3C2">
      <w:pPr>
        <w:spacing w:line="360" w:lineRule="auto"/>
        <w:rPr>
          <w:rFonts w:ascii="宋体" w:hAnsi="宋体" w:cs="宋体"/>
          <w:color w:val="auto"/>
          <w:sz w:val="24"/>
          <w:highlight w:val="none"/>
          <w:u w:val="single"/>
        </w:rPr>
      </w:pPr>
    </w:p>
    <w:p w14:paraId="3E747C02">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浙江省食品药品检验研究院</w:t>
      </w:r>
      <w:r>
        <w:rPr>
          <w:rFonts w:hint="eastAsia" w:ascii="宋体" w:hAnsi="宋体" w:cs="宋体"/>
          <w:color w:val="auto"/>
          <w:sz w:val="24"/>
          <w:highlight w:val="none"/>
          <w:u w:val="single"/>
        </w:rPr>
        <w:t>：</w:t>
      </w:r>
    </w:p>
    <w:p w14:paraId="1738CDC1">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lang w:eastAsia="zh-CN"/>
        </w:rPr>
        <w:t>浙江省食品药品检验研究院2025年度软硬件运维及机房租赁项目</w:t>
      </w:r>
      <w:r>
        <w:rPr>
          <w:rFonts w:hint="eastAsia" w:ascii="宋体" w:hAnsi="宋体" w:cs="宋体"/>
          <w:color w:val="auto"/>
          <w:sz w:val="24"/>
          <w:highlight w:val="none"/>
          <w:u w:val="single"/>
        </w:rPr>
        <w:t>【项目编号：</w:t>
      </w:r>
      <w:r>
        <w:rPr>
          <w:rFonts w:hint="eastAsia" w:ascii="宋体" w:hAnsi="宋体" w:cs="宋体"/>
          <w:color w:val="auto"/>
          <w:sz w:val="24"/>
          <w:highlight w:val="none"/>
          <w:u w:val="single"/>
          <w:lang w:eastAsia="zh-CN"/>
        </w:rPr>
        <w:t>ZJ-2580232-06</w:t>
      </w:r>
      <w:r>
        <w:rPr>
          <w:rFonts w:hint="eastAsia" w:ascii="宋体" w:hAnsi="宋体" w:cs="宋体"/>
          <w:color w:val="auto"/>
          <w:sz w:val="24"/>
          <w:highlight w:val="none"/>
          <w:u w:val="singl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2CD14D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9413D1E">
      <w:pPr>
        <w:spacing w:line="360" w:lineRule="auto"/>
        <w:ind w:firstLine="494"/>
        <w:rPr>
          <w:rFonts w:ascii="宋体" w:hAnsi="宋体" w:cs="宋体"/>
          <w:color w:val="auto"/>
          <w:sz w:val="24"/>
          <w:highlight w:val="none"/>
        </w:rPr>
      </w:pPr>
    </w:p>
    <w:p w14:paraId="04B6EAD9">
      <w:pPr>
        <w:spacing w:line="360" w:lineRule="auto"/>
        <w:ind w:firstLine="494"/>
        <w:rPr>
          <w:rFonts w:ascii="宋体" w:hAnsi="宋体" w:cs="宋体"/>
          <w:color w:val="auto"/>
          <w:sz w:val="24"/>
          <w:highlight w:val="none"/>
        </w:rPr>
      </w:pPr>
    </w:p>
    <w:p w14:paraId="31C54CD4">
      <w:pPr>
        <w:spacing w:line="360" w:lineRule="auto"/>
        <w:ind w:firstLine="494"/>
        <w:rPr>
          <w:rFonts w:ascii="宋体" w:hAnsi="宋体" w:cs="宋体"/>
          <w:color w:val="auto"/>
          <w:sz w:val="24"/>
          <w:highlight w:val="none"/>
        </w:rPr>
      </w:pPr>
    </w:p>
    <w:p w14:paraId="7C22CB62">
      <w:pPr>
        <w:spacing w:line="360" w:lineRule="auto"/>
        <w:ind w:firstLine="494"/>
        <w:rPr>
          <w:rFonts w:ascii="宋体" w:hAnsi="宋体" w:cs="宋体"/>
          <w:color w:val="auto"/>
          <w:sz w:val="24"/>
          <w:highlight w:val="none"/>
        </w:rPr>
      </w:pPr>
    </w:p>
    <w:p w14:paraId="10A7E1E7">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6A7CDA31">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B1A9B8A">
      <w:pPr>
        <w:rPr>
          <w:rFonts w:ascii="宋体" w:hAnsi="宋体" w:cs="宋体"/>
          <w:color w:val="auto"/>
          <w:sz w:val="24"/>
          <w:highlight w:val="none"/>
        </w:rPr>
      </w:pPr>
      <w:r>
        <w:rPr>
          <w:rFonts w:hint="eastAsia" w:ascii="宋体" w:hAnsi="宋体" w:cs="宋体"/>
          <w:b/>
          <w:bCs/>
          <w:color w:val="auto"/>
          <w:sz w:val="24"/>
          <w:highlight w:val="none"/>
        </w:rPr>
        <w:t>附：</w:t>
      </w:r>
    </w:p>
    <w:p w14:paraId="3930625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6526DD64">
      <w:pPr>
        <w:autoSpaceDE w:val="0"/>
        <w:autoSpaceDN w:val="0"/>
        <w:jc w:val="center"/>
        <w:rPr>
          <w:rFonts w:ascii="宋体" w:hAnsi="宋体" w:cs="宋体"/>
          <w:b/>
          <w:color w:val="auto"/>
          <w:spacing w:val="6"/>
          <w:sz w:val="32"/>
          <w:szCs w:val="32"/>
          <w:highlight w:val="none"/>
        </w:rPr>
      </w:pPr>
    </w:p>
    <w:p w14:paraId="46B85554">
      <w:pPr>
        <w:autoSpaceDE w:val="0"/>
        <w:autoSpaceDN w:val="0"/>
        <w:jc w:val="center"/>
        <w:rPr>
          <w:rFonts w:ascii="宋体" w:hAnsi="宋体" w:cs="宋体"/>
          <w:b/>
          <w:color w:val="auto"/>
          <w:spacing w:val="6"/>
          <w:sz w:val="32"/>
          <w:szCs w:val="32"/>
          <w:highlight w:val="none"/>
        </w:rPr>
      </w:pPr>
    </w:p>
    <w:p w14:paraId="737F1C60">
      <w:pPr>
        <w:autoSpaceDE w:val="0"/>
        <w:autoSpaceDN w:val="0"/>
        <w:jc w:val="center"/>
        <w:rPr>
          <w:rFonts w:ascii="宋体" w:hAnsi="宋体" w:cs="宋体"/>
          <w:b/>
          <w:color w:val="auto"/>
          <w:spacing w:val="6"/>
          <w:sz w:val="32"/>
          <w:szCs w:val="32"/>
          <w:highlight w:val="none"/>
        </w:rPr>
      </w:pPr>
    </w:p>
    <w:p w14:paraId="244440EC">
      <w:pPr>
        <w:autoSpaceDE w:val="0"/>
        <w:autoSpaceDN w:val="0"/>
        <w:jc w:val="center"/>
        <w:rPr>
          <w:rFonts w:ascii="宋体" w:hAnsi="宋体" w:cs="宋体"/>
          <w:b/>
          <w:color w:val="auto"/>
          <w:spacing w:val="6"/>
          <w:sz w:val="32"/>
          <w:szCs w:val="32"/>
          <w:highlight w:val="none"/>
        </w:rPr>
      </w:pPr>
    </w:p>
    <w:p w14:paraId="253E72E4">
      <w:pPr>
        <w:autoSpaceDE w:val="0"/>
        <w:autoSpaceDN w:val="0"/>
        <w:jc w:val="center"/>
        <w:rPr>
          <w:rFonts w:ascii="宋体" w:hAnsi="宋体" w:cs="宋体"/>
          <w:b/>
          <w:color w:val="auto"/>
          <w:spacing w:val="6"/>
          <w:sz w:val="32"/>
          <w:szCs w:val="32"/>
          <w:highlight w:val="none"/>
        </w:rPr>
      </w:pPr>
    </w:p>
    <w:p w14:paraId="4AF08B4F">
      <w:pPr>
        <w:autoSpaceDE w:val="0"/>
        <w:autoSpaceDN w:val="0"/>
        <w:jc w:val="center"/>
        <w:rPr>
          <w:rFonts w:ascii="宋体" w:hAnsi="宋体" w:cs="宋体"/>
          <w:b/>
          <w:color w:val="auto"/>
          <w:spacing w:val="6"/>
          <w:sz w:val="32"/>
          <w:szCs w:val="32"/>
          <w:highlight w:val="none"/>
        </w:rPr>
      </w:pPr>
    </w:p>
    <w:p w14:paraId="6C0061D3">
      <w:pPr>
        <w:autoSpaceDE w:val="0"/>
        <w:autoSpaceDN w:val="0"/>
        <w:jc w:val="center"/>
        <w:rPr>
          <w:rFonts w:ascii="宋体" w:hAnsi="宋体" w:cs="宋体"/>
          <w:b/>
          <w:color w:val="auto"/>
          <w:spacing w:val="6"/>
          <w:sz w:val="32"/>
          <w:szCs w:val="32"/>
          <w:highlight w:val="none"/>
        </w:rPr>
      </w:pPr>
    </w:p>
    <w:p w14:paraId="27636EA8">
      <w:pPr>
        <w:autoSpaceDE w:val="0"/>
        <w:autoSpaceDN w:val="0"/>
        <w:jc w:val="center"/>
        <w:rPr>
          <w:rFonts w:ascii="宋体" w:hAnsi="宋体" w:cs="宋体"/>
          <w:b/>
          <w:color w:val="auto"/>
          <w:spacing w:val="6"/>
          <w:sz w:val="32"/>
          <w:szCs w:val="32"/>
          <w:highlight w:val="none"/>
        </w:rPr>
      </w:pPr>
    </w:p>
    <w:p w14:paraId="07D79BE2">
      <w:pPr>
        <w:autoSpaceDE w:val="0"/>
        <w:autoSpaceDN w:val="0"/>
        <w:jc w:val="center"/>
        <w:rPr>
          <w:rFonts w:ascii="宋体" w:hAnsi="宋体" w:cs="宋体"/>
          <w:b/>
          <w:color w:val="auto"/>
          <w:spacing w:val="6"/>
          <w:sz w:val="32"/>
          <w:szCs w:val="32"/>
          <w:highlight w:val="none"/>
        </w:rPr>
      </w:pPr>
    </w:p>
    <w:p w14:paraId="10082CCB">
      <w:pPr>
        <w:autoSpaceDE w:val="0"/>
        <w:autoSpaceDN w:val="0"/>
        <w:jc w:val="center"/>
        <w:rPr>
          <w:rFonts w:ascii="宋体" w:hAnsi="宋体" w:cs="宋体"/>
          <w:b/>
          <w:color w:val="auto"/>
          <w:spacing w:val="6"/>
          <w:sz w:val="32"/>
          <w:szCs w:val="32"/>
          <w:highlight w:val="none"/>
        </w:rPr>
      </w:pPr>
    </w:p>
    <w:p w14:paraId="3804312B">
      <w:pPr>
        <w:autoSpaceDE w:val="0"/>
        <w:autoSpaceDN w:val="0"/>
        <w:jc w:val="center"/>
        <w:rPr>
          <w:rFonts w:ascii="宋体" w:hAnsi="宋体" w:cs="宋体"/>
          <w:b/>
          <w:color w:val="auto"/>
          <w:spacing w:val="6"/>
          <w:sz w:val="32"/>
          <w:szCs w:val="32"/>
          <w:highlight w:val="none"/>
        </w:rPr>
      </w:pPr>
    </w:p>
    <w:p w14:paraId="473153F3">
      <w:pPr>
        <w:autoSpaceDE w:val="0"/>
        <w:autoSpaceDN w:val="0"/>
        <w:jc w:val="center"/>
        <w:rPr>
          <w:rFonts w:ascii="宋体" w:hAnsi="宋体" w:cs="宋体"/>
          <w:b/>
          <w:color w:val="auto"/>
          <w:spacing w:val="6"/>
          <w:sz w:val="32"/>
          <w:szCs w:val="32"/>
          <w:highlight w:val="none"/>
        </w:rPr>
      </w:pPr>
    </w:p>
    <w:p w14:paraId="4C87EC4E">
      <w:pPr>
        <w:autoSpaceDE w:val="0"/>
        <w:autoSpaceDN w:val="0"/>
        <w:jc w:val="center"/>
        <w:rPr>
          <w:rFonts w:ascii="宋体" w:hAnsi="宋体" w:cs="宋体"/>
          <w:b/>
          <w:color w:val="auto"/>
          <w:spacing w:val="6"/>
          <w:sz w:val="32"/>
          <w:szCs w:val="32"/>
          <w:highlight w:val="none"/>
        </w:rPr>
      </w:pPr>
    </w:p>
    <w:p w14:paraId="6BB1A82A">
      <w:pPr>
        <w:autoSpaceDE w:val="0"/>
        <w:autoSpaceDN w:val="0"/>
        <w:jc w:val="center"/>
        <w:rPr>
          <w:rFonts w:ascii="宋体" w:hAnsi="宋体" w:cs="宋体"/>
          <w:b/>
          <w:color w:val="auto"/>
          <w:spacing w:val="6"/>
          <w:sz w:val="32"/>
          <w:szCs w:val="32"/>
          <w:highlight w:val="none"/>
        </w:rPr>
      </w:pPr>
    </w:p>
    <w:p w14:paraId="450175C0">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B1A4C99">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附件5：</w:t>
      </w:r>
      <w:r>
        <w:rPr>
          <w:rFonts w:hint="eastAsia" w:ascii="宋体" w:hAnsi="宋体" w:cs="宋体"/>
          <w:b/>
          <w:color w:val="auto"/>
          <w:kern w:val="0"/>
          <w:sz w:val="32"/>
          <w:szCs w:val="32"/>
          <w:highlight w:val="none"/>
          <w:lang w:val="zh-CN"/>
        </w:rPr>
        <w:t>联合协议</w:t>
      </w:r>
    </w:p>
    <w:p w14:paraId="1D8D651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9BD49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u w:val="single"/>
          <w:lang w:eastAsia="zh-CN"/>
        </w:rPr>
        <w:t>浙江省食品药品检验研究院2025年度软硬件运维及机房租赁项目</w:t>
      </w:r>
      <w:r>
        <w:rPr>
          <w:rFonts w:hint="eastAsia" w:ascii="宋体" w:hAnsi="宋体" w:cs="宋体"/>
          <w:color w:val="auto"/>
          <w:sz w:val="24"/>
          <w:highlight w:val="none"/>
          <w:u w:val="single"/>
        </w:rPr>
        <w:t>【项目编号：</w:t>
      </w:r>
      <w:r>
        <w:rPr>
          <w:rFonts w:hint="eastAsia" w:ascii="宋体" w:hAnsi="宋体" w:cs="宋体"/>
          <w:color w:val="auto"/>
          <w:sz w:val="24"/>
          <w:highlight w:val="none"/>
          <w:u w:val="single"/>
          <w:lang w:eastAsia="zh-CN"/>
        </w:rPr>
        <w:t>ZJ-2580232-06</w:t>
      </w:r>
      <w:r>
        <w:rPr>
          <w:rFonts w:hint="eastAsia" w:ascii="宋体" w:hAnsi="宋体" w:cs="宋体"/>
          <w:color w:val="auto"/>
          <w:sz w:val="24"/>
          <w:highlight w:val="none"/>
          <w:u w:val="single"/>
        </w:rPr>
        <w:t>】</w:t>
      </w:r>
      <w:r>
        <w:rPr>
          <w:rFonts w:hint="eastAsia" w:ascii="宋体" w:hAnsi="宋体" w:cs="宋体"/>
          <w:color w:val="auto"/>
          <w:kern w:val="0"/>
          <w:sz w:val="24"/>
          <w:highlight w:val="none"/>
          <w:lang w:val="zh-CN"/>
        </w:rPr>
        <w:t xml:space="preserve">投标。 </w:t>
      </w:r>
    </w:p>
    <w:p w14:paraId="3D7F75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0C9EA1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等均对联合投标各方产生约束力。</w:t>
      </w:r>
    </w:p>
    <w:p w14:paraId="0D1DC8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4519AC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A9322E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C3A030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051BAFC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EC50918">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30" w:name="_Hlk101131882"/>
      <w:r>
        <w:rPr>
          <w:rFonts w:hint="eastAsia" w:ascii="宋体" w:hAnsi="宋体" w:cs="宋体"/>
          <w:color w:val="auto"/>
          <w:kern w:val="0"/>
          <w:sz w:val="24"/>
          <w:highlight w:val="none"/>
          <w:u w:val="single"/>
        </w:rPr>
        <w:t>联合体成员X,……</w:t>
      </w:r>
      <w:bookmarkEnd w:id="430"/>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31"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31"/>
      <w:r>
        <w:rPr>
          <w:rFonts w:hint="eastAsia" w:ascii="宋体" w:hAnsi="宋体" w:cs="宋体"/>
          <w:b/>
          <w:color w:val="auto"/>
          <w:kern w:val="0"/>
          <w:sz w:val="24"/>
          <w:highlight w:val="none"/>
          <w:lang w:val="zh-CN"/>
        </w:rPr>
        <w:t>）</w:t>
      </w:r>
    </w:p>
    <w:p w14:paraId="36DDC9A7">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3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32"/>
    </w:p>
    <w:p w14:paraId="4A35027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3B563A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FF06B0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8FDBEC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09D5D2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2D30271E">
      <w:pPr>
        <w:snapToGrid w:val="0"/>
        <w:spacing w:line="360" w:lineRule="auto"/>
        <w:ind w:firstLine="5040" w:firstLineChars="2100"/>
        <w:rPr>
          <w:rFonts w:ascii="宋体" w:hAnsi="宋体" w:cs="宋体"/>
          <w:color w:val="auto"/>
          <w:kern w:val="0"/>
          <w:sz w:val="24"/>
          <w:highlight w:val="none"/>
          <w:lang w:val="zh-CN"/>
        </w:rPr>
      </w:pPr>
    </w:p>
    <w:p w14:paraId="2CF75355">
      <w:pPr>
        <w:snapToGrid w:val="0"/>
        <w:spacing w:line="360" w:lineRule="auto"/>
        <w:ind w:firstLine="5040" w:firstLineChars="2100"/>
        <w:rPr>
          <w:rFonts w:ascii="宋体" w:hAnsi="宋体" w:cs="宋体"/>
          <w:color w:val="auto"/>
          <w:kern w:val="0"/>
          <w:sz w:val="24"/>
          <w:highlight w:val="none"/>
          <w:lang w:val="zh-CN"/>
        </w:rPr>
      </w:pPr>
    </w:p>
    <w:p w14:paraId="60764D26">
      <w:pPr>
        <w:snapToGrid w:val="0"/>
        <w:spacing w:line="360" w:lineRule="auto"/>
        <w:ind w:firstLine="2940" w:firstLineChars="1225"/>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3C0D221">
      <w:pPr>
        <w:snapToGrid w:val="0"/>
        <w:spacing w:line="360" w:lineRule="auto"/>
        <w:ind w:firstLine="2940" w:firstLineChars="1225"/>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95D1C65">
      <w:pPr>
        <w:snapToGrid w:val="0"/>
        <w:spacing w:line="360" w:lineRule="auto"/>
        <w:ind w:right="960" w:firstLine="2940" w:firstLineChars="1225"/>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9CBC67C">
      <w:pPr>
        <w:snapToGrid w:val="0"/>
        <w:spacing w:line="360" w:lineRule="auto"/>
        <w:ind w:firstLine="2940" w:firstLineChars="1225"/>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A7EE353">
      <w:pPr>
        <w:spacing w:line="360" w:lineRule="auto"/>
        <w:ind w:right="420"/>
        <w:rPr>
          <w:rFonts w:ascii="宋体" w:hAnsi="宋体" w:cs="宋体"/>
          <w:color w:val="auto"/>
          <w:sz w:val="24"/>
          <w:highlight w:val="none"/>
        </w:rPr>
      </w:pPr>
    </w:p>
    <w:p w14:paraId="562E3A0F">
      <w:pPr>
        <w:spacing w:line="360" w:lineRule="auto"/>
        <w:ind w:right="420"/>
        <w:rPr>
          <w:rFonts w:ascii="宋体" w:hAnsi="宋体" w:cs="宋体"/>
          <w:color w:val="auto"/>
          <w:sz w:val="24"/>
          <w:highlight w:val="none"/>
        </w:rPr>
      </w:pPr>
    </w:p>
    <w:p w14:paraId="6B733A9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注：1.按本格式和要求提供。</w:t>
      </w:r>
    </w:p>
    <w:p w14:paraId="6DAD4279">
      <w:pPr>
        <w:spacing w:line="360" w:lineRule="auto"/>
        <w:ind w:firstLine="420" w:firstLineChars="175"/>
        <w:jc w:val="left"/>
        <w:rPr>
          <w:rFonts w:ascii="宋体" w:hAnsi="宋体" w:cs="宋体"/>
          <w:b/>
          <w:color w:val="auto"/>
          <w:spacing w:val="6"/>
          <w:sz w:val="32"/>
          <w:szCs w:val="32"/>
          <w:highlight w:val="none"/>
        </w:rPr>
      </w:pPr>
      <w:r>
        <w:rPr>
          <w:rFonts w:hint="eastAsia" w:ascii="宋体" w:hAnsi="宋体" w:cs="宋体"/>
          <w:color w:val="auto"/>
          <w:sz w:val="24"/>
          <w:highlight w:val="none"/>
        </w:rPr>
        <w:t>2.组成联合体或者接受分包合同的中小企业与联合体内其他企业、分包企业之间不得存在直接控股、管理关系。</w:t>
      </w:r>
    </w:p>
    <w:p w14:paraId="6E066709">
      <w:pPr>
        <w:autoSpaceDE w:val="0"/>
        <w:autoSpaceDN w:val="0"/>
        <w:jc w:val="center"/>
        <w:rPr>
          <w:rFonts w:ascii="宋体" w:hAnsi="宋体" w:cs="宋体"/>
          <w:b/>
          <w:color w:val="auto"/>
          <w:spacing w:val="6"/>
          <w:sz w:val="32"/>
          <w:szCs w:val="32"/>
          <w:highlight w:val="none"/>
        </w:rPr>
      </w:pPr>
    </w:p>
    <w:p w14:paraId="768B9681">
      <w:pPr>
        <w:autoSpaceDE w:val="0"/>
        <w:autoSpaceDN w:val="0"/>
        <w:jc w:val="center"/>
        <w:rPr>
          <w:rFonts w:ascii="宋体" w:hAnsi="宋体" w:cs="宋体"/>
          <w:b/>
          <w:color w:val="auto"/>
          <w:spacing w:val="6"/>
          <w:sz w:val="32"/>
          <w:szCs w:val="32"/>
          <w:highlight w:val="none"/>
        </w:rPr>
      </w:pPr>
    </w:p>
    <w:p w14:paraId="11AC9497">
      <w:pPr>
        <w:autoSpaceDE w:val="0"/>
        <w:autoSpaceDN w:val="0"/>
        <w:jc w:val="center"/>
        <w:rPr>
          <w:rFonts w:ascii="宋体" w:hAnsi="宋体" w:cs="宋体"/>
          <w:b/>
          <w:color w:val="auto"/>
          <w:spacing w:val="6"/>
          <w:sz w:val="32"/>
          <w:szCs w:val="32"/>
          <w:highlight w:val="none"/>
        </w:rPr>
      </w:pPr>
    </w:p>
    <w:p w14:paraId="5106A886">
      <w:pPr>
        <w:autoSpaceDE w:val="0"/>
        <w:autoSpaceDN w:val="0"/>
        <w:jc w:val="center"/>
        <w:rPr>
          <w:rFonts w:ascii="宋体" w:hAnsi="宋体" w:cs="宋体"/>
          <w:b/>
          <w:color w:val="auto"/>
          <w:spacing w:val="6"/>
          <w:sz w:val="32"/>
          <w:szCs w:val="32"/>
          <w:highlight w:val="none"/>
        </w:rPr>
      </w:pPr>
    </w:p>
    <w:p w14:paraId="3A6D5A10">
      <w:pPr>
        <w:autoSpaceDE w:val="0"/>
        <w:autoSpaceDN w:val="0"/>
        <w:jc w:val="center"/>
        <w:rPr>
          <w:rFonts w:ascii="宋体" w:hAnsi="宋体" w:cs="宋体"/>
          <w:b/>
          <w:color w:val="auto"/>
          <w:spacing w:val="6"/>
          <w:sz w:val="32"/>
          <w:szCs w:val="32"/>
          <w:highlight w:val="none"/>
        </w:rPr>
      </w:pPr>
    </w:p>
    <w:p w14:paraId="59A585F3">
      <w:pPr>
        <w:autoSpaceDE w:val="0"/>
        <w:autoSpaceDN w:val="0"/>
        <w:jc w:val="center"/>
        <w:rPr>
          <w:rFonts w:ascii="宋体" w:hAnsi="宋体" w:cs="宋体"/>
          <w:b/>
          <w:color w:val="auto"/>
          <w:spacing w:val="6"/>
          <w:sz w:val="32"/>
          <w:szCs w:val="32"/>
          <w:highlight w:val="none"/>
        </w:rPr>
      </w:pPr>
    </w:p>
    <w:p w14:paraId="26982BB7">
      <w:pPr>
        <w:autoSpaceDE w:val="0"/>
        <w:autoSpaceDN w:val="0"/>
        <w:jc w:val="center"/>
        <w:rPr>
          <w:rFonts w:ascii="宋体" w:hAnsi="宋体" w:cs="宋体"/>
          <w:b/>
          <w:color w:val="auto"/>
          <w:spacing w:val="6"/>
          <w:sz w:val="32"/>
          <w:szCs w:val="32"/>
          <w:highlight w:val="none"/>
        </w:rPr>
      </w:pPr>
    </w:p>
    <w:p w14:paraId="44241D27">
      <w:pPr>
        <w:autoSpaceDE w:val="0"/>
        <w:autoSpaceDN w:val="0"/>
        <w:jc w:val="center"/>
        <w:rPr>
          <w:rFonts w:ascii="宋体" w:hAnsi="宋体" w:cs="宋体"/>
          <w:b/>
          <w:color w:val="auto"/>
          <w:spacing w:val="6"/>
          <w:sz w:val="32"/>
          <w:szCs w:val="32"/>
          <w:highlight w:val="none"/>
        </w:rPr>
      </w:pPr>
    </w:p>
    <w:p w14:paraId="7B3C6572">
      <w:pPr>
        <w:autoSpaceDE w:val="0"/>
        <w:autoSpaceDN w:val="0"/>
        <w:jc w:val="center"/>
        <w:rPr>
          <w:rFonts w:ascii="宋体" w:hAnsi="宋体" w:cs="宋体"/>
          <w:b/>
          <w:color w:val="auto"/>
          <w:spacing w:val="6"/>
          <w:sz w:val="32"/>
          <w:szCs w:val="32"/>
          <w:highlight w:val="none"/>
        </w:rPr>
      </w:pPr>
    </w:p>
    <w:p w14:paraId="52FFB335">
      <w:pPr>
        <w:autoSpaceDE w:val="0"/>
        <w:autoSpaceDN w:val="0"/>
        <w:jc w:val="center"/>
        <w:rPr>
          <w:rFonts w:ascii="宋体" w:hAnsi="宋体" w:cs="宋体"/>
          <w:b/>
          <w:color w:val="auto"/>
          <w:spacing w:val="6"/>
          <w:sz w:val="32"/>
          <w:szCs w:val="32"/>
          <w:highlight w:val="none"/>
        </w:rPr>
      </w:pPr>
    </w:p>
    <w:p w14:paraId="3C1717E9">
      <w:pPr>
        <w:autoSpaceDE w:val="0"/>
        <w:autoSpaceDN w:val="0"/>
        <w:jc w:val="center"/>
        <w:rPr>
          <w:rFonts w:ascii="宋体" w:hAnsi="宋体" w:cs="宋体"/>
          <w:b/>
          <w:color w:val="auto"/>
          <w:spacing w:val="6"/>
          <w:sz w:val="32"/>
          <w:szCs w:val="32"/>
          <w:highlight w:val="none"/>
        </w:rPr>
      </w:pPr>
    </w:p>
    <w:p w14:paraId="417E6183">
      <w:pPr>
        <w:autoSpaceDE w:val="0"/>
        <w:autoSpaceDN w:val="0"/>
        <w:jc w:val="center"/>
        <w:rPr>
          <w:rFonts w:ascii="宋体" w:hAnsi="宋体" w:cs="宋体"/>
          <w:b/>
          <w:color w:val="auto"/>
          <w:spacing w:val="6"/>
          <w:sz w:val="32"/>
          <w:szCs w:val="32"/>
          <w:highlight w:val="none"/>
        </w:rPr>
      </w:pPr>
    </w:p>
    <w:p w14:paraId="3720DF6A">
      <w:pPr>
        <w:autoSpaceDE w:val="0"/>
        <w:autoSpaceDN w:val="0"/>
        <w:jc w:val="center"/>
        <w:rPr>
          <w:rFonts w:ascii="宋体" w:hAnsi="宋体" w:cs="宋体"/>
          <w:b/>
          <w:color w:val="auto"/>
          <w:spacing w:val="6"/>
          <w:sz w:val="32"/>
          <w:szCs w:val="32"/>
          <w:highlight w:val="none"/>
        </w:rPr>
      </w:pPr>
    </w:p>
    <w:p w14:paraId="3FA9AC90">
      <w:pPr>
        <w:autoSpaceDE w:val="0"/>
        <w:autoSpaceDN w:val="0"/>
        <w:jc w:val="center"/>
        <w:rPr>
          <w:rFonts w:ascii="宋体" w:hAnsi="宋体" w:cs="宋体"/>
          <w:b/>
          <w:color w:val="auto"/>
          <w:spacing w:val="6"/>
          <w:sz w:val="32"/>
          <w:szCs w:val="32"/>
          <w:highlight w:val="none"/>
        </w:rPr>
      </w:pPr>
    </w:p>
    <w:p w14:paraId="568E67BB">
      <w:pPr>
        <w:autoSpaceDE w:val="0"/>
        <w:autoSpaceDN w:val="0"/>
        <w:jc w:val="center"/>
        <w:rPr>
          <w:rFonts w:ascii="宋体" w:hAnsi="宋体" w:cs="宋体"/>
          <w:b/>
          <w:color w:val="auto"/>
          <w:spacing w:val="6"/>
          <w:sz w:val="32"/>
          <w:szCs w:val="32"/>
          <w:highlight w:val="none"/>
        </w:rPr>
      </w:pPr>
    </w:p>
    <w:p w14:paraId="2A88C0E8">
      <w:pPr>
        <w:autoSpaceDE w:val="0"/>
        <w:autoSpaceDN w:val="0"/>
        <w:jc w:val="center"/>
        <w:rPr>
          <w:rFonts w:ascii="宋体" w:hAnsi="宋体" w:cs="宋体"/>
          <w:b/>
          <w:color w:val="auto"/>
          <w:spacing w:val="6"/>
          <w:sz w:val="32"/>
          <w:szCs w:val="32"/>
          <w:highlight w:val="none"/>
        </w:rPr>
      </w:pPr>
    </w:p>
    <w:p w14:paraId="1A4302CA">
      <w:pPr>
        <w:autoSpaceDE w:val="0"/>
        <w:autoSpaceDN w:val="0"/>
        <w:jc w:val="center"/>
        <w:rPr>
          <w:rFonts w:ascii="宋体" w:hAnsi="宋体" w:cs="宋体"/>
          <w:b/>
          <w:color w:val="auto"/>
          <w:spacing w:val="6"/>
          <w:sz w:val="32"/>
          <w:szCs w:val="32"/>
          <w:highlight w:val="none"/>
        </w:rPr>
      </w:pPr>
    </w:p>
    <w:p w14:paraId="6CFFDE52">
      <w:pPr>
        <w:autoSpaceDE w:val="0"/>
        <w:autoSpaceDN w:val="0"/>
        <w:jc w:val="center"/>
        <w:rPr>
          <w:rFonts w:ascii="宋体" w:hAnsi="宋体" w:cs="宋体"/>
          <w:b/>
          <w:color w:val="auto"/>
          <w:spacing w:val="6"/>
          <w:sz w:val="32"/>
          <w:szCs w:val="32"/>
          <w:highlight w:val="none"/>
        </w:rPr>
      </w:pPr>
    </w:p>
    <w:p w14:paraId="2C386914">
      <w:pPr>
        <w:autoSpaceDE w:val="0"/>
        <w:autoSpaceDN w:val="0"/>
        <w:jc w:val="center"/>
        <w:rPr>
          <w:rFonts w:ascii="宋体" w:hAnsi="宋体" w:cs="宋体"/>
          <w:b/>
          <w:color w:val="auto"/>
          <w:spacing w:val="6"/>
          <w:sz w:val="32"/>
          <w:szCs w:val="32"/>
          <w:highlight w:val="none"/>
        </w:rPr>
      </w:pPr>
    </w:p>
    <w:p w14:paraId="0C97F3BB">
      <w:pPr>
        <w:widowControl/>
        <w:adjustRightInd/>
        <w:jc w:val="left"/>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br w:type="page"/>
      </w:r>
      <w:r>
        <w:rPr>
          <w:rFonts w:hint="eastAsia" w:ascii="宋体" w:hAnsi="宋体" w:cs="宋体"/>
          <w:b/>
          <w:color w:val="auto"/>
          <w:spacing w:val="6"/>
          <w:sz w:val="32"/>
          <w:szCs w:val="32"/>
          <w:highlight w:val="none"/>
        </w:rPr>
        <w:t>附件6：</w:t>
      </w:r>
      <w:r>
        <w:rPr>
          <w:rFonts w:hint="eastAsia" w:ascii="宋体" w:hAnsi="宋体" w:cs="宋体"/>
          <w:b/>
          <w:color w:val="auto"/>
          <w:kern w:val="0"/>
          <w:sz w:val="32"/>
          <w:szCs w:val="32"/>
          <w:highlight w:val="none"/>
        </w:rPr>
        <w:t>分包意向协议</w:t>
      </w:r>
    </w:p>
    <w:p w14:paraId="50CA5EE5">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7A2C9FE">
      <w:pPr>
        <w:snapToGrid w:val="0"/>
        <w:spacing w:line="360" w:lineRule="auto"/>
        <w:ind w:firstLine="576"/>
        <w:rPr>
          <w:rFonts w:ascii="宋体" w:hAnsi="宋体" w:cs="宋体"/>
          <w:color w:val="auto"/>
          <w:kern w:val="0"/>
          <w:sz w:val="24"/>
          <w:highlight w:val="none"/>
          <w:u w:val="single"/>
        </w:rPr>
      </w:pPr>
    </w:p>
    <w:p w14:paraId="6551ED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u w:val="single"/>
          <w:lang w:eastAsia="zh-CN"/>
        </w:rPr>
        <w:t>浙江省食品药品检验研究院2025年度软硬件运维及机房租赁项目</w:t>
      </w:r>
      <w:r>
        <w:rPr>
          <w:rFonts w:hint="eastAsia" w:ascii="宋体" w:hAnsi="宋体" w:cs="宋体"/>
          <w:color w:val="auto"/>
          <w:sz w:val="24"/>
          <w:highlight w:val="none"/>
          <w:u w:val="single"/>
        </w:rPr>
        <w:t>【项目编号：</w:t>
      </w:r>
      <w:r>
        <w:rPr>
          <w:rFonts w:hint="eastAsia" w:ascii="宋体" w:hAnsi="宋体" w:cs="宋体"/>
          <w:color w:val="auto"/>
          <w:sz w:val="24"/>
          <w:highlight w:val="none"/>
          <w:u w:val="single"/>
          <w:lang w:eastAsia="zh-CN"/>
        </w:rPr>
        <w:t>ZJ-2580232-06</w:t>
      </w:r>
      <w:r>
        <w:rPr>
          <w:rFonts w:hint="eastAsia" w:ascii="宋体" w:hAnsi="宋体" w:cs="宋体"/>
          <w:color w:val="auto"/>
          <w:sz w:val="24"/>
          <w:highlight w:val="none"/>
          <w:u w:val="singl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1C3A27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E0578B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81D6B4E">
      <w:pPr>
        <w:ind w:firstLine="638" w:firstLineChars="304"/>
        <w:rPr>
          <w:color w:val="auto"/>
          <w:highlight w:val="none"/>
        </w:rPr>
      </w:pPr>
      <w:r>
        <w:rPr>
          <w:rFonts w:hint="eastAsia"/>
          <w:color w:val="auto"/>
          <w:highlight w:val="none"/>
        </w:rPr>
        <w:t>……</w:t>
      </w:r>
    </w:p>
    <w:p w14:paraId="617777A3">
      <w:pPr>
        <w:rPr>
          <w:rFonts w:ascii="宋体" w:hAnsi="宋体" w:cs="宋体"/>
          <w:color w:val="auto"/>
          <w:highlight w:val="none"/>
        </w:rPr>
      </w:pPr>
      <w:r>
        <w:rPr>
          <w:rFonts w:hint="eastAsia" w:ascii="宋体" w:hAnsi="宋体" w:cs="宋体"/>
          <w:color w:val="auto"/>
          <w:highlight w:val="none"/>
          <w:lang w:val="zh-CN"/>
        </w:rPr>
        <w:t xml:space="preserve"> </w:t>
      </w:r>
    </w:p>
    <w:p w14:paraId="48CDA65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27CA4D4D">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（分包供应商X,……）提供的服务全部由小微企业承接，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BBA411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3DF6E3A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63EEA5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ABC59B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A37779B">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2FB483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531FA4F">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六、违约责任</w:t>
      </w:r>
    </w:p>
    <w:p w14:paraId="5B4886E7">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6027DE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3FA2A2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B17223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7E7946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w:t>
      </w:r>
    </w:p>
    <w:p w14:paraId="7CB4714A">
      <w:pPr>
        <w:snapToGrid w:val="0"/>
        <w:spacing w:line="360" w:lineRule="auto"/>
        <w:ind w:left="5758" w:leftChars="342" w:hanging="5040" w:hangingChars="2100"/>
        <w:rPr>
          <w:rFonts w:ascii="宋体" w:hAnsi="宋体" w:cs="宋体"/>
          <w:color w:val="auto"/>
          <w:kern w:val="0"/>
          <w:sz w:val="24"/>
          <w:highlight w:val="none"/>
          <w:lang w:val="zh-CN"/>
        </w:rPr>
      </w:pPr>
    </w:p>
    <w:p w14:paraId="4463D5DD">
      <w:pPr>
        <w:snapToGrid w:val="0"/>
        <w:spacing w:line="360" w:lineRule="auto"/>
        <w:ind w:left="17" w:leftChars="8" w:firstLine="698" w:firstLineChars="291"/>
        <w:rPr>
          <w:rFonts w:ascii="宋体" w:hAnsi="宋体" w:cs="宋体"/>
          <w:color w:val="auto"/>
          <w:sz w:val="24"/>
          <w:highlight w:val="none"/>
        </w:rPr>
      </w:pPr>
      <w:r>
        <w:rPr>
          <w:rFonts w:hint="eastAsia" w:ascii="宋体" w:hAnsi="宋体" w:cs="宋体"/>
          <w:color w:val="auto"/>
          <w:sz w:val="24"/>
          <w:highlight w:val="none"/>
        </w:rPr>
        <w:t>注：</w:t>
      </w:r>
    </w:p>
    <w:p w14:paraId="68C60C23">
      <w:pPr>
        <w:pStyle w:val="16"/>
        <w:rPr>
          <w:color w:val="auto"/>
          <w:highlight w:val="none"/>
          <w:lang w:val="zh-CN"/>
        </w:rPr>
      </w:pPr>
    </w:p>
    <w:p w14:paraId="6B68765C">
      <w:pPr>
        <w:snapToGrid w:val="0"/>
        <w:spacing w:line="360" w:lineRule="auto"/>
        <w:ind w:left="5757" w:leftChars="2000" w:hanging="1557" w:hangingChars="64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投标人名称（电子签名）：</w:t>
      </w:r>
    </w:p>
    <w:p w14:paraId="1063A632">
      <w:pPr>
        <w:snapToGrid w:val="0"/>
        <w:spacing w:line="360" w:lineRule="auto"/>
        <w:ind w:left="5757" w:leftChars="2000" w:hanging="1557" w:hangingChars="64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76718EE">
      <w:pPr>
        <w:snapToGrid w:val="0"/>
        <w:spacing w:line="360" w:lineRule="auto"/>
        <w:ind w:left="5757" w:leftChars="2000" w:hanging="1557" w:hangingChars="649"/>
        <w:rPr>
          <w:rFonts w:ascii="宋体" w:hAnsi="宋体" w:cs="宋体"/>
          <w:color w:val="auto"/>
          <w:highlight w:val="none"/>
        </w:rPr>
      </w:pPr>
      <w:r>
        <w:rPr>
          <w:rFonts w:hint="eastAsia" w:ascii="宋体" w:hAnsi="宋体" w:cs="宋体"/>
          <w:color w:val="auto"/>
          <w:kern w:val="0"/>
          <w:sz w:val="24"/>
          <w:highlight w:val="none"/>
          <w:lang w:val="zh-CN"/>
        </w:rPr>
        <w:t>……</w:t>
      </w:r>
    </w:p>
    <w:p w14:paraId="41E508C5">
      <w:pPr>
        <w:snapToGrid w:val="0"/>
        <w:spacing w:line="360" w:lineRule="auto"/>
        <w:ind w:left="5757" w:leftChars="2000" w:hanging="1557" w:hangingChars="64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81141A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注：1.按本格式和要求提供。</w:t>
      </w:r>
    </w:p>
    <w:p w14:paraId="03CF3165">
      <w:pPr>
        <w:spacing w:line="360" w:lineRule="auto"/>
        <w:ind w:firstLine="420" w:firstLineChars="175"/>
        <w:jc w:val="left"/>
        <w:rPr>
          <w:rFonts w:ascii="宋体" w:hAnsi="宋体" w:cs="宋体"/>
          <w:b/>
          <w:color w:val="auto"/>
          <w:spacing w:val="6"/>
          <w:sz w:val="32"/>
          <w:szCs w:val="32"/>
          <w:highlight w:val="none"/>
        </w:rPr>
      </w:pPr>
      <w:r>
        <w:rPr>
          <w:rFonts w:hint="eastAsia" w:ascii="宋体" w:hAnsi="宋体" w:cs="宋体"/>
          <w:color w:val="auto"/>
          <w:sz w:val="24"/>
          <w:highlight w:val="none"/>
        </w:rPr>
        <w:t>2.组成联合体或者接受分包合同的中小企业与联合体内其他企业、分包企业之间不得存在直接控股、管理关系。</w:t>
      </w:r>
    </w:p>
    <w:p w14:paraId="176DA189">
      <w:pPr>
        <w:autoSpaceDE w:val="0"/>
        <w:autoSpaceDN w:val="0"/>
        <w:jc w:val="center"/>
        <w:rPr>
          <w:rFonts w:ascii="宋体" w:hAnsi="宋体" w:cs="宋体"/>
          <w:b/>
          <w:color w:val="auto"/>
          <w:spacing w:val="6"/>
          <w:sz w:val="32"/>
          <w:szCs w:val="32"/>
          <w:highlight w:val="none"/>
        </w:rPr>
      </w:pPr>
    </w:p>
    <w:p w14:paraId="44360F2E">
      <w:pPr>
        <w:autoSpaceDE w:val="0"/>
        <w:autoSpaceDN w:val="0"/>
        <w:jc w:val="center"/>
        <w:rPr>
          <w:rFonts w:ascii="宋体" w:hAnsi="宋体" w:cs="宋体"/>
          <w:b/>
          <w:color w:val="auto"/>
          <w:spacing w:val="6"/>
          <w:sz w:val="32"/>
          <w:szCs w:val="32"/>
          <w:highlight w:val="none"/>
        </w:rPr>
      </w:pPr>
    </w:p>
    <w:p w14:paraId="07D25DCC">
      <w:pPr>
        <w:autoSpaceDE w:val="0"/>
        <w:autoSpaceDN w:val="0"/>
        <w:jc w:val="center"/>
        <w:rPr>
          <w:rFonts w:ascii="宋体" w:hAnsi="宋体" w:cs="宋体"/>
          <w:b/>
          <w:color w:val="auto"/>
          <w:spacing w:val="6"/>
          <w:sz w:val="32"/>
          <w:szCs w:val="32"/>
          <w:highlight w:val="none"/>
        </w:rPr>
      </w:pPr>
    </w:p>
    <w:p w14:paraId="7A94C19E">
      <w:pPr>
        <w:autoSpaceDE w:val="0"/>
        <w:autoSpaceDN w:val="0"/>
        <w:jc w:val="center"/>
        <w:rPr>
          <w:rFonts w:ascii="宋体" w:hAnsi="宋体" w:cs="宋体"/>
          <w:b/>
          <w:color w:val="auto"/>
          <w:spacing w:val="6"/>
          <w:sz w:val="32"/>
          <w:szCs w:val="32"/>
          <w:highlight w:val="none"/>
        </w:rPr>
      </w:pPr>
    </w:p>
    <w:p w14:paraId="526A4C37">
      <w:pPr>
        <w:autoSpaceDE w:val="0"/>
        <w:autoSpaceDN w:val="0"/>
        <w:jc w:val="center"/>
        <w:rPr>
          <w:rFonts w:ascii="宋体" w:hAnsi="宋体" w:cs="宋体"/>
          <w:b/>
          <w:color w:val="auto"/>
          <w:spacing w:val="6"/>
          <w:sz w:val="32"/>
          <w:szCs w:val="32"/>
          <w:highlight w:val="none"/>
        </w:rPr>
      </w:pPr>
    </w:p>
    <w:p w14:paraId="5566EC06">
      <w:pPr>
        <w:autoSpaceDE w:val="0"/>
        <w:autoSpaceDN w:val="0"/>
        <w:jc w:val="center"/>
        <w:rPr>
          <w:rFonts w:ascii="宋体" w:hAnsi="宋体" w:cs="宋体"/>
          <w:b/>
          <w:color w:val="auto"/>
          <w:spacing w:val="6"/>
          <w:sz w:val="32"/>
          <w:szCs w:val="32"/>
          <w:highlight w:val="none"/>
        </w:rPr>
      </w:pPr>
    </w:p>
    <w:p w14:paraId="2AB53888">
      <w:pPr>
        <w:autoSpaceDE w:val="0"/>
        <w:autoSpaceDN w:val="0"/>
        <w:jc w:val="center"/>
        <w:rPr>
          <w:rFonts w:ascii="宋体" w:hAnsi="宋体" w:cs="宋体"/>
          <w:b/>
          <w:color w:val="auto"/>
          <w:spacing w:val="6"/>
          <w:sz w:val="32"/>
          <w:szCs w:val="32"/>
          <w:highlight w:val="none"/>
        </w:rPr>
      </w:pPr>
    </w:p>
    <w:p w14:paraId="235E682D">
      <w:pPr>
        <w:autoSpaceDE w:val="0"/>
        <w:autoSpaceDN w:val="0"/>
        <w:jc w:val="center"/>
        <w:rPr>
          <w:rFonts w:ascii="宋体" w:hAnsi="宋体" w:cs="宋体"/>
          <w:b/>
          <w:color w:val="auto"/>
          <w:spacing w:val="6"/>
          <w:sz w:val="32"/>
          <w:szCs w:val="32"/>
          <w:highlight w:val="none"/>
        </w:rPr>
      </w:pPr>
    </w:p>
    <w:p w14:paraId="3662F536">
      <w:pPr>
        <w:autoSpaceDE w:val="0"/>
        <w:autoSpaceDN w:val="0"/>
        <w:jc w:val="center"/>
        <w:rPr>
          <w:rFonts w:ascii="宋体" w:hAnsi="宋体" w:cs="宋体"/>
          <w:b/>
          <w:color w:val="auto"/>
          <w:spacing w:val="6"/>
          <w:sz w:val="32"/>
          <w:szCs w:val="32"/>
          <w:highlight w:val="none"/>
        </w:rPr>
      </w:pPr>
    </w:p>
    <w:p w14:paraId="10A7F64A">
      <w:pPr>
        <w:autoSpaceDE w:val="0"/>
        <w:autoSpaceDN w:val="0"/>
        <w:jc w:val="center"/>
        <w:rPr>
          <w:rFonts w:ascii="宋体" w:hAnsi="宋体" w:cs="宋体"/>
          <w:b/>
          <w:color w:val="auto"/>
          <w:spacing w:val="6"/>
          <w:sz w:val="32"/>
          <w:szCs w:val="32"/>
          <w:highlight w:val="none"/>
        </w:rPr>
      </w:pPr>
    </w:p>
    <w:p w14:paraId="60EA2697">
      <w:pPr>
        <w:autoSpaceDE w:val="0"/>
        <w:autoSpaceDN w:val="0"/>
        <w:jc w:val="center"/>
        <w:rPr>
          <w:rFonts w:ascii="宋体" w:hAnsi="宋体" w:cs="宋体"/>
          <w:b/>
          <w:color w:val="auto"/>
          <w:spacing w:val="6"/>
          <w:sz w:val="32"/>
          <w:szCs w:val="32"/>
          <w:highlight w:val="none"/>
        </w:rPr>
      </w:pPr>
    </w:p>
    <w:p w14:paraId="293E9DBA">
      <w:pPr>
        <w:autoSpaceDE w:val="0"/>
        <w:autoSpaceDN w:val="0"/>
        <w:jc w:val="center"/>
        <w:rPr>
          <w:rFonts w:ascii="宋体" w:hAnsi="宋体" w:cs="宋体"/>
          <w:b/>
          <w:color w:val="auto"/>
          <w:spacing w:val="6"/>
          <w:sz w:val="32"/>
          <w:szCs w:val="32"/>
          <w:highlight w:val="none"/>
        </w:rPr>
      </w:pPr>
    </w:p>
    <w:p w14:paraId="1E26F8F7">
      <w:pPr>
        <w:autoSpaceDE w:val="0"/>
        <w:autoSpaceDN w:val="0"/>
        <w:jc w:val="center"/>
        <w:rPr>
          <w:rFonts w:ascii="宋体" w:hAnsi="宋体" w:cs="宋体"/>
          <w:b/>
          <w:color w:val="auto"/>
          <w:spacing w:val="6"/>
          <w:sz w:val="32"/>
          <w:szCs w:val="32"/>
          <w:highlight w:val="none"/>
        </w:rPr>
      </w:pPr>
    </w:p>
    <w:p w14:paraId="2E4D3F20">
      <w:pPr>
        <w:autoSpaceDE w:val="0"/>
        <w:autoSpaceDN w:val="0"/>
        <w:jc w:val="center"/>
        <w:rPr>
          <w:rFonts w:ascii="宋体" w:hAnsi="宋体" w:cs="宋体"/>
          <w:b/>
          <w:color w:val="auto"/>
          <w:spacing w:val="6"/>
          <w:sz w:val="32"/>
          <w:szCs w:val="32"/>
          <w:highlight w:val="none"/>
        </w:rPr>
      </w:pPr>
    </w:p>
    <w:p w14:paraId="5BCF31ED">
      <w:pPr>
        <w:autoSpaceDE w:val="0"/>
        <w:autoSpaceDN w:val="0"/>
        <w:jc w:val="center"/>
        <w:rPr>
          <w:rFonts w:ascii="宋体" w:hAnsi="宋体" w:cs="宋体"/>
          <w:b/>
          <w:color w:val="auto"/>
          <w:spacing w:val="6"/>
          <w:sz w:val="32"/>
          <w:szCs w:val="32"/>
          <w:highlight w:val="none"/>
        </w:rPr>
      </w:pPr>
    </w:p>
    <w:p w14:paraId="4C131AE0">
      <w:pPr>
        <w:autoSpaceDE w:val="0"/>
        <w:autoSpaceDN w:val="0"/>
        <w:jc w:val="center"/>
        <w:rPr>
          <w:rFonts w:ascii="宋体" w:hAnsi="宋体" w:cs="宋体"/>
          <w:b/>
          <w:color w:val="auto"/>
          <w:spacing w:val="6"/>
          <w:sz w:val="32"/>
          <w:szCs w:val="32"/>
          <w:highlight w:val="none"/>
        </w:rPr>
      </w:pPr>
    </w:p>
    <w:p w14:paraId="0449E67B">
      <w:pPr>
        <w:autoSpaceDE w:val="0"/>
        <w:autoSpaceDN w:val="0"/>
        <w:jc w:val="center"/>
        <w:rPr>
          <w:rFonts w:ascii="宋体" w:hAnsi="宋体" w:cs="宋体"/>
          <w:b/>
          <w:color w:val="auto"/>
          <w:spacing w:val="6"/>
          <w:sz w:val="32"/>
          <w:szCs w:val="32"/>
          <w:highlight w:val="none"/>
        </w:rPr>
      </w:pPr>
    </w:p>
    <w:p w14:paraId="0D0CACC0">
      <w:pPr>
        <w:autoSpaceDE w:val="0"/>
        <w:autoSpaceDN w:val="0"/>
        <w:jc w:val="center"/>
        <w:rPr>
          <w:rFonts w:ascii="宋体" w:hAnsi="宋体" w:cs="宋体"/>
          <w:b/>
          <w:color w:val="auto"/>
          <w:spacing w:val="6"/>
          <w:sz w:val="32"/>
          <w:szCs w:val="32"/>
          <w:highlight w:val="none"/>
        </w:rPr>
      </w:pPr>
    </w:p>
    <w:p w14:paraId="04BE86A4">
      <w:pPr>
        <w:autoSpaceDE w:val="0"/>
        <w:autoSpaceDN w:val="0"/>
        <w:jc w:val="center"/>
        <w:rPr>
          <w:rFonts w:ascii="宋体" w:hAnsi="宋体" w:cs="宋体"/>
          <w:b/>
          <w:color w:val="auto"/>
          <w:spacing w:val="6"/>
          <w:sz w:val="32"/>
          <w:szCs w:val="32"/>
          <w:highlight w:val="none"/>
        </w:rPr>
      </w:pPr>
    </w:p>
    <w:p w14:paraId="41F06E83">
      <w:pPr>
        <w:autoSpaceDE w:val="0"/>
        <w:autoSpaceDN w:val="0"/>
        <w:jc w:val="center"/>
        <w:rPr>
          <w:rFonts w:ascii="宋体" w:hAnsi="宋体" w:cs="宋体"/>
          <w:b/>
          <w:color w:val="auto"/>
          <w:spacing w:val="6"/>
          <w:sz w:val="32"/>
          <w:szCs w:val="32"/>
          <w:highlight w:val="none"/>
        </w:rPr>
      </w:pPr>
    </w:p>
    <w:p w14:paraId="3B57B73D">
      <w:pPr>
        <w:autoSpaceDE w:val="0"/>
        <w:autoSpaceDN w:val="0"/>
        <w:jc w:val="center"/>
        <w:rPr>
          <w:rFonts w:ascii="宋体" w:hAnsi="宋体" w:cs="宋体"/>
          <w:b/>
          <w:color w:val="auto"/>
          <w:spacing w:val="6"/>
          <w:sz w:val="32"/>
          <w:szCs w:val="32"/>
          <w:highlight w:val="none"/>
        </w:rPr>
      </w:pPr>
    </w:p>
    <w:p w14:paraId="5989C8B6">
      <w:pPr>
        <w:autoSpaceDE w:val="0"/>
        <w:autoSpaceDN w:val="0"/>
        <w:jc w:val="center"/>
        <w:rPr>
          <w:rFonts w:ascii="宋体" w:hAnsi="宋体" w:cs="宋体"/>
          <w:b/>
          <w:color w:val="auto"/>
          <w:spacing w:val="6"/>
          <w:sz w:val="32"/>
          <w:szCs w:val="32"/>
          <w:highlight w:val="none"/>
        </w:rPr>
      </w:pPr>
    </w:p>
    <w:p w14:paraId="56917F0D">
      <w:pPr>
        <w:autoSpaceDE w:val="0"/>
        <w:autoSpaceDN w:val="0"/>
        <w:jc w:val="center"/>
        <w:rPr>
          <w:rFonts w:ascii="宋体" w:hAnsi="宋体" w:cs="宋体"/>
          <w:b/>
          <w:color w:val="auto"/>
          <w:spacing w:val="6"/>
          <w:sz w:val="32"/>
          <w:szCs w:val="32"/>
          <w:highlight w:val="none"/>
        </w:rPr>
      </w:pPr>
    </w:p>
    <w:p w14:paraId="21547F64">
      <w:pPr>
        <w:autoSpaceDE w:val="0"/>
        <w:autoSpaceDN w:val="0"/>
        <w:jc w:val="center"/>
        <w:rPr>
          <w:rFonts w:ascii="宋体" w:hAnsi="宋体" w:cs="宋体"/>
          <w:b/>
          <w:color w:val="auto"/>
          <w:spacing w:val="6"/>
          <w:sz w:val="32"/>
          <w:szCs w:val="32"/>
          <w:highlight w:val="none"/>
        </w:rPr>
      </w:pPr>
    </w:p>
    <w:p w14:paraId="14F24401">
      <w:pPr>
        <w:autoSpaceDE w:val="0"/>
        <w:autoSpaceDN w:val="0"/>
        <w:jc w:val="center"/>
        <w:rPr>
          <w:rFonts w:ascii="宋体" w:hAnsi="宋体" w:cs="宋体"/>
          <w:b/>
          <w:color w:val="auto"/>
          <w:spacing w:val="6"/>
          <w:sz w:val="32"/>
          <w:szCs w:val="32"/>
          <w:highlight w:val="none"/>
        </w:rPr>
      </w:pPr>
    </w:p>
    <w:p w14:paraId="557379C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附件7：中小企业声明函</w:t>
      </w:r>
    </w:p>
    <w:p w14:paraId="59D1A26C">
      <w:pPr>
        <w:spacing w:line="360" w:lineRule="auto"/>
        <w:jc w:val="center"/>
        <w:rPr>
          <w:rFonts w:ascii="宋体" w:hAnsi="宋体" w:cs="宋体"/>
          <w:color w:val="auto"/>
          <w:sz w:val="24"/>
          <w:highlight w:val="none"/>
          <w:u w:val="single"/>
        </w:rPr>
      </w:pPr>
    </w:p>
    <w:p w14:paraId="0C19682E">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1B1F7617">
      <w:pPr>
        <w:spacing w:line="360" w:lineRule="auto"/>
        <w:ind w:firstLine="420" w:firstLineChars="175"/>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浙江省食品药品检验研究院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浙江省食品药品检验研究院2025年度软硬件运维及机房租赁项目</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0F5D3DB2">
      <w:pPr>
        <w:spacing w:line="360" w:lineRule="auto"/>
        <w:ind w:firstLine="420" w:firstLineChars="175"/>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浙江省食品药品检验研究院2025年度软硬件运维及机房租赁项目</w:t>
      </w:r>
      <w:r>
        <w:rPr>
          <w:rFonts w:hint="eastAsia" w:ascii="宋体" w:hAnsi="宋体" w:cs="宋体"/>
          <w:color w:val="auto"/>
          <w:kern w:val="0"/>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软件和信息技术服务业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6DF0C76">
      <w:pPr>
        <w:spacing w:line="360" w:lineRule="auto"/>
        <w:ind w:firstLine="420" w:firstLineChars="175"/>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浙江省食品药品检验研究院2025年度软硬件运维及机房租赁项目</w:t>
      </w:r>
      <w:r>
        <w:rPr>
          <w:rFonts w:hint="eastAsia" w:ascii="宋体" w:hAnsi="宋体" w:cs="宋体"/>
          <w:color w:val="auto"/>
          <w:kern w:val="0"/>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软件和信息技术服务业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143E2B8">
      <w:pPr>
        <w:spacing w:line="360" w:lineRule="auto"/>
        <w:ind w:firstLine="420" w:firstLineChars="175"/>
        <w:jc w:val="left"/>
        <w:rPr>
          <w:rFonts w:ascii="宋体" w:hAnsi="宋体" w:cs="宋体"/>
          <w:color w:val="auto"/>
          <w:sz w:val="24"/>
          <w:highlight w:val="none"/>
        </w:rPr>
      </w:pPr>
      <w:r>
        <w:rPr>
          <w:rFonts w:hint="eastAsia" w:ascii="宋体" w:hAnsi="宋体" w:cs="宋体"/>
          <w:color w:val="auto"/>
          <w:sz w:val="24"/>
          <w:highlight w:val="none"/>
        </w:rPr>
        <w:t>……</w:t>
      </w:r>
    </w:p>
    <w:p w14:paraId="34D882D9">
      <w:pPr>
        <w:spacing w:line="360" w:lineRule="auto"/>
        <w:ind w:firstLine="420" w:firstLineChars="175"/>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93C67C7">
      <w:pPr>
        <w:spacing w:line="360" w:lineRule="auto"/>
        <w:ind w:firstLine="420" w:firstLineChars="175"/>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5742526">
      <w:pPr>
        <w:spacing w:line="360" w:lineRule="auto"/>
        <w:ind w:right="1760"/>
        <w:jc w:val="right"/>
        <w:rPr>
          <w:rFonts w:ascii="宋体" w:hAnsi="宋体" w:cs="宋体"/>
          <w:color w:val="auto"/>
          <w:sz w:val="24"/>
          <w:highlight w:val="none"/>
        </w:rPr>
      </w:pPr>
    </w:p>
    <w:p w14:paraId="070F6E39">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445AE4AC">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6B5A6B62">
      <w:pPr>
        <w:spacing w:line="360" w:lineRule="auto"/>
        <w:ind w:right="420"/>
        <w:rPr>
          <w:rFonts w:ascii="宋体" w:hAnsi="宋体" w:cs="宋体"/>
          <w:color w:val="auto"/>
          <w:sz w:val="24"/>
          <w:highlight w:val="none"/>
        </w:rPr>
      </w:pPr>
    </w:p>
    <w:p w14:paraId="4BE79935">
      <w:pPr>
        <w:spacing w:line="360" w:lineRule="auto"/>
        <w:ind w:right="420" w:firstLine="480" w:firstLineChars="200"/>
        <w:rPr>
          <w:rFonts w:ascii="宋体" w:hAnsi="宋体" w:cs="宋体"/>
          <w:color w:val="auto"/>
          <w:highlight w:val="none"/>
        </w:rPr>
      </w:pPr>
      <w:r>
        <w:rPr>
          <w:rFonts w:hint="eastAsia" w:ascii="宋体" w:hAnsi="宋体" w:cs="宋体"/>
          <w:color w:val="auto"/>
          <w:sz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1AD83F44">
      <w:pPr>
        <w:spacing w:line="360" w:lineRule="auto"/>
        <w:rPr>
          <w:rFonts w:ascii="宋体" w:hAnsi="宋体" w:cs="宋体"/>
          <w:bCs/>
          <w:color w:val="auto"/>
          <w:sz w:val="24"/>
          <w:highlight w:val="none"/>
        </w:rPr>
      </w:pPr>
    </w:p>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华文楷体">
    <w:altName w:val="宋体"/>
    <w:panose1 w:val="02010600040101010101"/>
    <w:charset w:val="86"/>
    <w:family w:val="auto"/>
    <w:pitch w:val="default"/>
    <w:sig w:usb0="00000000" w:usb1="00000000" w:usb2="00000016" w:usb3="00000000" w:csb0="0004001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ˎ̥">
    <w:altName w:val="方正公文小标宋"/>
    <w:panose1 w:val="00000000000000000000"/>
    <w:charset w:val="00"/>
    <w:family w:val="roman"/>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方正公文小标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6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Segoe Print"/>
    <w:panose1 w:val="00000000000000000000"/>
    <w:charset w:val="00"/>
    <w:family w:val="modern"/>
    <w:pitch w:val="default"/>
    <w:sig w:usb0="00000000" w:usb1="00000000" w:usb2="00000001" w:usb3="00000000" w:csb0="400001BF" w:csb1="DFF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AFF90">
    <w:pPr>
      <w:pStyle w:val="40"/>
      <w:framePr w:wrap="around" w:vAnchor="text" w:hAnchor="margin" w:xAlign="right" w:y="1"/>
      <w:rPr>
        <w:rStyle w:val="73"/>
      </w:rPr>
    </w:pPr>
    <w:r>
      <w:fldChar w:fldCharType="begin"/>
    </w:r>
    <w:r>
      <w:rPr>
        <w:rStyle w:val="73"/>
      </w:rPr>
      <w:instrText xml:space="preserve">PAGE  </w:instrText>
    </w:r>
    <w:r>
      <w:fldChar w:fldCharType="end"/>
    </w:r>
  </w:p>
  <w:p w14:paraId="615CA18F">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D0026">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FFA9A4">
                          <w:pPr>
                            <w:pStyle w:val="4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AFFA9A4">
                    <w:pPr>
                      <w:pStyle w:val="40"/>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388AE">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57A208">
                          <w:pPr>
                            <w:pStyle w:val="40"/>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C57A208">
                    <w:pPr>
                      <w:pStyle w:val="40"/>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E6847">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3491BE">
                          <w:pPr>
                            <w:pStyle w:val="40"/>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513491BE">
                    <w:pPr>
                      <w:pStyle w:val="40"/>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EF886">
    <w:pPr>
      <w:pStyle w:val="40"/>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9B174">
                          <w:pPr>
                            <w:pStyle w:val="40"/>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6859B174">
                    <w:pPr>
                      <w:pStyle w:val="40"/>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D6BAF">
    <w:pPr>
      <w:pStyle w:val="40"/>
      <w:framePr w:wrap="around" w:vAnchor="text" w:hAnchor="margin" w:xAlign="right" w:y="1"/>
      <w:rPr>
        <w:rStyle w:val="73"/>
      </w:rPr>
    </w:pPr>
    <w:r>
      <w:fldChar w:fldCharType="begin"/>
    </w:r>
    <w:r>
      <w:rPr>
        <w:rStyle w:val="73"/>
      </w:rPr>
      <w:instrText xml:space="preserve">PAGE  </w:instrText>
    </w:r>
    <w:r>
      <w:fldChar w:fldCharType="end"/>
    </w:r>
  </w:p>
  <w:p w14:paraId="0D240D34">
    <w:pPr>
      <w:pStyle w:val="40"/>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B72F7">
    <w:pPr>
      <w:pStyle w:val="40"/>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9AE266">
                          <w:pPr>
                            <w:pStyle w:val="40"/>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3C9AE266">
                    <w:pPr>
                      <w:pStyle w:val="40"/>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79CFB">
    <w:pPr>
      <w:pStyle w:val="40"/>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ADE34">
                          <w:pPr>
                            <w:pStyle w:val="4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7ADADE34">
                    <w:pPr>
                      <w:pStyle w:val="4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5A717">
    <w:pPr>
      <w:pStyle w:val="40"/>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09EA8">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18C09EA8">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8DBAC">
    <w:pPr>
      <w:pStyle w:val="40"/>
      <w:ind w:firstLine="360"/>
      <w:jc w:val="center"/>
    </w:pPr>
    <w:r>
      <w:fldChar w:fldCharType="begin"/>
    </w:r>
    <w:r>
      <w:instrText xml:space="preserve">PAGE   \* MERGEFORMAT</w:instrText>
    </w:r>
    <w:r>
      <w:fldChar w:fldCharType="separate"/>
    </w:r>
    <w:r>
      <w:rPr>
        <w:lang w:val="zh-CN"/>
      </w:rPr>
      <w:t>11</w:t>
    </w:r>
    <w:r>
      <w:fldChar w:fldCharType="end"/>
    </w:r>
  </w:p>
  <w:p w14:paraId="55527B87">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769AB">
    <w:pPr>
      <w:pStyle w:val="4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FFF1D">
    <w:pPr>
      <w:pStyle w:val="40"/>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A3991">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375DBE">
                          <w:pPr>
                            <w:pStyle w:val="4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E375DBE">
                    <w:pPr>
                      <w:pStyle w:val="4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07D37">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5CE837">
                          <w:pPr>
                            <w:pStyle w:val="4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C5CE837">
                    <w:pPr>
                      <w:pStyle w:val="4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97EB1">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79748D">
                          <w:pPr>
                            <w:pStyle w:val="40"/>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079748D">
                    <w:pPr>
                      <w:pStyle w:val="40"/>
                    </w:pPr>
                    <w:r>
                      <w:fldChar w:fldCharType="begin"/>
                    </w:r>
                    <w:r>
                      <w:instrText xml:space="preserve"> PAGE  \* MERGEFORMAT </w:instrText>
                    </w:r>
                    <w:r>
                      <w:fldChar w:fldCharType="separate"/>
                    </w:r>
                    <w:r>
                      <w:t>71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9854B">
    <w:pPr>
      <w:pStyle w:val="41"/>
      <w:pBdr>
        <w:bottom w:val="single" w:color="auto" w:sz="6" w:space="4"/>
      </w:pBdr>
      <w:jc w:val="right"/>
      <w:rPr>
        <w:color w:val="auto"/>
      </w:rPr>
    </w:pPr>
    <w:r>
      <w:t></w:t>
    </w:r>
    <w:r>
      <w:rPr>
        <w:rFonts w:hint="eastAsia"/>
      </w:rPr>
      <w:t xml:space="preserve">            </w:t>
    </w:r>
    <w:r>
      <w:rPr>
        <w:color w:val="auto"/>
      </w:rPr>
      <w:t>政府采购公开招标文件</w:t>
    </w:r>
    <w:r>
      <w:rPr>
        <w:rFonts w:hint="eastAsia"/>
        <w:color w:val="auto"/>
        <w:lang w:eastAsia="zh-CN"/>
      </w:rPr>
      <w:t>（</w:t>
    </w:r>
    <w:r>
      <w:rPr>
        <w:rFonts w:hint="eastAsia"/>
        <w:color w:val="auto"/>
        <w:lang w:val="en-US" w:eastAsia="zh-CN"/>
      </w:rPr>
      <w:t>服务类）</w:t>
    </w:r>
  </w:p>
  <w:p w14:paraId="267DF2A5">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4D281">
    <w:pPr>
      <w:pStyle w:val="41"/>
      <w:jc w:val="right"/>
      <w:rPr>
        <w:rFonts w:ascii="仿宋_GB2312" w:eastAsia="仿宋_GB2312"/>
        <w:b/>
        <w:i/>
        <w:u w:val="single"/>
      </w:rPr>
    </w:pPr>
    <w:r>
      <w:rPr>
        <w:rFonts w:hint="eastAsia"/>
      </w:rPr>
      <w:t xml:space="preserve">                                 </w:t>
    </w:r>
    <w:r>
      <w:t>政府采购公开招标文件</w:t>
    </w:r>
  </w:p>
  <w:p w14:paraId="4CDD492D">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77C37">
    <w:pPr>
      <w:pStyle w:val="41"/>
      <w:jc w:val="right"/>
    </w:pPr>
    <w:r>
      <w:rPr>
        <w:rFonts w:hint="eastAsia"/>
      </w:rPr>
      <w:t xml:space="preserve">                                                                                                     </w:t>
    </w:r>
    <w:r>
      <w:t>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1A3BB">
    <w:pPr>
      <w:pStyle w:val="41"/>
      <w:jc w:val="right"/>
      <w:rPr>
        <w:rFonts w:ascii="仿宋_GB2312" w:eastAsia="仿宋_GB2312"/>
        <w:b/>
        <w:i/>
        <w:iCs/>
        <w:u w:val="single"/>
      </w:rPr>
    </w:pPr>
    <w:r>
      <w:t>政府采购公开招标文件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EC17B">
    <w:pPr>
      <w:pStyle w:val="41"/>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FAB2A">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r>
      <w:rPr>
        <w:rFonts w:hint="eastAsia"/>
        <w:color w:val="auto"/>
        <w:lang w:eastAsia="zh-CN"/>
      </w:rPr>
      <w:t>（</w:t>
    </w:r>
    <w:r>
      <w:rPr>
        <w:rFonts w:hint="eastAsia"/>
        <w:color w:val="auto"/>
        <w:lang w:val="en-US" w:eastAsia="zh-CN"/>
      </w:rPr>
      <w:t>服务类）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C2196">
    <w:pPr>
      <w:pStyle w:val="41"/>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D172D">
    <w:pPr>
      <w:pStyle w:val="41"/>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37A64">
    <w:pPr>
      <w:pStyle w:val="41"/>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3BB27">
    <w:pPr>
      <w:pStyle w:val="41"/>
      <w:rPr>
        <w:rFonts w:ascii="仿宋_GB2312" w:eastAsia="仿宋_GB2312"/>
        <w:b/>
        <w:i/>
        <w:u w:val="single"/>
      </w:rPr>
    </w:pPr>
    <w:r>
      <w:t></w:t>
    </w:r>
    <w:r>
      <w:rPr>
        <w:rFonts w:hint="eastAsia"/>
      </w:rPr>
      <w:t xml:space="preserve">                                                  </w:t>
    </w:r>
    <w:r>
      <w:t xml:space="preserve">           政府采购公开招标文件</w:t>
    </w:r>
  </w:p>
  <w:p w14:paraId="49CCC395">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1D56B">
    <w:pPr>
      <w:pStyle w:val="41"/>
    </w:pPr>
    <w:r>
      <w:t></w:t>
    </w:r>
    <w:r>
      <w:rPr>
        <w:rFonts w:hint="eastAsia"/>
      </w:rPr>
      <w:t xml:space="preserve">         </w:t>
    </w:r>
  </w:p>
  <w:p w14:paraId="651BE6D2">
    <w:pPr>
      <w:pStyle w:val="41"/>
    </w:pPr>
    <w:r>
      <w:rPr>
        <w:rFonts w:hint="eastAsia"/>
      </w:rPr>
      <w:t xml:space="preserve">                                                                  </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EB4F7">
    <w:pPr>
      <w:pStyle w:val="41"/>
      <w:rPr>
        <w:rFonts w:ascii="仿宋_GB2312" w:eastAsia="仿宋_GB2312"/>
        <w:b/>
        <w:i/>
        <w:u w:val="single"/>
      </w:rPr>
    </w:pPr>
    <w:r>
      <w:t></w:t>
    </w:r>
    <w:r>
      <w:rPr>
        <w:rFonts w:hint="eastAsia"/>
      </w:rPr>
      <w:t xml:space="preserve">                                                 </w:t>
    </w:r>
    <w:r>
      <w:t>政府采购公开招标文件</w:t>
    </w:r>
  </w:p>
  <w:p w14:paraId="377F5A0D">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E5F56">
    <w:pPr>
      <w:pStyle w:val="41"/>
      <w:jc w:val="right"/>
    </w:pPr>
    <w:r>
      <w:t></w:t>
    </w:r>
    <w:r>
      <w:rPr>
        <w:rFonts w:hint="eastAsia"/>
      </w:rPr>
      <w:t xml:space="preserve">                 </w:t>
    </w:r>
    <w:r>
      <w:t xml:space="preserve">                                </w:t>
    </w:r>
    <w:r>
      <w:rPr>
        <w:rFonts w:hint="eastAsia"/>
      </w:rPr>
      <w:t xml:space="preserve">         </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0E0A4"/>
    <w:multiLevelType w:val="singleLevel"/>
    <w:tmpl w:val="8AC0E0A4"/>
    <w:lvl w:ilvl="0" w:tentative="0">
      <w:start w:val="1"/>
      <w:numFmt w:val="decimal"/>
      <w:suff w:val="nothing"/>
      <w:lvlText w:val="（%1）"/>
      <w:lvlJc w:val="left"/>
    </w:lvl>
  </w:abstractNum>
  <w:abstractNum w:abstractNumId="1">
    <w:nsid w:val="BDE3F5E7"/>
    <w:multiLevelType w:val="singleLevel"/>
    <w:tmpl w:val="BDE3F5E7"/>
    <w:lvl w:ilvl="0" w:tentative="0">
      <w:start w:val="1"/>
      <w:numFmt w:val="decimalEnclosedCircleChinese"/>
      <w:suff w:val="nothing"/>
      <w:lvlText w:val="%1　"/>
      <w:lvlJc w:val="left"/>
      <w:pPr>
        <w:ind w:left="0" w:firstLine="400"/>
      </w:pPr>
      <w:rPr>
        <w:rFonts w:hint="eastAsia"/>
      </w:rPr>
    </w:lvl>
  </w:abstractNum>
  <w:abstractNum w:abstractNumId="2">
    <w:nsid w:val="D00E2075"/>
    <w:multiLevelType w:val="singleLevel"/>
    <w:tmpl w:val="D00E2075"/>
    <w:lvl w:ilvl="0" w:tentative="0">
      <w:start w:val="1"/>
      <w:numFmt w:val="decimal"/>
      <w:suff w:val="nothing"/>
      <w:lvlText w:val="（%1）"/>
      <w:lvlJc w:val="left"/>
      <w:rPr>
        <w:rFonts w:hint="default"/>
        <w:sz w:val="24"/>
        <w:szCs w:val="24"/>
      </w:rPr>
    </w:lvl>
  </w:abstractNum>
  <w:abstractNum w:abstractNumId="3">
    <w:nsid w:val="D2FD4F7C"/>
    <w:multiLevelType w:val="singleLevel"/>
    <w:tmpl w:val="D2FD4F7C"/>
    <w:lvl w:ilvl="0" w:tentative="0">
      <w:start w:val="1"/>
      <w:numFmt w:val="decimal"/>
      <w:lvlText w:val="(%1)"/>
      <w:lvlJc w:val="left"/>
      <w:pPr>
        <w:ind w:left="425" w:hanging="425"/>
      </w:pPr>
      <w:rPr>
        <w:rFonts w:hint="default" w:ascii="宋体" w:hAnsi="宋体" w:eastAsia="宋体" w:cs="宋体"/>
      </w:rPr>
    </w:lvl>
  </w:abstractNum>
  <w:abstractNum w:abstractNumId="4">
    <w:nsid w:val="DAD5E6BA"/>
    <w:multiLevelType w:val="singleLevel"/>
    <w:tmpl w:val="DAD5E6BA"/>
    <w:lvl w:ilvl="0" w:tentative="0">
      <w:start w:val="1"/>
      <w:numFmt w:val="decimal"/>
      <w:suff w:val="nothing"/>
      <w:lvlText w:val="（%1）"/>
      <w:lvlJc w:val="left"/>
    </w:lvl>
  </w:abstractNum>
  <w:abstractNum w:abstractNumId="5">
    <w:nsid w:val="EFE0562A"/>
    <w:multiLevelType w:val="singleLevel"/>
    <w:tmpl w:val="EFE0562A"/>
    <w:lvl w:ilvl="0" w:tentative="0">
      <w:start w:val="1"/>
      <w:numFmt w:val="decimal"/>
      <w:lvlText w:val="(%1)"/>
      <w:lvlJc w:val="left"/>
      <w:pPr>
        <w:ind w:left="425" w:hanging="425"/>
      </w:pPr>
      <w:rPr>
        <w:rFonts w:hint="default"/>
      </w:rPr>
    </w:lvl>
  </w:abstractNum>
  <w:abstractNum w:abstractNumId="6">
    <w:nsid w:val="FF5433F5"/>
    <w:multiLevelType w:val="singleLevel"/>
    <w:tmpl w:val="FF5433F5"/>
    <w:lvl w:ilvl="0" w:tentative="0">
      <w:start w:val="1"/>
      <w:numFmt w:val="decimal"/>
      <w:lvlText w:val="(%1)"/>
      <w:lvlJc w:val="left"/>
      <w:pPr>
        <w:ind w:left="425" w:hanging="425"/>
      </w:pPr>
      <w:rPr>
        <w:rFonts w:hint="default"/>
      </w:rPr>
    </w:lvl>
  </w:abstractNum>
  <w:abstractNum w:abstractNumId="7">
    <w:nsid w:val="05554D56"/>
    <w:multiLevelType w:val="multilevel"/>
    <w:tmpl w:val="05554D56"/>
    <w:lvl w:ilvl="0" w:tentative="0">
      <w:start w:val="1"/>
      <w:numFmt w:val="chineseCountingThousand"/>
      <w:suff w:val="nothing"/>
      <w:lvlText w:val="%1、"/>
      <w:lvlJc w:val="left"/>
      <w:pPr>
        <w:ind w:left="425" w:hanging="425"/>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
    <w:nsid w:val="0A9643B1"/>
    <w:multiLevelType w:val="multilevel"/>
    <w:tmpl w:val="0A9643B1"/>
    <w:lvl w:ilvl="0" w:tentative="0">
      <w:start w:val="1"/>
      <w:numFmt w:val="bullet"/>
      <w:lvlText w:val=""/>
      <w:lvlJc w:val="left"/>
      <w:pPr>
        <w:ind w:left="1160" w:hanging="440"/>
      </w:pPr>
      <w:rPr>
        <w:rFonts w:hint="default" w:ascii="Wingdings" w:hAnsi="Wingdings"/>
      </w:rPr>
    </w:lvl>
    <w:lvl w:ilvl="1" w:tentative="0">
      <w:start w:val="1"/>
      <w:numFmt w:val="bullet"/>
      <w:lvlText w:val=""/>
      <w:lvlJc w:val="left"/>
      <w:pPr>
        <w:ind w:left="1600" w:hanging="440"/>
      </w:pPr>
      <w:rPr>
        <w:rFonts w:hint="default" w:ascii="Wingdings" w:hAnsi="Wingdings"/>
      </w:rPr>
    </w:lvl>
    <w:lvl w:ilvl="2" w:tentative="0">
      <w:start w:val="1"/>
      <w:numFmt w:val="bullet"/>
      <w:lvlText w:val=""/>
      <w:lvlJc w:val="left"/>
      <w:pPr>
        <w:ind w:left="2040" w:hanging="440"/>
      </w:pPr>
      <w:rPr>
        <w:rFonts w:hint="default" w:ascii="Wingdings" w:hAnsi="Wingdings"/>
      </w:rPr>
    </w:lvl>
    <w:lvl w:ilvl="3" w:tentative="0">
      <w:start w:val="1"/>
      <w:numFmt w:val="bullet"/>
      <w:lvlText w:val=""/>
      <w:lvlJc w:val="left"/>
      <w:pPr>
        <w:ind w:left="2480" w:hanging="440"/>
      </w:pPr>
      <w:rPr>
        <w:rFonts w:hint="default" w:ascii="Wingdings" w:hAnsi="Wingdings"/>
      </w:rPr>
    </w:lvl>
    <w:lvl w:ilvl="4" w:tentative="0">
      <w:start w:val="1"/>
      <w:numFmt w:val="bullet"/>
      <w:lvlText w:val=""/>
      <w:lvlJc w:val="left"/>
      <w:pPr>
        <w:ind w:left="2920" w:hanging="440"/>
      </w:pPr>
      <w:rPr>
        <w:rFonts w:hint="default" w:ascii="Wingdings" w:hAnsi="Wingdings"/>
      </w:rPr>
    </w:lvl>
    <w:lvl w:ilvl="5" w:tentative="0">
      <w:start w:val="1"/>
      <w:numFmt w:val="bullet"/>
      <w:lvlText w:val=""/>
      <w:lvlJc w:val="left"/>
      <w:pPr>
        <w:ind w:left="3360" w:hanging="440"/>
      </w:pPr>
      <w:rPr>
        <w:rFonts w:hint="default" w:ascii="Wingdings" w:hAnsi="Wingdings"/>
      </w:rPr>
    </w:lvl>
    <w:lvl w:ilvl="6" w:tentative="0">
      <w:start w:val="1"/>
      <w:numFmt w:val="bullet"/>
      <w:lvlText w:val=""/>
      <w:lvlJc w:val="left"/>
      <w:pPr>
        <w:ind w:left="3800" w:hanging="440"/>
      </w:pPr>
      <w:rPr>
        <w:rFonts w:hint="default" w:ascii="Wingdings" w:hAnsi="Wingdings"/>
      </w:rPr>
    </w:lvl>
    <w:lvl w:ilvl="7" w:tentative="0">
      <w:start w:val="1"/>
      <w:numFmt w:val="bullet"/>
      <w:lvlText w:val=""/>
      <w:lvlJc w:val="left"/>
      <w:pPr>
        <w:ind w:left="4240" w:hanging="440"/>
      </w:pPr>
      <w:rPr>
        <w:rFonts w:hint="default" w:ascii="Wingdings" w:hAnsi="Wingdings"/>
      </w:rPr>
    </w:lvl>
    <w:lvl w:ilvl="8" w:tentative="0">
      <w:start w:val="1"/>
      <w:numFmt w:val="bullet"/>
      <w:lvlText w:val=""/>
      <w:lvlJc w:val="left"/>
      <w:pPr>
        <w:ind w:left="4680" w:hanging="440"/>
      </w:pPr>
      <w:rPr>
        <w:rFonts w:hint="default" w:ascii="Wingdings" w:hAnsi="Wingdings"/>
      </w:rPr>
    </w:lvl>
  </w:abstractNum>
  <w:abstractNum w:abstractNumId="9">
    <w:nsid w:val="11538E52"/>
    <w:multiLevelType w:val="singleLevel"/>
    <w:tmpl w:val="11538E52"/>
    <w:lvl w:ilvl="0" w:tentative="0">
      <w:start w:val="1"/>
      <w:numFmt w:val="decimal"/>
      <w:suff w:val="nothing"/>
      <w:lvlText w:val="%1．"/>
      <w:lvlJc w:val="left"/>
      <w:pPr>
        <w:ind w:left="0" w:firstLine="400"/>
      </w:pPr>
      <w:rPr>
        <w:rFonts w:hint="default"/>
      </w:rPr>
    </w:lvl>
  </w:abstractNum>
  <w:abstractNum w:abstractNumId="10">
    <w:nsid w:val="27772D46"/>
    <w:multiLevelType w:val="multilevel"/>
    <w:tmpl w:val="27772D4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29A60644"/>
    <w:multiLevelType w:val="multilevel"/>
    <w:tmpl w:val="29A6064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2DCB3763"/>
    <w:multiLevelType w:val="singleLevel"/>
    <w:tmpl w:val="2DCB3763"/>
    <w:lvl w:ilvl="0" w:tentative="0">
      <w:start w:val="1"/>
      <w:numFmt w:val="decimalEnclosedCircleChinese"/>
      <w:suff w:val="nothing"/>
      <w:lvlText w:val="%1　"/>
      <w:lvlJc w:val="left"/>
      <w:pPr>
        <w:ind w:left="0" w:firstLine="400"/>
      </w:pPr>
      <w:rPr>
        <w:rFonts w:hint="eastAsia"/>
      </w:rPr>
    </w:lvl>
  </w:abstractNum>
  <w:abstractNum w:abstractNumId="13">
    <w:nsid w:val="2FE477F2"/>
    <w:multiLevelType w:val="multilevel"/>
    <w:tmpl w:val="2FE477F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31DD331B"/>
    <w:multiLevelType w:val="multilevel"/>
    <w:tmpl w:val="31DD331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320A5BC1"/>
    <w:multiLevelType w:val="multilevel"/>
    <w:tmpl w:val="320A5BC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35873943"/>
    <w:multiLevelType w:val="multilevel"/>
    <w:tmpl w:val="3587394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400240A3"/>
    <w:multiLevelType w:val="multilevel"/>
    <w:tmpl w:val="400240A3"/>
    <w:lvl w:ilvl="0" w:tentative="0">
      <w:start w:val="1"/>
      <w:numFmt w:val="bullet"/>
      <w:lvlText w:val=""/>
      <w:lvlJc w:val="left"/>
      <w:pPr>
        <w:ind w:left="1160" w:hanging="440"/>
      </w:pPr>
      <w:rPr>
        <w:rFonts w:hint="default" w:ascii="Wingdings" w:hAnsi="Wingdings"/>
      </w:rPr>
    </w:lvl>
    <w:lvl w:ilvl="1" w:tentative="0">
      <w:start w:val="1"/>
      <w:numFmt w:val="bullet"/>
      <w:lvlText w:val=""/>
      <w:lvlJc w:val="left"/>
      <w:pPr>
        <w:ind w:left="1600" w:hanging="440"/>
      </w:pPr>
      <w:rPr>
        <w:rFonts w:hint="default" w:ascii="Wingdings" w:hAnsi="Wingdings"/>
      </w:rPr>
    </w:lvl>
    <w:lvl w:ilvl="2" w:tentative="0">
      <w:start w:val="1"/>
      <w:numFmt w:val="bullet"/>
      <w:lvlText w:val=""/>
      <w:lvlJc w:val="left"/>
      <w:pPr>
        <w:ind w:left="2040" w:hanging="440"/>
      </w:pPr>
      <w:rPr>
        <w:rFonts w:hint="default" w:ascii="Wingdings" w:hAnsi="Wingdings"/>
      </w:rPr>
    </w:lvl>
    <w:lvl w:ilvl="3" w:tentative="0">
      <w:start w:val="1"/>
      <w:numFmt w:val="bullet"/>
      <w:lvlText w:val=""/>
      <w:lvlJc w:val="left"/>
      <w:pPr>
        <w:ind w:left="2480" w:hanging="440"/>
      </w:pPr>
      <w:rPr>
        <w:rFonts w:hint="default" w:ascii="Wingdings" w:hAnsi="Wingdings"/>
      </w:rPr>
    </w:lvl>
    <w:lvl w:ilvl="4" w:tentative="0">
      <w:start w:val="1"/>
      <w:numFmt w:val="bullet"/>
      <w:lvlText w:val=""/>
      <w:lvlJc w:val="left"/>
      <w:pPr>
        <w:ind w:left="2920" w:hanging="440"/>
      </w:pPr>
      <w:rPr>
        <w:rFonts w:hint="default" w:ascii="Wingdings" w:hAnsi="Wingdings"/>
      </w:rPr>
    </w:lvl>
    <w:lvl w:ilvl="5" w:tentative="0">
      <w:start w:val="1"/>
      <w:numFmt w:val="bullet"/>
      <w:lvlText w:val=""/>
      <w:lvlJc w:val="left"/>
      <w:pPr>
        <w:ind w:left="3360" w:hanging="440"/>
      </w:pPr>
      <w:rPr>
        <w:rFonts w:hint="default" w:ascii="Wingdings" w:hAnsi="Wingdings"/>
      </w:rPr>
    </w:lvl>
    <w:lvl w:ilvl="6" w:tentative="0">
      <w:start w:val="1"/>
      <w:numFmt w:val="bullet"/>
      <w:lvlText w:val=""/>
      <w:lvlJc w:val="left"/>
      <w:pPr>
        <w:ind w:left="3800" w:hanging="440"/>
      </w:pPr>
      <w:rPr>
        <w:rFonts w:hint="default" w:ascii="Wingdings" w:hAnsi="Wingdings"/>
      </w:rPr>
    </w:lvl>
    <w:lvl w:ilvl="7" w:tentative="0">
      <w:start w:val="1"/>
      <w:numFmt w:val="bullet"/>
      <w:lvlText w:val=""/>
      <w:lvlJc w:val="left"/>
      <w:pPr>
        <w:ind w:left="4240" w:hanging="440"/>
      </w:pPr>
      <w:rPr>
        <w:rFonts w:hint="default" w:ascii="Wingdings" w:hAnsi="Wingdings"/>
      </w:rPr>
    </w:lvl>
    <w:lvl w:ilvl="8" w:tentative="0">
      <w:start w:val="1"/>
      <w:numFmt w:val="bullet"/>
      <w:lvlText w:val=""/>
      <w:lvlJc w:val="left"/>
      <w:pPr>
        <w:ind w:left="4680" w:hanging="440"/>
      </w:pPr>
      <w:rPr>
        <w:rFonts w:hint="default" w:ascii="Wingdings" w:hAnsi="Wingdings"/>
      </w:rPr>
    </w:lvl>
  </w:abstractNum>
  <w:abstractNum w:abstractNumId="18">
    <w:nsid w:val="41892D21"/>
    <w:multiLevelType w:val="singleLevel"/>
    <w:tmpl w:val="41892D21"/>
    <w:lvl w:ilvl="0" w:tentative="0">
      <w:start w:val="1"/>
      <w:numFmt w:val="decimal"/>
      <w:suff w:val="nothing"/>
      <w:lvlText w:val="（%1）"/>
      <w:lvlJc w:val="left"/>
    </w:lvl>
  </w:abstractNum>
  <w:abstractNum w:abstractNumId="19">
    <w:nsid w:val="4E9EBBA0"/>
    <w:multiLevelType w:val="singleLevel"/>
    <w:tmpl w:val="4E9EBBA0"/>
    <w:lvl w:ilvl="0" w:tentative="0">
      <w:start w:val="1"/>
      <w:numFmt w:val="bullet"/>
      <w:lvlText w:val=""/>
      <w:lvlJc w:val="left"/>
      <w:pPr>
        <w:ind w:left="420" w:hanging="420"/>
      </w:pPr>
      <w:rPr>
        <w:rFonts w:hint="default" w:ascii="Wingdings" w:hAnsi="Wingdings"/>
      </w:rPr>
    </w:lvl>
  </w:abstractNum>
  <w:abstractNum w:abstractNumId="20">
    <w:nsid w:val="54DA0B46"/>
    <w:multiLevelType w:val="singleLevel"/>
    <w:tmpl w:val="54DA0B46"/>
    <w:lvl w:ilvl="0" w:tentative="0">
      <w:start w:val="1"/>
      <w:numFmt w:val="decimal"/>
      <w:lvlText w:val="(%1)"/>
      <w:lvlJc w:val="left"/>
      <w:pPr>
        <w:ind w:left="425" w:hanging="425"/>
      </w:pPr>
      <w:rPr>
        <w:rFonts w:hint="default"/>
      </w:rPr>
    </w:lvl>
  </w:abstractNum>
  <w:abstractNum w:abstractNumId="21">
    <w:nsid w:val="62FBF63C"/>
    <w:multiLevelType w:val="singleLevel"/>
    <w:tmpl w:val="62FBF63C"/>
    <w:lvl w:ilvl="0" w:tentative="0">
      <w:start w:val="1"/>
      <w:numFmt w:val="decimal"/>
      <w:lvlText w:val="(%1)"/>
      <w:lvlJc w:val="left"/>
      <w:pPr>
        <w:ind w:left="425" w:hanging="425"/>
      </w:pPr>
      <w:rPr>
        <w:rFonts w:hint="default"/>
      </w:rPr>
    </w:lvl>
  </w:abstractNum>
  <w:abstractNum w:abstractNumId="22">
    <w:nsid w:val="638E1033"/>
    <w:multiLevelType w:val="multilevel"/>
    <w:tmpl w:val="638E103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3">
    <w:nsid w:val="678A580B"/>
    <w:multiLevelType w:val="multilevel"/>
    <w:tmpl w:val="678A580B"/>
    <w:lvl w:ilvl="0" w:tentative="0">
      <w:start w:val="1"/>
      <w:numFmt w:val="bullet"/>
      <w:lvlText w:val=""/>
      <w:lvlJc w:val="left"/>
      <w:pPr>
        <w:ind w:left="1160" w:hanging="440"/>
      </w:pPr>
      <w:rPr>
        <w:rFonts w:hint="default" w:ascii="Wingdings" w:hAnsi="Wingdings"/>
      </w:rPr>
    </w:lvl>
    <w:lvl w:ilvl="1" w:tentative="0">
      <w:start w:val="1"/>
      <w:numFmt w:val="bullet"/>
      <w:lvlText w:val=""/>
      <w:lvlJc w:val="left"/>
      <w:pPr>
        <w:ind w:left="1600" w:hanging="440"/>
      </w:pPr>
      <w:rPr>
        <w:rFonts w:hint="default" w:ascii="Wingdings" w:hAnsi="Wingdings"/>
      </w:rPr>
    </w:lvl>
    <w:lvl w:ilvl="2" w:tentative="0">
      <w:start w:val="1"/>
      <w:numFmt w:val="bullet"/>
      <w:lvlText w:val=""/>
      <w:lvlJc w:val="left"/>
      <w:pPr>
        <w:ind w:left="2040" w:hanging="440"/>
      </w:pPr>
      <w:rPr>
        <w:rFonts w:hint="default" w:ascii="Wingdings" w:hAnsi="Wingdings"/>
      </w:rPr>
    </w:lvl>
    <w:lvl w:ilvl="3" w:tentative="0">
      <w:start w:val="1"/>
      <w:numFmt w:val="bullet"/>
      <w:lvlText w:val=""/>
      <w:lvlJc w:val="left"/>
      <w:pPr>
        <w:ind w:left="2480" w:hanging="440"/>
      </w:pPr>
      <w:rPr>
        <w:rFonts w:hint="default" w:ascii="Wingdings" w:hAnsi="Wingdings"/>
      </w:rPr>
    </w:lvl>
    <w:lvl w:ilvl="4" w:tentative="0">
      <w:start w:val="1"/>
      <w:numFmt w:val="bullet"/>
      <w:lvlText w:val=""/>
      <w:lvlJc w:val="left"/>
      <w:pPr>
        <w:ind w:left="2920" w:hanging="440"/>
      </w:pPr>
      <w:rPr>
        <w:rFonts w:hint="default" w:ascii="Wingdings" w:hAnsi="Wingdings"/>
      </w:rPr>
    </w:lvl>
    <w:lvl w:ilvl="5" w:tentative="0">
      <w:start w:val="1"/>
      <w:numFmt w:val="bullet"/>
      <w:lvlText w:val=""/>
      <w:lvlJc w:val="left"/>
      <w:pPr>
        <w:ind w:left="3360" w:hanging="440"/>
      </w:pPr>
      <w:rPr>
        <w:rFonts w:hint="default" w:ascii="Wingdings" w:hAnsi="Wingdings"/>
      </w:rPr>
    </w:lvl>
    <w:lvl w:ilvl="6" w:tentative="0">
      <w:start w:val="1"/>
      <w:numFmt w:val="bullet"/>
      <w:lvlText w:val=""/>
      <w:lvlJc w:val="left"/>
      <w:pPr>
        <w:ind w:left="3800" w:hanging="440"/>
      </w:pPr>
      <w:rPr>
        <w:rFonts w:hint="default" w:ascii="Wingdings" w:hAnsi="Wingdings"/>
      </w:rPr>
    </w:lvl>
    <w:lvl w:ilvl="7" w:tentative="0">
      <w:start w:val="1"/>
      <w:numFmt w:val="bullet"/>
      <w:lvlText w:val=""/>
      <w:lvlJc w:val="left"/>
      <w:pPr>
        <w:ind w:left="4240" w:hanging="440"/>
      </w:pPr>
      <w:rPr>
        <w:rFonts w:hint="default" w:ascii="Wingdings" w:hAnsi="Wingdings"/>
      </w:rPr>
    </w:lvl>
    <w:lvl w:ilvl="8" w:tentative="0">
      <w:start w:val="1"/>
      <w:numFmt w:val="bullet"/>
      <w:lvlText w:val=""/>
      <w:lvlJc w:val="left"/>
      <w:pPr>
        <w:ind w:left="4680" w:hanging="440"/>
      </w:pPr>
      <w:rPr>
        <w:rFonts w:hint="default" w:ascii="Wingdings" w:hAnsi="Wingdings"/>
      </w:rPr>
    </w:lvl>
  </w:abstractNum>
  <w:abstractNum w:abstractNumId="24">
    <w:nsid w:val="686D7CDF"/>
    <w:multiLevelType w:val="multilevel"/>
    <w:tmpl w:val="686D7CD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5">
    <w:nsid w:val="749556B6"/>
    <w:multiLevelType w:val="multilevel"/>
    <w:tmpl w:val="749556B6"/>
    <w:lvl w:ilvl="0" w:tentative="0">
      <w:start w:val="1"/>
      <w:numFmt w:val="chineseCountingThousand"/>
      <w:pStyle w:val="970"/>
      <w:lvlText w:val="%1、"/>
      <w:lvlJc w:val="left"/>
      <w:pPr>
        <w:ind w:left="1022" w:hanging="420"/>
      </w:pPr>
      <w:rPr>
        <w:rFonts w:hint="eastAsia"/>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26">
    <w:nsid w:val="775D23C8"/>
    <w:multiLevelType w:val="singleLevel"/>
    <w:tmpl w:val="775D23C8"/>
    <w:lvl w:ilvl="0" w:tentative="0">
      <w:start w:val="1"/>
      <w:numFmt w:val="decimal"/>
      <w:suff w:val="nothing"/>
      <w:lvlText w:val="（%1）"/>
      <w:lvlJc w:val="left"/>
      <w:rPr>
        <w:rFonts w:hint="default"/>
        <w:sz w:val="24"/>
        <w:szCs w:val="24"/>
      </w:rPr>
    </w:lvl>
  </w:abstractNum>
  <w:num w:numId="1">
    <w:abstractNumId w:val="25"/>
  </w:num>
  <w:num w:numId="2">
    <w:abstractNumId w:val="3"/>
  </w:num>
  <w:num w:numId="3">
    <w:abstractNumId w:val="12"/>
  </w:num>
  <w:num w:numId="4">
    <w:abstractNumId w:val="2"/>
  </w:num>
  <w:num w:numId="5">
    <w:abstractNumId w:val="7"/>
  </w:num>
  <w:num w:numId="6">
    <w:abstractNumId w:val="8"/>
  </w:num>
  <w:num w:numId="7">
    <w:abstractNumId w:val="17"/>
  </w:num>
  <w:num w:numId="8">
    <w:abstractNumId w:val="23"/>
  </w:num>
  <w:num w:numId="9">
    <w:abstractNumId w:val="24"/>
  </w:num>
  <w:num w:numId="10">
    <w:abstractNumId w:val="13"/>
  </w:num>
  <w:num w:numId="11">
    <w:abstractNumId w:val="22"/>
  </w:num>
  <w:num w:numId="12">
    <w:abstractNumId w:val="11"/>
  </w:num>
  <w:num w:numId="13">
    <w:abstractNumId w:val="16"/>
  </w:num>
  <w:num w:numId="14">
    <w:abstractNumId w:val="14"/>
  </w:num>
  <w:num w:numId="15">
    <w:abstractNumId w:val="10"/>
  </w:num>
  <w:num w:numId="16">
    <w:abstractNumId w:val="15"/>
  </w:num>
  <w:num w:numId="17">
    <w:abstractNumId w:val="9"/>
  </w:num>
  <w:num w:numId="18">
    <w:abstractNumId w:val="20"/>
  </w:num>
  <w:num w:numId="19">
    <w:abstractNumId w:val="1"/>
  </w:num>
  <w:num w:numId="20">
    <w:abstractNumId w:val="5"/>
  </w:num>
  <w:num w:numId="21">
    <w:abstractNumId w:val="19"/>
  </w:num>
  <w:num w:numId="22">
    <w:abstractNumId w:val="0"/>
  </w:num>
  <w:num w:numId="23">
    <w:abstractNumId w:val="4"/>
  </w:num>
  <w:num w:numId="24">
    <w:abstractNumId w:val="6"/>
  </w:num>
  <w:num w:numId="25">
    <w:abstractNumId w:val="21"/>
  </w:num>
  <w:num w:numId="26">
    <w:abstractNumId w:val="2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readOnly"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hZDg3NWJmZmNlYTBkM2I2ZDdhMGZkZDNlNTQ3OWYifQ=="/>
    <w:docVar w:name="KSO_WPS_MARK_KEY" w:val="770740b8-9925-4379-a928-fa9a6bc56174"/>
  </w:docVars>
  <w:rsids>
    <w:rsidRoot w:val="00172A27"/>
    <w:rsid w:val="00000451"/>
    <w:rsid w:val="0000108B"/>
    <w:rsid w:val="0000133D"/>
    <w:rsid w:val="00001509"/>
    <w:rsid w:val="00001B57"/>
    <w:rsid w:val="00001E3F"/>
    <w:rsid w:val="00002DEE"/>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176F9"/>
    <w:rsid w:val="00020287"/>
    <w:rsid w:val="000202FE"/>
    <w:rsid w:val="00020B5F"/>
    <w:rsid w:val="000211BC"/>
    <w:rsid w:val="0002207B"/>
    <w:rsid w:val="000232FD"/>
    <w:rsid w:val="00023323"/>
    <w:rsid w:val="000233E4"/>
    <w:rsid w:val="00023495"/>
    <w:rsid w:val="0002355A"/>
    <w:rsid w:val="00023777"/>
    <w:rsid w:val="00023C06"/>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76BD"/>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B"/>
    <w:rsid w:val="0006785E"/>
    <w:rsid w:val="00067AFB"/>
    <w:rsid w:val="00067F92"/>
    <w:rsid w:val="00067FA7"/>
    <w:rsid w:val="0007038E"/>
    <w:rsid w:val="0007077C"/>
    <w:rsid w:val="00070825"/>
    <w:rsid w:val="00071CD8"/>
    <w:rsid w:val="00071DB2"/>
    <w:rsid w:val="0007237B"/>
    <w:rsid w:val="00072AED"/>
    <w:rsid w:val="00072B56"/>
    <w:rsid w:val="00072D2B"/>
    <w:rsid w:val="00072D51"/>
    <w:rsid w:val="000730B1"/>
    <w:rsid w:val="00073860"/>
    <w:rsid w:val="00073879"/>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5F6"/>
    <w:rsid w:val="000D11E5"/>
    <w:rsid w:val="000D19E8"/>
    <w:rsid w:val="000D1FA1"/>
    <w:rsid w:val="000D2834"/>
    <w:rsid w:val="000D286B"/>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866"/>
    <w:rsid w:val="000E6AE1"/>
    <w:rsid w:val="000E7142"/>
    <w:rsid w:val="000E7632"/>
    <w:rsid w:val="000E7737"/>
    <w:rsid w:val="000E7739"/>
    <w:rsid w:val="000E77EE"/>
    <w:rsid w:val="000F1332"/>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0A"/>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A26"/>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047"/>
    <w:rsid w:val="0013116E"/>
    <w:rsid w:val="00131C2D"/>
    <w:rsid w:val="0013202C"/>
    <w:rsid w:val="00132704"/>
    <w:rsid w:val="00132CBF"/>
    <w:rsid w:val="00133707"/>
    <w:rsid w:val="00133742"/>
    <w:rsid w:val="00133B70"/>
    <w:rsid w:val="00133E97"/>
    <w:rsid w:val="001350F7"/>
    <w:rsid w:val="00135769"/>
    <w:rsid w:val="00135BE9"/>
    <w:rsid w:val="00135E5C"/>
    <w:rsid w:val="0013635D"/>
    <w:rsid w:val="00136762"/>
    <w:rsid w:val="00136E33"/>
    <w:rsid w:val="0013773D"/>
    <w:rsid w:val="0014042F"/>
    <w:rsid w:val="00140693"/>
    <w:rsid w:val="00140D7A"/>
    <w:rsid w:val="00141D28"/>
    <w:rsid w:val="00141DFE"/>
    <w:rsid w:val="00142185"/>
    <w:rsid w:val="001422E2"/>
    <w:rsid w:val="001433BC"/>
    <w:rsid w:val="00143872"/>
    <w:rsid w:val="00143A7C"/>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60B"/>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569"/>
    <w:rsid w:val="001728FD"/>
    <w:rsid w:val="00172A20"/>
    <w:rsid w:val="00172A27"/>
    <w:rsid w:val="00172F02"/>
    <w:rsid w:val="00172F2D"/>
    <w:rsid w:val="00173631"/>
    <w:rsid w:val="0017372D"/>
    <w:rsid w:val="001737E9"/>
    <w:rsid w:val="00173826"/>
    <w:rsid w:val="00173C58"/>
    <w:rsid w:val="00173E59"/>
    <w:rsid w:val="001741DC"/>
    <w:rsid w:val="00174C4F"/>
    <w:rsid w:val="00174F57"/>
    <w:rsid w:val="00175078"/>
    <w:rsid w:val="001755DC"/>
    <w:rsid w:val="00176AA6"/>
    <w:rsid w:val="00177063"/>
    <w:rsid w:val="00180A47"/>
    <w:rsid w:val="00181025"/>
    <w:rsid w:val="00182014"/>
    <w:rsid w:val="001827B7"/>
    <w:rsid w:val="001827EF"/>
    <w:rsid w:val="00182982"/>
    <w:rsid w:val="001829BC"/>
    <w:rsid w:val="00182D68"/>
    <w:rsid w:val="00183031"/>
    <w:rsid w:val="00183468"/>
    <w:rsid w:val="0018397E"/>
    <w:rsid w:val="00184466"/>
    <w:rsid w:val="00184DBF"/>
    <w:rsid w:val="00184E83"/>
    <w:rsid w:val="001852A8"/>
    <w:rsid w:val="0018620A"/>
    <w:rsid w:val="00186EB0"/>
    <w:rsid w:val="00187121"/>
    <w:rsid w:val="00187243"/>
    <w:rsid w:val="00187C29"/>
    <w:rsid w:val="00190782"/>
    <w:rsid w:val="00190942"/>
    <w:rsid w:val="001909A7"/>
    <w:rsid w:val="001909C3"/>
    <w:rsid w:val="00190CF7"/>
    <w:rsid w:val="00191459"/>
    <w:rsid w:val="00191603"/>
    <w:rsid w:val="0019173E"/>
    <w:rsid w:val="0019174E"/>
    <w:rsid w:val="0019196B"/>
    <w:rsid w:val="00191EEF"/>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2F1E"/>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B7EB6"/>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9B1"/>
    <w:rsid w:val="001D1D55"/>
    <w:rsid w:val="001D21EF"/>
    <w:rsid w:val="001D29A4"/>
    <w:rsid w:val="001D2B73"/>
    <w:rsid w:val="001D3136"/>
    <w:rsid w:val="001D3177"/>
    <w:rsid w:val="001D330D"/>
    <w:rsid w:val="001D4AB6"/>
    <w:rsid w:val="001D4AD3"/>
    <w:rsid w:val="001D5281"/>
    <w:rsid w:val="001E0F77"/>
    <w:rsid w:val="001E17E3"/>
    <w:rsid w:val="001E2052"/>
    <w:rsid w:val="001E2492"/>
    <w:rsid w:val="001E257C"/>
    <w:rsid w:val="001E286C"/>
    <w:rsid w:val="001E2F34"/>
    <w:rsid w:val="001E35EE"/>
    <w:rsid w:val="001E46A4"/>
    <w:rsid w:val="001E4B2C"/>
    <w:rsid w:val="001E507F"/>
    <w:rsid w:val="001E56C2"/>
    <w:rsid w:val="001E59FB"/>
    <w:rsid w:val="001E7F81"/>
    <w:rsid w:val="001F0FD1"/>
    <w:rsid w:val="001F1526"/>
    <w:rsid w:val="001F19D1"/>
    <w:rsid w:val="001F1CB9"/>
    <w:rsid w:val="001F1F18"/>
    <w:rsid w:val="001F2F92"/>
    <w:rsid w:val="001F456F"/>
    <w:rsid w:val="001F50E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57ED"/>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6BE"/>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0FFF"/>
    <w:rsid w:val="00241144"/>
    <w:rsid w:val="00242510"/>
    <w:rsid w:val="002426F7"/>
    <w:rsid w:val="00242F79"/>
    <w:rsid w:val="0024415B"/>
    <w:rsid w:val="00245565"/>
    <w:rsid w:val="002458C1"/>
    <w:rsid w:val="00245E62"/>
    <w:rsid w:val="002460D0"/>
    <w:rsid w:val="00246357"/>
    <w:rsid w:val="00247422"/>
    <w:rsid w:val="00247BA2"/>
    <w:rsid w:val="00250870"/>
    <w:rsid w:val="0025117F"/>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ADB"/>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5DE8"/>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ACD"/>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4FD2"/>
    <w:rsid w:val="002C519E"/>
    <w:rsid w:val="002C5D5E"/>
    <w:rsid w:val="002C6116"/>
    <w:rsid w:val="002C643D"/>
    <w:rsid w:val="002C66B8"/>
    <w:rsid w:val="002C70E7"/>
    <w:rsid w:val="002D0767"/>
    <w:rsid w:val="002D0C27"/>
    <w:rsid w:val="002D0E88"/>
    <w:rsid w:val="002D0EA7"/>
    <w:rsid w:val="002D0F31"/>
    <w:rsid w:val="002D1593"/>
    <w:rsid w:val="002D1A1E"/>
    <w:rsid w:val="002D22A6"/>
    <w:rsid w:val="002D2819"/>
    <w:rsid w:val="002D2BB8"/>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11E"/>
    <w:rsid w:val="002E12FA"/>
    <w:rsid w:val="002E13CF"/>
    <w:rsid w:val="002E201C"/>
    <w:rsid w:val="002E22CA"/>
    <w:rsid w:val="002E236F"/>
    <w:rsid w:val="002E30C6"/>
    <w:rsid w:val="002E37C5"/>
    <w:rsid w:val="002E3956"/>
    <w:rsid w:val="002E3C08"/>
    <w:rsid w:val="002E3CF2"/>
    <w:rsid w:val="002E469E"/>
    <w:rsid w:val="002E4C01"/>
    <w:rsid w:val="002E4D50"/>
    <w:rsid w:val="002E51AF"/>
    <w:rsid w:val="002E55FF"/>
    <w:rsid w:val="002E587E"/>
    <w:rsid w:val="002E672A"/>
    <w:rsid w:val="002E6853"/>
    <w:rsid w:val="002E7EC1"/>
    <w:rsid w:val="002E7EE5"/>
    <w:rsid w:val="002F0323"/>
    <w:rsid w:val="002F0DFB"/>
    <w:rsid w:val="002F0F4E"/>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A95"/>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4A2"/>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09B"/>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2872"/>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475"/>
    <w:rsid w:val="00372842"/>
    <w:rsid w:val="003729A5"/>
    <w:rsid w:val="00372C89"/>
    <w:rsid w:val="00372E9A"/>
    <w:rsid w:val="003735B9"/>
    <w:rsid w:val="00373634"/>
    <w:rsid w:val="00374677"/>
    <w:rsid w:val="0037510C"/>
    <w:rsid w:val="00375850"/>
    <w:rsid w:val="0037632F"/>
    <w:rsid w:val="00377B26"/>
    <w:rsid w:val="00377E4C"/>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8C4"/>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8E8"/>
    <w:rsid w:val="00396F71"/>
    <w:rsid w:val="00396FBC"/>
    <w:rsid w:val="003971A1"/>
    <w:rsid w:val="003A03D0"/>
    <w:rsid w:val="003A0F6B"/>
    <w:rsid w:val="003A12B6"/>
    <w:rsid w:val="003A1C44"/>
    <w:rsid w:val="003A20D5"/>
    <w:rsid w:val="003A24CC"/>
    <w:rsid w:val="003A2512"/>
    <w:rsid w:val="003A2A53"/>
    <w:rsid w:val="003A2EE8"/>
    <w:rsid w:val="003A361B"/>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2C8D"/>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44"/>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4432"/>
    <w:rsid w:val="0043554E"/>
    <w:rsid w:val="004355D4"/>
    <w:rsid w:val="004357B1"/>
    <w:rsid w:val="00435821"/>
    <w:rsid w:val="0043583E"/>
    <w:rsid w:val="00436CCE"/>
    <w:rsid w:val="00436EAD"/>
    <w:rsid w:val="004375E1"/>
    <w:rsid w:val="00437A2F"/>
    <w:rsid w:val="00437E7D"/>
    <w:rsid w:val="00440262"/>
    <w:rsid w:val="004406BF"/>
    <w:rsid w:val="00440814"/>
    <w:rsid w:val="004408AE"/>
    <w:rsid w:val="0044105D"/>
    <w:rsid w:val="00441424"/>
    <w:rsid w:val="00442731"/>
    <w:rsid w:val="00442C12"/>
    <w:rsid w:val="004434DF"/>
    <w:rsid w:val="0044354B"/>
    <w:rsid w:val="00443841"/>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1C4"/>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7C2"/>
    <w:rsid w:val="0049492D"/>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92A"/>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44F"/>
    <w:rsid w:val="004C0BF0"/>
    <w:rsid w:val="004C0D40"/>
    <w:rsid w:val="004C114F"/>
    <w:rsid w:val="004C11A9"/>
    <w:rsid w:val="004C27CF"/>
    <w:rsid w:val="004C2CA7"/>
    <w:rsid w:val="004C3592"/>
    <w:rsid w:val="004C36D8"/>
    <w:rsid w:val="004C3D56"/>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11"/>
    <w:rsid w:val="004D1934"/>
    <w:rsid w:val="004D1E41"/>
    <w:rsid w:val="004D2326"/>
    <w:rsid w:val="004D2E11"/>
    <w:rsid w:val="004D2F9F"/>
    <w:rsid w:val="004D3108"/>
    <w:rsid w:val="004D329C"/>
    <w:rsid w:val="004D34D1"/>
    <w:rsid w:val="004D4523"/>
    <w:rsid w:val="004D4990"/>
    <w:rsid w:val="004D4AAA"/>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3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2C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6DA"/>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CDE"/>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1E0"/>
    <w:rsid w:val="00594437"/>
    <w:rsid w:val="00594B70"/>
    <w:rsid w:val="00596CFA"/>
    <w:rsid w:val="00596EC6"/>
    <w:rsid w:val="005975CE"/>
    <w:rsid w:val="005977F2"/>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8D9"/>
    <w:rsid w:val="005C4E4D"/>
    <w:rsid w:val="005C58F2"/>
    <w:rsid w:val="005C5A97"/>
    <w:rsid w:val="005C5F77"/>
    <w:rsid w:val="005C6AAB"/>
    <w:rsid w:val="005C6D5D"/>
    <w:rsid w:val="005C6DEC"/>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136"/>
    <w:rsid w:val="00603373"/>
    <w:rsid w:val="006036D0"/>
    <w:rsid w:val="00603B1C"/>
    <w:rsid w:val="006042CD"/>
    <w:rsid w:val="00605217"/>
    <w:rsid w:val="006054A5"/>
    <w:rsid w:val="006059E4"/>
    <w:rsid w:val="00605D60"/>
    <w:rsid w:val="006062A0"/>
    <w:rsid w:val="00606F3D"/>
    <w:rsid w:val="00607015"/>
    <w:rsid w:val="0061098D"/>
    <w:rsid w:val="00610B78"/>
    <w:rsid w:val="00611B59"/>
    <w:rsid w:val="00611FBA"/>
    <w:rsid w:val="00612098"/>
    <w:rsid w:val="0061272A"/>
    <w:rsid w:val="0061299E"/>
    <w:rsid w:val="006130D0"/>
    <w:rsid w:val="0061355D"/>
    <w:rsid w:val="0061392B"/>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4EC"/>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2FC"/>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93F"/>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4BB"/>
    <w:rsid w:val="0067772D"/>
    <w:rsid w:val="00677991"/>
    <w:rsid w:val="00677AD2"/>
    <w:rsid w:val="00680326"/>
    <w:rsid w:val="00680714"/>
    <w:rsid w:val="0068071D"/>
    <w:rsid w:val="00680C6B"/>
    <w:rsid w:val="006811F3"/>
    <w:rsid w:val="00681240"/>
    <w:rsid w:val="00681408"/>
    <w:rsid w:val="00681E43"/>
    <w:rsid w:val="00683068"/>
    <w:rsid w:val="00683565"/>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373"/>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36"/>
    <w:rsid w:val="006A0582"/>
    <w:rsid w:val="006A060C"/>
    <w:rsid w:val="006A06F8"/>
    <w:rsid w:val="006A071C"/>
    <w:rsid w:val="006A0DC7"/>
    <w:rsid w:val="006A150D"/>
    <w:rsid w:val="006A1B00"/>
    <w:rsid w:val="006A2766"/>
    <w:rsid w:val="006A2D20"/>
    <w:rsid w:val="006A39D0"/>
    <w:rsid w:val="006A3C42"/>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63"/>
    <w:rsid w:val="006B54E8"/>
    <w:rsid w:val="006B5FBC"/>
    <w:rsid w:val="006B6ED2"/>
    <w:rsid w:val="006B7F74"/>
    <w:rsid w:val="006C0230"/>
    <w:rsid w:val="006C05C7"/>
    <w:rsid w:val="006C25AB"/>
    <w:rsid w:val="006C2DA6"/>
    <w:rsid w:val="006C3581"/>
    <w:rsid w:val="006C39A0"/>
    <w:rsid w:val="006C3DB7"/>
    <w:rsid w:val="006C3EFE"/>
    <w:rsid w:val="006C46C7"/>
    <w:rsid w:val="006C4767"/>
    <w:rsid w:val="006C47E5"/>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1A34"/>
    <w:rsid w:val="006D2F72"/>
    <w:rsid w:val="006D43C1"/>
    <w:rsid w:val="006D5442"/>
    <w:rsid w:val="006D6E4E"/>
    <w:rsid w:val="006D7A7B"/>
    <w:rsid w:val="006D7A8E"/>
    <w:rsid w:val="006D7C59"/>
    <w:rsid w:val="006E00E3"/>
    <w:rsid w:val="006E02C1"/>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3E"/>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67BAF"/>
    <w:rsid w:val="007702BF"/>
    <w:rsid w:val="007705F0"/>
    <w:rsid w:val="00770C04"/>
    <w:rsid w:val="00771CAC"/>
    <w:rsid w:val="00772036"/>
    <w:rsid w:val="00772794"/>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35CB"/>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08A"/>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4F2"/>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63C"/>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9C5"/>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15E"/>
    <w:rsid w:val="008465B4"/>
    <w:rsid w:val="00846D25"/>
    <w:rsid w:val="008472C8"/>
    <w:rsid w:val="00850013"/>
    <w:rsid w:val="008500DD"/>
    <w:rsid w:val="00850A0A"/>
    <w:rsid w:val="00850A94"/>
    <w:rsid w:val="00851CEF"/>
    <w:rsid w:val="00851E96"/>
    <w:rsid w:val="00851F1C"/>
    <w:rsid w:val="0085237B"/>
    <w:rsid w:val="0085287D"/>
    <w:rsid w:val="00852FA5"/>
    <w:rsid w:val="00853864"/>
    <w:rsid w:val="00853F7D"/>
    <w:rsid w:val="0085517F"/>
    <w:rsid w:val="0085562D"/>
    <w:rsid w:val="00855A78"/>
    <w:rsid w:val="00856154"/>
    <w:rsid w:val="00856286"/>
    <w:rsid w:val="0085657E"/>
    <w:rsid w:val="00856BD5"/>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8A7"/>
    <w:rsid w:val="008749BF"/>
    <w:rsid w:val="00875542"/>
    <w:rsid w:val="00875E14"/>
    <w:rsid w:val="0087677E"/>
    <w:rsid w:val="0087712C"/>
    <w:rsid w:val="008776E7"/>
    <w:rsid w:val="00877746"/>
    <w:rsid w:val="00877C5D"/>
    <w:rsid w:val="00880354"/>
    <w:rsid w:val="0088093C"/>
    <w:rsid w:val="00880BC0"/>
    <w:rsid w:val="0088127A"/>
    <w:rsid w:val="00881AE2"/>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00"/>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B5B"/>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168"/>
    <w:rsid w:val="008D5432"/>
    <w:rsid w:val="008D54C0"/>
    <w:rsid w:val="008D5558"/>
    <w:rsid w:val="008D5806"/>
    <w:rsid w:val="008D5ED9"/>
    <w:rsid w:val="008D65BE"/>
    <w:rsid w:val="008D7247"/>
    <w:rsid w:val="008D7567"/>
    <w:rsid w:val="008E0EE4"/>
    <w:rsid w:val="008E12BE"/>
    <w:rsid w:val="008E13FD"/>
    <w:rsid w:val="008E15AC"/>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491"/>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B4B"/>
    <w:rsid w:val="00931C19"/>
    <w:rsid w:val="00931C63"/>
    <w:rsid w:val="00931D10"/>
    <w:rsid w:val="0093218A"/>
    <w:rsid w:val="009333A3"/>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230"/>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1EB2"/>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6F5"/>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218"/>
    <w:rsid w:val="0099361F"/>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86C"/>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4AC"/>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310"/>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71"/>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0C7F"/>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3E38"/>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569CF"/>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B8E"/>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29E"/>
    <w:rsid w:val="00A82D32"/>
    <w:rsid w:val="00A82EAE"/>
    <w:rsid w:val="00A82FC7"/>
    <w:rsid w:val="00A847F9"/>
    <w:rsid w:val="00A84CB7"/>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A3"/>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27BC"/>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8B6"/>
    <w:rsid w:val="00B07A43"/>
    <w:rsid w:val="00B07F74"/>
    <w:rsid w:val="00B10618"/>
    <w:rsid w:val="00B10B04"/>
    <w:rsid w:val="00B10CC6"/>
    <w:rsid w:val="00B10CD4"/>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65A"/>
    <w:rsid w:val="00B25F8C"/>
    <w:rsid w:val="00B260BE"/>
    <w:rsid w:val="00B26677"/>
    <w:rsid w:val="00B26A96"/>
    <w:rsid w:val="00B26C44"/>
    <w:rsid w:val="00B274E3"/>
    <w:rsid w:val="00B2765C"/>
    <w:rsid w:val="00B27C4B"/>
    <w:rsid w:val="00B3020F"/>
    <w:rsid w:val="00B30563"/>
    <w:rsid w:val="00B3069E"/>
    <w:rsid w:val="00B30A76"/>
    <w:rsid w:val="00B31246"/>
    <w:rsid w:val="00B32295"/>
    <w:rsid w:val="00B33AB5"/>
    <w:rsid w:val="00B3412E"/>
    <w:rsid w:val="00B343E0"/>
    <w:rsid w:val="00B35137"/>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440"/>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6759C"/>
    <w:rsid w:val="00B70200"/>
    <w:rsid w:val="00B702D7"/>
    <w:rsid w:val="00B70389"/>
    <w:rsid w:val="00B70E01"/>
    <w:rsid w:val="00B718FA"/>
    <w:rsid w:val="00B72A0B"/>
    <w:rsid w:val="00B72CF0"/>
    <w:rsid w:val="00B72F50"/>
    <w:rsid w:val="00B7380E"/>
    <w:rsid w:val="00B740F6"/>
    <w:rsid w:val="00B74615"/>
    <w:rsid w:val="00B74789"/>
    <w:rsid w:val="00B755B6"/>
    <w:rsid w:val="00B75977"/>
    <w:rsid w:val="00B75A48"/>
    <w:rsid w:val="00B75CC0"/>
    <w:rsid w:val="00B76021"/>
    <w:rsid w:val="00B76FCD"/>
    <w:rsid w:val="00B7764D"/>
    <w:rsid w:val="00B804F8"/>
    <w:rsid w:val="00B80861"/>
    <w:rsid w:val="00B8095A"/>
    <w:rsid w:val="00B81274"/>
    <w:rsid w:val="00B815D3"/>
    <w:rsid w:val="00B81742"/>
    <w:rsid w:val="00B817B5"/>
    <w:rsid w:val="00B817B9"/>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325"/>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8F9"/>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428"/>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73D"/>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3E9"/>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30"/>
    <w:rsid w:val="00C20051"/>
    <w:rsid w:val="00C2021B"/>
    <w:rsid w:val="00C203C7"/>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2A8"/>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872"/>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48DB"/>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1633"/>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1F1"/>
    <w:rsid w:val="00CD44FF"/>
    <w:rsid w:val="00CD46A7"/>
    <w:rsid w:val="00CD47BC"/>
    <w:rsid w:val="00CD4E50"/>
    <w:rsid w:val="00CD57CB"/>
    <w:rsid w:val="00CD64E1"/>
    <w:rsid w:val="00CD66BA"/>
    <w:rsid w:val="00CD68D5"/>
    <w:rsid w:val="00CD699D"/>
    <w:rsid w:val="00CD6BA3"/>
    <w:rsid w:val="00CD70DB"/>
    <w:rsid w:val="00CD7544"/>
    <w:rsid w:val="00CD75B6"/>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46D"/>
    <w:rsid w:val="00CF43F4"/>
    <w:rsid w:val="00CF475F"/>
    <w:rsid w:val="00CF4E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6A0"/>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98"/>
    <w:rsid w:val="00D144D8"/>
    <w:rsid w:val="00D14919"/>
    <w:rsid w:val="00D14E25"/>
    <w:rsid w:val="00D15470"/>
    <w:rsid w:val="00D15AE3"/>
    <w:rsid w:val="00D160C4"/>
    <w:rsid w:val="00D165D8"/>
    <w:rsid w:val="00D1724E"/>
    <w:rsid w:val="00D178E8"/>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5CD4"/>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0F74"/>
    <w:rsid w:val="00D511E7"/>
    <w:rsid w:val="00D51372"/>
    <w:rsid w:val="00D517ED"/>
    <w:rsid w:val="00D5251C"/>
    <w:rsid w:val="00D52F56"/>
    <w:rsid w:val="00D537B7"/>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A56"/>
    <w:rsid w:val="00D774F4"/>
    <w:rsid w:val="00D77687"/>
    <w:rsid w:val="00D77AF6"/>
    <w:rsid w:val="00D804C5"/>
    <w:rsid w:val="00D815E6"/>
    <w:rsid w:val="00D81A28"/>
    <w:rsid w:val="00D81BDE"/>
    <w:rsid w:val="00D8201D"/>
    <w:rsid w:val="00D82043"/>
    <w:rsid w:val="00D826E6"/>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2AA"/>
    <w:rsid w:val="00DC4311"/>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D773B"/>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3C9"/>
    <w:rsid w:val="00E105CE"/>
    <w:rsid w:val="00E10712"/>
    <w:rsid w:val="00E10DD1"/>
    <w:rsid w:val="00E1224C"/>
    <w:rsid w:val="00E1254C"/>
    <w:rsid w:val="00E12BDF"/>
    <w:rsid w:val="00E13326"/>
    <w:rsid w:val="00E13D07"/>
    <w:rsid w:val="00E14356"/>
    <w:rsid w:val="00E14961"/>
    <w:rsid w:val="00E14D76"/>
    <w:rsid w:val="00E15183"/>
    <w:rsid w:val="00E15995"/>
    <w:rsid w:val="00E15D6C"/>
    <w:rsid w:val="00E1720B"/>
    <w:rsid w:val="00E203DE"/>
    <w:rsid w:val="00E20971"/>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6D8"/>
    <w:rsid w:val="00E31761"/>
    <w:rsid w:val="00E31812"/>
    <w:rsid w:val="00E31889"/>
    <w:rsid w:val="00E31CE7"/>
    <w:rsid w:val="00E333D5"/>
    <w:rsid w:val="00E3394F"/>
    <w:rsid w:val="00E33A0B"/>
    <w:rsid w:val="00E34A2F"/>
    <w:rsid w:val="00E35A45"/>
    <w:rsid w:val="00E35F7F"/>
    <w:rsid w:val="00E36112"/>
    <w:rsid w:val="00E36392"/>
    <w:rsid w:val="00E3694F"/>
    <w:rsid w:val="00E36B32"/>
    <w:rsid w:val="00E36E40"/>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1C41"/>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77F2F"/>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5B5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46F6"/>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7EE"/>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0FB"/>
    <w:rsid w:val="00EF71E6"/>
    <w:rsid w:val="00F0058A"/>
    <w:rsid w:val="00F00630"/>
    <w:rsid w:val="00F00922"/>
    <w:rsid w:val="00F00924"/>
    <w:rsid w:val="00F0161A"/>
    <w:rsid w:val="00F0187E"/>
    <w:rsid w:val="00F01956"/>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432"/>
    <w:rsid w:val="00F11C01"/>
    <w:rsid w:val="00F11D80"/>
    <w:rsid w:val="00F1360D"/>
    <w:rsid w:val="00F142C3"/>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8E1"/>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895"/>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2E15"/>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300"/>
    <w:rsid w:val="00F54E5E"/>
    <w:rsid w:val="00F551DB"/>
    <w:rsid w:val="00F551DF"/>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6678"/>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7E5"/>
    <w:rsid w:val="00FB5138"/>
    <w:rsid w:val="00FB547F"/>
    <w:rsid w:val="00FB5A71"/>
    <w:rsid w:val="00FB63F6"/>
    <w:rsid w:val="00FB7823"/>
    <w:rsid w:val="00FC05B2"/>
    <w:rsid w:val="00FC08B3"/>
    <w:rsid w:val="00FC09D7"/>
    <w:rsid w:val="00FC0ABE"/>
    <w:rsid w:val="00FC1269"/>
    <w:rsid w:val="00FC22D0"/>
    <w:rsid w:val="00FC3668"/>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7B4"/>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9E9"/>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95070"/>
    <w:rsid w:val="019F7441"/>
    <w:rsid w:val="01B37585"/>
    <w:rsid w:val="01D55165"/>
    <w:rsid w:val="01DF6BF8"/>
    <w:rsid w:val="01E03DA0"/>
    <w:rsid w:val="01EC2C57"/>
    <w:rsid w:val="02127898"/>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BEE927"/>
    <w:rsid w:val="060E5941"/>
    <w:rsid w:val="06110FAF"/>
    <w:rsid w:val="062F6A41"/>
    <w:rsid w:val="06493CA7"/>
    <w:rsid w:val="064A4B6B"/>
    <w:rsid w:val="065A6178"/>
    <w:rsid w:val="066F1CF3"/>
    <w:rsid w:val="06930BB8"/>
    <w:rsid w:val="07245D42"/>
    <w:rsid w:val="07264C62"/>
    <w:rsid w:val="0779354C"/>
    <w:rsid w:val="07C55751"/>
    <w:rsid w:val="08061376"/>
    <w:rsid w:val="083E7649"/>
    <w:rsid w:val="08410597"/>
    <w:rsid w:val="08452D77"/>
    <w:rsid w:val="086401F8"/>
    <w:rsid w:val="08751CAA"/>
    <w:rsid w:val="087E4C40"/>
    <w:rsid w:val="08A871D0"/>
    <w:rsid w:val="08B67619"/>
    <w:rsid w:val="08D66AD6"/>
    <w:rsid w:val="08DA33A3"/>
    <w:rsid w:val="08E80F13"/>
    <w:rsid w:val="08EF5238"/>
    <w:rsid w:val="09313BAC"/>
    <w:rsid w:val="09335624"/>
    <w:rsid w:val="093C74AB"/>
    <w:rsid w:val="0944690F"/>
    <w:rsid w:val="09535675"/>
    <w:rsid w:val="095F057D"/>
    <w:rsid w:val="09642282"/>
    <w:rsid w:val="09733572"/>
    <w:rsid w:val="09772C16"/>
    <w:rsid w:val="098353B5"/>
    <w:rsid w:val="09A92330"/>
    <w:rsid w:val="09B06B87"/>
    <w:rsid w:val="09C13146"/>
    <w:rsid w:val="09E04166"/>
    <w:rsid w:val="09EE4315"/>
    <w:rsid w:val="0A1C0718"/>
    <w:rsid w:val="0A3E7710"/>
    <w:rsid w:val="0A4E70E3"/>
    <w:rsid w:val="0A5B7E63"/>
    <w:rsid w:val="0AA374A5"/>
    <w:rsid w:val="0AAB7649"/>
    <w:rsid w:val="0ABC5606"/>
    <w:rsid w:val="0B30404E"/>
    <w:rsid w:val="0B4C6C14"/>
    <w:rsid w:val="0B547599"/>
    <w:rsid w:val="0B5542B2"/>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246BD4"/>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AA79CD"/>
    <w:rsid w:val="0FBF3FD2"/>
    <w:rsid w:val="0FBF7FF3"/>
    <w:rsid w:val="0FE34B24"/>
    <w:rsid w:val="10646583"/>
    <w:rsid w:val="107D4B15"/>
    <w:rsid w:val="108A3C80"/>
    <w:rsid w:val="10C26171"/>
    <w:rsid w:val="10EE6F66"/>
    <w:rsid w:val="10F33360"/>
    <w:rsid w:val="10FC16EA"/>
    <w:rsid w:val="110F1D40"/>
    <w:rsid w:val="11266F33"/>
    <w:rsid w:val="118963A1"/>
    <w:rsid w:val="11C6522A"/>
    <w:rsid w:val="11E104CC"/>
    <w:rsid w:val="11E20309"/>
    <w:rsid w:val="12154D3D"/>
    <w:rsid w:val="12255233"/>
    <w:rsid w:val="12530213"/>
    <w:rsid w:val="127723A9"/>
    <w:rsid w:val="12862074"/>
    <w:rsid w:val="12883966"/>
    <w:rsid w:val="129E45B4"/>
    <w:rsid w:val="12D81596"/>
    <w:rsid w:val="13072A44"/>
    <w:rsid w:val="135F4BE2"/>
    <w:rsid w:val="13631AD8"/>
    <w:rsid w:val="139B1A0A"/>
    <w:rsid w:val="139D25C7"/>
    <w:rsid w:val="13BF3CE4"/>
    <w:rsid w:val="13C92283"/>
    <w:rsid w:val="141008D8"/>
    <w:rsid w:val="14125FE6"/>
    <w:rsid w:val="1457788F"/>
    <w:rsid w:val="146D271E"/>
    <w:rsid w:val="147310E7"/>
    <w:rsid w:val="147C10A3"/>
    <w:rsid w:val="14982588"/>
    <w:rsid w:val="149A5AD9"/>
    <w:rsid w:val="14A7619D"/>
    <w:rsid w:val="150536C3"/>
    <w:rsid w:val="150C1963"/>
    <w:rsid w:val="151447A0"/>
    <w:rsid w:val="154A6454"/>
    <w:rsid w:val="15762120"/>
    <w:rsid w:val="15D849FF"/>
    <w:rsid w:val="16A8729C"/>
    <w:rsid w:val="16B33777"/>
    <w:rsid w:val="16BC70A7"/>
    <w:rsid w:val="16C6339E"/>
    <w:rsid w:val="1729546F"/>
    <w:rsid w:val="172F2D79"/>
    <w:rsid w:val="17557BEF"/>
    <w:rsid w:val="17D349C1"/>
    <w:rsid w:val="1830729E"/>
    <w:rsid w:val="1870062C"/>
    <w:rsid w:val="18817102"/>
    <w:rsid w:val="18830A15"/>
    <w:rsid w:val="18852B28"/>
    <w:rsid w:val="188B5321"/>
    <w:rsid w:val="18910440"/>
    <w:rsid w:val="18E85CF6"/>
    <w:rsid w:val="19932372"/>
    <w:rsid w:val="19A20DD5"/>
    <w:rsid w:val="19AE03F1"/>
    <w:rsid w:val="1A071A03"/>
    <w:rsid w:val="1A1F16AE"/>
    <w:rsid w:val="1A2C70C8"/>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7C2114"/>
    <w:rsid w:val="1D9247AE"/>
    <w:rsid w:val="1DB567EC"/>
    <w:rsid w:val="1DF51A98"/>
    <w:rsid w:val="1E1A4B05"/>
    <w:rsid w:val="1E3D060F"/>
    <w:rsid w:val="1E3F7D2E"/>
    <w:rsid w:val="1E4134E4"/>
    <w:rsid w:val="1E5062B3"/>
    <w:rsid w:val="1E523514"/>
    <w:rsid w:val="1E714A66"/>
    <w:rsid w:val="1E77318B"/>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0E7688B"/>
    <w:rsid w:val="211116EB"/>
    <w:rsid w:val="211724F3"/>
    <w:rsid w:val="216133FC"/>
    <w:rsid w:val="216B385A"/>
    <w:rsid w:val="217D645B"/>
    <w:rsid w:val="21D56769"/>
    <w:rsid w:val="21E52EF3"/>
    <w:rsid w:val="21E97D80"/>
    <w:rsid w:val="21FB5D7B"/>
    <w:rsid w:val="22015E94"/>
    <w:rsid w:val="220B1C3D"/>
    <w:rsid w:val="221D1D20"/>
    <w:rsid w:val="22334A87"/>
    <w:rsid w:val="226D06CE"/>
    <w:rsid w:val="22BE6801"/>
    <w:rsid w:val="2300545D"/>
    <w:rsid w:val="233500BF"/>
    <w:rsid w:val="23377FF7"/>
    <w:rsid w:val="236B425F"/>
    <w:rsid w:val="23836192"/>
    <w:rsid w:val="23901F29"/>
    <w:rsid w:val="239C0061"/>
    <w:rsid w:val="23B00D6A"/>
    <w:rsid w:val="23B908A4"/>
    <w:rsid w:val="23E478F9"/>
    <w:rsid w:val="23E95BEF"/>
    <w:rsid w:val="23FD0064"/>
    <w:rsid w:val="245375B0"/>
    <w:rsid w:val="24642C0A"/>
    <w:rsid w:val="24B22173"/>
    <w:rsid w:val="24B95AD9"/>
    <w:rsid w:val="24BE24DA"/>
    <w:rsid w:val="24CF5825"/>
    <w:rsid w:val="24D663E6"/>
    <w:rsid w:val="24D77F2B"/>
    <w:rsid w:val="258B00E2"/>
    <w:rsid w:val="25A917A6"/>
    <w:rsid w:val="25BE27CC"/>
    <w:rsid w:val="25F74A5C"/>
    <w:rsid w:val="261455E0"/>
    <w:rsid w:val="2628662C"/>
    <w:rsid w:val="262D45DE"/>
    <w:rsid w:val="26871DC8"/>
    <w:rsid w:val="26A53EF9"/>
    <w:rsid w:val="26A94201"/>
    <w:rsid w:val="26AC274F"/>
    <w:rsid w:val="27044A29"/>
    <w:rsid w:val="271D34C8"/>
    <w:rsid w:val="276142BF"/>
    <w:rsid w:val="27783712"/>
    <w:rsid w:val="27907362"/>
    <w:rsid w:val="27D91281"/>
    <w:rsid w:val="28123DA1"/>
    <w:rsid w:val="28333E1D"/>
    <w:rsid w:val="28454BD6"/>
    <w:rsid w:val="28455253"/>
    <w:rsid w:val="28551971"/>
    <w:rsid w:val="285B1C53"/>
    <w:rsid w:val="289F7086"/>
    <w:rsid w:val="28C32028"/>
    <w:rsid w:val="28C66939"/>
    <w:rsid w:val="28CC490F"/>
    <w:rsid w:val="28DE40AA"/>
    <w:rsid w:val="29345E77"/>
    <w:rsid w:val="294C65AD"/>
    <w:rsid w:val="29806583"/>
    <w:rsid w:val="29817BFA"/>
    <w:rsid w:val="298B3C4C"/>
    <w:rsid w:val="29F26D24"/>
    <w:rsid w:val="2A15033F"/>
    <w:rsid w:val="2A1662C1"/>
    <w:rsid w:val="2A1C7367"/>
    <w:rsid w:val="2A2815FA"/>
    <w:rsid w:val="2A6D6092"/>
    <w:rsid w:val="2A7D76B4"/>
    <w:rsid w:val="2A946CEF"/>
    <w:rsid w:val="2B3F3E85"/>
    <w:rsid w:val="2B437463"/>
    <w:rsid w:val="2B5E0B35"/>
    <w:rsid w:val="2B7807EE"/>
    <w:rsid w:val="2BA50BF7"/>
    <w:rsid w:val="2BBF00EC"/>
    <w:rsid w:val="2BC37CFD"/>
    <w:rsid w:val="2BD5237F"/>
    <w:rsid w:val="2BE536CE"/>
    <w:rsid w:val="2BE758D9"/>
    <w:rsid w:val="2C09049E"/>
    <w:rsid w:val="2C0A653C"/>
    <w:rsid w:val="2C191F85"/>
    <w:rsid w:val="2CDA0C05"/>
    <w:rsid w:val="2CE82D6F"/>
    <w:rsid w:val="2D343236"/>
    <w:rsid w:val="2DD15014"/>
    <w:rsid w:val="2DF72DE4"/>
    <w:rsid w:val="2E0220AF"/>
    <w:rsid w:val="2E0B000A"/>
    <w:rsid w:val="2E4B082A"/>
    <w:rsid w:val="2E5D4E86"/>
    <w:rsid w:val="2E5D790B"/>
    <w:rsid w:val="2E7B3D22"/>
    <w:rsid w:val="2E9A3C18"/>
    <w:rsid w:val="2EBB0FEE"/>
    <w:rsid w:val="2EC63002"/>
    <w:rsid w:val="2F0A6B38"/>
    <w:rsid w:val="2F124686"/>
    <w:rsid w:val="2F946CCB"/>
    <w:rsid w:val="2FD25781"/>
    <w:rsid w:val="2FDC745C"/>
    <w:rsid w:val="2FF7D722"/>
    <w:rsid w:val="2FFB8534"/>
    <w:rsid w:val="2FFD7934"/>
    <w:rsid w:val="303C2E81"/>
    <w:rsid w:val="30733ACD"/>
    <w:rsid w:val="308C3862"/>
    <w:rsid w:val="309379D8"/>
    <w:rsid w:val="30A270F7"/>
    <w:rsid w:val="30DF1478"/>
    <w:rsid w:val="30EC586F"/>
    <w:rsid w:val="310402C4"/>
    <w:rsid w:val="314550B7"/>
    <w:rsid w:val="319C6071"/>
    <w:rsid w:val="31AC537E"/>
    <w:rsid w:val="31E3679B"/>
    <w:rsid w:val="31E732FD"/>
    <w:rsid w:val="32517576"/>
    <w:rsid w:val="32AA4DE3"/>
    <w:rsid w:val="32AE7576"/>
    <w:rsid w:val="32BE5C2C"/>
    <w:rsid w:val="32FB6478"/>
    <w:rsid w:val="330D07CD"/>
    <w:rsid w:val="33263B3F"/>
    <w:rsid w:val="33571B89"/>
    <w:rsid w:val="336963EB"/>
    <w:rsid w:val="33816EEB"/>
    <w:rsid w:val="33EB55CD"/>
    <w:rsid w:val="33EC4C02"/>
    <w:rsid w:val="340D2360"/>
    <w:rsid w:val="3410665D"/>
    <w:rsid w:val="34211214"/>
    <w:rsid w:val="342E63AB"/>
    <w:rsid w:val="347E456C"/>
    <w:rsid w:val="34950E68"/>
    <w:rsid w:val="34986E94"/>
    <w:rsid w:val="34AF62C9"/>
    <w:rsid w:val="34CB4388"/>
    <w:rsid w:val="34FA6E12"/>
    <w:rsid w:val="3502519D"/>
    <w:rsid w:val="354D7158"/>
    <w:rsid w:val="358D5588"/>
    <w:rsid w:val="363A3B40"/>
    <w:rsid w:val="365302AE"/>
    <w:rsid w:val="36607A0A"/>
    <w:rsid w:val="366E227C"/>
    <w:rsid w:val="366F2E0D"/>
    <w:rsid w:val="367B6A5C"/>
    <w:rsid w:val="36A74ADA"/>
    <w:rsid w:val="36AD60D5"/>
    <w:rsid w:val="36B224F9"/>
    <w:rsid w:val="36EC0CC9"/>
    <w:rsid w:val="373F410B"/>
    <w:rsid w:val="375C0B95"/>
    <w:rsid w:val="37E109D8"/>
    <w:rsid w:val="37EE7094"/>
    <w:rsid w:val="37FF0B27"/>
    <w:rsid w:val="38296C89"/>
    <w:rsid w:val="383002EB"/>
    <w:rsid w:val="38586797"/>
    <w:rsid w:val="38BC0149"/>
    <w:rsid w:val="38D87D1C"/>
    <w:rsid w:val="38EC2989"/>
    <w:rsid w:val="396106E4"/>
    <w:rsid w:val="39636459"/>
    <w:rsid w:val="396B7F6C"/>
    <w:rsid w:val="39B417A9"/>
    <w:rsid w:val="39FC5695"/>
    <w:rsid w:val="39FF3A59"/>
    <w:rsid w:val="3A006D8E"/>
    <w:rsid w:val="3A3651E5"/>
    <w:rsid w:val="3A744481"/>
    <w:rsid w:val="3A8C7BEF"/>
    <w:rsid w:val="3A906246"/>
    <w:rsid w:val="3B132617"/>
    <w:rsid w:val="3B2349B7"/>
    <w:rsid w:val="3B616CFF"/>
    <w:rsid w:val="3B6259F6"/>
    <w:rsid w:val="3B976654"/>
    <w:rsid w:val="3BBBA69F"/>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D006F5"/>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C12D82"/>
    <w:rsid w:val="3FCA1C69"/>
    <w:rsid w:val="3FFA025B"/>
    <w:rsid w:val="4019356B"/>
    <w:rsid w:val="40592157"/>
    <w:rsid w:val="406E1CAE"/>
    <w:rsid w:val="40A0133A"/>
    <w:rsid w:val="40C31A53"/>
    <w:rsid w:val="40FF545D"/>
    <w:rsid w:val="410067C8"/>
    <w:rsid w:val="413B4AA4"/>
    <w:rsid w:val="418F0D2A"/>
    <w:rsid w:val="41D01505"/>
    <w:rsid w:val="42360234"/>
    <w:rsid w:val="42474939"/>
    <w:rsid w:val="424C3C57"/>
    <w:rsid w:val="42613FF3"/>
    <w:rsid w:val="42660D96"/>
    <w:rsid w:val="428667D2"/>
    <w:rsid w:val="42CD1CE0"/>
    <w:rsid w:val="42DA5063"/>
    <w:rsid w:val="42E1381E"/>
    <w:rsid w:val="42ED6459"/>
    <w:rsid w:val="42FE58DD"/>
    <w:rsid w:val="43106CD7"/>
    <w:rsid w:val="43174B3D"/>
    <w:rsid w:val="434B790E"/>
    <w:rsid w:val="4360274F"/>
    <w:rsid w:val="436D0919"/>
    <w:rsid w:val="43977AB6"/>
    <w:rsid w:val="43A3342B"/>
    <w:rsid w:val="43B27D8E"/>
    <w:rsid w:val="43C77C27"/>
    <w:rsid w:val="43DE09EE"/>
    <w:rsid w:val="44002FAD"/>
    <w:rsid w:val="449101DD"/>
    <w:rsid w:val="44A91191"/>
    <w:rsid w:val="44DE1391"/>
    <w:rsid w:val="44E623E5"/>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9F45FA"/>
    <w:rsid w:val="46C4686E"/>
    <w:rsid w:val="46DC75FC"/>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51D10"/>
    <w:rsid w:val="4B65492A"/>
    <w:rsid w:val="4B707271"/>
    <w:rsid w:val="4B9739F7"/>
    <w:rsid w:val="4BEE2503"/>
    <w:rsid w:val="4C175734"/>
    <w:rsid w:val="4C245A30"/>
    <w:rsid w:val="4C3107FF"/>
    <w:rsid w:val="4C79769B"/>
    <w:rsid w:val="4CB6685F"/>
    <w:rsid w:val="4CC367FE"/>
    <w:rsid w:val="4D077F3C"/>
    <w:rsid w:val="4D123355"/>
    <w:rsid w:val="4D2A3B31"/>
    <w:rsid w:val="4D312C52"/>
    <w:rsid w:val="4D905305"/>
    <w:rsid w:val="4D93478D"/>
    <w:rsid w:val="4D964A72"/>
    <w:rsid w:val="4D9C1254"/>
    <w:rsid w:val="4E793892"/>
    <w:rsid w:val="4E800872"/>
    <w:rsid w:val="4EC569ED"/>
    <w:rsid w:val="4ED50EA1"/>
    <w:rsid w:val="4EEC050C"/>
    <w:rsid w:val="4EED2B62"/>
    <w:rsid w:val="4F104EC3"/>
    <w:rsid w:val="4F47354A"/>
    <w:rsid w:val="4F6D4A83"/>
    <w:rsid w:val="4F911C54"/>
    <w:rsid w:val="4FE625E0"/>
    <w:rsid w:val="5021480F"/>
    <w:rsid w:val="50962ECB"/>
    <w:rsid w:val="50A42E38"/>
    <w:rsid w:val="50A4577F"/>
    <w:rsid w:val="50AF601A"/>
    <w:rsid w:val="50B73D1F"/>
    <w:rsid w:val="50BD5BC9"/>
    <w:rsid w:val="50C11EEE"/>
    <w:rsid w:val="50E97CFC"/>
    <w:rsid w:val="50FA4028"/>
    <w:rsid w:val="510D65B7"/>
    <w:rsid w:val="511157AB"/>
    <w:rsid w:val="511A291E"/>
    <w:rsid w:val="5142540C"/>
    <w:rsid w:val="518832C8"/>
    <w:rsid w:val="519D3C50"/>
    <w:rsid w:val="51A0432A"/>
    <w:rsid w:val="51A86090"/>
    <w:rsid w:val="51B7396D"/>
    <w:rsid w:val="522726DC"/>
    <w:rsid w:val="522E4CC3"/>
    <w:rsid w:val="5244713B"/>
    <w:rsid w:val="52615633"/>
    <w:rsid w:val="526F4DE4"/>
    <w:rsid w:val="52977FD4"/>
    <w:rsid w:val="52A25790"/>
    <w:rsid w:val="52A96B6F"/>
    <w:rsid w:val="52B45975"/>
    <w:rsid w:val="52B86552"/>
    <w:rsid w:val="52C207C8"/>
    <w:rsid w:val="52D94AA4"/>
    <w:rsid w:val="52EA3A62"/>
    <w:rsid w:val="52F50BB8"/>
    <w:rsid w:val="53097272"/>
    <w:rsid w:val="53544462"/>
    <w:rsid w:val="53566988"/>
    <w:rsid w:val="535D403D"/>
    <w:rsid w:val="53626356"/>
    <w:rsid w:val="5397158E"/>
    <w:rsid w:val="53CA204A"/>
    <w:rsid w:val="54013861"/>
    <w:rsid w:val="54352A41"/>
    <w:rsid w:val="54487265"/>
    <w:rsid w:val="544D6070"/>
    <w:rsid w:val="54605E1E"/>
    <w:rsid w:val="54B3506A"/>
    <w:rsid w:val="54CA0D16"/>
    <w:rsid w:val="54DD4057"/>
    <w:rsid w:val="54E7490F"/>
    <w:rsid w:val="550348EE"/>
    <w:rsid w:val="550764A4"/>
    <w:rsid w:val="550B2BF6"/>
    <w:rsid w:val="55214EB5"/>
    <w:rsid w:val="55364EFD"/>
    <w:rsid w:val="555D4828"/>
    <w:rsid w:val="557A4C8B"/>
    <w:rsid w:val="558931E1"/>
    <w:rsid w:val="55923347"/>
    <w:rsid w:val="55925180"/>
    <w:rsid w:val="55983B1B"/>
    <w:rsid w:val="55A8376B"/>
    <w:rsid w:val="55DC29B6"/>
    <w:rsid w:val="55DD4241"/>
    <w:rsid w:val="56682C5A"/>
    <w:rsid w:val="566B6D1E"/>
    <w:rsid w:val="566E38A2"/>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3C2F"/>
    <w:rsid w:val="57D95FDD"/>
    <w:rsid w:val="58917D2F"/>
    <w:rsid w:val="5894085C"/>
    <w:rsid w:val="589E3B49"/>
    <w:rsid w:val="58AE4F0C"/>
    <w:rsid w:val="58B85899"/>
    <w:rsid w:val="58E363A9"/>
    <w:rsid w:val="595E1678"/>
    <w:rsid w:val="596D5BD4"/>
    <w:rsid w:val="597E3DD8"/>
    <w:rsid w:val="59A26483"/>
    <w:rsid w:val="59F80043"/>
    <w:rsid w:val="5A09252F"/>
    <w:rsid w:val="5A0B2778"/>
    <w:rsid w:val="5A2A7C7B"/>
    <w:rsid w:val="5A3E2560"/>
    <w:rsid w:val="5A5D3B6E"/>
    <w:rsid w:val="5A637A76"/>
    <w:rsid w:val="5A6D33BA"/>
    <w:rsid w:val="5A792B1F"/>
    <w:rsid w:val="5A874767"/>
    <w:rsid w:val="5AA85BE2"/>
    <w:rsid w:val="5AAD6F28"/>
    <w:rsid w:val="5AD63A24"/>
    <w:rsid w:val="5B144C0A"/>
    <w:rsid w:val="5B2E1A1D"/>
    <w:rsid w:val="5B5639C9"/>
    <w:rsid w:val="5B843A1C"/>
    <w:rsid w:val="5B873E3F"/>
    <w:rsid w:val="5C02690E"/>
    <w:rsid w:val="5C196DA7"/>
    <w:rsid w:val="5C2A048C"/>
    <w:rsid w:val="5C80234E"/>
    <w:rsid w:val="5C8A680C"/>
    <w:rsid w:val="5C8C6D05"/>
    <w:rsid w:val="5D0C4701"/>
    <w:rsid w:val="5D0F0395"/>
    <w:rsid w:val="5D221076"/>
    <w:rsid w:val="5D397964"/>
    <w:rsid w:val="5D5A391C"/>
    <w:rsid w:val="5D5F10C0"/>
    <w:rsid w:val="5D891B7B"/>
    <w:rsid w:val="5DAD38EE"/>
    <w:rsid w:val="5E006862"/>
    <w:rsid w:val="5E0207B9"/>
    <w:rsid w:val="5E09741C"/>
    <w:rsid w:val="5E1834A1"/>
    <w:rsid w:val="5E261785"/>
    <w:rsid w:val="5E4A7017"/>
    <w:rsid w:val="5E552BBA"/>
    <w:rsid w:val="5E611C10"/>
    <w:rsid w:val="5E7A0F3F"/>
    <w:rsid w:val="5EFC7377"/>
    <w:rsid w:val="5F06174D"/>
    <w:rsid w:val="5F3A3602"/>
    <w:rsid w:val="5F45733B"/>
    <w:rsid w:val="5F6277C6"/>
    <w:rsid w:val="5F6D0B1D"/>
    <w:rsid w:val="5F8D0B82"/>
    <w:rsid w:val="5F968556"/>
    <w:rsid w:val="5F9F5213"/>
    <w:rsid w:val="5FBF4155"/>
    <w:rsid w:val="5FCC5339"/>
    <w:rsid w:val="5FE34A5B"/>
    <w:rsid w:val="5FFE1E36"/>
    <w:rsid w:val="60232584"/>
    <w:rsid w:val="60545F6A"/>
    <w:rsid w:val="607330CE"/>
    <w:rsid w:val="60825176"/>
    <w:rsid w:val="60921B4C"/>
    <w:rsid w:val="609F2AC4"/>
    <w:rsid w:val="60FA2EE8"/>
    <w:rsid w:val="60FC0DF8"/>
    <w:rsid w:val="61054A27"/>
    <w:rsid w:val="610A52BC"/>
    <w:rsid w:val="611D2366"/>
    <w:rsid w:val="611E6EDF"/>
    <w:rsid w:val="61421856"/>
    <w:rsid w:val="615227C4"/>
    <w:rsid w:val="61654E3F"/>
    <w:rsid w:val="6182292A"/>
    <w:rsid w:val="619F7F92"/>
    <w:rsid w:val="61F94C26"/>
    <w:rsid w:val="62000E56"/>
    <w:rsid w:val="62055E54"/>
    <w:rsid w:val="624F3E49"/>
    <w:rsid w:val="62632286"/>
    <w:rsid w:val="62885958"/>
    <w:rsid w:val="629D3C8C"/>
    <w:rsid w:val="62F40B65"/>
    <w:rsid w:val="62FC2CFE"/>
    <w:rsid w:val="63024505"/>
    <w:rsid w:val="635600A5"/>
    <w:rsid w:val="635B1DB5"/>
    <w:rsid w:val="6362529D"/>
    <w:rsid w:val="63711FED"/>
    <w:rsid w:val="63880DDC"/>
    <w:rsid w:val="638D750D"/>
    <w:rsid w:val="63AC6CC0"/>
    <w:rsid w:val="64055776"/>
    <w:rsid w:val="64240056"/>
    <w:rsid w:val="64252B61"/>
    <w:rsid w:val="643E143A"/>
    <w:rsid w:val="64491666"/>
    <w:rsid w:val="648B6EEF"/>
    <w:rsid w:val="64C158BF"/>
    <w:rsid w:val="64CE2EAA"/>
    <w:rsid w:val="653C3090"/>
    <w:rsid w:val="65854376"/>
    <w:rsid w:val="658767BE"/>
    <w:rsid w:val="65892531"/>
    <w:rsid w:val="65DE3244"/>
    <w:rsid w:val="66016B80"/>
    <w:rsid w:val="66195831"/>
    <w:rsid w:val="662E75B1"/>
    <w:rsid w:val="66342C2E"/>
    <w:rsid w:val="663E784C"/>
    <w:rsid w:val="668B6A45"/>
    <w:rsid w:val="67011F07"/>
    <w:rsid w:val="672F3F24"/>
    <w:rsid w:val="673E055F"/>
    <w:rsid w:val="67551CE3"/>
    <w:rsid w:val="67A22552"/>
    <w:rsid w:val="67B22DCC"/>
    <w:rsid w:val="67BE71AA"/>
    <w:rsid w:val="67D90273"/>
    <w:rsid w:val="67DE5875"/>
    <w:rsid w:val="67DF4D46"/>
    <w:rsid w:val="67E01D74"/>
    <w:rsid w:val="67E55852"/>
    <w:rsid w:val="67EB1AB4"/>
    <w:rsid w:val="67FA1285"/>
    <w:rsid w:val="67FF2CF3"/>
    <w:rsid w:val="683A2B28"/>
    <w:rsid w:val="68551F4F"/>
    <w:rsid w:val="687C10C9"/>
    <w:rsid w:val="68840C16"/>
    <w:rsid w:val="68872541"/>
    <w:rsid w:val="68876EFB"/>
    <w:rsid w:val="68884654"/>
    <w:rsid w:val="689F444F"/>
    <w:rsid w:val="68B96DBB"/>
    <w:rsid w:val="68CA2805"/>
    <w:rsid w:val="68E937A3"/>
    <w:rsid w:val="691664E5"/>
    <w:rsid w:val="693E15D3"/>
    <w:rsid w:val="69561038"/>
    <w:rsid w:val="69627681"/>
    <w:rsid w:val="6977531D"/>
    <w:rsid w:val="69CC2BFF"/>
    <w:rsid w:val="69FD55B8"/>
    <w:rsid w:val="6A0B1C62"/>
    <w:rsid w:val="6A2406C8"/>
    <w:rsid w:val="6ADE0BD1"/>
    <w:rsid w:val="6AE96859"/>
    <w:rsid w:val="6AF40B09"/>
    <w:rsid w:val="6B147746"/>
    <w:rsid w:val="6B24787C"/>
    <w:rsid w:val="6B573233"/>
    <w:rsid w:val="6B5B6274"/>
    <w:rsid w:val="6B935D53"/>
    <w:rsid w:val="6C196F71"/>
    <w:rsid w:val="6C226FCB"/>
    <w:rsid w:val="6C31226F"/>
    <w:rsid w:val="6C552F0B"/>
    <w:rsid w:val="6C8C67B7"/>
    <w:rsid w:val="6C9D744C"/>
    <w:rsid w:val="6D167928"/>
    <w:rsid w:val="6D26299B"/>
    <w:rsid w:val="6D433682"/>
    <w:rsid w:val="6D4772EC"/>
    <w:rsid w:val="6D5B47A9"/>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DD181C"/>
    <w:rsid w:val="704B4683"/>
    <w:rsid w:val="70565D7A"/>
    <w:rsid w:val="707723D0"/>
    <w:rsid w:val="709643FC"/>
    <w:rsid w:val="70F5661B"/>
    <w:rsid w:val="71063344"/>
    <w:rsid w:val="71360107"/>
    <w:rsid w:val="713B688E"/>
    <w:rsid w:val="71743F62"/>
    <w:rsid w:val="71CF1988"/>
    <w:rsid w:val="71D43752"/>
    <w:rsid w:val="71F1796A"/>
    <w:rsid w:val="72154626"/>
    <w:rsid w:val="721E646B"/>
    <w:rsid w:val="72262B5D"/>
    <w:rsid w:val="72283FF7"/>
    <w:rsid w:val="722E7212"/>
    <w:rsid w:val="723A0474"/>
    <w:rsid w:val="725923E4"/>
    <w:rsid w:val="72864BF7"/>
    <w:rsid w:val="729023FC"/>
    <w:rsid w:val="7366631C"/>
    <w:rsid w:val="73BB6668"/>
    <w:rsid w:val="73C0646E"/>
    <w:rsid w:val="7419513C"/>
    <w:rsid w:val="742222F5"/>
    <w:rsid w:val="74476126"/>
    <w:rsid w:val="74706664"/>
    <w:rsid w:val="747F3682"/>
    <w:rsid w:val="749C4185"/>
    <w:rsid w:val="74B65F8B"/>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935205"/>
    <w:rsid w:val="77D1700D"/>
    <w:rsid w:val="77EC04CC"/>
    <w:rsid w:val="78351616"/>
    <w:rsid w:val="78775729"/>
    <w:rsid w:val="78A42DB0"/>
    <w:rsid w:val="78A656AB"/>
    <w:rsid w:val="78B2245C"/>
    <w:rsid w:val="78E172CC"/>
    <w:rsid w:val="78EA1D1F"/>
    <w:rsid w:val="78FD502C"/>
    <w:rsid w:val="7904172F"/>
    <w:rsid w:val="790F7E27"/>
    <w:rsid w:val="7927654D"/>
    <w:rsid w:val="792A231A"/>
    <w:rsid w:val="79316829"/>
    <w:rsid w:val="797E66A9"/>
    <w:rsid w:val="798518A4"/>
    <w:rsid w:val="79A97383"/>
    <w:rsid w:val="79E27E8B"/>
    <w:rsid w:val="79F850CE"/>
    <w:rsid w:val="79FD443C"/>
    <w:rsid w:val="7A1D1975"/>
    <w:rsid w:val="7A1D3524"/>
    <w:rsid w:val="7A3E5150"/>
    <w:rsid w:val="7A4670D6"/>
    <w:rsid w:val="7A534B63"/>
    <w:rsid w:val="7A615382"/>
    <w:rsid w:val="7A67303B"/>
    <w:rsid w:val="7AAB1D04"/>
    <w:rsid w:val="7ABA4368"/>
    <w:rsid w:val="7AD05746"/>
    <w:rsid w:val="7B257FFD"/>
    <w:rsid w:val="7B273D20"/>
    <w:rsid w:val="7B2A40D3"/>
    <w:rsid w:val="7B343476"/>
    <w:rsid w:val="7B5A2978"/>
    <w:rsid w:val="7B5A7E4C"/>
    <w:rsid w:val="7B667AF9"/>
    <w:rsid w:val="7B7468F8"/>
    <w:rsid w:val="7B7610C6"/>
    <w:rsid w:val="7B7F7128"/>
    <w:rsid w:val="7BA9702E"/>
    <w:rsid w:val="7BEE0103"/>
    <w:rsid w:val="7C0A0FE4"/>
    <w:rsid w:val="7C254906"/>
    <w:rsid w:val="7C544523"/>
    <w:rsid w:val="7C590818"/>
    <w:rsid w:val="7C7C10F6"/>
    <w:rsid w:val="7C853BEA"/>
    <w:rsid w:val="7C881368"/>
    <w:rsid w:val="7CE27788"/>
    <w:rsid w:val="7D0C32F1"/>
    <w:rsid w:val="7D0F408D"/>
    <w:rsid w:val="7D491C6C"/>
    <w:rsid w:val="7D5429C0"/>
    <w:rsid w:val="7D6E6D43"/>
    <w:rsid w:val="7DB57A34"/>
    <w:rsid w:val="7DE60973"/>
    <w:rsid w:val="7DEF0916"/>
    <w:rsid w:val="7DFB58B2"/>
    <w:rsid w:val="7E1E5218"/>
    <w:rsid w:val="7E335217"/>
    <w:rsid w:val="7E9A4E1F"/>
    <w:rsid w:val="7EA7723A"/>
    <w:rsid w:val="7EF56FBB"/>
    <w:rsid w:val="7EF61292"/>
    <w:rsid w:val="7F0768EB"/>
    <w:rsid w:val="7F143BEC"/>
    <w:rsid w:val="7F5D4081"/>
    <w:rsid w:val="7F715AF2"/>
    <w:rsid w:val="7F886E69"/>
    <w:rsid w:val="9CBF4418"/>
    <w:rsid w:val="9FBF0B8A"/>
    <w:rsid w:val="AC1F4E35"/>
    <w:rsid w:val="B3DD2E1E"/>
    <w:rsid w:val="B7E6E635"/>
    <w:rsid w:val="BB7FA927"/>
    <w:rsid w:val="ECBF46FE"/>
    <w:rsid w:val="F5FFD31F"/>
    <w:rsid w:val="F79C7C00"/>
    <w:rsid w:val="FDFF41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9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32"/>
    <w:qFormat/>
    <w:uiPriority w:val="0"/>
    <w:pPr>
      <w:autoSpaceDE w:val="0"/>
      <w:autoSpaceDN w:val="0"/>
      <w:spacing w:line="360" w:lineRule="auto"/>
    </w:pPr>
    <w:rPr>
      <w:rFonts w:ascii="宋体" w:hAnsi="Arial" w:cs="Arial"/>
      <w:snapToGrid w:val="0"/>
      <w:sz w:val="24"/>
      <w:szCs w:val="21"/>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20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11"/>
    <w:qFormat/>
    <w:uiPriority w:val="0"/>
    <w:pPr>
      <w:shd w:val="clear" w:color="auto" w:fill="000080"/>
    </w:pPr>
  </w:style>
  <w:style w:type="paragraph" w:styleId="20">
    <w:name w:val="annotation text"/>
    <w:basedOn w:val="1"/>
    <w:link w:val="348"/>
    <w:qFormat/>
    <w:uiPriority w:val="99"/>
    <w:pPr>
      <w:jc w:val="left"/>
    </w:pPr>
  </w:style>
  <w:style w:type="paragraph" w:styleId="21">
    <w:name w:val="Salutation"/>
    <w:basedOn w:val="1"/>
    <w:next w:val="1"/>
    <w:link w:val="304"/>
    <w:qFormat/>
    <w:uiPriority w:val="0"/>
    <w:rPr>
      <w:rFonts w:ascii="仿宋_GB2312" w:eastAsia="仿宋_GB2312"/>
      <w:sz w:val="28"/>
      <w:szCs w:val="20"/>
    </w:rPr>
  </w:style>
  <w:style w:type="paragraph" w:styleId="22">
    <w:name w:val="Body Text 3"/>
    <w:basedOn w:val="1"/>
    <w:link w:val="334"/>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25"/>
    <w:link w:val="272"/>
    <w:qFormat/>
    <w:uiPriority w:val="0"/>
    <w:pPr>
      <w:spacing w:line="480" w:lineRule="exact"/>
      <w:ind w:firstLine="480" w:firstLineChars="200"/>
    </w:pPr>
    <w:rPr>
      <w:rFonts w:ascii="宋体" w:hAnsi="宋体"/>
      <w:sz w:val="24"/>
    </w:rPr>
  </w:style>
  <w:style w:type="paragraph" w:styleId="25">
    <w:name w:val="envelope return"/>
    <w:basedOn w:val="1"/>
    <w:qFormat/>
    <w:uiPriority w:val="0"/>
    <w:pPr>
      <w:snapToGrid w:val="0"/>
    </w:pPr>
    <w:rPr>
      <w:rFonts w:ascii="Arial" w:hAnsi="Arial"/>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90"/>
    <w:qFormat/>
    <w:uiPriority w:val="0"/>
    <w:pPr>
      <w:ind w:left="100" w:leftChars="2500"/>
    </w:pPr>
    <w:rPr>
      <w:rFonts w:ascii="宋体"/>
      <w:sz w:val="24"/>
      <w:szCs w:val="21"/>
      <w:lang w:val="zh-CN"/>
    </w:rPr>
  </w:style>
  <w:style w:type="paragraph" w:styleId="37">
    <w:name w:val="Body Text Indent 2"/>
    <w:basedOn w:val="1"/>
    <w:link w:val="312"/>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97"/>
    <w:qFormat/>
    <w:uiPriority w:val="0"/>
    <w:rPr>
      <w:sz w:val="18"/>
      <w:szCs w:val="18"/>
    </w:rPr>
  </w:style>
  <w:style w:type="paragraph" w:styleId="40">
    <w:name w:val="footer"/>
    <w:basedOn w:val="1"/>
    <w:link w:val="385"/>
    <w:qFormat/>
    <w:uiPriority w:val="99"/>
    <w:pPr>
      <w:tabs>
        <w:tab w:val="center" w:pos="4153"/>
        <w:tab w:val="right" w:pos="8306"/>
      </w:tabs>
      <w:snapToGrid w:val="0"/>
      <w:jc w:val="left"/>
    </w:pPr>
    <w:rPr>
      <w:sz w:val="18"/>
      <w:szCs w:val="18"/>
    </w:rPr>
  </w:style>
  <w:style w:type="paragraph" w:styleId="41">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4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6"/>
    <w:link w:val="314"/>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7"/>
    <w:qFormat/>
    <w:uiPriority w:val="0"/>
    <w:pPr>
      <w:spacing w:after="120" w:line="480" w:lineRule="auto"/>
    </w:pPr>
  </w:style>
  <w:style w:type="paragraph" w:styleId="57">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9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107"/>
    <w:qFormat/>
    <w:uiPriority w:val="0"/>
    <w:rPr>
      <w:b/>
      <w:bCs/>
    </w:rPr>
  </w:style>
  <w:style w:type="paragraph" w:styleId="61">
    <w:name w:val="Body Text First Indent"/>
    <w:basedOn w:val="2"/>
    <w:next w:val="1"/>
    <w:link w:val="325"/>
    <w:qFormat/>
    <w:uiPriority w:val="0"/>
    <w:pPr>
      <w:ind w:firstLine="420"/>
    </w:pPr>
    <w:rPr>
      <w:rFonts w:hAnsi="Calibri" w:cs="Times New Roman"/>
      <w:snapToGrid/>
      <w:szCs w:val="20"/>
    </w:rPr>
  </w:style>
  <w:style w:type="paragraph" w:styleId="62">
    <w:name w:val="Body Text First Indent 2"/>
    <w:basedOn w:val="24"/>
    <w:next w:val="61"/>
    <w:link w:val="13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styleId="80">
    <w:name w:val="List Paragraph"/>
    <w:basedOn w:val="1"/>
    <w:qFormat/>
    <w:uiPriority w:val="34"/>
    <w:pPr>
      <w:spacing w:line="360" w:lineRule="auto"/>
      <w:ind w:firstLine="200" w:firstLineChars="200"/>
    </w:pPr>
    <w:rPr>
      <w:rFonts w:eastAsia="楷体_GB2312" w:cs="Lucida Sans"/>
      <w:sz w:val="24"/>
    </w:rPr>
  </w:style>
  <w:style w:type="character" w:customStyle="1" w:styleId="81">
    <w:name w:val="标题 4 字符"/>
    <w:qFormat/>
    <w:uiPriority w:val="9"/>
    <w:rPr>
      <w:rFonts w:ascii="等线 Light" w:hAnsi="等线 Light" w:eastAsia="等线 Light" w:cs="Times New Roman"/>
      <w:b/>
      <w:bCs/>
      <w:snapToGrid w:val="0"/>
      <w:kern w:val="0"/>
      <w:sz w:val="28"/>
      <w:szCs w:val="28"/>
    </w:rPr>
  </w:style>
  <w:style w:type="character" w:customStyle="1" w:styleId="82">
    <w:name w:val="标题 5 字符"/>
    <w:link w:val="7"/>
    <w:qFormat/>
    <w:uiPriority w:val="9"/>
    <w:rPr>
      <w:b/>
      <w:bCs/>
      <w:kern w:val="2"/>
      <w:sz w:val="28"/>
      <w:szCs w:val="28"/>
    </w:rPr>
  </w:style>
  <w:style w:type="character" w:customStyle="1" w:styleId="83">
    <w:name w:val="标题 3 字符"/>
    <w:qFormat/>
    <w:uiPriority w:val="9"/>
    <w:rPr>
      <w:b/>
      <w:bCs/>
      <w:kern w:val="2"/>
      <w:sz w:val="32"/>
      <w:szCs w:val="32"/>
    </w:rPr>
  </w:style>
  <w:style w:type="character" w:customStyle="1" w:styleId="84">
    <w:name w:val="标题 2 字符"/>
    <w:qFormat/>
    <w:uiPriority w:val="1"/>
    <w:rPr>
      <w:rFonts w:ascii="仿宋_GB2312" w:hAnsi="Times New Roman" w:eastAsia="仿宋_GB2312" w:cs="Times New Roman"/>
      <w:b/>
      <w:kern w:val="2"/>
      <w:sz w:val="24"/>
      <w:lang w:val="zh-CN"/>
    </w:rPr>
  </w:style>
  <w:style w:type="paragraph" w:customStyle="1" w:styleId="8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character" w:customStyle="1" w:styleId="86">
    <w:name w:val="标题 7 字符"/>
    <w:link w:val="9"/>
    <w:qFormat/>
    <w:uiPriority w:val="0"/>
    <w:rPr>
      <w:b/>
      <w:bCs/>
      <w:kern w:val="2"/>
      <w:sz w:val="24"/>
      <w:szCs w:val="24"/>
    </w:rPr>
  </w:style>
  <w:style w:type="character" w:customStyle="1" w:styleId="87">
    <w:name w:val="正文缩进 字符"/>
    <w:qFormat/>
    <w:uiPriority w:val="0"/>
    <w:rPr>
      <w:rFonts w:ascii="宋体" w:eastAsia="宋体"/>
      <w:snapToGrid w:val="0"/>
      <w:color w:val="000000"/>
      <w:kern w:val="28"/>
      <w:sz w:val="28"/>
      <w:lang w:val="en-US" w:eastAsia="zh-CN" w:bidi="ar-SA"/>
    </w:rPr>
  </w:style>
  <w:style w:type="character" w:customStyle="1" w:styleId="88">
    <w:name w:val="正文文本 Char"/>
    <w:qFormat/>
    <w:uiPriority w:val="0"/>
    <w:rPr>
      <w:rFonts w:eastAsia="宋体"/>
      <w:kern w:val="2"/>
      <w:sz w:val="24"/>
      <w:szCs w:val="24"/>
      <w:lang w:val="en-US" w:eastAsia="zh-CN" w:bidi="ar-SA"/>
    </w:rPr>
  </w:style>
  <w:style w:type="paragraph" w:customStyle="1" w:styleId="8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0">
    <w:name w:val="Default"/>
    <w:link w:val="24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1">
    <w:name w:val="正文空2字"/>
    <w:basedOn w:val="9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2">
    <w:name w:val="左对齐正文"/>
    <w:qFormat/>
    <w:uiPriority w:val="99"/>
    <w:rPr>
      <w:rFonts w:ascii="Calibri" w:hAnsi="Calibri" w:eastAsia="仿宋_GB2312" w:cs="Calibri"/>
      <w:kern w:val="2"/>
      <w:sz w:val="32"/>
      <w:szCs w:val="32"/>
      <w:lang w:val="en-US" w:eastAsia="zh-CN" w:bidi="ar-SA"/>
    </w:rPr>
  </w:style>
  <w:style w:type="character" w:customStyle="1" w:styleId="93">
    <w:name w:val="表格非标题文字 Char"/>
    <w:link w:val="94"/>
    <w:qFormat/>
    <w:uiPriority w:val="0"/>
    <w:rPr>
      <w:rFonts w:ascii="Futura Bk" w:hAnsi="Futura Bk"/>
      <w:kern w:val="2"/>
      <w:sz w:val="18"/>
      <w:szCs w:val="21"/>
      <w:lang w:val="en-US" w:eastAsia="zh-CN" w:bidi="ar-SA"/>
    </w:rPr>
  </w:style>
  <w:style w:type="paragraph" w:customStyle="1" w:styleId="94">
    <w:name w:val="表格非标题文字"/>
    <w:link w:val="9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5">
    <w:name w:val="*正文 Char"/>
    <w:link w:val="96"/>
    <w:qFormat/>
    <w:locked/>
    <w:uiPriority w:val="0"/>
    <w:rPr>
      <w:rFonts w:ascii="宋体" w:hAnsi="宋体"/>
      <w:sz w:val="24"/>
    </w:rPr>
  </w:style>
  <w:style w:type="paragraph" w:customStyle="1" w:styleId="96">
    <w:name w:val="*正文"/>
    <w:basedOn w:val="1"/>
    <w:link w:val="95"/>
    <w:qFormat/>
    <w:uiPriority w:val="0"/>
    <w:pPr>
      <w:snapToGrid w:val="0"/>
      <w:spacing w:line="360" w:lineRule="auto"/>
      <w:ind w:firstLine="482"/>
      <w:jc w:val="left"/>
    </w:pPr>
    <w:rPr>
      <w:rFonts w:ascii="宋体" w:hAnsi="宋体"/>
      <w:kern w:val="0"/>
      <w:sz w:val="24"/>
      <w:szCs w:val="20"/>
    </w:rPr>
  </w:style>
  <w:style w:type="character" w:customStyle="1" w:styleId="97">
    <w:name w:val="Char Char71"/>
    <w:semiHidden/>
    <w:qFormat/>
    <w:uiPriority w:val="0"/>
    <w:rPr>
      <w:rFonts w:eastAsia="宋体"/>
      <w:kern w:val="2"/>
      <w:sz w:val="21"/>
      <w:szCs w:val="24"/>
      <w:lang w:val="en-US" w:eastAsia="zh-CN" w:bidi="ar-SA"/>
    </w:rPr>
  </w:style>
  <w:style w:type="character" w:customStyle="1" w:styleId="98">
    <w:name w:val="Char Char6"/>
    <w:qFormat/>
    <w:uiPriority w:val="0"/>
    <w:rPr>
      <w:rFonts w:eastAsia="宋体"/>
      <w:kern w:val="2"/>
      <w:sz w:val="21"/>
      <w:szCs w:val="24"/>
      <w:lang w:val="en-US" w:eastAsia="zh-CN" w:bidi="ar-SA"/>
    </w:rPr>
  </w:style>
  <w:style w:type="character" w:customStyle="1" w:styleId="99">
    <w:name w:val="正文缩进 Char"/>
    <w:qFormat/>
    <w:uiPriority w:val="0"/>
    <w:rPr>
      <w:rFonts w:eastAsia="宋体"/>
      <w:kern w:val="2"/>
      <w:sz w:val="21"/>
      <w:lang w:val="en-US" w:eastAsia="zh-CN"/>
    </w:rPr>
  </w:style>
  <w:style w:type="character" w:customStyle="1" w:styleId="100">
    <w:name w:val="正文首行缩进 Char1"/>
    <w:qFormat/>
    <w:uiPriority w:val="0"/>
    <w:rPr>
      <w:rFonts w:ascii="宋体" w:hAnsi="Times New Roman" w:eastAsia="宋体" w:cs="Times New Roman"/>
      <w:snapToGrid w:val="0"/>
      <w:kern w:val="2"/>
      <w:sz w:val="24"/>
      <w:szCs w:val="21"/>
      <w:lang w:val="zh-CN"/>
    </w:rPr>
  </w:style>
  <w:style w:type="character" w:customStyle="1" w:styleId="101">
    <w:name w:val="Char Char28"/>
    <w:qFormat/>
    <w:uiPriority w:val="6"/>
    <w:rPr>
      <w:rFonts w:ascii="仿宋_GB2312" w:hAnsi="仿宋_GB2312" w:eastAsia="仿宋_GB2312"/>
      <w:kern w:val="1"/>
      <w:sz w:val="28"/>
    </w:rPr>
  </w:style>
  <w:style w:type="character" w:customStyle="1" w:styleId="10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3">
    <w:name w:val="Heading 1 Char"/>
    <w:qFormat/>
    <w:uiPriority w:val="6"/>
    <w:rPr>
      <w:rFonts w:ascii="Times New Roman" w:hAnsi="Times New Roman" w:eastAsia="黑体" w:cs="Times New Roman"/>
      <w:b/>
      <w:kern w:val="0"/>
      <w:sz w:val="24"/>
      <w:szCs w:val="24"/>
    </w:rPr>
  </w:style>
  <w:style w:type="character" w:customStyle="1" w:styleId="104">
    <w:name w:val="U_正文 Char"/>
    <w:link w:val="105"/>
    <w:qFormat/>
    <w:uiPriority w:val="0"/>
    <w:rPr>
      <w:sz w:val="24"/>
      <w:szCs w:val="24"/>
    </w:rPr>
  </w:style>
  <w:style w:type="paragraph" w:customStyle="1" w:styleId="105">
    <w:name w:val="U_正文"/>
    <w:basedOn w:val="1"/>
    <w:link w:val="104"/>
    <w:qFormat/>
    <w:uiPriority w:val="0"/>
    <w:pPr>
      <w:adjustRightInd/>
      <w:spacing w:beforeLines="20" w:afterLines="20" w:line="300" w:lineRule="auto"/>
      <w:ind w:firstLine="200" w:firstLineChars="200"/>
    </w:pPr>
    <w:rPr>
      <w:kern w:val="0"/>
      <w:sz w:val="24"/>
    </w:rPr>
  </w:style>
  <w:style w:type="character" w:customStyle="1" w:styleId="106">
    <w:name w:val="HTML 地址 Char1"/>
    <w:qFormat/>
    <w:uiPriority w:val="0"/>
    <w:rPr>
      <w:rFonts w:ascii="Times New Roman" w:hAnsi="Times New Roman" w:eastAsia="宋体" w:cs="Times New Roman"/>
      <w:i/>
      <w:iCs/>
      <w:szCs w:val="24"/>
    </w:rPr>
  </w:style>
  <w:style w:type="character" w:customStyle="1" w:styleId="107">
    <w:name w:val="批注主题 字符"/>
    <w:link w:val="60"/>
    <w:qFormat/>
    <w:uiPriority w:val="0"/>
    <w:rPr>
      <w:b/>
      <w:bCs/>
      <w:kern w:val="2"/>
      <w:sz w:val="21"/>
      <w:szCs w:val="24"/>
    </w:rPr>
  </w:style>
  <w:style w:type="character" w:customStyle="1" w:styleId="108">
    <w:name w:val="Char Char51"/>
    <w:qFormat/>
    <w:uiPriority w:val="0"/>
    <w:rPr>
      <w:rFonts w:ascii="宋体" w:hAnsi="Courier New" w:eastAsia="宋体"/>
      <w:kern w:val="2"/>
      <w:sz w:val="21"/>
      <w:lang w:val="en-US" w:eastAsia="zh-CN"/>
    </w:rPr>
  </w:style>
  <w:style w:type="character" w:customStyle="1" w:styleId="109">
    <w:name w:val="表正文 Char"/>
    <w:qFormat/>
    <w:uiPriority w:val="0"/>
    <w:rPr>
      <w:rFonts w:ascii="宋体" w:eastAsia="宋体"/>
      <w:snapToGrid w:val="0"/>
      <w:color w:val="000000"/>
      <w:kern w:val="28"/>
      <w:sz w:val="28"/>
      <w:lang w:val="en-US" w:eastAsia="zh-CN" w:bidi="ar-SA"/>
    </w:rPr>
  </w:style>
  <w:style w:type="character" w:customStyle="1" w:styleId="110">
    <w:name w:val="Char Char34"/>
    <w:qFormat/>
    <w:uiPriority w:val="6"/>
    <w:rPr>
      <w:b/>
      <w:kern w:val="1"/>
      <w:sz w:val="28"/>
      <w:szCs w:val="28"/>
    </w:rPr>
  </w:style>
  <w:style w:type="character" w:customStyle="1" w:styleId="11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2">
    <w:name w:val="哈哈正文 Char"/>
    <w:link w:val="113"/>
    <w:qFormat/>
    <w:uiPriority w:val="0"/>
    <w:rPr>
      <w:rFonts w:ascii="宋体" w:hAnsi="宋体" w:eastAsia="宋体"/>
      <w:kern w:val="2"/>
      <w:sz w:val="24"/>
      <w:lang w:bidi="ar-SA"/>
    </w:rPr>
  </w:style>
  <w:style w:type="paragraph" w:customStyle="1" w:styleId="113">
    <w:name w:val="哈哈正文"/>
    <w:basedOn w:val="1"/>
    <w:link w:val="112"/>
    <w:qFormat/>
    <w:uiPriority w:val="0"/>
    <w:pPr>
      <w:adjustRightInd/>
      <w:spacing w:line="360" w:lineRule="auto"/>
      <w:ind w:firstLine="200" w:firstLineChars="200"/>
    </w:pPr>
    <w:rPr>
      <w:rFonts w:ascii="宋体" w:hAnsi="宋体"/>
      <w:sz w:val="24"/>
      <w:szCs w:val="20"/>
    </w:rPr>
  </w:style>
  <w:style w:type="character" w:customStyle="1" w:styleId="114">
    <w:name w:val="未处理的提及1"/>
    <w:qFormat/>
    <w:uiPriority w:val="0"/>
    <w:rPr>
      <w:color w:val="808080"/>
      <w:shd w:val="clear" w:color="auto" w:fill="E6E6E6"/>
    </w:rPr>
  </w:style>
  <w:style w:type="character" w:customStyle="1" w:styleId="115">
    <w:name w:val="txt"/>
    <w:qFormat/>
    <w:uiPriority w:val="0"/>
    <w:rPr>
      <w:rFonts w:ascii="仿宋_GB2312" w:eastAsia="微软雅黑"/>
      <w:b/>
      <w:kern w:val="2"/>
      <w:sz w:val="32"/>
      <w:szCs w:val="32"/>
      <w:lang w:val="en-US" w:eastAsia="zh-CN" w:bidi="ar-SA"/>
    </w:rPr>
  </w:style>
  <w:style w:type="character" w:customStyle="1" w:styleId="116">
    <w:name w:val="二级标题 Char Char"/>
    <w:qFormat/>
    <w:uiPriority w:val="0"/>
    <w:rPr>
      <w:rFonts w:ascii="宋体" w:hAnsi="宋体" w:eastAsia="宋体"/>
      <w:b/>
      <w:snapToGrid w:val="0"/>
      <w:kern w:val="2"/>
      <w:sz w:val="24"/>
      <w:szCs w:val="24"/>
      <w:lang w:val="en-US" w:eastAsia="zh-CN" w:bidi="ar-SA"/>
    </w:rPr>
  </w:style>
  <w:style w:type="character" w:customStyle="1" w:styleId="117">
    <w:name w:val="Char Char32"/>
    <w:qFormat/>
    <w:uiPriority w:val="6"/>
    <w:rPr>
      <w:b/>
      <w:kern w:val="1"/>
      <w:sz w:val="24"/>
      <w:szCs w:val="24"/>
    </w:rPr>
  </w:style>
  <w:style w:type="character" w:customStyle="1" w:styleId="118">
    <w:name w:val="PI Char1"/>
    <w:qFormat/>
    <w:uiPriority w:val="0"/>
    <w:rPr>
      <w:rFonts w:ascii="宋体" w:hAnsi="宋体"/>
      <w:kern w:val="2"/>
      <w:sz w:val="24"/>
      <w:szCs w:val="24"/>
    </w:rPr>
  </w:style>
  <w:style w:type="character" w:customStyle="1" w:styleId="119">
    <w:name w:val="tw4winTerm"/>
    <w:qFormat/>
    <w:uiPriority w:val="0"/>
    <w:rPr>
      <w:color w:val="0000FF"/>
    </w:rPr>
  </w:style>
  <w:style w:type="character" w:customStyle="1" w:styleId="120">
    <w:name w:val="Footer Char"/>
    <w:qFormat/>
    <w:locked/>
    <w:uiPriority w:val="0"/>
    <w:rPr>
      <w:rFonts w:eastAsia="宋体"/>
      <w:kern w:val="2"/>
      <w:sz w:val="18"/>
      <w:lang w:val="en-US" w:eastAsia="zh-CN" w:bidi="ar-SA"/>
    </w:rPr>
  </w:style>
  <w:style w:type="character" w:customStyle="1" w:styleId="121">
    <w:name w:val="普通文字 Char Char1"/>
    <w:qFormat/>
    <w:uiPriority w:val="0"/>
    <w:rPr>
      <w:rFonts w:ascii="宋体" w:hAnsi="Courier New"/>
      <w:kern w:val="2"/>
      <w:sz w:val="21"/>
    </w:rPr>
  </w:style>
  <w:style w:type="character" w:customStyle="1" w:styleId="122">
    <w:name w:val="Char Char101"/>
    <w:qFormat/>
    <w:uiPriority w:val="6"/>
    <w:rPr>
      <w:rFonts w:ascii="宋体" w:hAnsi="宋体"/>
      <w:kern w:val="2"/>
      <w:sz w:val="21"/>
      <w:szCs w:val="24"/>
      <w:lang w:val="en-US" w:eastAsia="zh-CN"/>
    </w:rPr>
  </w:style>
  <w:style w:type="character" w:customStyle="1" w:styleId="123">
    <w:name w:val="标题 4 Char"/>
    <w:qFormat/>
    <w:uiPriority w:val="0"/>
    <w:rPr>
      <w:rFonts w:ascii="Arial" w:hAnsi="Arial" w:eastAsia="黑体"/>
      <w:b/>
      <w:kern w:val="2"/>
      <w:sz w:val="28"/>
    </w:rPr>
  </w:style>
  <w:style w:type="character" w:customStyle="1" w:styleId="124">
    <w:name w:val="链接"/>
    <w:qFormat/>
    <w:uiPriority w:val="0"/>
    <w:rPr>
      <w:color w:val="0000FF"/>
      <w:sz w:val="21"/>
      <w:szCs w:val="21"/>
      <w:u w:val="single"/>
    </w:rPr>
  </w:style>
  <w:style w:type="character" w:customStyle="1" w:styleId="125">
    <w:name w:val="h4 Char"/>
    <w:qFormat/>
    <w:uiPriority w:val="0"/>
    <w:rPr>
      <w:rFonts w:ascii="Arial" w:hAnsi="Arial" w:eastAsia="黑体"/>
      <w:b/>
      <w:bCs/>
      <w:kern w:val="2"/>
      <w:sz w:val="28"/>
      <w:szCs w:val="28"/>
      <w:lang w:val="zh-CN" w:eastAsia="zh-CN" w:bidi="ar-SA"/>
    </w:rPr>
  </w:style>
  <w:style w:type="character" w:customStyle="1" w:styleId="126">
    <w:name w:val="5正文 Char"/>
    <w:link w:val="127"/>
    <w:qFormat/>
    <w:uiPriority w:val="0"/>
    <w:rPr>
      <w:rFonts w:ascii="仿宋_GB2312" w:hAnsi="微软雅黑" w:eastAsia="仿宋_GB2312"/>
      <w:sz w:val="28"/>
      <w:szCs w:val="21"/>
    </w:rPr>
  </w:style>
  <w:style w:type="paragraph" w:customStyle="1" w:styleId="127">
    <w:name w:val="5正文"/>
    <w:basedOn w:val="1"/>
    <w:link w:val="12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8">
    <w:name w:val="样式6 Char"/>
    <w:qFormat/>
    <w:uiPriority w:val="0"/>
    <w:rPr>
      <w:rFonts w:ascii="仿宋_GB2312" w:hAnsi="宋体" w:eastAsia="仿宋_GB2312"/>
      <w:b/>
      <w:bCs/>
      <w:kern w:val="2"/>
      <w:sz w:val="24"/>
      <w:szCs w:val="24"/>
      <w:lang w:val="en-US" w:eastAsia="zh-CN" w:bidi="ar-SA"/>
    </w:rPr>
  </w:style>
  <w:style w:type="character" w:customStyle="1" w:styleId="129">
    <w:name w:val="Char Char14"/>
    <w:qFormat/>
    <w:uiPriority w:val="6"/>
    <w:rPr>
      <w:rFonts w:ascii="黑体" w:hAnsi="黑体" w:eastAsia="黑体"/>
    </w:rPr>
  </w:style>
  <w:style w:type="character" w:customStyle="1" w:styleId="130">
    <w:name w:val="Heading 2 Hidden Char"/>
    <w:qFormat/>
    <w:uiPriority w:val="0"/>
    <w:rPr>
      <w:rFonts w:ascii="仿宋_GB2312" w:eastAsia="仿宋_GB2312"/>
      <w:b/>
      <w:bCs/>
      <w:kern w:val="2"/>
      <w:sz w:val="24"/>
      <w:szCs w:val="24"/>
      <w:lang w:val="zh-CN" w:eastAsia="zh-CN" w:bidi="ar-SA"/>
    </w:rPr>
  </w:style>
  <w:style w:type="character" w:customStyle="1" w:styleId="131">
    <w:name w:val="正文首行缩进 2 字符"/>
    <w:link w:val="62"/>
    <w:qFormat/>
    <w:uiPriority w:val="0"/>
    <w:rPr>
      <w:rFonts w:ascii="宋体" w:hAnsi="宋体"/>
      <w:kern w:val="2"/>
      <w:sz w:val="21"/>
      <w:szCs w:val="24"/>
    </w:rPr>
  </w:style>
  <w:style w:type="character" w:customStyle="1" w:styleId="132">
    <w:name w:val="font11"/>
    <w:basedOn w:val="70"/>
    <w:qFormat/>
    <w:uiPriority w:val="0"/>
    <w:rPr>
      <w:rFonts w:hint="default" w:ascii="Times New Roman" w:hAnsi="Times New Roman" w:cs="Times New Roman"/>
      <w:color w:val="000000"/>
      <w:sz w:val="22"/>
      <w:szCs w:val="22"/>
      <w:u w:val="none"/>
    </w:rPr>
  </w:style>
  <w:style w:type="character" w:customStyle="1" w:styleId="133">
    <w:name w:val="表正文 Char1"/>
    <w:qFormat/>
    <w:uiPriority w:val="0"/>
    <w:rPr>
      <w:rFonts w:ascii="宋体" w:eastAsia="宋体"/>
      <w:snapToGrid w:val="0"/>
      <w:color w:val="000000"/>
      <w:kern w:val="28"/>
      <w:sz w:val="28"/>
    </w:rPr>
  </w:style>
  <w:style w:type="character" w:customStyle="1" w:styleId="134">
    <w:name w:val="blue1"/>
    <w:basedOn w:val="70"/>
    <w:qFormat/>
    <w:uiPriority w:val="0"/>
    <w:rPr>
      <w:rFonts w:ascii="Arial" w:hAnsi="Arial" w:eastAsia="黑体" w:cs="Arial"/>
      <w:snapToGrid w:val="0"/>
      <w:kern w:val="0"/>
      <w:szCs w:val="21"/>
    </w:rPr>
  </w:style>
  <w:style w:type="character" w:customStyle="1" w:styleId="135">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36">
    <w:name w:val="标书1 Char"/>
    <w:qFormat/>
    <w:uiPriority w:val="0"/>
    <w:rPr>
      <w:rFonts w:eastAsia="宋体"/>
      <w:b/>
      <w:bCs/>
      <w:kern w:val="44"/>
      <w:sz w:val="44"/>
      <w:szCs w:val="44"/>
      <w:lang w:val="en-US" w:eastAsia="zh-CN" w:bidi="ar-SA"/>
    </w:rPr>
  </w:style>
  <w:style w:type="character" w:customStyle="1" w:styleId="137">
    <w:name w:val="样式5 Char"/>
    <w:qFormat/>
    <w:uiPriority w:val="0"/>
    <w:rPr>
      <w:rFonts w:ascii="仿宋_GB2312" w:hAnsi="仿宋" w:eastAsia="仿宋_GB2312"/>
      <w:kern w:val="2"/>
      <w:sz w:val="24"/>
      <w:szCs w:val="24"/>
    </w:rPr>
  </w:style>
  <w:style w:type="character" w:customStyle="1" w:styleId="138">
    <w:name w:val="样式4 Char"/>
    <w:qFormat/>
    <w:uiPriority w:val="0"/>
    <w:rPr>
      <w:rFonts w:ascii="仿宋_GB2312" w:hAnsi="仿宋" w:eastAsia="仿宋_GB2312"/>
      <w:b/>
      <w:kern w:val="2"/>
      <w:sz w:val="32"/>
      <w:szCs w:val="32"/>
      <w:lang w:bidi="ar-SA"/>
    </w:rPr>
  </w:style>
  <w:style w:type="character" w:customStyle="1" w:styleId="139">
    <w:name w:val="插图说明 Char"/>
    <w:qFormat/>
    <w:uiPriority w:val="0"/>
    <w:rPr>
      <w:rFonts w:eastAsia="黑体"/>
      <w:sz w:val="24"/>
      <w:lang w:val="en-US" w:eastAsia="zh-CN"/>
    </w:rPr>
  </w:style>
  <w:style w:type="character" w:customStyle="1" w:styleId="140">
    <w:name w:val="正文2 Char Char"/>
    <w:link w:val="141"/>
    <w:qFormat/>
    <w:uiPriority w:val="0"/>
    <w:rPr>
      <w:rFonts w:eastAsia="宋体"/>
      <w:kern w:val="2"/>
      <w:sz w:val="24"/>
      <w:lang w:val="en-US" w:eastAsia="zh-CN" w:bidi="ar-SA"/>
    </w:rPr>
  </w:style>
  <w:style w:type="paragraph" w:customStyle="1" w:styleId="141">
    <w:name w:val="正文2"/>
    <w:basedOn w:val="1"/>
    <w:link w:val="140"/>
    <w:qFormat/>
    <w:uiPriority w:val="0"/>
    <w:pPr>
      <w:spacing w:before="156" w:line="360" w:lineRule="auto"/>
      <w:ind w:firstLine="510" w:firstLineChars="200"/>
    </w:pPr>
    <w:rPr>
      <w:sz w:val="24"/>
      <w:szCs w:val="20"/>
    </w:rPr>
  </w:style>
  <w:style w:type="character" w:customStyle="1" w:styleId="142">
    <w:name w:val="Char Char24"/>
    <w:qFormat/>
    <w:uiPriority w:val="6"/>
    <w:rPr>
      <w:kern w:val="1"/>
      <w:sz w:val="21"/>
    </w:rPr>
  </w:style>
  <w:style w:type="character" w:customStyle="1" w:styleId="143">
    <w:name w:val="副标题 字符"/>
    <w:link w:val="47"/>
    <w:qFormat/>
    <w:uiPriority w:val="0"/>
    <w:rPr>
      <w:rFonts w:ascii="Arial" w:hAnsi="Arial" w:eastAsia="隶书"/>
      <w:b/>
      <w:bCs/>
      <w:kern w:val="28"/>
      <w:sz w:val="44"/>
      <w:szCs w:val="32"/>
      <w:lang w:val="en-US" w:eastAsia="zh-CN" w:bidi="ar-SA"/>
    </w:rPr>
  </w:style>
  <w:style w:type="character" w:customStyle="1" w:styleId="144">
    <w:name w:val="普通文字 Char1 Char"/>
    <w:qFormat/>
    <w:uiPriority w:val="0"/>
    <w:rPr>
      <w:rFonts w:ascii="宋体" w:hAnsi="Courier New" w:eastAsia="宋体"/>
      <w:kern w:val="2"/>
      <w:sz w:val="21"/>
      <w:szCs w:val="24"/>
      <w:lang w:val="en-US" w:eastAsia="zh-CN" w:bidi="ar-SA"/>
    </w:rPr>
  </w:style>
  <w:style w:type="character" w:customStyle="1" w:styleId="145">
    <w:name w:val="h3 Char1"/>
    <w:qFormat/>
    <w:uiPriority w:val="0"/>
    <w:rPr>
      <w:rFonts w:eastAsia="宋体"/>
      <w:b/>
      <w:bCs/>
      <w:kern w:val="2"/>
      <w:sz w:val="32"/>
      <w:szCs w:val="32"/>
      <w:lang w:bidi="ar-SA"/>
    </w:rPr>
  </w:style>
  <w:style w:type="character" w:customStyle="1" w:styleId="146">
    <w:name w:val="标题 Char1"/>
    <w:qFormat/>
    <w:uiPriority w:val="0"/>
    <w:rPr>
      <w:rFonts w:ascii="Cambria" w:hAnsi="Cambria" w:eastAsia="宋体" w:cs="Times New Roman"/>
      <w:b/>
      <w:bCs/>
      <w:sz w:val="32"/>
      <w:szCs w:val="32"/>
      <w:lang w:bidi="ar-SA"/>
    </w:rPr>
  </w:style>
  <w:style w:type="character" w:customStyle="1" w:styleId="147">
    <w:name w:val="gf正文1 Char"/>
    <w:qFormat/>
    <w:uiPriority w:val="0"/>
    <w:rPr>
      <w:rFonts w:ascii="宋体" w:hAnsi="宋体" w:eastAsia="宋体" w:cs="宋体"/>
      <w:kern w:val="2"/>
      <w:sz w:val="24"/>
      <w:szCs w:val="24"/>
      <w:lang w:val="en-US" w:eastAsia="zh-CN" w:bidi="ar-SA"/>
    </w:rPr>
  </w:style>
  <w:style w:type="character" w:customStyle="1" w:styleId="148">
    <w:name w:val="正文文本缩进 Char1"/>
    <w:qFormat/>
    <w:uiPriority w:val="0"/>
    <w:rPr>
      <w:rFonts w:ascii="Calibri" w:hAnsi="Calibri"/>
      <w:sz w:val="28"/>
    </w:rPr>
  </w:style>
  <w:style w:type="character" w:customStyle="1" w:styleId="149">
    <w:name w:val="No Spacing Char"/>
    <w:link w:val="150"/>
    <w:qFormat/>
    <w:uiPriority w:val="1"/>
    <w:rPr>
      <w:sz w:val="22"/>
      <w:szCs w:val="22"/>
      <w:lang w:val="en-US" w:eastAsia="zh-CN" w:bidi="ar-SA"/>
    </w:rPr>
  </w:style>
  <w:style w:type="paragraph" w:customStyle="1" w:styleId="150">
    <w:name w:val="无间隔1"/>
    <w:link w:val="149"/>
    <w:qFormat/>
    <w:uiPriority w:val="1"/>
    <w:rPr>
      <w:rFonts w:ascii="Times New Roman" w:hAnsi="Times New Roman" w:eastAsia="宋体" w:cs="Times New Roman"/>
      <w:sz w:val="22"/>
      <w:szCs w:val="22"/>
      <w:lang w:val="en-US" w:eastAsia="zh-CN" w:bidi="ar-SA"/>
    </w:rPr>
  </w:style>
  <w:style w:type="character" w:customStyle="1" w:styleId="151">
    <w:name w:val="样式7 Char"/>
    <w:qFormat/>
    <w:uiPriority w:val="0"/>
    <w:rPr>
      <w:rFonts w:ascii="仿宋_GB2312" w:hAnsi="仿宋" w:eastAsia="仿宋_GB2312"/>
      <w:b/>
      <w:kern w:val="2"/>
      <w:sz w:val="24"/>
      <w:szCs w:val="24"/>
    </w:rPr>
  </w:style>
  <w:style w:type="character" w:customStyle="1" w:styleId="152">
    <w:name w:val="font12gray1"/>
    <w:qFormat/>
    <w:uiPriority w:val="0"/>
    <w:rPr>
      <w:rFonts w:ascii="仿宋_GB2312" w:eastAsia="微软雅黑"/>
      <w:b/>
      <w:spacing w:val="300"/>
      <w:kern w:val="2"/>
      <w:sz w:val="18"/>
      <w:szCs w:val="18"/>
      <w:lang w:val="en-US" w:eastAsia="zh-CN" w:bidi="ar-SA"/>
    </w:rPr>
  </w:style>
  <w:style w:type="character" w:customStyle="1" w:styleId="153">
    <w:name w:val="Char Char7"/>
    <w:semiHidden/>
    <w:qFormat/>
    <w:uiPriority w:val="0"/>
    <w:rPr>
      <w:rFonts w:eastAsia="宋体"/>
      <w:kern w:val="2"/>
      <w:sz w:val="21"/>
      <w:szCs w:val="24"/>
      <w:lang w:val="en-US" w:eastAsia="zh-CN" w:bidi="ar-SA"/>
    </w:rPr>
  </w:style>
  <w:style w:type="character" w:customStyle="1" w:styleId="154">
    <w:name w:val="表名 Char"/>
    <w:qFormat/>
    <w:uiPriority w:val="0"/>
    <w:rPr>
      <w:rFonts w:eastAsia="宋体"/>
      <w:b/>
      <w:bCs/>
      <w:kern w:val="2"/>
      <w:sz w:val="24"/>
      <w:szCs w:val="24"/>
      <w:lang w:val="en-US" w:eastAsia="zh-CN" w:bidi="ar-SA"/>
    </w:rPr>
  </w:style>
  <w:style w:type="character" w:customStyle="1" w:styleId="155">
    <w:name w:val="Document Map Char"/>
    <w:qFormat/>
    <w:locked/>
    <w:uiPriority w:val="0"/>
    <w:rPr>
      <w:rFonts w:eastAsia="宋体"/>
      <w:kern w:val="2"/>
      <w:sz w:val="21"/>
      <w:szCs w:val="24"/>
      <w:lang w:val="en-US" w:eastAsia="zh-CN" w:bidi="ar-SA"/>
    </w:rPr>
  </w:style>
  <w:style w:type="character" w:customStyle="1" w:styleId="156">
    <w:name w:val="font41"/>
    <w:qFormat/>
    <w:uiPriority w:val="0"/>
    <w:rPr>
      <w:rFonts w:hint="eastAsia" w:ascii="仿宋_GB2312" w:eastAsia="仿宋_GB2312" w:cs="仿宋_GB2312"/>
      <w:color w:val="000000"/>
      <w:sz w:val="22"/>
      <w:szCs w:val="22"/>
      <w:u w:val="none"/>
    </w:rPr>
  </w:style>
  <w:style w:type="character" w:customStyle="1" w:styleId="157">
    <w:name w:val="标题 6 字符"/>
    <w:link w:val="8"/>
    <w:qFormat/>
    <w:uiPriority w:val="0"/>
    <w:rPr>
      <w:rFonts w:ascii="Arial" w:hAnsi="Arial" w:eastAsia="黑体"/>
      <w:b/>
      <w:bCs/>
      <w:kern w:val="2"/>
      <w:sz w:val="24"/>
      <w:szCs w:val="24"/>
    </w:rPr>
  </w:style>
  <w:style w:type="character" w:customStyle="1" w:styleId="158">
    <w:name w:val="纯文本 Char_0"/>
    <w:link w:val="159"/>
    <w:qFormat/>
    <w:uiPriority w:val="0"/>
    <w:rPr>
      <w:rFonts w:ascii="宋体" w:hAnsi="Courier New"/>
      <w:kern w:val="2"/>
      <w:sz w:val="21"/>
      <w:szCs w:val="21"/>
      <w:lang w:val="en-US" w:eastAsia="zh-CN"/>
    </w:rPr>
  </w:style>
  <w:style w:type="paragraph" w:customStyle="1" w:styleId="159">
    <w:name w:val="纯文本_0_0"/>
    <w:basedOn w:val="160"/>
    <w:link w:val="158"/>
    <w:qFormat/>
    <w:uiPriority w:val="0"/>
    <w:rPr>
      <w:rFonts w:ascii="宋体" w:hAnsi="Courier New"/>
      <w:szCs w:val="21"/>
    </w:rPr>
  </w:style>
  <w:style w:type="paragraph" w:customStyle="1" w:styleId="16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Balloon Text Char"/>
    <w:qFormat/>
    <w:locked/>
    <w:uiPriority w:val="0"/>
    <w:rPr>
      <w:rFonts w:eastAsia="宋体"/>
      <w:kern w:val="2"/>
      <w:sz w:val="18"/>
      <w:szCs w:val="18"/>
      <w:lang w:val="en-US" w:eastAsia="zh-CN" w:bidi="ar-SA"/>
    </w:rPr>
  </w:style>
  <w:style w:type="character" w:customStyle="1" w:styleId="162">
    <w:name w:val="正文 项目2 Char"/>
    <w:basedOn w:val="163"/>
    <w:qFormat/>
    <w:uiPriority w:val="0"/>
    <w:rPr>
      <w:rFonts w:ascii="仿宋_GB2312" w:hAnsi="仿宋_GB2312" w:eastAsia="仿宋_GB2312"/>
      <w:kern w:val="2"/>
      <w:sz w:val="24"/>
      <w:lang w:bidi="ar-SA"/>
    </w:rPr>
  </w:style>
  <w:style w:type="character" w:customStyle="1" w:styleId="163">
    <w:name w:val="正文 项目 Char"/>
    <w:qFormat/>
    <w:uiPriority w:val="0"/>
    <w:rPr>
      <w:rFonts w:ascii="仿宋_GB2312" w:hAnsi="仿宋_GB2312" w:eastAsia="仿宋_GB2312"/>
      <w:kern w:val="2"/>
      <w:sz w:val="24"/>
      <w:lang w:bidi="ar-SA"/>
    </w:rPr>
  </w:style>
  <w:style w:type="character" w:customStyle="1" w:styleId="164">
    <w:name w:val="h Char Char1"/>
    <w:qFormat/>
    <w:uiPriority w:val="0"/>
    <w:rPr>
      <w:rFonts w:eastAsia="宋体"/>
      <w:kern w:val="2"/>
      <w:sz w:val="18"/>
      <w:szCs w:val="18"/>
      <w:lang w:val="en-US" w:eastAsia="zh-CN" w:bidi="ar-SA"/>
    </w:rPr>
  </w:style>
  <w:style w:type="character" w:customStyle="1" w:styleId="165">
    <w:name w:val="Char Char27"/>
    <w:qFormat/>
    <w:uiPriority w:val="6"/>
    <w:rPr>
      <w:rFonts w:ascii="宋体" w:hAnsi="宋体" w:eastAsia="宋体"/>
      <w:color w:val="000000"/>
      <w:kern w:val="1"/>
      <w:sz w:val="28"/>
      <w:lang w:val="en-US" w:eastAsia="zh-CN" w:bidi="ar-SA"/>
    </w:rPr>
  </w:style>
  <w:style w:type="character" w:customStyle="1" w:styleId="166">
    <w:name w:val="px14"/>
    <w:qFormat/>
    <w:uiPriority w:val="0"/>
    <w:rPr>
      <w:rFonts w:ascii="仿宋_GB2312" w:eastAsia="微软雅黑" w:cs="Times New Roman"/>
      <w:b/>
      <w:kern w:val="2"/>
      <w:sz w:val="32"/>
      <w:szCs w:val="32"/>
      <w:lang w:val="en-US" w:eastAsia="zh-CN" w:bidi="ar-SA"/>
    </w:rPr>
  </w:style>
  <w:style w:type="character" w:customStyle="1" w:styleId="167">
    <w:name w:val="HTML 预设格式 Char1"/>
    <w:qFormat/>
    <w:uiPriority w:val="0"/>
    <w:rPr>
      <w:rFonts w:ascii="Courier New" w:hAnsi="Courier New" w:eastAsia="宋体" w:cs="Courier New"/>
      <w:sz w:val="20"/>
      <w:szCs w:val="20"/>
    </w:rPr>
  </w:style>
  <w:style w:type="character" w:customStyle="1" w:styleId="168">
    <w:name w:val="普通文字 Char1"/>
    <w:qFormat/>
    <w:uiPriority w:val="0"/>
    <w:rPr>
      <w:rFonts w:ascii="宋体" w:hAnsi="Courier New" w:eastAsia="宋体"/>
      <w:kern w:val="2"/>
      <w:sz w:val="21"/>
      <w:lang w:val="en-US" w:eastAsia="zh-CN"/>
    </w:rPr>
  </w:style>
  <w:style w:type="character" w:customStyle="1" w:styleId="169">
    <w:name w:val="hei16b1"/>
    <w:qFormat/>
    <w:uiPriority w:val="0"/>
    <w:rPr>
      <w:rFonts w:hint="default" w:ascii="Arial" w:hAnsi="Arial" w:cs="Arial"/>
      <w:b/>
      <w:bCs/>
      <w:color w:val="000000"/>
      <w:sz w:val="24"/>
      <w:szCs w:val="24"/>
    </w:rPr>
  </w:style>
  <w:style w:type="character" w:customStyle="1" w:styleId="170">
    <w:name w:val="正文（绿盟科技） Char"/>
    <w:link w:val="171"/>
    <w:qFormat/>
    <w:uiPriority w:val="0"/>
    <w:rPr>
      <w:rFonts w:ascii="Arial" w:hAnsi="Arial"/>
      <w:sz w:val="21"/>
      <w:szCs w:val="21"/>
    </w:rPr>
  </w:style>
  <w:style w:type="paragraph" w:customStyle="1" w:styleId="171">
    <w:name w:val="正文（绿盟科技）"/>
    <w:link w:val="170"/>
    <w:qFormat/>
    <w:uiPriority w:val="0"/>
    <w:pPr>
      <w:spacing w:line="300" w:lineRule="auto"/>
    </w:pPr>
    <w:rPr>
      <w:rFonts w:ascii="Arial" w:hAnsi="Arial" w:eastAsia="宋体" w:cs="Times New Roman"/>
      <w:sz w:val="21"/>
      <w:szCs w:val="21"/>
      <w:lang w:val="en-US" w:eastAsia="zh-CN" w:bidi="ar-SA"/>
    </w:rPr>
  </w:style>
  <w:style w:type="character" w:customStyle="1" w:styleId="172">
    <w:name w:val="Char Char19"/>
    <w:qFormat/>
    <w:uiPriority w:val="6"/>
    <w:rPr>
      <w:rFonts w:ascii="宋体" w:hAnsi="宋体"/>
      <w:i/>
      <w:sz w:val="24"/>
      <w:szCs w:val="24"/>
    </w:rPr>
  </w:style>
  <w:style w:type="character" w:customStyle="1" w:styleId="173">
    <w:name w:val="页脚 Char"/>
    <w:qFormat/>
    <w:uiPriority w:val="0"/>
    <w:rPr>
      <w:rFonts w:eastAsia="仿宋_GB2312"/>
      <w:kern w:val="2"/>
      <w:sz w:val="18"/>
      <w:lang w:val="en-US" w:eastAsia="zh-CN"/>
    </w:rPr>
  </w:style>
  <w:style w:type="character" w:customStyle="1" w:styleId="174">
    <w:name w:val="批注主题 Char"/>
    <w:qFormat/>
    <w:uiPriority w:val="0"/>
    <w:rPr>
      <w:rFonts w:eastAsia="宋体"/>
      <w:b/>
      <w:bCs/>
      <w:kern w:val="2"/>
      <w:sz w:val="21"/>
      <w:szCs w:val="24"/>
      <w:lang w:val="en-US" w:eastAsia="zh-CN" w:bidi="ar-SA"/>
    </w:rPr>
  </w:style>
  <w:style w:type="character" w:customStyle="1" w:styleId="175">
    <w:name w:val="Comment Text Char"/>
    <w:qFormat/>
    <w:locked/>
    <w:uiPriority w:val="0"/>
    <w:rPr>
      <w:rFonts w:ascii="宋体" w:hAnsi="宋体" w:eastAsia="宋体"/>
      <w:kern w:val="2"/>
      <w:sz w:val="24"/>
      <w:lang w:val="en-US" w:eastAsia="zh-CN" w:bidi="ar-SA"/>
    </w:rPr>
  </w:style>
  <w:style w:type="character" w:customStyle="1" w:styleId="176">
    <w:name w:val="Char Char72"/>
    <w:qFormat/>
    <w:uiPriority w:val="0"/>
    <w:rPr>
      <w:rFonts w:eastAsia="宋体"/>
      <w:kern w:val="2"/>
      <w:sz w:val="21"/>
      <w:szCs w:val="24"/>
      <w:lang w:val="en-US" w:eastAsia="zh-CN" w:bidi="ar-SA"/>
    </w:rPr>
  </w:style>
  <w:style w:type="character" w:customStyle="1" w:styleId="177">
    <w:name w:val="正文文本缩进 Char2"/>
    <w:qFormat/>
    <w:uiPriority w:val="0"/>
    <w:rPr>
      <w:rFonts w:ascii="Times New Roman" w:hAnsi="Times New Roman" w:eastAsia="宋体" w:cs="Times New Roman"/>
      <w:snapToGrid w:val="0"/>
      <w:kern w:val="0"/>
      <w:szCs w:val="24"/>
    </w:rPr>
  </w:style>
  <w:style w:type="character" w:customStyle="1" w:styleId="178">
    <w:name w:val="样式2 Char"/>
    <w:qFormat/>
    <w:uiPriority w:val="0"/>
    <w:rPr>
      <w:rFonts w:ascii="仿宋_GB2312" w:hAnsi="仿宋" w:eastAsia="仿宋_GB2312" w:cs="仿宋_GB2312"/>
      <w:b/>
      <w:bCs/>
      <w:sz w:val="32"/>
      <w:szCs w:val="30"/>
      <w:lang w:val="zh-CN"/>
    </w:rPr>
  </w:style>
  <w:style w:type="character" w:customStyle="1" w:styleId="179">
    <w:name w:val="表格名称[858D7CFB-ED40-4347-BF05-701D383B685F]"/>
    <w:link w:val="180"/>
    <w:qFormat/>
    <w:uiPriority w:val="0"/>
    <w:rPr>
      <w:sz w:val="32"/>
    </w:rPr>
  </w:style>
  <w:style w:type="paragraph" w:customStyle="1" w:styleId="180">
    <w:name w:val="表格名称"/>
    <w:basedOn w:val="4"/>
    <w:link w:val="17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1">
    <w:name w:val="Char Char4"/>
    <w:qFormat/>
    <w:uiPriority w:val="0"/>
    <w:rPr>
      <w:rFonts w:eastAsia="宋体"/>
      <w:b/>
      <w:sz w:val="24"/>
      <w:lang w:val="en-GB" w:eastAsia="zh-CN" w:bidi="ar-SA"/>
    </w:rPr>
  </w:style>
  <w:style w:type="character" w:customStyle="1" w:styleId="182">
    <w:name w:val="c7 style3"/>
    <w:qFormat/>
    <w:uiPriority w:val="0"/>
  </w:style>
  <w:style w:type="character" w:customStyle="1" w:styleId="183">
    <w:name w:val="正文文本 3 Char1"/>
    <w:semiHidden/>
    <w:qFormat/>
    <w:uiPriority w:val="99"/>
    <w:rPr>
      <w:rFonts w:ascii="Times New Roman" w:hAnsi="Times New Roman" w:eastAsia="宋体" w:cs="Times New Roman"/>
      <w:sz w:val="16"/>
      <w:szCs w:val="16"/>
    </w:rPr>
  </w:style>
  <w:style w:type="character" w:customStyle="1" w:styleId="184">
    <w:name w:val="tw4winInternal"/>
    <w:qFormat/>
    <w:uiPriority w:val="0"/>
    <w:rPr>
      <w:rFonts w:ascii="Courier New" w:hAnsi="Courier New" w:cs="Courier New"/>
      <w:color w:val="FF0000"/>
      <w:lang w:val="en-US" w:eastAsia="zh-CN"/>
    </w:rPr>
  </w:style>
  <w:style w:type="character" w:customStyle="1" w:styleId="185">
    <w:name w:val="Char Char10"/>
    <w:semiHidden/>
    <w:qFormat/>
    <w:uiPriority w:val="0"/>
    <w:rPr>
      <w:rFonts w:ascii="宋体" w:hAnsi="宋体"/>
      <w:kern w:val="2"/>
      <w:sz w:val="21"/>
      <w:szCs w:val="24"/>
      <w:lang w:val="en-US" w:eastAsia="zh-CN"/>
    </w:rPr>
  </w:style>
  <w:style w:type="character" w:customStyle="1" w:styleId="186">
    <w:name w:val="shadow11"/>
    <w:qFormat/>
    <w:uiPriority w:val="0"/>
    <w:rPr>
      <w:color w:val="000000"/>
      <w:sz w:val="21"/>
    </w:rPr>
  </w:style>
  <w:style w:type="character" w:customStyle="1" w:styleId="187">
    <w:name w:val="正文非缩进 Char3"/>
    <w:qFormat/>
    <w:uiPriority w:val="0"/>
    <w:rPr>
      <w:rFonts w:ascii="宋体" w:eastAsia="宋体"/>
      <w:snapToGrid w:val="0"/>
      <w:color w:val="000000"/>
      <w:kern w:val="28"/>
      <w:sz w:val="28"/>
      <w:lang w:val="en-US" w:eastAsia="zh-CN" w:bidi="ar-SA"/>
    </w:rPr>
  </w:style>
  <w:style w:type="character" w:customStyle="1" w:styleId="188">
    <w:name w:val="Char Char"/>
    <w:qFormat/>
    <w:uiPriority w:val="0"/>
    <w:rPr>
      <w:rFonts w:ascii="宋体" w:hAnsi="Courier New" w:eastAsia="宋体"/>
      <w:kern w:val="2"/>
      <w:sz w:val="21"/>
      <w:lang w:val="en-US" w:eastAsia="zh-CN" w:bidi="ar-SA"/>
    </w:rPr>
  </w:style>
  <w:style w:type="character" w:customStyle="1" w:styleId="189">
    <w:name w:val="签名 Char1"/>
    <w:qFormat/>
    <w:uiPriority w:val="0"/>
    <w:rPr>
      <w:rFonts w:ascii="Times New Roman" w:hAnsi="Times New Roman" w:eastAsia="宋体" w:cs="Times New Roman"/>
      <w:szCs w:val="24"/>
    </w:rPr>
  </w:style>
  <w:style w:type="character" w:customStyle="1" w:styleId="190">
    <w:name w:val="日期 字符"/>
    <w:link w:val="36"/>
    <w:qFormat/>
    <w:uiPriority w:val="0"/>
    <w:rPr>
      <w:rFonts w:ascii="宋体"/>
      <w:kern w:val="2"/>
      <w:sz w:val="24"/>
      <w:szCs w:val="21"/>
      <w:lang w:val="zh-CN"/>
    </w:rPr>
  </w:style>
  <w:style w:type="character" w:customStyle="1" w:styleId="191">
    <w:name w:val="标题 9 字符"/>
    <w:link w:val="11"/>
    <w:qFormat/>
    <w:uiPriority w:val="0"/>
    <w:rPr>
      <w:rFonts w:ascii="Arial" w:hAnsi="Arial" w:eastAsia="黑体"/>
      <w:kern w:val="2"/>
      <w:sz w:val="21"/>
      <w:szCs w:val="21"/>
    </w:rPr>
  </w:style>
  <w:style w:type="character" w:customStyle="1" w:styleId="192">
    <w:name w:val="Char Char18"/>
    <w:qFormat/>
    <w:uiPriority w:val="6"/>
    <w:rPr>
      <w:rFonts w:ascii="宋体" w:hAnsi="宋体"/>
      <w:sz w:val="28"/>
    </w:rPr>
  </w:style>
  <w:style w:type="character" w:customStyle="1" w:styleId="193">
    <w:name w:val="批注文字 Char"/>
    <w:qFormat/>
    <w:uiPriority w:val="99"/>
    <w:rPr>
      <w:kern w:val="2"/>
      <w:sz w:val="21"/>
      <w:szCs w:val="24"/>
    </w:rPr>
  </w:style>
  <w:style w:type="character" w:customStyle="1" w:styleId="194">
    <w:name w:val="Char Char22"/>
    <w:qFormat/>
    <w:uiPriority w:val="6"/>
    <w:rPr>
      <w:rFonts w:ascii="宋体" w:hAnsi="宋体"/>
      <w:kern w:val="1"/>
      <w:sz w:val="24"/>
      <w:szCs w:val="24"/>
    </w:rPr>
  </w:style>
  <w:style w:type="character" w:customStyle="1" w:styleId="195">
    <w:name w:val="pt141"/>
    <w:qFormat/>
    <w:uiPriority w:val="0"/>
    <w:rPr>
      <w:color w:val="330066"/>
      <w:sz w:val="22"/>
      <w:szCs w:val="22"/>
    </w:rPr>
  </w:style>
  <w:style w:type="character" w:customStyle="1" w:styleId="196">
    <w:name w:val="正文文本缩进 2 Char1"/>
    <w:semiHidden/>
    <w:qFormat/>
    <w:uiPriority w:val="99"/>
    <w:rPr>
      <w:rFonts w:ascii="Times New Roman" w:hAnsi="Times New Roman" w:eastAsia="宋体" w:cs="Times New Roman"/>
      <w:szCs w:val="24"/>
    </w:rPr>
  </w:style>
  <w:style w:type="character" w:customStyle="1" w:styleId="197">
    <w:name w:val="批注框文本 字符1"/>
    <w:link w:val="39"/>
    <w:qFormat/>
    <w:uiPriority w:val="0"/>
    <w:rPr>
      <w:kern w:val="2"/>
      <w:sz w:val="18"/>
      <w:szCs w:val="18"/>
    </w:rPr>
  </w:style>
  <w:style w:type="character" w:customStyle="1" w:styleId="198">
    <w:name w:val="Char Char611"/>
    <w:qFormat/>
    <w:uiPriority w:val="0"/>
    <w:rPr>
      <w:rFonts w:eastAsia="宋体"/>
      <w:kern w:val="2"/>
      <w:sz w:val="21"/>
      <w:szCs w:val="24"/>
      <w:lang w:val="en-US" w:eastAsia="zh-CN" w:bidi="ar-SA"/>
    </w:rPr>
  </w:style>
  <w:style w:type="character" w:customStyle="1" w:styleId="199">
    <w:name w:val="highlight1"/>
    <w:qFormat/>
    <w:uiPriority w:val="0"/>
    <w:rPr>
      <w:rFonts w:ascii="仿宋_GB2312" w:eastAsia="微软雅黑"/>
      <w:b/>
      <w:kern w:val="2"/>
      <w:sz w:val="23"/>
      <w:szCs w:val="23"/>
      <w:lang w:val="en-US" w:eastAsia="zh-CN" w:bidi="ar-SA"/>
    </w:rPr>
  </w:style>
  <w:style w:type="character" w:customStyle="1" w:styleId="200">
    <w:name w:val="my正文 Char"/>
    <w:link w:val="201"/>
    <w:qFormat/>
    <w:locked/>
    <w:uiPriority w:val="0"/>
    <w:rPr>
      <w:rFonts w:ascii="Tahoma" w:hAnsi="Tahoma"/>
      <w:sz w:val="24"/>
      <w:szCs w:val="24"/>
    </w:rPr>
  </w:style>
  <w:style w:type="paragraph" w:customStyle="1" w:styleId="201">
    <w:name w:val="my正文"/>
    <w:basedOn w:val="1"/>
    <w:link w:val="200"/>
    <w:qFormat/>
    <w:uiPriority w:val="0"/>
    <w:pPr>
      <w:adjustRightInd/>
      <w:spacing w:line="360" w:lineRule="auto"/>
      <w:ind w:firstLine="480" w:firstLineChars="200"/>
    </w:pPr>
    <w:rPr>
      <w:rFonts w:ascii="Tahoma" w:hAnsi="Tahoma"/>
      <w:kern w:val="0"/>
      <w:sz w:val="24"/>
    </w:rPr>
  </w:style>
  <w:style w:type="character" w:customStyle="1" w:styleId="202">
    <w:name w:val="正文缩进 字符2"/>
    <w:link w:val="16"/>
    <w:qFormat/>
    <w:uiPriority w:val="0"/>
    <w:rPr>
      <w:rFonts w:ascii="宋体" w:eastAsia="宋体"/>
      <w:snapToGrid w:val="0"/>
      <w:color w:val="000000"/>
      <w:kern w:val="28"/>
      <w:sz w:val="28"/>
      <w:lang w:val="en-US" w:eastAsia="zh-CN" w:bidi="ar-SA"/>
    </w:rPr>
  </w:style>
  <w:style w:type="character" w:customStyle="1" w:styleId="203">
    <w:name w:val="Used by Word for text of Help footnotes Char Char1"/>
    <w:qFormat/>
    <w:uiPriority w:val="0"/>
    <w:rPr>
      <w:color w:val="0000FF"/>
      <w:sz w:val="21"/>
    </w:rPr>
  </w:style>
  <w:style w:type="character" w:customStyle="1" w:styleId="204">
    <w:name w:val="页眉 Char"/>
    <w:qFormat/>
    <w:uiPriority w:val="0"/>
    <w:rPr>
      <w:rFonts w:eastAsia="仿宋_GB2312"/>
      <w:kern w:val="2"/>
      <w:sz w:val="18"/>
      <w:lang w:val="en-US" w:eastAsia="zh-CN"/>
    </w:rPr>
  </w:style>
  <w:style w:type="character" w:customStyle="1" w:styleId="205">
    <w:name w:val="FA正文 Char Char"/>
    <w:qFormat/>
    <w:uiPriority w:val="0"/>
    <w:rPr>
      <w:rFonts w:hAnsi="宋体"/>
      <w:kern w:val="2"/>
      <w:sz w:val="24"/>
      <w:lang w:bidi="ar-SA"/>
    </w:rPr>
  </w:style>
  <w:style w:type="character" w:customStyle="1" w:styleId="206">
    <w:name w:val="纯文本 字符"/>
    <w:qFormat/>
    <w:uiPriority w:val="0"/>
    <w:rPr>
      <w:rFonts w:ascii="宋体" w:hAnsi="Courier New" w:eastAsia="宋体" w:cs="Arial"/>
      <w:snapToGrid w:val="0"/>
      <w:kern w:val="2"/>
      <w:sz w:val="21"/>
      <w:szCs w:val="21"/>
      <w:lang w:val="en-US" w:eastAsia="zh-CN" w:bidi="ar-SA"/>
    </w:rPr>
  </w:style>
  <w:style w:type="character" w:customStyle="1" w:styleId="207">
    <w:name w:val="3级 Char"/>
    <w:link w:val="208"/>
    <w:qFormat/>
    <w:uiPriority w:val="0"/>
    <w:rPr>
      <w:rFonts w:ascii="宋体" w:hAnsi="宋体"/>
      <w:b/>
      <w:bCs/>
      <w:snapToGrid/>
      <w:sz w:val="28"/>
    </w:rPr>
  </w:style>
  <w:style w:type="paragraph" w:customStyle="1" w:styleId="208">
    <w:name w:val="3级"/>
    <w:basedOn w:val="209"/>
    <w:link w:val="207"/>
    <w:qFormat/>
    <w:uiPriority w:val="0"/>
    <w:pPr>
      <w:ind w:left="0" w:right="466" w:firstLine="288"/>
    </w:pPr>
    <w:rPr>
      <w:rFonts w:hAnsi="宋体"/>
      <w:snapToGrid/>
    </w:rPr>
  </w:style>
  <w:style w:type="paragraph" w:customStyle="1" w:styleId="20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0">
    <w:name w:val="myp11"/>
    <w:qFormat/>
    <w:uiPriority w:val="0"/>
    <w:rPr>
      <w:rFonts w:ascii="仿宋_GB2312" w:eastAsia="微软雅黑"/>
      <w:b/>
      <w:kern w:val="2"/>
      <w:sz w:val="32"/>
      <w:szCs w:val="32"/>
      <w:lang w:val="en-US" w:eastAsia="zh-CN" w:bidi="ar-SA"/>
    </w:rPr>
  </w:style>
  <w:style w:type="character" w:customStyle="1" w:styleId="211">
    <w:name w:val="文档结构图 字符"/>
    <w:link w:val="19"/>
    <w:qFormat/>
    <w:uiPriority w:val="0"/>
    <w:rPr>
      <w:kern w:val="2"/>
      <w:sz w:val="21"/>
      <w:szCs w:val="24"/>
      <w:shd w:val="clear" w:color="auto" w:fill="000080"/>
    </w:rPr>
  </w:style>
  <w:style w:type="character" w:customStyle="1" w:styleId="212">
    <w:name w:val="H6 Char"/>
    <w:qFormat/>
    <w:uiPriority w:val="0"/>
    <w:rPr>
      <w:rFonts w:ascii="Arial" w:hAnsi="Arial" w:eastAsia="黑体"/>
      <w:b/>
      <w:bCs/>
      <w:kern w:val="2"/>
      <w:sz w:val="24"/>
      <w:szCs w:val="24"/>
    </w:rPr>
  </w:style>
  <w:style w:type="character" w:customStyle="1" w:styleId="213">
    <w:name w:val="Char Char91"/>
    <w:qFormat/>
    <w:uiPriority w:val="0"/>
    <w:rPr>
      <w:rFonts w:eastAsia="宋体"/>
      <w:kern w:val="2"/>
      <w:sz w:val="18"/>
      <w:szCs w:val="18"/>
      <w:lang w:val="en-US" w:eastAsia="zh-CN" w:bidi="ar-SA"/>
    </w:rPr>
  </w:style>
  <w:style w:type="character" w:customStyle="1" w:styleId="214">
    <w:name w:val="副标题 Char1"/>
    <w:qFormat/>
    <w:uiPriority w:val="0"/>
    <w:rPr>
      <w:rFonts w:ascii="Cambria" w:hAnsi="Cambria" w:eastAsia="宋体" w:cs="Times New Roman"/>
      <w:b/>
      <w:bCs/>
      <w:snapToGrid w:val="0"/>
      <w:kern w:val="28"/>
      <w:sz w:val="32"/>
      <w:szCs w:val="32"/>
    </w:rPr>
  </w:style>
  <w:style w:type="character" w:customStyle="1" w:styleId="215">
    <w:name w:val="font61"/>
    <w:qFormat/>
    <w:uiPriority w:val="0"/>
    <w:rPr>
      <w:rFonts w:hint="eastAsia" w:ascii="仿宋" w:hAnsi="仿宋" w:eastAsia="仿宋" w:cs="仿宋"/>
      <w:color w:val="000000"/>
      <w:sz w:val="20"/>
      <w:szCs w:val="20"/>
      <w:u w:val="none"/>
    </w:rPr>
  </w:style>
  <w:style w:type="character" w:customStyle="1" w:styleId="21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7">
    <w:name w:val="Char Char211"/>
    <w:qFormat/>
    <w:uiPriority w:val="0"/>
    <w:rPr>
      <w:rFonts w:eastAsia="宋体"/>
      <w:b/>
      <w:bCs/>
      <w:kern w:val="2"/>
      <w:sz w:val="21"/>
      <w:szCs w:val="24"/>
      <w:lang w:val="en-US" w:eastAsia="zh-CN" w:bidi="ar-SA"/>
    </w:rPr>
  </w:style>
  <w:style w:type="character" w:customStyle="1" w:styleId="218">
    <w:name w:val="标题 2 Char"/>
    <w:qFormat/>
    <w:uiPriority w:val="0"/>
    <w:rPr>
      <w:rFonts w:ascii="Arial" w:hAnsi="Arial" w:eastAsia="黑体"/>
      <w:b/>
      <w:kern w:val="2"/>
      <w:sz w:val="32"/>
      <w:lang w:val="en-US" w:eastAsia="zh-CN"/>
    </w:rPr>
  </w:style>
  <w:style w:type="character" w:customStyle="1" w:styleId="219">
    <w:name w:val="maywed421"/>
    <w:qFormat/>
    <w:uiPriority w:val="0"/>
    <w:rPr>
      <w:color w:val="366FB6"/>
      <w:u w:val="none"/>
    </w:rPr>
  </w:style>
  <w:style w:type="character" w:customStyle="1" w:styleId="220">
    <w:name w:val="正文文本缩进 Char"/>
    <w:qFormat/>
    <w:uiPriority w:val="0"/>
    <w:rPr>
      <w:rFonts w:ascii="宋体" w:hAnsi="宋体"/>
      <w:kern w:val="2"/>
      <w:sz w:val="24"/>
      <w:szCs w:val="24"/>
    </w:rPr>
  </w:style>
  <w:style w:type="character" w:customStyle="1" w:styleId="221">
    <w:name w:val="Char Char102"/>
    <w:semiHidden/>
    <w:qFormat/>
    <w:uiPriority w:val="0"/>
    <w:rPr>
      <w:rFonts w:ascii="宋体" w:hAnsi="宋体"/>
      <w:kern w:val="2"/>
      <w:sz w:val="21"/>
      <w:szCs w:val="24"/>
      <w:lang w:val="en-US" w:eastAsia="zh-CN"/>
    </w:rPr>
  </w:style>
  <w:style w:type="character" w:customStyle="1" w:styleId="222">
    <w:name w:val="页眉 Char1"/>
    <w:qFormat/>
    <w:uiPriority w:val="0"/>
    <w:rPr>
      <w:rFonts w:eastAsia="宋体"/>
      <w:kern w:val="2"/>
      <w:sz w:val="18"/>
      <w:szCs w:val="18"/>
      <w:lang w:val="en-US" w:eastAsia="zh-CN" w:bidi="ar-SA"/>
    </w:rPr>
  </w:style>
  <w:style w:type="character" w:customStyle="1" w:styleId="223">
    <w:name w:val="md"/>
    <w:basedOn w:val="70"/>
    <w:qFormat/>
    <w:uiPriority w:val="0"/>
    <w:rPr>
      <w:rFonts w:ascii="Arial" w:hAnsi="Arial" w:eastAsia="黑体" w:cs="Arial"/>
      <w:snapToGrid w:val="0"/>
      <w:kern w:val="0"/>
      <w:szCs w:val="21"/>
    </w:rPr>
  </w:style>
  <w:style w:type="character" w:customStyle="1" w:styleId="224">
    <w:name w:val="big1"/>
    <w:qFormat/>
    <w:uiPriority w:val="0"/>
    <w:rPr>
      <w:rFonts w:hint="eastAsia" w:ascii="宋体" w:hAnsi="宋体" w:eastAsia="宋体"/>
      <w:color w:val="333333"/>
      <w:sz w:val="22"/>
      <w:szCs w:val="22"/>
    </w:rPr>
  </w:style>
  <w:style w:type="character" w:customStyle="1" w:styleId="225">
    <w:name w:val="Char Char311"/>
    <w:qFormat/>
    <w:uiPriority w:val="0"/>
    <w:rPr>
      <w:rFonts w:eastAsia="宋体"/>
      <w:kern w:val="2"/>
      <w:sz w:val="21"/>
      <w:szCs w:val="24"/>
      <w:lang w:val="en-US" w:eastAsia="zh-CN" w:bidi="ar-SA"/>
    </w:rPr>
  </w:style>
  <w:style w:type="character" w:customStyle="1" w:styleId="226">
    <w:name w:val="Char Char81"/>
    <w:qFormat/>
    <w:uiPriority w:val="6"/>
    <w:rPr>
      <w:rFonts w:eastAsia="宋体"/>
      <w:b/>
      <w:sz w:val="24"/>
      <w:lang w:val="en-GB" w:eastAsia="zh-CN"/>
    </w:rPr>
  </w:style>
  <w:style w:type="character" w:customStyle="1" w:styleId="227">
    <w:name w:val="样式3 Char"/>
    <w:basedOn w:val="178"/>
    <w:qFormat/>
    <w:uiPriority w:val="0"/>
    <w:rPr>
      <w:rFonts w:ascii="仿宋_GB2312" w:hAnsi="仿宋" w:eastAsia="仿宋_GB2312" w:cs="仿宋_GB2312"/>
      <w:sz w:val="32"/>
      <w:szCs w:val="30"/>
      <w:lang w:val="zh-CN"/>
    </w:rPr>
  </w:style>
  <w:style w:type="character" w:customStyle="1" w:styleId="228">
    <w:name w:val="HTML 地址 字符"/>
    <w:link w:val="30"/>
    <w:qFormat/>
    <w:uiPriority w:val="0"/>
    <w:rPr>
      <w:rFonts w:ascii="宋体" w:hAnsi="宋体"/>
      <w:i/>
      <w:iCs/>
      <w:sz w:val="24"/>
      <w:szCs w:val="24"/>
    </w:rPr>
  </w:style>
  <w:style w:type="character" w:customStyle="1" w:styleId="229">
    <w:name w:val="正文首行缩进 2 Char1"/>
    <w:qFormat/>
    <w:uiPriority w:val="0"/>
    <w:rPr>
      <w:rFonts w:ascii="Times New Roman" w:hAnsi="Times New Roman" w:eastAsia="宋体" w:cs="Times New Roman"/>
      <w:kern w:val="2"/>
      <w:sz w:val="24"/>
      <w:szCs w:val="24"/>
    </w:rPr>
  </w:style>
  <w:style w:type="character" w:customStyle="1" w:styleId="230">
    <w:name w:val="副标题 Char2"/>
    <w:qFormat/>
    <w:uiPriority w:val="0"/>
    <w:rPr>
      <w:rFonts w:ascii="Cambria" w:hAnsi="Cambria" w:eastAsia="宋体" w:cs="Times New Roman"/>
      <w:b/>
      <w:bCs/>
      <w:snapToGrid w:val="0"/>
      <w:kern w:val="28"/>
      <w:sz w:val="32"/>
      <w:szCs w:val="32"/>
    </w:rPr>
  </w:style>
  <w:style w:type="character" w:customStyle="1" w:styleId="231">
    <w:name w:val="标题4-dyf Char"/>
    <w:link w:val="232"/>
    <w:qFormat/>
    <w:uiPriority w:val="0"/>
    <w:rPr>
      <w:rFonts w:ascii="Cambria" w:hAnsi="Cambria"/>
      <w:b/>
      <w:bCs/>
      <w:color w:val="000000"/>
      <w:kern w:val="2"/>
      <w:sz w:val="21"/>
      <w:szCs w:val="21"/>
    </w:rPr>
  </w:style>
  <w:style w:type="paragraph" w:customStyle="1" w:styleId="232">
    <w:name w:val="标题4-dyf"/>
    <w:basedOn w:val="6"/>
    <w:link w:val="23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3">
    <w:name w:val="dectext1"/>
    <w:qFormat/>
    <w:uiPriority w:val="0"/>
    <w:rPr>
      <w:rFonts w:ascii="宋体" w:hAnsi="宋体" w:eastAsia="宋体"/>
      <w:color w:val="333333"/>
      <w:sz w:val="21"/>
      <w:szCs w:val="21"/>
      <w:u w:val="none"/>
    </w:rPr>
  </w:style>
  <w:style w:type="character" w:customStyle="1" w:styleId="234">
    <w:name w:val="冯 Char"/>
    <w:link w:val="235"/>
    <w:qFormat/>
    <w:uiPriority w:val="0"/>
    <w:rPr>
      <w:rFonts w:ascii="宋体" w:hAnsi="宋体"/>
      <w:color w:val="000000"/>
      <w:sz w:val="24"/>
      <w:szCs w:val="24"/>
    </w:rPr>
  </w:style>
  <w:style w:type="paragraph" w:customStyle="1" w:styleId="235">
    <w:name w:val="冯"/>
    <w:basedOn w:val="1"/>
    <w:link w:val="234"/>
    <w:qFormat/>
    <w:uiPriority w:val="0"/>
    <w:pPr>
      <w:widowControl/>
      <w:adjustRightInd/>
      <w:spacing w:line="360" w:lineRule="auto"/>
      <w:ind w:firstLine="480" w:firstLineChars="200"/>
    </w:pPr>
    <w:rPr>
      <w:rFonts w:ascii="宋体" w:hAnsi="宋体"/>
      <w:color w:val="000000"/>
      <w:kern w:val="0"/>
      <w:sz w:val="24"/>
    </w:rPr>
  </w:style>
  <w:style w:type="character" w:customStyle="1" w:styleId="236">
    <w:name w:val="Header Char"/>
    <w:qFormat/>
    <w:locked/>
    <w:uiPriority w:val="0"/>
    <w:rPr>
      <w:rFonts w:eastAsia="宋体"/>
      <w:kern w:val="2"/>
      <w:sz w:val="18"/>
      <w:szCs w:val="18"/>
      <w:lang w:val="en-US" w:eastAsia="zh-CN" w:bidi="ar-SA"/>
    </w:rPr>
  </w:style>
  <w:style w:type="character" w:customStyle="1" w:styleId="237">
    <w:name w:val="Char Char12"/>
    <w:qFormat/>
    <w:uiPriority w:val="0"/>
    <w:rPr>
      <w:rFonts w:ascii="仿宋_GB2312" w:eastAsia="仿宋_GB2312"/>
      <w:b/>
      <w:bCs/>
      <w:kern w:val="2"/>
      <w:sz w:val="24"/>
      <w:szCs w:val="24"/>
      <w:lang w:val="zh-CN" w:eastAsia="zh-CN" w:bidi="ar-SA"/>
    </w:rPr>
  </w:style>
  <w:style w:type="character" w:customStyle="1" w:styleId="238">
    <w:name w:val="题注 字符"/>
    <w:link w:val="17"/>
    <w:qFormat/>
    <w:uiPriority w:val="0"/>
    <w:rPr>
      <w:b/>
      <w:kern w:val="2"/>
      <w:sz w:val="28"/>
    </w:rPr>
  </w:style>
  <w:style w:type="character" w:customStyle="1" w:styleId="239">
    <w:name w:val="普通文字 Char3"/>
    <w:qFormat/>
    <w:uiPriority w:val="0"/>
    <w:rPr>
      <w:rFonts w:ascii="宋体" w:hAnsi="Courier New" w:eastAsia="宋体"/>
      <w:kern w:val="2"/>
      <w:sz w:val="21"/>
      <w:lang w:val="en-US" w:eastAsia="zh-CN" w:bidi="ar-SA"/>
    </w:rPr>
  </w:style>
  <w:style w:type="character" w:customStyle="1" w:styleId="240">
    <w:name w:val="公文正文 Char"/>
    <w:qFormat/>
    <w:uiPriority w:val="0"/>
    <w:rPr>
      <w:rFonts w:ascii="仿宋_GB2312" w:eastAsia="仿宋_GB2312"/>
      <w:kern w:val="2"/>
      <w:sz w:val="24"/>
      <w:szCs w:val="24"/>
      <w:lang w:val="en-US" w:eastAsia="zh-CN" w:bidi="ar-SA"/>
    </w:rPr>
  </w:style>
  <w:style w:type="character" w:customStyle="1" w:styleId="241">
    <w:name w:val="正文首行缩进 Char Char Char Char Char"/>
    <w:qFormat/>
    <w:uiPriority w:val="0"/>
    <w:rPr>
      <w:rFonts w:ascii="宋体"/>
      <w:kern w:val="2"/>
      <w:sz w:val="24"/>
      <w:lang w:val="zh-CN"/>
    </w:rPr>
  </w:style>
  <w:style w:type="character" w:customStyle="1" w:styleId="242">
    <w:name w:val="PI Char"/>
    <w:qFormat/>
    <w:uiPriority w:val="0"/>
    <w:rPr>
      <w:rFonts w:ascii="宋体" w:hAnsi="宋体" w:eastAsia="宋体"/>
      <w:kern w:val="2"/>
      <w:sz w:val="24"/>
      <w:szCs w:val="24"/>
      <w:lang w:val="en-US" w:eastAsia="zh-CN" w:bidi="ar-SA"/>
    </w:rPr>
  </w:style>
  <w:style w:type="character" w:customStyle="1" w:styleId="243">
    <w:name w:val="Default Char"/>
    <w:link w:val="90"/>
    <w:qFormat/>
    <w:uiPriority w:val="0"/>
    <w:rPr>
      <w:rFonts w:ascii="仿宋_GB2312" w:eastAsia="仿宋_GB2312" w:cs="仿宋_GB2312"/>
      <w:color w:val="000000"/>
      <w:sz w:val="24"/>
      <w:szCs w:val="24"/>
      <w:lang w:val="en-US" w:eastAsia="zh-CN" w:bidi="ar-SA"/>
    </w:rPr>
  </w:style>
  <w:style w:type="character" w:customStyle="1" w:styleId="244">
    <w:name w:val="style91"/>
    <w:qFormat/>
    <w:uiPriority w:val="0"/>
    <w:rPr>
      <w:color w:val="333333"/>
    </w:rPr>
  </w:style>
  <w:style w:type="character" w:customStyle="1" w:styleId="245">
    <w:name w:val="列出段落 Char2"/>
    <w:qFormat/>
    <w:uiPriority w:val="34"/>
    <w:rPr>
      <w:rFonts w:ascii="Calibri" w:hAnsi="Calibri"/>
      <w:kern w:val="2"/>
      <w:sz w:val="28"/>
    </w:rPr>
  </w:style>
  <w:style w:type="character" w:customStyle="1" w:styleId="246">
    <w:name w:val="mdeck"/>
    <w:qFormat/>
    <w:uiPriority w:val="0"/>
    <w:rPr>
      <w:rFonts w:ascii="仿宋_GB2312" w:eastAsia="微软雅黑"/>
      <w:b/>
      <w:kern w:val="2"/>
      <w:sz w:val="32"/>
      <w:szCs w:val="32"/>
      <w:lang w:val="en-US" w:eastAsia="zh-CN" w:bidi="ar-SA"/>
    </w:rPr>
  </w:style>
  <w:style w:type="character" w:customStyle="1" w:styleId="247">
    <w:name w:val="unnamed11"/>
    <w:qFormat/>
    <w:uiPriority w:val="0"/>
    <w:rPr>
      <w:sz w:val="20"/>
      <w:szCs w:val="20"/>
    </w:rPr>
  </w:style>
  <w:style w:type="character" w:customStyle="1" w:styleId="248">
    <w:name w:val="正文文本 Char2"/>
    <w:semiHidden/>
    <w:qFormat/>
    <w:uiPriority w:val="99"/>
    <w:rPr>
      <w:rFonts w:ascii="Times New Roman" w:hAnsi="Times New Roman" w:eastAsia="宋体" w:cs="Times New Roman"/>
      <w:snapToGrid w:val="0"/>
      <w:kern w:val="0"/>
      <w:szCs w:val="24"/>
    </w:rPr>
  </w:style>
  <w:style w:type="character" w:customStyle="1" w:styleId="249">
    <w:name w:val="标书正文格式 Char"/>
    <w:qFormat/>
    <w:uiPriority w:val="0"/>
    <w:rPr>
      <w:rFonts w:eastAsia="楷体_GB2312"/>
      <w:kern w:val="2"/>
      <w:sz w:val="24"/>
      <w:szCs w:val="24"/>
      <w:lang w:bidi="ar-SA"/>
    </w:rPr>
  </w:style>
  <w:style w:type="character" w:customStyle="1" w:styleId="250">
    <w:name w:val="Char Char11"/>
    <w:qFormat/>
    <w:locked/>
    <w:uiPriority w:val="0"/>
    <w:rPr>
      <w:rFonts w:ascii="宋体" w:hAnsi="宋体" w:eastAsia="宋体"/>
      <w:b/>
      <w:kern w:val="2"/>
      <w:sz w:val="24"/>
      <w:szCs w:val="24"/>
      <w:lang w:val="en-US" w:eastAsia="zh-CN" w:bidi="ar-SA"/>
    </w:rPr>
  </w:style>
  <w:style w:type="character" w:customStyle="1" w:styleId="251">
    <w:name w:val="ca-131"/>
    <w:qFormat/>
    <w:uiPriority w:val="0"/>
    <w:rPr>
      <w:rFonts w:hint="eastAsia" w:ascii="仿宋_GB2312" w:eastAsia="仿宋_GB2312"/>
      <w:b/>
      <w:bCs/>
      <w:color w:val="000000"/>
      <w:spacing w:val="-20"/>
      <w:sz w:val="24"/>
      <w:szCs w:val="24"/>
    </w:rPr>
  </w:style>
  <w:style w:type="character" w:customStyle="1" w:styleId="252">
    <w:name w:val="tw4winMark"/>
    <w:qFormat/>
    <w:uiPriority w:val="0"/>
    <w:rPr>
      <w:rFonts w:ascii="Courier New" w:hAnsi="Courier New" w:cs="Courier New"/>
      <w:vanish/>
      <w:color w:val="800080"/>
      <w:sz w:val="24"/>
      <w:szCs w:val="24"/>
      <w:vertAlign w:val="subscript"/>
    </w:rPr>
  </w:style>
  <w:style w:type="character" w:customStyle="1" w:styleId="253">
    <w:name w:val="正文样式 Char"/>
    <w:link w:val="254"/>
    <w:qFormat/>
    <w:uiPriority w:val="0"/>
    <w:rPr>
      <w:rFonts w:ascii="Calibri" w:hAnsi="Calibri"/>
      <w:sz w:val="24"/>
      <w:szCs w:val="24"/>
    </w:rPr>
  </w:style>
  <w:style w:type="paragraph" w:customStyle="1" w:styleId="254">
    <w:name w:val="正文样式"/>
    <w:basedOn w:val="1"/>
    <w:link w:val="253"/>
    <w:qFormat/>
    <w:uiPriority w:val="0"/>
    <w:pPr>
      <w:adjustRightInd/>
      <w:spacing w:line="360" w:lineRule="auto"/>
      <w:ind w:firstLine="480" w:firstLineChars="200"/>
    </w:pPr>
    <w:rPr>
      <w:kern w:val="0"/>
      <w:sz w:val="24"/>
    </w:rPr>
  </w:style>
  <w:style w:type="character" w:customStyle="1" w:styleId="255">
    <w:name w:val="表正文 Char3"/>
    <w:qFormat/>
    <w:uiPriority w:val="0"/>
    <w:rPr>
      <w:rFonts w:eastAsia="宋体"/>
    </w:rPr>
  </w:style>
  <w:style w:type="character" w:customStyle="1" w:styleId="256">
    <w:name w:val="H5 Char"/>
    <w:qFormat/>
    <w:uiPriority w:val="0"/>
    <w:rPr>
      <w:b/>
      <w:bCs/>
      <w:kern w:val="2"/>
      <w:sz w:val="28"/>
      <w:szCs w:val="28"/>
    </w:rPr>
  </w:style>
  <w:style w:type="character" w:customStyle="1" w:styleId="257">
    <w:name w:val="Char Char3"/>
    <w:qFormat/>
    <w:uiPriority w:val="0"/>
    <w:rPr>
      <w:rFonts w:eastAsia="宋体"/>
      <w:kern w:val="2"/>
      <w:sz w:val="21"/>
      <w:szCs w:val="24"/>
      <w:lang w:val="en-US" w:eastAsia="zh-CN" w:bidi="ar-SA"/>
    </w:rPr>
  </w:style>
  <w:style w:type="character" w:customStyle="1" w:styleId="258">
    <w:name w:val="正文 编号 Char"/>
    <w:qFormat/>
    <w:uiPriority w:val="0"/>
    <w:rPr>
      <w:rFonts w:ascii="仿宋_GB2312" w:hAnsi="仿宋_GB2312" w:eastAsia="仿宋_GB2312"/>
      <w:kern w:val="2"/>
      <w:sz w:val="24"/>
      <w:lang w:bidi="ar-SA"/>
    </w:rPr>
  </w:style>
  <w:style w:type="character" w:customStyle="1" w:styleId="259">
    <w:name w:val="question-title2"/>
    <w:qFormat/>
    <w:uiPriority w:val="6"/>
    <w:rPr>
      <w:rFonts w:ascii="Arial" w:hAnsi="Arial" w:eastAsia="黑体" w:cs="Arial"/>
      <w:snapToGrid w:val="0"/>
      <w:kern w:val="0"/>
      <w:szCs w:val="21"/>
    </w:rPr>
  </w:style>
  <w:style w:type="character" w:customStyle="1" w:styleId="260">
    <w:name w:val="gf正文1 Char Char"/>
    <w:link w:val="261"/>
    <w:qFormat/>
    <w:uiPriority w:val="0"/>
    <w:rPr>
      <w:rFonts w:ascii="宋体" w:hAnsi="宋体" w:cs="宋体"/>
      <w:kern w:val="2"/>
      <w:sz w:val="24"/>
      <w:szCs w:val="24"/>
    </w:rPr>
  </w:style>
  <w:style w:type="paragraph" w:customStyle="1" w:styleId="261">
    <w:name w:val="gf正文1"/>
    <w:basedOn w:val="1"/>
    <w:link w:val="26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qFormat/>
    <w:uiPriority w:val="6"/>
    <w:rPr>
      <w:rFonts w:ascii="宋体" w:hAnsi="宋体"/>
      <w:kern w:val="1"/>
      <w:sz w:val="21"/>
    </w:rPr>
  </w:style>
  <w:style w:type="character" w:customStyle="1" w:styleId="263">
    <w:name w:val="正文缩进 Char3"/>
    <w:qFormat/>
    <w:uiPriority w:val="0"/>
    <w:rPr>
      <w:rFonts w:ascii="宋体" w:eastAsia="宋体"/>
      <w:snapToGrid w:val="0"/>
      <w:color w:val="000000"/>
      <w:kern w:val="28"/>
      <w:sz w:val="28"/>
      <w:lang w:val="en-US" w:eastAsia="zh-CN" w:bidi="ar-SA"/>
    </w:rPr>
  </w:style>
  <w:style w:type="character" w:customStyle="1" w:styleId="264">
    <w:name w:val="列出段落 Char1"/>
    <w:link w:val="265"/>
    <w:qFormat/>
    <w:uiPriority w:val="0"/>
    <w:rPr>
      <w:rFonts w:ascii="Calibri" w:hAnsi="Calibri"/>
      <w:sz w:val="24"/>
      <w:lang w:eastAsia="en-US"/>
    </w:rPr>
  </w:style>
  <w:style w:type="paragraph" w:customStyle="1" w:styleId="265">
    <w:name w:val="列表1"/>
    <w:basedOn w:val="1"/>
    <w:next w:val="80"/>
    <w:link w:val="264"/>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字符1"/>
    <w:link w:val="24"/>
    <w:qFormat/>
    <w:uiPriority w:val="0"/>
    <w:rPr>
      <w:rFonts w:ascii="宋体" w:hAnsi="宋体"/>
      <w:kern w:val="2"/>
      <w:sz w:val="24"/>
      <w:szCs w:val="24"/>
    </w:rPr>
  </w:style>
  <w:style w:type="character" w:customStyle="1" w:styleId="273">
    <w:name w:val="font01"/>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semiHidden/>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
    <w:qFormat/>
    <w:locked/>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spacing w:line="360" w:lineRule="auto"/>
      <w:ind w:firstLine="200" w:firstLineChars="200"/>
    </w:pPr>
    <w:rPr>
      <w:sz w:val="24"/>
    </w:r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标题 1 字符1"/>
    <w:link w:val="3"/>
    <w:qFormat/>
    <w:uiPriority w:val="9"/>
    <w:rPr>
      <w:b/>
      <w:bCs/>
      <w:kern w:val="44"/>
      <w:sz w:val="44"/>
      <w:szCs w:val="44"/>
    </w:rPr>
  </w:style>
  <w:style w:type="character" w:customStyle="1" w:styleId="291">
    <w:name w:val="Footer-Even Char1"/>
    <w:qFormat/>
    <w:uiPriority w:val="0"/>
    <w:rPr>
      <w:rFonts w:eastAsia="宋体"/>
      <w:kern w:val="2"/>
      <w:sz w:val="18"/>
      <w:szCs w:val="18"/>
      <w:lang w:val="en-US" w:eastAsia="zh-CN" w:bidi="ar-SA"/>
    </w:rPr>
  </w:style>
  <w:style w:type="character" w:customStyle="1" w:styleId="292">
    <w:name w:val="Char Char29"/>
    <w:qFormat/>
    <w:uiPriority w:val="6"/>
    <w:rPr>
      <w:rFonts w:ascii="Arial" w:hAnsi="Arial" w:eastAsia="微软雅黑"/>
      <w:b/>
      <w:kern w:val="1"/>
      <w:sz w:val="44"/>
      <w:szCs w:val="32"/>
      <w:lang w:val="en-US" w:eastAsia="zh-CN" w:bidi="ar-SA"/>
    </w:rPr>
  </w:style>
  <w:style w:type="character" w:customStyle="1" w:styleId="293">
    <w:name w:val="标题 字符"/>
    <w:link w:val="59"/>
    <w:qFormat/>
    <w:uiPriority w:val="10"/>
    <w:rPr>
      <w:b/>
      <w:sz w:val="24"/>
      <w:lang w:val="en-GB"/>
    </w:rPr>
  </w:style>
  <w:style w:type="character" w:customStyle="1" w:styleId="294">
    <w:name w:val="font81"/>
    <w:qFormat/>
    <w:uiPriority w:val="0"/>
    <w:rPr>
      <w:rFonts w:ascii="微软雅黑" w:hAnsi="微软雅黑" w:eastAsia="微软雅黑" w:cs="微软雅黑"/>
      <w:color w:val="000000"/>
      <w:sz w:val="20"/>
      <w:szCs w:val="20"/>
      <w:u w:val="none"/>
    </w:rPr>
  </w:style>
  <w:style w:type="character" w:customStyle="1" w:styleId="295">
    <w:name w:val="Char Char312"/>
    <w:qFormat/>
    <w:uiPriority w:val="0"/>
    <w:rPr>
      <w:rFonts w:ascii="Times New Roman" w:hAnsi="Times New Roman" w:eastAsia="宋体" w:cs="Times New Roman"/>
      <w:b/>
      <w:kern w:val="2"/>
      <w:sz w:val="32"/>
      <w:szCs w:val="24"/>
      <w:lang w:val="en-US" w:eastAsia="zh-CN" w:bidi="ar-SA"/>
    </w:rPr>
  </w:style>
  <w:style w:type="character" w:customStyle="1" w:styleId="296">
    <w:name w:val="t21"/>
    <w:qFormat/>
    <w:uiPriority w:val="0"/>
    <w:rPr>
      <w:rFonts w:ascii="仿宋_GB2312" w:eastAsia="微软雅黑"/>
      <w:b/>
      <w:kern w:val="2"/>
      <w:sz w:val="23"/>
      <w:szCs w:val="23"/>
      <w:lang w:val="en-US" w:eastAsia="zh-CN" w:bidi="ar-SA"/>
    </w:rPr>
  </w:style>
  <w:style w:type="character" w:customStyle="1" w:styleId="297">
    <w:name w:val="样式8 Char"/>
    <w:qFormat/>
    <w:uiPriority w:val="0"/>
    <w:rPr>
      <w:rFonts w:ascii="仿宋_GB2312" w:hAnsi="宋体" w:eastAsia="仿宋_GB2312"/>
      <w:b/>
      <w:bCs/>
      <w:kern w:val="2"/>
      <w:sz w:val="24"/>
      <w:szCs w:val="24"/>
    </w:rPr>
  </w:style>
  <w:style w:type="character" w:customStyle="1" w:styleId="298">
    <w:name w:val="表格 Char Char"/>
    <w:qFormat/>
    <w:uiPriority w:val="0"/>
    <w:rPr>
      <w:rFonts w:ascii="宋体" w:hAnsi="宋体" w:eastAsia="宋体"/>
      <w:lang w:bidi="ar-SA"/>
    </w:rPr>
  </w:style>
  <w:style w:type="character" w:customStyle="1" w:styleId="299">
    <w:name w:val="正文文本 字符1"/>
    <w:qFormat/>
    <w:uiPriority w:val="0"/>
    <w:rPr>
      <w:rFonts w:ascii="Calibri" w:hAnsi="Calibri" w:eastAsia="黑体" w:cs="Arial"/>
      <w:snapToGrid w:val="0"/>
      <w:kern w:val="2"/>
      <w:sz w:val="28"/>
      <w:szCs w:val="21"/>
    </w:rPr>
  </w:style>
  <w:style w:type="character" w:customStyle="1" w:styleId="300">
    <w:name w:val="标题 6 Char1"/>
    <w:qFormat/>
    <w:uiPriority w:val="0"/>
    <w:rPr>
      <w:rFonts w:ascii="Arial" w:hAnsi="Arial" w:eastAsia="黑体" w:cs="Times New Roman"/>
      <w:b/>
      <w:sz w:val="24"/>
      <w:szCs w:val="20"/>
      <w:lang w:bidi="ar-SA"/>
    </w:rPr>
  </w:style>
  <w:style w:type="character" w:customStyle="1" w:styleId="301">
    <w:name w:val="带编号样式 Char"/>
    <w:qFormat/>
    <w:uiPriority w:val="0"/>
    <w:rPr>
      <w:rFonts w:ascii="仿宋_GB2312" w:eastAsia="仿宋_GB2312"/>
      <w:color w:val="000000"/>
      <w:sz w:val="24"/>
      <w:lang w:bidi="ar-SA"/>
    </w:rPr>
  </w:style>
  <w:style w:type="character" w:customStyle="1" w:styleId="302">
    <w:name w:val="unnamed31"/>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qFormat/>
    <w:uiPriority w:val="0"/>
    <w:rPr>
      <w:rFonts w:ascii="宋体" w:eastAsia="宋体"/>
      <w:kern w:val="2"/>
      <w:sz w:val="24"/>
      <w:szCs w:val="24"/>
      <w:lang w:val="zh-CN" w:bidi="ar-SA"/>
    </w:rPr>
  </w:style>
  <w:style w:type="character" w:customStyle="1" w:styleId="304">
    <w:name w:val="称呼 字符"/>
    <w:link w:val="21"/>
    <w:qFormat/>
    <w:uiPriority w:val="0"/>
    <w:rPr>
      <w:rFonts w:ascii="仿宋_GB2312" w:eastAsia="仿宋_GB2312"/>
      <w:kern w:val="2"/>
      <w:sz w:val="28"/>
    </w:rPr>
  </w:style>
  <w:style w:type="character" w:customStyle="1" w:styleId="305">
    <w:name w:val="文本正文 Char Char"/>
    <w:qFormat/>
    <w:locked/>
    <w:uiPriority w:val="0"/>
    <w:rPr>
      <w:sz w:val="24"/>
      <w:lang w:bidi="ar-SA"/>
    </w:rPr>
  </w:style>
  <w:style w:type="character" w:customStyle="1" w:styleId="306">
    <w:name w:val="HTML 预设格式 字符"/>
    <w:link w:val="57"/>
    <w:qFormat/>
    <w:uiPriority w:val="0"/>
    <w:rPr>
      <w:rFonts w:ascii="黑体" w:hAnsi="Courier New" w:eastAsia="黑体"/>
    </w:rPr>
  </w:style>
  <w:style w:type="character" w:customStyle="1" w:styleId="307">
    <w:name w:val="正文文本 2 字符1"/>
    <w:link w:val="56"/>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正文文本缩进 2 字符"/>
    <w:link w:val="37"/>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字符"/>
    <w:link w:val="50"/>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字符"/>
    <w:link w:val="61"/>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字符1"/>
    <w:link w:val="6"/>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字符"/>
    <w:link w:val="22"/>
    <w:qFormat/>
    <w:uiPriority w:val="0"/>
    <w:rPr>
      <w:kern w:val="2"/>
      <w:sz w:val="21"/>
    </w:rPr>
  </w:style>
  <w:style w:type="character" w:customStyle="1" w:styleId="335">
    <w:name w:val="font31"/>
    <w:basedOn w:val="70"/>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字符1"/>
    <w:link w:val="20"/>
    <w:qFormat/>
    <w:uiPriority w:val="99"/>
    <w:rPr>
      <w:kern w:val="2"/>
      <w:sz w:val="21"/>
      <w:szCs w:val="24"/>
    </w:rPr>
  </w:style>
  <w:style w:type="character" w:customStyle="1" w:styleId="349">
    <w:name w:val="签名 字符"/>
    <w:link w:val="42"/>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basedOn w:val="70"/>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0"/>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6"/>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41"/>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90"/>
    <w:next w:val="90"/>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90"/>
    <w:next w:val="90"/>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8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8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0"/>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8"/>
    <w:qFormat/>
    <w:uiPriority w:val="0"/>
    <w:rPr>
      <w:kern w:val="2"/>
      <w:sz w:val="21"/>
      <w:szCs w:val="24"/>
      <w:lang w:val="zh-CN"/>
    </w:rPr>
  </w:style>
  <w:style w:type="character" w:customStyle="1" w:styleId="934">
    <w:name w:val="无间隔 字符"/>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80"/>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basedOn w:val="70"/>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L正文"/>
    <w:basedOn w:val="1"/>
    <w:qFormat/>
    <w:uiPriority w:val="0"/>
    <w:pPr>
      <w:widowControl/>
      <w:ind w:firstLine="200" w:firstLineChars="200"/>
      <w:jc w:val="left"/>
    </w:pPr>
  </w:style>
  <w:style w:type="paragraph" w:customStyle="1" w:styleId="967">
    <w:name w:val="正文缩进(ALT+Z)"/>
    <w:basedOn w:val="1"/>
    <w:qFormat/>
    <w:uiPriority w:val="0"/>
    <w:pPr>
      <w:widowControl/>
      <w:spacing w:after="200"/>
      <w:jc w:val="left"/>
    </w:pPr>
    <w:rPr>
      <w:rFonts w:ascii="Calibri" w:hAnsi="Calibri"/>
      <w:kern w:val="0"/>
    </w:rPr>
  </w:style>
  <w:style w:type="paragraph" w:customStyle="1" w:styleId="968">
    <w:name w:val="Proposals body"/>
    <w:basedOn w:val="1"/>
    <w:next w:val="1"/>
    <w:qFormat/>
    <w:uiPriority w:val="0"/>
    <w:pPr>
      <w:widowControl/>
      <w:snapToGrid w:val="0"/>
      <w:spacing w:after="120" w:line="460" w:lineRule="exact"/>
      <w:jc w:val="center"/>
    </w:pPr>
    <w:rPr>
      <w:rFonts w:ascii="宋体"/>
      <w:color w:val="000000"/>
      <w:kern w:val="0"/>
      <w:sz w:val="24"/>
      <w:szCs w:val="20"/>
    </w:rPr>
  </w:style>
  <w:style w:type="paragraph" w:customStyle="1" w:styleId="969">
    <w:name w:val="A_正文"/>
    <w:basedOn w:val="33"/>
    <w:qFormat/>
    <w:uiPriority w:val="0"/>
    <w:pPr>
      <w:topLinePunct/>
      <w:snapToGrid w:val="0"/>
      <w:spacing w:before="120" w:beforeLines="50" w:after="120" w:afterLines="50" w:line="600" w:lineRule="exact"/>
      <w:ind w:firstLine="600" w:firstLineChars="200"/>
    </w:pPr>
    <w:rPr>
      <w:rFonts w:ascii="Times New Roman" w:hAnsi="Times New Roman" w:eastAsia="仿宋" w:cs="仿宋"/>
      <w:sz w:val="30"/>
      <w:szCs w:val="30"/>
    </w:rPr>
  </w:style>
  <w:style w:type="paragraph" w:customStyle="1" w:styleId="970">
    <w:name w:val="A_正文标题"/>
    <w:basedOn w:val="33"/>
    <w:qFormat/>
    <w:uiPriority w:val="0"/>
    <w:pPr>
      <w:numPr>
        <w:ilvl w:val="0"/>
        <w:numId w:val="1"/>
      </w:numPr>
      <w:tabs>
        <w:tab w:val="left" w:pos="1276"/>
        <w:tab w:val="left" w:pos="1560"/>
      </w:tabs>
      <w:snapToGrid w:val="0"/>
      <w:spacing w:before="120" w:beforeLines="50" w:after="120" w:afterLines="50" w:line="600" w:lineRule="exact"/>
      <w:jc w:val="left"/>
    </w:pPr>
    <w:rPr>
      <w:rFonts w:ascii="Times New Roman" w:hAnsi="Times New Roman" w:eastAsia="仿宋" w:cs="仿宋"/>
      <w:b/>
      <w:sz w:val="30"/>
      <w:szCs w:val="30"/>
    </w:rPr>
  </w:style>
  <w:style w:type="paragraph" w:customStyle="1" w:styleId="971">
    <w:name w:val="正文首行缩进 21"/>
    <w:qFormat/>
    <w:uiPriority w:val="0"/>
    <w:pPr>
      <w:widowControl w:val="0"/>
      <w:spacing w:after="120" w:line="360" w:lineRule="auto"/>
      <w:ind w:left="420" w:leftChars="200" w:firstLine="200" w:firstLineChars="200"/>
      <w:jc w:val="both"/>
    </w:pPr>
    <w:rPr>
      <w:rFonts w:ascii="Times New Roman" w:hAnsi="Times New Roman" w:eastAsia="宋体" w:cs="Times New Roman"/>
      <w:color w:val="000000"/>
      <w:kern w:val="2"/>
      <w:sz w:val="30"/>
      <w:szCs w:val="22"/>
      <w:lang w:val="en-US" w:eastAsia="zh-CN" w:bidi="ar-SA"/>
    </w:rPr>
  </w:style>
  <w:style w:type="paragraph" w:customStyle="1" w:styleId="972">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73">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974">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975">
    <w:name w:val="三级标题"/>
    <w:basedOn w:val="976"/>
    <w:next w:val="1"/>
    <w:qFormat/>
    <w:uiPriority w:val="0"/>
    <w:pPr>
      <w:tabs>
        <w:tab w:val="left" w:pos="0"/>
      </w:tabs>
      <w:outlineLvl w:val="3"/>
    </w:pPr>
    <w:rPr>
      <w:rFonts w:ascii="宋体" w:hAnsi="宋体" w:cs="Times New Roman"/>
      <w:b/>
      <w:color w:val="81034D"/>
    </w:rPr>
  </w:style>
  <w:style w:type="paragraph" w:customStyle="1" w:styleId="976">
    <w:name w:val="此标书正文"/>
    <w:basedOn w:val="1"/>
    <w:qFormat/>
    <w:uiPriority w:val="0"/>
    <w:pPr>
      <w:spacing w:line="360" w:lineRule="auto"/>
    </w:pPr>
    <w:rPr>
      <w:rFonts w:ascii="Calibri" w:hAnsi="Calibri" w:cs="Calibri"/>
      <w:kern w:val="1"/>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15852</Words>
  <Characters>17001</Characters>
  <Lines>1</Lines>
  <Paragraphs>1</Paragraphs>
  <TotalTime>85</TotalTime>
  <ScaleCrop>false</ScaleCrop>
  <LinksUpToDate>false</LinksUpToDate>
  <CharactersWithSpaces>17226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2025-04-02T16:09:00Z</dcterms:created>
  <dc:creator>Administrator</dc:creator>
  <cp:lastModifiedBy>阿葛</cp:lastModifiedBy>
  <cp:lastPrinted>2024-11-28T01:37:00Z</cp:lastPrinted>
  <dcterms:modified xsi:type="dcterms:W3CDTF">2025-06-18T06:11:32Z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31FB43A495004736B591805DC9B5B75C_13</vt:lpwstr>
  </property>
  <property fmtid="{D5CDD505-2E9C-101B-9397-08002B2CF9AE}" pid="5" name="KSOTemplateDocerSaveRecord">
    <vt:lpwstr>eyJoZGlkIjoiYTcxZDNhOWE2YmI1NzhmNDhiOTY3NzA1ZmExNmMzODEiLCJ1c2VySWQiOiIyNDc0MzI0ODAifQ==</vt:lpwstr>
  </property>
</Properties>
</file>