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1C97">
      <w:pPr>
        <w:spacing w:line="360" w:lineRule="auto"/>
        <w:jc w:val="center"/>
        <w:rPr>
          <w:rFonts w:hint="eastAsia" w:ascii="宋体" w:hAnsi="宋体" w:cs="宋体"/>
          <w:b/>
          <w:color w:val="auto"/>
          <w:sz w:val="24"/>
          <w:highlight w:val="none"/>
        </w:rPr>
      </w:pPr>
    </w:p>
    <w:p w14:paraId="628100E4">
      <w:pPr>
        <w:spacing w:line="360" w:lineRule="auto"/>
        <w:jc w:val="center"/>
        <w:rPr>
          <w:rFonts w:hint="eastAsia" w:ascii="宋体" w:hAnsi="宋体" w:cs="宋体"/>
          <w:b/>
          <w:color w:val="auto"/>
          <w:sz w:val="24"/>
          <w:highlight w:val="none"/>
        </w:rPr>
      </w:pPr>
    </w:p>
    <w:p w14:paraId="4FA97E94">
      <w:pPr>
        <w:adjustRightInd/>
        <w:spacing w:line="360" w:lineRule="auto"/>
        <w:rPr>
          <w:rFonts w:hint="eastAsia" w:ascii="宋体" w:hAnsi="宋体" w:cs="宋体"/>
          <w:b/>
          <w:color w:val="auto"/>
          <w:sz w:val="48"/>
          <w:szCs w:val="48"/>
          <w:highlight w:val="none"/>
        </w:rPr>
      </w:pPr>
    </w:p>
    <w:p w14:paraId="3BD2C84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杭州市西湖区图书馆</w:t>
      </w:r>
    </w:p>
    <w:p w14:paraId="0470EA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采购智慧书架视觉盘点系统项目</w:t>
      </w: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CTZB-2025070210</w:t>
      </w:r>
    </w:p>
    <w:p w14:paraId="00EB0AC4">
      <w:pPr>
        <w:adjustRightInd/>
        <w:spacing w:line="360" w:lineRule="auto"/>
        <w:rPr>
          <w:rFonts w:hint="eastAsia" w:ascii="宋体" w:hAnsi="宋体" w:cs="宋体"/>
          <w:color w:val="auto"/>
          <w:sz w:val="28"/>
          <w:szCs w:val="20"/>
          <w:highlight w:val="none"/>
        </w:rPr>
      </w:pPr>
    </w:p>
    <w:p w14:paraId="17811170">
      <w:pPr>
        <w:spacing w:line="360" w:lineRule="auto"/>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05D717">
      <w:pPr>
        <w:spacing w:line="360" w:lineRule="auto"/>
        <w:rPr>
          <w:rFonts w:hint="eastAsia" w:ascii="宋体" w:hAnsi="宋体" w:cs="宋体"/>
          <w:b/>
          <w:color w:val="auto"/>
          <w:sz w:val="44"/>
          <w:szCs w:val="44"/>
          <w:highlight w:val="none"/>
        </w:rPr>
      </w:pPr>
    </w:p>
    <w:p w14:paraId="5E710481">
      <w:pPr>
        <w:spacing w:line="360" w:lineRule="auto"/>
        <w:jc w:val="center"/>
        <w:rPr>
          <w:rFonts w:hint="eastAsia" w:ascii="宋体" w:hAnsi="宋体" w:cs="宋体"/>
          <w:color w:val="auto"/>
          <w:sz w:val="24"/>
          <w:highlight w:val="none"/>
        </w:rPr>
      </w:pPr>
    </w:p>
    <w:p w14:paraId="7E107022">
      <w:pPr>
        <w:spacing w:line="360" w:lineRule="auto"/>
        <w:rPr>
          <w:rFonts w:hint="eastAsia" w:ascii="宋体" w:hAnsi="宋体" w:cs="宋体"/>
          <w:color w:val="auto"/>
          <w:sz w:val="32"/>
          <w:szCs w:val="32"/>
          <w:highlight w:val="none"/>
        </w:rPr>
      </w:pPr>
    </w:p>
    <w:p w14:paraId="75FCD671">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采购人：杭州市西湖区图书馆</w:t>
      </w:r>
    </w:p>
    <w:p w14:paraId="62DC5C1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采购代理机构：浙江省成套招标代理有限公司</w:t>
      </w:r>
    </w:p>
    <w:p w14:paraId="392A23B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 xml:space="preserve">月 </w:t>
      </w:r>
    </w:p>
    <w:p w14:paraId="7B69958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hint="eastAsia" w:ascii="宋体" w:hAnsi="宋体" w:cs="宋体"/>
          <w:color w:val="auto"/>
          <w:sz w:val="24"/>
          <w:highlight w:val="none"/>
        </w:rPr>
      </w:pPr>
    </w:p>
    <w:p w14:paraId="2D28310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hint="eastAsia" w:ascii="宋体" w:hAnsi="宋体" w:cs="宋体"/>
          <w:color w:val="auto"/>
          <w:sz w:val="32"/>
          <w:szCs w:val="32"/>
          <w:highlight w:val="none"/>
        </w:rPr>
      </w:pPr>
    </w:p>
    <w:p w14:paraId="412D06C6">
      <w:pPr>
        <w:spacing w:line="360" w:lineRule="auto"/>
        <w:rPr>
          <w:rFonts w:hint="eastAsia" w:ascii="宋体" w:hAnsi="宋体" w:cs="宋体"/>
          <w:color w:val="auto"/>
          <w:sz w:val="32"/>
          <w:szCs w:val="32"/>
          <w:highlight w:val="none"/>
        </w:rPr>
      </w:pPr>
    </w:p>
    <w:p w14:paraId="4DAD2B6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hint="eastAsia" w:ascii="宋体" w:hAnsi="宋体" w:cs="宋体"/>
          <w:color w:val="auto"/>
          <w:sz w:val="24"/>
          <w:highlight w:val="none"/>
        </w:rPr>
      </w:pPr>
    </w:p>
    <w:p w14:paraId="26D93B09">
      <w:pPr>
        <w:spacing w:line="360" w:lineRule="auto"/>
        <w:ind w:firstLine="549" w:firstLineChars="229"/>
        <w:rPr>
          <w:rFonts w:hint="eastAsia" w:ascii="宋体" w:hAnsi="宋体" w:cs="宋体"/>
          <w:color w:val="auto"/>
          <w:sz w:val="24"/>
          <w:highlight w:val="none"/>
        </w:rPr>
      </w:pPr>
    </w:p>
    <w:p w14:paraId="7982F403">
      <w:pPr>
        <w:spacing w:line="360" w:lineRule="auto"/>
        <w:ind w:firstLine="549" w:firstLineChars="229"/>
        <w:rPr>
          <w:rFonts w:hint="eastAsia" w:ascii="宋体" w:hAnsi="宋体" w:cs="宋体"/>
          <w:color w:val="auto"/>
          <w:sz w:val="24"/>
          <w:highlight w:val="none"/>
        </w:rPr>
      </w:pPr>
    </w:p>
    <w:p w14:paraId="27F3579B">
      <w:pPr>
        <w:spacing w:line="360" w:lineRule="auto"/>
        <w:ind w:firstLine="549" w:firstLineChars="229"/>
        <w:rPr>
          <w:rFonts w:hint="eastAsia" w:ascii="宋体" w:hAnsi="宋体" w:cs="宋体"/>
          <w:color w:val="auto"/>
          <w:sz w:val="24"/>
          <w:highlight w:val="none"/>
        </w:rPr>
      </w:pPr>
    </w:p>
    <w:p w14:paraId="75A46F20">
      <w:pPr>
        <w:spacing w:line="360" w:lineRule="auto"/>
        <w:ind w:firstLine="549" w:firstLineChars="229"/>
        <w:rPr>
          <w:rFonts w:hint="eastAsia" w:ascii="宋体" w:hAnsi="宋体" w:cs="宋体"/>
          <w:color w:val="auto"/>
          <w:sz w:val="24"/>
          <w:highlight w:val="none"/>
        </w:rPr>
      </w:pPr>
    </w:p>
    <w:p w14:paraId="294F385D">
      <w:pPr>
        <w:spacing w:line="360" w:lineRule="auto"/>
        <w:ind w:firstLine="549" w:firstLineChars="229"/>
        <w:rPr>
          <w:rFonts w:hint="eastAsia" w:ascii="宋体" w:hAnsi="宋体" w:cs="宋体"/>
          <w:color w:val="auto"/>
          <w:sz w:val="24"/>
          <w:highlight w:val="none"/>
        </w:rPr>
      </w:pPr>
    </w:p>
    <w:p w14:paraId="386DDEBA">
      <w:pPr>
        <w:spacing w:line="360" w:lineRule="auto"/>
        <w:ind w:firstLine="549" w:firstLineChars="229"/>
        <w:rPr>
          <w:rFonts w:hint="eastAsia" w:ascii="宋体" w:hAnsi="宋体" w:cs="宋体"/>
          <w:color w:val="auto"/>
          <w:sz w:val="24"/>
          <w:highlight w:val="none"/>
        </w:rPr>
      </w:pPr>
    </w:p>
    <w:p w14:paraId="73F22824">
      <w:pPr>
        <w:spacing w:line="360" w:lineRule="auto"/>
        <w:ind w:firstLine="549" w:firstLineChars="229"/>
        <w:rPr>
          <w:rFonts w:hint="eastAsia" w:ascii="宋体" w:hAnsi="宋体" w:cs="宋体"/>
          <w:color w:val="auto"/>
          <w:sz w:val="24"/>
          <w:highlight w:val="none"/>
        </w:rPr>
      </w:pPr>
    </w:p>
    <w:p w14:paraId="7ED55E47">
      <w:pPr>
        <w:spacing w:line="360" w:lineRule="auto"/>
        <w:ind w:firstLine="549" w:firstLineChars="229"/>
        <w:rPr>
          <w:rFonts w:hint="eastAsia" w:ascii="宋体" w:hAnsi="宋体" w:cs="宋体"/>
          <w:color w:val="auto"/>
          <w:sz w:val="24"/>
          <w:highlight w:val="none"/>
        </w:rPr>
      </w:pPr>
    </w:p>
    <w:p w14:paraId="1869733A">
      <w:pPr>
        <w:spacing w:line="360" w:lineRule="auto"/>
        <w:ind w:firstLine="549" w:firstLineChars="229"/>
        <w:rPr>
          <w:rFonts w:hint="eastAsia" w:ascii="宋体" w:hAnsi="宋体" w:cs="宋体"/>
          <w:color w:val="auto"/>
          <w:sz w:val="24"/>
          <w:highlight w:val="none"/>
        </w:rPr>
      </w:pPr>
    </w:p>
    <w:p w14:paraId="7000C48E">
      <w:pPr>
        <w:spacing w:line="360" w:lineRule="auto"/>
        <w:ind w:firstLine="549" w:firstLineChars="229"/>
        <w:rPr>
          <w:rFonts w:hint="eastAsia" w:ascii="宋体" w:hAnsi="宋体" w:cs="宋体"/>
          <w:color w:val="auto"/>
          <w:sz w:val="24"/>
          <w:highlight w:val="none"/>
        </w:rPr>
      </w:pPr>
    </w:p>
    <w:p w14:paraId="2A9F954A">
      <w:pPr>
        <w:spacing w:line="360" w:lineRule="auto"/>
        <w:ind w:firstLine="549" w:firstLineChars="229"/>
        <w:rPr>
          <w:rFonts w:hint="eastAsia" w:ascii="宋体" w:hAnsi="宋体" w:cs="宋体"/>
          <w:color w:val="auto"/>
          <w:sz w:val="24"/>
          <w:highlight w:val="none"/>
        </w:rPr>
      </w:pPr>
    </w:p>
    <w:p w14:paraId="42FA03F2">
      <w:pPr>
        <w:spacing w:line="360" w:lineRule="auto"/>
        <w:rPr>
          <w:rFonts w:hint="eastAsia" w:ascii="宋体" w:hAnsi="宋体" w:cs="宋体"/>
          <w:color w:val="auto"/>
          <w:sz w:val="24"/>
          <w:highlight w:val="none"/>
        </w:rPr>
      </w:pPr>
    </w:p>
    <w:p w14:paraId="3ADACCFD">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杭州市西湖区图书馆采购智慧书架视觉盘点系统项目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2025</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8</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5</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14</w:t>
      </w:r>
      <w:r>
        <w:rPr>
          <w:rStyle w:val="78"/>
          <w:rFonts w:hint="eastAsia" w:cs="Times New Roman" w:asciiTheme="minorEastAsia" w:hAnsiTheme="minorEastAsia" w:eastAsiaTheme="minorEastAsia"/>
          <w:snapToGrid/>
          <w:color w:val="auto"/>
          <w:kern w:val="2"/>
          <w:sz w:val="24"/>
          <w:szCs w:val="24"/>
          <w:highlight w:val="none"/>
        </w:rPr>
        <w:t>点</w:t>
      </w:r>
      <w:r>
        <w:rPr>
          <w:rStyle w:val="78"/>
          <w:rFonts w:hint="eastAsia" w:cs="Times New Roman" w:asciiTheme="minorEastAsia" w:hAnsiTheme="minorEastAsia" w:eastAsiaTheme="minorEastAsia"/>
          <w:snapToGrid/>
          <w:color w:val="auto"/>
          <w:kern w:val="2"/>
          <w:sz w:val="24"/>
          <w:szCs w:val="24"/>
          <w:highlight w:val="none"/>
          <w:lang w:val="en-US" w:eastAsia="zh-CN"/>
        </w:rPr>
        <w:t>30</w:t>
      </w:r>
      <w:r>
        <w:rPr>
          <w:rStyle w:val="78"/>
          <w:rFonts w:hint="eastAsia" w:cs="Times New Roman" w:asciiTheme="minorEastAsia" w:hAnsiTheme="minorEastAsia" w:eastAsiaTheme="minorEastAsia"/>
          <w:snapToGrid/>
          <w:color w:val="auto"/>
          <w:kern w:val="2"/>
          <w:sz w:val="24"/>
          <w:szCs w:val="24"/>
          <w:highlight w:val="none"/>
        </w:rPr>
        <w:t>分</w:t>
      </w:r>
      <w:r>
        <w:rPr>
          <w:rStyle w:val="78"/>
          <w:rFonts w:hint="eastAsia" w:cs="Times New Roman" w:asciiTheme="minorEastAsia" w:hAnsiTheme="minorEastAsia" w:eastAsiaTheme="minorEastAsia"/>
          <w:snapToGrid/>
          <w:color w:val="auto"/>
          <w:kern w:val="2"/>
          <w:sz w:val="24"/>
          <w:szCs w:val="24"/>
          <w:highlight w:val="none"/>
          <w:lang w:val="en-US" w:eastAsia="zh-CN"/>
        </w:rPr>
        <w:t>00</w:t>
      </w:r>
      <w:r>
        <w:rPr>
          <w:rStyle w:val="78"/>
          <w:rFonts w:hint="eastAsia" w:cs="Times New Roman" w:asciiTheme="minorEastAsia" w:hAnsiTheme="minorEastAsia" w:eastAsiaTheme="minorEastAsia"/>
          <w:bCs/>
          <w:snapToGrid/>
          <w:color w:val="auto"/>
          <w:kern w:val="2"/>
          <w:sz w:val="24"/>
          <w:szCs w:val="24"/>
          <w:highlight w:val="none"/>
        </w:rPr>
        <w:t>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CTZB-2025070210</w:t>
      </w:r>
    </w:p>
    <w:p w14:paraId="1AB6D6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杭州市西湖区图书馆采购智慧书架视觉盘点系统项目</w:t>
      </w:r>
    </w:p>
    <w:p w14:paraId="068863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预算金额（元）：820000.00</w:t>
      </w:r>
      <w:r>
        <w:rPr>
          <w:rFonts w:hint="eastAsia" w:ascii="宋体" w:hAnsi="宋体" w:cs="宋体"/>
          <w:color w:val="auto"/>
          <w:sz w:val="24"/>
          <w:highlight w:val="none"/>
        </w:rPr>
        <w:t xml:space="preserve"> </w:t>
      </w:r>
    </w:p>
    <w:p w14:paraId="06B3AD1D">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最高限价（元）：820000.00</w:t>
      </w:r>
      <w:r>
        <w:rPr>
          <w:rFonts w:hint="eastAsia" w:ascii="宋体" w:hAnsi="宋体" w:cs="宋体"/>
          <w:color w:val="auto"/>
          <w:sz w:val="24"/>
          <w:highlight w:val="none"/>
        </w:rPr>
        <w:t xml:space="preserve"> </w:t>
      </w:r>
    </w:p>
    <w:p w14:paraId="6F47C323">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rPr>
        <w:t>采购一套智慧书架视觉盘点系统。</w:t>
      </w:r>
      <w:r>
        <w:rPr>
          <w:rFonts w:hint="eastAsia" w:asciiTheme="minorEastAsia" w:hAnsiTheme="minorEastAsia" w:eastAsiaTheme="minorEastAsia"/>
          <w:snapToGrid/>
          <w:color w:val="auto"/>
          <w:kern w:val="2"/>
          <w:sz w:val="24"/>
          <w:szCs w:val="24"/>
          <w:highlight w:val="none"/>
        </w:rPr>
        <w:t>具体以招标文件第三部分采购需求为准，供</w:t>
      </w:r>
      <w:r>
        <w:rPr>
          <w:rFonts w:hint="eastAsia" w:hAnsi="宋体" w:cs="宋体"/>
          <w:color w:val="auto"/>
          <w:sz w:val="24"/>
          <w:highlight w:val="none"/>
        </w:rPr>
        <w:t>应商可点击本公告下方“浏览采购文件”查看采购需求。</w:t>
      </w:r>
    </w:p>
    <w:p w14:paraId="6C244DA2">
      <w:pPr>
        <w:pStyle w:val="5"/>
        <w:spacing w:line="360" w:lineRule="auto"/>
        <w:ind w:firstLine="480"/>
        <w:outlineLvl w:val="2"/>
        <w:rPr>
          <w:rFonts w:hint="eastAsia" w:hAnsi="宋体" w:cs="宋体"/>
          <w:b/>
          <w:color w:val="auto"/>
          <w:sz w:val="24"/>
          <w:highlight w:val="none"/>
        </w:rPr>
      </w:pPr>
      <w:r>
        <w:rPr>
          <w:rFonts w:hint="eastAsia" w:hAnsi="宋体" w:cs="宋体"/>
          <w:b/>
          <w:color w:val="auto"/>
          <w:sz w:val="24"/>
          <w:highlight w:val="none"/>
        </w:rPr>
        <w:t>合同履约期限：</w:t>
      </w:r>
      <w:r>
        <w:rPr>
          <w:rFonts w:hint="eastAsia" w:hAnsi="宋体"/>
          <w:color w:val="auto"/>
          <w:sz w:val="24"/>
          <w:szCs w:val="24"/>
          <w:highlight w:val="none"/>
          <w:lang w:val="en-US" w:eastAsia="zh-CN"/>
        </w:rPr>
        <w:t>自合同签订后3个月内完成交付</w:t>
      </w:r>
      <w:r>
        <w:rPr>
          <w:rFonts w:hint="eastAsia" w:hAnsi="宋体"/>
          <w:color w:val="auto"/>
          <w:sz w:val="24"/>
          <w:szCs w:val="24"/>
          <w:highlight w:val="none"/>
        </w:rPr>
        <w:t>。</w:t>
      </w:r>
    </w:p>
    <w:p w14:paraId="46E5D310">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8176087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05314C4">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49198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97596DC">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187932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1FA0E51">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333320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无。</w:t>
      </w:r>
    </w:p>
    <w:p w14:paraId="3EB7631B">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252982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无</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AB9FE2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C32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65259D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E127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47CF8F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称：杭州市西湖区图书馆 </w:t>
      </w:r>
    </w:p>
    <w:p w14:paraId="1B9DEF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址：浙江省杭州市西湖区古墩路413-1号</w:t>
      </w:r>
    </w:p>
    <w:p w14:paraId="4B36B5E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50015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项目联系人（询问）：周老师</w:t>
      </w:r>
    </w:p>
    <w:p w14:paraId="15E706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项目联系方式（询问）：0571-87981283</w:t>
      </w:r>
    </w:p>
    <w:p w14:paraId="6BBF508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质疑联系人：边老师 </w:t>
      </w:r>
    </w:p>
    <w:p w14:paraId="7454BE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质疑联系方式：0571-87981282</w:t>
      </w:r>
    </w:p>
    <w:p w14:paraId="10B209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892E08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称：浙江省成套招标代理有限公司</w:t>
      </w:r>
    </w:p>
    <w:p w14:paraId="60FFC7A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0C6AB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62C109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67BDC6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433B6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37099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00513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C4C83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14:paraId="0547F610">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13DDA3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：王老师</w:t>
      </w:r>
    </w:p>
    <w:p w14:paraId="1881CF4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w:t>
      </w:r>
    </w:p>
    <w:p w14:paraId="7F830E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C8CDD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FE5CC42">
      <w:pPr>
        <w:pStyle w:val="35"/>
        <w:spacing w:line="360" w:lineRule="auto"/>
        <w:rPr>
          <w:color w:val="auto"/>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BF39740">
      <w:pPr>
        <w:adjustRightInd/>
        <w:spacing w:line="360" w:lineRule="auto"/>
        <w:jc w:val="center"/>
        <w:outlineLvl w:val="0"/>
        <w:rPr>
          <w:rFonts w:hint="eastAsia" w:ascii="宋体" w:hAnsi="宋体" w:cs="宋体"/>
          <w:b/>
          <w:color w:val="auto"/>
          <w:sz w:val="36"/>
          <w:szCs w:val="20"/>
          <w:highlight w:val="none"/>
        </w:rPr>
      </w:pPr>
    </w:p>
    <w:p w14:paraId="041FDE89">
      <w:pPr>
        <w:adjustRightInd/>
        <w:spacing w:line="360" w:lineRule="auto"/>
        <w:jc w:val="center"/>
        <w:outlineLvl w:val="0"/>
        <w:rPr>
          <w:rFonts w:hint="eastAsia" w:ascii="宋体" w:hAnsi="宋体" w:cs="宋体"/>
          <w:b/>
          <w:color w:val="auto"/>
          <w:sz w:val="36"/>
          <w:szCs w:val="20"/>
          <w:highlight w:val="none"/>
        </w:rPr>
      </w:pPr>
    </w:p>
    <w:p w14:paraId="676B8FCF">
      <w:pPr>
        <w:adjustRightInd/>
        <w:spacing w:line="360" w:lineRule="auto"/>
        <w:jc w:val="center"/>
        <w:outlineLvl w:val="0"/>
        <w:rPr>
          <w:rFonts w:hint="eastAsia" w:ascii="宋体" w:hAnsi="宋体" w:cs="宋体"/>
          <w:b/>
          <w:color w:val="auto"/>
          <w:sz w:val="36"/>
          <w:szCs w:val="20"/>
          <w:highlight w:val="none"/>
        </w:rPr>
      </w:pPr>
    </w:p>
    <w:p w14:paraId="60EB25A7">
      <w:pPr>
        <w:adjustRightInd/>
        <w:spacing w:line="360" w:lineRule="auto"/>
        <w:jc w:val="center"/>
        <w:outlineLvl w:val="0"/>
        <w:rPr>
          <w:rFonts w:hint="eastAsia" w:ascii="宋体" w:hAnsi="宋体" w:cs="宋体"/>
          <w:b/>
          <w:color w:val="auto"/>
          <w:sz w:val="36"/>
          <w:szCs w:val="20"/>
          <w:highlight w:val="none"/>
        </w:rPr>
      </w:pPr>
    </w:p>
    <w:p w14:paraId="74BB3B46">
      <w:pPr>
        <w:adjustRightInd/>
        <w:spacing w:line="360" w:lineRule="auto"/>
        <w:jc w:val="center"/>
        <w:outlineLvl w:val="0"/>
        <w:rPr>
          <w:rFonts w:hint="eastAsia" w:ascii="宋体" w:hAnsi="宋体" w:cs="宋体"/>
          <w:b/>
          <w:color w:val="auto"/>
          <w:sz w:val="36"/>
          <w:szCs w:val="20"/>
          <w:highlight w:val="none"/>
        </w:rPr>
      </w:pPr>
    </w:p>
    <w:p w14:paraId="4587A9F9">
      <w:pPr>
        <w:adjustRightInd/>
        <w:spacing w:line="360" w:lineRule="auto"/>
        <w:jc w:val="center"/>
        <w:outlineLvl w:val="0"/>
        <w:rPr>
          <w:rFonts w:hint="eastAsia" w:ascii="宋体" w:hAnsi="宋体" w:cs="宋体"/>
          <w:b/>
          <w:color w:val="auto"/>
          <w:sz w:val="36"/>
          <w:szCs w:val="20"/>
          <w:highlight w:val="none"/>
        </w:rPr>
      </w:pPr>
    </w:p>
    <w:p w14:paraId="39EFB58B">
      <w:pPr>
        <w:adjustRightInd/>
        <w:spacing w:line="360" w:lineRule="auto"/>
        <w:jc w:val="center"/>
        <w:outlineLvl w:val="0"/>
        <w:rPr>
          <w:rFonts w:hint="eastAsia" w:ascii="宋体" w:hAnsi="宋体" w:cs="宋体"/>
          <w:b/>
          <w:color w:val="auto"/>
          <w:sz w:val="36"/>
          <w:szCs w:val="20"/>
          <w:highlight w:val="none"/>
        </w:rPr>
      </w:pPr>
    </w:p>
    <w:p w14:paraId="102E096E">
      <w:pPr>
        <w:adjustRightInd/>
        <w:spacing w:line="360" w:lineRule="auto"/>
        <w:jc w:val="center"/>
        <w:outlineLvl w:val="0"/>
        <w:rPr>
          <w:rFonts w:hint="eastAsia" w:ascii="宋体" w:hAnsi="宋体" w:cs="宋体"/>
          <w:b/>
          <w:color w:val="auto"/>
          <w:sz w:val="36"/>
          <w:szCs w:val="20"/>
          <w:highlight w:val="none"/>
        </w:rPr>
      </w:pPr>
    </w:p>
    <w:p w14:paraId="107A99EA">
      <w:pPr>
        <w:adjustRightInd/>
        <w:spacing w:line="360" w:lineRule="auto"/>
        <w:jc w:val="center"/>
        <w:outlineLvl w:val="0"/>
        <w:rPr>
          <w:rFonts w:ascii="宋体" w:hAnsi="宋体" w:cs="宋体"/>
          <w:b/>
          <w:color w:val="auto"/>
          <w:sz w:val="36"/>
          <w:szCs w:val="20"/>
          <w:highlight w:val="none"/>
        </w:rPr>
      </w:pPr>
    </w:p>
    <w:p w14:paraId="1525DC7B">
      <w:pPr>
        <w:adjustRightInd/>
        <w:spacing w:line="360" w:lineRule="auto"/>
        <w:jc w:val="center"/>
        <w:outlineLvl w:val="0"/>
        <w:rPr>
          <w:rFonts w:hint="eastAsia" w:ascii="宋体" w:hAnsi="宋体" w:cs="宋体"/>
          <w:b/>
          <w:color w:val="auto"/>
          <w:sz w:val="36"/>
          <w:szCs w:val="20"/>
          <w:highlight w:val="none"/>
        </w:rPr>
      </w:pPr>
    </w:p>
    <w:p w14:paraId="31A2C680">
      <w:pPr>
        <w:adjustRightInd/>
        <w:spacing w:line="360" w:lineRule="auto"/>
        <w:jc w:val="center"/>
        <w:outlineLvl w:val="0"/>
        <w:rPr>
          <w:rFonts w:hint="eastAsia" w:ascii="宋体" w:hAnsi="宋体" w:cs="宋体"/>
          <w:b/>
          <w:color w:val="auto"/>
          <w:sz w:val="36"/>
          <w:szCs w:val="20"/>
          <w:highlight w:val="none"/>
        </w:rPr>
      </w:pPr>
    </w:p>
    <w:p w14:paraId="255A5DF1">
      <w:pPr>
        <w:adjustRightInd/>
        <w:spacing w:line="360" w:lineRule="auto"/>
        <w:jc w:val="center"/>
        <w:outlineLvl w:val="0"/>
        <w:rPr>
          <w:rFonts w:hint="eastAsia" w:ascii="宋体" w:hAnsi="宋体" w:cs="宋体"/>
          <w:b/>
          <w:color w:val="auto"/>
          <w:sz w:val="36"/>
          <w:szCs w:val="20"/>
          <w:highlight w:val="none"/>
        </w:rPr>
      </w:pPr>
    </w:p>
    <w:p w14:paraId="353962A1">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hint="eastAsia" w:ascii="宋体" w:hAnsi="宋体" w:cs="宋体"/>
                <w:color w:val="auto"/>
                <w:sz w:val="24"/>
                <w:highlight w:val="none"/>
              </w:rPr>
            </w:pPr>
          </w:p>
          <w:p w14:paraId="764F94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货物类，单一产品/</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智慧书架视觉盘点系统</w:t>
            </w:r>
            <w:r>
              <w:rPr>
                <w:rFonts w:hint="eastAsia" w:ascii="宋体" w:hAnsi="宋体" w:cs="宋体"/>
                <w:color w:val="auto"/>
                <w:sz w:val="24"/>
                <w:highlight w:val="none"/>
                <w:u w:val="single"/>
                <w:lang w:eastAsia="zh-CN"/>
              </w:rPr>
              <w:t>、高清影像自动采集系统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hint="eastAsia" w:ascii="宋体" w:hAnsi="宋体" w:cs="宋体"/>
                <w:color w:val="auto"/>
                <w:sz w:val="24"/>
                <w:highlight w:val="none"/>
              </w:rPr>
            </w:pPr>
          </w:p>
          <w:p w14:paraId="58340D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8FC4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详见采购需求“采购清单”</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详见采购需求“采购清单”</w:t>
            </w:r>
            <w:r>
              <w:rPr>
                <w:rFonts w:hint="eastAsia" w:ascii="宋体" w:hAnsi="宋体" w:cs="宋体"/>
                <w:color w:val="auto"/>
                <w:kern w:val="0"/>
                <w:sz w:val="24"/>
                <w:highlight w:val="none"/>
              </w:rPr>
              <w:t>行业；</w:t>
            </w:r>
          </w:p>
          <w:p w14:paraId="1347BB3B">
            <w:pPr>
              <w:snapToGrid w:val="0"/>
              <w:spacing w:line="360" w:lineRule="auto"/>
              <w:rPr>
                <w:rFonts w:ascii="宋体" w:hAnsi="宋体" w:eastAsia="仿宋_GB2312" w:cs="宋体"/>
                <w:color w:val="auto"/>
                <w:highlight w:val="none"/>
              </w:rPr>
            </w:pPr>
            <w:r>
              <w:rPr>
                <w:rFonts w:hint="eastAsia" w:ascii="宋体" w:hAnsi="宋体" w:cs="宋体"/>
                <w:color w:val="auto"/>
                <w:sz w:val="24"/>
                <w:highlight w:val="none"/>
              </w:rPr>
              <w:t>根据《关于印发中小企业划型标准规定的通知》（工信部联企业〔2011〕300）第四条第（二）项规定：工业。</w:t>
            </w:r>
            <w:r>
              <w:rPr>
                <w:rFonts w:ascii="宋体" w:hAnsi="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3823813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2896E333">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4117566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color w:val="auto"/>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采购进口产品。优先采购向我国企业转让技术、与我国企业签订消化吸收再创新方案的供应商的进口产品，详见评分标准。</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939954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同意将非主体、非关键性的培训等服务工作分包。</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5984940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hint="eastAsia" w:ascii="宋体" w:hAnsi="宋体" w:cs="宋体"/>
                <w:color w:val="auto"/>
                <w:sz w:val="24"/>
                <w:highlight w:val="none"/>
              </w:rPr>
            </w:pPr>
          </w:p>
          <w:p w14:paraId="236F5640">
            <w:pPr>
              <w:snapToGrid w:val="0"/>
              <w:spacing w:line="360" w:lineRule="auto"/>
              <w:jc w:val="center"/>
              <w:rPr>
                <w:rFonts w:hint="eastAsia" w:ascii="宋体" w:hAnsi="宋体" w:cs="宋体"/>
                <w:color w:val="auto"/>
                <w:sz w:val="24"/>
                <w:highlight w:val="none"/>
              </w:rPr>
            </w:pPr>
          </w:p>
          <w:p w14:paraId="41B994D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cs="宋体"/>
                <w:color w:val="auto"/>
                <w:sz w:val="24"/>
                <w:highlight w:val="none"/>
              </w:rPr>
            </w:pPr>
            <w:sdt>
              <w:sdtPr>
                <w:rPr>
                  <w:rFonts w:hint="eastAsia"/>
                  <w:color w:val="auto"/>
                  <w:highlight w:val="none"/>
                </w:rPr>
                <w:id w:val="86846932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A不组织。</w:t>
            </w:r>
          </w:p>
          <w:p w14:paraId="5F1AF5E4">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65130684"/>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4068058">
            <w:pPr>
              <w:spacing w:line="360" w:lineRule="auto"/>
              <w:rPr>
                <w:color w:val="auto"/>
                <w:highlight w:val="none"/>
              </w:rPr>
            </w:pPr>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hint="eastAsia" w:ascii="宋体" w:hAnsi="宋体" w:cs="宋体"/>
                <w:color w:val="auto"/>
                <w:sz w:val="24"/>
                <w:highlight w:val="none"/>
              </w:rPr>
            </w:pPr>
          </w:p>
          <w:p w14:paraId="6CE9AD9B">
            <w:pPr>
              <w:snapToGrid w:val="0"/>
              <w:spacing w:line="360" w:lineRule="auto"/>
              <w:jc w:val="center"/>
              <w:rPr>
                <w:rFonts w:hint="eastAsia" w:ascii="宋体" w:hAnsi="宋体" w:cs="宋体"/>
                <w:color w:val="auto"/>
                <w:sz w:val="24"/>
                <w:highlight w:val="none"/>
              </w:rPr>
            </w:pPr>
          </w:p>
          <w:p w14:paraId="584AD529">
            <w:pPr>
              <w:snapToGrid w:val="0"/>
              <w:spacing w:line="360" w:lineRule="auto"/>
              <w:jc w:val="center"/>
              <w:rPr>
                <w:rFonts w:hint="eastAsia" w:ascii="宋体" w:hAnsi="宋体" w:cs="宋体"/>
                <w:color w:val="auto"/>
                <w:sz w:val="24"/>
                <w:highlight w:val="none"/>
              </w:rPr>
            </w:pPr>
          </w:p>
          <w:p w14:paraId="5FA1F29A">
            <w:pPr>
              <w:snapToGrid w:val="0"/>
              <w:spacing w:line="360" w:lineRule="auto"/>
              <w:jc w:val="center"/>
              <w:rPr>
                <w:rFonts w:hint="eastAsia" w:ascii="宋体" w:hAnsi="宋体" w:cs="宋体"/>
                <w:color w:val="auto"/>
                <w:sz w:val="24"/>
                <w:highlight w:val="none"/>
              </w:rPr>
            </w:pPr>
          </w:p>
          <w:p w14:paraId="11789CF7">
            <w:pPr>
              <w:snapToGrid w:val="0"/>
              <w:spacing w:line="360" w:lineRule="auto"/>
              <w:jc w:val="center"/>
              <w:rPr>
                <w:rFonts w:hint="eastAsia" w:ascii="宋体" w:hAnsi="宋体" w:cs="宋体"/>
                <w:color w:val="auto"/>
                <w:sz w:val="24"/>
                <w:highlight w:val="none"/>
              </w:rPr>
            </w:pPr>
          </w:p>
          <w:p w14:paraId="2F4E9616">
            <w:pPr>
              <w:snapToGrid w:val="0"/>
              <w:spacing w:line="360" w:lineRule="auto"/>
              <w:jc w:val="center"/>
              <w:rPr>
                <w:rFonts w:hint="eastAsia" w:ascii="宋体" w:hAnsi="宋体" w:cs="宋体"/>
                <w:color w:val="auto"/>
                <w:sz w:val="24"/>
                <w:highlight w:val="none"/>
              </w:rPr>
            </w:pPr>
          </w:p>
          <w:p w14:paraId="2BD91D89">
            <w:pPr>
              <w:snapToGrid w:val="0"/>
              <w:spacing w:line="360" w:lineRule="auto"/>
              <w:jc w:val="center"/>
              <w:rPr>
                <w:rFonts w:hint="eastAsia" w:ascii="宋体" w:hAnsi="宋体" w:cs="宋体"/>
                <w:color w:val="auto"/>
                <w:sz w:val="24"/>
                <w:highlight w:val="none"/>
              </w:rPr>
            </w:pPr>
          </w:p>
          <w:p w14:paraId="148D644F">
            <w:pPr>
              <w:snapToGrid w:val="0"/>
              <w:spacing w:line="360" w:lineRule="auto"/>
              <w:jc w:val="center"/>
              <w:rPr>
                <w:rFonts w:hint="eastAsia" w:ascii="宋体" w:hAnsi="宋体" w:cs="宋体"/>
                <w:color w:val="auto"/>
                <w:sz w:val="24"/>
                <w:highlight w:val="none"/>
              </w:rPr>
            </w:pPr>
          </w:p>
          <w:p w14:paraId="0D7B8CEA">
            <w:pPr>
              <w:snapToGrid w:val="0"/>
              <w:spacing w:line="360" w:lineRule="auto"/>
              <w:jc w:val="center"/>
              <w:rPr>
                <w:rFonts w:hint="eastAsia" w:ascii="宋体" w:hAnsi="宋体" w:cs="宋体"/>
                <w:color w:val="auto"/>
                <w:sz w:val="24"/>
                <w:highlight w:val="none"/>
              </w:rPr>
            </w:pPr>
          </w:p>
          <w:p w14:paraId="6870EC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07031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6AD8FC">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hint="eastAsia" w:ascii="宋体" w:hAnsi="宋体" w:cs="宋体"/>
                <w:color w:val="auto"/>
                <w:sz w:val="24"/>
                <w:highlight w:val="none"/>
              </w:rPr>
            </w:pPr>
          </w:p>
          <w:p w14:paraId="594035E1">
            <w:pPr>
              <w:snapToGrid w:val="0"/>
              <w:spacing w:line="360" w:lineRule="auto"/>
              <w:jc w:val="center"/>
              <w:rPr>
                <w:rFonts w:hint="eastAsia" w:ascii="宋体" w:hAnsi="宋体" w:cs="宋体"/>
                <w:color w:val="auto"/>
                <w:sz w:val="24"/>
                <w:highlight w:val="none"/>
              </w:rPr>
            </w:pPr>
          </w:p>
          <w:p w14:paraId="7BBB1D31">
            <w:pPr>
              <w:snapToGrid w:val="0"/>
              <w:spacing w:line="360" w:lineRule="auto"/>
              <w:jc w:val="center"/>
              <w:rPr>
                <w:rFonts w:hint="eastAsia" w:ascii="宋体" w:hAnsi="宋体" w:cs="宋体"/>
                <w:color w:val="auto"/>
                <w:sz w:val="24"/>
                <w:highlight w:val="none"/>
              </w:rPr>
            </w:pPr>
          </w:p>
          <w:p w14:paraId="5E72B44D">
            <w:pPr>
              <w:snapToGrid w:val="0"/>
              <w:spacing w:line="360" w:lineRule="auto"/>
              <w:jc w:val="center"/>
              <w:rPr>
                <w:rFonts w:hint="eastAsia" w:ascii="宋体" w:hAnsi="宋体" w:cs="宋体"/>
                <w:color w:val="auto"/>
                <w:sz w:val="24"/>
                <w:highlight w:val="none"/>
              </w:rPr>
            </w:pPr>
          </w:p>
          <w:p w14:paraId="17D43F3E">
            <w:pPr>
              <w:snapToGrid w:val="0"/>
              <w:spacing w:line="360" w:lineRule="auto"/>
              <w:jc w:val="center"/>
              <w:rPr>
                <w:rFonts w:hint="eastAsia" w:ascii="宋体" w:hAnsi="宋体" w:cs="宋体"/>
                <w:color w:val="auto"/>
                <w:sz w:val="24"/>
                <w:highlight w:val="none"/>
              </w:rPr>
            </w:pPr>
          </w:p>
          <w:p w14:paraId="5721CF1D">
            <w:pPr>
              <w:snapToGrid w:val="0"/>
              <w:spacing w:line="360" w:lineRule="auto"/>
              <w:jc w:val="center"/>
              <w:rPr>
                <w:rFonts w:hint="eastAsia" w:ascii="宋体" w:hAnsi="宋体" w:cs="宋体"/>
                <w:color w:val="auto"/>
                <w:sz w:val="24"/>
                <w:highlight w:val="none"/>
              </w:rPr>
            </w:pPr>
          </w:p>
          <w:p w14:paraId="5799B1B6">
            <w:pPr>
              <w:snapToGrid w:val="0"/>
              <w:spacing w:line="360" w:lineRule="auto"/>
              <w:jc w:val="center"/>
              <w:rPr>
                <w:rFonts w:hint="eastAsia" w:ascii="宋体" w:hAnsi="宋体" w:cs="宋体"/>
                <w:color w:val="auto"/>
                <w:sz w:val="24"/>
                <w:highlight w:val="none"/>
              </w:rPr>
            </w:pPr>
          </w:p>
          <w:p w14:paraId="0CF0E219">
            <w:pPr>
              <w:snapToGrid w:val="0"/>
              <w:spacing w:line="360" w:lineRule="auto"/>
              <w:jc w:val="center"/>
              <w:rPr>
                <w:rFonts w:hint="eastAsia" w:ascii="宋体" w:hAnsi="宋体" w:cs="宋体"/>
                <w:color w:val="auto"/>
                <w:sz w:val="24"/>
                <w:highlight w:val="none"/>
              </w:rPr>
            </w:pPr>
          </w:p>
          <w:p w14:paraId="146598D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5887318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1DAA78B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（编制时可根据项目情况进行调整）</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提供演示视频，播放次序以投标文件解密时间先后次序为准。</w:t>
            </w:r>
          </w:p>
          <w:p w14:paraId="16C1B34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演示视频时间</w:t>
            </w:r>
            <w:r>
              <w:rPr>
                <w:rFonts w:hint="eastAsia" w:ascii="宋体" w:hAnsi="宋体" w:cs="宋体"/>
                <w:color w:val="auto"/>
                <w:kern w:val="0"/>
                <w:sz w:val="24"/>
                <w:highlight w:val="none"/>
              </w:rPr>
              <w:t>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w:t>
            </w:r>
          </w:p>
          <w:p w14:paraId="7CFB7E2E">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hint="eastAsia" w:ascii="宋体" w:hAnsi="宋体" w:cs="宋体"/>
                <w:color w:val="auto"/>
                <w:sz w:val="24"/>
                <w:highlight w:val="none"/>
              </w:rPr>
            </w:pPr>
          </w:p>
          <w:p w14:paraId="1FBB5DFA">
            <w:pPr>
              <w:snapToGrid w:val="0"/>
              <w:spacing w:line="360" w:lineRule="auto"/>
              <w:jc w:val="center"/>
              <w:rPr>
                <w:rFonts w:hint="eastAsia" w:ascii="宋体" w:hAnsi="宋体" w:cs="宋体"/>
                <w:color w:val="auto"/>
                <w:sz w:val="24"/>
                <w:highlight w:val="none"/>
              </w:rPr>
            </w:pPr>
          </w:p>
          <w:p w14:paraId="5D6BB6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hint="eastAsia" w:ascii="宋体" w:hAnsi="宋体" w:cs="宋体"/>
                <w:color w:val="auto"/>
                <w:sz w:val="24"/>
                <w:highlight w:val="none"/>
              </w:rPr>
            </w:pPr>
          </w:p>
          <w:p w14:paraId="7EEBE631">
            <w:pPr>
              <w:snapToGrid w:val="0"/>
              <w:spacing w:line="360" w:lineRule="auto"/>
              <w:jc w:val="center"/>
              <w:rPr>
                <w:rFonts w:hint="eastAsia" w:ascii="宋体" w:hAnsi="宋体" w:cs="宋体"/>
                <w:color w:val="auto"/>
                <w:sz w:val="24"/>
                <w:highlight w:val="none"/>
              </w:rPr>
            </w:pPr>
          </w:p>
          <w:p w14:paraId="740B1A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2"/>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2"/>
              <w:ind w:firstLine="0" w:firstLineChars="0"/>
              <w:rPr>
                <w:rFonts w:hint="eastAsia" w:ascii="宋体" w:hAnsi="宋体" w:eastAsia="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 xml:space="preserve">强制采购。产品：    </w:t>
            </w:r>
          </w:p>
          <w:p w14:paraId="4887156B">
            <w:pPr>
              <w:pStyle w:val="82"/>
              <w:ind w:firstLine="0"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□优先采购节能产品。产品：</w:t>
            </w:r>
            <w:r>
              <w:rPr>
                <w:rFonts w:hint="eastAsia" w:ascii="宋体" w:hAnsi="宋体" w:eastAsia="宋体" w:cs="宋体"/>
                <w:color w:val="auto"/>
                <w:sz w:val="24"/>
                <w:highlight w:val="none"/>
                <w:u w:val="single"/>
              </w:rPr>
              <w:t xml:space="preserve">   </w:t>
            </w:r>
          </w:p>
          <w:p w14:paraId="5AEE3AB8">
            <w:pPr>
              <w:pStyle w:val="82"/>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□优先采购环保产品。产品：</w:t>
            </w:r>
            <w:r>
              <w:rPr>
                <w:rFonts w:hint="eastAsia" w:ascii="宋体" w:hAnsi="宋体" w:eastAsia="宋体" w:cs="宋体"/>
                <w:color w:val="auto"/>
                <w:sz w:val="24"/>
                <w:highlight w:val="none"/>
                <w:u w:val="single"/>
              </w:rPr>
              <w:t xml:space="preserve">   </w:t>
            </w:r>
          </w:p>
          <w:p w14:paraId="5158B7EC">
            <w:pPr>
              <w:pStyle w:val="82"/>
              <w:ind w:firstLine="0" w:firstLineChars="0"/>
              <w:rPr>
                <w:rFonts w:hint="eastAsia" w:ascii="宋体" w:hAnsi="宋体" w:cs="宋体"/>
                <w:color w:val="auto"/>
                <w:sz w:val="24"/>
                <w:highlight w:val="none"/>
              </w:rPr>
            </w:pPr>
            <w:r>
              <w:rPr>
                <w:rFonts w:hint="eastAsia" w:ascii="宋体" w:hAnsi="宋体" w:eastAsia="宋体" w:cs="宋体"/>
                <w:color w:val="auto"/>
                <w:sz w:val="24"/>
                <w:highlight w:val="none"/>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hint="eastAsia" w:ascii="宋体" w:hAnsi="宋体" w:cs="宋体"/>
                <w:color w:val="auto"/>
                <w:sz w:val="24"/>
                <w:highlight w:val="none"/>
              </w:rPr>
            </w:pPr>
          </w:p>
          <w:p w14:paraId="4FAADF78">
            <w:pPr>
              <w:snapToGrid w:val="0"/>
              <w:spacing w:line="360" w:lineRule="auto"/>
              <w:jc w:val="center"/>
              <w:rPr>
                <w:rFonts w:hint="eastAsia" w:ascii="宋体" w:hAnsi="宋体" w:cs="宋体"/>
                <w:color w:val="auto"/>
                <w:sz w:val="24"/>
                <w:highlight w:val="none"/>
              </w:rPr>
            </w:pPr>
          </w:p>
          <w:p w14:paraId="6D9B741C">
            <w:pPr>
              <w:snapToGrid w:val="0"/>
              <w:spacing w:line="360" w:lineRule="auto"/>
              <w:jc w:val="center"/>
              <w:rPr>
                <w:rFonts w:hint="eastAsia" w:ascii="宋体" w:hAnsi="宋体" w:cs="宋体"/>
                <w:color w:val="auto"/>
                <w:sz w:val="24"/>
                <w:highlight w:val="none"/>
              </w:rPr>
            </w:pPr>
          </w:p>
          <w:p w14:paraId="18CE84FB">
            <w:pPr>
              <w:snapToGrid w:val="0"/>
              <w:spacing w:line="360" w:lineRule="auto"/>
              <w:jc w:val="center"/>
              <w:rPr>
                <w:rFonts w:hint="eastAsia" w:ascii="宋体" w:hAnsi="宋体" w:cs="宋体"/>
                <w:color w:val="auto"/>
                <w:sz w:val="24"/>
                <w:highlight w:val="none"/>
              </w:rPr>
            </w:pPr>
          </w:p>
          <w:p w14:paraId="04CF0A3C">
            <w:pPr>
              <w:snapToGrid w:val="0"/>
              <w:spacing w:line="360" w:lineRule="auto"/>
              <w:jc w:val="center"/>
              <w:rPr>
                <w:rFonts w:hint="eastAsia" w:ascii="宋体" w:hAnsi="宋体" w:cs="宋体"/>
                <w:color w:val="auto"/>
                <w:sz w:val="24"/>
                <w:highlight w:val="none"/>
              </w:rPr>
            </w:pPr>
          </w:p>
          <w:p w14:paraId="769326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hint="eastAsia" w:ascii="宋体" w:hAnsi="宋体" w:cs="宋体"/>
                <w:color w:val="auto"/>
                <w:sz w:val="24"/>
                <w:highlight w:val="none"/>
              </w:rPr>
            </w:pPr>
          </w:p>
          <w:p w14:paraId="03777D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5"/>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4397838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51B39A4D">
            <w:pPr>
              <w:spacing w:line="276" w:lineRule="auto"/>
              <w:rPr>
                <w:rFonts w:hint="eastAsia" w:ascii="宋体" w:hAnsi="宋体"/>
                <w:snapToGrid w:val="0"/>
                <w:color w:val="auto"/>
                <w:kern w:val="28"/>
                <w:sz w:val="24"/>
              </w:rPr>
            </w:pPr>
            <w:r>
              <w:rPr>
                <w:rFonts w:hint="eastAsia" w:ascii="宋体" w:hAnsi="宋体" w:cs="仿宋"/>
                <w:snapToGrid w:val="0"/>
                <w:color w:val="auto"/>
                <w:kern w:val="28"/>
                <w:sz w:val="24"/>
                <w:highlight w:val="none"/>
              </w:rPr>
              <w:t>1.收费标准或金额为：</w:t>
            </w:r>
            <w:r>
              <w:rPr>
                <w:rFonts w:hint="eastAsia" w:ascii="宋体" w:hAnsi="宋体"/>
                <w:snapToGrid w:val="0"/>
                <w:color w:val="auto"/>
                <w:kern w:val="28"/>
                <w:sz w:val="24"/>
              </w:rPr>
              <w:t>以中标金额为计算基数，按以下标准费率的计算值收取，费率标准如下：</w:t>
            </w:r>
          </w:p>
          <w:tbl>
            <w:tblPr>
              <w:tblStyle w:val="64"/>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243F59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953" w:type="dxa"/>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5EF0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86F6ED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金额（万元）</w:t>
                        </w:r>
                      </w:p>
                    </w:tc>
                    <w:tc>
                      <w:tcPr>
                        <w:tcW w:w="1134" w:type="dxa"/>
                        <w:vAlign w:val="center"/>
                      </w:tcPr>
                      <w:p w14:paraId="4CCAB89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货物类费率</w:t>
                        </w:r>
                      </w:p>
                    </w:tc>
                    <w:tc>
                      <w:tcPr>
                        <w:tcW w:w="1134" w:type="dxa"/>
                        <w:vAlign w:val="center"/>
                      </w:tcPr>
                      <w:p w14:paraId="760F4BD4">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服务类费率</w:t>
                        </w:r>
                      </w:p>
                    </w:tc>
                    <w:tc>
                      <w:tcPr>
                        <w:tcW w:w="1134" w:type="dxa"/>
                        <w:vAlign w:val="center"/>
                      </w:tcPr>
                      <w:p w14:paraId="35A332EB">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工程类费率</w:t>
                        </w:r>
                      </w:p>
                    </w:tc>
                  </w:tr>
                  <w:tr w14:paraId="6C2B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1B5392D">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100以下部分</w:t>
                        </w:r>
                      </w:p>
                    </w:tc>
                    <w:tc>
                      <w:tcPr>
                        <w:tcW w:w="1134" w:type="dxa"/>
                        <w:tcBorders>
                          <w:left w:val="single" w:color="auto" w:sz="4" w:space="0"/>
                        </w:tcBorders>
                        <w:vAlign w:val="center"/>
                      </w:tcPr>
                      <w:p w14:paraId="2FE02015">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63D1E1B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1.5%</w:t>
                        </w:r>
                      </w:p>
                    </w:tc>
                    <w:tc>
                      <w:tcPr>
                        <w:tcW w:w="1134" w:type="dxa"/>
                        <w:tcBorders>
                          <w:left w:val="single" w:color="auto" w:sz="4" w:space="0"/>
                        </w:tcBorders>
                        <w:vAlign w:val="center"/>
                      </w:tcPr>
                      <w:p w14:paraId="439DCF56">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1.0%</w:t>
                        </w:r>
                      </w:p>
                    </w:tc>
                  </w:tr>
                  <w:tr w14:paraId="65A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3B62C6F0">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100~500之间部分</w:t>
                        </w:r>
                      </w:p>
                    </w:tc>
                    <w:tc>
                      <w:tcPr>
                        <w:tcW w:w="1134" w:type="dxa"/>
                        <w:tcBorders>
                          <w:left w:val="single" w:color="auto" w:sz="4" w:space="0"/>
                        </w:tcBorders>
                        <w:vAlign w:val="center"/>
                      </w:tcPr>
                      <w:p w14:paraId="32D5A7AA">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1.1%</w:t>
                        </w:r>
                      </w:p>
                    </w:tc>
                    <w:tc>
                      <w:tcPr>
                        <w:tcW w:w="1134" w:type="dxa"/>
                        <w:tcBorders>
                          <w:left w:val="single" w:color="auto" w:sz="4" w:space="0"/>
                        </w:tcBorders>
                        <w:vAlign w:val="center"/>
                      </w:tcPr>
                      <w:p w14:paraId="15128E32">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49F5E32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0.7%</w:t>
                        </w:r>
                      </w:p>
                    </w:tc>
                  </w:tr>
                  <w:tr w14:paraId="3FDC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2257C492">
                        <w:pPr>
                          <w:spacing w:line="276" w:lineRule="auto"/>
                          <w:rPr>
                            <w:rFonts w:hint="eastAsia" w:ascii="宋体" w:hAnsi="宋体"/>
                            <w:snapToGrid w:val="0"/>
                            <w:color w:val="auto"/>
                            <w:kern w:val="28"/>
                            <w:sz w:val="24"/>
                          </w:rPr>
                        </w:pPr>
                        <w:r>
                          <w:rPr>
                            <w:rFonts w:hint="eastAsia" w:ascii="宋体" w:hAnsi="宋体"/>
                            <w:snapToGrid w:val="0"/>
                            <w:color w:val="auto"/>
                            <w:kern w:val="28"/>
                            <w:sz w:val="24"/>
                          </w:rPr>
                          <w:t>500-1000之间部分</w:t>
                        </w:r>
                      </w:p>
                    </w:tc>
                    <w:tc>
                      <w:tcPr>
                        <w:tcW w:w="1134" w:type="dxa"/>
                        <w:tcBorders>
                          <w:left w:val="single" w:color="auto" w:sz="4" w:space="0"/>
                        </w:tcBorders>
                        <w:vAlign w:val="center"/>
                      </w:tcPr>
                      <w:p w14:paraId="54CF1751">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0.8%</w:t>
                        </w:r>
                      </w:p>
                    </w:tc>
                    <w:tc>
                      <w:tcPr>
                        <w:tcW w:w="1134" w:type="dxa"/>
                        <w:tcBorders>
                          <w:left w:val="single" w:color="auto" w:sz="4" w:space="0"/>
                        </w:tcBorders>
                        <w:vAlign w:val="center"/>
                      </w:tcPr>
                      <w:p w14:paraId="3E2CB557">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0.45%</w:t>
                        </w:r>
                      </w:p>
                    </w:tc>
                    <w:tc>
                      <w:tcPr>
                        <w:tcW w:w="1134" w:type="dxa"/>
                        <w:tcBorders>
                          <w:left w:val="single" w:color="auto" w:sz="4" w:space="0"/>
                        </w:tcBorders>
                        <w:vAlign w:val="center"/>
                      </w:tcPr>
                      <w:p w14:paraId="1BDEB11F">
                        <w:pPr>
                          <w:spacing w:line="276" w:lineRule="auto"/>
                          <w:jc w:val="center"/>
                          <w:rPr>
                            <w:rFonts w:hint="eastAsia" w:ascii="宋体" w:hAnsi="宋体"/>
                            <w:snapToGrid w:val="0"/>
                            <w:color w:val="auto"/>
                            <w:kern w:val="28"/>
                            <w:sz w:val="24"/>
                          </w:rPr>
                        </w:pPr>
                        <w:r>
                          <w:rPr>
                            <w:rFonts w:hint="eastAsia" w:ascii="宋体" w:hAnsi="宋体"/>
                            <w:snapToGrid w:val="0"/>
                            <w:color w:val="auto"/>
                            <w:kern w:val="28"/>
                            <w:sz w:val="24"/>
                          </w:rPr>
                          <w:t>0.55%</w:t>
                        </w:r>
                      </w:p>
                    </w:tc>
                  </w:tr>
                </w:tbl>
                <w:p w14:paraId="1DEDB2C4">
                  <w:pPr>
                    <w:spacing w:line="276" w:lineRule="auto"/>
                    <w:rPr>
                      <w:rFonts w:hint="eastAsia" w:ascii="宋体" w:hAnsi="宋体"/>
                      <w:snapToGrid w:val="0"/>
                      <w:color w:val="auto"/>
                      <w:kern w:val="28"/>
                      <w:sz w:val="24"/>
                    </w:rPr>
                  </w:pP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2.结算方式及时间为：中标（成交）供应商在领取中标（成交）通知书时向受托人浙江省成套招标代理有限公司支付。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cs="宋体"/>
                <w:b/>
                <w:color w:val="auto"/>
                <w:sz w:val="24"/>
                <w:highlight w:val="none"/>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1名</w:t>
            </w:r>
            <w:r>
              <w:rPr>
                <w:rFonts w:hint="eastAsia" w:ascii="宋体" w:hAnsi="宋体" w:cs="宋体"/>
                <w:color w:val="auto"/>
                <w:kern w:val="0"/>
                <w:sz w:val="24"/>
                <w:highlight w:val="none"/>
                <w:lang w:val="en"/>
              </w:rPr>
              <w:t>。</w:t>
            </w:r>
          </w:p>
        </w:tc>
      </w:tr>
      <w:bookmarkEnd w:id="10"/>
    </w:tbl>
    <w:p w14:paraId="6C278E9F">
      <w:pPr>
        <w:adjustRightInd/>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982CB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EAA53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left="0" w:leftChars="0"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left="0" w:leftChars="0" w:firstLine="420" w:firstLineChars="175"/>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left="0" w:leftChars="0"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left="0" w:leftChars="0"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leftChars="0" w:firstLine="420" w:firstLineChars="175"/>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left="0" w:leftChars="0"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FB67976">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E31A4B8">
      <w:pPr>
        <w:snapToGrid w:val="0"/>
        <w:spacing w:line="360" w:lineRule="auto"/>
        <w:ind w:firstLine="422" w:firstLineChars="175"/>
        <w:rPr>
          <w:rFonts w:hint="eastAsia" w:ascii="宋体" w:hAnsi="宋体" w:cs="仿宋"/>
          <w:b/>
          <w:bCs/>
          <w:color w:val="auto"/>
          <w:sz w:val="24"/>
          <w:highlight w:val="none"/>
        </w:rPr>
      </w:pPr>
      <w:r>
        <w:rPr>
          <w:rFonts w:hint="eastAsia" w:ascii="宋体" w:hAnsi="宋体" w:cs="仿宋"/>
          <w:b/>
          <w:bCs/>
          <w:color w:val="auto"/>
          <w:sz w:val="24"/>
          <w:highlight w:val="none"/>
        </w:rPr>
        <w:t>4. 询问、质疑、投诉、补偿救济</w:t>
      </w:r>
    </w:p>
    <w:p w14:paraId="1D7BB025">
      <w:pPr>
        <w:pStyle w:val="891"/>
        <w:shd w:val="clear" w:color="auto" w:fill="FFFFFF"/>
        <w:adjustRightInd w:val="0"/>
        <w:snapToGrid w:val="0"/>
        <w:spacing w:before="0" w:beforeAutospacing="0" w:after="0" w:afterAutospacing="0" w:line="360" w:lineRule="auto"/>
        <w:ind w:firstLine="420"/>
        <w:contextualSpacing/>
        <w:rPr>
          <w:rFonts w:hint="eastAsia"/>
          <w:color w:val="auto"/>
          <w:highlight w:val="none"/>
          <w:lang w:val="zh-CN"/>
        </w:rPr>
      </w:pPr>
      <w:r>
        <w:rPr>
          <w:rFonts w:hint="eastAsia"/>
          <w:color w:val="auto"/>
          <w:highlight w:val="none"/>
          <w:lang w:val="zh-CN"/>
        </w:rPr>
        <w:t>4.1在线询问、质疑、投诉</w:t>
      </w:r>
    </w:p>
    <w:p w14:paraId="0747F10C">
      <w:pPr>
        <w:pStyle w:val="891"/>
        <w:shd w:val="clear" w:color="auto" w:fill="FFFFFF"/>
        <w:adjustRightInd w:val="0"/>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5"/>
        <w:spacing w:line="360" w:lineRule="auto"/>
        <w:ind w:firstLine="420" w:firstLineChars="175"/>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5"/>
        <w:spacing w:line="360" w:lineRule="auto"/>
        <w:ind w:firstLine="420" w:firstLineChars="175"/>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0CDCBF2">
      <w:pPr>
        <w:pStyle w:val="5"/>
        <w:spacing w:line="360" w:lineRule="auto"/>
        <w:ind w:firstLine="420" w:firstLineChars="175"/>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5"/>
        <w:spacing w:line="360" w:lineRule="auto"/>
        <w:ind w:left="477" w:leftChars="200" w:hanging="57" w:hangingChars="24"/>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C4190B6">
      <w:pPr>
        <w:pStyle w:val="35"/>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5"/>
        <w:spacing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5"/>
        <w:spacing w:line="360" w:lineRule="auto"/>
        <w:ind w:left="477" w:leftChars="200" w:hanging="57" w:hangingChars="24"/>
        <w:rPr>
          <w:rFonts w:hint="eastAsia" w:hAnsi="宋体" w:cs="宋体"/>
          <w:color w:val="auto"/>
          <w:sz w:val="24"/>
          <w:highlight w:val="none"/>
          <w:lang w:val="zh-CN"/>
        </w:rPr>
      </w:pPr>
      <w:r>
        <w:rPr>
          <w:rFonts w:hint="eastAsia" w:hAnsi="宋体" w:cs="宋体"/>
          <w:color w:val="auto"/>
          <w:sz w:val="24"/>
          <w:highlight w:val="none"/>
          <w:lang w:val="zh-CN"/>
        </w:rPr>
        <w:t>4.3.3.1供应商的姓名或者名称、地址、邮编、联系人及联系电话；</w:t>
      </w:r>
    </w:p>
    <w:p w14:paraId="69285E85">
      <w:pPr>
        <w:pStyle w:val="35"/>
        <w:spacing w:line="360" w:lineRule="auto"/>
        <w:ind w:left="477" w:leftChars="200" w:hanging="57" w:hangingChars="24"/>
        <w:rPr>
          <w:rFonts w:hint="eastAsia" w:hAnsi="宋体" w:cs="宋体"/>
          <w:color w:val="auto"/>
          <w:sz w:val="24"/>
          <w:highlight w:val="none"/>
          <w:lang w:val="zh-CN"/>
        </w:rPr>
      </w:pPr>
      <w:r>
        <w:rPr>
          <w:rFonts w:hint="eastAsia" w:hAnsi="宋体" w:cs="宋体"/>
          <w:color w:val="auto"/>
          <w:sz w:val="24"/>
          <w:highlight w:val="none"/>
          <w:lang w:val="zh-CN"/>
        </w:rPr>
        <w:t>4.3.3.2质疑项目的名称、编号；</w:t>
      </w:r>
    </w:p>
    <w:p w14:paraId="2E311443">
      <w:pPr>
        <w:pStyle w:val="35"/>
        <w:adjustRightInd/>
        <w:spacing w:line="360" w:lineRule="auto"/>
        <w:ind w:left="477" w:leftChars="200" w:hanging="57" w:hangingChars="24"/>
        <w:rPr>
          <w:rFonts w:hint="eastAsia" w:hAnsi="宋体" w:cs="宋体"/>
          <w:color w:val="auto"/>
          <w:sz w:val="24"/>
          <w:highlight w:val="none"/>
          <w:lang w:val="zh-CN"/>
        </w:rPr>
      </w:pPr>
      <w:r>
        <w:rPr>
          <w:rFonts w:hint="eastAsia" w:hAnsi="宋体" w:cs="宋体"/>
          <w:color w:val="auto"/>
          <w:sz w:val="24"/>
          <w:highlight w:val="none"/>
          <w:lang w:val="zh-CN"/>
        </w:rPr>
        <w:t>4.3.3.3具体、明确的质疑事项和与质疑事项相关的请求；</w:t>
      </w:r>
    </w:p>
    <w:p w14:paraId="77942BBA">
      <w:pPr>
        <w:pStyle w:val="35"/>
        <w:adjustRightInd/>
        <w:spacing w:line="360" w:lineRule="auto"/>
        <w:ind w:left="477" w:leftChars="200" w:hanging="57" w:hangingChars="24"/>
        <w:rPr>
          <w:rFonts w:hint="eastAsia" w:hAnsi="宋体" w:cs="宋体"/>
          <w:color w:val="auto"/>
          <w:sz w:val="24"/>
          <w:highlight w:val="none"/>
          <w:lang w:val="zh-CN"/>
        </w:rPr>
      </w:pPr>
      <w:r>
        <w:rPr>
          <w:rFonts w:hint="eastAsia" w:hAnsi="宋体" w:cs="宋体"/>
          <w:color w:val="auto"/>
          <w:sz w:val="24"/>
          <w:highlight w:val="none"/>
          <w:lang w:val="zh-CN"/>
        </w:rPr>
        <w:t>4.3.3.4事实依据；</w:t>
      </w:r>
    </w:p>
    <w:p w14:paraId="0C4A23D5">
      <w:pPr>
        <w:pStyle w:val="35"/>
        <w:adjustRightInd/>
        <w:spacing w:line="360" w:lineRule="auto"/>
        <w:ind w:left="477" w:leftChars="200" w:hanging="57" w:hangingChars="24"/>
        <w:rPr>
          <w:rFonts w:hint="eastAsia" w:hAnsi="宋体" w:cs="宋体"/>
          <w:color w:val="auto"/>
          <w:sz w:val="24"/>
          <w:highlight w:val="none"/>
          <w:lang w:val="zh-CN"/>
        </w:rPr>
      </w:pPr>
      <w:r>
        <w:rPr>
          <w:rFonts w:hint="eastAsia" w:hAnsi="宋体" w:cs="宋体"/>
          <w:color w:val="auto"/>
          <w:sz w:val="24"/>
          <w:highlight w:val="none"/>
          <w:lang w:val="zh-CN"/>
        </w:rPr>
        <w:t>4.3.3.5必要的法律依据；</w:t>
      </w:r>
    </w:p>
    <w:p w14:paraId="2731B1F5">
      <w:pPr>
        <w:pStyle w:val="35"/>
        <w:adjustRightInd/>
        <w:spacing w:line="360" w:lineRule="auto"/>
        <w:ind w:left="477" w:leftChars="200" w:hanging="57" w:hangingChars="24"/>
        <w:rPr>
          <w:rFonts w:hint="eastAsia" w:hAnsi="宋体" w:cs="宋体"/>
          <w:color w:val="auto"/>
          <w:kern w:val="0"/>
          <w:sz w:val="24"/>
          <w:highlight w:val="none"/>
          <w:lang w:val="zh-CN"/>
        </w:rPr>
      </w:pPr>
      <w:r>
        <w:rPr>
          <w:rFonts w:hint="eastAsia" w:hAnsi="宋体" w:cs="宋体"/>
          <w:color w:val="auto"/>
          <w:sz w:val="24"/>
          <w:highlight w:val="none"/>
          <w:lang w:val="zh-CN"/>
        </w:rPr>
        <w:t>4.3.3.6提出质疑的日期。</w:t>
      </w:r>
    </w:p>
    <w:p w14:paraId="0ED8DD51">
      <w:pPr>
        <w:pStyle w:val="35"/>
        <w:snapToGrid w:val="0"/>
        <w:spacing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5"/>
        <w:snapToGrid w:val="0"/>
        <w:spacing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1"/>
        <w:shd w:val="clear" w:color="auto" w:fill="FFFFFF"/>
        <w:adjustRightInd w:val="0"/>
        <w:snapToGrid w:val="0"/>
        <w:spacing w:before="0" w:beforeAutospacing="0" w:after="0" w:afterAutospacing="0" w:line="360" w:lineRule="auto"/>
        <w:ind w:firstLine="420"/>
        <w:contextualSpacing/>
        <w:rPr>
          <w:rFonts w:hint="eastAsia"/>
          <w:color w:val="auto"/>
          <w:highlight w:val="none"/>
        </w:rPr>
      </w:pPr>
      <w:r>
        <w:rPr>
          <w:rFonts w:hint="eastAsia"/>
          <w:color w:val="auto"/>
          <w:highlight w:val="none"/>
        </w:rPr>
        <w:t>4.3.4对同一采购程序环节的质疑，供应商须在法定质疑期内一次性提出。</w:t>
      </w:r>
    </w:p>
    <w:p w14:paraId="023593C0">
      <w:pPr>
        <w:pStyle w:val="891"/>
        <w:shd w:val="clear" w:color="auto" w:fill="FFFFFF"/>
        <w:adjustRightInd w:val="0"/>
        <w:snapToGrid w:val="0"/>
        <w:spacing w:before="0" w:beforeAutospacing="0" w:after="0" w:afterAutospacing="0" w:line="360" w:lineRule="auto"/>
        <w:ind w:firstLine="42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623C02">
      <w:pPr>
        <w:pStyle w:val="891"/>
        <w:shd w:val="clear" w:color="auto" w:fill="FFFFFF"/>
        <w:snapToGrid w:val="0"/>
        <w:spacing w:after="240" w:afterAutospacing="0" w:line="360" w:lineRule="auto"/>
        <w:ind w:firstLine="42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1"/>
        <w:shd w:val="clear" w:color="auto" w:fill="FFFFFF"/>
        <w:snapToGrid w:val="0"/>
        <w:spacing w:after="240" w:afterAutospacing="0" w:line="360" w:lineRule="auto"/>
        <w:ind w:firstLine="420" w:firstLineChars="175"/>
        <w:contextualSpacing/>
        <w:rPr>
          <w:rFonts w:hint="eastAsia"/>
          <w:color w:val="auto"/>
          <w:highlight w:val="none"/>
          <w:lang w:val="zh-CN"/>
        </w:rPr>
      </w:pPr>
      <w:r>
        <w:rPr>
          <w:rFonts w:hint="eastAsia"/>
          <w:color w:val="auto"/>
          <w:highlight w:val="none"/>
          <w:lang w:val="zh-CN"/>
        </w:rPr>
        <w:t>4.4供应商投诉</w:t>
      </w:r>
    </w:p>
    <w:p w14:paraId="7696750E">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BF3C560">
      <w:pPr>
        <w:pStyle w:val="891"/>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1"/>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75E18946">
      <w:pPr>
        <w:pStyle w:val="891"/>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7E3954A2">
      <w:pPr>
        <w:pStyle w:val="891"/>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E89BBC5">
      <w:pPr>
        <w:snapToGrid w:val="0"/>
        <w:spacing w:line="360" w:lineRule="auto"/>
        <w:ind w:firstLine="420" w:firstLineChars="175"/>
        <w:rPr>
          <w:rFonts w:hint="eastAsia" w:ascii="宋体" w:hAnsi="宋体" w:cs="仿宋"/>
          <w:color w:val="auto"/>
          <w:sz w:val="24"/>
          <w:highlight w:val="none"/>
        </w:rPr>
      </w:pPr>
      <w:r>
        <w:rPr>
          <w:rFonts w:hint="eastAsia" w:ascii="宋体" w:hAnsi="宋体" w:cs="仿宋"/>
          <w:color w:val="auto"/>
          <w:sz w:val="24"/>
          <w:highlight w:val="none"/>
        </w:rPr>
        <w:t>4.5 补偿救济</w:t>
      </w:r>
    </w:p>
    <w:p w14:paraId="685252F0">
      <w:pPr>
        <w:shd w:val="clear" w:color="auto" w:fill="FFFFFF"/>
        <w:snapToGrid w:val="0"/>
        <w:spacing w:line="360" w:lineRule="auto"/>
        <w:ind w:firstLine="420" w:firstLineChars="175"/>
        <w:contextualSpacing/>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3B68FBC">
      <w:pPr>
        <w:pStyle w:val="891"/>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6F08DC4E">
      <w:pPr>
        <w:pStyle w:val="134"/>
        <w:snapToGrid w:val="0"/>
        <w:spacing w:before="0"/>
        <w:ind w:firstLine="360"/>
        <w:rPr>
          <w:rFonts w:hint="eastAsia" w:ascii="宋体" w:hAnsi="宋体" w:cs="宋体"/>
          <w:color w:val="auto"/>
          <w:sz w:val="18"/>
          <w:szCs w:val="18"/>
          <w:highlight w:val="none"/>
        </w:rPr>
      </w:pPr>
    </w:p>
    <w:p w14:paraId="0EDAF3DB">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DAC8A36">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D81D85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03A6E32B">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1B53DBE">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5"/>
        <w:spacing w:line="360" w:lineRule="auto"/>
        <w:ind w:firstLine="420" w:firstLineChars="175"/>
        <w:rPr>
          <w:rFonts w:hint="eastAsia" w:hAnsi="宋体" w:cs="宋体"/>
          <w:color w:val="auto"/>
          <w:sz w:val="24"/>
          <w:highlight w:val="none"/>
        </w:rPr>
      </w:pPr>
      <w:r>
        <w:rPr>
          <w:rFonts w:hint="eastAsia" w:hAnsi="宋体" w:cs="宋体"/>
          <w:color w:val="auto"/>
          <w:sz w:val="24"/>
          <w:highlight w:val="none"/>
        </w:rPr>
        <w:t>本项目不需缴纳投标保证金。</w:t>
      </w:r>
    </w:p>
    <w:p w14:paraId="3654450A">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p>
    <w:p w14:paraId="6AAC8A91">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E17E3DF">
      <w:pPr>
        <w:snapToGrid w:val="0"/>
        <w:spacing w:line="360" w:lineRule="auto"/>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11.3.2中小企业声明函。（如果有）</w:t>
      </w:r>
    </w:p>
    <w:p w14:paraId="647D6D23">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注：以上投标文件的相关要求如下：</w:t>
      </w:r>
    </w:p>
    <w:p w14:paraId="2794FB1D">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cs="宋体"/>
          <w:b/>
          <w:color w:val="auto"/>
          <w:sz w:val="24"/>
          <w:highlight w:val="none"/>
          <w:shd w:val="clear" w:color="auto" w:fill="FFFFFF"/>
        </w:rPr>
        <w:t>投标人应对投标文件中材料的真实性、合法性负责。</w:t>
      </w:r>
    </w:p>
    <w:p w14:paraId="25DE9D2F">
      <w:pPr>
        <w:pStyle w:val="134"/>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4"/>
        <w:snapToGrid w:val="0"/>
        <w:spacing w:before="0"/>
        <w:ind w:firstLine="422" w:firstLineChars="175"/>
        <w:rPr>
          <w:rFonts w:hint="eastAsia"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4"/>
        <w:snapToGrid w:val="0"/>
        <w:spacing w:before="0"/>
        <w:ind w:firstLine="420" w:firstLineChars="175"/>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4"/>
        <w:snapToGrid w:val="0"/>
        <w:spacing w:before="0"/>
        <w:ind w:firstLine="420" w:firstLineChars="175"/>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4"/>
        <w:snapToGrid w:val="0"/>
        <w:spacing w:before="0"/>
        <w:ind w:firstLine="420" w:firstLineChars="175"/>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4"/>
        <w:snapToGrid w:val="0"/>
        <w:spacing w:before="0"/>
        <w:ind w:firstLine="420" w:firstLineChars="175"/>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233F397">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5"/>
        <w:spacing w:line="360" w:lineRule="auto"/>
        <w:ind w:firstLine="420" w:firstLineChars="175"/>
        <w:rPr>
          <w:rFonts w:hint="eastAsia"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但不强制投标人提交备份投标文件。</w:t>
      </w:r>
    </w:p>
    <w:p w14:paraId="1740AF5C">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5"/>
        <w:spacing w:line="360" w:lineRule="auto"/>
        <w:ind w:firstLine="422" w:firstLineChars="175"/>
        <w:rPr>
          <w:rFonts w:hint="eastAsia"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0565E87">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A94791A">
      <w:pPr>
        <w:pStyle w:val="35"/>
        <w:spacing w:line="360" w:lineRule="auto"/>
        <w:ind w:firstLine="422" w:firstLineChars="175"/>
        <w:rPr>
          <w:rFonts w:hint="eastAsia"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007BE1D1">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26"/>
        <w:spacing w:line="360" w:lineRule="auto"/>
        <w:ind w:firstLine="420" w:firstLineChars="175"/>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66CAC4D">
      <w:pPr>
        <w:pStyle w:val="13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hint="eastAsia"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4"/>
        <w:spacing w:before="0"/>
        <w:ind w:firstLine="420" w:firstLineChars="175"/>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4"/>
        <w:spacing w:before="0"/>
        <w:ind w:firstLine="420" w:firstLineChars="175"/>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7552CA1">
      <w:pPr>
        <w:pStyle w:val="134"/>
        <w:spacing w:before="0"/>
        <w:ind w:firstLine="643"/>
        <w:rPr>
          <w:rFonts w:hint="eastAsia" w:ascii="宋体" w:hAnsi="宋体" w:cs="宋体"/>
          <w:b/>
          <w:color w:val="auto"/>
          <w:sz w:val="32"/>
          <w:highlight w:val="none"/>
        </w:rPr>
      </w:pPr>
    </w:p>
    <w:p w14:paraId="3AA368F6">
      <w:pPr>
        <w:pStyle w:val="134"/>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9"/>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9"/>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794DBC20">
      <w:pPr>
        <w:pStyle w:val="559"/>
        <w:snapToGrid w:val="0"/>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2084C16D">
      <w:pPr>
        <w:pStyle w:val="559"/>
        <w:snapToGrid w:val="0"/>
        <w:spacing w:before="0" w:line="360" w:lineRule="auto"/>
        <w:ind w:left="0" w:firstLine="420" w:firstLineChars="175"/>
        <w:contextualSpacing/>
        <w:rPr>
          <w:rFonts w:hint="eastAsia"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7C106C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048E081">
      <w:pPr>
        <w:pStyle w:val="13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BF5D8C6">
      <w:pPr>
        <w:pStyle w:val="13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A85B934">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5F34AA0E">
      <w:pPr>
        <w:pStyle w:val="134"/>
        <w:snapToGrid w:val="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0183F54">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4"/>
        <w:spacing w:before="0"/>
        <w:ind w:firstLine="0" w:firstLineChars="0"/>
        <w:rPr>
          <w:rFonts w:hint="eastAsia" w:ascii="宋体" w:hAnsi="宋体" w:cs="宋体"/>
          <w:color w:val="auto"/>
          <w:kern w:val="0"/>
          <w:szCs w:val="24"/>
          <w:highlight w:val="none"/>
        </w:rPr>
      </w:pPr>
    </w:p>
    <w:p w14:paraId="43983ABD">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hint="eastAsia"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hint="eastAsia" w:ascii="宋体" w:hAnsi="宋体" w:cs="宋体"/>
          <w:b/>
          <w:color w:val="auto"/>
          <w:sz w:val="24"/>
          <w:highlight w:val="none"/>
        </w:rPr>
      </w:pPr>
    </w:p>
    <w:p w14:paraId="75F0F1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6E3FC35D">
      <w:pPr>
        <w:pStyle w:val="13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96DEE3E">
      <w:pPr>
        <w:pStyle w:val="13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0689D4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4"/>
        <w:snapToGrid w:val="0"/>
        <w:spacing w:before="0"/>
        <w:ind w:firstLine="482"/>
        <w:rPr>
          <w:rStyle w:val="80"/>
          <w:b/>
          <w:color w:val="auto"/>
          <w:highlight w:val="none"/>
        </w:rPr>
      </w:pPr>
      <w:r>
        <w:rPr>
          <w:rFonts w:hint="eastAsia" w:ascii="宋体" w:hAnsi="宋体" w:cs="宋体"/>
          <w:b/>
          <w:color w:val="auto"/>
          <w:szCs w:val="24"/>
          <w:highlight w:val="none"/>
        </w:rPr>
        <w:t>23.4 由于中标、成交供应商原因导致重新采购的，应当承担支付代理费和专家评审费等费用在内的赔偿责任。</w:t>
      </w:r>
    </w:p>
    <w:p w14:paraId="65AC42BD">
      <w:pPr>
        <w:pStyle w:val="83"/>
        <w:rPr>
          <w:color w:val="auto"/>
          <w:highlight w:val="none"/>
        </w:rPr>
      </w:pPr>
    </w:p>
    <w:p w14:paraId="42742A92">
      <w:pPr>
        <w:snapToGrid w:val="0"/>
        <w:spacing w:line="360" w:lineRule="auto"/>
        <w:ind w:left="120" w:leftChars="57" w:firstLine="482" w:firstLineChars="150"/>
        <w:jc w:val="center"/>
        <w:rPr>
          <w:rFonts w:hint="eastAsia" w:ascii="宋体" w:hAnsi="宋体" w:cs="宋体"/>
          <w:b/>
          <w:color w:val="auto"/>
          <w:sz w:val="32"/>
          <w:highlight w:val="none"/>
        </w:rPr>
      </w:pPr>
    </w:p>
    <w:p w14:paraId="67C5C05D">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3829D6">
      <w:pPr>
        <w:pStyle w:val="134"/>
        <w:snapToGrid w:val="0"/>
        <w:spacing w:before="0"/>
        <w:ind w:firstLine="420" w:firstLineChars="175"/>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4"/>
        <w:snapToGrid w:val="0"/>
        <w:spacing w:before="0"/>
        <w:ind w:firstLine="420" w:firstLineChars="175"/>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26"/>
        <w:snapToGrid w:val="0"/>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3"/>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1C03E540">
      <w:pPr>
        <w:pStyle w:val="3"/>
        <w:rPr>
          <w:color w:val="auto"/>
          <w:highlight w:val="none"/>
        </w:rPr>
      </w:pPr>
      <w:r>
        <w:rPr>
          <w:rFonts w:ascii="宋体" w:hAnsi="宋体" w:eastAsia="宋体"/>
          <w:color w:val="auto"/>
          <w:sz w:val="24"/>
          <w:highlight w:val="none"/>
          <w:lang w:val="en-US"/>
        </w:rPr>
        <w:t>27.预付款</w:t>
      </w:r>
    </w:p>
    <w:p w14:paraId="37500ECD">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olor w:val="auto"/>
          <w:sz w:val="24"/>
          <w:highlight w:val="none"/>
        </w:rPr>
        <w:t>政</w:t>
      </w:r>
      <w:r>
        <w:rPr>
          <w:rFonts w:hint="eastAsia" w:ascii="宋体" w:hAnsi="宋体"/>
          <w:color w:val="auto"/>
          <w:sz w:val="24"/>
          <w:highlight w:val="none"/>
        </w:rPr>
        <w:t>采云金融专线95763</w:t>
      </w:r>
      <w:r>
        <w:rPr>
          <w:rFonts w:ascii="宋体" w:hAnsi="宋体"/>
          <w:color w:val="auto"/>
          <w:sz w:val="24"/>
          <w:highlight w:val="none"/>
        </w:rPr>
        <w:t>。</w:t>
      </w:r>
    </w:p>
    <w:p w14:paraId="40990696">
      <w:pPr>
        <w:rPr>
          <w:color w:val="auto"/>
          <w:highlight w:val="none"/>
        </w:rPr>
      </w:pPr>
    </w:p>
    <w:p w14:paraId="2AD2D1F6">
      <w:pPr>
        <w:snapToGrid w:val="0"/>
        <w:spacing w:line="360" w:lineRule="auto"/>
        <w:ind w:firstLine="3357" w:firstLineChars="1045"/>
        <w:rPr>
          <w:rFonts w:hint="eastAsia" w:ascii="宋体" w:hAnsi="宋体" w:cs="宋体"/>
          <w:b/>
          <w:color w:val="auto"/>
          <w:sz w:val="32"/>
          <w:highlight w:val="none"/>
        </w:rPr>
      </w:pPr>
    </w:p>
    <w:p w14:paraId="385F7ECD">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4"/>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B39C8CC">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4"/>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4"/>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hint="eastAsia" w:ascii="宋体" w:hAnsi="宋体" w:cs="宋体"/>
          <w:color w:val="auto"/>
          <w:sz w:val="24"/>
          <w:highlight w:val="none"/>
        </w:rPr>
      </w:pPr>
    </w:p>
    <w:p w14:paraId="21CB6908">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32DED960">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6"/>
      <w:bookmarkStart w:id="17" w:name="_Hlt75236101"/>
      <w:bookmarkEnd w:id="17"/>
      <w:bookmarkStart w:id="18" w:name="_Hlt74729768"/>
      <w:bookmarkEnd w:id="18"/>
      <w:bookmarkStart w:id="19" w:name="_Hlt75236011"/>
      <w:bookmarkEnd w:id="19"/>
      <w:bookmarkStart w:id="20" w:name="_Hlt68403820"/>
      <w:bookmarkEnd w:id="20"/>
      <w:bookmarkStart w:id="21" w:name="_Hlt74714665"/>
      <w:bookmarkEnd w:id="21"/>
      <w:bookmarkStart w:id="22" w:name="_Hlt75236290"/>
      <w:bookmarkEnd w:id="22"/>
      <w:bookmarkStart w:id="23" w:name="_Hlt68072990"/>
      <w:bookmarkEnd w:id="23"/>
      <w:bookmarkStart w:id="24" w:name="_Hlt68073093"/>
      <w:bookmarkEnd w:id="24"/>
      <w:bookmarkStart w:id="25" w:name="_Hlt74730295"/>
      <w:bookmarkEnd w:id="25"/>
      <w:bookmarkStart w:id="26" w:name="_Hlt68072998"/>
      <w:bookmarkEnd w:id="26"/>
      <w:bookmarkStart w:id="27" w:name="_Hlt68057669"/>
      <w:bookmarkEnd w:id="27"/>
      <w:bookmarkStart w:id="28" w:name="_Hlt74707468"/>
      <w:bookmarkEnd w:id="28"/>
    </w:p>
    <w:p w14:paraId="2DF98B3E">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CDE4D29">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2272599">
      <w:pPr>
        <w:spacing w:line="360" w:lineRule="auto"/>
        <w:jc w:val="center"/>
        <w:outlineLvl w:val="0"/>
        <w:rPr>
          <w:rFonts w:hint="eastAsia"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40C09A6A">
      <w:pPr>
        <w:pStyle w:val="2"/>
        <w:keepNext w:val="0"/>
        <w:keepLines w:val="0"/>
        <w:tabs>
          <w:tab w:val="clear" w:pos="432"/>
        </w:tabs>
        <w:snapToGrid w:val="0"/>
        <w:spacing w:before="0" w:after="0" w:line="360" w:lineRule="auto"/>
        <w:ind w:left="0"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一、项目概况</w:t>
      </w:r>
    </w:p>
    <w:p w14:paraId="2ED550C0">
      <w:pPr>
        <w:pStyle w:val="2"/>
        <w:keepNext w:val="0"/>
        <w:keepLines w:val="0"/>
        <w:tabs>
          <w:tab w:val="clear" w:pos="432"/>
        </w:tabs>
        <w:snapToGrid w:val="0"/>
        <w:spacing w:before="0" w:after="0"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西湖区图书馆采购智慧书架视觉盘点系统数量/单位:视觉盘点系统/1套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采购目标:提升图书馆服务，满足读者需求需满足的质量、服务、安全、符合国家质量要求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相关安全要求。</w:t>
      </w:r>
    </w:p>
    <w:p w14:paraId="16F9804A">
      <w:pPr>
        <w:pStyle w:val="2"/>
        <w:keepNext w:val="0"/>
        <w:keepLines w:val="0"/>
        <w:tabs>
          <w:tab w:val="clear" w:pos="432"/>
        </w:tabs>
        <w:snapToGrid w:val="0"/>
        <w:spacing w:before="0" w:after="0" w:line="360" w:lineRule="auto"/>
        <w:ind w:left="0" w:firstLine="0"/>
        <w:rPr>
          <w:rFonts w:hint="eastAsia" w:ascii="宋体" w:hAnsi="宋体" w:cs="宋体"/>
          <w:color w:val="auto"/>
          <w:sz w:val="24"/>
          <w:szCs w:val="24"/>
          <w:highlight w:val="none"/>
        </w:rPr>
      </w:pPr>
      <w:r>
        <w:rPr>
          <w:rFonts w:hint="eastAsia" w:ascii="宋体" w:hAnsi="宋体" w:cs="宋体"/>
          <w:color w:val="auto"/>
          <w:sz w:val="24"/>
          <w:szCs w:val="24"/>
          <w:highlight w:val="none"/>
        </w:rPr>
        <w:t>二、采购清单</w:t>
      </w:r>
    </w:p>
    <w:tbl>
      <w:tblPr>
        <w:tblStyle w:val="64"/>
        <w:tblW w:w="4999" w:type="pct"/>
        <w:tblInd w:w="0" w:type="dxa"/>
        <w:tblLayout w:type="fixed"/>
        <w:tblCellMar>
          <w:top w:w="0" w:type="dxa"/>
          <w:left w:w="108" w:type="dxa"/>
          <w:bottom w:w="0" w:type="dxa"/>
          <w:right w:w="108" w:type="dxa"/>
        </w:tblCellMar>
      </w:tblPr>
      <w:tblGrid>
        <w:gridCol w:w="778"/>
        <w:gridCol w:w="3836"/>
        <w:gridCol w:w="1453"/>
        <w:gridCol w:w="1227"/>
        <w:gridCol w:w="1227"/>
      </w:tblGrid>
      <w:tr w14:paraId="058B5F86">
        <w:tblPrEx>
          <w:tblCellMar>
            <w:top w:w="0" w:type="dxa"/>
            <w:left w:w="108" w:type="dxa"/>
            <w:bottom w:w="0" w:type="dxa"/>
            <w:right w:w="108" w:type="dxa"/>
          </w:tblCellMar>
        </w:tblPrEx>
        <w:trPr>
          <w:trHeight w:val="484"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289D326">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4A969EA5">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设备名称</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（标的名称）</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0046087E">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单位</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4513497F">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6FAA112">
            <w:pPr>
              <w:snapToGrid w:val="0"/>
              <w:spacing w:line="360" w:lineRule="auto"/>
              <w:jc w:val="center"/>
              <w:rPr>
                <w:rFonts w:hint="eastAsia" w:ascii="宋体" w:hAnsi="宋体" w:cs="宋体"/>
                <w:b/>
                <w:bCs/>
                <w:color w:val="auto"/>
                <w:sz w:val="24"/>
                <w:highlight w:val="none"/>
              </w:rPr>
            </w:pPr>
          </w:p>
        </w:tc>
      </w:tr>
      <w:tr w14:paraId="3F5331CE">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5703A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26B227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智慧书架视觉盘点系统</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6EDFAE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F5FD46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633A35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ABFA19F">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744D31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5074E21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高清影像自动采集系统</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2F139EC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1EBFC24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2FA72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82BE825">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233092C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08E1026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读者查询手机端</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6BAE357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E73CA4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6D4336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B611007">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ED6AA7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6FB3CC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馆员图书管理手机端</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1A9FD3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ABD032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196A9B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76D9A54">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36391E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65E4BD3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AI盘点摄像机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0255FA7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55EBB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1AB1535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2D222A00">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463801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6D9A60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摄像机定制支架</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566F1C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F9DE4C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75</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22987D2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1455121">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CC46B9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5F78515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边缘计算服务主机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044F304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8F12E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692BAB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2D42A48E">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36712E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4E0A9D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Web服务主机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448589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44D5AC8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3395BDE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3B2FF9C3">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472D545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0522A02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网络交换机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160A12A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33BC9F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27A677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904517A">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2049511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7016EC2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汇聚层交换机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464AB27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E2EC0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06752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741DFA0A">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43C500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77A2359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图书定位检索机32寸一体机</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24EEF8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ED2C3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6C8AD0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64FD8574">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4A45B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305F1B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手持盘点仪</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4BA8208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BF5EC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09F1D0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28575A78">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4C1B427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19B39AD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国产化数据库</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39DD9F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6CFAC6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45D887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77EA6C01">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0C0292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215BC6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国产化中间件</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581C2E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88AB0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D9DF3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1A5A7B1C">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3AFA34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0D7C42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图书层架标</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64EB2D6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5E39D72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（全馆）</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0000E4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工业</w:t>
            </w:r>
          </w:p>
        </w:tc>
      </w:tr>
      <w:tr w14:paraId="42AAECBB">
        <w:tblPrEx>
          <w:tblCellMar>
            <w:top w:w="0" w:type="dxa"/>
            <w:left w:w="108" w:type="dxa"/>
            <w:bottom w:w="0" w:type="dxa"/>
            <w:right w:w="108" w:type="dxa"/>
          </w:tblCellMar>
        </w:tblPrEx>
        <w:trPr>
          <w:trHeight w:val="590" w:hRule="atLeast"/>
        </w:trPr>
        <w:tc>
          <w:tcPr>
            <w:tcW w:w="456" w:type="pct"/>
            <w:tcBorders>
              <w:top w:val="single" w:color="000000" w:sz="4" w:space="0"/>
              <w:left w:val="single" w:color="000000" w:sz="4" w:space="0"/>
              <w:bottom w:val="single" w:color="000000" w:sz="4" w:space="0"/>
              <w:right w:val="single" w:color="000000" w:sz="4" w:space="0"/>
            </w:tcBorders>
            <w:noWrap/>
            <w:vAlign w:val="center"/>
          </w:tcPr>
          <w:p w14:paraId="2D5CEC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2250" w:type="pct"/>
            <w:tcBorders>
              <w:top w:val="single" w:color="000000" w:sz="4" w:space="0"/>
              <w:left w:val="single" w:color="000000" w:sz="4" w:space="0"/>
              <w:bottom w:val="single" w:color="000000" w:sz="4" w:space="0"/>
              <w:right w:val="single" w:color="000000" w:sz="4" w:space="0"/>
            </w:tcBorders>
            <w:noWrap/>
            <w:vAlign w:val="center"/>
          </w:tcPr>
          <w:p w14:paraId="60EC7F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安装实施（含辅材）</w:t>
            </w:r>
          </w:p>
        </w:tc>
        <w:tc>
          <w:tcPr>
            <w:tcW w:w="852" w:type="pct"/>
            <w:tcBorders>
              <w:top w:val="single" w:color="000000" w:sz="4" w:space="0"/>
              <w:left w:val="single" w:color="000000" w:sz="4" w:space="0"/>
              <w:bottom w:val="single" w:color="000000" w:sz="4" w:space="0"/>
              <w:right w:val="single" w:color="000000" w:sz="4" w:space="0"/>
            </w:tcBorders>
            <w:noWrap/>
            <w:vAlign w:val="center"/>
          </w:tcPr>
          <w:p w14:paraId="6BF257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4B22A36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20" w:type="pct"/>
            <w:tcBorders>
              <w:top w:val="single" w:color="000000" w:sz="4" w:space="0"/>
              <w:left w:val="single" w:color="000000" w:sz="4" w:space="0"/>
              <w:bottom w:val="single" w:color="000000" w:sz="4" w:space="0"/>
              <w:right w:val="single" w:color="000000" w:sz="4" w:space="0"/>
            </w:tcBorders>
            <w:noWrap/>
            <w:vAlign w:val="center"/>
          </w:tcPr>
          <w:p w14:paraId="71C644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r>
    </w:tbl>
    <w:p w14:paraId="40EE8584">
      <w:pPr>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三、具体采购需求</w:t>
      </w:r>
    </w:p>
    <w:tbl>
      <w:tblPr>
        <w:tblStyle w:val="6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97"/>
        <w:gridCol w:w="578"/>
        <w:gridCol w:w="457"/>
        <w:gridCol w:w="6325"/>
      </w:tblGrid>
      <w:tr w14:paraId="6B8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E0661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09" w:type="pct"/>
            <w:vAlign w:val="center"/>
          </w:tcPr>
          <w:p w14:paraId="1CBED88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339" w:type="pct"/>
            <w:vAlign w:val="center"/>
          </w:tcPr>
          <w:p w14:paraId="6085033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68" w:type="pct"/>
            <w:vAlign w:val="center"/>
          </w:tcPr>
          <w:p w14:paraId="69DA195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3713" w:type="pct"/>
            <w:vAlign w:val="center"/>
          </w:tcPr>
          <w:p w14:paraId="6F0B2B2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技术参数</w:t>
            </w:r>
          </w:p>
        </w:tc>
      </w:tr>
      <w:tr w14:paraId="5CF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A461E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09" w:type="pct"/>
            <w:vAlign w:val="center"/>
          </w:tcPr>
          <w:p w14:paraId="022EEE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智慧书架视觉盘点系统</w:t>
            </w:r>
          </w:p>
        </w:tc>
        <w:tc>
          <w:tcPr>
            <w:tcW w:w="339" w:type="pct"/>
            <w:vAlign w:val="center"/>
          </w:tcPr>
          <w:p w14:paraId="5D7CEB5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1C5C4C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tcPr>
          <w:p w14:paraId="6AF2CA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1.图书实时盘点精确到架层；</w:t>
            </w:r>
          </w:p>
          <w:p w14:paraId="7F5DD2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2.在馆图书检索、馆藏位置实时标示；</w:t>
            </w:r>
          </w:p>
          <w:p w14:paraId="4D73DE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★3.具备条码、二维码、数字索书号、OCR、图像多种图书特征识别引擎。提供证明材料（包括但不限于产品官网截图、彩页、功能截图、带CMA标识的检测报告等）。</w:t>
            </w:r>
          </w:p>
          <w:p w14:paraId="713321B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★4.具备高精度图书识别引擎。提供证明材料（包括但不限于产品官网截图、彩页、功能截图、带CMA标识的检测报告等）。</w:t>
            </w:r>
          </w:p>
          <w:p w14:paraId="51A135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★5.采用包含多重图书图像特征匹配识别技术。提供证明材料（包括但不限于产品官网截图、彩页、功能截图、带CMA标识的检测报告等）。</w:t>
            </w:r>
          </w:p>
          <w:p w14:paraId="30812B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★6.采用基于异构计算的视频图像处理加速技术。提供证明材料（包括但不限于产品官网截图、彩页、功能截图、带CMA标识的检测报告等）。</w:t>
            </w:r>
          </w:p>
          <w:p w14:paraId="665D84A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7.支持智能路径规划功能，支持自动智能规划盘点摄像头采集路线。提供证明材料（包括但不限于产品官网截图、彩页、功能截图、带CMA标识的检测报告等）。</w:t>
            </w:r>
          </w:p>
          <w:p w14:paraId="2CB739A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8.支持逐级查看书架盘点详细数据，以虚拟书架形式展示在架图书、出架图书、错架图书、乱序图书的详细信息,图书顺序必须与实际书架上图书顺序一致。 </w:t>
            </w:r>
          </w:p>
          <w:p w14:paraId="0C2BE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9.支持以不同颜色区分错架、乱序图书；并给出错架、乱序图书最少调整算法指引；提供证明材料（包括但不限于产品官网截图、彩页、功能截图、带CMA标识的检测报告等）。</w:t>
            </w:r>
          </w:p>
          <w:p w14:paraId="0A95C95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支持书脊无文字信息图书采用条码作为辅助码，识别率不低于99%（无遮挡）；同时支持书脊有文字信息不需贴辅助码，用OCR识别匹配图书，准确率95%（无遮挡）以上；提供证明材料（包括但不限于产品官网截图、彩页、功能截图、带CMA标识的检测报告等）。</w:t>
            </w:r>
          </w:p>
          <w:p w14:paraId="2F59E3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11.图书拼接准确率不低于99%；图书切分准确率不低于99%;提供证明材料（包括但不限于产品官网截图、彩页、功能截图、带CMA标识的检测报告等）。</w:t>
            </w:r>
          </w:p>
          <w:p w14:paraId="2687D6F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12.支持光照智能识别功能，支持统一调整不同光照强度下图像采集的亮度、锐度统一性。提供证明材料（包括但不限于产品官网截图、彩页、功能截图、带CMA标识的检测报告等）。</w:t>
            </w:r>
          </w:p>
          <w:p w14:paraId="444EFD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具备智能盘点策略优化功能，提升盘点效率，降低前端设备机械损耗。支持AI摄像机智能感知架上图书局部发生变化，并只有变化相关的摄像机触发盘点动作，能在5分钟之内识别出拿出或放入的图书。即在保证5分钟盘点时效性的同时，改善全局定时盘点造成的AI盘点摄像机机械损耗，增加摄像机使用寿命5倍以上。</w:t>
            </w:r>
          </w:p>
          <w:p w14:paraId="254EB9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14.基础信息管理</w:t>
            </w:r>
          </w:p>
          <w:p w14:paraId="582DA0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（1）读者管理</w:t>
            </w:r>
          </w:p>
          <w:p w14:paraId="6969ED4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1）读者基本信息（编号、姓名、证件号、照片、人脸特征等）管理；</w:t>
            </w:r>
          </w:p>
          <w:p w14:paraId="1FBF91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2）读者所属机构管理；</w:t>
            </w:r>
          </w:p>
          <w:p w14:paraId="134F38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（2）场室管理</w:t>
            </w:r>
          </w:p>
          <w:p w14:paraId="613562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1）场室基本信息（编号、名称、书架数）管理；</w:t>
            </w:r>
          </w:p>
          <w:p w14:paraId="580ECB5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2）场室所在位置管理；</w:t>
            </w:r>
          </w:p>
          <w:p w14:paraId="4A9BA23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（3）设备管理</w:t>
            </w:r>
          </w:p>
          <w:p w14:paraId="4FAB217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1）设备基本信息（编号、类别、名称、IP地址）；</w:t>
            </w:r>
          </w:p>
          <w:p w14:paraId="733004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2）设备权限管理（用户、密码、端口号）；</w:t>
            </w:r>
          </w:p>
          <w:p w14:paraId="1431873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3）设备类型管理；</w:t>
            </w:r>
          </w:p>
          <w:p w14:paraId="4B1D45B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4）设备关联管理；</w:t>
            </w:r>
          </w:p>
          <w:p w14:paraId="3D0927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（4）图书管理</w:t>
            </w:r>
          </w:p>
          <w:p w14:paraId="2344AE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1）图书基本信息（ISBN号、书名、作者、出版社等）管理；</w:t>
            </w:r>
          </w:p>
          <w:p w14:paraId="1CF2F8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2）图书馆藏架（地）管理；</w:t>
            </w:r>
          </w:p>
          <w:p w14:paraId="302844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（5）书架管理</w:t>
            </w:r>
          </w:p>
          <w:p w14:paraId="13C933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1）书架基本信息（编号、名称、书架数等）管理；</w:t>
            </w:r>
          </w:p>
          <w:p w14:paraId="28D5D6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2）书架所在场室管理；</w:t>
            </w:r>
          </w:p>
          <w:p w14:paraId="2E9B9C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（6）机构管理</w:t>
            </w:r>
          </w:p>
          <w:p w14:paraId="22DB284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1）机构基本信息；</w:t>
            </w:r>
          </w:p>
          <w:p w14:paraId="4CA53AC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2）机构层级结构；</w:t>
            </w:r>
          </w:p>
          <w:p w14:paraId="79CBEDD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（7）系统管理</w:t>
            </w:r>
          </w:p>
          <w:p w14:paraId="1F6FD78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1）系统基本信息管理；</w:t>
            </w:r>
          </w:p>
          <w:p w14:paraId="20AD07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2）权限、角色管理；</w:t>
            </w:r>
          </w:p>
          <w:p w14:paraId="290C4E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3）系统更新、维护管理；</w:t>
            </w:r>
          </w:p>
          <w:p w14:paraId="582544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15.数据分析</w:t>
            </w:r>
          </w:p>
          <w:p w14:paraId="28BF02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（1）支持实时数据分析功能：</w:t>
            </w:r>
          </w:p>
          <w:p w14:paraId="42E23AE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1）按时间盘点可回溯书架上的图书发生出架、入架等动作时刻的书架实时动态，并显示追溯时刻的出架、入架、错架图书；</w:t>
            </w:r>
          </w:p>
          <w:p w14:paraId="7BFAF3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2）图书出架数量：实时统计历史出架清单、当前时刻出架清单。并记录出架时间，精确到分钟级。按本日、本月、本年精准到每个书架图书出架次数统计。</w:t>
            </w:r>
          </w:p>
          <w:p w14:paraId="656712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（2）支持定期数据统计报告功能：</w:t>
            </w:r>
          </w:p>
          <w:p w14:paraId="3E303B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1）图书热度分析：分别以书架、阅览室、类别等维度，按照图书出架的次数统计活跃图书top10，沉默图书top5；统计馆内阅读top10；</w:t>
            </w:r>
          </w:p>
          <w:p w14:paraId="5B69AB2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2）馆藏量：按类别统计馆藏图书数量；</w:t>
            </w:r>
          </w:p>
          <w:p w14:paraId="7FD8A9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（3）支持周期行数据横向对比分析功能，横向对比包含馆内阅读图书的流通热度、流通的数量；</w:t>
            </w:r>
          </w:p>
          <w:p w14:paraId="0774625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（4）支持周期性数据变化趋势分析功能，按周期统计包含馆内阅读的图书的流通数量、流通热度及其变化趋势。</w:t>
            </w:r>
          </w:p>
        </w:tc>
      </w:tr>
      <w:tr w14:paraId="1529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D70A3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09" w:type="pct"/>
            <w:vAlign w:val="center"/>
          </w:tcPr>
          <w:p w14:paraId="45367A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高清影像自动采集系统</w:t>
            </w:r>
          </w:p>
        </w:tc>
        <w:tc>
          <w:tcPr>
            <w:tcW w:w="339" w:type="pct"/>
            <w:vAlign w:val="center"/>
          </w:tcPr>
          <w:p w14:paraId="560B0CF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00FC31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vAlign w:val="center"/>
          </w:tcPr>
          <w:p w14:paraId="463D57C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1.自动智能规划盘点摄像头采集路线和盘点点位，智能调焦，自动核验，提供异常处理提示；提供证明材料（包括但不限于产品官网截图、彩页、功能截图、带CMA标识的检测报告等）。</w:t>
            </w:r>
          </w:p>
          <w:p w14:paraId="3A5C8C6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2.盘点相机可按照智能规划路线进行自动盘点；</w:t>
            </w:r>
          </w:p>
          <w:p w14:paraId="0B8377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3.影像采集过程可以由后台进行统一调度管理，可定时全部启动或者按照指令启动部分相机进行图像采集；提供证明材料（包括但不限于产品官网截图、彩页、功能截图、带CMA标识的检测报告等）。</w:t>
            </w:r>
          </w:p>
          <w:p w14:paraId="4D84B9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4.可以同时处理百路级以上路视频流并发。</w:t>
            </w:r>
          </w:p>
          <w:p w14:paraId="77BB75F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5.可以支持多张400万像素以上的图片采用人工智能拼接算法拼合，形成亿级像素超大幅面图像，并处理。</w:t>
            </w:r>
          </w:p>
          <w:p w14:paraId="6DA993E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6.支持移动摄像头（如机器人等）图像采集功能。</w:t>
            </w:r>
          </w:p>
          <w:p w14:paraId="1D9C7C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7.支持控制摄像机指向位置、放大倍率、对焦焦点等动作参数。</w:t>
            </w:r>
          </w:p>
          <w:p w14:paraId="1768F99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8.支持通过控制指令对各种视频、图像、通讯参数进行配置。提供证明材料（包括但不限于产品官网截图、彩页、功能截图、带CMA标识的检测报告等）。</w:t>
            </w:r>
          </w:p>
          <w:p w14:paraId="313C7E9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9.采用高动态范围图像生成引擎。</w:t>
            </w:r>
          </w:p>
          <w:p w14:paraId="78D0FA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10.采用图像去抖、增强引擎。</w:t>
            </w:r>
          </w:p>
          <w:p w14:paraId="66078F5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11.采用人工智能加速引擎。</w:t>
            </w:r>
          </w:p>
        </w:tc>
      </w:tr>
      <w:tr w14:paraId="3DB8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0C1F91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09" w:type="pct"/>
            <w:vAlign w:val="center"/>
          </w:tcPr>
          <w:p w14:paraId="533A6A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读者查询手机端</w:t>
            </w:r>
          </w:p>
        </w:tc>
        <w:tc>
          <w:tcPr>
            <w:tcW w:w="339" w:type="pct"/>
            <w:vAlign w:val="center"/>
          </w:tcPr>
          <w:p w14:paraId="0318B19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268" w:type="pct"/>
            <w:vAlign w:val="center"/>
          </w:tcPr>
          <w:p w14:paraId="6561122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vAlign w:val="center"/>
          </w:tcPr>
          <w:p w14:paraId="47F828C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软件功能：</w:t>
            </w:r>
          </w:p>
          <w:p w14:paraId="164232A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1.图书位置检索。可按照书名、作者、出版社、索书号、ISBN号等关键字来搜索图书。检索到的图书可按中图分类法排列展示，展示图书的在架信息和馆藏信息，并显示图书的精准位置，具体到书架的某列某层。</w:t>
            </w:r>
          </w:p>
          <w:p w14:paraId="049E76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2.查看图书简介。查看图书详情时，可显示书名、作者、出版社、索书号、分类等信息，并显示图书真实位置图片。</w:t>
            </w:r>
          </w:p>
          <w:p w14:paraId="4E3CB4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3.导航图书所在某个阅览室某个书架位置。可显示图书所在书架位置的3D效果图，并显示虚拟书架信息。</w:t>
            </w:r>
          </w:p>
          <w:p w14:paraId="292578D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4.导航图书所在书架的所在层位置。可显示图书所在书架、所在层的位置信息，并通过切换图标展示图书真实位置图片。</w:t>
            </w:r>
          </w:p>
        </w:tc>
      </w:tr>
      <w:tr w14:paraId="59B8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68" w:type="pct"/>
            <w:vAlign w:val="center"/>
          </w:tcPr>
          <w:p w14:paraId="31D54AD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09" w:type="pct"/>
            <w:vAlign w:val="center"/>
          </w:tcPr>
          <w:p w14:paraId="0ACAA8C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馆员管理手机端</w:t>
            </w:r>
          </w:p>
        </w:tc>
        <w:tc>
          <w:tcPr>
            <w:tcW w:w="339" w:type="pct"/>
            <w:vAlign w:val="center"/>
          </w:tcPr>
          <w:p w14:paraId="1BBACC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268" w:type="pct"/>
            <w:vAlign w:val="center"/>
          </w:tcPr>
          <w:p w14:paraId="684D49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vAlign w:val="center"/>
          </w:tcPr>
          <w:p w14:paraId="781126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软件功能：</w:t>
            </w:r>
          </w:p>
          <w:p w14:paraId="2FE8CC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1.检索功能：支持图书检索，检索结果图书位置信息与书架上图书位置信息完全一致，并支持提供真实图片查看。</w:t>
            </w:r>
          </w:p>
          <w:p w14:paraId="10EBF1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2.书架浏览：支持书架浏览预览功能，虚拟书架的形式模拟在架图书，供管理员预览，虚拟书架上图书位置与真实书架上图书位置一致，可按照阅览室-排组-书架的方式分级浏览。</w:t>
            </w:r>
          </w:p>
          <w:p w14:paraId="468DF1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3.智能盘点：指定位置盘点；</w:t>
            </w:r>
          </w:p>
          <w:p w14:paraId="4E7C60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4.上架指引：出架书上架指引、新书上架，支持查看全部出架书列表和出架图书应还架位置提示；</w:t>
            </w:r>
          </w:p>
          <w:p w14:paraId="14993B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5.顺架指引：按图书查看、按书架查看错架图书，提供顺架指引；支持查看错架图书当前位置图片。</w:t>
            </w:r>
          </w:p>
          <w:p w14:paraId="4A6CC4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满架率查看：查看整馆满架数据、各阅览室满架数据、各书架满架数据、各层满架数据；支持计算和展示书架的容量，通过计算真实书架上图书占总空间的比例，计算出总容量和当前已经占用的容量，逐级计算满架率。</w:t>
            </w:r>
          </w:p>
        </w:tc>
      </w:tr>
      <w:tr w14:paraId="0733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68" w:type="pct"/>
            <w:vAlign w:val="center"/>
          </w:tcPr>
          <w:p w14:paraId="4E27C8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09" w:type="pct"/>
            <w:vAlign w:val="center"/>
          </w:tcPr>
          <w:p w14:paraId="19D4BE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AI盘点摄像机</w:t>
            </w:r>
          </w:p>
        </w:tc>
        <w:tc>
          <w:tcPr>
            <w:tcW w:w="339" w:type="pct"/>
            <w:vAlign w:val="center"/>
          </w:tcPr>
          <w:p w14:paraId="1190DFD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268" w:type="pct"/>
            <w:vAlign w:val="center"/>
          </w:tcPr>
          <w:p w14:paraId="7DE777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33EC88C9">
            <w:pPr>
              <w:pStyle w:val="143"/>
              <w:widowControl w:val="0"/>
              <w:numPr>
                <w:ilvl w:val="0"/>
                <w:numId w:val="1"/>
              </w:numPr>
              <w:adjustRightInd w:val="0"/>
              <w:snapToGrid w:val="0"/>
              <w:spacing w:line="360" w:lineRule="auto"/>
              <w:ind w:lef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1.≥400万像素图像传感器；</w:t>
            </w:r>
          </w:p>
          <w:p w14:paraId="1448443D">
            <w:pPr>
              <w:pStyle w:val="143"/>
              <w:widowControl w:val="0"/>
              <w:numPr>
                <w:ilvl w:val="0"/>
                <w:numId w:val="1"/>
              </w:numPr>
              <w:adjustRightInd w:val="0"/>
              <w:snapToGrid w:val="0"/>
              <w:spacing w:line="360" w:lineRule="auto"/>
              <w:ind w:lef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2.≥23X光学变焦；</w:t>
            </w:r>
          </w:p>
          <w:p w14:paraId="336E9AFF">
            <w:pPr>
              <w:pStyle w:val="143"/>
              <w:widowControl w:val="0"/>
              <w:numPr>
                <w:ilvl w:val="0"/>
                <w:numId w:val="1"/>
              </w:numPr>
              <w:adjustRightInd w:val="0"/>
              <w:snapToGrid w:val="0"/>
              <w:spacing w:line="360" w:lineRule="auto"/>
              <w:ind w:lef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3.双轴云台；</w:t>
            </w:r>
          </w:p>
          <w:p w14:paraId="353D0360">
            <w:pPr>
              <w:pStyle w:val="143"/>
              <w:widowControl w:val="0"/>
              <w:numPr>
                <w:ilvl w:val="0"/>
                <w:numId w:val="1"/>
              </w:numPr>
              <w:adjustRightInd w:val="0"/>
              <w:snapToGrid w:val="0"/>
              <w:spacing w:line="360" w:lineRule="auto"/>
              <w:ind w:lef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4.POE供电；</w:t>
            </w:r>
          </w:p>
          <w:p w14:paraId="13E2875B">
            <w:pPr>
              <w:pStyle w:val="143"/>
              <w:widowControl w:val="0"/>
              <w:numPr>
                <w:ilvl w:val="0"/>
                <w:numId w:val="1"/>
              </w:numPr>
              <w:adjustRightInd w:val="0"/>
              <w:snapToGrid w:val="0"/>
              <w:spacing w:line="360" w:lineRule="auto"/>
              <w:ind w:left="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5.以太网口。</w:t>
            </w:r>
          </w:p>
        </w:tc>
      </w:tr>
      <w:tr w14:paraId="4285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D9AB4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09" w:type="pct"/>
            <w:vAlign w:val="center"/>
          </w:tcPr>
          <w:p w14:paraId="231DAA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摄像机定制支架</w:t>
            </w:r>
          </w:p>
        </w:tc>
        <w:tc>
          <w:tcPr>
            <w:tcW w:w="339" w:type="pct"/>
            <w:vAlign w:val="center"/>
          </w:tcPr>
          <w:p w14:paraId="441BDAE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w:t>
            </w:r>
          </w:p>
        </w:tc>
        <w:tc>
          <w:tcPr>
            <w:tcW w:w="268" w:type="pct"/>
            <w:vAlign w:val="center"/>
          </w:tcPr>
          <w:p w14:paraId="7BAA15A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个</w:t>
            </w:r>
          </w:p>
        </w:tc>
        <w:tc>
          <w:tcPr>
            <w:tcW w:w="3713" w:type="pct"/>
            <w:vAlign w:val="center"/>
          </w:tcPr>
          <w:p w14:paraId="470D8EEB">
            <w:pPr>
              <w:pStyle w:val="143"/>
              <w:widowControl w:val="0"/>
              <w:adjustRightInd w:val="0"/>
              <w:snapToGrid w:val="0"/>
              <w:spacing w:line="360" w:lineRule="auto"/>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材质：SPCC 冷轧板，造型可定制。</w:t>
            </w:r>
          </w:p>
        </w:tc>
      </w:tr>
      <w:tr w14:paraId="3F4E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1A44E3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09" w:type="pct"/>
            <w:vAlign w:val="center"/>
          </w:tcPr>
          <w:p w14:paraId="5FE1496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边缘计算服务主机</w:t>
            </w:r>
          </w:p>
        </w:tc>
        <w:tc>
          <w:tcPr>
            <w:tcW w:w="339" w:type="pct"/>
            <w:vAlign w:val="center"/>
          </w:tcPr>
          <w:p w14:paraId="60CB12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68" w:type="pct"/>
            <w:vAlign w:val="center"/>
          </w:tcPr>
          <w:p w14:paraId="69963BC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43B45BAE">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1.国产CPU，不低于8核16线程；</w:t>
            </w:r>
          </w:p>
          <w:p w14:paraId="792E04F7">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2.不少于64G内存；</w:t>
            </w:r>
          </w:p>
          <w:p w14:paraId="75816100">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3.FP32算力可达12.74TFLOPS；</w:t>
            </w:r>
          </w:p>
          <w:p w14:paraId="7F734524">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4.1T及以上固态硬盘；</w:t>
            </w:r>
          </w:p>
          <w:p w14:paraId="043077EF">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5.支持基于异构计算的视频图像处理加速引擎；</w:t>
            </w:r>
          </w:p>
          <w:p w14:paraId="5275B70F">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6.支持人工智能加速引擎；</w:t>
            </w:r>
          </w:p>
          <w:p w14:paraId="08FC8CE0">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7.千兆网卡；</w:t>
            </w:r>
          </w:p>
          <w:p w14:paraId="4380D960">
            <w:pPr>
              <w:pStyle w:val="143"/>
              <w:widowControl w:val="0"/>
              <w:adjustRightInd w:val="0"/>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8.支持国产操作系统桌面级；</w:t>
            </w:r>
          </w:p>
        </w:tc>
      </w:tr>
      <w:tr w14:paraId="05EF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281689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09" w:type="pct"/>
            <w:vAlign w:val="center"/>
          </w:tcPr>
          <w:p w14:paraId="52FA121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Web服务主机</w:t>
            </w:r>
          </w:p>
        </w:tc>
        <w:tc>
          <w:tcPr>
            <w:tcW w:w="339" w:type="pct"/>
            <w:vAlign w:val="center"/>
          </w:tcPr>
          <w:p w14:paraId="5E9523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1A8EE7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36A1BA11">
            <w:pPr>
              <w:pStyle w:val="5"/>
              <w:spacing w:line="360" w:lineRule="auto"/>
              <w:ind w:firstLine="0"/>
              <w:rPr>
                <w:rFonts w:hint="eastAsia" w:hAnsi="宋体" w:cs="宋体"/>
                <w:color w:val="auto"/>
                <w:sz w:val="24"/>
                <w:szCs w:val="24"/>
                <w:highlight w:val="none"/>
              </w:rPr>
            </w:pPr>
            <w:r>
              <w:rPr>
                <w:rFonts w:hint="eastAsia" w:hAnsi="宋体" w:cs="宋体"/>
                <w:color w:val="auto"/>
                <w:sz w:val="24"/>
                <w:szCs w:val="24"/>
                <w:highlight w:val="none"/>
              </w:rPr>
              <w:t>1.国产CPU：≥16核32线程；</w:t>
            </w:r>
          </w:p>
          <w:p w14:paraId="4A727EFC">
            <w:pPr>
              <w:pStyle w:val="5"/>
              <w:spacing w:line="360" w:lineRule="auto"/>
              <w:ind w:firstLine="0"/>
              <w:rPr>
                <w:rFonts w:hint="eastAsia" w:hAnsi="宋体" w:cs="宋体"/>
                <w:color w:val="auto"/>
                <w:sz w:val="24"/>
                <w:szCs w:val="24"/>
                <w:highlight w:val="none"/>
              </w:rPr>
            </w:pPr>
            <w:r>
              <w:rPr>
                <w:rFonts w:hint="eastAsia" w:hAnsi="宋体" w:cs="宋体"/>
                <w:color w:val="auto"/>
                <w:sz w:val="24"/>
                <w:szCs w:val="24"/>
                <w:highlight w:val="none"/>
              </w:rPr>
              <w:t>2.内存：DDR4高速≥64G内存；</w:t>
            </w:r>
          </w:p>
          <w:p w14:paraId="0FD38B82">
            <w:pPr>
              <w:pStyle w:val="5"/>
              <w:spacing w:line="360" w:lineRule="auto"/>
              <w:ind w:firstLine="0"/>
              <w:rPr>
                <w:rFonts w:hint="eastAsia" w:hAnsi="宋体" w:cs="宋体"/>
                <w:color w:val="auto"/>
                <w:sz w:val="24"/>
                <w:szCs w:val="24"/>
                <w:highlight w:val="none"/>
              </w:rPr>
            </w:pPr>
            <w:r>
              <w:rPr>
                <w:rFonts w:hint="eastAsia" w:hAnsi="宋体" w:cs="宋体"/>
                <w:color w:val="auto"/>
                <w:sz w:val="24"/>
                <w:szCs w:val="24"/>
                <w:highlight w:val="none"/>
              </w:rPr>
              <w:t>3.硬盘：≥480G高速固态硬盘，2T SATA硬盘；</w:t>
            </w:r>
          </w:p>
          <w:p w14:paraId="0FE47BB7">
            <w:pPr>
              <w:pStyle w:val="5"/>
              <w:spacing w:line="360" w:lineRule="auto"/>
              <w:ind w:firstLine="0"/>
              <w:rPr>
                <w:rFonts w:hint="eastAsia" w:hAnsi="宋体" w:cs="宋体"/>
                <w:color w:val="auto"/>
                <w:sz w:val="24"/>
                <w:szCs w:val="24"/>
                <w:highlight w:val="none"/>
              </w:rPr>
            </w:pPr>
            <w:r>
              <w:rPr>
                <w:rFonts w:hint="eastAsia" w:hAnsi="宋体" w:cs="宋体"/>
                <w:color w:val="auto"/>
                <w:sz w:val="24"/>
                <w:szCs w:val="24"/>
                <w:highlight w:val="none"/>
              </w:rPr>
              <w:t>4.千兆网卡；</w:t>
            </w:r>
          </w:p>
          <w:p w14:paraId="775C94BF">
            <w:pPr>
              <w:pStyle w:val="5"/>
              <w:spacing w:line="360" w:lineRule="auto"/>
              <w:ind w:firstLine="0"/>
              <w:rPr>
                <w:rFonts w:hint="eastAsia" w:hAnsi="宋体" w:cs="宋体"/>
                <w:color w:val="auto"/>
                <w:sz w:val="24"/>
                <w:szCs w:val="24"/>
                <w:highlight w:val="none"/>
              </w:rPr>
            </w:pPr>
            <w:r>
              <w:rPr>
                <w:rFonts w:hint="eastAsia" w:hAnsi="宋体" w:cs="宋体"/>
                <w:color w:val="auto"/>
                <w:sz w:val="24"/>
                <w:szCs w:val="24"/>
                <w:highlight w:val="none"/>
              </w:rPr>
              <w:t>5.支持国产操作系统服务器级；</w:t>
            </w:r>
          </w:p>
        </w:tc>
      </w:tr>
      <w:tr w14:paraId="1C6D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77FF69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09" w:type="pct"/>
            <w:vAlign w:val="center"/>
          </w:tcPr>
          <w:p w14:paraId="30C6F3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网络交换机</w:t>
            </w:r>
          </w:p>
        </w:tc>
        <w:tc>
          <w:tcPr>
            <w:tcW w:w="339" w:type="pct"/>
            <w:vAlign w:val="center"/>
          </w:tcPr>
          <w:p w14:paraId="5B88B6E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68" w:type="pct"/>
            <w:vAlign w:val="center"/>
          </w:tcPr>
          <w:p w14:paraId="26DE3DD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77462DF6">
            <w:pPr>
              <w:pStyle w:val="5"/>
              <w:numPr>
                <w:ilvl w:val="0"/>
                <w:numId w:val="2"/>
              </w:numPr>
              <w:spacing w:line="360" w:lineRule="auto"/>
              <w:ind w:left="0"/>
              <w:rPr>
                <w:rFonts w:hAnsi="宋体" w:cs="宋体"/>
                <w:color w:val="auto"/>
                <w:sz w:val="24"/>
                <w:szCs w:val="24"/>
                <w:highlight w:val="none"/>
              </w:rPr>
            </w:pPr>
            <w:r>
              <w:rPr>
                <w:rFonts w:hint="eastAsia" w:hAnsi="宋体" w:cs="宋体"/>
                <w:color w:val="auto"/>
                <w:sz w:val="24"/>
                <w:szCs w:val="24"/>
                <w:highlight w:val="none"/>
                <w:lang w:bidi="ar"/>
              </w:rPr>
              <w:t>1.下行接口类型RJ45电口，全双工自适应；</w:t>
            </w:r>
          </w:p>
          <w:p w14:paraId="38046340">
            <w:pPr>
              <w:pStyle w:val="5"/>
              <w:numPr>
                <w:ilvl w:val="0"/>
                <w:numId w:val="2"/>
              </w:numPr>
              <w:spacing w:line="360" w:lineRule="auto"/>
              <w:ind w:left="0"/>
              <w:rPr>
                <w:rFonts w:hAnsi="宋体" w:cs="宋体"/>
                <w:color w:val="auto"/>
                <w:sz w:val="24"/>
                <w:szCs w:val="24"/>
                <w:highlight w:val="none"/>
              </w:rPr>
            </w:pPr>
            <w:r>
              <w:rPr>
                <w:rFonts w:hint="eastAsia" w:hAnsi="宋体" w:cs="宋体"/>
                <w:color w:val="auto"/>
                <w:sz w:val="24"/>
                <w:szCs w:val="24"/>
                <w:highlight w:val="none"/>
                <w:lang w:bidi="ar"/>
              </w:rPr>
              <w:t>2.上行千兆网口，具有光口或光电复合口；</w:t>
            </w:r>
          </w:p>
          <w:p w14:paraId="765248C0">
            <w:pPr>
              <w:pStyle w:val="5"/>
              <w:numPr>
                <w:ilvl w:val="0"/>
                <w:numId w:val="2"/>
              </w:numPr>
              <w:spacing w:line="360" w:lineRule="auto"/>
              <w:ind w:left="0"/>
              <w:rPr>
                <w:rFonts w:hint="eastAsia" w:hAnsi="宋体" w:cs="宋体"/>
                <w:color w:val="auto"/>
                <w:sz w:val="24"/>
                <w:szCs w:val="24"/>
                <w:highlight w:val="none"/>
              </w:rPr>
            </w:pPr>
            <w:r>
              <w:rPr>
                <w:rFonts w:hint="eastAsia" w:hAnsi="宋体" w:cs="宋体"/>
                <w:color w:val="auto"/>
                <w:sz w:val="24"/>
                <w:szCs w:val="24"/>
                <w:highlight w:val="none"/>
                <w:lang w:bidi="ar"/>
              </w:rPr>
              <w:t>3.支持IEEE 802.3、IEEE 802.3u、IEEE 802.3x、IEEE 802.3at/af；</w:t>
            </w:r>
          </w:p>
        </w:tc>
      </w:tr>
      <w:tr w14:paraId="2A59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A250FF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09" w:type="pct"/>
            <w:vAlign w:val="center"/>
          </w:tcPr>
          <w:p w14:paraId="32C1B6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汇聚交换机</w:t>
            </w:r>
          </w:p>
        </w:tc>
        <w:tc>
          <w:tcPr>
            <w:tcW w:w="339" w:type="pct"/>
            <w:vAlign w:val="center"/>
          </w:tcPr>
          <w:p w14:paraId="4C76F9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0B3C2D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1EB3FF09">
            <w:pPr>
              <w:pStyle w:val="5"/>
              <w:numPr>
                <w:ilvl w:val="255"/>
                <w:numId w:val="0"/>
              </w:numPr>
              <w:spacing w:line="360" w:lineRule="auto"/>
              <w:ind w:left="0"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1.下行接口类型RJ45电口，全双工自适应。</w:t>
            </w:r>
          </w:p>
          <w:p w14:paraId="7A4BBF67">
            <w:pPr>
              <w:pStyle w:val="5"/>
              <w:numPr>
                <w:ilvl w:val="255"/>
                <w:numId w:val="0"/>
              </w:numPr>
              <w:spacing w:line="360" w:lineRule="auto"/>
              <w:ind w:left="0"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2.上行千兆网口，具有光口或光电复合口。</w:t>
            </w:r>
          </w:p>
          <w:p w14:paraId="46FAC908">
            <w:pPr>
              <w:pStyle w:val="5"/>
              <w:numPr>
                <w:ilvl w:val="255"/>
                <w:numId w:val="0"/>
              </w:numPr>
              <w:spacing w:line="360" w:lineRule="auto"/>
              <w:ind w:left="0"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3.支持WEB网管。</w:t>
            </w:r>
          </w:p>
          <w:p w14:paraId="5AB23C94">
            <w:pPr>
              <w:pStyle w:val="5"/>
              <w:numPr>
                <w:ilvl w:val="255"/>
                <w:numId w:val="0"/>
              </w:numPr>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4.配千兆SFP端口。</w:t>
            </w:r>
          </w:p>
        </w:tc>
      </w:tr>
      <w:tr w14:paraId="21DA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F9777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09" w:type="pct"/>
            <w:vAlign w:val="center"/>
          </w:tcPr>
          <w:p w14:paraId="70E2CC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图书定位检索机32寸一体机</w:t>
            </w:r>
          </w:p>
        </w:tc>
        <w:tc>
          <w:tcPr>
            <w:tcW w:w="339" w:type="pct"/>
            <w:vAlign w:val="center"/>
          </w:tcPr>
          <w:p w14:paraId="47D0D41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268" w:type="pct"/>
            <w:vAlign w:val="center"/>
          </w:tcPr>
          <w:p w14:paraId="3165589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68010AD1">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一、硬件：</w:t>
            </w:r>
          </w:p>
          <w:p w14:paraId="0B08DFAD">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1.32寸液晶屏，K型底座，分辨率1920x1080。</w:t>
            </w:r>
          </w:p>
          <w:p w14:paraId="6E79AAF7">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2.电容触摸。</w:t>
            </w:r>
          </w:p>
          <w:p w14:paraId="4CA0ABA2">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3.处理器64位六核,主频1.8GHz；</w:t>
            </w:r>
          </w:p>
          <w:p w14:paraId="4AE540E4">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4.内存4G,存储32G；</w:t>
            </w:r>
          </w:p>
          <w:p w14:paraId="57F738E7">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5.接口：以太网Rj45，usb×2，wifi无线。</w:t>
            </w:r>
          </w:p>
          <w:p w14:paraId="424EDA19">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二、软件功能：</w:t>
            </w:r>
          </w:p>
          <w:p w14:paraId="6611C54D">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1.图书位置检索。输入想要检索的图书书名或作者名，在检索结果界面显示图书的两种状态：在架和出架，可查看图书具体的在架位置信息。</w:t>
            </w:r>
          </w:p>
          <w:p w14:paraId="52CAFB1B">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2.查看图书简介。可查看图书的书名、作者、出版社、索书号、分类、唯一码等信息。</w:t>
            </w:r>
          </w:p>
          <w:p w14:paraId="5010165F">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3.导航图书所在某个阅览室某个书架位置。系统会以3D效果图的方式展示图书所在阅览室所在书架的具体位置。</w:t>
            </w:r>
          </w:p>
          <w:p w14:paraId="14371301">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4.导航图书所在书架的所在层位置。可查看图书所在架信息的虚拟书架，其中图书顺序完全与书架上真是图书位置顺序一致，可根据其所在层、所在第几位，快速找书。</w:t>
            </w:r>
          </w:p>
          <w:p w14:paraId="1FE0D4B3">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5.新书推荐。系统自动推荐最新上新图书前10 名，点击图书虚拟封面，可查看图书详情，并导航找书。</w:t>
            </w:r>
          </w:p>
          <w:p w14:paraId="44A48BB4">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6.热门图书推荐。系统推荐热门图书前10名（指出架次数最多的前10 名图书），点击图书虚拟封面，可查看图书详情，并导航找书。</w:t>
            </w:r>
          </w:p>
          <w:p w14:paraId="1804515B">
            <w:pPr>
              <w:pStyle w:val="5"/>
              <w:spacing w:line="360" w:lineRule="auto"/>
              <w:ind w:firstLine="0"/>
              <w:rPr>
                <w:rFonts w:hint="eastAsia" w:hAnsi="宋体" w:cs="宋体"/>
                <w:color w:val="auto"/>
                <w:sz w:val="24"/>
                <w:szCs w:val="24"/>
                <w:highlight w:val="none"/>
                <w:lang w:bidi="ar"/>
              </w:rPr>
            </w:pPr>
            <w:r>
              <w:rPr>
                <w:rFonts w:hint="eastAsia" w:hAnsi="宋体" w:cs="宋体"/>
                <w:color w:val="auto"/>
                <w:sz w:val="24"/>
                <w:szCs w:val="24"/>
                <w:highlight w:val="none"/>
                <w:lang w:bidi="ar"/>
              </w:rPr>
              <w:t>7.馆内在架书浏览：系统以虚拟书架的方式展示馆内所有在架图书，读者可以切换阅览室、切换排组，可滚动查看对应的排组书架，左右滑动查看每层图书。通过右侧切换按钮，可查看图书真实的在架位置图片。</w:t>
            </w:r>
          </w:p>
        </w:tc>
      </w:tr>
      <w:tr w14:paraId="0409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984A2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09" w:type="pct"/>
            <w:vAlign w:val="center"/>
          </w:tcPr>
          <w:p w14:paraId="20693D0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手持盘点仪</w:t>
            </w:r>
          </w:p>
        </w:tc>
        <w:tc>
          <w:tcPr>
            <w:tcW w:w="339" w:type="pct"/>
            <w:vAlign w:val="center"/>
          </w:tcPr>
          <w:p w14:paraId="0057CE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68" w:type="pct"/>
            <w:vAlign w:val="center"/>
          </w:tcPr>
          <w:p w14:paraId="43A369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台</w:t>
            </w:r>
          </w:p>
        </w:tc>
        <w:tc>
          <w:tcPr>
            <w:tcW w:w="3713" w:type="pct"/>
            <w:vAlign w:val="center"/>
          </w:tcPr>
          <w:p w14:paraId="274F8138">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一、软件功能:</w:t>
            </w:r>
          </w:p>
          <w:p w14:paraId="6CB8BF8F">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1.支持灵活创建盘点任务；</w:t>
            </w:r>
          </w:p>
          <w:p w14:paraId="0699CCD9">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2.支持盘点进度查询；</w:t>
            </w:r>
          </w:p>
          <w:p w14:paraId="55544E50">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3.支持盘点任务管理；</w:t>
            </w:r>
          </w:p>
          <w:p w14:paraId="1E4D36B8">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4.支持查看盘点任务的识别结果，以虚拟书架的形式展示图书盘点结果。支持查看图书盘点后的真实位置照片。</w:t>
            </w:r>
          </w:p>
          <w:p w14:paraId="1338FAA7">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二、硬件参数：</w:t>
            </w:r>
          </w:p>
          <w:p w14:paraId="0BF488ED">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1.CPU：不低于8核处理器；</w:t>
            </w:r>
          </w:p>
          <w:p w14:paraId="3F359EAD">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2.内存：运行内存≥6GB，存储内存≥128GB；</w:t>
            </w:r>
          </w:p>
          <w:p w14:paraId="07151DA1">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3.屏幕：≥11.5英寸；</w:t>
            </w:r>
          </w:p>
          <w:p w14:paraId="501E679A">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4.分辨率：≥2200*1440；</w:t>
            </w:r>
          </w:p>
          <w:p w14:paraId="6F256792">
            <w:pPr>
              <w:pStyle w:val="5"/>
              <w:spacing w:line="360" w:lineRule="auto"/>
              <w:ind w:firstLine="0" w:firstLineChars="0"/>
              <w:rPr>
                <w:rFonts w:hint="eastAsia" w:hAnsi="宋体" w:cs="宋体"/>
                <w:color w:val="auto"/>
                <w:sz w:val="24"/>
                <w:szCs w:val="24"/>
                <w:highlight w:val="none"/>
                <w:lang w:bidi="ar"/>
              </w:rPr>
            </w:pPr>
            <w:r>
              <w:rPr>
                <w:rFonts w:hint="eastAsia" w:hAnsi="宋体" w:cs="宋体"/>
                <w:color w:val="auto"/>
                <w:sz w:val="24"/>
                <w:szCs w:val="24"/>
                <w:highlight w:val="none"/>
                <w:lang w:bidi="ar"/>
              </w:rPr>
              <w:t>5.后置摄像头：≥1300W；</w:t>
            </w:r>
          </w:p>
        </w:tc>
      </w:tr>
      <w:tr w14:paraId="2ABE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41528C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409" w:type="pct"/>
            <w:vAlign w:val="center"/>
          </w:tcPr>
          <w:p w14:paraId="5695907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ar"/>
              </w:rPr>
              <w:t>国产化数据库</w:t>
            </w:r>
          </w:p>
        </w:tc>
        <w:tc>
          <w:tcPr>
            <w:tcW w:w="339" w:type="pct"/>
            <w:vAlign w:val="center"/>
          </w:tcPr>
          <w:p w14:paraId="42D44F1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65EB1D1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vAlign w:val="center"/>
          </w:tcPr>
          <w:p w14:paraId="07653611">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1.产品具备完全自主知识产权，避免潜在的版权纠纷。</w:t>
            </w:r>
          </w:p>
          <w:p w14:paraId="50D7CF57">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w:t>
            </w:r>
          </w:p>
          <w:p w14:paraId="023A1A0C">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3.支持jieba、zhparser等多种分词算法，且jieba、zhparser算法均支持utf-8及gbk编码进行分词</w:t>
            </w:r>
          </w:p>
          <w:p w14:paraId="0A05DEE2">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4.支持调用percentile_cont函数和percentile_disc函数时带over子句。</w:t>
            </w:r>
          </w:p>
          <w:p w14:paraId="1E443123">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5.支持从日志文件离线修复文件坏块或表主备集群支持基于备机的主机数据坏块修复，当主机数据块损坏时，可以自动从备机复制对应数据块对损坏的主机数据块进行实时修复</w:t>
            </w:r>
          </w:p>
          <w:p w14:paraId="391DDC8E">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6.具备高可用功能，提供数据恢复能力，主备集群支持基于备机数据坏块修复，当主机数据损坏时，可以自动从备机复制对应数据块对损坏的主机数据块进行实时修复；支持日志文件离线修复文件坏块或表</w:t>
            </w:r>
          </w:p>
          <w:p w14:paraId="49A2FDCD">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7.支持2D、3D、4D射线，支持DE-9IM空间关系判断和Overlay计算、距离计算</w:t>
            </w:r>
          </w:p>
          <w:p w14:paraId="0CEF8B46">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8.支持对地理数据、矢量数据、拓扑数据、栅格数据的存储、计算、分析；支持对DEM数据相关橾作；支持对空间数据的坐标系的相互转换；支待GIST等空间数据索引.</w:t>
            </w:r>
          </w:p>
          <w:p w14:paraId="5CBEC230">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9.支持类Oracle ASH报告，支持不少于10个报告，如Top用户事件、Top后台事件、TopPL/SQL过程、使用字面变量的TopSQL、等待事件高的Top SQL、完整SQL列表、Top会话等</w:t>
            </w:r>
          </w:p>
          <w:p w14:paraId="1D2C8966">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10.支持类Oracle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w:t>
            </w:r>
          </w:p>
          <w:p w14:paraId="07C7DF3D">
            <w:pPr>
              <w:snapToGrid w:val="0"/>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11.提供表数据备份功能，单节点单线程备份性能达到 1200MB/s以上，提供表数据恢复功能，单节点恢复性能达到 700MB/s以上。</w:t>
            </w:r>
          </w:p>
        </w:tc>
      </w:tr>
      <w:tr w14:paraId="16B7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086D51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409" w:type="pct"/>
            <w:vAlign w:val="center"/>
          </w:tcPr>
          <w:p w14:paraId="64D5B2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国产化中间件</w:t>
            </w:r>
          </w:p>
        </w:tc>
        <w:tc>
          <w:tcPr>
            <w:tcW w:w="339" w:type="pct"/>
            <w:vAlign w:val="center"/>
          </w:tcPr>
          <w:p w14:paraId="753BE7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161C00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套</w:t>
            </w:r>
          </w:p>
        </w:tc>
        <w:tc>
          <w:tcPr>
            <w:tcW w:w="3713" w:type="pct"/>
            <w:vAlign w:val="center"/>
          </w:tcPr>
          <w:p w14:paraId="23D29EC7">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数据缓存中间件技术指标</w:t>
            </w:r>
          </w:p>
          <w:p w14:paraId="6221F0F0">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1、高可用性要求：①产品应具有良好的高可用性，当集群中所有主节点因故障宕机时，系统仍然具备数据服务能力。</w:t>
            </w:r>
          </w:p>
          <w:p w14:paraId="4B250D50">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②为了满足数据缓存容灾及分布式业务应用灰度迁移的要求，投标产品应能够支持跨集群实时数据同步，支持异构数据同步，要求同步操作时源集群应能持续提供正常的业务功能。</w:t>
            </w:r>
          </w:p>
          <w:p w14:paraId="677CA601">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兼容性要求:①考虑业务运行环境的多样性特点，产品应具备异构操作系统环境的兼容能力，采用Java语言开发，无需针对不同设备及操作系统分别进行编译。②产品兼容国产主流CPU，包括龙芯、飞腾、海光、鲲鹏、兆芯、申威等。③产品兼容国产主流操作系统，包括麒麟、统信UOS等。</w:t>
            </w:r>
          </w:p>
          <w:p w14:paraId="33F95C71">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3、数据类型要求：产品应原生支持以下数据类型,并提供下述数据类型的格式校验能力：Integer类型数据、Long类型数据、IPv4地址类型数据、IPv6地址类型数据、MAC地址类型数据。</w:t>
            </w:r>
          </w:p>
          <w:p w14:paraId="005C19FF">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4、性能要求，客户端并发访问线性增长：产品应具备支持高并发访问请求的能力，性能测试结果应不低于30万QPS。</w:t>
            </w:r>
          </w:p>
          <w:p w14:paraId="685DEEED">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负载均衡中间件技术指标</w:t>
            </w:r>
          </w:p>
          <w:p w14:paraId="76A3E924">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5.自主知识产权要求：产品自主可控，拥有完全自主知识产权。提供所投产品软件的著作权登记证书。</w:t>
            </w:r>
          </w:p>
          <w:p w14:paraId="0933F9A6">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6.兼容国产芯片服务器及操作系统运行环境，支持运行在鲲鹏、飞腾、龙芯、海光等国产芯片服务器，支持麒麟、统信等国产操作系统。</w:t>
            </w:r>
          </w:p>
          <w:p w14:paraId="29FD1A9D">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7.基本功能要求：</w:t>
            </w:r>
          </w:p>
          <w:p w14:paraId="6DF2D38C">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①支持TCP、HTTP、HTTPS协议，完整支持业务系统访问协议需求。</w:t>
            </w:r>
          </w:p>
          <w:p w14:paraId="17AA8BE3">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②提供轮询、随机、sticky、IP哈希、哈希、最小连接数多种负载均衡算法，用户根据自己的业选择对应的负载算法，以达到最优的效果。</w:t>
            </w:r>
          </w:p>
          <w:p w14:paraId="04C537D8">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③支持监测当前处理的活跃连接数、请求数、响应数据、流量数据等。</w:t>
            </w:r>
          </w:p>
          <w:p w14:paraId="1CFC0BAC">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8.高可用要求：</w:t>
            </w:r>
          </w:p>
          <w:p w14:paraId="0C5893CA">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①支持主备模式，对外提供VIP，配置检测参数，自动路由至后端服务节点。</w:t>
            </w:r>
          </w:p>
          <w:p w14:paraId="3D2A58BE">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②支持主动健康检查，主动探测后端工作节点是否正常，支持HTTP、TCP、SSL Hello、GMSSL hello协议检查方式。</w:t>
            </w:r>
          </w:p>
          <w:p w14:paraId="1C9B38E2">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5、安全性要求：</w:t>
            </w:r>
          </w:p>
          <w:p w14:paraId="09E1F100">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①支持黑白名单访问控制，严格控制允许访问负载服务的客户端IP地址或IP地址段及资源类型、资源路径等，确保数据访问安全。</w:t>
            </w:r>
          </w:p>
          <w:p w14:paraId="3BE737A3">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②支持可视化国密签名证书生成、请求文件导出，支持可视化国密数据信封导入，支持格尔、吉大证书导入。</w:t>
            </w:r>
          </w:p>
          <w:p w14:paraId="4B45038F">
            <w:pPr>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③提供审计日志功能，完整的记录用户的操作，包含时间、操作人员、操作内容等，审计追溯违规行为，有效保护系统的安全性。</w:t>
            </w:r>
          </w:p>
        </w:tc>
      </w:tr>
      <w:tr w14:paraId="73F3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35142AC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409" w:type="pct"/>
            <w:vAlign w:val="center"/>
          </w:tcPr>
          <w:p w14:paraId="430BBD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图书层架标</w:t>
            </w:r>
          </w:p>
        </w:tc>
        <w:tc>
          <w:tcPr>
            <w:tcW w:w="339" w:type="pct"/>
            <w:vAlign w:val="center"/>
          </w:tcPr>
          <w:p w14:paraId="347526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0D48F0F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3713" w:type="pct"/>
            <w:vAlign w:val="center"/>
          </w:tcPr>
          <w:p w14:paraId="42500DEA">
            <w:pPr>
              <w:snapToGrid w:val="0"/>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项目所需书架的层架签，标签加工制作按甲方要求进行制作。</w:t>
            </w:r>
          </w:p>
        </w:tc>
      </w:tr>
      <w:tr w14:paraId="27A8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629C1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409" w:type="pct"/>
            <w:vAlign w:val="center"/>
          </w:tcPr>
          <w:p w14:paraId="5E89BBC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安装实施（含辅材）</w:t>
            </w:r>
          </w:p>
        </w:tc>
        <w:tc>
          <w:tcPr>
            <w:tcW w:w="339" w:type="pct"/>
            <w:vAlign w:val="center"/>
          </w:tcPr>
          <w:p w14:paraId="10B0EC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 w:type="pct"/>
            <w:vAlign w:val="center"/>
          </w:tcPr>
          <w:p w14:paraId="1EAD74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3713" w:type="pct"/>
            <w:vAlign w:val="center"/>
          </w:tcPr>
          <w:p w14:paraId="2A0189FF">
            <w:pPr>
              <w:snapToGrid w:val="0"/>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项目安装实施（含辅材）</w:t>
            </w:r>
          </w:p>
          <w:p w14:paraId="5EA7D40D">
            <w:pPr>
              <w:snapToGrid w:val="0"/>
              <w:spacing w:line="360" w:lineRule="auto"/>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1、网线：六类非屏蔽网线；</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2、PVC穿线管：阻燃走线管 厚度2.1mm DN32</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3、水晶头：30U加厚镀金千兆网络接头，RJ45工程级8P8C电脑网线连接器。</w:t>
            </w:r>
          </w:p>
        </w:tc>
      </w:tr>
    </w:tbl>
    <w:p w14:paraId="3D878AC5">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注：以上参数为采购人基本要求，投标单位的产品可以提供性能更优的产品，并在偏离表中明确正偏离。</w:t>
      </w:r>
    </w:p>
    <w:p w14:paraId="6BFBFF67">
      <w:pPr>
        <w:pStyle w:val="3"/>
        <w:ind w:left="0"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四、服务要求</w:t>
      </w:r>
    </w:p>
    <w:p w14:paraId="6E1C4D56">
      <w:pPr>
        <w:widowControl/>
        <w:spacing w:line="360" w:lineRule="auto"/>
        <w:ind w:firstLine="482" w:firstLineChars="20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1.设备说明</w:t>
      </w:r>
    </w:p>
    <w:p w14:paraId="21703025">
      <w:pPr>
        <w:widowControl/>
        <w:spacing w:line="360" w:lineRule="auto"/>
        <w:ind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（1）本次采购的软硬件设备，采购人要求不低于以上主要技术指标的产品，投标人必须对其他的集成与技术差异提供说明（具体技术指标详见招标文件）。</w:t>
      </w:r>
    </w:p>
    <w:p w14:paraId="21B80CD7">
      <w:pPr>
        <w:widowControl/>
        <w:spacing w:line="360" w:lineRule="auto"/>
        <w:ind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3）设备清单中所列举的要求为一个基本的功能配置要求，为达到该要求，投标人需在设备清单中详细列明所提供的品牌、型号、配置数量等具体信息，未提供或提供不全相关产品资料以及评标委员会根据投标人提供的资料认为所选品牌型号、配置信息不能达到招标文件的技术指标、功能要求的，则在评审时将作出对其不利的评定，并有可能导致被判定为重大偏离。</w:t>
      </w:r>
    </w:p>
    <w:p w14:paraId="0E1C0B16">
      <w:pPr>
        <w:widowControl/>
        <w:spacing w:line="360" w:lineRule="auto"/>
        <w:ind w:firstLine="480" w:firstLineChars="200"/>
        <w:jc w:val="left"/>
        <w:outlineLvl w:val="1"/>
        <w:rPr>
          <w:rFonts w:hint="eastAsia" w:ascii="宋体" w:hAnsi="宋体" w:cs="宋体"/>
          <w:bCs/>
          <w:color w:val="auto"/>
          <w:sz w:val="24"/>
          <w:highlight w:val="none"/>
        </w:rPr>
      </w:pPr>
      <w:r>
        <w:rPr>
          <w:rFonts w:hint="eastAsia" w:ascii="宋体" w:hAnsi="宋体" w:cs="宋体"/>
          <w:bCs/>
          <w:color w:val="auto"/>
          <w:sz w:val="24"/>
          <w:highlight w:val="none"/>
        </w:rPr>
        <w:t>（4）投标人应确保投标所选用的设备、材料之间的兼容性，如评标时发现投标人投标选用的设备、材料存在不兼容性，将对其作出不利的评定，并有可能导致被判定为重大偏离。</w:t>
      </w:r>
    </w:p>
    <w:p w14:paraId="23B4D116">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2.集成要求</w:t>
      </w:r>
    </w:p>
    <w:p w14:paraId="30B4B65A">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人除需保证完成清单中设备的全部具体内容与要求的集成工作，所需设备配置、软件、各种费用及原应用的数据移植与可能需要的配件、可能的第三方指导、电源线、电源接头、零地电压、网络跳线、光纤跳线、数据移植、数据安全与集成工作由投标人自行协调完成，并承担全部费用及工作责任，集成完成后必须保证采购人能够进行其他应用软件的安装与使用。</w:t>
      </w:r>
    </w:p>
    <w:p w14:paraId="226BA7BC">
      <w:pPr>
        <w:widowControl/>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五、质保期、项目工期及地点</w:t>
      </w:r>
    </w:p>
    <w:p w14:paraId="0B223BE1">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1.质保期：验收完成之日起三年</w:t>
      </w:r>
      <w:r>
        <w:rPr>
          <w:rFonts w:hint="eastAsia" w:ascii="宋体" w:hAnsi="宋体" w:cs="宋体"/>
          <w:color w:val="auto"/>
          <w:sz w:val="24"/>
          <w:highlight w:val="none"/>
          <w:lang w:eastAsia="zh-CN"/>
        </w:rPr>
        <w:t>。</w:t>
      </w:r>
    </w:p>
    <w:p w14:paraId="0A81E8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2.合同履行期限：</w:t>
      </w:r>
      <w:r>
        <w:rPr>
          <w:rFonts w:hint="eastAsia" w:ascii="宋体" w:hAnsi="宋体" w:cs="宋体"/>
          <w:color w:val="auto"/>
          <w:sz w:val="24"/>
          <w:highlight w:val="none"/>
          <w:lang w:val="en-US" w:eastAsia="zh-CN"/>
        </w:rPr>
        <w:t>合同签订后3个月内交付</w:t>
      </w:r>
      <w:r>
        <w:rPr>
          <w:rFonts w:hint="eastAsia" w:ascii="宋体" w:hAnsi="宋体" w:cs="宋体"/>
          <w:color w:val="auto"/>
          <w:sz w:val="24"/>
          <w:highlight w:val="none"/>
        </w:rPr>
        <w:t>。</w:t>
      </w:r>
    </w:p>
    <w:p w14:paraId="4A3972DB">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3.交货地点：用户指定地点。</w:t>
      </w:r>
    </w:p>
    <w:p w14:paraId="60F11204">
      <w:pPr>
        <w:widowControl/>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六、付款方式</w:t>
      </w:r>
    </w:p>
    <w:p w14:paraId="24E6255A">
      <w:pPr>
        <w:pStyle w:val="62"/>
        <w:ind w:firstLine="480" w:firstLineChars="200"/>
        <w:rPr>
          <w:rFonts w:hint="eastAsia" w:cs="宋体"/>
          <w:color w:val="auto"/>
          <w:highlight w:val="none"/>
        </w:rPr>
      </w:pPr>
      <w:r>
        <w:rPr>
          <w:rFonts w:hint="eastAsia" w:cs="宋体"/>
          <w:color w:val="auto"/>
          <w:highlight w:val="none"/>
        </w:rPr>
        <w:t>1.合同生效以及具备实施条件后</w:t>
      </w:r>
      <w:r>
        <w:rPr>
          <w:rFonts w:hint="eastAsia" w:cs="宋体"/>
          <w:color w:val="auto"/>
          <w:highlight w:val="none"/>
          <w:lang w:val="en-US" w:eastAsia="zh-CN"/>
        </w:rPr>
        <w:t>7</w:t>
      </w:r>
      <w:r>
        <w:rPr>
          <w:rFonts w:hint="eastAsia" w:cs="宋体"/>
          <w:color w:val="auto"/>
          <w:highlight w:val="none"/>
        </w:rPr>
        <w:t>个工作日内，</w:t>
      </w:r>
      <w:bookmarkStart w:id="30" w:name="_Hlk203077646"/>
      <w:r>
        <w:rPr>
          <w:rFonts w:hint="eastAsia" w:cs="宋体"/>
          <w:color w:val="auto"/>
          <w:highlight w:val="none"/>
        </w:rPr>
        <w:t>中标人提供正规发票</w:t>
      </w:r>
      <w:bookmarkEnd w:id="30"/>
      <w:r>
        <w:rPr>
          <w:rFonts w:hint="eastAsia" w:cs="宋体"/>
          <w:color w:val="auto"/>
          <w:highlight w:val="none"/>
        </w:rPr>
        <w:t>，采购人向中标人支付50%合同款。</w:t>
      </w:r>
    </w:p>
    <w:p w14:paraId="077E122B">
      <w:pPr>
        <w:pStyle w:val="62"/>
        <w:ind w:firstLine="480" w:firstLineChars="200"/>
        <w:rPr>
          <w:rFonts w:hint="eastAsia" w:cs="宋体"/>
          <w:color w:val="auto"/>
          <w:highlight w:val="none"/>
        </w:rPr>
      </w:pPr>
      <w:r>
        <w:rPr>
          <w:rFonts w:hint="eastAsia" w:cs="宋体"/>
          <w:color w:val="auto"/>
          <w:highlight w:val="none"/>
        </w:rPr>
        <w:t>2.设备全部安装调试完成并验收合格后</w:t>
      </w:r>
      <w:r>
        <w:rPr>
          <w:rFonts w:hint="eastAsia" w:cs="宋体"/>
          <w:color w:val="auto"/>
          <w:highlight w:val="none"/>
          <w:lang w:val="en-US" w:eastAsia="zh-CN"/>
        </w:rPr>
        <w:t>7</w:t>
      </w:r>
      <w:r>
        <w:rPr>
          <w:rFonts w:hint="eastAsia" w:cs="宋体"/>
          <w:color w:val="auto"/>
          <w:highlight w:val="none"/>
        </w:rPr>
        <w:t>个工作日内，中标人提供正规发票，采购人向中标方支付剩余合同款。</w:t>
      </w:r>
    </w:p>
    <w:p w14:paraId="0240C036">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3.结算时中标人应提供相应额度的税务发票。</w:t>
      </w:r>
      <w:bookmarkStart w:id="31" w:name="_Toc6640"/>
    </w:p>
    <w:bookmarkEnd w:id="31"/>
    <w:p w14:paraId="73C22AF4">
      <w:pPr>
        <w:widowControl/>
        <w:spacing w:line="360" w:lineRule="auto"/>
        <w:jc w:val="left"/>
        <w:outlineLvl w:val="1"/>
        <w:rPr>
          <w:rFonts w:hint="eastAsia" w:ascii="宋体" w:hAnsi="宋体" w:cs="宋体"/>
          <w:b/>
          <w:color w:val="auto"/>
          <w:sz w:val="24"/>
          <w:highlight w:val="none"/>
        </w:rPr>
      </w:pPr>
      <w:r>
        <w:rPr>
          <w:rFonts w:hint="eastAsia" w:ascii="宋体" w:hAnsi="宋体" w:cs="宋体"/>
          <w:b/>
          <w:color w:val="auto"/>
          <w:sz w:val="24"/>
          <w:highlight w:val="none"/>
        </w:rPr>
        <w:t>七、培训要求</w:t>
      </w:r>
    </w:p>
    <w:p w14:paraId="31DE6A14">
      <w:pPr>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供应商须派遣有经验的工程师对采购人进行优质的培训服务，具体要求如下：</w:t>
      </w:r>
    </w:p>
    <w:p w14:paraId="1E007C1B">
      <w:pPr>
        <w:snapToGrid w:val="0"/>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对设备的使用、操作、维修进行培训，确保用户能够对设备、系统有足够的了解和熟悉，能够独立进行设备、系统的日常运营、管理和维护，并提供安装使用维护说明书，培训所需一切资料由供应商提供。供应商在报价中应充分考虑所有可能发生的费用，采购人不另行支付培训费、资料费等相关费用。</w:t>
      </w:r>
    </w:p>
    <w:p w14:paraId="6A4CDE22">
      <w:pPr>
        <w:pStyle w:val="3"/>
        <w:rPr>
          <w:rFonts w:hint="eastAsia" w:ascii="宋体" w:hAnsi="宋体" w:eastAsia="宋体" w:cs="宋体"/>
          <w:bCs w:val="0"/>
          <w:color w:val="auto"/>
          <w:sz w:val="24"/>
          <w:szCs w:val="24"/>
          <w:highlight w:val="none"/>
          <w:lang w:val="en-US"/>
        </w:rPr>
      </w:pPr>
      <w:r>
        <w:rPr>
          <w:rFonts w:hint="eastAsia" w:ascii="宋体" w:hAnsi="宋体" w:eastAsia="宋体" w:cs="宋体"/>
          <w:bCs w:val="0"/>
          <w:color w:val="auto"/>
          <w:sz w:val="24"/>
          <w:szCs w:val="24"/>
          <w:highlight w:val="none"/>
          <w:lang w:val="en-US"/>
        </w:rPr>
        <w:t>八、其他要求</w:t>
      </w:r>
    </w:p>
    <w:p w14:paraId="3CA8DD5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1.投标人应确保本项目提供的设备、服务、资料等不会侵犯任何第三方的知识产权，如出现侵权造成的法律后果，由投标人负责。</w:t>
      </w:r>
    </w:p>
    <w:p w14:paraId="311274E7">
      <w:pPr>
        <w:pStyle w:val="63"/>
        <w:adjustRightInd w:val="0"/>
        <w:snapToGrid w:val="0"/>
        <w:spacing w:after="0" w:line="360" w:lineRule="auto"/>
        <w:ind w:left="0" w:leftChars="0" w:firstLine="480"/>
        <w:jc w:val="left"/>
        <w:rPr>
          <w:rFonts w:hint="eastAsia" w:cs="宋体"/>
          <w:color w:val="auto"/>
          <w:sz w:val="24"/>
          <w:highlight w:val="none"/>
        </w:rPr>
      </w:pPr>
      <w:r>
        <w:rPr>
          <w:rFonts w:hint="eastAsia" w:cs="宋体"/>
          <w:color w:val="auto"/>
          <w:sz w:val="24"/>
          <w:highlight w:val="none"/>
        </w:rPr>
        <w:t>2.服务标准：执行国家相关标准、行业标准、地方标准。</w:t>
      </w:r>
    </w:p>
    <w:p w14:paraId="51E0E683">
      <w:pPr>
        <w:pStyle w:val="63"/>
        <w:adjustRightInd w:val="0"/>
        <w:snapToGrid w:val="0"/>
        <w:spacing w:after="0" w:line="360" w:lineRule="auto"/>
        <w:ind w:left="0" w:leftChars="0" w:firstLine="480"/>
        <w:jc w:val="left"/>
        <w:rPr>
          <w:rFonts w:hint="eastAsia" w:cs="宋体"/>
          <w:color w:val="auto"/>
          <w:sz w:val="24"/>
          <w:highlight w:val="none"/>
        </w:rPr>
      </w:pPr>
      <w:r>
        <w:rPr>
          <w:rFonts w:hint="eastAsia" w:cs="宋体"/>
          <w:color w:val="auto"/>
          <w:sz w:val="24"/>
          <w:highlight w:val="none"/>
        </w:rPr>
        <w:t>3.验收标准：项目结束后，由甲方根据招标文件和采购合同，按照履约验收管理办法进行验收。验收合格报告作为项目资金支付的依据。</w:t>
      </w:r>
    </w:p>
    <w:p w14:paraId="5312E7B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31338A2">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45"/>
      <w:bookmarkEnd w:id="32"/>
      <w:bookmarkStart w:id="33" w:name="_Toc184313239"/>
      <w:bookmarkEnd w:id="33"/>
      <w:bookmarkStart w:id="34" w:name="_Toc184312136"/>
      <w:bookmarkEnd w:id="34"/>
      <w:bookmarkStart w:id="35" w:name="_Toc184310273"/>
      <w:bookmarkEnd w:id="35"/>
      <w:bookmarkStart w:id="36" w:name="_Toc184313244"/>
      <w:bookmarkEnd w:id="36"/>
      <w:bookmarkStart w:id="37" w:name="_Toc184310331"/>
      <w:bookmarkEnd w:id="37"/>
      <w:bookmarkStart w:id="38" w:name="_Toc184310326"/>
      <w:bookmarkEnd w:id="38"/>
      <w:bookmarkStart w:id="39" w:name="_Toc184312098"/>
      <w:bookmarkEnd w:id="39"/>
      <w:bookmarkStart w:id="40" w:name="_Toc184313282"/>
      <w:bookmarkEnd w:id="40"/>
      <w:bookmarkStart w:id="41" w:name="_Toc184313290"/>
      <w:bookmarkEnd w:id="41"/>
      <w:bookmarkStart w:id="42" w:name="_Toc184308066"/>
      <w:bookmarkEnd w:id="42"/>
      <w:bookmarkStart w:id="43" w:name="_Toc184314473"/>
      <w:bookmarkEnd w:id="43"/>
      <w:bookmarkStart w:id="44" w:name="_Toc184313294"/>
      <w:bookmarkEnd w:id="44"/>
      <w:bookmarkStart w:id="45" w:name="_Toc184308056"/>
      <w:bookmarkEnd w:id="45"/>
      <w:bookmarkStart w:id="46" w:name="_Toc184314434"/>
      <w:bookmarkEnd w:id="46"/>
      <w:bookmarkStart w:id="47" w:name="_Toc184312132"/>
      <w:bookmarkEnd w:id="47"/>
      <w:bookmarkStart w:id="48" w:name="_Toc184308088"/>
      <w:bookmarkEnd w:id="48"/>
      <w:bookmarkStart w:id="49" w:name="_Toc184310296"/>
      <w:bookmarkEnd w:id="49"/>
      <w:bookmarkStart w:id="50" w:name="_Toc184308040"/>
      <w:bookmarkEnd w:id="50"/>
      <w:bookmarkStart w:id="51" w:name="_Toc184310318"/>
      <w:bookmarkEnd w:id="51"/>
      <w:bookmarkStart w:id="52" w:name="_Toc184314453"/>
      <w:bookmarkEnd w:id="52"/>
      <w:bookmarkStart w:id="53" w:name="_Toc184314435"/>
      <w:bookmarkEnd w:id="53"/>
      <w:bookmarkStart w:id="54" w:name="_Toc184308083"/>
      <w:bookmarkEnd w:id="54"/>
      <w:bookmarkStart w:id="55" w:name="_Toc184313261"/>
      <w:bookmarkEnd w:id="55"/>
      <w:bookmarkStart w:id="56" w:name="_Toc184308091"/>
      <w:bookmarkEnd w:id="56"/>
      <w:bookmarkStart w:id="57" w:name="_Toc184312138"/>
      <w:bookmarkEnd w:id="57"/>
      <w:bookmarkStart w:id="58" w:name="_Toc184310279"/>
      <w:bookmarkEnd w:id="58"/>
      <w:bookmarkStart w:id="59" w:name="_Toc184313296"/>
      <w:bookmarkEnd w:id="59"/>
      <w:bookmarkStart w:id="60" w:name="_Toc184308108"/>
      <w:bookmarkEnd w:id="60"/>
      <w:bookmarkStart w:id="61" w:name="_Toc184308074"/>
      <w:bookmarkEnd w:id="61"/>
      <w:bookmarkStart w:id="62" w:name="_Toc184312108"/>
      <w:bookmarkEnd w:id="62"/>
      <w:bookmarkStart w:id="63" w:name="_Toc184310340"/>
      <w:bookmarkEnd w:id="63"/>
      <w:bookmarkStart w:id="64" w:name="_Toc184313304"/>
      <w:bookmarkEnd w:id="64"/>
      <w:bookmarkStart w:id="65" w:name="_Toc184310332"/>
      <w:bookmarkEnd w:id="65"/>
      <w:bookmarkStart w:id="66" w:name="_Toc184312080"/>
      <w:bookmarkEnd w:id="66"/>
      <w:bookmarkStart w:id="67" w:name="_Toc184308050"/>
      <w:bookmarkEnd w:id="67"/>
      <w:bookmarkStart w:id="68" w:name="_Toc184310311"/>
      <w:bookmarkEnd w:id="68"/>
      <w:bookmarkStart w:id="69" w:name="_Toc184314463"/>
      <w:bookmarkEnd w:id="69"/>
      <w:bookmarkStart w:id="70" w:name="_Toc184314443"/>
      <w:bookmarkEnd w:id="70"/>
      <w:bookmarkStart w:id="71" w:name="_Toc184308058"/>
      <w:bookmarkEnd w:id="71"/>
      <w:bookmarkStart w:id="72" w:name="_Toc184308036"/>
      <w:bookmarkEnd w:id="72"/>
      <w:bookmarkStart w:id="73" w:name="_Toc184313249"/>
      <w:bookmarkEnd w:id="73"/>
      <w:bookmarkStart w:id="74" w:name="_Toc184314475"/>
      <w:bookmarkEnd w:id="74"/>
      <w:bookmarkStart w:id="75" w:name="_Toc184312104"/>
      <w:bookmarkEnd w:id="75"/>
      <w:bookmarkStart w:id="76" w:name="_Toc184310329"/>
      <w:bookmarkEnd w:id="76"/>
      <w:bookmarkStart w:id="77" w:name="_Toc184308064"/>
      <w:bookmarkEnd w:id="77"/>
      <w:bookmarkStart w:id="78" w:name="_Toc184308101"/>
      <w:bookmarkEnd w:id="78"/>
      <w:bookmarkStart w:id="79" w:name="_Toc184310343"/>
      <w:bookmarkEnd w:id="79"/>
      <w:bookmarkStart w:id="80" w:name="_Toc184314479"/>
      <w:bookmarkEnd w:id="80"/>
      <w:bookmarkStart w:id="81" w:name="_Toc184312105"/>
      <w:bookmarkEnd w:id="81"/>
      <w:bookmarkStart w:id="82" w:name="_Toc184308093"/>
      <w:bookmarkEnd w:id="82"/>
      <w:bookmarkStart w:id="83" w:name="_Toc184308044"/>
      <w:bookmarkEnd w:id="83"/>
      <w:bookmarkStart w:id="84" w:name="_Toc184313273"/>
      <w:bookmarkEnd w:id="84"/>
      <w:bookmarkStart w:id="85" w:name="_Toc184314416"/>
      <w:bookmarkEnd w:id="85"/>
      <w:bookmarkStart w:id="86" w:name="_Toc184312094"/>
      <w:bookmarkEnd w:id="86"/>
      <w:bookmarkStart w:id="87" w:name="_Toc184313293"/>
      <w:bookmarkEnd w:id="87"/>
      <w:bookmarkStart w:id="88" w:name="_Toc184308067"/>
      <w:bookmarkEnd w:id="88"/>
      <w:bookmarkStart w:id="89" w:name="_Toc184308061"/>
      <w:bookmarkEnd w:id="89"/>
      <w:bookmarkStart w:id="90" w:name="_Toc184308098"/>
      <w:bookmarkEnd w:id="90"/>
      <w:bookmarkStart w:id="91" w:name="_Toc184313297"/>
      <w:bookmarkEnd w:id="91"/>
      <w:bookmarkStart w:id="92" w:name="_Toc184308071"/>
      <w:bookmarkEnd w:id="92"/>
      <w:bookmarkStart w:id="93" w:name="_Toc184312075"/>
      <w:bookmarkEnd w:id="93"/>
      <w:bookmarkStart w:id="94" w:name="_Toc184313285"/>
      <w:bookmarkEnd w:id="94"/>
      <w:bookmarkStart w:id="95" w:name="_Toc184310292"/>
      <w:bookmarkEnd w:id="95"/>
      <w:bookmarkStart w:id="96" w:name="_Toc184310304"/>
      <w:bookmarkEnd w:id="96"/>
      <w:bookmarkStart w:id="97" w:name="_Toc184314423"/>
      <w:bookmarkEnd w:id="97"/>
      <w:bookmarkStart w:id="98" w:name="_Toc184313247"/>
      <w:bookmarkEnd w:id="98"/>
      <w:bookmarkStart w:id="99" w:name="_Toc184314447"/>
      <w:bookmarkEnd w:id="99"/>
      <w:bookmarkStart w:id="100" w:name="_Toc184308085"/>
      <w:bookmarkEnd w:id="100"/>
      <w:bookmarkStart w:id="101" w:name="_Toc184314461"/>
      <w:bookmarkEnd w:id="101"/>
      <w:bookmarkStart w:id="102" w:name="_Toc184312118"/>
      <w:bookmarkEnd w:id="102"/>
      <w:bookmarkStart w:id="103" w:name="_Toc184310320"/>
      <w:bookmarkEnd w:id="103"/>
      <w:bookmarkStart w:id="104" w:name="_Toc184308078"/>
      <w:bookmarkEnd w:id="104"/>
      <w:bookmarkStart w:id="105" w:name="_Toc184312120"/>
      <w:bookmarkEnd w:id="105"/>
      <w:bookmarkStart w:id="106" w:name="_Toc184313250"/>
      <w:bookmarkEnd w:id="106"/>
      <w:bookmarkStart w:id="107" w:name="_Toc184313251"/>
      <w:bookmarkEnd w:id="107"/>
      <w:bookmarkStart w:id="108" w:name="_Toc184314432"/>
      <w:bookmarkEnd w:id="108"/>
      <w:bookmarkStart w:id="109" w:name="_Toc184310300"/>
      <w:bookmarkEnd w:id="109"/>
      <w:bookmarkStart w:id="110" w:name="_Toc184310281"/>
      <w:bookmarkEnd w:id="110"/>
      <w:bookmarkStart w:id="111" w:name="_Toc184308060"/>
      <w:bookmarkEnd w:id="111"/>
      <w:bookmarkStart w:id="112" w:name="_Toc184312129"/>
      <w:bookmarkEnd w:id="112"/>
      <w:bookmarkStart w:id="113" w:name="_Toc184313276"/>
      <w:bookmarkEnd w:id="113"/>
      <w:bookmarkStart w:id="114" w:name="_Toc184314427"/>
      <w:bookmarkEnd w:id="114"/>
      <w:bookmarkStart w:id="115" w:name="_Toc184312102"/>
      <w:bookmarkEnd w:id="115"/>
      <w:bookmarkStart w:id="116" w:name="_Toc184312137"/>
      <w:bookmarkEnd w:id="116"/>
      <w:bookmarkStart w:id="117" w:name="_Toc184310293"/>
      <w:bookmarkEnd w:id="117"/>
      <w:bookmarkStart w:id="118" w:name="_Toc184312070"/>
      <w:bookmarkEnd w:id="118"/>
      <w:bookmarkStart w:id="119" w:name="_Toc184313246"/>
      <w:bookmarkEnd w:id="119"/>
      <w:bookmarkStart w:id="120" w:name="_Toc184310285"/>
      <w:bookmarkEnd w:id="120"/>
      <w:bookmarkStart w:id="121" w:name="_Toc184312073"/>
      <w:bookmarkEnd w:id="121"/>
      <w:bookmarkStart w:id="122" w:name="_Toc184312087"/>
      <w:bookmarkEnd w:id="122"/>
      <w:bookmarkStart w:id="123" w:name="_Toc184312067"/>
      <w:bookmarkEnd w:id="123"/>
      <w:bookmarkStart w:id="124" w:name="_Toc184310282"/>
      <w:bookmarkEnd w:id="124"/>
      <w:bookmarkStart w:id="125" w:name="_Toc184313309"/>
      <w:bookmarkEnd w:id="125"/>
      <w:bookmarkStart w:id="126" w:name="_Toc184308055"/>
      <w:bookmarkEnd w:id="126"/>
      <w:bookmarkStart w:id="127" w:name="_Toc184312086"/>
      <w:bookmarkEnd w:id="127"/>
      <w:bookmarkStart w:id="128" w:name="_Toc184314474"/>
      <w:bookmarkEnd w:id="128"/>
      <w:bookmarkStart w:id="129" w:name="_Toc184313299"/>
      <w:bookmarkEnd w:id="129"/>
      <w:bookmarkStart w:id="130" w:name="_Toc184313301"/>
      <w:bookmarkEnd w:id="130"/>
      <w:bookmarkStart w:id="131" w:name="_Toc184308049"/>
      <w:bookmarkEnd w:id="131"/>
      <w:bookmarkStart w:id="132" w:name="_Toc184310342"/>
      <w:bookmarkEnd w:id="132"/>
      <w:bookmarkStart w:id="133" w:name="_Toc184312133"/>
      <w:bookmarkEnd w:id="133"/>
      <w:bookmarkStart w:id="134" w:name="_Toc184314464"/>
      <w:bookmarkEnd w:id="134"/>
      <w:bookmarkStart w:id="135" w:name="_Toc184310319"/>
      <w:bookmarkEnd w:id="135"/>
      <w:bookmarkStart w:id="136" w:name="_Toc184312122"/>
      <w:bookmarkEnd w:id="136"/>
      <w:bookmarkStart w:id="137" w:name="_Toc184308106"/>
      <w:bookmarkEnd w:id="137"/>
      <w:bookmarkStart w:id="138" w:name="_Toc184312079"/>
      <w:bookmarkEnd w:id="138"/>
      <w:bookmarkStart w:id="139" w:name="_Toc184310314"/>
      <w:bookmarkEnd w:id="139"/>
      <w:bookmarkStart w:id="140" w:name="_Toc184308057"/>
      <w:bookmarkEnd w:id="140"/>
      <w:bookmarkStart w:id="141" w:name="_Toc184313298"/>
      <w:bookmarkEnd w:id="141"/>
      <w:bookmarkStart w:id="142" w:name="_Toc184314429"/>
      <w:bookmarkEnd w:id="142"/>
      <w:bookmarkStart w:id="143" w:name="_Toc184314415"/>
      <w:bookmarkEnd w:id="143"/>
      <w:bookmarkStart w:id="144" w:name="_Toc184313270"/>
      <w:bookmarkEnd w:id="144"/>
      <w:bookmarkStart w:id="145" w:name="_Toc184314459"/>
      <w:bookmarkEnd w:id="145"/>
      <w:bookmarkStart w:id="146" w:name="_Toc184308097"/>
      <w:bookmarkEnd w:id="146"/>
      <w:bookmarkStart w:id="147" w:name="_Toc184314448"/>
      <w:bookmarkEnd w:id="147"/>
      <w:bookmarkStart w:id="148" w:name="_Toc184314472"/>
      <w:bookmarkEnd w:id="148"/>
      <w:bookmarkStart w:id="149" w:name="_Toc184313274"/>
      <w:bookmarkEnd w:id="149"/>
      <w:bookmarkStart w:id="150" w:name="_Toc184308043"/>
      <w:bookmarkEnd w:id="150"/>
      <w:bookmarkStart w:id="151" w:name="_Toc184308041"/>
      <w:bookmarkEnd w:id="151"/>
      <w:bookmarkStart w:id="152" w:name="_Toc184310272"/>
      <w:bookmarkEnd w:id="152"/>
      <w:bookmarkStart w:id="153" w:name="_Toc184312089"/>
      <w:bookmarkEnd w:id="153"/>
      <w:bookmarkStart w:id="154" w:name="_Toc184308059"/>
      <w:bookmarkEnd w:id="154"/>
      <w:bookmarkStart w:id="155" w:name="_Toc184313242"/>
      <w:bookmarkEnd w:id="155"/>
      <w:bookmarkStart w:id="156" w:name="_Toc184314469"/>
      <w:bookmarkEnd w:id="156"/>
      <w:bookmarkStart w:id="157" w:name="_Toc184312088"/>
      <w:bookmarkEnd w:id="157"/>
      <w:bookmarkStart w:id="158" w:name="_Toc184310288"/>
      <w:bookmarkEnd w:id="158"/>
      <w:bookmarkStart w:id="159" w:name="_Toc184314420"/>
      <w:bookmarkEnd w:id="159"/>
      <w:bookmarkStart w:id="160" w:name="_Toc184312106"/>
      <w:bookmarkEnd w:id="160"/>
      <w:bookmarkStart w:id="161" w:name="_Toc184314462"/>
      <w:bookmarkEnd w:id="161"/>
      <w:bookmarkStart w:id="162" w:name="_Toc184312126"/>
      <w:bookmarkEnd w:id="162"/>
      <w:bookmarkStart w:id="163" w:name="_Toc184313287"/>
      <w:bookmarkEnd w:id="163"/>
      <w:bookmarkStart w:id="164" w:name="_Toc184312128"/>
      <w:bookmarkEnd w:id="164"/>
      <w:bookmarkStart w:id="165" w:name="_Toc184310322"/>
      <w:bookmarkEnd w:id="165"/>
      <w:bookmarkStart w:id="166" w:name="_Toc184308087"/>
      <w:bookmarkEnd w:id="166"/>
      <w:bookmarkStart w:id="167" w:name="_Toc184310289"/>
      <w:bookmarkEnd w:id="167"/>
      <w:bookmarkStart w:id="168" w:name="_Toc184314477"/>
      <w:bookmarkEnd w:id="168"/>
      <w:bookmarkStart w:id="169" w:name="_Toc184312113"/>
      <w:bookmarkEnd w:id="169"/>
      <w:bookmarkStart w:id="170" w:name="_Toc184312078"/>
      <w:bookmarkEnd w:id="170"/>
      <w:bookmarkStart w:id="171" w:name="_Toc184308063"/>
      <w:bookmarkEnd w:id="171"/>
      <w:bookmarkStart w:id="172" w:name="_Toc184313248"/>
      <w:bookmarkEnd w:id="172"/>
      <w:bookmarkStart w:id="173" w:name="_Toc184310275"/>
      <w:bookmarkEnd w:id="173"/>
      <w:bookmarkStart w:id="174" w:name="_Toc184313265"/>
      <w:bookmarkEnd w:id="174"/>
      <w:bookmarkStart w:id="175" w:name="_Toc184310294"/>
      <w:bookmarkEnd w:id="175"/>
      <w:bookmarkStart w:id="176" w:name="_Toc184310321"/>
      <w:bookmarkEnd w:id="176"/>
      <w:bookmarkStart w:id="177" w:name="_Toc184312090"/>
      <w:bookmarkEnd w:id="177"/>
      <w:bookmarkStart w:id="178" w:name="_Toc184314438"/>
      <w:bookmarkEnd w:id="178"/>
      <w:bookmarkStart w:id="179" w:name="_Toc184313241"/>
      <w:bookmarkEnd w:id="179"/>
      <w:bookmarkStart w:id="180" w:name="_Toc184312083"/>
      <w:bookmarkEnd w:id="180"/>
      <w:bookmarkStart w:id="181" w:name="_Toc184308039"/>
      <w:bookmarkEnd w:id="181"/>
      <w:bookmarkStart w:id="182" w:name="_Toc184313263"/>
      <w:bookmarkEnd w:id="182"/>
      <w:bookmarkStart w:id="183" w:name="_Toc184308073"/>
      <w:bookmarkEnd w:id="183"/>
      <w:bookmarkStart w:id="184" w:name="_Toc184313280"/>
      <w:bookmarkEnd w:id="184"/>
      <w:bookmarkStart w:id="185" w:name="_Toc184312134"/>
      <w:bookmarkEnd w:id="185"/>
      <w:bookmarkStart w:id="186" w:name="_Toc184310278"/>
      <w:bookmarkEnd w:id="186"/>
      <w:bookmarkStart w:id="187" w:name="_Toc184313272"/>
      <w:bookmarkEnd w:id="187"/>
      <w:bookmarkStart w:id="188" w:name="_Toc184308102"/>
      <w:bookmarkEnd w:id="188"/>
      <w:bookmarkStart w:id="189" w:name="_Toc184308105"/>
      <w:bookmarkEnd w:id="189"/>
      <w:bookmarkStart w:id="190" w:name="_Toc184314431"/>
      <w:bookmarkEnd w:id="190"/>
      <w:bookmarkStart w:id="191" w:name="_Toc184312125"/>
      <w:bookmarkEnd w:id="191"/>
      <w:bookmarkStart w:id="192" w:name="_Toc184312096"/>
      <w:bookmarkEnd w:id="192"/>
      <w:bookmarkStart w:id="193" w:name="_Toc184314445"/>
      <w:bookmarkEnd w:id="193"/>
      <w:bookmarkStart w:id="194" w:name="_Toc184312092"/>
      <w:bookmarkEnd w:id="194"/>
      <w:bookmarkStart w:id="195" w:name="_Toc184314437"/>
      <w:bookmarkEnd w:id="195"/>
      <w:bookmarkStart w:id="196" w:name="_Toc184313269"/>
      <w:bookmarkEnd w:id="196"/>
      <w:bookmarkStart w:id="197" w:name="_Toc184313267"/>
      <w:bookmarkEnd w:id="197"/>
      <w:bookmarkStart w:id="198" w:name="_Toc184314424"/>
      <w:bookmarkEnd w:id="198"/>
      <w:bookmarkStart w:id="199" w:name="_Toc184310334"/>
      <w:bookmarkEnd w:id="199"/>
      <w:bookmarkStart w:id="200" w:name="_Toc184314418"/>
      <w:bookmarkEnd w:id="200"/>
      <w:bookmarkStart w:id="201" w:name="_Toc184310341"/>
      <w:bookmarkEnd w:id="201"/>
      <w:bookmarkStart w:id="202" w:name="_Toc184308045"/>
      <w:bookmarkEnd w:id="202"/>
      <w:bookmarkStart w:id="203" w:name="_Toc184314419"/>
      <w:bookmarkEnd w:id="203"/>
      <w:bookmarkStart w:id="204" w:name="_Toc184312109"/>
      <w:bookmarkEnd w:id="204"/>
      <w:bookmarkStart w:id="205" w:name="_Toc184310315"/>
      <w:bookmarkEnd w:id="205"/>
      <w:bookmarkStart w:id="206" w:name="_Toc184313252"/>
      <w:bookmarkEnd w:id="206"/>
      <w:bookmarkStart w:id="207" w:name="_Toc184314457"/>
      <w:bookmarkEnd w:id="207"/>
      <w:bookmarkStart w:id="208" w:name="_Toc184314414"/>
      <w:bookmarkEnd w:id="208"/>
      <w:bookmarkStart w:id="209" w:name="_Toc184310310"/>
      <w:bookmarkEnd w:id="209"/>
      <w:bookmarkStart w:id="210" w:name="_Toc184310302"/>
      <w:bookmarkEnd w:id="210"/>
      <w:bookmarkStart w:id="211" w:name="_Toc184314482"/>
      <w:bookmarkEnd w:id="211"/>
      <w:bookmarkStart w:id="212" w:name="_Toc184308065"/>
      <w:bookmarkEnd w:id="212"/>
      <w:bookmarkStart w:id="213" w:name="_Toc184310280"/>
      <w:bookmarkEnd w:id="213"/>
      <w:bookmarkStart w:id="214" w:name="_Toc184313257"/>
      <w:bookmarkEnd w:id="214"/>
      <w:bookmarkStart w:id="215" w:name="_Toc184314421"/>
      <w:bookmarkEnd w:id="215"/>
      <w:bookmarkStart w:id="216" w:name="_Toc184312085"/>
      <w:bookmarkEnd w:id="216"/>
      <w:bookmarkStart w:id="217" w:name="_Toc184314470"/>
      <w:bookmarkEnd w:id="217"/>
      <w:bookmarkStart w:id="218" w:name="_Toc184313291"/>
      <w:bookmarkEnd w:id="218"/>
      <w:bookmarkStart w:id="219" w:name="_Toc184310274"/>
      <w:bookmarkEnd w:id="219"/>
      <w:bookmarkStart w:id="220" w:name="_Toc184313266"/>
      <w:bookmarkEnd w:id="220"/>
      <w:bookmarkStart w:id="221" w:name="_Toc184313260"/>
      <w:bookmarkEnd w:id="221"/>
      <w:bookmarkStart w:id="222" w:name="_Toc184312130"/>
      <w:bookmarkEnd w:id="222"/>
      <w:bookmarkStart w:id="223" w:name="_Toc184314467"/>
      <w:bookmarkEnd w:id="223"/>
      <w:bookmarkStart w:id="224" w:name="_Toc184314468"/>
      <w:bookmarkEnd w:id="224"/>
      <w:bookmarkStart w:id="225" w:name="_Toc184308047"/>
      <w:bookmarkEnd w:id="225"/>
      <w:bookmarkStart w:id="226" w:name="_Toc184314430"/>
      <w:bookmarkEnd w:id="226"/>
      <w:bookmarkStart w:id="227" w:name="_Toc184310312"/>
      <w:bookmarkEnd w:id="227"/>
      <w:bookmarkStart w:id="228" w:name="_Toc184310298"/>
      <w:bookmarkEnd w:id="228"/>
      <w:bookmarkStart w:id="229" w:name="_Toc184312099"/>
      <w:bookmarkEnd w:id="229"/>
      <w:bookmarkStart w:id="230" w:name="_Toc184310317"/>
      <w:bookmarkEnd w:id="230"/>
      <w:bookmarkStart w:id="231" w:name="_Toc184308095"/>
      <w:bookmarkEnd w:id="231"/>
      <w:bookmarkStart w:id="232" w:name="_Toc184308079"/>
      <w:bookmarkEnd w:id="232"/>
      <w:bookmarkStart w:id="233" w:name="_Toc184310325"/>
      <w:bookmarkEnd w:id="233"/>
      <w:bookmarkStart w:id="234" w:name="_Toc184310316"/>
      <w:bookmarkEnd w:id="234"/>
      <w:bookmarkStart w:id="235" w:name="_Toc184312084"/>
      <w:bookmarkEnd w:id="235"/>
      <w:bookmarkStart w:id="236" w:name="_Toc184312139"/>
      <w:bookmarkEnd w:id="236"/>
      <w:bookmarkStart w:id="237" w:name="_Toc184310339"/>
      <w:bookmarkEnd w:id="237"/>
      <w:bookmarkStart w:id="238" w:name="_Toc184313258"/>
      <w:bookmarkEnd w:id="238"/>
      <w:bookmarkStart w:id="239" w:name="_Toc184313288"/>
      <w:bookmarkEnd w:id="239"/>
      <w:bookmarkStart w:id="240" w:name="_Toc184314455"/>
      <w:bookmarkEnd w:id="240"/>
      <w:bookmarkStart w:id="241" w:name="_Toc184313307"/>
      <w:bookmarkEnd w:id="241"/>
      <w:bookmarkStart w:id="242" w:name="_Toc184314425"/>
      <w:bookmarkEnd w:id="242"/>
      <w:bookmarkStart w:id="243" w:name="_Toc184310330"/>
      <w:bookmarkEnd w:id="243"/>
      <w:bookmarkStart w:id="244" w:name="_Toc184312074"/>
      <w:bookmarkEnd w:id="244"/>
      <w:bookmarkStart w:id="245" w:name="_Toc184310303"/>
      <w:bookmarkEnd w:id="245"/>
      <w:bookmarkStart w:id="246" w:name="_Toc184310309"/>
      <w:bookmarkEnd w:id="246"/>
      <w:bookmarkStart w:id="247" w:name="_Toc184308072"/>
      <w:bookmarkEnd w:id="247"/>
      <w:bookmarkStart w:id="248" w:name="_Toc184313281"/>
      <w:bookmarkEnd w:id="248"/>
      <w:bookmarkStart w:id="249" w:name="_Toc184310295"/>
      <w:bookmarkEnd w:id="249"/>
      <w:bookmarkStart w:id="250" w:name="_Toc184312081"/>
      <w:bookmarkEnd w:id="250"/>
      <w:bookmarkStart w:id="251" w:name="_Toc184314440"/>
      <w:bookmarkEnd w:id="251"/>
      <w:bookmarkStart w:id="252" w:name="_Toc184313253"/>
      <w:bookmarkEnd w:id="252"/>
      <w:bookmarkStart w:id="253" w:name="_Toc184308062"/>
      <w:bookmarkEnd w:id="253"/>
      <w:bookmarkStart w:id="254" w:name="_Toc184312069"/>
      <w:bookmarkEnd w:id="254"/>
      <w:bookmarkStart w:id="255" w:name="_Toc184314433"/>
      <w:bookmarkEnd w:id="255"/>
      <w:bookmarkStart w:id="256" w:name="_Toc184313264"/>
      <w:bookmarkEnd w:id="256"/>
      <w:bookmarkStart w:id="257" w:name="_Toc184308070"/>
      <w:bookmarkEnd w:id="257"/>
      <w:bookmarkStart w:id="258" w:name="_Toc184310297"/>
      <w:bookmarkEnd w:id="258"/>
      <w:bookmarkStart w:id="259" w:name="_Toc184310305"/>
      <w:bookmarkEnd w:id="259"/>
      <w:bookmarkStart w:id="260" w:name="_Toc184308092"/>
      <w:bookmarkEnd w:id="260"/>
      <w:bookmarkStart w:id="261" w:name="_Toc184310336"/>
      <w:bookmarkEnd w:id="261"/>
      <w:bookmarkStart w:id="262" w:name="_Toc184313289"/>
      <w:bookmarkEnd w:id="262"/>
      <w:bookmarkStart w:id="263" w:name="_Toc184308053"/>
      <w:bookmarkEnd w:id="263"/>
      <w:bookmarkStart w:id="264" w:name="_Toc184312135"/>
      <w:bookmarkEnd w:id="264"/>
      <w:bookmarkStart w:id="265" w:name="_Toc184312076"/>
      <w:bookmarkEnd w:id="265"/>
      <w:bookmarkStart w:id="266" w:name="_Toc184310338"/>
      <w:bookmarkEnd w:id="266"/>
      <w:bookmarkStart w:id="267" w:name="_Toc184308082"/>
      <w:bookmarkEnd w:id="267"/>
      <w:bookmarkStart w:id="268" w:name="_Toc184310323"/>
      <w:bookmarkEnd w:id="268"/>
      <w:bookmarkStart w:id="269" w:name="_Toc184310324"/>
      <w:bookmarkEnd w:id="269"/>
      <w:bookmarkStart w:id="270" w:name="_Toc184313262"/>
      <w:bookmarkEnd w:id="270"/>
      <w:bookmarkStart w:id="271" w:name="_Toc184313243"/>
      <w:bookmarkEnd w:id="271"/>
      <w:bookmarkStart w:id="272" w:name="_Toc184312116"/>
      <w:bookmarkEnd w:id="272"/>
      <w:bookmarkStart w:id="273" w:name="_Toc184308103"/>
      <w:bookmarkEnd w:id="273"/>
      <w:bookmarkStart w:id="274" w:name="_Toc184314441"/>
      <w:bookmarkEnd w:id="274"/>
      <w:bookmarkStart w:id="275" w:name="_Toc184308046"/>
      <w:bookmarkEnd w:id="275"/>
      <w:bookmarkStart w:id="276" w:name="_Toc184312117"/>
      <w:bookmarkEnd w:id="276"/>
      <w:bookmarkStart w:id="277" w:name="_Toc184308068"/>
      <w:bookmarkEnd w:id="277"/>
      <w:bookmarkStart w:id="278" w:name="_Toc184312093"/>
      <w:bookmarkEnd w:id="278"/>
      <w:bookmarkStart w:id="279" w:name="_Toc184314450"/>
      <w:bookmarkEnd w:id="279"/>
      <w:bookmarkStart w:id="280" w:name="_Toc184308048"/>
      <w:bookmarkEnd w:id="280"/>
      <w:bookmarkStart w:id="281" w:name="_Toc184313278"/>
      <w:bookmarkEnd w:id="281"/>
      <w:bookmarkStart w:id="282" w:name="_Toc184314460"/>
      <w:bookmarkEnd w:id="282"/>
      <w:bookmarkStart w:id="283" w:name="_Toc184314410"/>
      <w:bookmarkEnd w:id="283"/>
      <w:bookmarkStart w:id="284" w:name="_Toc184310335"/>
      <w:bookmarkEnd w:id="284"/>
      <w:bookmarkStart w:id="285" w:name="_Toc184314476"/>
      <w:bookmarkEnd w:id="285"/>
      <w:bookmarkStart w:id="286" w:name="_Toc184313292"/>
      <w:bookmarkEnd w:id="286"/>
      <w:bookmarkStart w:id="287" w:name="_Toc184313310"/>
      <w:bookmarkEnd w:id="287"/>
      <w:bookmarkStart w:id="288" w:name="_Toc184308086"/>
      <w:bookmarkEnd w:id="288"/>
      <w:bookmarkStart w:id="289" w:name="_Toc184312111"/>
      <w:bookmarkEnd w:id="289"/>
      <w:bookmarkStart w:id="290" w:name="_Toc184314444"/>
      <w:bookmarkEnd w:id="290"/>
      <w:bookmarkStart w:id="291" w:name="_Toc184308075"/>
      <w:bookmarkEnd w:id="291"/>
      <w:bookmarkStart w:id="292" w:name="_Toc184310307"/>
      <w:bookmarkEnd w:id="292"/>
      <w:bookmarkStart w:id="293" w:name="_Toc184308038"/>
      <w:bookmarkEnd w:id="293"/>
      <w:bookmarkStart w:id="294" w:name="_Toc184312082"/>
      <w:bookmarkEnd w:id="294"/>
      <w:bookmarkStart w:id="295" w:name="_Toc184314466"/>
      <w:bookmarkEnd w:id="295"/>
      <w:bookmarkStart w:id="296" w:name="_Toc184308090"/>
      <w:bookmarkEnd w:id="296"/>
      <w:bookmarkStart w:id="297" w:name="_Toc184310344"/>
      <w:bookmarkEnd w:id="297"/>
      <w:bookmarkStart w:id="298" w:name="_Toc184308100"/>
      <w:bookmarkEnd w:id="298"/>
      <w:bookmarkStart w:id="299" w:name="_Toc184314426"/>
      <w:bookmarkEnd w:id="299"/>
      <w:bookmarkStart w:id="300" w:name="_Toc184313268"/>
      <w:bookmarkEnd w:id="300"/>
      <w:bookmarkStart w:id="301" w:name="_Toc184313300"/>
      <w:bookmarkEnd w:id="301"/>
      <w:bookmarkStart w:id="302" w:name="_Toc184310337"/>
      <w:bookmarkEnd w:id="302"/>
      <w:bookmarkStart w:id="303" w:name="_Toc184314439"/>
      <w:bookmarkEnd w:id="303"/>
      <w:bookmarkStart w:id="304" w:name="_Toc184310308"/>
      <w:bookmarkEnd w:id="304"/>
      <w:bookmarkStart w:id="305" w:name="_Toc184308107"/>
      <w:bookmarkEnd w:id="305"/>
      <w:bookmarkStart w:id="306" w:name="_Toc184312114"/>
      <w:bookmarkEnd w:id="306"/>
      <w:bookmarkStart w:id="307" w:name="_Toc184310333"/>
      <w:bookmarkEnd w:id="307"/>
      <w:bookmarkStart w:id="308" w:name="_Toc184308081"/>
      <w:bookmarkEnd w:id="308"/>
      <w:bookmarkStart w:id="309" w:name="_Toc184312100"/>
      <w:bookmarkEnd w:id="309"/>
      <w:bookmarkStart w:id="310" w:name="_Toc184314436"/>
      <w:bookmarkEnd w:id="310"/>
      <w:bookmarkStart w:id="311" w:name="_Toc184312123"/>
      <w:bookmarkEnd w:id="311"/>
      <w:bookmarkStart w:id="312" w:name="_Toc184313271"/>
      <w:bookmarkEnd w:id="312"/>
      <w:bookmarkStart w:id="313" w:name="_Toc184312072"/>
      <w:bookmarkEnd w:id="313"/>
      <w:bookmarkStart w:id="314" w:name="_Toc184312077"/>
      <w:bookmarkEnd w:id="314"/>
      <w:bookmarkStart w:id="315" w:name="_Toc184313254"/>
      <w:bookmarkEnd w:id="315"/>
      <w:bookmarkStart w:id="316" w:name="_Toc184310306"/>
      <w:bookmarkEnd w:id="316"/>
      <w:bookmarkStart w:id="317" w:name="_Toc184310327"/>
      <w:bookmarkEnd w:id="317"/>
      <w:bookmarkStart w:id="318" w:name="_Toc184314417"/>
      <w:bookmarkEnd w:id="318"/>
      <w:bookmarkStart w:id="319" w:name="_Toc184313303"/>
      <w:bookmarkEnd w:id="319"/>
      <w:bookmarkStart w:id="320" w:name="_Toc184310313"/>
      <w:bookmarkEnd w:id="320"/>
      <w:bookmarkStart w:id="321" w:name="_Toc184308042"/>
      <w:bookmarkEnd w:id="321"/>
      <w:bookmarkStart w:id="322" w:name="_Toc184308077"/>
      <w:bookmarkEnd w:id="322"/>
      <w:bookmarkStart w:id="323" w:name="_Toc184314456"/>
      <w:bookmarkEnd w:id="323"/>
      <w:bookmarkStart w:id="324" w:name="_Toc184313306"/>
      <w:bookmarkEnd w:id="324"/>
      <w:bookmarkStart w:id="325" w:name="_Toc184314422"/>
      <w:bookmarkEnd w:id="325"/>
      <w:bookmarkStart w:id="326" w:name="_Toc184312110"/>
      <w:bookmarkEnd w:id="326"/>
      <w:bookmarkStart w:id="327" w:name="_Toc184308084"/>
      <w:bookmarkEnd w:id="327"/>
      <w:bookmarkStart w:id="328" w:name="_Toc184313277"/>
      <w:bookmarkEnd w:id="328"/>
      <w:bookmarkStart w:id="329" w:name="_Toc184313275"/>
      <w:bookmarkEnd w:id="329"/>
      <w:bookmarkStart w:id="330" w:name="_Toc184313279"/>
      <w:bookmarkEnd w:id="330"/>
      <w:bookmarkStart w:id="331" w:name="_Toc184314454"/>
      <w:bookmarkEnd w:id="331"/>
      <w:bookmarkStart w:id="332" w:name="_Toc184314412"/>
      <w:bookmarkEnd w:id="332"/>
      <w:bookmarkStart w:id="333" w:name="_Toc184313255"/>
      <w:bookmarkEnd w:id="333"/>
      <w:bookmarkStart w:id="334" w:name="_Toc184314446"/>
      <w:bookmarkEnd w:id="334"/>
      <w:bookmarkStart w:id="335" w:name="_Toc184312124"/>
      <w:bookmarkEnd w:id="335"/>
      <w:bookmarkStart w:id="336" w:name="_Toc184313240"/>
      <w:bookmarkEnd w:id="336"/>
      <w:bookmarkStart w:id="337" w:name="_Toc184308054"/>
      <w:bookmarkEnd w:id="337"/>
      <w:bookmarkStart w:id="338" w:name="_Toc184312068"/>
      <w:bookmarkEnd w:id="338"/>
      <w:bookmarkStart w:id="339" w:name="_Toc184308080"/>
      <w:bookmarkEnd w:id="339"/>
      <w:bookmarkStart w:id="340" w:name="_Toc184314449"/>
      <w:bookmarkEnd w:id="340"/>
      <w:bookmarkStart w:id="341" w:name="_Toc184314480"/>
      <w:bookmarkEnd w:id="341"/>
      <w:bookmarkStart w:id="342" w:name="_Toc184313308"/>
      <w:bookmarkEnd w:id="342"/>
      <w:bookmarkStart w:id="343" w:name="_Toc184313305"/>
      <w:bookmarkEnd w:id="343"/>
      <w:bookmarkStart w:id="344" w:name="_Toc184314481"/>
      <w:bookmarkEnd w:id="344"/>
      <w:bookmarkStart w:id="345" w:name="_Toc184314458"/>
      <w:bookmarkEnd w:id="345"/>
      <w:bookmarkStart w:id="346" w:name="_Toc184312097"/>
      <w:bookmarkEnd w:id="346"/>
      <w:bookmarkStart w:id="347" w:name="_Toc184310291"/>
      <w:bookmarkEnd w:id="347"/>
      <w:bookmarkStart w:id="348" w:name="_Toc184312107"/>
      <w:bookmarkEnd w:id="348"/>
      <w:bookmarkStart w:id="349" w:name="_Toc184308051"/>
      <w:bookmarkEnd w:id="349"/>
      <w:bookmarkStart w:id="350" w:name="_Toc184308094"/>
      <w:bookmarkEnd w:id="350"/>
      <w:bookmarkStart w:id="351" w:name="_Toc184312119"/>
      <w:bookmarkEnd w:id="351"/>
      <w:bookmarkStart w:id="352" w:name="_Toc184314451"/>
      <w:bookmarkEnd w:id="352"/>
      <w:bookmarkStart w:id="353" w:name="_Toc184314413"/>
      <w:bookmarkEnd w:id="353"/>
      <w:bookmarkStart w:id="354" w:name="_Toc184310277"/>
      <w:bookmarkEnd w:id="354"/>
      <w:bookmarkStart w:id="355" w:name="_Toc184313295"/>
      <w:bookmarkEnd w:id="355"/>
      <w:bookmarkStart w:id="356" w:name="_Toc184308076"/>
      <w:bookmarkEnd w:id="356"/>
      <w:bookmarkStart w:id="357" w:name="_Toc184314411"/>
      <w:bookmarkEnd w:id="357"/>
      <w:bookmarkStart w:id="358" w:name="_Toc184312071"/>
      <w:bookmarkEnd w:id="358"/>
      <w:bookmarkStart w:id="359" w:name="_Toc184308104"/>
      <w:bookmarkEnd w:id="359"/>
      <w:bookmarkStart w:id="360" w:name="_Toc184312103"/>
      <w:bookmarkEnd w:id="360"/>
      <w:bookmarkStart w:id="361" w:name="_Toc184312112"/>
      <w:bookmarkEnd w:id="361"/>
      <w:bookmarkStart w:id="362" w:name="_Toc184310284"/>
      <w:bookmarkEnd w:id="362"/>
      <w:bookmarkStart w:id="363" w:name="_Toc184313284"/>
      <w:bookmarkEnd w:id="363"/>
      <w:bookmarkStart w:id="364" w:name="_Toc184312091"/>
      <w:bookmarkEnd w:id="364"/>
      <w:bookmarkStart w:id="365" w:name="_Toc184310328"/>
      <w:bookmarkEnd w:id="365"/>
      <w:bookmarkStart w:id="366" w:name="_Toc184308089"/>
      <w:bookmarkEnd w:id="366"/>
      <w:bookmarkStart w:id="367" w:name="_Toc184314478"/>
      <w:bookmarkEnd w:id="367"/>
      <w:bookmarkStart w:id="368" w:name="_Toc184310283"/>
      <w:bookmarkEnd w:id="368"/>
      <w:bookmarkStart w:id="369" w:name="_Toc184310287"/>
      <w:bookmarkEnd w:id="369"/>
      <w:bookmarkStart w:id="370" w:name="_Toc184312127"/>
      <w:bookmarkEnd w:id="370"/>
      <w:bookmarkStart w:id="371" w:name="_Toc184314452"/>
      <w:bookmarkEnd w:id="371"/>
      <w:bookmarkStart w:id="372" w:name="_Toc184313238"/>
      <w:bookmarkEnd w:id="372"/>
      <w:bookmarkStart w:id="373" w:name="_Toc184314428"/>
      <w:bookmarkEnd w:id="373"/>
      <w:bookmarkStart w:id="374" w:name="_Toc184312095"/>
      <w:bookmarkEnd w:id="374"/>
      <w:bookmarkStart w:id="375" w:name="_Toc184308096"/>
      <w:bookmarkEnd w:id="375"/>
      <w:bookmarkStart w:id="376" w:name="_Toc184308037"/>
      <w:bookmarkEnd w:id="376"/>
      <w:bookmarkStart w:id="377" w:name="_Toc184314465"/>
      <w:bookmarkEnd w:id="377"/>
      <w:bookmarkStart w:id="378" w:name="_Toc184310286"/>
      <w:bookmarkEnd w:id="378"/>
      <w:bookmarkStart w:id="379" w:name="_Toc184312121"/>
      <w:bookmarkEnd w:id="379"/>
      <w:bookmarkStart w:id="380" w:name="_Toc184313283"/>
      <w:bookmarkEnd w:id="380"/>
      <w:bookmarkStart w:id="381" w:name="_Toc184312131"/>
      <w:bookmarkEnd w:id="381"/>
      <w:bookmarkStart w:id="382" w:name="_Toc184313302"/>
      <w:bookmarkEnd w:id="382"/>
      <w:bookmarkStart w:id="383" w:name="_Toc184310290"/>
      <w:bookmarkEnd w:id="383"/>
      <w:bookmarkStart w:id="384" w:name="_Toc184308052"/>
      <w:bookmarkEnd w:id="384"/>
      <w:bookmarkStart w:id="385" w:name="_Toc184313286"/>
      <w:bookmarkEnd w:id="385"/>
      <w:bookmarkStart w:id="386" w:name="_Toc184310276"/>
      <w:bookmarkEnd w:id="386"/>
      <w:bookmarkStart w:id="387" w:name="_Toc184310299"/>
      <w:bookmarkEnd w:id="387"/>
      <w:bookmarkStart w:id="388" w:name="_Toc184308099"/>
      <w:bookmarkEnd w:id="388"/>
      <w:bookmarkStart w:id="389" w:name="_Toc184313259"/>
      <w:bookmarkEnd w:id="389"/>
      <w:bookmarkStart w:id="390" w:name="_Toc184314471"/>
      <w:bookmarkEnd w:id="390"/>
      <w:bookmarkStart w:id="391" w:name="_Toc184310301"/>
      <w:bookmarkEnd w:id="391"/>
      <w:bookmarkStart w:id="392" w:name="_Toc184312101"/>
      <w:bookmarkEnd w:id="392"/>
      <w:bookmarkStart w:id="393" w:name="_Toc184308069"/>
      <w:bookmarkEnd w:id="393"/>
      <w:bookmarkStart w:id="394" w:name="_Toc184313256"/>
      <w:bookmarkEnd w:id="394"/>
      <w:bookmarkStart w:id="395" w:name="_Toc184312115"/>
      <w:bookmarkEnd w:id="395"/>
      <w:bookmarkStart w:id="396" w:name="_Toc184314442"/>
      <w:bookmarkEnd w:id="396"/>
      <w:r>
        <w:rPr>
          <w:rFonts w:hint="eastAsia" w:ascii="宋体" w:hAnsi="宋体" w:cs="宋体"/>
          <w:b/>
          <w:color w:val="auto"/>
          <w:sz w:val="36"/>
          <w:szCs w:val="36"/>
          <w:highlight w:val="none"/>
        </w:rPr>
        <w:t>评标办法</w:t>
      </w:r>
    </w:p>
    <w:p w14:paraId="34E8245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95"/>
        <w:gridCol w:w="672"/>
        <w:gridCol w:w="1020"/>
        <w:gridCol w:w="1298"/>
      </w:tblGrid>
      <w:tr w14:paraId="3EF5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363B18">
            <w:pPr>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4495" w:type="dxa"/>
            <w:vAlign w:val="center"/>
          </w:tcPr>
          <w:p w14:paraId="0F3F5B98">
            <w:pPr>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评标标准</w:t>
            </w:r>
            <w:r>
              <w:rPr>
                <w:rFonts w:hint="eastAsia" w:ascii="宋体" w:hAnsi="宋体" w:cs="宋体"/>
                <w:color w:val="auto"/>
                <w:kern w:val="0"/>
                <w:szCs w:val="21"/>
                <w:highlight w:val="none"/>
              </w:rPr>
              <w:br w:type="textWrapping"/>
            </w:r>
            <w:r>
              <w:rPr>
                <w:rFonts w:hint="eastAsia" w:ascii="宋体" w:hAnsi="宋体" w:cs="宋体"/>
                <w:b/>
                <w:bCs/>
                <w:color w:val="auto"/>
                <w:kern w:val="0"/>
                <w:sz w:val="21"/>
                <w:szCs w:val="21"/>
                <w:highlight w:val="none"/>
              </w:rPr>
              <w:t>（请注意：评审结束后，合同签订前，投标单位自行备好涉及客观分的证明材料原件供采购代理机构核对，</w:t>
            </w:r>
            <w:r>
              <w:rPr>
                <w:rFonts w:hint="eastAsia" w:ascii="宋体" w:hAnsi="宋体" w:cs="宋体"/>
                <w:b/>
                <w:bCs/>
                <w:color w:val="auto"/>
                <w:kern w:val="0"/>
                <w:szCs w:val="21"/>
                <w:highlight w:val="none"/>
              </w:rPr>
              <w:t>如</w:t>
            </w:r>
            <w:r>
              <w:rPr>
                <w:rFonts w:hint="eastAsia" w:ascii="宋体" w:hAnsi="宋体" w:cs="宋体"/>
                <w:b/>
                <w:bCs/>
                <w:color w:val="auto"/>
                <w:kern w:val="0"/>
                <w:sz w:val="21"/>
                <w:szCs w:val="21"/>
                <w:highlight w:val="none"/>
              </w:rPr>
              <w:t>原件和投标材料中证明材料不一致，采购代理机构将上报采购监管部门）</w:t>
            </w:r>
          </w:p>
        </w:tc>
        <w:tc>
          <w:tcPr>
            <w:tcW w:w="672" w:type="dxa"/>
            <w:vAlign w:val="center"/>
          </w:tcPr>
          <w:p w14:paraId="03C38B1C">
            <w:pPr>
              <w:adjustRightInd/>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权重</w:t>
            </w:r>
          </w:p>
        </w:tc>
        <w:tc>
          <w:tcPr>
            <w:tcW w:w="1020" w:type="dxa"/>
            <w:vAlign w:val="center"/>
          </w:tcPr>
          <w:p w14:paraId="6239925B">
            <w:pPr>
              <w:adjustRightInd/>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主观分/客观分属性</w:t>
            </w:r>
          </w:p>
        </w:tc>
        <w:tc>
          <w:tcPr>
            <w:tcW w:w="1298" w:type="dxa"/>
            <w:vAlign w:val="center"/>
          </w:tcPr>
          <w:p w14:paraId="7D7633F8">
            <w:pPr>
              <w:adjustRightInd/>
              <w:spacing w:line="360" w:lineRule="auto"/>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投标文件中评标标准相应的商务技术资料目录*</w:t>
            </w:r>
          </w:p>
        </w:tc>
      </w:tr>
      <w:tr w14:paraId="4B15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169BA961">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4495" w:type="dxa"/>
            <w:vAlign w:val="center"/>
          </w:tcPr>
          <w:p w14:paraId="4690609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提供近三年（2021年1月1日起至今，以签订日期为准）所承担的类似项目业绩，每提供一个类似业绩合同得1分，最多3分。</w:t>
            </w:r>
          </w:p>
          <w:p w14:paraId="26527B0E">
            <w:pPr>
              <w:spacing w:line="276" w:lineRule="auto"/>
              <w:rPr>
                <w:rFonts w:hint="eastAsia" w:ascii="宋体" w:hAnsi="宋体" w:cs="宋体"/>
                <w:color w:val="auto"/>
                <w:kern w:val="0"/>
                <w:szCs w:val="21"/>
                <w:highlight w:val="none"/>
              </w:rPr>
            </w:pPr>
            <w:r>
              <w:rPr>
                <w:rFonts w:hint="eastAsia" w:ascii="宋体" w:hAnsi="宋体" w:cs="宋体"/>
                <w:color w:val="auto"/>
                <w:szCs w:val="21"/>
                <w:highlight w:val="none"/>
              </w:rPr>
              <w:t>备注：须提供合同关键页（合同首页、标的页、盖章签字页）复印件并加盖供应商公章，否则不予认可。</w:t>
            </w:r>
          </w:p>
        </w:tc>
        <w:tc>
          <w:tcPr>
            <w:tcW w:w="672" w:type="dxa"/>
            <w:vAlign w:val="center"/>
          </w:tcPr>
          <w:p w14:paraId="6E7563EF">
            <w:pPr>
              <w:adjustRightInd/>
              <w:jc w:val="center"/>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020" w:type="dxa"/>
            <w:vAlign w:val="center"/>
          </w:tcPr>
          <w:p w14:paraId="1D231399">
            <w:pPr>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客观分</w:t>
            </w:r>
          </w:p>
        </w:tc>
        <w:tc>
          <w:tcPr>
            <w:tcW w:w="1298" w:type="dxa"/>
            <w:vAlign w:val="center"/>
          </w:tcPr>
          <w:p w14:paraId="0D477C8B">
            <w:pPr>
              <w:snapToGrid w:val="0"/>
              <w:spacing w:line="360" w:lineRule="auto"/>
              <w:jc w:val="center"/>
              <w:rPr>
                <w:rFonts w:hint="eastAsia" w:ascii="宋体" w:hAnsi="宋体" w:cs="宋体"/>
                <w:color w:val="auto"/>
                <w:kern w:val="0"/>
                <w:szCs w:val="21"/>
                <w:highlight w:val="none"/>
              </w:rPr>
            </w:pPr>
          </w:p>
        </w:tc>
      </w:tr>
      <w:tr w14:paraId="30BF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D6BDBE5">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c>
          <w:tcPr>
            <w:tcW w:w="4495" w:type="dxa"/>
            <w:shd w:val="clear" w:color="auto" w:fill="auto"/>
            <w:vAlign w:val="center"/>
          </w:tcPr>
          <w:p w14:paraId="2484DAB0">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kern w:val="0"/>
                <w:szCs w:val="21"/>
                <w:highlight w:val="none"/>
              </w:rPr>
              <w:t>招标需求的技术参数要求完全符合的得3</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分，标注“</w:t>
            </w:r>
            <w:r>
              <w:rPr>
                <w:rFonts w:hint="eastAsia" w:ascii="宋体" w:hAnsi="宋体" w:cs="宋体"/>
                <w:color w:val="auto"/>
                <w:szCs w:val="21"/>
                <w:highlight w:val="none"/>
              </w:rPr>
              <w:t>★</w:t>
            </w:r>
            <w:r>
              <w:rPr>
                <w:rFonts w:hint="eastAsia" w:ascii="宋体" w:hAnsi="宋体" w:cs="宋体"/>
                <w:color w:val="auto"/>
                <w:kern w:val="0"/>
                <w:szCs w:val="21"/>
                <w:highlight w:val="none"/>
              </w:rPr>
              <w:t>”每负偏离或遗漏一项技术要求的扣2分，其他非标注“</w:t>
            </w:r>
            <w:r>
              <w:rPr>
                <w:rFonts w:hint="eastAsia" w:ascii="宋体" w:hAnsi="宋体" w:cs="宋体"/>
                <w:color w:val="auto"/>
                <w:szCs w:val="21"/>
                <w:highlight w:val="none"/>
              </w:rPr>
              <w:t>★</w:t>
            </w:r>
            <w:r>
              <w:rPr>
                <w:rFonts w:hint="eastAsia" w:ascii="宋体" w:hAnsi="宋体" w:cs="宋体"/>
                <w:color w:val="auto"/>
                <w:kern w:val="0"/>
                <w:szCs w:val="21"/>
                <w:highlight w:val="none"/>
              </w:rPr>
              <w:t>”的技术要求，如有一项不满足扣1分，扣完为止。响应不详，或技术规格型号描述不清，或应答时缺项漏项，或无法提供要求的证明材料，视同为不响应，按负偏离计算。▲本项目扣完作无效标处理。</w:t>
            </w: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说明：响应规格与相关材料不一致（低于技术要求）视为负偏离，如提供多份相关材料存在不一致则按就低原则处理。本项扣完作无效标处理。</w:t>
            </w:r>
          </w:p>
        </w:tc>
        <w:tc>
          <w:tcPr>
            <w:tcW w:w="672" w:type="dxa"/>
            <w:shd w:val="clear" w:color="auto" w:fill="auto"/>
            <w:vAlign w:val="center"/>
          </w:tcPr>
          <w:p w14:paraId="06872844">
            <w:pPr>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39</w:t>
            </w:r>
          </w:p>
        </w:tc>
        <w:tc>
          <w:tcPr>
            <w:tcW w:w="1020" w:type="dxa"/>
            <w:shd w:val="clear" w:color="auto" w:fill="auto"/>
            <w:vAlign w:val="center"/>
          </w:tcPr>
          <w:p w14:paraId="3599BE92">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c>
          <w:tcPr>
            <w:tcW w:w="1298" w:type="dxa"/>
            <w:vAlign w:val="center"/>
          </w:tcPr>
          <w:p w14:paraId="7962DD9E">
            <w:pPr>
              <w:snapToGrid w:val="0"/>
              <w:spacing w:line="360" w:lineRule="auto"/>
              <w:ind w:firstLine="480"/>
              <w:jc w:val="center"/>
              <w:rPr>
                <w:rFonts w:hint="eastAsia" w:ascii="宋体" w:hAnsi="宋体" w:cs="宋体"/>
                <w:color w:val="auto"/>
                <w:kern w:val="0"/>
                <w:szCs w:val="21"/>
                <w:highlight w:val="none"/>
              </w:rPr>
            </w:pPr>
          </w:p>
        </w:tc>
      </w:tr>
      <w:tr w14:paraId="2D0F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A05155">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4495" w:type="dxa"/>
            <w:shd w:val="clear" w:color="auto" w:fill="auto"/>
            <w:vAlign w:val="center"/>
          </w:tcPr>
          <w:p w14:paraId="0EE72F35">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根据投标供应商对本项目采购需求的解读与本项目方案编制的实际情况、熟悉程度进行评审：对项目内容、对象、范围、时间节点认知清楚明晰、内容提供齐全，项目熟悉、需求理解完整详细，认知清晰</w:t>
            </w:r>
            <w:r>
              <w:rPr>
                <w:rFonts w:hint="eastAsia" w:ascii="宋体" w:hAnsi="宋体" w:cs="宋体"/>
                <w:color w:val="auto"/>
                <w:kern w:val="0"/>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0C9DC760">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031C5D1B">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主观分</w:t>
            </w:r>
          </w:p>
        </w:tc>
        <w:tc>
          <w:tcPr>
            <w:tcW w:w="1298" w:type="dxa"/>
            <w:vAlign w:val="center"/>
          </w:tcPr>
          <w:p w14:paraId="62C81653">
            <w:pPr>
              <w:snapToGrid w:val="0"/>
              <w:spacing w:line="360" w:lineRule="auto"/>
              <w:ind w:firstLine="480"/>
              <w:jc w:val="center"/>
              <w:rPr>
                <w:rFonts w:hint="eastAsia" w:ascii="宋体" w:hAnsi="宋体" w:cs="宋体"/>
                <w:color w:val="auto"/>
                <w:kern w:val="0"/>
                <w:szCs w:val="21"/>
                <w:highlight w:val="none"/>
              </w:rPr>
            </w:pPr>
          </w:p>
        </w:tc>
      </w:tr>
      <w:tr w14:paraId="39D5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D8CA53">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c>
          <w:tcPr>
            <w:tcW w:w="4495" w:type="dxa"/>
            <w:shd w:val="clear" w:color="auto" w:fill="auto"/>
            <w:vAlign w:val="center"/>
          </w:tcPr>
          <w:p w14:paraId="54548291">
            <w:pPr>
              <w:spacing w:line="276"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计及实施思路：对供应商提供的针对本项目的设计及实施思路进行综合评审。设计及实施思路内容全面详细、贴合本项目需求的实际情况、各项工作开展思路提供齐全且明确清晰、工作开展方法合理有效、程序详细完整</w:t>
            </w:r>
            <w:r>
              <w:rPr>
                <w:rFonts w:hint="eastAsia" w:ascii="宋体" w:hAnsi="宋体" w:cs="宋体"/>
                <w:color w:val="auto"/>
                <w:kern w:val="0"/>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3EF10512">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2DEFED7C">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主观分</w:t>
            </w:r>
          </w:p>
        </w:tc>
        <w:tc>
          <w:tcPr>
            <w:tcW w:w="1298" w:type="dxa"/>
            <w:vAlign w:val="center"/>
          </w:tcPr>
          <w:p w14:paraId="75A9BAEB">
            <w:pPr>
              <w:snapToGrid w:val="0"/>
              <w:spacing w:line="360" w:lineRule="auto"/>
              <w:jc w:val="center"/>
              <w:rPr>
                <w:rFonts w:hint="eastAsia" w:ascii="宋体" w:hAnsi="宋体" w:cs="宋体"/>
                <w:color w:val="auto"/>
                <w:kern w:val="0"/>
                <w:szCs w:val="21"/>
                <w:highlight w:val="none"/>
              </w:rPr>
            </w:pPr>
          </w:p>
        </w:tc>
      </w:tr>
      <w:tr w14:paraId="670A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514F9137">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5</w:t>
            </w:r>
          </w:p>
        </w:tc>
        <w:tc>
          <w:tcPr>
            <w:tcW w:w="4495" w:type="dxa"/>
            <w:shd w:val="clear" w:color="auto" w:fill="auto"/>
            <w:vAlign w:val="center"/>
          </w:tcPr>
          <w:p w14:paraId="34560F7F">
            <w:pPr>
              <w:contextualSpacing/>
              <w:outlineLvl w:val="0"/>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kern w:val="0"/>
                <w:szCs w:val="21"/>
                <w:highlight w:val="none"/>
              </w:rPr>
              <w:t>项目实施难点重点分析及解决预案：根据供应商提供的本项目的实施重点难点分析及解决预案，结合本项目实际进行评审：重难点分析及解决预案内容清晰表述准确全面、主要内容能够科学抓住本项目实施的核心，贴合本项目实际情况</w:t>
            </w:r>
            <w:r>
              <w:rPr>
                <w:rFonts w:hint="eastAsia" w:ascii="宋体" w:hAnsi="宋体" w:cs="宋体"/>
                <w:color w:val="auto"/>
                <w:kern w:val="0"/>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41192FB8">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20B50C24">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主观分</w:t>
            </w:r>
          </w:p>
        </w:tc>
        <w:tc>
          <w:tcPr>
            <w:tcW w:w="1298" w:type="dxa"/>
            <w:vAlign w:val="center"/>
          </w:tcPr>
          <w:p w14:paraId="4976F971">
            <w:pPr>
              <w:snapToGrid w:val="0"/>
              <w:spacing w:line="360" w:lineRule="auto"/>
              <w:jc w:val="center"/>
              <w:rPr>
                <w:rFonts w:hint="eastAsia" w:ascii="宋体" w:hAnsi="宋体" w:cs="宋体"/>
                <w:color w:val="auto"/>
                <w:kern w:val="0"/>
                <w:szCs w:val="21"/>
                <w:highlight w:val="none"/>
              </w:rPr>
            </w:pPr>
          </w:p>
        </w:tc>
      </w:tr>
      <w:tr w14:paraId="0124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89" w:type="dxa"/>
            <w:vAlign w:val="center"/>
          </w:tcPr>
          <w:p w14:paraId="3147708F">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6</w:t>
            </w:r>
          </w:p>
        </w:tc>
        <w:tc>
          <w:tcPr>
            <w:tcW w:w="4495" w:type="dxa"/>
            <w:shd w:val="clear" w:color="auto" w:fill="auto"/>
            <w:vAlign w:val="center"/>
          </w:tcPr>
          <w:p w14:paraId="72AC2EB3">
            <w:pPr>
              <w:spacing w:line="276" w:lineRule="auto"/>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kern w:val="0"/>
                <w:szCs w:val="21"/>
                <w:highlight w:val="none"/>
              </w:rPr>
              <w:t>投标供应商提供项目组织实施方案，内容完整、合理，包括产品供货、验货、安装调试、试运行、测试、调优等内容，以及组织机构、工作时间进度表、工作程序和步骤、管理和协调方法、运输保证、关键步骤的思路和要点</w:t>
            </w:r>
            <w:r>
              <w:rPr>
                <w:rFonts w:hint="eastAsia" w:ascii="宋体" w:hAnsi="宋体" w:cs="宋体"/>
                <w:color w:val="auto"/>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13983EBA">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07C7B3BC">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rPr>
              <w:t>观分</w:t>
            </w:r>
          </w:p>
        </w:tc>
        <w:tc>
          <w:tcPr>
            <w:tcW w:w="1298" w:type="dxa"/>
            <w:vAlign w:val="center"/>
          </w:tcPr>
          <w:p w14:paraId="36209412">
            <w:pPr>
              <w:snapToGrid w:val="0"/>
              <w:spacing w:line="360" w:lineRule="auto"/>
              <w:jc w:val="center"/>
              <w:rPr>
                <w:rFonts w:hint="eastAsia" w:ascii="宋体" w:hAnsi="宋体" w:cs="宋体"/>
                <w:color w:val="auto"/>
                <w:kern w:val="0"/>
                <w:szCs w:val="21"/>
                <w:highlight w:val="none"/>
              </w:rPr>
            </w:pPr>
          </w:p>
        </w:tc>
      </w:tr>
      <w:tr w14:paraId="5568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89" w:type="dxa"/>
            <w:shd w:val="clear" w:color="auto" w:fill="auto"/>
            <w:vAlign w:val="center"/>
          </w:tcPr>
          <w:p w14:paraId="6D9516E0">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7</w:t>
            </w:r>
          </w:p>
        </w:tc>
        <w:tc>
          <w:tcPr>
            <w:tcW w:w="4495" w:type="dxa"/>
            <w:shd w:val="clear" w:color="auto" w:fill="auto"/>
            <w:vAlign w:val="center"/>
          </w:tcPr>
          <w:p w14:paraId="5E1CB94C">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kern w:val="0"/>
                <w:szCs w:val="21"/>
                <w:highlight w:val="none"/>
              </w:rPr>
              <w:t>质量保证措施：投标供应商提供的质量保证措施到位，安排合理、切实可行</w:t>
            </w:r>
            <w:r>
              <w:rPr>
                <w:rFonts w:hint="eastAsia" w:ascii="宋体" w:hAnsi="宋体" w:cs="宋体"/>
                <w:color w:val="auto"/>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3722245D">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5F5564AA">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rPr>
              <w:t>观分</w:t>
            </w:r>
          </w:p>
        </w:tc>
        <w:tc>
          <w:tcPr>
            <w:tcW w:w="1298" w:type="dxa"/>
            <w:vAlign w:val="center"/>
          </w:tcPr>
          <w:p w14:paraId="28746059">
            <w:pPr>
              <w:snapToGrid w:val="0"/>
              <w:spacing w:line="360" w:lineRule="auto"/>
              <w:jc w:val="center"/>
              <w:rPr>
                <w:rFonts w:hint="eastAsia" w:ascii="宋体" w:hAnsi="宋体" w:cs="宋体"/>
                <w:color w:val="auto"/>
                <w:kern w:val="0"/>
                <w:szCs w:val="21"/>
                <w:highlight w:val="none"/>
              </w:rPr>
            </w:pPr>
          </w:p>
        </w:tc>
      </w:tr>
      <w:tr w14:paraId="1564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049D8E37">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8</w:t>
            </w:r>
          </w:p>
        </w:tc>
        <w:tc>
          <w:tcPr>
            <w:tcW w:w="4495" w:type="dxa"/>
            <w:shd w:val="clear" w:color="auto" w:fill="auto"/>
            <w:vAlign w:val="center"/>
          </w:tcPr>
          <w:p w14:paraId="665C6B51">
            <w:pPr>
              <w:spacing w:line="276" w:lineRule="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培训方案：投标供应商提供的培训方案</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内容完整、合理</w:t>
            </w:r>
            <w:r>
              <w:rPr>
                <w:rFonts w:hint="eastAsia" w:ascii="宋体" w:hAnsi="宋体" w:cs="宋体"/>
                <w:color w:val="auto"/>
                <w:kern w:val="0"/>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2、</w:t>
            </w:r>
            <w:bookmarkStart w:id="414" w:name="_GoBack"/>
            <w:bookmarkEnd w:id="414"/>
            <w:r>
              <w:rPr>
                <w:rFonts w:hint="eastAsia" w:ascii="宋体" w:hAnsi="宋体" w:cs="宋体"/>
                <w:b/>
                <w:bCs/>
                <w:color w:val="auto"/>
                <w:szCs w:val="21"/>
                <w:highlight w:val="none"/>
              </w:rPr>
              <w:t>1、0）</w:t>
            </w:r>
          </w:p>
        </w:tc>
        <w:tc>
          <w:tcPr>
            <w:tcW w:w="672" w:type="dxa"/>
            <w:shd w:val="clear" w:color="auto" w:fill="auto"/>
            <w:vAlign w:val="center"/>
          </w:tcPr>
          <w:p w14:paraId="336FC53E">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3</w:t>
            </w:r>
          </w:p>
        </w:tc>
        <w:tc>
          <w:tcPr>
            <w:tcW w:w="1020" w:type="dxa"/>
            <w:shd w:val="clear" w:color="auto" w:fill="auto"/>
            <w:vAlign w:val="center"/>
          </w:tcPr>
          <w:p w14:paraId="23A697F6">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主观分</w:t>
            </w:r>
          </w:p>
        </w:tc>
        <w:tc>
          <w:tcPr>
            <w:tcW w:w="1298" w:type="dxa"/>
            <w:vAlign w:val="center"/>
          </w:tcPr>
          <w:p w14:paraId="74547553">
            <w:pPr>
              <w:snapToGrid w:val="0"/>
              <w:spacing w:line="360" w:lineRule="auto"/>
              <w:jc w:val="center"/>
              <w:rPr>
                <w:rFonts w:hint="eastAsia" w:ascii="宋体" w:hAnsi="宋体" w:cs="宋体"/>
                <w:color w:val="auto"/>
                <w:kern w:val="0"/>
                <w:szCs w:val="21"/>
                <w:highlight w:val="none"/>
              </w:rPr>
            </w:pPr>
          </w:p>
        </w:tc>
      </w:tr>
      <w:tr w14:paraId="10DA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2BC2D80">
            <w:pPr>
              <w:spacing w:line="276"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9</w:t>
            </w:r>
          </w:p>
        </w:tc>
        <w:tc>
          <w:tcPr>
            <w:tcW w:w="4495" w:type="dxa"/>
            <w:shd w:val="clear" w:color="auto" w:fill="auto"/>
            <w:vAlign w:val="center"/>
          </w:tcPr>
          <w:p w14:paraId="5574CA7E">
            <w:pPr>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售后服务：根据投标供应商的售后响应时间、服务人员配备、售后服务承诺、故障响应修复时间方式及保障措施等</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内容完整合理</w:t>
            </w:r>
            <w:r>
              <w:rPr>
                <w:rFonts w:hint="eastAsia" w:ascii="宋体" w:hAnsi="宋体" w:cs="宋体"/>
                <w:color w:val="auto"/>
                <w:szCs w:val="21"/>
                <w:highlight w:val="none"/>
              </w:rPr>
              <w:br w:type="textWrapping"/>
            </w:r>
            <w:r>
              <w:rPr>
                <w:rFonts w:hint="eastAsia" w:ascii="宋体" w:hAnsi="宋体" w:cs="宋体"/>
                <w:b/>
                <w:bCs/>
                <w:color w:val="auto"/>
                <w:szCs w:val="21"/>
                <w:highlight w:val="none"/>
              </w:rPr>
              <w:t>（评分范围：</w:t>
            </w:r>
            <w:r>
              <w:rPr>
                <w:rFonts w:hint="eastAsia" w:ascii="宋体" w:hAnsi="宋体" w:cs="宋体"/>
                <w:b/>
                <w:bCs/>
                <w:color w:val="auto"/>
                <w:szCs w:val="21"/>
                <w:highlight w:val="none"/>
                <w:lang w:val="en-US" w:eastAsia="zh-CN"/>
              </w:rPr>
              <w:t>4、3、</w:t>
            </w:r>
            <w:r>
              <w:rPr>
                <w:rFonts w:hint="eastAsia" w:ascii="宋体" w:hAnsi="宋体" w:cs="宋体"/>
                <w:b/>
                <w:bCs/>
                <w:color w:val="auto"/>
                <w:szCs w:val="21"/>
                <w:highlight w:val="none"/>
              </w:rPr>
              <w:t>2、1、0）</w:t>
            </w:r>
          </w:p>
        </w:tc>
        <w:tc>
          <w:tcPr>
            <w:tcW w:w="672" w:type="dxa"/>
            <w:shd w:val="clear" w:color="auto" w:fill="auto"/>
            <w:vAlign w:val="center"/>
          </w:tcPr>
          <w:p w14:paraId="0A9D78B9">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4</w:t>
            </w:r>
          </w:p>
        </w:tc>
        <w:tc>
          <w:tcPr>
            <w:tcW w:w="1020" w:type="dxa"/>
            <w:shd w:val="clear" w:color="auto" w:fill="auto"/>
            <w:vAlign w:val="center"/>
          </w:tcPr>
          <w:p w14:paraId="40DD744B">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主观分</w:t>
            </w:r>
          </w:p>
        </w:tc>
        <w:tc>
          <w:tcPr>
            <w:tcW w:w="1298" w:type="dxa"/>
            <w:vAlign w:val="center"/>
          </w:tcPr>
          <w:p w14:paraId="4AF6E216">
            <w:pPr>
              <w:snapToGrid w:val="0"/>
              <w:spacing w:line="360" w:lineRule="auto"/>
              <w:jc w:val="center"/>
              <w:rPr>
                <w:rFonts w:hint="eastAsia" w:ascii="宋体" w:hAnsi="宋体" w:cs="宋体"/>
                <w:color w:val="auto"/>
                <w:kern w:val="0"/>
                <w:szCs w:val="21"/>
                <w:highlight w:val="none"/>
              </w:rPr>
            </w:pPr>
          </w:p>
        </w:tc>
      </w:tr>
      <w:tr w14:paraId="2A6A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E7BAF50">
            <w:pPr>
              <w:spacing w:line="276"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10</w:t>
            </w:r>
          </w:p>
        </w:tc>
        <w:tc>
          <w:tcPr>
            <w:tcW w:w="4495" w:type="dxa"/>
            <w:shd w:val="clear" w:color="auto" w:fill="auto"/>
            <w:vAlign w:val="center"/>
          </w:tcPr>
          <w:p w14:paraId="02ED76D4">
            <w:pPr>
              <w:contextualSpacing/>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投标人所投货物列入财政部、原国家环保总局发布的“环境标志产品政府采购清单”。且认证证书在有效截止日期内的，每有一类货物得0.5分，最高不超过0.5分（投标人提供相关证明材料）</w:t>
            </w:r>
          </w:p>
          <w:p w14:paraId="0608D5AD">
            <w:pPr>
              <w:contextualSpacing/>
              <w:outlineLvl w:val="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节能产品：标人所投货物列入国家发展和改革委员会、财政部发布的“节能产品政府采购清单”，且认证证书在有效截止日期内的，每有一类货物得0.5分，最高不超过0.5分（投标人提供相关证明材料）</w:t>
            </w:r>
          </w:p>
        </w:tc>
        <w:tc>
          <w:tcPr>
            <w:tcW w:w="672" w:type="dxa"/>
            <w:shd w:val="clear" w:color="auto" w:fill="auto"/>
            <w:vAlign w:val="center"/>
          </w:tcPr>
          <w:p w14:paraId="24189EE8">
            <w:pPr>
              <w:adjustRightInd/>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1020" w:type="dxa"/>
            <w:shd w:val="clear" w:color="auto" w:fill="auto"/>
            <w:vAlign w:val="center"/>
          </w:tcPr>
          <w:p w14:paraId="59B0E269">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c>
          <w:tcPr>
            <w:tcW w:w="1298" w:type="dxa"/>
            <w:vAlign w:val="center"/>
          </w:tcPr>
          <w:p w14:paraId="0646FE08">
            <w:pPr>
              <w:snapToGrid w:val="0"/>
              <w:spacing w:line="360" w:lineRule="auto"/>
              <w:jc w:val="center"/>
              <w:rPr>
                <w:rFonts w:hint="eastAsia" w:ascii="宋体" w:hAnsi="宋体" w:cs="宋体"/>
                <w:color w:val="auto"/>
                <w:kern w:val="0"/>
                <w:szCs w:val="21"/>
                <w:highlight w:val="none"/>
              </w:rPr>
            </w:pPr>
          </w:p>
        </w:tc>
      </w:tr>
      <w:tr w14:paraId="13FA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9A4B84C">
            <w:pPr>
              <w:spacing w:line="276"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1</w:t>
            </w:r>
          </w:p>
        </w:tc>
        <w:tc>
          <w:tcPr>
            <w:tcW w:w="4495" w:type="dxa"/>
            <w:shd w:val="clear" w:color="auto" w:fill="auto"/>
            <w:vAlign w:val="top"/>
          </w:tcPr>
          <w:p w14:paraId="0D49DFEC">
            <w:pPr>
              <w:contextualSpacing/>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有效投标报价的最低价作为评标基准价，其最低报价为满分；按［投标报价得分=（评标基准价/投标报价）*30］的计算公式计算。</w:t>
            </w:r>
          </w:p>
          <w:p w14:paraId="4C24D71A">
            <w:pPr>
              <w:widowControl/>
              <w:contextualSpacing/>
              <w:jc w:val="left"/>
              <w:outlineLvl w:val="0"/>
              <w:rPr>
                <w:rFonts w:hint="eastAsia"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72E7CF84">
            <w:pPr>
              <w:widowControl/>
              <w:contextualSpacing/>
              <w:jc w:val="left"/>
              <w:outlineLvl w:val="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72" w:type="dxa"/>
            <w:shd w:val="clear" w:color="auto" w:fill="auto"/>
            <w:vAlign w:val="center"/>
          </w:tcPr>
          <w:p w14:paraId="0BECE3D9">
            <w:pPr>
              <w:adjustRightInd/>
              <w:spacing w:line="360" w:lineRule="auto"/>
              <w:jc w:val="center"/>
              <w:outlineLvl w:val="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30</w:t>
            </w:r>
          </w:p>
        </w:tc>
        <w:tc>
          <w:tcPr>
            <w:tcW w:w="1020" w:type="dxa"/>
            <w:shd w:val="clear" w:color="auto" w:fill="auto"/>
            <w:vAlign w:val="center"/>
          </w:tcPr>
          <w:p w14:paraId="69257CD2">
            <w:pPr>
              <w:spacing w:line="360" w:lineRule="auto"/>
              <w:jc w:val="center"/>
              <w:outlineLvl w:val="0"/>
              <w:rPr>
                <w:rFonts w:hint="eastAsia" w:ascii="宋体" w:hAnsi="宋体" w:eastAsia="宋体" w:cs="宋体"/>
                <w:color w:val="auto"/>
                <w:kern w:val="0"/>
                <w:sz w:val="21"/>
                <w:szCs w:val="21"/>
                <w:highlight w:val="none"/>
                <w:lang w:val="en-US" w:eastAsia="zh-CN" w:bidi="ar-SA"/>
              </w:rPr>
            </w:pPr>
            <w:r>
              <w:rPr>
                <w:rFonts w:hint="eastAsia" w:ascii="宋体" w:hAnsi="宋体" w:cs="宋体"/>
                <w:bCs/>
                <w:color w:val="auto"/>
                <w:kern w:val="0"/>
                <w:szCs w:val="21"/>
                <w:highlight w:val="none"/>
              </w:rPr>
              <w:t>/</w:t>
            </w:r>
          </w:p>
        </w:tc>
        <w:tc>
          <w:tcPr>
            <w:tcW w:w="1298" w:type="dxa"/>
            <w:vAlign w:val="center"/>
          </w:tcPr>
          <w:p w14:paraId="60FEB9DC">
            <w:pPr>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r>
    </w:tbl>
    <w:p w14:paraId="6CBA1A04">
      <w:pPr>
        <w:rPr>
          <w:rFonts w:hint="eastAsia" w:ascii="宋体" w:hAnsi="宋体" w:cs="宋体"/>
          <w:color w:val="auto"/>
          <w:sz w:val="24"/>
          <w:highlight w:val="none"/>
        </w:rPr>
      </w:pPr>
    </w:p>
    <w:p w14:paraId="56B9DD13">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firstLine="422" w:firstLineChars="175"/>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snapToGrid w:val="0"/>
        <w:spacing w:line="360" w:lineRule="auto"/>
        <w:jc w:val="center"/>
        <w:rPr>
          <w:rFonts w:hint="eastAsia" w:ascii="宋体" w:hAnsi="宋体" w:cs="宋体"/>
          <w:b/>
          <w:color w:val="auto"/>
          <w:sz w:val="32"/>
          <w:highlight w:val="none"/>
        </w:rPr>
      </w:pPr>
    </w:p>
    <w:p w14:paraId="44521195">
      <w:pPr>
        <w:snapToGrid w:val="0"/>
        <w:spacing w:line="360" w:lineRule="auto"/>
        <w:jc w:val="center"/>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rPr>
          <w:rFonts w:hint="eastAsia" w:ascii="宋体" w:hAnsi="宋体" w:cs="宋体"/>
          <w:b/>
          <w:color w:val="auto"/>
          <w:sz w:val="32"/>
          <w:highlight w:val="none"/>
        </w:rPr>
      </w:pPr>
    </w:p>
    <w:p w14:paraId="086296DB">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59F8F9D2">
      <w:pPr>
        <w:snapToGrid w:val="0"/>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4"/>
        <w:snapToGrid w:val="0"/>
        <w:spacing w:before="0"/>
        <w:ind w:firstLine="420" w:firstLineChars="175"/>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4"/>
        <w:snapToGrid w:val="0"/>
        <w:spacing w:before="0"/>
        <w:ind w:firstLine="420" w:firstLineChars="175"/>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4"/>
        <w:snapToGrid w:val="0"/>
        <w:spacing w:before="0"/>
        <w:ind w:firstLine="420" w:firstLineChars="175"/>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4"/>
        <w:snapToGrid w:val="0"/>
        <w:spacing w:before="0"/>
        <w:ind w:firstLine="420" w:firstLineChars="175"/>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4"/>
        <w:snapToGrid w:val="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4"/>
        <w:snapToGrid w:val="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4"/>
        <w:snapToGrid w:val="0"/>
        <w:spacing w:before="0"/>
        <w:ind w:firstLine="420" w:firstLineChars="175"/>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4"/>
        <w:snapToGrid w:val="0"/>
        <w:spacing w:before="0"/>
        <w:ind w:firstLine="420" w:firstLineChars="175"/>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adjustRightInd/>
        <w:snapToGrid w:val="0"/>
        <w:spacing w:line="360" w:lineRule="auto"/>
        <w:jc w:val="center"/>
        <w:outlineLvl w:val="0"/>
        <w:rPr>
          <w:rFonts w:hint="eastAsia" w:ascii="宋体" w:hAnsi="宋体" w:cs="宋体"/>
          <w:b/>
          <w:color w:val="auto"/>
          <w:sz w:val="36"/>
          <w:szCs w:val="36"/>
          <w:highlight w:val="none"/>
        </w:rPr>
      </w:pPr>
    </w:p>
    <w:p w14:paraId="602BA00F">
      <w:pPr>
        <w:widowControl/>
        <w:adjustRightInd/>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四、评标中的其他事项</w:t>
      </w:r>
    </w:p>
    <w:p w14:paraId="1BE567CE">
      <w:pPr>
        <w:pStyle w:val="134"/>
        <w:snapToGrid w:val="0"/>
        <w:spacing w:before="0"/>
        <w:ind w:firstLine="422" w:firstLineChars="175"/>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6"/>
        <w:snapToGrid w:val="0"/>
        <w:spacing w:line="360" w:lineRule="auto"/>
        <w:ind w:firstLine="420"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4.2.2符合性审查无效条款</w:t>
      </w:r>
    </w:p>
    <w:p w14:paraId="3ADF20F3">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（1）投标文件未按照招标文件要求签署、盖章的；</w:t>
      </w:r>
    </w:p>
    <w:p w14:paraId="22A0C9DD">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（4）投标文件中承诺的投标有效期少于招标文件中载明的投标有效期的；</w:t>
      </w:r>
    </w:p>
    <w:p w14:paraId="3D04AF55">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（5）投标文件不满足招标文件的其它实质性要求的；</w:t>
      </w:r>
    </w:p>
    <w:p w14:paraId="3BA5DB9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（6）投标人有恶意串通、妨碍其他投标人的竞争行为、损害采购人或者其他投标人的合法权益情形的；</w:t>
      </w:r>
    </w:p>
    <w:p w14:paraId="566EB598">
      <w:pPr>
        <w:pStyle w:val="82"/>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（7）参与同一个采购包（标段）的供应商存在下列情形之一的，其投标（响应）文件无效：</w:t>
      </w:r>
    </w:p>
    <w:p w14:paraId="5BD3CAF7">
      <w:pPr>
        <w:pStyle w:val="82"/>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1）不同供应商的电子投标（响应）文件上传计算机的网卡MAC地址、CPU序列号和硬盘序列号等硬件信息相同的；</w:t>
      </w:r>
    </w:p>
    <w:p w14:paraId="35E3DE98">
      <w:pPr>
        <w:pStyle w:val="82"/>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2）上传的电子投标（响应）文件若出现使用本项目其他投标（响应）人的数字证书加密的，或者加盖本项目其他投标（响应）人的电子印章的；</w:t>
      </w:r>
    </w:p>
    <w:p w14:paraId="6F71C205">
      <w:pPr>
        <w:pStyle w:val="82"/>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3）不同供应商的投标（响应）文件的内容存在两处以上细节错误一致，且无法合理解释的；</w:t>
      </w:r>
    </w:p>
    <w:p w14:paraId="09CFC401">
      <w:pPr>
        <w:pStyle w:val="82"/>
        <w:snapToGrid w:val="0"/>
        <w:spacing w:line="360" w:lineRule="auto"/>
        <w:ind w:firstLine="48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 xml:space="preserve">  4）不同供应商联系人为同一人或不同联系人的联系电话一致，且无法合理解释的。</w:t>
      </w:r>
    </w:p>
    <w:p w14:paraId="55F2EFE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（8）法律、法规、规章（适用本市的）及省级以上规范性文件（适用本市的）规定的其他无效情形。</w:t>
      </w:r>
    </w:p>
    <w:p w14:paraId="498F8BC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4.2.3 报价符合性审查无效条款</w:t>
      </w:r>
    </w:p>
    <w:p w14:paraId="1A816215">
      <w:pPr>
        <w:snapToGrid w:val="0"/>
        <w:spacing w:line="360" w:lineRule="auto"/>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（1）投标文件出现不是唯一的、有选择性投标报价的;</w:t>
      </w:r>
    </w:p>
    <w:p w14:paraId="11085EBC">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（2）投标报价超过招标文件中规定的预算金额或者最高限价的;</w:t>
      </w:r>
    </w:p>
    <w:p w14:paraId="20A56BEA">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（3）投标人对根据修正原则修正后的报价不确认的；</w:t>
      </w:r>
    </w:p>
    <w:p w14:paraId="27CED698">
      <w:pPr>
        <w:pStyle w:val="82"/>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5.废标。根据《中华人民共和国政府采购法》第三十六条之规定，在采购中，出现下列情形之一的，应予废标：</w:t>
      </w:r>
    </w:p>
    <w:p w14:paraId="4B77D5DD">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E029C89">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70607AC">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3ED7C808">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6E75205">
      <w:pPr>
        <w:pStyle w:val="26"/>
        <w:snapToGrid w:val="0"/>
        <w:spacing w:line="360" w:lineRule="auto"/>
        <w:ind w:firstLine="422" w:firstLineChars="17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95A31C8">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0B97E72F">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26"/>
        <w:snapToGrid w:val="0"/>
        <w:spacing w:line="360" w:lineRule="auto"/>
        <w:ind w:firstLine="0" w:firstLineChars="0"/>
        <w:rPr>
          <w:rFonts w:hint="eastAsia" w:cs="宋体"/>
          <w:color w:val="auto"/>
          <w:highlight w:val="none"/>
        </w:rPr>
      </w:pPr>
    </w:p>
    <w:bookmarkEnd w:id="29"/>
    <w:p w14:paraId="10EB9492">
      <w:pPr>
        <w:rPr>
          <w:rFonts w:hint="eastAsia"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F16C70A">
      <w:pPr>
        <w:pStyle w:val="24"/>
        <w:jc w:val="center"/>
        <w:rPr>
          <w:rFonts w:hint="eastAsia"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政府采购货物买卖合同</w:t>
      </w:r>
    </w:p>
    <w:p w14:paraId="53BC2D3F">
      <w:pPr>
        <w:pStyle w:val="24"/>
        <w:jc w:val="center"/>
        <w:rPr>
          <w:rFonts w:hint="eastAsia" w:hAnsi="宋体" w:cs="宋体"/>
          <w:b/>
          <w:bCs/>
          <w:color w:val="auto"/>
          <w:spacing w:val="-20"/>
          <w:kern w:val="44"/>
          <w:sz w:val="48"/>
          <w:szCs w:val="48"/>
          <w:highlight w:val="none"/>
        </w:rPr>
      </w:pPr>
      <w:r>
        <w:rPr>
          <w:rFonts w:hint="eastAsia" w:hAnsi="宋体" w:cs="宋体"/>
          <w:b/>
          <w:bCs/>
          <w:color w:val="auto"/>
          <w:spacing w:val="-20"/>
          <w:kern w:val="44"/>
          <w:sz w:val="48"/>
          <w:szCs w:val="48"/>
          <w:highlight w:val="none"/>
        </w:rPr>
        <w:t>（试行）</w:t>
      </w:r>
    </w:p>
    <w:p w14:paraId="028B492E">
      <w:pPr>
        <w:rPr>
          <w:rFonts w:hint="eastAsia" w:ascii="宋体" w:hAnsi="宋体" w:cs="宋体"/>
          <w:b/>
          <w:bCs/>
          <w:color w:val="auto"/>
          <w:spacing w:val="-20"/>
          <w:kern w:val="44"/>
          <w:sz w:val="40"/>
          <w:szCs w:val="40"/>
          <w:highlight w:val="none"/>
        </w:rPr>
      </w:pPr>
    </w:p>
    <w:p w14:paraId="6566D841">
      <w:pPr>
        <w:rPr>
          <w:rFonts w:hint="eastAsia" w:ascii="宋体" w:hAnsi="宋体" w:cs="宋体"/>
          <w:b/>
          <w:bCs/>
          <w:color w:val="auto"/>
          <w:spacing w:val="-20"/>
          <w:kern w:val="44"/>
          <w:sz w:val="40"/>
          <w:szCs w:val="40"/>
          <w:highlight w:val="none"/>
        </w:rPr>
      </w:pPr>
    </w:p>
    <w:p w14:paraId="486A85D2">
      <w:pPr>
        <w:rPr>
          <w:rFonts w:hint="eastAsia" w:ascii="宋体" w:hAnsi="宋体" w:cs="宋体"/>
          <w:b/>
          <w:bCs/>
          <w:color w:val="auto"/>
          <w:spacing w:val="-20"/>
          <w:kern w:val="44"/>
          <w:sz w:val="40"/>
          <w:szCs w:val="40"/>
          <w:highlight w:val="none"/>
        </w:rPr>
      </w:pPr>
    </w:p>
    <w:p w14:paraId="36C9414A">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06B34DAE">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7AB570C">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415FC593">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34DD0362">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145B866">
      <w:pPr>
        <w:rPr>
          <w:color w:val="auto"/>
          <w:highlight w:val="none"/>
        </w:rPr>
      </w:pPr>
    </w:p>
    <w:p w14:paraId="0DB3E4EE">
      <w:pPr>
        <w:rPr>
          <w:rFonts w:eastAsia="黑体"/>
          <w:color w:val="auto"/>
          <w:sz w:val="44"/>
          <w:szCs w:val="44"/>
          <w:highlight w:val="none"/>
        </w:rPr>
      </w:pPr>
      <w:r>
        <w:rPr>
          <w:rFonts w:eastAsia="黑体"/>
          <w:color w:val="auto"/>
          <w:sz w:val="44"/>
          <w:szCs w:val="44"/>
          <w:highlight w:val="none"/>
        </w:rPr>
        <w:br w:type="page"/>
      </w:r>
    </w:p>
    <w:p w14:paraId="7C620250">
      <w:pPr>
        <w:rPr>
          <w:rFonts w:eastAsia="黑体"/>
          <w:color w:val="auto"/>
          <w:sz w:val="44"/>
          <w:szCs w:val="44"/>
          <w:highlight w:val="none"/>
        </w:rPr>
      </w:pPr>
    </w:p>
    <w:p w14:paraId="0A9E5F60">
      <w:pPr>
        <w:rPr>
          <w:rFonts w:eastAsia="黑体"/>
          <w:color w:val="auto"/>
          <w:sz w:val="44"/>
          <w:szCs w:val="44"/>
          <w:highlight w:val="none"/>
        </w:rPr>
      </w:pPr>
    </w:p>
    <w:p w14:paraId="4ED95BAF">
      <w:pPr>
        <w:jc w:val="center"/>
        <w:rPr>
          <w:rFonts w:eastAsia="黑体"/>
          <w:color w:val="auto"/>
          <w:sz w:val="44"/>
          <w:szCs w:val="44"/>
          <w:highlight w:val="none"/>
        </w:rPr>
      </w:pPr>
      <w:r>
        <w:rPr>
          <w:rFonts w:hint="eastAsia" w:eastAsia="黑体"/>
          <w:color w:val="auto"/>
          <w:sz w:val="44"/>
          <w:szCs w:val="44"/>
          <w:highlight w:val="none"/>
        </w:rPr>
        <w:t>使 用 说 明</w:t>
      </w:r>
    </w:p>
    <w:p w14:paraId="76756AA7">
      <w:pPr>
        <w:ind w:firstLine="640" w:firstLineChars="200"/>
        <w:rPr>
          <w:rFonts w:ascii="仿宋_GB2312" w:hAnsi="仿宋_GB2312" w:eastAsia="仿宋_GB2312" w:cs="仿宋_GB2312"/>
          <w:color w:val="auto"/>
          <w:sz w:val="32"/>
          <w:szCs w:val="32"/>
          <w:highlight w:val="none"/>
        </w:rPr>
      </w:pPr>
    </w:p>
    <w:p w14:paraId="65D345F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045A5834">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714FD13B">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4B12701E">
      <w:pPr>
        <w:ind w:firstLine="880" w:firstLineChars="200"/>
        <w:rPr>
          <w:rFonts w:eastAsia="黑体"/>
          <w:color w:val="auto"/>
          <w:sz w:val="44"/>
          <w:szCs w:val="44"/>
          <w:highlight w:val="none"/>
        </w:rPr>
        <w:sectPr>
          <w:pgSz w:w="11906" w:h="16838"/>
          <w:pgMar w:top="1440" w:right="1800" w:bottom="1440" w:left="1800" w:header="851" w:footer="992" w:gutter="0"/>
          <w:cols w:space="425" w:num="1"/>
          <w:docGrid w:type="lines" w:linePitch="312" w:charSpace="0"/>
        </w:sectPr>
      </w:pPr>
    </w:p>
    <w:p w14:paraId="6719742A">
      <w:pPr>
        <w:pStyle w:val="3"/>
        <w:adjustRightInd w:val="0"/>
        <w:snapToGrid w:val="0"/>
        <w:spacing w:line="400" w:lineRule="exact"/>
        <w:jc w:val="center"/>
        <w:rPr>
          <w:rFonts w:hint="eastAsia" w:ascii="黑体" w:hAnsi="黑体" w:eastAsia="黑体"/>
          <w:color w:val="auto"/>
          <w:sz w:val="28"/>
          <w:szCs w:val="28"/>
          <w:highlight w:val="none"/>
        </w:rPr>
      </w:pPr>
      <w:bookmarkStart w:id="399" w:name="_Toc22209"/>
    </w:p>
    <w:p w14:paraId="3903C7CE">
      <w:pPr>
        <w:pStyle w:val="3"/>
        <w:adjustRightInd w:val="0"/>
        <w:snapToGrid w:val="0"/>
        <w:spacing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99"/>
    </w:p>
    <w:p w14:paraId="564EE47E">
      <w:pPr>
        <w:pStyle w:val="3"/>
        <w:adjustRightInd w:val="0"/>
        <w:snapToGrid w:val="0"/>
        <w:spacing w:line="400" w:lineRule="exact"/>
        <w:jc w:val="center"/>
        <w:rPr>
          <w:rFonts w:hint="eastAsia" w:ascii="黑体" w:hAnsi="华文中宋" w:eastAsia="黑体"/>
          <w:b w:val="0"/>
          <w:bCs w:val="0"/>
          <w:color w:val="auto"/>
          <w:sz w:val="28"/>
          <w:szCs w:val="28"/>
          <w:highlight w:val="none"/>
        </w:rPr>
      </w:pPr>
    </w:p>
    <w:p w14:paraId="05968909">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甲方（全称）：</w:t>
      </w:r>
      <w:r>
        <w:rPr>
          <w:rFonts w:hint="eastAsia" w:asciiTheme="minorEastAsia" w:hAnsiTheme="minorEastAsia" w:eastAsiaTheme="minorEastAsia" w:cstheme="minorEastAsia"/>
          <w:color w:val="auto"/>
          <w:sz w:val="24"/>
          <w:highlight w:val="none"/>
          <w:u w:val="single"/>
        </w:rPr>
        <w:t>杭州市西湖区图书馆（</w:t>
      </w:r>
      <w:r>
        <w:rPr>
          <w:rFonts w:hint="eastAsia" w:asciiTheme="minorEastAsia" w:hAnsiTheme="minorEastAsia" w:eastAsiaTheme="minorEastAsia" w:cstheme="minorEastAsia"/>
          <w:color w:val="auto"/>
          <w:sz w:val="24"/>
          <w:highlight w:val="none"/>
        </w:rPr>
        <w:t>采购人、受采购人委托签订合同的单位或采购</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文件约定的合同甲方）</w:t>
      </w:r>
    </w:p>
    <w:p w14:paraId="44ED6B57">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乙方1（全称）：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w:t>
      </w:r>
    </w:p>
    <w:p w14:paraId="58728B2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乙方2（全称）：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（联合体成员供应商或其他合同主体）（如有）</w:t>
      </w:r>
    </w:p>
    <w:p w14:paraId="1A0011F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乙方3（全称）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（联合体成员供应商或其他合同主体）（如有）</w:t>
      </w:r>
    </w:p>
    <w:p w14:paraId="0BC7CC8F">
      <w:pPr>
        <w:spacing w:line="400" w:lineRule="exact"/>
        <w:rPr>
          <w:rFonts w:hint="default" w:eastAsia="宋体"/>
          <w:color w:val="auto"/>
          <w:highlight w:val="none"/>
          <w:lang w:val="en-US" w:eastAsia="zh-CN"/>
        </w:rPr>
      </w:pPr>
      <w:r>
        <w:rPr>
          <w:rFonts w:hint="eastAsia"/>
          <w:color w:val="auto"/>
          <w:highlight w:val="none"/>
          <w:lang w:val="en-US" w:eastAsia="zh-CN"/>
        </w:rPr>
        <w:t>乙方1、乙方2、乙方3统称乙方。</w:t>
      </w:r>
    </w:p>
    <w:p w14:paraId="24D0096C">
      <w:pPr>
        <w:pStyle w:val="26"/>
        <w:snapToGrid w:val="0"/>
        <w:spacing w:line="400" w:lineRule="exact"/>
        <w:rPr>
          <w:rFonts w:hint="eastAsia"/>
          <w:color w:val="auto"/>
          <w:szCs w:val="21"/>
          <w:highlight w:val="none"/>
        </w:rPr>
      </w:pPr>
      <w:r>
        <w:rPr>
          <w:rFonts w:hint="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6DDF8A">
      <w:pPr>
        <w:numPr>
          <w:ilvl w:val="0"/>
          <w:numId w:val="3"/>
        </w:numPr>
        <w:snapToGrid w:val="0"/>
        <w:spacing w:line="400" w:lineRule="exact"/>
        <w:ind w:firstLine="402" w:firstLineChars="200"/>
        <w:rPr>
          <w:rFonts w:hint="eastAsia" w:ascii="宋体" w:hAnsi="宋体"/>
          <w:b/>
          <w:color w:val="auto"/>
          <w:sz w:val="20"/>
          <w:szCs w:val="20"/>
          <w:highlight w:val="none"/>
        </w:rPr>
      </w:pPr>
      <w:r>
        <w:rPr>
          <w:rFonts w:hint="eastAsia" w:ascii="宋体" w:hAnsi="宋体"/>
          <w:b/>
          <w:color w:val="auto"/>
          <w:sz w:val="20"/>
          <w:szCs w:val="20"/>
          <w:highlight w:val="none"/>
        </w:rPr>
        <w:t>项目信息</w:t>
      </w:r>
    </w:p>
    <w:p w14:paraId="47A1C109">
      <w:pPr>
        <w:pStyle w:val="26"/>
        <w:numPr>
          <w:ilvl w:val="0"/>
          <w:numId w:val="4"/>
        </w:numPr>
        <w:snapToGrid w:val="0"/>
        <w:spacing w:line="400" w:lineRule="exact"/>
        <w:ind w:firstLine="440"/>
        <w:rPr>
          <w:rFonts w:hint="eastAsia"/>
          <w:color w:val="auto"/>
          <w:sz w:val="22"/>
          <w:szCs w:val="20"/>
          <w:highlight w:val="none"/>
          <w:u w:val="single"/>
        </w:rPr>
      </w:pPr>
      <w:r>
        <w:rPr>
          <w:rFonts w:hint="eastAsia"/>
          <w:color w:val="auto"/>
          <w:sz w:val="22"/>
          <w:szCs w:val="20"/>
          <w:highlight w:val="none"/>
        </w:rPr>
        <w:t>采购项目名称：</w:t>
      </w:r>
      <w:r>
        <w:rPr>
          <w:rFonts w:hint="eastAsia" w:cs="仿宋_GB2312" w:asciiTheme="minorEastAsia" w:hAnsiTheme="minorEastAsia" w:eastAsiaTheme="minorEastAsia"/>
          <w:color w:val="auto"/>
          <w:sz w:val="22"/>
          <w:szCs w:val="22"/>
          <w:highlight w:val="none"/>
          <w:u w:val="single"/>
        </w:rPr>
        <w:t xml:space="preserve">采购智慧书架视觉盘点系统项目  </w:t>
      </w:r>
    </w:p>
    <w:p w14:paraId="1C56F083">
      <w:pPr>
        <w:pStyle w:val="26"/>
        <w:numPr>
          <w:ilvl w:val="255"/>
          <w:numId w:val="0"/>
        </w:numPr>
        <w:tabs>
          <w:tab w:val="left" w:pos="999"/>
        </w:tabs>
        <w:snapToGrid w:val="0"/>
        <w:spacing w:line="400" w:lineRule="exact"/>
        <w:rPr>
          <w:rFonts w:hint="eastAsia"/>
          <w:color w:val="auto"/>
          <w:sz w:val="22"/>
          <w:szCs w:val="20"/>
          <w:highlight w:val="none"/>
        </w:rPr>
      </w:pPr>
      <w:r>
        <w:rPr>
          <w:rFonts w:hint="eastAsia"/>
          <w:color w:val="auto"/>
          <w:sz w:val="22"/>
          <w:szCs w:val="20"/>
          <w:highlight w:val="none"/>
        </w:rPr>
        <w:t xml:space="preserve">         采购项目编号：</w:t>
      </w:r>
      <w:r>
        <w:rPr>
          <w:color w:val="auto"/>
          <w:sz w:val="22"/>
          <w:szCs w:val="20"/>
          <w:highlight w:val="none"/>
          <w:u w:val="single"/>
        </w:rPr>
        <w:t xml:space="preserve">                                          </w:t>
      </w:r>
    </w:p>
    <w:p w14:paraId="5874C91A">
      <w:pPr>
        <w:pStyle w:val="26"/>
        <w:snapToGrid w:val="0"/>
        <w:spacing w:line="400" w:lineRule="exact"/>
        <w:ind w:firstLine="440"/>
        <w:rPr>
          <w:rFonts w:hint="eastAsia"/>
          <w:color w:val="auto"/>
          <w:sz w:val="22"/>
          <w:szCs w:val="20"/>
          <w:highlight w:val="none"/>
        </w:rPr>
      </w:pPr>
      <w:r>
        <w:rPr>
          <w:rFonts w:hint="eastAsia"/>
          <w:color w:val="auto"/>
          <w:sz w:val="22"/>
          <w:szCs w:val="20"/>
          <w:highlight w:val="none"/>
        </w:rPr>
        <w:t>（2）采购计划编号：</w:t>
      </w:r>
      <w:r>
        <w:rPr>
          <w:color w:val="auto"/>
          <w:sz w:val="22"/>
          <w:szCs w:val="20"/>
          <w:highlight w:val="none"/>
          <w:u w:val="single"/>
        </w:rPr>
        <w:t xml:space="preserve">                     </w:t>
      </w:r>
      <w:r>
        <w:rPr>
          <w:rFonts w:hint="eastAsia"/>
          <w:color w:val="auto"/>
          <w:sz w:val="22"/>
          <w:szCs w:val="20"/>
          <w:highlight w:val="none"/>
          <w:u w:val="single"/>
        </w:rPr>
        <w:t xml:space="preserve">                </w:t>
      </w:r>
      <w:r>
        <w:rPr>
          <w:color w:val="auto"/>
          <w:sz w:val="22"/>
          <w:szCs w:val="20"/>
          <w:highlight w:val="none"/>
          <w:u w:val="single"/>
        </w:rPr>
        <w:t xml:space="preserve">     </w:t>
      </w:r>
      <w:r>
        <w:rPr>
          <w:color w:val="auto"/>
          <w:sz w:val="22"/>
          <w:szCs w:val="20"/>
          <w:highlight w:val="none"/>
        </w:rPr>
        <w:t xml:space="preserve"> </w:t>
      </w:r>
    </w:p>
    <w:p w14:paraId="7966320D">
      <w:pPr>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（3）项目内容：</w:t>
      </w:r>
    </w:p>
    <w:p w14:paraId="7D16ACF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a.</w:t>
      </w:r>
      <w:r>
        <w:rPr>
          <w:rFonts w:hint="eastAsia" w:ascii="宋体" w:hAnsi="宋体"/>
          <w:color w:val="auto"/>
          <w:szCs w:val="21"/>
          <w:highlight w:val="none"/>
        </w:rPr>
        <w:t>采购清单</w:t>
      </w:r>
    </w:p>
    <w:tbl>
      <w:tblPr>
        <w:tblStyle w:val="64"/>
        <w:tblW w:w="4279" w:type="pct"/>
        <w:jc w:val="center"/>
        <w:tblLayout w:type="fixed"/>
        <w:tblCellMar>
          <w:top w:w="0" w:type="dxa"/>
          <w:left w:w="108" w:type="dxa"/>
          <w:bottom w:w="0" w:type="dxa"/>
          <w:right w:w="108" w:type="dxa"/>
        </w:tblCellMar>
      </w:tblPr>
      <w:tblGrid>
        <w:gridCol w:w="848"/>
        <w:gridCol w:w="4179"/>
        <w:gridCol w:w="1583"/>
        <w:gridCol w:w="1337"/>
      </w:tblGrid>
      <w:tr w14:paraId="75FD5452">
        <w:tblPrEx>
          <w:tblCellMar>
            <w:top w:w="0" w:type="dxa"/>
            <w:left w:w="108" w:type="dxa"/>
            <w:bottom w:w="0" w:type="dxa"/>
            <w:right w:w="108" w:type="dxa"/>
          </w:tblCellMar>
        </w:tblPrEx>
        <w:trPr>
          <w:trHeight w:val="484"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1E975BF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序号</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15C6A15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设备名称</w:t>
            </w:r>
            <w:r>
              <w:rPr>
                <w:rFonts w:hint="eastAsia" w:ascii="宋体" w:hAnsi="宋体"/>
                <w:color w:val="auto"/>
                <w:szCs w:val="21"/>
                <w:highlight w:val="none"/>
              </w:rPr>
              <w:br w:type="textWrapping"/>
            </w:r>
            <w:r>
              <w:rPr>
                <w:rFonts w:hint="eastAsia" w:ascii="宋体" w:hAnsi="宋体"/>
                <w:color w:val="auto"/>
                <w:szCs w:val="21"/>
                <w:highlight w:val="none"/>
              </w:rPr>
              <w:t>（标的名称）</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14E3147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单位</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1F15AAF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数量</w:t>
            </w:r>
          </w:p>
        </w:tc>
      </w:tr>
      <w:tr w14:paraId="6D9EE3B1">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4E55B2C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42CEE6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智慧书架视觉盘点系统</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7786190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3FC5774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0334287B">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19E12FB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0D2FD9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高清影像自动采集系统</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12671F3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4FC7280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38943BEF">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06D3AC2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03CD744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读者查询手机端</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725B9D9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3DB92226">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r>
      <w:tr w14:paraId="3E7E020A">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4F77E38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ADD304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馆员图书管理手机端</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150E1B8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28C04F56">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r>
      <w:tr w14:paraId="07C028C1">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5E541E8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6B3A708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AI盘点摄像机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364AF19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个</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77D71C9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100</w:t>
            </w:r>
          </w:p>
        </w:tc>
      </w:tr>
      <w:tr w14:paraId="4E435644">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6EA0F0C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AD6B00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摄像机定制支架</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551FDCC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个</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4DA38222">
            <w:pPr>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75</w:t>
            </w:r>
          </w:p>
        </w:tc>
      </w:tr>
      <w:tr w14:paraId="0A5FFE77">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4D3AD55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02747BC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边缘计算服务主机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457B3DA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1D50CDB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p>
        </w:tc>
      </w:tr>
      <w:tr w14:paraId="04B7B975">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73716BE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0473CA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Web服务主机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02801FD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6614C3D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331169DA">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5FECFDD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2D111C1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网络交换机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36DF31C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070E575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p>
        </w:tc>
      </w:tr>
      <w:tr w14:paraId="70AC3D96">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1ACD931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0CC77E5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汇聚层交换机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1C51779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5637CE7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2BFC8487">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061A403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1D55017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图书定位检索机32寸一体机</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3A40B41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1B347C4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r>
      <w:tr w14:paraId="1C5FC238">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22522F5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0843C60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手持盘点仪</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30A539F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456DF04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r>
      <w:tr w14:paraId="759A636C">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0561AED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13668C9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国产化数据库</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084A690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7246DFC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2E97B201">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4A689FE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04B039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国产化中间件</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4791416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5215D76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3A204CE0">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4E2834A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7F17BAD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图书层架标</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17AAF94B">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w:t>
            </w:r>
            <w:r>
              <w:rPr>
                <w:rFonts w:hint="eastAsia" w:ascii="宋体" w:hAnsi="宋体"/>
                <w:color w:val="auto"/>
                <w:szCs w:val="21"/>
                <w:highlight w:val="none"/>
                <w:lang w:eastAsia="zh-CN"/>
              </w:rPr>
              <w:t>（全馆）</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4126A3D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r w14:paraId="45DA641C">
        <w:tblPrEx>
          <w:tblCellMar>
            <w:top w:w="0" w:type="dxa"/>
            <w:left w:w="108" w:type="dxa"/>
            <w:bottom w:w="0" w:type="dxa"/>
            <w:right w:w="108" w:type="dxa"/>
          </w:tblCellMar>
        </w:tblPrEx>
        <w:trPr>
          <w:trHeight w:val="590" w:hRule="atLeast"/>
          <w:jc w:val="center"/>
        </w:trPr>
        <w:tc>
          <w:tcPr>
            <w:tcW w:w="533" w:type="pct"/>
            <w:tcBorders>
              <w:top w:val="single" w:color="000000" w:sz="4" w:space="0"/>
              <w:left w:val="single" w:color="000000" w:sz="4" w:space="0"/>
              <w:bottom w:val="single" w:color="000000" w:sz="4" w:space="0"/>
              <w:right w:val="single" w:color="000000" w:sz="4" w:space="0"/>
            </w:tcBorders>
            <w:noWrap/>
            <w:vAlign w:val="center"/>
          </w:tcPr>
          <w:p w14:paraId="113E458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16</w:t>
            </w:r>
          </w:p>
        </w:tc>
        <w:tc>
          <w:tcPr>
            <w:tcW w:w="2629" w:type="pct"/>
            <w:tcBorders>
              <w:top w:val="single" w:color="000000" w:sz="4" w:space="0"/>
              <w:left w:val="single" w:color="000000" w:sz="4" w:space="0"/>
              <w:bottom w:val="single" w:color="000000" w:sz="4" w:space="0"/>
              <w:right w:val="single" w:color="000000" w:sz="4" w:space="0"/>
            </w:tcBorders>
            <w:noWrap/>
            <w:vAlign w:val="center"/>
          </w:tcPr>
          <w:p w14:paraId="328814E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安装实施（含辅材）</w:t>
            </w:r>
          </w:p>
        </w:tc>
        <w:tc>
          <w:tcPr>
            <w:tcW w:w="995" w:type="pct"/>
            <w:tcBorders>
              <w:top w:val="single" w:color="000000" w:sz="4" w:space="0"/>
              <w:left w:val="single" w:color="000000" w:sz="4" w:space="0"/>
              <w:bottom w:val="single" w:color="000000" w:sz="4" w:space="0"/>
              <w:right w:val="single" w:color="000000" w:sz="4" w:space="0"/>
            </w:tcBorders>
            <w:noWrap/>
            <w:vAlign w:val="center"/>
          </w:tcPr>
          <w:p w14:paraId="52F98A0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841" w:type="pct"/>
            <w:tcBorders>
              <w:top w:val="single" w:color="000000" w:sz="4" w:space="0"/>
              <w:left w:val="single" w:color="000000" w:sz="4" w:space="0"/>
              <w:bottom w:val="single" w:color="000000" w:sz="4" w:space="0"/>
              <w:right w:val="single" w:color="000000" w:sz="4" w:space="0"/>
            </w:tcBorders>
            <w:noWrap/>
            <w:vAlign w:val="center"/>
          </w:tcPr>
          <w:p w14:paraId="5484226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r>
    </w:tbl>
    <w:p w14:paraId="6771A77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b.</w:t>
      </w:r>
      <w:r>
        <w:rPr>
          <w:rFonts w:hint="eastAsia" w:ascii="宋体" w:hAnsi="宋体"/>
          <w:color w:val="auto"/>
          <w:szCs w:val="21"/>
          <w:highlight w:val="none"/>
        </w:rPr>
        <w:t>具体采购需求</w:t>
      </w:r>
    </w:p>
    <w:tbl>
      <w:tblPr>
        <w:tblStyle w:val="6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6"/>
        <w:gridCol w:w="951"/>
        <w:gridCol w:w="846"/>
        <w:gridCol w:w="5998"/>
      </w:tblGrid>
      <w:tr w14:paraId="2B58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54ACB7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序号</w:t>
            </w:r>
          </w:p>
        </w:tc>
        <w:tc>
          <w:tcPr>
            <w:tcW w:w="409" w:type="pct"/>
            <w:vAlign w:val="center"/>
          </w:tcPr>
          <w:p w14:paraId="6580170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名称</w:t>
            </w:r>
          </w:p>
        </w:tc>
        <w:tc>
          <w:tcPr>
            <w:tcW w:w="339" w:type="pct"/>
            <w:vAlign w:val="center"/>
          </w:tcPr>
          <w:p w14:paraId="626347E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数量</w:t>
            </w:r>
          </w:p>
        </w:tc>
        <w:tc>
          <w:tcPr>
            <w:tcW w:w="268" w:type="pct"/>
            <w:vAlign w:val="center"/>
          </w:tcPr>
          <w:p w14:paraId="1401E9B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w:t>
            </w:r>
          </w:p>
        </w:tc>
        <w:tc>
          <w:tcPr>
            <w:tcW w:w="3713" w:type="pct"/>
            <w:vAlign w:val="center"/>
          </w:tcPr>
          <w:p w14:paraId="4C2182A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技术参数</w:t>
            </w:r>
          </w:p>
        </w:tc>
      </w:tr>
      <w:tr w14:paraId="1FEF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6ABDFA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409" w:type="pct"/>
            <w:vAlign w:val="center"/>
          </w:tcPr>
          <w:p w14:paraId="5E2F074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智慧书架视觉盘点系统</w:t>
            </w:r>
          </w:p>
        </w:tc>
        <w:tc>
          <w:tcPr>
            <w:tcW w:w="339" w:type="pct"/>
            <w:vAlign w:val="center"/>
          </w:tcPr>
          <w:p w14:paraId="5D5EFAB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0A1CBF8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tcPr>
          <w:p w14:paraId="2E1BA54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1.图书实时盘点精确到架层；</w:t>
            </w:r>
          </w:p>
          <w:p w14:paraId="129C207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2.在馆图书检索、馆藏位置实时标示；</w:t>
            </w:r>
          </w:p>
          <w:p w14:paraId="6680791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★3.具备条码、二维码、数字索书号、OCR、图像多种图书特征识别引擎。提供证明材料（包括但不限于产品官网截图、彩页、功能截图、带CMA标识的检测报告等）。</w:t>
            </w:r>
          </w:p>
          <w:p w14:paraId="0D58827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★4.具备高精度图书识别引擎。提供证明材料（包括但不限于产品官网截图、彩页、功能截图、带CMA标识的检测报告等）。</w:t>
            </w:r>
          </w:p>
          <w:p w14:paraId="0D83D9A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★5.采用包含多重图书图像特征匹配识别技术。提供证明材料（包括但不限于产品官网截图、彩页、功能截图、带CMA标识的检测报告等）。</w:t>
            </w:r>
          </w:p>
          <w:p w14:paraId="691DF9B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★6.采用基于异构计算的视频图像处理加速技术。提供证明材料（包括但不限于产品官网截图、彩页、功能截图、带CMA标识的检测报告等）。</w:t>
            </w:r>
          </w:p>
          <w:p w14:paraId="67BF43E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7.支持智能路径规划功能，支持自动智能规划盘点摄像头采集路线。提供证明材料（包括但不限于产品官网截图、彩页、功能截图、带CMA标识的检测报告等）。。</w:t>
            </w:r>
          </w:p>
          <w:p w14:paraId="4DAAD33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8.支持逐级查看书架盘点详细数据，以虚拟书架形式展示在架图书、出架图书、错架图书、乱序图书的详细信息,图书顺序必须与实际书架上图书顺序一致。 </w:t>
            </w:r>
          </w:p>
          <w:p w14:paraId="5066507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9.支持以不同颜色区分错架、乱序图书；并给出错架、乱序图书最少调整算法指引；提供证明材料（包括但不限于产品官网截图、彩页、功能截图、带CMA标识的检测报告等）。。</w:t>
            </w:r>
          </w:p>
          <w:p w14:paraId="5DADFD2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10.支持书脊无文字信息图书采用条码作为辅助码，识别率不低于99%（无遮挡）；同时支持书脊有文字信息不需贴辅助码，用OCR识别匹配图书，准确率95%（无遮挡）以上</w:t>
            </w:r>
            <w:r>
              <w:rPr>
                <w:rFonts w:hint="eastAsia" w:ascii="宋体" w:hAnsi="宋体" w:cs="Times New Roman"/>
                <w:color w:val="auto"/>
                <w:sz w:val="21"/>
                <w:szCs w:val="21"/>
                <w:highlight w:val="none"/>
              </w:rPr>
              <w:t>；</w:t>
            </w:r>
            <w:r>
              <w:rPr>
                <w:rFonts w:hint="eastAsia" w:ascii="宋体" w:hAnsi="宋体"/>
                <w:color w:val="auto"/>
                <w:szCs w:val="21"/>
                <w:highlight w:val="none"/>
              </w:rPr>
              <w:t>提供证明材料（包括但不限于产品官网截图、彩页、功能截图、带CMA标识的检测报告等）。</w:t>
            </w:r>
            <w:r>
              <w:rPr>
                <w:rFonts w:hint="eastAsia" w:ascii="宋体" w:hAnsi="宋体" w:cs="Times New Roman"/>
                <w:color w:val="auto"/>
                <w:sz w:val="21"/>
                <w:szCs w:val="21"/>
                <w:highlight w:val="none"/>
              </w:rPr>
              <w:t>。</w:t>
            </w:r>
          </w:p>
          <w:p w14:paraId="1E90E15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11.图书拼接准确率不低于99%；图书切分准确率不低于99%;提供证明材料（包括但不限于产品官网截图、彩页、功能截图、带CMA标识的检测报告等）。</w:t>
            </w:r>
            <w:r>
              <w:rPr>
                <w:rFonts w:hint="eastAsia" w:ascii="宋体" w:hAnsi="宋体" w:cs="Times New Roman"/>
                <w:color w:val="auto"/>
                <w:sz w:val="21"/>
                <w:szCs w:val="21"/>
                <w:highlight w:val="none"/>
              </w:rPr>
              <w:t>。</w:t>
            </w:r>
          </w:p>
          <w:p w14:paraId="054ED7E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12.支持光照智能识别功能，支持统一调整不同光照强度下图像采集的亮度、锐度统一性。提供证明材料（包括但不限于产品官网截图、彩页、功能截图、带CMA标识的检测报告等）。</w:t>
            </w:r>
            <w:r>
              <w:rPr>
                <w:rFonts w:hint="eastAsia" w:ascii="宋体" w:hAnsi="宋体" w:cs="Times New Roman"/>
                <w:color w:val="auto"/>
                <w:sz w:val="21"/>
                <w:szCs w:val="21"/>
                <w:highlight w:val="none"/>
              </w:rPr>
              <w:t>。</w:t>
            </w:r>
          </w:p>
          <w:p w14:paraId="73F1BCA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具备智能盘点策略优化功能，提升盘点效率，降低前端设备机械损耗。支持AI摄像机智能感知架上图书局部发生变化，并只有变化相关的摄像机触发盘点动作，能在5分钟之内识别出拿出或放入的图书。即在保证5分钟盘点时效性的同时，改善全局定时盘点造成的AI盘点摄像机机械损耗，增加摄像机使用寿命5倍以上。</w:t>
            </w:r>
          </w:p>
          <w:p w14:paraId="3D1C4C8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14.基础信息管理</w:t>
            </w:r>
          </w:p>
          <w:p w14:paraId="7C79C92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（1）读者管理</w:t>
            </w:r>
          </w:p>
          <w:p w14:paraId="2C9840B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1）读者基本信息（编号、姓名、证件号、照片、人脸特征等）管理；</w:t>
            </w:r>
          </w:p>
          <w:p w14:paraId="1299D2F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2）读者所属机构管理；</w:t>
            </w:r>
          </w:p>
          <w:p w14:paraId="3776D90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（2）场室管理</w:t>
            </w:r>
          </w:p>
          <w:p w14:paraId="691DE83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1）场室基本信息（编号、名称、书架数）管理；</w:t>
            </w:r>
          </w:p>
          <w:p w14:paraId="136E29F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2）场室所在位置管理；</w:t>
            </w:r>
          </w:p>
          <w:p w14:paraId="5CF4F8D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（3）设备管理</w:t>
            </w:r>
          </w:p>
          <w:p w14:paraId="2DA5227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1）设备基本信息（编号、类别、名称、IP地址）；</w:t>
            </w:r>
          </w:p>
          <w:p w14:paraId="7C9ED35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2）设备权限管理（用户、密码、端口号）；</w:t>
            </w:r>
          </w:p>
          <w:p w14:paraId="2083828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3）设备类型管理；</w:t>
            </w:r>
          </w:p>
          <w:p w14:paraId="19FCB4D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4）设备关联管理；</w:t>
            </w:r>
          </w:p>
          <w:p w14:paraId="7A69923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（4）图书管理</w:t>
            </w:r>
          </w:p>
          <w:p w14:paraId="7493974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1）图书基本信息（ISBN号、书名、作者、出版社等）管理；</w:t>
            </w:r>
          </w:p>
          <w:p w14:paraId="01D5A1A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2）图书馆藏架（地）管理；</w:t>
            </w:r>
          </w:p>
          <w:p w14:paraId="63E866D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（5）书架管理</w:t>
            </w:r>
          </w:p>
          <w:p w14:paraId="434E5D0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1）书架基本信息（编号、名称、书架数等）管理；</w:t>
            </w:r>
          </w:p>
          <w:p w14:paraId="616B0BE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2）书架所在场室管理；</w:t>
            </w:r>
          </w:p>
          <w:p w14:paraId="64EB6FA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（6）机构管理</w:t>
            </w:r>
          </w:p>
          <w:p w14:paraId="31AF021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1）机构基本信息；</w:t>
            </w:r>
          </w:p>
          <w:p w14:paraId="2F8EED8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2）机构层级结构；</w:t>
            </w:r>
          </w:p>
          <w:p w14:paraId="4A3C72A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（7）系统管理</w:t>
            </w:r>
          </w:p>
          <w:p w14:paraId="743ADF1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1）系统基本信息管理；</w:t>
            </w:r>
          </w:p>
          <w:p w14:paraId="25CD849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2）权限、角色管理；</w:t>
            </w:r>
          </w:p>
          <w:p w14:paraId="588125C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3）系统更新、维护管理；</w:t>
            </w:r>
          </w:p>
          <w:p w14:paraId="219A643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15.数据分析</w:t>
            </w:r>
          </w:p>
          <w:p w14:paraId="63D2993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（1）支持实时数据分析功能：</w:t>
            </w:r>
          </w:p>
          <w:p w14:paraId="556A651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1）按时间盘点可回溯书架上的图书发生出架、入架等动作时刻的书架实时动态，并显示追溯时刻的出架、入架、错架图书；</w:t>
            </w:r>
          </w:p>
          <w:p w14:paraId="4881050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2）图书出架数量：实时统计历史出架清单、当前时刻出架清单。并记录出架时间，精确到分钟级。按本日、本月、本年精准到每个书架图书出架次数统计。</w:t>
            </w:r>
          </w:p>
          <w:p w14:paraId="5543AD6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（2）支持定期数据统计报告功能：</w:t>
            </w:r>
          </w:p>
          <w:p w14:paraId="229A0A9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1）图书热度分析：分别以书架、阅览室、类别等维度，按照图书出架的次数统计活跃图书top10，沉默图书top5；统计馆内阅读top10；</w:t>
            </w:r>
          </w:p>
          <w:p w14:paraId="37D875A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2）馆藏量：按类别统计馆藏图书数量；</w:t>
            </w:r>
          </w:p>
          <w:p w14:paraId="76207F9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（3）支持周期行数据横向对比分析功能，横向对比包含馆内阅读图书的流通热度、流通的数量；</w:t>
            </w:r>
          </w:p>
          <w:p w14:paraId="1AA8B3B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（4）支持周期性数据变化趋势分析功能，按周期统计包含馆内阅读的图书的流通数量、流通热度及其变化趋势。</w:t>
            </w:r>
          </w:p>
        </w:tc>
      </w:tr>
      <w:tr w14:paraId="603F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160706D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c>
          <w:tcPr>
            <w:tcW w:w="409" w:type="pct"/>
            <w:vAlign w:val="center"/>
          </w:tcPr>
          <w:p w14:paraId="37FA10B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高清影像自动采集系统</w:t>
            </w:r>
          </w:p>
        </w:tc>
        <w:tc>
          <w:tcPr>
            <w:tcW w:w="339" w:type="pct"/>
            <w:vAlign w:val="center"/>
          </w:tcPr>
          <w:p w14:paraId="4EFFAD2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52598FF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vAlign w:val="center"/>
          </w:tcPr>
          <w:p w14:paraId="790BBB45">
            <w:pPr>
              <w:snapToGrid w:val="0"/>
              <w:spacing w:line="400" w:lineRule="exact"/>
              <w:ind w:firstLine="420" w:firstLineChars="200"/>
              <w:rPr>
                <w:rFonts w:hint="eastAsia" w:ascii="宋体" w:hAnsi="宋体" w:cs="Times New Roman"/>
                <w:color w:val="auto"/>
                <w:sz w:val="21"/>
                <w:szCs w:val="21"/>
                <w:highlight w:val="none"/>
              </w:rPr>
            </w:pPr>
            <w:r>
              <w:rPr>
                <w:rFonts w:hint="eastAsia" w:ascii="宋体" w:hAnsi="宋体"/>
                <w:color w:val="auto"/>
                <w:szCs w:val="21"/>
                <w:highlight w:val="none"/>
              </w:rPr>
              <w:t>1.自动智能规划盘点摄像头采集路线和盘点点位，智能调焦，自动核验，提供异常处理提示；提供证明材料（包括但不限于产品官网截图、彩页、功能截图、带CMA标识的检测报告等）。</w:t>
            </w:r>
            <w:r>
              <w:rPr>
                <w:rFonts w:hint="eastAsia" w:ascii="宋体" w:hAnsi="宋体" w:cs="Times New Roman"/>
                <w:color w:val="auto"/>
                <w:sz w:val="21"/>
                <w:szCs w:val="21"/>
                <w:highlight w:val="none"/>
              </w:rPr>
              <w:t>。</w:t>
            </w:r>
          </w:p>
          <w:p w14:paraId="2CE9C62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2.盘点相机可按照智能规划路线进行自动盘点；</w:t>
            </w:r>
          </w:p>
          <w:p w14:paraId="112719D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3.影像采集过程可以由后台进行统一调度管理，可定时全部启动或者按照指令启动部分相机进行图像采集；提供证明材料（包括但不限于产品官网截图、彩页、功能截图、带CMA标识的检测报告等）。。</w:t>
            </w:r>
          </w:p>
          <w:p w14:paraId="452AE00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4.可以同时处理百路级以上路视频流并发。</w:t>
            </w:r>
          </w:p>
          <w:p w14:paraId="47DD917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5.可以支持多张400万像素以上的图片采用人工智能拼接算法拼合，形成亿级像素超大幅面图像，并处理。</w:t>
            </w:r>
          </w:p>
          <w:p w14:paraId="66C8F86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6.支持移动摄像头（如机器人等）图像采集功能。</w:t>
            </w:r>
          </w:p>
          <w:p w14:paraId="038D051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7.支持控制摄像机指向位置、放大倍率、对焦焦点等动作参数。</w:t>
            </w:r>
          </w:p>
          <w:p w14:paraId="47038740">
            <w:pPr>
              <w:snapToGrid w:val="0"/>
              <w:spacing w:line="400" w:lineRule="exact"/>
              <w:ind w:firstLine="420" w:firstLineChars="200"/>
              <w:rPr>
                <w:rFonts w:hint="eastAsia" w:ascii="宋体" w:hAnsi="宋体" w:cs="Times New Roman"/>
                <w:color w:val="auto"/>
                <w:sz w:val="21"/>
                <w:szCs w:val="21"/>
                <w:highlight w:val="none"/>
              </w:rPr>
            </w:pPr>
            <w:r>
              <w:rPr>
                <w:rFonts w:hint="eastAsia" w:ascii="宋体" w:hAnsi="宋体"/>
                <w:color w:val="auto"/>
                <w:szCs w:val="21"/>
                <w:highlight w:val="none"/>
              </w:rPr>
              <w:t>8.支持通过控制指令对各种视频、图像、通讯参数进行配置。提供证明材料（包括但不限于产品官网截图、彩页、功能截图、带CMA标识的检测报告等）。</w:t>
            </w:r>
            <w:r>
              <w:rPr>
                <w:rFonts w:hint="eastAsia" w:ascii="宋体" w:hAnsi="宋体" w:cs="Times New Roman"/>
                <w:color w:val="auto"/>
                <w:sz w:val="21"/>
                <w:szCs w:val="21"/>
                <w:highlight w:val="none"/>
              </w:rPr>
              <w:t>。</w:t>
            </w:r>
          </w:p>
          <w:p w14:paraId="4A3F948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9.采用高动态范围图像生成引擎。</w:t>
            </w:r>
          </w:p>
          <w:p w14:paraId="5FA8992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10.采用图像去抖、增强引擎。</w:t>
            </w:r>
          </w:p>
          <w:p w14:paraId="4258525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11.采用人工智能加速引擎。</w:t>
            </w:r>
          </w:p>
        </w:tc>
      </w:tr>
      <w:tr w14:paraId="59C8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23ABD8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p>
        </w:tc>
        <w:tc>
          <w:tcPr>
            <w:tcW w:w="409" w:type="pct"/>
            <w:vAlign w:val="center"/>
          </w:tcPr>
          <w:p w14:paraId="47C3D7D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读者查询手机端</w:t>
            </w:r>
          </w:p>
        </w:tc>
        <w:tc>
          <w:tcPr>
            <w:tcW w:w="339" w:type="pct"/>
            <w:vAlign w:val="center"/>
          </w:tcPr>
          <w:p w14:paraId="69EB256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c>
          <w:tcPr>
            <w:tcW w:w="268" w:type="pct"/>
            <w:vAlign w:val="center"/>
          </w:tcPr>
          <w:p w14:paraId="5EAEE57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vAlign w:val="center"/>
          </w:tcPr>
          <w:p w14:paraId="641C974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软件功能：</w:t>
            </w:r>
          </w:p>
          <w:p w14:paraId="4016AAA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1.图书位置检索。可按照书名、作者、出版社、索书号、ISBN号等关键字来搜索图书。检索到的图书可按中图分类法排列展示，展示图书的在架信息和馆藏信息，并显示图书的精准位置，具体到书架的某列某层。</w:t>
            </w:r>
          </w:p>
          <w:p w14:paraId="5105A93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2.查看图书简介。查看图书详情时，可显示书名、作者、出版社、索书号、分类等信息，并显示图书真实位置图片。</w:t>
            </w:r>
          </w:p>
          <w:p w14:paraId="2025AD3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3.导航图书所在某个阅览室某个书架位置。可显示图书所在书架位置的3D效果图，并显示虚拟书架信息。</w:t>
            </w:r>
          </w:p>
          <w:p w14:paraId="20C616B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4.导航图书所在书架的所在层位置。可显示图书所在书架、所在层的位置信息，并通过切换图标展示图书真实位置图片。</w:t>
            </w:r>
          </w:p>
        </w:tc>
      </w:tr>
      <w:tr w14:paraId="6D30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68" w:type="pct"/>
            <w:vAlign w:val="center"/>
          </w:tcPr>
          <w:p w14:paraId="79476FF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p>
        </w:tc>
        <w:tc>
          <w:tcPr>
            <w:tcW w:w="409" w:type="pct"/>
            <w:vAlign w:val="center"/>
          </w:tcPr>
          <w:p w14:paraId="39634A3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馆员管理手机端</w:t>
            </w:r>
          </w:p>
        </w:tc>
        <w:tc>
          <w:tcPr>
            <w:tcW w:w="339" w:type="pct"/>
            <w:vAlign w:val="center"/>
          </w:tcPr>
          <w:p w14:paraId="3D66FEF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c>
          <w:tcPr>
            <w:tcW w:w="268" w:type="pct"/>
            <w:vAlign w:val="center"/>
          </w:tcPr>
          <w:p w14:paraId="673B094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vAlign w:val="center"/>
          </w:tcPr>
          <w:p w14:paraId="5E566C6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软件功能：</w:t>
            </w:r>
          </w:p>
          <w:p w14:paraId="7C6105B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1.检索功能：支持图书检索，检索结果图书位置信息与书架上图书位置信息完全一致，并支持提供真实图片查看。</w:t>
            </w:r>
          </w:p>
          <w:p w14:paraId="58D58F4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2.书架浏览：支持书架浏览预览功能，虚拟书架的形式模拟在架图书，供管理员预览，虚拟书架上图书位置与真实书架上图书位置一致，可按照阅览室-排组-书架的方式分级浏览。</w:t>
            </w:r>
          </w:p>
          <w:p w14:paraId="2B998E0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3.智能盘点：指定位置盘点；</w:t>
            </w:r>
          </w:p>
          <w:p w14:paraId="2451A59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4.上架指引：出架书上架指引、新书上架，支持查看全部出架书列表和出架图书应还架位置提示；</w:t>
            </w:r>
          </w:p>
          <w:p w14:paraId="087D64A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5.顺架指引：按图书查看、按书架查看错架图书，提供顺架指引；支持查看错架图书当前位置图片。</w:t>
            </w:r>
          </w:p>
          <w:p w14:paraId="6F86CC5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满架率查看：查看整馆满架数据、各阅览室满架数据、各书架满架数据、各层满架数据；支持计算和展示书架的容量，通过计算真实书架上图书占总空间的比例，计算出总容量和当前已经占用的容量，逐级计算满架率。</w:t>
            </w:r>
          </w:p>
        </w:tc>
      </w:tr>
      <w:tr w14:paraId="1C83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68" w:type="pct"/>
            <w:vAlign w:val="center"/>
          </w:tcPr>
          <w:p w14:paraId="5D5EC10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p>
        </w:tc>
        <w:tc>
          <w:tcPr>
            <w:tcW w:w="409" w:type="pct"/>
            <w:vAlign w:val="center"/>
          </w:tcPr>
          <w:p w14:paraId="6C2F326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AI盘点摄像机</w:t>
            </w:r>
          </w:p>
        </w:tc>
        <w:tc>
          <w:tcPr>
            <w:tcW w:w="339" w:type="pct"/>
            <w:vAlign w:val="center"/>
          </w:tcPr>
          <w:p w14:paraId="7B328F0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100</w:t>
            </w:r>
          </w:p>
        </w:tc>
        <w:tc>
          <w:tcPr>
            <w:tcW w:w="268" w:type="pct"/>
            <w:vAlign w:val="center"/>
          </w:tcPr>
          <w:p w14:paraId="31335B3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4AD6742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1.≥400万像素图像传感器；</w:t>
            </w:r>
          </w:p>
          <w:p w14:paraId="505BCBB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2.≥23X光学变焦；</w:t>
            </w:r>
          </w:p>
          <w:p w14:paraId="0B1F1B8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3.双轴云台；</w:t>
            </w:r>
          </w:p>
          <w:p w14:paraId="61315DC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4.POE供电；</w:t>
            </w:r>
          </w:p>
          <w:p w14:paraId="1E77012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5.以太网口。</w:t>
            </w:r>
          </w:p>
        </w:tc>
      </w:tr>
      <w:tr w14:paraId="562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6431EAE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p>
        </w:tc>
        <w:tc>
          <w:tcPr>
            <w:tcW w:w="409" w:type="pct"/>
            <w:vAlign w:val="center"/>
          </w:tcPr>
          <w:p w14:paraId="6102A78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摄像机定制支架</w:t>
            </w:r>
          </w:p>
        </w:tc>
        <w:tc>
          <w:tcPr>
            <w:tcW w:w="339" w:type="pct"/>
            <w:vAlign w:val="center"/>
          </w:tcPr>
          <w:p w14:paraId="5334CAB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100</w:t>
            </w:r>
          </w:p>
        </w:tc>
        <w:tc>
          <w:tcPr>
            <w:tcW w:w="268" w:type="pct"/>
            <w:vAlign w:val="center"/>
          </w:tcPr>
          <w:p w14:paraId="44BCC4E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个</w:t>
            </w:r>
          </w:p>
        </w:tc>
        <w:tc>
          <w:tcPr>
            <w:tcW w:w="3713" w:type="pct"/>
            <w:vAlign w:val="center"/>
          </w:tcPr>
          <w:p w14:paraId="41675CD1">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材质：SPCC 冷轧板，造型可定制。</w:t>
            </w:r>
          </w:p>
        </w:tc>
      </w:tr>
      <w:tr w14:paraId="205A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174544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w:t>
            </w:r>
          </w:p>
        </w:tc>
        <w:tc>
          <w:tcPr>
            <w:tcW w:w="409" w:type="pct"/>
            <w:vAlign w:val="center"/>
          </w:tcPr>
          <w:p w14:paraId="55ED9410">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边缘计算服务主机</w:t>
            </w:r>
          </w:p>
        </w:tc>
        <w:tc>
          <w:tcPr>
            <w:tcW w:w="339" w:type="pct"/>
            <w:vAlign w:val="center"/>
          </w:tcPr>
          <w:p w14:paraId="586C63A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p>
        </w:tc>
        <w:tc>
          <w:tcPr>
            <w:tcW w:w="268" w:type="pct"/>
            <w:vAlign w:val="center"/>
          </w:tcPr>
          <w:p w14:paraId="47DBD27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207359F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1.国产CPU，不低于8核16线程；</w:t>
            </w:r>
          </w:p>
          <w:p w14:paraId="22D960D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2.不少于64G内存；</w:t>
            </w:r>
          </w:p>
          <w:p w14:paraId="7F2DA3D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3.FP32算力可达12.74TFLOPS；</w:t>
            </w:r>
          </w:p>
          <w:p w14:paraId="7DF6F99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4.1T及以上固态硬盘；</w:t>
            </w:r>
          </w:p>
          <w:p w14:paraId="4B1B6B9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5.支持基于异构计算的视频图像处理加速引擎；</w:t>
            </w:r>
          </w:p>
          <w:p w14:paraId="476AB03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6.支持人工智能加速引擎；</w:t>
            </w:r>
          </w:p>
          <w:p w14:paraId="60FBB91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7.千兆网卡；</w:t>
            </w:r>
          </w:p>
          <w:p w14:paraId="2562678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8.支持国产操作系统桌面级；</w:t>
            </w:r>
          </w:p>
        </w:tc>
      </w:tr>
      <w:tr w14:paraId="1CAB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090C391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w:t>
            </w:r>
          </w:p>
        </w:tc>
        <w:tc>
          <w:tcPr>
            <w:tcW w:w="409" w:type="pct"/>
            <w:vAlign w:val="center"/>
          </w:tcPr>
          <w:p w14:paraId="635E048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Web服务主机</w:t>
            </w:r>
          </w:p>
        </w:tc>
        <w:tc>
          <w:tcPr>
            <w:tcW w:w="339" w:type="pct"/>
            <w:vAlign w:val="center"/>
          </w:tcPr>
          <w:p w14:paraId="48A73B5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11EE6B1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0EEB589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1.国产CPU：≥16核32线程；</w:t>
            </w:r>
          </w:p>
          <w:p w14:paraId="2420AD2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2.内存：DDR4高速≥64G内存；</w:t>
            </w:r>
          </w:p>
          <w:p w14:paraId="7CB656D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3.硬盘：≥480G高速固态硬盘，2T SATA硬盘；</w:t>
            </w:r>
          </w:p>
          <w:p w14:paraId="3ED26E7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4.千兆网卡；</w:t>
            </w:r>
          </w:p>
          <w:p w14:paraId="244D4C6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5.支持国产操作系统服务器级；</w:t>
            </w:r>
          </w:p>
        </w:tc>
      </w:tr>
      <w:tr w14:paraId="25E4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1AC217D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w:t>
            </w:r>
          </w:p>
        </w:tc>
        <w:tc>
          <w:tcPr>
            <w:tcW w:w="409" w:type="pct"/>
            <w:vAlign w:val="center"/>
          </w:tcPr>
          <w:p w14:paraId="03F8B4C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网络交换机</w:t>
            </w:r>
          </w:p>
        </w:tc>
        <w:tc>
          <w:tcPr>
            <w:tcW w:w="339" w:type="pct"/>
            <w:vAlign w:val="center"/>
          </w:tcPr>
          <w:p w14:paraId="35AD846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p>
        </w:tc>
        <w:tc>
          <w:tcPr>
            <w:tcW w:w="268" w:type="pct"/>
            <w:vAlign w:val="center"/>
          </w:tcPr>
          <w:p w14:paraId="4D4EA39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6488B62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1.下行接口类型RJ45电口，全双工自适应；</w:t>
            </w:r>
          </w:p>
          <w:p w14:paraId="7214E49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2.上行千兆网口，具有光口或光电复合口；</w:t>
            </w:r>
          </w:p>
          <w:p w14:paraId="68446D9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3.支持IEEE 802.3、IEEE 802.3u、IEEE 802.3x、IEEE 802.3at/af；</w:t>
            </w:r>
          </w:p>
        </w:tc>
      </w:tr>
      <w:tr w14:paraId="032C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1248C9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w:t>
            </w:r>
          </w:p>
        </w:tc>
        <w:tc>
          <w:tcPr>
            <w:tcW w:w="409" w:type="pct"/>
            <w:vAlign w:val="center"/>
          </w:tcPr>
          <w:p w14:paraId="0F2518B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汇聚交换机</w:t>
            </w:r>
          </w:p>
        </w:tc>
        <w:tc>
          <w:tcPr>
            <w:tcW w:w="339" w:type="pct"/>
            <w:vAlign w:val="center"/>
          </w:tcPr>
          <w:p w14:paraId="27A612A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7737DC7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7FFB992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1.下行接口类型RJ45电口，全双工自适应。</w:t>
            </w:r>
          </w:p>
          <w:p w14:paraId="41F4B7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2.上行千兆网口，具有光口或光电复合口。</w:t>
            </w:r>
          </w:p>
          <w:p w14:paraId="15752A6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3.支持WEB网管。</w:t>
            </w:r>
          </w:p>
          <w:p w14:paraId="0220CA0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4.配千兆SFP端口。</w:t>
            </w:r>
          </w:p>
        </w:tc>
      </w:tr>
      <w:tr w14:paraId="7F40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915133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w:t>
            </w:r>
          </w:p>
        </w:tc>
        <w:tc>
          <w:tcPr>
            <w:tcW w:w="409" w:type="pct"/>
            <w:vAlign w:val="center"/>
          </w:tcPr>
          <w:p w14:paraId="02D7BEC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图书定位检索机32寸一体机</w:t>
            </w:r>
          </w:p>
        </w:tc>
        <w:tc>
          <w:tcPr>
            <w:tcW w:w="339" w:type="pct"/>
            <w:vAlign w:val="center"/>
          </w:tcPr>
          <w:p w14:paraId="593B43D6">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268" w:type="pct"/>
            <w:vAlign w:val="center"/>
          </w:tcPr>
          <w:p w14:paraId="110663E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32735A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一、硬件：</w:t>
            </w:r>
            <w:r>
              <w:rPr>
                <w:rFonts w:hint="eastAsia" w:ascii="宋体" w:hAnsi="宋体"/>
                <w:color w:val="auto"/>
                <w:szCs w:val="21"/>
                <w:highlight w:val="none"/>
                <w:lang w:eastAsia="zh-CN"/>
              </w:rPr>
              <w:t>（质保期内免费升级）</w:t>
            </w:r>
          </w:p>
          <w:p w14:paraId="7BFA8C3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1.32寸液晶屏，K型底座，</w:t>
            </w:r>
            <w:r>
              <w:rPr>
                <w:rFonts w:hint="eastAsia" w:ascii="宋体" w:hAnsi="宋体"/>
                <w:color w:val="auto"/>
                <w:szCs w:val="21"/>
                <w:highlight w:val="none"/>
                <w:lang w:eastAsia="zh-CN"/>
              </w:rPr>
              <w:t>不低于</w:t>
            </w:r>
            <w:r>
              <w:rPr>
                <w:rFonts w:hint="eastAsia" w:ascii="宋体" w:hAnsi="宋体"/>
                <w:color w:val="auto"/>
                <w:szCs w:val="21"/>
                <w:highlight w:val="none"/>
              </w:rPr>
              <w:t>分辨率1920x1080。</w:t>
            </w:r>
          </w:p>
          <w:p w14:paraId="43540C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2.电容触摸。</w:t>
            </w:r>
          </w:p>
          <w:p w14:paraId="57EEA8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3.处理器64位六核,主频1.8GHz；</w:t>
            </w:r>
          </w:p>
          <w:p w14:paraId="63C6B9CF">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4.内存</w:t>
            </w:r>
            <w:r>
              <w:rPr>
                <w:rFonts w:hint="eastAsia" w:ascii="宋体" w:hAnsi="宋体"/>
                <w:color w:val="auto"/>
                <w:szCs w:val="21"/>
                <w:highlight w:val="none"/>
                <w:lang w:val="en-US" w:eastAsia="zh-CN"/>
              </w:rPr>
              <w:t>4</w:t>
            </w:r>
            <w:r>
              <w:rPr>
                <w:rFonts w:hint="eastAsia" w:ascii="宋体" w:hAnsi="宋体"/>
                <w:color w:val="auto"/>
                <w:szCs w:val="21"/>
                <w:highlight w:val="none"/>
              </w:rPr>
              <w:t>G,存储</w:t>
            </w:r>
            <w:r>
              <w:rPr>
                <w:rFonts w:hint="eastAsia" w:ascii="宋体" w:hAnsi="宋体"/>
                <w:color w:val="auto"/>
                <w:szCs w:val="21"/>
                <w:highlight w:val="none"/>
                <w:lang w:val="en-US" w:eastAsia="zh-CN"/>
              </w:rPr>
              <w:t>32</w:t>
            </w:r>
            <w:r>
              <w:rPr>
                <w:rFonts w:hint="eastAsia" w:ascii="宋体" w:hAnsi="宋体"/>
                <w:color w:val="auto"/>
                <w:szCs w:val="21"/>
                <w:highlight w:val="none"/>
              </w:rPr>
              <w:t>G；</w:t>
            </w:r>
          </w:p>
          <w:p w14:paraId="2C3681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5.接口：以太网Rj45，usb×2，wifi无线。</w:t>
            </w:r>
          </w:p>
          <w:p w14:paraId="3CB3453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二、软件功能：</w:t>
            </w:r>
          </w:p>
          <w:p w14:paraId="1BB39AA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1.图书位置检索。输入想要检索的图书书名或作者名，在检索结果界面显示图书的两种状态：在架和出架，可查看图书具体的在架位置信息。</w:t>
            </w:r>
          </w:p>
          <w:p w14:paraId="0E293A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2.查看图书简介。可查看图书的书名、作者、出版社、索书号、分类、唯一码等信息。</w:t>
            </w:r>
          </w:p>
          <w:p w14:paraId="296BE51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3.导航图书所在某个阅览室某个书架位置。系统会以3D效果图的方式展示图书所在阅览室所在书架的具体位置。</w:t>
            </w:r>
          </w:p>
          <w:p w14:paraId="76F7CB4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4.导航图书所在书架的所在层位置。可查看图书所在架信息的虚拟书架，其中图书顺序完全与书架上真是图书位置顺序一致，可根据其所在层、所在第几位，快速找书。</w:t>
            </w:r>
          </w:p>
          <w:p w14:paraId="16B7E61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5.新书推荐。系统自动推荐最新上新图书前10 名，点击图书虚拟封面，可查看图书详情，并导航找书。</w:t>
            </w:r>
          </w:p>
          <w:p w14:paraId="35B2C94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6.热门图书推荐。系统推荐热门图书前10名（指出架次数最多的前10 名图书），点击图书虚拟封面，可查看图书详情，并导航找书。</w:t>
            </w:r>
          </w:p>
          <w:p w14:paraId="77C6E5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7.馆内在架书浏览：系统以虚拟书架的方式展示馆内所有在架图书，读者可以切换阅览室、切换排组，可滚动查看对应的排组书架，左右滑动查看每层图书。通过右侧切换按钮，可查看图书真实的在架位置图片。</w:t>
            </w:r>
          </w:p>
        </w:tc>
      </w:tr>
      <w:tr w14:paraId="600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5BDAA50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w:t>
            </w:r>
          </w:p>
        </w:tc>
        <w:tc>
          <w:tcPr>
            <w:tcW w:w="409" w:type="pct"/>
            <w:vAlign w:val="center"/>
          </w:tcPr>
          <w:p w14:paraId="0337182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手持盘点仪</w:t>
            </w:r>
          </w:p>
        </w:tc>
        <w:tc>
          <w:tcPr>
            <w:tcW w:w="339" w:type="pct"/>
            <w:vAlign w:val="center"/>
          </w:tcPr>
          <w:p w14:paraId="4D49EE5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tc>
        <w:tc>
          <w:tcPr>
            <w:tcW w:w="268" w:type="pct"/>
            <w:vAlign w:val="center"/>
          </w:tcPr>
          <w:p w14:paraId="578270D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台</w:t>
            </w:r>
          </w:p>
        </w:tc>
        <w:tc>
          <w:tcPr>
            <w:tcW w:w="3713" w:type="pct"/>
            <w:vAlign w:val="center"/>
          </w:tcPr>
          <w:p w14:paraId="7A5F56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一、软件功能:</w:t>
            </w:r>
          </w:p>
          <w:p w14:paraId="7691563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1.支持灵活创建盘点任务；</w:t>
            </w:r>
          </w:p>
          <w:p w14:paraId="43F84F1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2.支持盘点进度查询；</w:t>
            </w:r>
          </w:p>
          <w:p w14:paraId="09EFAF4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3.支持盘点任务管理；</w:t>
            </w:r>
          </w:p>
          <w:p w14:paraId="521419A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4.支持查看盘点任务的识别结果，以虚拟书架的形式展示图书盘点结果。支持查看图书盘点后的真实位置照片。</w:t>
            </w:r>
          </w:p>
          <w:p w14:paraId="435FE8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二、硬件参数：</w:t>
            </w:r>
          </w:p>
          <w:p w14:paraId="6F4536D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1.CPU：不低于8核处理器；</w:t>
            </w:r>
          </w:p>
          <w:p w14:paraId="00E53E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2.内存：运行内存≥6GB，存储内存≥128GB；</w:t>
            </w:r>
          </w:p>
          <w:p w14:paraId="3DF56F1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3.屏幕：≥11.5英寸；</w:t>
            </w:r>
          </w:p>
          <w:p w14:paraId="0D2D9F5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4.分辨率：≥2200*1440；</w:t>
            </w:r>
          </w:p>
          <w:p w14:paraId="78F19E0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5.后置摄像头：≥1300W；</w:t>
            </w:r>
          </w:p>
        </w:tc>
      </w:tr>
      <w:tr w14:paraId="121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F3D8F9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w:t>
            </w:r>
          </w:p>
        </w:tc>
        <w:tc>
          <w:tcPr>
            <w:tcW w:w="409" w:type="pct"/>
            <w:vAlign w:val="center"/>
          </w:tcPr>
          <w:p w14:paraId="33994B4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国产化数据库</w:t>
            </w:r>
          </w:p>
        </w:tc>
        <w:tc>
          <w:tcPr>
            <w:tcW w:w="339" w:type="pct"/>
            <w:vAlign w:val="center"/>
          </w:tcPr>
          <w:p w14:paraId="652F858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5CDE23A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vAlign w:val="center"/>
          </w:tcPr>
          <w:p w14:paraId="1E776AB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1.产品具备完全自主知识产权，避免潜在的版权纠纷。</w:t>
            </w:r>
          </w:p>
          <w:p w14:paraId="44C89AA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w:t>
            </w:r>
          </w:p>
          <w:p w14:paraId="4DC85DB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3.支持jieba、zhparser等多种分词算法，且jieba、zhparser算法均支持utf-8及gbk编码进行分词</w:t>
            </w:r>
          </w:p>
          <w:p w14:paraId="4671A55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4.支持调用percentile_cont函数和percentile_disc函数时带over子句。</w:t>
            </w:r>
          </w:p>
          <w:p w14:paraId="4B5E0B7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5.支持从日志文件离线修复文件坏块或表主备集群支持基于备机的主机数据坏块修复，当主机数据块损坏时，可以自动从备机复制对应数据块对损坏的主机数据块进行实时修复</w:t>
            </w:r>
          </w:p>
          <w:p w14:paraId="0A86BC7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6.具备高可用功能，提供数据恢复能力，主备集群支持基于备机数据坏块修复，当主机数据损坏时，可以自动从备机复制对应数据块对损坏的主机数据块进行实时修复；支持日志文件离线修复文件坏块或表</w:t>
            </w:r>
          </w:p>
          <w:p w14:paraId="2411278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7.支持2D、3D、4D射线，支持DE-9IM空间关系判断和Overlay计算、距离计算</w:t>
            </w:r>
          </w:p>
          <w:p w14:paraId="4AD3784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8.支持对地理数据、矢量数据、拓扑数据、栅格数据的存储、计算、分析；支持对DEM数据相关橾作；支持对空间数据的坐标系的相互转换；支待GIST等空间数据索引.</w:t>
            </w:r>
          </w:p>
          <w:p w14:paraId="5770CB2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9.支持类Oracle ASH报告，支持不少于10个报告，如Top用户事件、Top后台事件、TopPL/SQL过程、使用字面变量的TopSQL、等待事件高的Top SQL、完整SQL列表、Top会话等</w:t>
            </w:r>
          </w:p>
          <w:p w14:paraId="4AADCA1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10.支持类Oracle AWR DIFF报告，支持超过5个大项，细分指标项超过40个，如主机配置、负载分析、实例效率百分比（目标100%）、Top10前台等待事件、Top10前台等待事件分类、主机IO、IO分析、内存统计、SQL类型统计、时间模型统计、前台等待事件分类、前台等待事件、后台等待事件、数据库执行时间、SQL报文执行时间、共享内存统计、实例IO按进程类型统计、实例IO按文件类型统计、实例IO按数据库名统计、实例IO按表空间统计、实例IO按数据库对象类型统计、Top10请求次数的锁活动、关键活动按执行次数统计等</w:t>
            </w:r>
          </w:p>
          <w:p w14:paraId="3F2CF1C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11.提供表数据备份功能，单节点单线程备份性能达到 1200MB/s以上，提供表数据恢复功能，单节点恢复性能达到 700MB/s以上。</w:t>
            </w:r>
          </w:p>
        </w:tc>
      </w:tr>
      <w:tr w14:paraId="797A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26A2575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w:t>
            </w:r>
          </w:p>
        </w:tc>
        <w:tc>
          <w:tcPr>
            <w:tcW w:w="409" w:type="pct"/>
            <w:vAlign w:val="center"/>
          </w:tcPr>
          <w:p w14:paraId="52433DC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国产化中间件</w:t>
            </w:r>
          </w:p>
        </w:tc>
        <w:tc>
          <w:tcPr>
            <w:tcW w:w="339" w:type="pct"/>
            <w:vAlign w:val="center"/>
          </w:tcPr>
          <w:p w14:paraId="540B8CE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55E7673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套</w:t>
            </w:r>
          </w:p>
        </w:tc>
        <w:tc>
          <w:tcPr>
            <w:tcW w:w="3713" w:type="pct"/>
            <w:vAlign w:val="center"/>
          </w:tcPr>
          <w:p w14:paraId="0ECF558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数据缓存中间件技术指标</w:t>
            </w:r>
          </w:p>
          <w:p w14:paraId="3913A5D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1、高可用性要求：①产品应具有良好的高可用性，当集群中所有主节点因故障宕机时，系统仍然具备数据服务能力。</w:t>
            </w:r>
          </w:p>
          <w:p w14:paraId="6A5EB70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②为了满足数据缓存容灾及分布式业务应用灰度迁移的要求，投标产品应能够支持跨集群实时数据同步，支持异构数据同步，要求同步操作时源集群应能持续提供正常的业务功能。</w:t>
            </w:r>
          </w:p>
          <w:p w14:paraId="4708D44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兼容性要求:①考虑业务运行环境的多样性特点，产品应具备异构操作系统环境的兼容能力，采用Java语言开发，无需针对不同设备及操作系统分别进行编译。②产品兼容国产主流CPU，包括龙芯、飞腾、海光、鲲鹏、兆芯、申威等。③产品兼容国产主流操作系统，包括麒麟、统信UOS等。</w:t>
            </w:r>
          </w:p>
          <w:p w14:paraId="08642A9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3、数据类型要求：产品应原生支持以下数据类型,并提供下述数据类型的格式校验能力：Integer类型数据、Long类型数据、IPv4地址类型数据、IPv6地址类型数据、MAC地址类型数据。</w:t>
            </w:r>
          </w:p>
          <w:p w14:paraId="681C4F9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4、性能要求，客户端并发访问线性增长：产品应具备支持高并发访问请求的能力，性能测试结果应不低于30万QPS。</w:t>
            </w:r>
          </w:p>
          <w:p w14:paraId="2C8C190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负载均衡中间件技术指标</w:t>
            </w:r>
          </w:p>
          <w:p w14:paraId="4E92AD2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5.自主知识产权要求：产品自主可控，拥有完全自主知识产权。提供所投产品软件的著作权登记证书。</w:t>
            </w:r>
          </w:p>
          <w:p w14:paraId="281E839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6.兼容国产芯片服务器及操作系统运行环境，支持运行在鲲鹏、飞腾、龙芯、海光等国产芯片服务器，支持麒麟、统信等国产操作系统。</w:t>
            </w:r>
          </w:p>
          <w:p w14:paraId="2700883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7.基本功能要求：</w:t>
            </w:r>
          </w:p>
          <w:p w14:paraId="782907C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①支持TCP、HTTP、HTTPS协议，完整支持业务系统访问协议需求。</w:t>
            </w:r>
          </w:p>
          <w:p w14:paraId="2B1B6C7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②提供轮询、随机、sticky、IP哈希、哈希、最小连接数多种负载均衡算法，用户根据自己的业选择对应的负载算法，以达到最优的效果。</w:t>
            </w:r>
          </w:p>
          <w:p w14:paraId="0DF51F8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③支持监测当前处理的活跃连接数、请求数、响应数据、流量数据等。</w:t>
            </w:r>
          </w:p>
          <w:p w14:paraId="46171E4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8.高可用要求：</w:t>
            </w:r>
          </w:p>
          <w:p w14:paraId="6CF5EFB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①支持主备模式，对外提供VIP，配置检测参数，自动路由至后端服务节点。</w:t>
            </w:r>
          </w:p>
          <w:p w14:paraId="38464B7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②支持主动健康检查，主动探测后端工作节点是否正常，支持HTTP、TCP、SSL Hello、GMSSL hello协议检查方式。</w:t>
            </w:r>
          </w:p>
          <w:p w14:paraId="0EF0B93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5、安全性要求：</w:t>
            </w:r>
          </w:p>
          <w:p w14:paraId="011C498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①支持黑白名单访问控制，严格控制允许访问负载服务的客户端IP地址或IP地址段及资源类型、资源路径等，确保数据访问安全。</w:t>
            </w:r>
          </w:p>
          <w:p w14:paraId="76FABEF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②支持可视化国密签名证书生成、请求文件导出，支持可视化国密数据信封导入，支持格尔、吉大证书导入。</w:t>
            </w:r>
          </w:p>
          <w:p w14:paraId="62F5109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③提供审计日志功能，完整的记录用户的操作，包含时间、操作人员、操作内容等，审计追溯违规行为，有效保护系统的安全性。</w:t>
            </w:r>
          </w:p>
        </w:tc>
      </w:tr>
      <w:tr w14:paraId="49D1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78E90364">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w:t>
            </w:r>
          </w:p>
        </w:tc>
        <w:tc>
          <w:tcPr>
            <w:tcW w:w="409" w:type="pct"/>
            <w:vAlign w:val="center"/>
          </w:tcPr>
          <w:p w14:paraId="6A5E7DB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图书层架标</w:t>
            </w:r>
          </w:p>
        </w:tc>
        <w:tc>
          <w:tcPr>
            <w:tcW w:w="339" w:type="pct"/>
            <w:vAlign w:val="center"/>
          </w:tcPr>
          <w:p w14:paraId="0982791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773B4CB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w:t>
            </w:r>
          </w:p>
        </w:tc>
        <w:tc>
          <w:tcPr>
            <w:tcW w:w="3713" w:type="pct"/>
            <w:vAlign w:val="center"/>
          </w:tcPr>
          <w:p w14:paraId="22E4C780">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项目所需书架的层架签，标签加工制作按甲方要求进行制作。</w:t>
            </w:r>
          </w:p>
        </w:tc>
      </w:tr>
      <w:tr w14:paraId="3A9D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14:paraId="41F2627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16</w:t>
            </w:r>
          </w:p>
        </w:tc>
        <w:tc>
          <w:tcPr>
            <w:tcW w:w="409" w:type="pct"/>
            <w:vAlign w:val="center"/>
          </w:tcPr>
          <w:p w14:paraId="28B585C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安装实施（含辅材）</w:t>
            </w:r>
          </w:p>
        </w:tc>
        <w:tc>
          <w:tcPr>
            <w:tcW w:w="339" w:type="pct"/>
            <w:vAlign w:val="center"/>
          </w:tcPr>
          <w:p w14:paraId="7B2F66B8">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tc>
        <w:tc>
          <w:tcPr>
            <w:tcW w:w="268" w:type="pct"/>
            <w:vAlign w:val="center"/>
          </w:tcPr>
          <w:p w14:paraId="636110D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w:t>
            </w:r>
          </w:p>
        </w:tc>
        <w:tc>
          <w:tcPr>
            <w:tcW w:w="3713" w:type="pct"/>
            <w:vAlign w:val="center"/>
          </w:tcPr>
          <w:p w14:paraId="4844B4B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项目安装实施（含辅材）</w:t>
            </w:r>
          </w:p>
          <w:p w14:paraId="0FBB54B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1、网线：六类非屏蔽网线；</w:t>
            </w:r>
            <w:r>
              <w:rPr>
                <w:rFonts w:hint="eastAsia" w:ascii="宋体" w:hAnsi="宋体"/>
                <w:color w:val="auto"/>
                <w:szCs w:val="21"/>
                <w:highlight w:val="none"/>
              </w:rPr>
              <w:br w:type="textWrapping"/>
            </w:r>
            <w:r>
              <w:rPr>
                <w:rFonts w:hint="eastAsia" w:ascii="宋体" w:hAnsi="宋体"/>
                <w:color w:val="auto"/>
                <w:szCs w:val="21"/>
                <w:highlight w:val="none"/>
              </w:rPr>
              <w:t>2、PVC穿线管：阻燃走线管 厚度2.1mm DN32</w:t>
            </w:r>
            <w:r>
              <w:rPr>
                <w:rFonts w:hint="eastAsia" w:ascii="宋体" w:hAnsi="宋体"/>
                <w:color w:val="auto"/>
                <w:szCs w:val="21"/>
                <w:highlight w:val="none"/>
              </w:rPr>
              <w:br w:type="textWrapping"/>
            </w:r>
            <w:r>
              <w:rPr>
                <w:rFonts w:hint="eastAsia" w:ascii="宋体" w:hAnsi="宋体"/>
                <w:color w:val="auto"/>
                <w:szCs w:val="21"/>
                <w:highlight w:val="none"/>
              </w:rPr>
              <w:t>3、水晶头：30U加厚镀金千兆网络接头，RJ45工程级8P8C电脑网线连接器。</w:t>
            </w:r>
          </w:p>
        </w:tc>
      </w:tr>
    </w:tbl>
    <w:p w14:paraId="308AC1C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注：以上参数为采购人基本要求，投标单位的产品可以提供性能更优的产品，并在偏离表中明确正偏离。</w:t>
      </w:r>
    </w:p>
    <w:p w14:paraId="32578FA5">
      <w:pPr>
        <w:snapToGrid w:val="0"/>
        <w:spacing w:line="400" w:lineRule="exact"/>
        <w:ind w:firstLine="420" w:firstLineChars="200"/>
        <w:rPr>
          <w:rFonts w:hint="eastAsia" w:ascii="宋体" w:hAnsi="宋体"/>
          <w:color w:val="auto"/>
          <w:szCs w:val="21"/>
          <w:highlight w:val="none"/>
          <w:lang w:val="en-US"/>
        </w:rPr>
      </w:pPr>
      <w:r>
        <w:rPr>
          <w:rFonts w:hint="eastAsia" w:ascii="宋体" w:hAnsi="宋体"/>
          <w:color w:val="auto"/>
          <w:szCs w:val="21"/>
          <w:highlight w:val="none"/>
          <w:lang w:val="en-US" w:eastAsia="zh-CN"/>
        </w:rPr>
        <w:t>c.</w:t>
      </w:r>
      <w:r>
        <w:rPr>
          <w:rFonts w:hint="eastAsia" w:ascii="宋体" w:hAnsi="宋体"/>
          <w:color w:val="auto"/>
          <w:szCs w:val="21"/>
          <w:highlight w:val="none"/>
          <w:lang w:val="en-US"/>
        </w:rPr>
        <w:t>服务要求</w:t>
      </w:r>
    </w:p>
    <w:p w14:paraId="1F79FBD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1.设备说明</w:t>
      </w:r>
    </w:p>
    <w:p w14:paraId="5F1BE4F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（1）本次采购的软硬件设备，</w:t>
      </w:r>
      <w:r>
        <w:rPr>
          <w:rFonts w:hint="eastAsia" w:ascii="宋体" w:hAnsi="宋体"/>
          <w:color w:val="auto"/>
          <w:szCs w:val="21"/>
          <w:highlight w:val="none"/>
          <w:lang w:val="en-US" w:eastAsia="zh-CN"/>
        </w:rPr>
        <w:t>甲方</w:t>
      </w:r>
      <w:r>
        <w:rPr>
          <w:rFonts w:hint="eastAsia" w:ascii="宋体" w:hAnsi="宋体"/>
          <w:color w:val="auto"/>
          <w:szCs w:val="21"/>
          <w:highlight w:val="none"/>
        </w:rPr>
        <w:t>要求不低于以上主要技术指标的产品，</w:t>
      </w:r>
      <w:r>
        <w:rPr>
          <w:rFonts w:hint="eastAsia" w:ascii="宋体" w:hAnsi="宋体"/>
          <w:color w:val="auto"/>
          <w:szCs w:val="21"/>
          <w:highlight w:val="none"/>
          <w:lang w:val="en-US" w:eastAsia="zh-CN"/>
        </w:rPr>
        <w:t>乙方</w:t>
      </w:r>
      <w:r>
        <w:rPr>
          <w:rFonts w:hint="eastAsia" w:ascii="宋体" w:hAnsi="宋体"/>
          <w:color w:val="auto"/>
          <w:szCs w:val="21"/>
          <w:highlight w:val="none"/>
        </w:rPr>
        <w:t>必须对其他的集成与技术差异提供说明（具体技术指标详见招标文件）。</w:t>
      </w:r>
    </w:p>
    <w:p w14:paraId="32E06EB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（3）设备清单中所列举的要求为一个基本的功能配置要求，为达到该要求，</w:t>
      </w:r>
      <w:r>
        <w:rPr>
          <w:rFonts w:hint="eastAsia" w:ascii="宋体" w:hAnsi="宋体"/>
          <w:color w:val="auto"/>
          <w:szCs w:val="21"/>
          <w:highlight w:val="none"/>
          <w:lang w:val="en-US" w:eastAsia="zh-CN"/>
        </w:rPr>
        <w:t>乙方</w:t>
      </w:r>
      <w:r>
        <w:rPr>
          <w:rFonts w:hint="eastAsia" w:ascii="宋体" w:hAnsi="宋体"/>
          <w:color w:val="auto"/>
          <w:szCs w:val="21"/>
          <w:highlight w:val="none"/>
        </w:rPr>
        <w:t>需在设备清单中详细列明所提供的品牌、型号、配置数量等具体信息，未提供或提供不全相关产品资料以及评标委员会根据投标人提供的资料认为所选品牌型号、配置信息不能达到招标文件的技术指标、功能要求的，则在评审时将作出对其不利的评定，并有可能导致被判定为重大偏离。</w:t>
      </w:r>
    </w:p>
    <w:p w14:paraId="5531C687">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乙方</w:t>
      </w:r>
      <w:r>
        <w:rPr>
          <w:rFonts w:hint="eastAsia" w:ascii="宋体" w:hAnsi="宋体"/>
          <w:color w:val="auto"/>
          <w:szCs w:val="21"/>
          <w:highlight w:val="none"/>
        </w:rPr>
        <w:t>应确保投标所选用的设备、材料之间的兼容性，如评标时发现</w:t>
      </w:r>
      <w:r>
        <w:rPr>
          <w:rFonts w:hint="eastAsia" w:ascii="宋体" w:hAnsi="宋体"/>
          <w:color w:val="auto"/>
          <w:szCs w:val="21"/>
          <w:highlight w:val="none"/>
          <w:lang w:val="en-US" w:eastAsia="zh-CN"/>
        </w:rPr>
        <w:t>甲方</w:t>
      </w:r>
      <w:r>
        <w:rPr>
          <w:rFonts w:hint="eastAsia" w:ascii="宋体" w:hAnsi="宋体"/>
          <w:color w:val="auto"/>
          <w:szCs w:val="21"/>
          <w:highlight w:val="none"/>
        </w:rPr>
        <w:t>投标选用的设备、材料存在不兼容性，将对其作出不利的评定，并有可能导致被判定为重大偏离。</w:t>
      </w:r>
    </w:p>
    <w:p w14:paraId="388F9D3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2.集成要求</w:t>
      </w:r>
    </w:p>
    <w:p w14:paraId="7FBB508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乙方</w:t>
      </w:r>
      <w:r>
        <w:rPr>
          <w:rFonts w:hint="eastAsia" w:ascii="宋体" w:hAnsi="宋体"/>
          <w:color w:val="auto"/>
          <w:szCs w:val="21"/>
          <w:highlight w:val="none"/>
        </w:rPr>
        <w:t>除需保证完成清单中设备的全部具体内容与要求的集成工作，所需设备配置、软件、各种费用及原应用的数据移植与可能需要的配件、可能的第三方指导、电源线、电源接头、零地电压、网络跳线、光纤跳线、数据移植、数据安全与集成工作由</w:t>
      </w:r>
      <w:r>
        <w:rPr>
          <w:rFonts w:hint="eastAsia" w:ascii="宋体" w:hAnsi="宋体"/>
          <w:color w:val="auto"/>
          <w:szCs w:val="21"/>
          <w:highlight w:val="none"/>
          <w:lang w:val="en-US" w:eastAsia="zh-CN"/>
        </w:rPr>
        <w:t>乙方</w:t>
      </w:r>
      <w:r>
        <w:rPr>
          <w:rFonts w:hint="eastAsia" w:ascii="宋体" w:hAnsi="宋体"/>
          <w:color w:val="auto"/>
          <w:szCs w:val="21"/>
          <w:highlight w:val="none"/>
        </w:rPr>
        <w:t>自行协调完成，并承担全部费用及工作责任，集成完成后必须保证</w:t>
      </w:r>
      <w:r>
        <w:rPr>
          <w:rFonts w:hint="eastAsia" w:ascii="宋体" w:hAnsi="宋体"/>
          <w:color w:val="auto"/>
          <w:szCs w:val="21"/>
          <w:highlight w:val="none"/>
          <w:lang w:val="en-US" w:eastAsia="zh-CN"/>
        </w:rPr>
        <w:t>甲方</w:t>
      </w:r>
      <w:r>
        <w:rPr>
          <w:rFonts w:hint="eastAsia" w:ascii="宋体" w:hAnsi="宋体"/>
          <w:color w:val="auto"/>
          <w:szCs w:val="21"/>
          <w:highlight w:val="none"/>
        </w:rPr>
        <w:t>能够进行其他应用软件的安装与使用。</w:t>
      </w:r>
    </w:p>
    <w:p w14:paraId="064F72A8">
      <w:pPr>
        <w:snapToGrid w:val="0"/>
        <w:spacing w:line="400" w:lineRule="exact"/>
        <w:ind w:firstLine="420" w:firstLineChars="200"/>
        <w:rPr>
          <w:rFonts w:hint="eastAsia"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d.</w:t>
      </w:r>
      <w:r>
        <w:rPr>
          <w:rFonts w:hint="eastAsia" w:ascii="宋体" w:hAnsi="宋体"/>
          <w:strike w:val="0"/>
          <w:dstrike w:val="0"/>
          <w:color w:val="auto"/>
          <w:szCs w:val="21"/>
          <w:highlight w:val="none"/>
        </w:rPr>
        <w:t>培训要求</w:t>
      </w:r>
    </w:p>
    <w:p w14:paraId="1D21B6B5">
      <w:pPr>
        <w:snapToGrid w:val="0"/>
        <w:spacing w:line="400" w:lineRule="exact"/>
        <w:ind w:firstLine="420" w:firstLineChars="200"/>
        <w:rPr>
          <w:rFonts w:hint="eastAsia"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须</w:t>
      </w:r>
      <w:r>
        <w:rPr>
          <w:rFonts w:hint="eastAsia" w:ascii="宋体" w:hAnsi="宋体"/>
          <w:strike w:val="0"/>
          <w:dstrike w:val="0"/>
          <w:color w:val="auto"/>
          <w:szCs w:val="21"/>
          <w:highlight w:val="none"/>
          <w:lang w:val="en-US" w:eastAsia="zh-CN"/>
        </w:rPr>
        <w:t>提供</w:t>
      </w:r>
      <w:r>
        <w:rPr>
          <w:rFonts w:hint="eastAsia" w:ascii="宋体" w:hAnsi="宋体"/>
          <w:strike w:val="0"/>
          <w:dstrike w:val="0"/>
          <w:color w:val="auto"/>
          <w:szCs w:val="21"/>
          <w:highlight w:val="none"/>
        </w:rPr>
        <w:t>有经验的工程师对</w:t>
      </w:r>
      <w:r>
        <w:rPr>
          <w:rFonts w:hint="eastAsia" w:ascii="宋体" w:hAnsi="宋体"/>
          <w:strike w:val="0"/>
          <w:dstrike w:val="0"/>
          <w:color w:val="auto"/>
          <w:szCs w:val="21"/>
          <w:highlight w:val="none"/>
          <w:lang w:val="en-US" w:eastAsia="zh-CN"/>
        </w:rPr>
        <w:t>甲方</w:t>
      </w:r>
      <w:r>
        <w:rPr>
          <w:rFonts w:hint="eastAsia" w:ascii="宋体" w:hAnsi="宋体"/>
          <w:strike w:val="0"/>
          <w:dstrike w:val="0"/>
          <w:color w:val="auto"/>
          <w:szCs w:val="21"/>
          <w:highlight w:val="none"/>
        </w:rPr>
        <w:t>进行优质的培训服务，具体要求如下：</w:t>
      </w:r>
    </w:p>
    <w:p w14:paraId="41762710">
      <w:pPr>
        <w:snapToGrid w:val="0"/>
        <w:spacing w:line="400" w:lineRule="exact"/>
        <w:ind w:firstLine="420" w:firstLineChars="200"/>
        <w:rPr>
          <w:rFonts w:hint="default" w:ascii="宋体" w:hAnsi="宋体" w:eastAsia="宋体"/>
          <w:strike w:val="0"/>
          <w:dstrike w:val="0"/>
          <w:color w:val="auto"/>
          <w:szCs w:val="21"/>
          <w:highlight w:val="none"/>
          <w:lang w:val="en-US" w:eastAsia="zh-CN"/>
        </w:rPr>
      </w:pPr>
      <w:r>
        <w:rPr>
          <w:rFonts w:hint="eastAsia" w:ascii="宋体" w:hAnsi="宋体"/>
          <w:strike w:val="0"/>
          <w:dstrike w:val="0"/>
          <w:color w:val="auto"/>
          <w:szCs w:val="21"/>
          <w:highlight w:val="none"/>
        </w:rPr>
        <w:t>对设备的使用、操作、维修进行培训，确保用户能够对设备、系统有足够的了解和熟悉，能够独立进行设备、系统的日常运营、管理和维护，并提供安装使用维护说明书，培训所需一切资料由</w:t>
      </w: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提供。</w:t>
      </w: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在报价中应充分考虑所有可能发生的费用，</w:t>
      </w:r>
      <w:r>
        <w:rPr>
          <w:rFonts w:hint="eastAsia" w:ascii="宋体" w:hAnsi="宋体"/>
          <w:strike w:val="0"/>
          <w:dstrike w:val="0"/>
          <w:color w:val="auto"/>
          <w:szCs w:val="21"/>
          <w:highlight w:val="none"/>
          <w:lang w:val="en-US" w:eastAsia="zh-CN"/>
        </w:rPr>
        <w:t>甲方</w:t>
      </w:r>
      <w:r>
        <w:rPr>
          <w:rFonts w:hint="eastAsia" w:ascii="宋体" w:hAnsi="宋体"/>
          <w:strike w:val="0"/>
          <w:dstrike w:val="0"/>
          <w:color w:val="auto"/>
          <w:szCs w:val="21"/>
          <w:highlight w:val="none"/>
        </w:rPr>
        <w:t>不另行支付培训费、资料费等相关费用。</w:t>
      </w:r>
      <w:r>
        <w:rPr>
          <w:rFonts w:hint="eastAsia" w:ascii="宋体" w:hAnsi="宋体"/>
          <w:strike w:val="0"/>
          <w:dstrike w:val="0"/>
          <w:color w:val="auto"/>
          <w:szCs w:val="21"/>
          <w:highlight w:val="none"/>
          <w:lang w:val="en-US" w:eastAsia="zh-CN"/>
        </w:rPr>
        <w:t>如乙方开展集中培训的，需</w:t>
      </w:r>
      <w:r>
        <w:rPr>
          <w:rFonts w:hint="eastAsia" w:ascii="宋体" w:hAnsi="宋体"/>
          <w:strike w:val="0"/>
          <w:dstrike w:val="0"/>
          <w:color w:val="auto"/>
          <w:szCs w:val="21"/>
          <w:highlight w:val="none"/>
        </w:rPr>
        <w:t>负责维护</w:t>
      </w:r>
      <w:r>
        <w:rPr>
          <w:rFonts w:hint="eastAsia" w:ascii="宋体" w:hAnsi="宋体"/>
          <w:strike w:val="0"/>
          <w:dstrike w:val="0"/>
          <w:color w:val="auto"/>
          <w:szCs w:val="21"/>
          <w:highlight w:val="none"/>
          <w:lang w:val="en-US" w:eastAsia="zh-CN"/>
        </w:rPr>
        <w:t>培训</w:t>
      </w:r>
      <w:r>
        <w:rPr>
          <w:rFonts w:hint="eastAsia" w:ascii="宋体" w:hAnsi="宋体"/>
          <w:strike w:val="0"/>
          <w:dstrike w:val="0"/>
          <w:color w:val="auto"/>
          <w:szCs w:val="21"/>
          <w:highlight w:val="none"/>
        </w:rPr>
        <w:t>现场秩序，加强安保工作，自行承担</w:t>
      </w:r>
      <w:r>
        <w:rPr>
          <w:rFonts w:hint="eastAsia" w:ascii="宋体" w:hAnsi="宋体"/>
          <w:strike w:val="0"/>
          <w:dstrike w:val="0"/>
          <w:color w:val="auto"/>
          <w:szCs w:val="21"/>
          <w:highlight w:val="none"/>
          <w:lang w:val="en-US" w:eastAsia="zh-CN"/>
        </w:rPr>
        <w:t>培训</w:t>
      </w:r>
      <w:r>
        <w:rPr>
          <w:rFonts w:hint="eastAsia" w:ascii="宋体" w:hAnsi="宋体"/>
          <w:strike w:val="0"/>
          <w:dstrike w:val="0"/>
          <w:color w:val="auto"/>
          <w:szCs w:val="21"/>
          <w:highlight w:val="none"/>
        </w:rPr>
        <w:t>过程中的各项保障义务。如在</w:t>
      </w:r>
      <w:r>
        <w:rPr>
          <w:rFonts w:hint="eastAsia" w:ascii="宋体" w:hAnsi="宋体"/>
          <w:strike w:val="0"/>
          <w:dstrike w:val="0"/>
          <w:color w:val="auto"/>
          <w:szCs w:val="21"/>
          <w:highlight w:val="none"/>
          <w:lang w:val="en-US" w:eastAsia="zh-CN"/>
        </w:rPr>
        <w:t>培训</w:t>
      </w:r>
      <w:r>
        <w:rPr>
          <w:rFonts w:hint="eastAsia" w:ascii="宋体" w:hAnsi="宋体"/>
          <w:strike w:val="0"/>
          <w:dstrike w:val="0"/>
          <w:color w:val="auto"/>
          <w:szCs w:val="21"/>
          <w:highlight w:val="none"/>
        </w:rPr>
        <w:t>期间发生安全事故或造成第三人人身财产损失的，均由乙方负责赔偿解决，与甲方无涉。如因此导致甲方被第三方追责的，甲方有权就全部损失向乙方追偿。</w:t>
      </w:r>
    </w:p>
    <w:p w14:paraId="1448E1AC">
      <w:pPr>
        <w:snapToGrid w:val="0"/>
        <w:spacing w:line="400" w:lineRule="exact"/>
        <w:ind w:firstLine="420" w:firstLineChars="200"/>
        <w:rPr>
          <w:rFonts w:hint="eastAsia" w:ascii="宋体" w:hAnsi="宋体"/>
          <w:strike w:val="0"/>
          <w:dstrike w:val="0"/>
          <w:color w:val="auto"/>
          <w:szCs w:val="21"/>
          <w:highlight w:val="none"/>
          <w:lang w:val="en-US"/>
        </w:rPr>
      </w:pPr>
      <w:r>
        <w:rPr>
          <w:rFonts w:hint="eastAsia" w:ascii="宋体" w:hAnsi="宋体"/>
          <w:strike w:val="0"/>
          <w:dstrike w:val="0"/>
          <w:color w:val="auto"/>
          <w:szCs w:val="21"/>
          <w:highlight w:val="none"/>
          <w:lang w:val="en-US" w:eastAsia="zh-CN"/>
        </w:rPr>
        <w:t>e.</w:t>
      </w:r>
      <w:r>
        <w:rPr>
          <w:rFonts w:hint="eastAsia" w:ascii="宋体" w:hAnsi="宋体"/>
          <w:strike w:val="0"/>
          <w:dstrike w:val="0"/>
          <w:color w:val="auto"/>
          <w:szCs w:val="21"/>
          <w:highlight w:val="none"/>
          <w:lang w:val="en-US"/>
        </w:rPr>
        <w:t>其他要求</w:t>
      </w:r>
    </w:p>
    <w:p w14:paraId="5CF09952">
      <w:pPr>
        <w:snapToGrid w:val="0"/>
        <w:spacing w:line="400" w:lineRule="exact"/>
        <w:ind w:firstLine="420" w:firstLineChars="20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1.</w:t>
      </w: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应确保本项目提供的设备、服务、资料等不会侵犯任何第三方的知识产权，如出现侵权造成的法律后果，由</w:t>
      </w: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负责。</w:t>
      </w:r>
    </w:p>
    <w:p w14:paraId="0518DCBE">
      <w:pPr>
        <w:snapToGrid w:val="0"/>
        <w:spacing w:line="400" w:lineRule="exact"/>
        <w:ind w:firstLine="420" w:firstLineChars="20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2.服务标准：执行国家相关标准、行业标准、地方标准。</w:t>
      </w:r>
    </w:p>
    <w:p w14:paraId="134754D5">
      <w:pPr>
        <w:snapToGrid w:val="0"/>
        <w:spacing w:line="400" w:lineRule="exact"/>
        <w:ind w:firstLine="420" w:firstLineChars="200"/>
        <w:rPr>
          <w:rFonts w:hint="eastAsia" w:ascii="宋体" w:hAnsi="宋体"/>
          <w:strike w:val="0"/>
          <w:dstrike w:val="0"/>
          <w:color w:val="auto"/>
          <w:szCs w:val="21"/>
          <w:highlight w:val="none"/>
        </w:rPr>
      </w:pPr>
      <w:r>
        <w:rPr>
          <w:rFonts w:hint="eastAsia" w:ascii="宋体" w:hAnsi="宋体"/>
          <w:strike w:val="0"/>
          <w:dstrike w:val="0"/>
          <w:color w:val="auto"/>
          <w:szCs w:val="21"/>
          <w:highlight w:val="none"/>
        </w:rPr>
        <w:t>3.验收标准：项目结束后，由甲方根据招标文件和采购合同，按照履约验收管理办法进行验收。验收合格报告作为项目资金支付的依据。</w:t>
      </w:r>
    </w:p>
    <w:p w14:paraId="43500089">
      <w:pPr>
        <w:pStyle w:val="82"/>
        <w:numPr>
          <w:ilvl w:val="255"/>
          <w:numId w:val="0"/>
        </w:numPr>
        <w:snapToGrid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lang w:val="en-US" w:eastAsia="zh-CN"/>
        </w:rPr>
        <w:t>8</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分散采购</w:t>
      </w:r>
    </w:p>
    <w:p w14:paraId="32B7AE60">
      <w:pPr>
        <w:pStyle w:val="82"/>
        <w:numPr>
          <w:ilvl w:val="255"/>
          <w:numId w:val="0"/>
        </w:numPr>
        <w:snapToGrid w:val="0"/>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lang w:val="en-US" w:eastAsia="zh-CN"/>
        </w:rPr>
        <w:t>9</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335A6001">
      <w:pPr>
        <w:pStyle w:val="82"/>
        <w:numPr>
          <w:ilvl w:val="255"/>
          <w:numId w:val="0"/>
        </w:numPr>
        <w:snapToGrid w:val="0"/>
        <w:ind w:firstLine="420"/>
        <w:rPr>
          <w:rFonts w:hint="eastAsia"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0AEF88D7">
      <w:pPr>
        <w:pStyle w:val="82"/>
        <w:numPr>
          <w:ilvl w:val="255"/>
          <w:numId w:val="0"/>
        </w:numPr>
        <w:snapToGrid w:val="0"/>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11C19F36">
      <w:pPr>
        <w:pStyle w:val="82"/>
        <w:numPr>
          <w:ilvl w:val="255"/>
          <w:numId w:val="0"/>
        </w:numPr>
        <w:snapToGrid w:val="0"/>
        <w:ind w:firstLine="220" w:firstLineChars="100"/>
        <w:rPr>
          <w:rFonts w:hint="eastAsia" w:ascii="宋体" w:hAnsi="宋体" w:eastAsia="宋体" w:cs="Times New Roman"/>
          <w:color w:val="auto"/>
          <w:kern w:val="2"/>
          <w:sz w:val="21"/>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990FB4A">
      <w:pPr>
        <w:numPr>
          <w:ilvl w:val="255"/>
          <w:numId w:val="0"/>
        </w:numPr>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E2C3C66">
      <w:pPr>
        <w:numPr>
          <w:ilvl w:val="255"/>
          <w:numId w:val="0"/>
        </w:numPr>
        <w:snapToGrid w:val="0"/>
        <w:spacing w:line="400" w:lineRule="exact"/>
        <w:rPr>
          <w:rFonts w:hint="eastAsia"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8172301">
      <w:pPr>
        <w:numPr>
          <w:ilvl w:val="255"/>
          <w:numId w:val="0"/>
        </w:numPr>
        <w:snapToGrid w:val="0"/>
        <w:spacing w:line="400" w:lineRule="exact"/>
        <w:rPr>
          <w:rFonts w:hint="eastAsia"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056FC6">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CD08A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1DCCE74">
      <w:pPr>
        <w:snapToGrid w:val="0"/>
        <w:spacing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8B465C8">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60C28EC2">
      <w:pPr>
        <w:snapToGrid w:val="0"/>
        <w:spacing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97AFF3D">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49F542BA">
      <w:pPr>
        <w:snapToGrid w:val="0"/>
        <w:spacing w:line="400" w:lineRule="exact"/>
        <w:ind w:firstLine="840" w:firstLineChars="40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108D9361">
      <w:pPr>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1B849B10">
      <w:pPr>
        <w:numPr>
          <w:ilvl w:val="255"/>
          <w:numId w:val="0"/>
        </w:numPr>
        <w:snapToGrid w:val="0"/>
        <w:spacing w:line="400" w:lineRule="exact"/>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0831A5D2">
      <w:pPr>
        <w:pStyle w:val="82"/>
        <w:tabs>
          <w:tab w:val="left" w:pos="1340"/>
        </w:tabs>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0923615D">
      <w:pPr>
        <w:numPr>
          <w:ilvl w:val="255"/>
          <w:numId w:val="0"/>
        </w:num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）是否涉及进口产品：</w:t>
      </w:r>
    </w:p>
    <w:p w14:paraId="4E7C6D40">
      <w:pPr>
        <w:numPr>
          <w:ilvl w:val="255"/>
          <w:numId w:val="0"/>
        </w:numPr>
        <w:snapToGrid w:val="0"/>
        <w:spacing w:line="40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0097E1F9">
      <w:pPr>
        <w:numPr>
          <w:ilvl w:val="255"/>
          <w:numId w:val="0"/>
        </w:numPr>
        <w:snapToGrid w:val="0"/>
        <w:spacing w:line="400" w:lineRule="exact"/>
        <w:ind w:firstLine="840" w:firstLineChars="400"/>
        <w:rPr>
          <w:rFonts w:hint="eastAsia"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F8F63D6">
      <w:p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31359022">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val="en-US" w:eastAsia="zh-CN"/>
        </w:rPr>
        <w:t>4</w:t>
      </w:r>
      <w:r>
        <w:rPr>
          <w:rFonts w:hint="eastAsia" w:ascii="宋体" w:hAnsi="宋体"/>
          <w:color w:val="auto"/>
          <w:szCs w:val="21"/>
          <w:highlight w:val="none"/>
        </w:rPr>
        <w:t>）是否涉及节能产品：</w:t>
      </w:r>
    </w:p>
    <w:p w14:paraId="0F8D06C8">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6B12481">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1CEE61D">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4A5FCF7">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14:paraId="1F3D21F1">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9EB2DC7">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3552E9B">
      <w:pPr>
        <w:numPr>
          <w:ilvl w:val="255"/>
          <w:numId w:val="0"/>
        </w:numPr>
        <w:tabs>
          <w:tab w:val="left" w:pos="740"/>
        </w:tabs>
        <w:snapToGrid w:val="0"/>
        <w:spacing w:line="400" w:lineRule="exact"/>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B8D16BB">
      <w:pPr>
        <w:pStyle w:val="82"/>
        <w:numPr>
          <w:ilvl w:val="255"/>
          <w:numId w:val="0"/>
        </w:numPr>
        <w:snapToGrid w:val="0"/>
        <w:rPr>
          <w:rFonts w:hint="eastAsia"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308CF4CD">
      <w:pPr>
        <w:pStyle w:val="82"/>
        <w:ind w:firstLine="420" w:firstLineChars="0"/>
        <w:rPr>
          <w:rFonts w:hint="eastAsia"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58D11F75">
      <w:pPr>
        <w:numPr>
          <w:ilvl w:val="255"/>
          <w:numId w:val="0"/>
        </w:numPr>
        <w:tabs>
          <w:tab w:val="left" w:pos="740"/>
        </w:tabs>
        <w:snapToGrid w:val="0"/>
        <w:spacing w:line="400" w:lineRule="exact"/>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CC5192B">
      <w:pPr>
        <w:pStyle w:val="82"/>
        <w:ind w:firstLine="420" w:firstLineChars="0"/>
        <w:rPr>
          <w:rFonts w:hint="eastAsia"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4D37EE7B">
      <w:pPr>
        <w:numPr>
          <w:ilvl w:val="255"/>
          <w:numId w:val="0"/>
        </w:num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lang w:val="en-US" w:eastAsia="zh-CN"/>
        </w:rPr>
        <w:t>5</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224EDEFC">
      <w:pPr>
        <w:numPr>
          <w:ilvl w:val="255"/>
          <w:numId w:val="0"/>
        </w:numPr>
        <w:snapToGrid w:val="0"/>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08FA9D19">
      <w:pPr>
        <w:numPr>
          <w:ilvl w:val="0"/>
          <w:numId w:val="3"/>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合同金额</w:t>
      </w:r>
    </w:p>
    <w:p w14:paraId="0914C50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w:t>
      </w:r>
      <w:r>
        <w:rPr>
          <w:rFonts w:hint="eastAsia" w:ascii="宋体" w:hAnsi="宋体"/>
          <w:color w:val="auto"/>
          <w:szCs w:val="21"/>
          <w:highlight w:val="none"/>
          <w:lang w:val="en-US" w:eastAsia="zh-CN"/>
        </w:rPr>
        <w:t>含税</w:t>
      </w:r>
      <w:r>
        <w:rPr>
          <w:rFonts w:hint="eastAsia" w:ascii="宋体" w:hAnsi="宋体"/>
          <w:color w:val="auto"/>
          <w:szCs w:val="21"/>
          <w:highlight w:val="none"/>
        </w:rPr>
        <w:t>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上述金额</w:t>
      </w:r>
      <w:r>
        <w:rPr>
          <w:rFonts w:hint="eastAsia" w:ascii="宋体" w:hAnsi="宋体"/>
          <w:color w:val="auto"/>
          <w:szCs w:val="21"/>
          <w:highlight w:val="none"/>
          <w:u w:val="none"/>
        </w:rPr>
        <w:t>已包含</w:t>
      </w:r>
      <w:r>
        <w:rPr>
          <w:rFonts w:hint="eastAsia" w:ascii="宋体" w:hAnsi="宋体"/>
          <w:color w:val="auto"/>
          <w:szCs w:val="21"/>
          <w:highlight w:val="none"/>
          <w:u w:val="none"/>
          <w:lang w:val="en-US" w:eastAsia="zh-CN"/>
        </w:rPr>
        <w:t>乙方</w:t>
      </w:r>
      <w:r>
        <w:rPr>
          <w:rFonts w:hint="eastAsia" w:ascii="宋体" w:hAnsi="宋体"/>
          <w:color w:val="auto"/>
          <w:szCs w:val="21"/>
          <w:highlight w:val="none"/>
          <w:u w:val="none"/>
        </w:rPr>
        <w:t>为完成本合同下义务的全部费用，</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无需支付其他任何费用。</w:t>
      </w:r>
    </w:p>
    <w:p w14:paraId="0D61883A">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E8C202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76C38D6C">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1DD117F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7873BCBB">
      <w:pPr>
        <w:numPr>
          <w:ilvl w:val="255"/>
          <w:numId w:val="0"/>
        </w:num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3EEFA745">
      <w:pPr>
        <w:snapToGrid w:val="0"/>
        <w:spacing w:line="400" w:lineRule="exact"/>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13D72B80">
      <w:pPr>
        <w:pStyle w:val="793"/>
        <w:spacing w:line="400" w:lineRule="exact"/>
        <w:ind w:firstLine="480"/>
        <w:rPr>
          <w:color w:val="auto"/>
          <w:highlight w:val="none"/>
        </w:rPr>
      </w:pPr>
      <w:r>
        <w:rPr>
          <w:rFonts w:hint="eastAsia" w:ascii="宋体" w:hAnsi="宋体"/>
          <w:color w:val="auto"/>
          <w:highlight w:val="none"/>
        </w:rPr>
        <w:t>（3）付款方式（按项目实际勾选填写）：</w:t>
      </w:r>
    </w:p>
    <w:p w14:paraId="0279E9F3">
      <w:pPr>
        <w:snapToGrid w:val="0"/>
        <w:spacing w:line="40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3DCD8A12">
      <w:pPr>
        <w:snapToGrid w:val="0"/>
        <w:spacing w:line="400" w:lineRule="exact"/>
        <w:ind w:firstLine="630" w:firstLineChars="300"/>
        <w:rPr>
          <w:rFonts w:hint="eastAsia" w:eastAsia="宋体"/>
          <w:color w:val="auto"/>
          <w:highlight w:val="none"/>
          <w:lang w:val="en-US" w:eastAsia="zh-CN"/>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合同签订之日起，</w:t>
      </w:r>
      <w:r>
        <w:rPr>
          <w:rFonts w:hint="eastAsia" w:ascii="宋体" w:hAnsi="宋体"/>
          <w:color w:val="auto"/>
          <w:szCs w:val="21"/>
          <w:highlight w:val="none"/>
          <w:u w:val="single"/>
          <w:lang w:val="en-US" w:eastAsia="zh-CN"/>
        </w:rPr>
        <w:t>乙方</w:t>
      </w:r>
      <w:r>
        <w:rPr>
          <w:rFonts w:hint="eastAsia" w:ascii="宋体" w:hAnsi="宋体"/>
          <w:color w:val="auto"/>
          <w:szCs w:val="21"/>
          <w:highlight w:val="none"/>
          <w:u w:val="single"/>
        </w:rPr>
        <w:t>提供正规发票，</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个工作日，</w:t>
      </w:r>
      <w:r>
        <w:rPr>
          <w:rFonts w:hint="eastAsia" w:ascii="宋体" w:hAnsi="宋体"/>
          <w:color w:val="auto"/>
          <w:szCs w:val="21"/>
          <w:highlight w:val="none"/>
          <w:u w:val="single"/>
          <w:lang w:val="en-US" w:eastAsia="zh-CN"/>
        </w:rPr>
        <w:t>甲方</w:t>
      </w:r>
      <w:r>
        <w:rPr>
          <w:rFonts w:hint="eastAsia" w:ascii="宋体" w:hAnsi="宋体"/>
          <w:color w:val="auto"/>
          <w:szCs w:val="21"/>
          <w:highlight w:val="none"/>
          <w:u w:val="single"/>
        </w:rPr>
        <w:t>支付</w:t>
      </w:r>
      <w:r>
        <w:rPr>
          <w:rFonts w:hint="eastAsia" w:ascii="宋体" w:hAnsi="宋体"/>
          <w:color w:val="auto"/>
          <w:szCs w:val="21"/>
          <w:highlight w:val="none"/>
          <w:u w:val="single"/>
          <w:lang w:val="en-US" w:eastAsia="zh-CN"/>
        </w:rPr>
        <w:t>合同款</w:t>
      </w:r>
      <w:r>
        <w:rPr>
          <w:rFonts w:hint="eastAsia" w:ascii="宋体" w:hAnsi="宋体"/>
          <w:color w:val="auto"/>
          <w:szCs w:val="21"/>
          <w:highlight w:val="none"/>
          <w:u w:val="single"/>
        </w:rPr>
        <w:t>50%预付款；设备全部安装调试完成并验收合格后</w:t>
      </w:r>
      <w:r>
        <w:rPr>
          <w:rFonts w:hint="eastAsia" w:ascii="宋体" w:hAnsi="宋体"/>
          <w:color w:val="auto"/>
          <w:szCs w:val="21"/>
          <w:highlight w:val="none"/>
          <w:u w:val="single"/>
          <w:lang w:val="en-US" w:eastAsia="zh-CN"/>
        </w:rPr>
        <w:t>且乙方提供相应符合要求的发票</w:t>
      </w:r>
      <w:r>
        <w:rPr>
          <w:rFonts w:hint="eastAsia" w:ascii="宋体" w:hAnsi="宋体"/>
          <w:color w:val="auto"/>
          <w:szCs w:val="21"/>
          <w:highlight w:val="none"/>
          <w:u w:val="single"/>
        </w:rPr>
        <w:t>后</w:t>
      </w:r>
      <w:r>
        <w:rPr>
          <w:rFonts w:hint="eastAsia" w:ascii="宋体" w:hAnsi="宋体"/>
          <w:color w:val="auto"/>
          <w:szCs w:val="21"/>
          <w:highlight w:val="none"/>
          <w:u w:val="single"/>
          <w:lang w:val="en-US" w:eastAsia="zh-CN"/>
        </w:rPr>
        <w:t>7个工作日</w:t>
      </w:r>
      <w:r>
        <w:rPr>
          <w:rFonts w:hint="eastAsia" w:ascii="宋体" w:hAnsi="宋体"/>
          <w:color w:val="auto"/>
          <w:szCs w:val="21"/>
          <w:highlight w:val="none"/>
          <w:u w:val="single"/>
        </w:rPr>
        <w:t>，支付</w:t>
      </w:r>
      <w:r>
        <w:rPr>
          <w:rFonts w:hint="eastAsia" w:ascii="宋体" w:hAnsi="宋体"/>
          <w:strike w:val="0"/>
          <w:dstrike w:val="0"/>
          <w:color w:val="auto"/>
          <w:szCs w:val="21"/>
          <w:highlight w:val="none"/>
          <w:u w:val="single"/>
          <w:lang w:val="en-US" w:eastAsia="zh-CN"/>
        </w:rPr>
        <w:t>尾款，乙方未按约定提供符合要求的发票的，视为付款条件未成就，采购方有权不付款且不视作违约</w:t>
      </w:r>
    </w:p>
    <w:p w14:paraId="302CF78B">
      <w:pPr>
        <w:snapToGrid w:val="0"/>
        <w:spacing w:line="400" w:lineRule="exact"/>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3FD0AC3">
      <w:pPr>
        <w:snapToGrid w:val="0"/>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953AA0D">
      <w:pPr>
        <w:numPr>
          <w:ilvl w:val="0"/>
          <w:numId w:val="3"/>
        </w:numPr>
        <w:snapToGrid w:val="0"/>
        <w:spacing w:line="400" w:lineRule="exact"/>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合同履行</w:t>
      </w:r>
    </w:p>
    <w:p w14:paraId="380A29A2">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40A2147E">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126DC22B">
      <w:pPr>
        <w:pStyle w:val="82"/>
        <w:rPr>
          <w:rFonts w:hint="eastAsia"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     </w:t>
      </w:r>
    </w:p>
    <w:p w14:paraId="11881ED7">
      <w:pPr>
        <w:pStyle w:val="82"/>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     </w:t>
      </w:r>
    </w:p>
    <w:p w14:paraId="3446E15E">
      <w:pPr>
        <w:snapToGrid w:val="0"/>
        <w:spacing w:line="400" w:lineRule="exact"/>
        <w:ind w:firstLine="420" w:firstLineChars="200"/>
        <w:rPr>
          <w:rFonts w:hint="eastAsia"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     </w:t>
      </w:r>
    </w:p>
    <w:p w14:paraId="1379DB62">
      <w:pPr>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53EDA483">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678FF154">
      <w:pPr>
        <w:numPr>
          <w:ilvl w:val="0"/>
          <w:numId w:val="3"/>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合同验收</w:t>
      </w:r>
    </w:p>
    <w:p w14:paraId="16D4FD80">
      <w:pPr>
        <w:numPr>
          <w:ilvl w:val="0"/>
          <w:numId w:val="5"/>
        </w:num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4510E4A0">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采购智慧书架视觉盘点系统项目</w:t>
      </w:r>
    </w:p>
    <w:p w14:paraId="15D9A840">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63DD5567">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0ABC2DD8">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3043C78">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599467E">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6BE33631">
      <w:pPr>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20CFB31C">
      <w:pPr>
        <w:snapToGrid w:val="0"/>
        <w:spacing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14F2388">
      <w:pPr>
        <w:snapToGrid w:val="0"/>
        <w:spacing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无   </w:t>
      </w:r>
    </w:p>
    <w:p w14:paraId="69603D9F">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（计划于何时验收/供应商提出验收申请之日起20日内组织验收） </w:t>
      </w:r>
    </w:p>
    <w:p w14:paraId="7B21CC0D">
      <w:p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38A407DF">
      <w:pPr>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2473DB2C">
      <w:pPr>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397DDBDD">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36CF74A4">
      <w:pPr>
        <w:snapToGrid w:val="0"/>
        <w:spacing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6E9A31D7">
      <w:pPr>
        <w:pStyle w:val="82"/>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3E48350B">
      <w:pPr>
        <w:snapToGrid w:val="0"/>
        <w:spacing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1FED4B32">
      <w:pPr>
        <w:numPr>
          <w:ilvl w:val="0"/>
          <w:numId w:val="3"/>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403F9E8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1B4C08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24AB715B">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14:paraId="5889986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14:paraId="678D82F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（4）中标（成交）通知书</w:t>
      </w:r>
    </w:p>
    <w:p w14:paraId="34B7742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（5）投标（响应）文件</w:t>
      </w:r>
    </w:p>
    <w:p w14:paraId="3BE7B92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14:paraId="47CA7EE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（7）有关技术文件，图纸</w:t>
      </w:r>
    </w:p>
    <w:p w14:paraId="4EDA334A">
      <w:pPr>
        <w:pStyle w:val="82"/>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35C2E5AC">
      <w:pPr>
        <w:pStyle w:val="82"/>
        <w:ind w:firstLine="42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如各文件内容之间存在不一致之处的，以最新签署的为准。</w:t>
      </w:r>
    </w:p>
    <w:p w14:paraId="1517DFDE">
      <w:pPr>
        <w:numPr>
          <w:ilvl w:val="0"/>
          <w:numId w:val="3"/>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39775711">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双方盖章时</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44A8E6B">
      <w:pPr>
        <w:numPr>
          <w:ilvl w:val="0"/>
          <w:numId w:val="3"/>
        </w:num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26AAE17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陆</w:t>
      </w:r>
      <w:r>
        <w:rPr>
          <w:rFonts w:hint="eastAsia" w:ascii="宋体" w:hAnsi="宋体"/>
          <w:color w:val="auto"/>
          <w:szCs w:val="21"/>
          <w:highlight w:val="none"/>
        </w:rPr>
        <w:t>份，甲方执</w:t>
      </w:r>
      <w:r>
        <w:rPr>
          <w:rFonts w:hint="eastAsia" w:ascii="宋体" w:hAnsi="宋体"/>
          <w:color w:val="auto"/>
          <w:szCs w:val="21"/>
          <w:highlight w:val="none"/>
          <w:u w:val="single"/>
        </w:rPr>
        <w:t>叁</w:t>
      </w:r>
      <w:r>
        <w:rPr>
          <w:rFonts w:hint="eastAsia" w:ascii="宋体" w:hAnsi="宋体"/>
          <w:color w:val="auto"/>
          <w:szCs w:val="21"/>
          <w:highlight w:val="none"/>
        </w:rPr>
        <w:t>份，乙方执</w:t>
      </w:r>
      <w:r>
        <w:rPr>
          <w:rFonts w:hint="eastAsia" w:ascii="宋体" w:hAnsi="宋体"/>
          <w:color w:val="auto"/>
          <w:szCs w:val="21"/>
          <w:highlight w:val="none"/>
          <w:u w:val="single"/>
        </w:rPr>
        <w:t>叁</w:t>
      </w:r>
      <w:r>
        <w:rPr>
          <w:rFonts w:hint="eastAsia" w:ascii="宋体" w:hAnsi="宋体"/>
          <w:color w:val="auto"/>
          <w:szCs w:val="21"/>
          <w:highlight w:val="none"/>
        </w:rPr>
        <w:t>份，均具有同等法律效力。</w:t>
      </w:r>
    </w:p>
    <w:p w14:paraId="6591703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C46E130">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1326C34">
      <w:pPr>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63871BE1">
      <w:pPr>
        <w:pStyle w:val="793"/>
        <w:spacing w:line="400" w:lineRule="exact"/>
        <w:ind w:firstLine="480"/>
        <w:rPr>
          <w:color w:val="auto"/>
          <w:highlight w:val="none"/>
        </w:rPr>
      </w:pPr>
    </w:p>
    <w:p w14:paraId="501E9EDC">
      <w:pPr>
        <w:pStyle w:val="3"/>
        <w:spacing w:line="400" w:lineRule="exact"/>
        <w:rPr>
          <w:rFonts w:ascii="宋体" w:hAnsi="宋体"/>
          <w:b w:val="0"/>
          <w:bCs w:val="0"/>
          <w:color w:val="auto"/>
          <w:sz w:val="21"/>
          <w:szCs w:val="21"/>
          <w:highlight w:val="none"/>
          <w:lang w:val="en-US"/>
        </w:rPr>
      </w:pPr>
      <w:r>
        <w:rPr>
          <w:color w:val="auto"/>
          <w:highlight w:val="none"/>
          <w:lang w:val="en"/>
        </w:rPr>
        <w:t xml:space="preserve">   </w:t>
      </w:r>
    </w:p>
    <w:p w14:paraId="680D99A4">
      <w:pPr>
        <w:rPr>
          <w:color w:val="auto"/>
          <w:highlight w:val="none"/>
        </w:rPr>
      </w:pPr>
      <w:r>
        <w:rPr>
          <w:rFonts w:hint="eastAsia"/>
          <w:color w:val="auto"/>
          <w:highlight w:val="none"/>
        </w:rPr>
        <w:br w:type="page"/>
      </w:r>
    </w:p>
    <w:p w14:paraId="02D17B3F">
      <w:pPr>
        <w:pStyle w:val="793"/>
        <w:ind w:firstLine="480"/>
        <w:rPr>
          <w:rFonts w:hint="eastAsia" w:ascii="宋体" w:hAnsi="宋体" w:eastAsia="宋体" w:cs="宋体"/>
          <w:color w:val="auto"/>
          <w:highlight w:val="none"/>
        </w:rPr>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A1370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BE2C97B">
            <w:pPr>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04A8D41B">
            <w:pPr>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4FCFAE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DC762F7">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24F0526F">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CC99E1">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5EB8347F">
            <w:pPr>
              <w:snapToGrid w:val="0"/>
              <w:spacing w:line="300" w:lineRule="exact"/>
              <w:jc w:val="center"/>
              <w:rPr>
                <w:rFonts w:hint="eastAsia" w:ascii="宋体" w:hAnsi="宋体" w:eastAsia="宋体" w:cs="宋体"/>
                <w:color w:val="auto"/>
                <w:spacing w:val="20"/>
                <w:szCs w:val="21"/>
                <w:highlight w:val="none"/>
              </w:rPr>
            </w:pPr>
          </w:p>
        </w:tc>
      </w:tr>
      <w:tr w14:paraId="3AC205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3EB465E8">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67C6B207">
            <w:pPr>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491941C3">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53804866">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26AECCC5">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4313A02F">
            <w:pPr>
              <w:snapToGrid w:val="0"/>
              <w:spacing w:line="300" w:lineRule="exact"/>
              <w:jc w:val="center"/>
              <w:rPr>
                <w:rFonts w:hint="eastAsia" w:ascii="宋体" w:hAnsi="宋体" w:eastAsia="宋体" w:cs="宋体"/>
                <w:color w:val="auto"/>
                <w:szCs w:val="21"/>
                <w:highlight w:val="none"/>
              </w:rPr>
            </w:pPr>
          </w:p>
        </w:tc>
      </w:tr>
      <w:tr w14:paraId="4CD0CE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DBF3E87">
            <w:pPr>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61679B1D">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2DB8BD">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13CD1823">
            <w:pPr>
              <w:snapToGrid w:val="0"/>
              <w:spacing w:line="300" w:lineRule="exact"/>
              <w:jc w:val="center"/>
              <w:rPr>
                <w:rFonts w:hint="eastAsia" w:ascii="宋体" w:hAnsi="宋体" w:eastAsia="宋体" w:cs="宋体"/>
                <w:color w:val="auto"/>
                <w:spacing w:val="20"/>
                <w:szCs w:val="21"/>
                <w:highlight w:val="none"/>
              </w:rPr>
            </w:pPr>
          </w:p>
        </w:tc>
      </w:tr>
      <w:tr w14:paraId="0508EE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82D958">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6CE52F03">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463F81">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  所</w:t>
            </w:r>
          </w:p>
        </w:tc>
        <w:tc>
          <w:tcPr>
            <w:tcW w:w="2116" w:type="dxa"/>
            <w:tcBorders>
              <w:top w:val="single" w:color="auto" w:sz="2" w:space="0"/>
              <w:left w:val="single" w:color="auto" w:sz="2" w:space="0"/>
              <w:bottom w:val="single" w:color="auto" w:sz="2" w:space="0"/>
            </w:tcBorders>
            <w:vAlign w:val="center"/>
          </w:tcPr>
          <w:p w14:paraId="7737C03B">
            <w:pPr>
              <w:snapToGrid w:val="0"/>
              <w:spacing w:line="300" w:lineRule="exact"/>
              <w:jc w:val="center"/>
              <w:rPr>
                <w:rFonts w:hint="eastAsia" w:ascii="宋体" w:hAnsi="宋体" w:eastAsia="宋体" w:cs="宋体"/>
                <w:color w:val="auto"/>
                <w:spacing w:val="20"/>
                <w:szCs w:val="21"/>
                <w:highlight w:val="none"/>
              </w:rPr>
            </w:pPr>
          </w:p>
        </w:tc>
      </w:tr>
      <w:tr w14:paraId="21811A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D7BBC1">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07729E7">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4DC12DD">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CF16FCD">
            <w:pPr>
              <w:snapToGrid w:val="0"/>
              <w:spacing w:line="300" w:lineRule="exact"/>
              <w:jc w:val="center"/>
              <w:rPr>
                <w:rFonts w:hint="eastAsia" w:ascii="宋体" w:hAnsi="宋体" w:eastAsia="宋体" w:cs="宋体"/>
                <w:color w:val="auto"/>
                <w:spacing w:val="20"/>
                <w:szCs w:val="21"/>
                <w:highlight w:val="none"/>
              </w:rPr>
            </w:pPr>
          </w:p>
        </w:tc>
      </w:tr>
      <w:tr w14:paraId="41785A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49A803">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9B9159A">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4875DEC">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6948CFE3">
            <w:pPr>
              <w:snapToGrid w:val="0"/>
              <w:spacing w:line="300" w:lineRule="exact"/>
              <w:jc w:val="center"/>
              <w:rPr>
                <w:rFonts w:hint="eastAsia" w:ascii="宋体" w:hAnsi="宋体" w:eastAsia="宋体" w:cs="宋体"/>
                <w:color w:val="auto"/>
                <w:spacing w:val="20"/>
                <w:szCs w:val="21"/>
                <w:highlight w:val="none"/>
              </w:rPr>
            </w:pPr>
          </w:p>
        </w:tc>
      </w:tr>
      <w:tr w14:paraId="1B5F5E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2D01CE7">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EE540EE">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264F87B">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6FF8421">
            <w:pPr>
              <w:snapToGrid w:val="0"/>
              <w:spacing w:line="300" w:lineRule="exact"/>
              <w:jc w:val="center"/>
              <w:rPr>
                <w:rFonts w:hint="eastAsia" w:ascii="宋体" w:hAnsi="宋体" w:eastAsia="宋体" w:cs="宋体"/>
                <w:color w:val="auto"/>
                <w:spacing w:val="20"/>
                <w:szCs w:val="21"/>
                <w:highlight w:val="none"/>
              </w:rPr>
            </w:pPr>
          </w:p>
        </w:tc>
      </w:tr>
      <w:tr w14:paraId="362CEA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7E2168A">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4571990">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3BF339">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25F7074">
            <w:pPr>
              <w:snapToGrid w:val="0"/>
              <w:spacing w:line="300" w:lineRule="exact"/>
              <w:jc w:val="center"/>
              <w:rPr>
                <w:rFonts w:hint="eastAsia" w:ascii="宋体" w:hAnsi="宋体" w:eastAsia="宋体" w:cs="宋体"/>
                <w:color w:val="auto"/>
                <w:spacing w:val="20"/>
                <w:szCs w:val="21"/>
                <w:highlight w:val="none"/>
              </w:rPr>
            </w:pPr>
          </w:p>
        </w:tc>
      </w:tr>
      <w:tr w14:paraId="17CA9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DE1836">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AB1324F">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4329015">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1C1876AB">
            <w:pPr>
              <w:snapToGrid w:val="0"/>
              <w:spacing w:line="300" w:lineRule="exact"/>
              <w:jc w:val="center"/>
              <w:rPr>
                <w:rFonts w:hint="eastAsia" w:ascii="宋体" w:hAnsi="宋体" w:eastAsia="宋体" w:cs="宋体"/>
                <w:color w:val="auto"/>
                <w:spacing w:val="20"/>
                <w:szCs w:val="21"/>
                <w:highlight w:val="none"/>
              </w:rPr>
            </w:pPr>
          </w:p>
        </w:tc>
      </w:tr>
      <w:tr w14:paraId="25717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AB6F200">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4025CEC">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4D5B2D">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2D645431">
            <w:pPr>
              <w:snapToGrid w:val="0"/>
              <w:spacing w:line="300" w:lineRule="exact"/>
              <w:jc w:val="center"/>
              <w:rPr>
                <w:rFonts w:hint="eastAsia" w:ascii="宋体" w:hAnsi="宋体" w:eastAsia="宋体" w:cs="宋体"/>
                <w:color w:val="auto"/>
                <w:spacing w:val="20"/>
                <w:szCs w:val="21"/>
                <w:highlight w:val="none"/>
              </w:rPr>
            </w:pPr>
          </w:p>
        </w:tc>
      </w:tr>
      <w:tr w14:paraId="5C0C29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64D8135">
            <w:pPr>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9E6AFF9">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02D8E14">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4BFE1533">
            <w:pPr>
              <w:snapToGrid w:val="0"/>
              <w:spacing w:line="300" w:lineRule="exact"/>
              <w:jc w:val="center"/>
              <w:rPr>
                <w:rFonts w:hint="eastAsia" w:ascii="宋体" w:hAnsi="宋体" w:eastAsia="宋体" w:cs="宋体"/>
                <w:color w:val="auto"/>
                <w:spacing w:val="20"/>
                <w:szCs w:val="21"/>
                <w:highlight w:val="none"/>
              </w:rPr>
            </w:pPr>
          </w:p>
        </w:tc>
      </w:tr>
      <w:tr w14:paraId="2573AC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FBAFB4">
            <w:pPr>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68AB8E3">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594C363">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61B021D">
            <w:pPr>
              <w:snapToGrid w:val="0"/>
              <w:spacing w:line="300" w:lineRule="exact"/>
              <w:jc w:val="center"/>
              <w:rPr>
                <w:rFonts w:hint="eastAsia" w:ascii="宋体" w:hAnsi="宋体" w:eastAsia="宋体" w:cs="宋体"/>
                <w:color w:val="auto"/>
                <w:spacing w:val="20"/>
                <w:szCs w:val="21"/>
                <w:highlight w:val="none"/>
              </w:rPr>
            </w:pPr>
          </w:p>
        </w:tc>
      </w:tr>
      <w:tr w14:paraId="7A4344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8E63C14">
            <w:pPr>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B5CC6B1">
            <w:pPr>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FF483B">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3C909FAB">
            <w:pPr>
              <w:snapToGrid w:val="0"/>
              <w:spacing w:line="300" w:lineRule="exact"/>
              <w:jc w:val="center"/>
              <w:rPr>
                <w:rFonts w:hint="eastAsia" w:ascii="宋体" w:hAnsi="宋体" w:eastAsia="宋体" w:cs="宋体"/>
                <w:color w:val="auto"/>
                <w:spacing w:val="20"/>
                <w:szCs w:val="21"/>
                <w:highlight w:val="none"/>
              </w:rPr>
            </w:pPr>
          </w:p>
        </w:tc>
      </w:tr>
      <w:tr w14:paraId="7CA3F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CBAA15B">
            <w:pPr>
              <w:pStyle w:val="26"/>
              <w:snapToGrid w:val="0"/>
              <w:spacing w:before="120" w:beforeLines="50" w:line="360" w:lineRule="auto"/>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72F84BD2">
      <w:pPr>
        <w:pStyle w:val="3"/>
        <w:adjustRightInd w:val="0"/>
        <w:snapToGrid w:val="0"/>
        <w:spacing w:before="120"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0" w:name="_Toc27624"/>
      <w:r>
        <w:rPr>
          <w:rFonts w:hint="eastAsia" w:ascii="宋体" w:hAnsi="宋体" w:eastAsia="宋体" w:cs="宋体"/>
          <w:b w:val="0"/>
          <w:bCs w:val="0"/>
          <w:color w:val="auto"/>
          <w:sz w:val="28"/>
          <w:szCs w:val="28"/>
          <w:highlight w:val="none"/>
        </w:rPr>
        <w:t>第二节 政府采购合同通用条款</w:t>
      </w:r>
      <w:bookmarkEnd w:id="400"/>
    </w:p>
    <w:p w14:paraId="6BEECCDD">
      <w:pPr>
        <w:tabs>
          <w:tab w:val="left" w:pos="8820"/>
          <w:tab w:val="left" w:pos="9345"/>
          <w:tab w:val="left" w:pos="9765"/>
        </w:tabs>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 xml:space="preserve">1. </w:t>
      </w:r>
      <w:r>
        <w:rPr>
          <w:rFonts w:hint="eastAsia" w:ascii="宋体" w:hAnsi="宋体" w:eastAsia="宋体" w:cs="宋体"/>
          <w:b/>
          <w:bCs/>
          <w:color w:val="auto"/>
          <w:sz w:val="24"/>
          <w:highlight w:val="none"/>
        </w:rPr>
        <w:t>定义</w:t>
      </w:r>
    </w:p>
    <w:p w14:paraId="1B1E7E25">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2BAD0F8B">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（1）采购人（以下称甲方）是指使用财政性资金，通过政府采购方式向供应商购买货物及其相关服务的国家机关、事业单位、团体组织。</w:t>
      </w:r>
    </w:p>
    <w:p w14:paraId="6598E2D3">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（2）供应商（以下称乙方）是指参加政府采购活动并且中标（成交），向采购人提供合同约定的货物及其相关服务的法人、非法人组织或者自然人。</w:t>
      </w:r>
    </w:p>
    <w:p w14:paraId="1E8ED3EA">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70F53DEA">
      <w:pPr>
        <w:tabs>
          <w:tab w:val="left" w:pos="570"/>
          <w:tab w:val="left" w:pos="9240"/>
          <w:tab w:val="left" w:pos="9555"/>
        </w:tabs>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221C8D5F">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13C1461">
      <w:pPr>
        <w:tabs>
          <w:tab w:val="left" w:pos="570"/>
          <w:tab w:val="left" w:pos="9240"/>
          <w:tab w:val="left" w:pos="9555"/>
        </w:tabs>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（2）“合同价款”系指根据本合同规定乙方在全面履行合同义务后甲方应支付给乙方的价款。</w:t>
      </w:r>
    </w:p>
    <w:p w14:paraId="55D5B88B">
      <w:pPr>
        <w:tabs>
          <w:tab w:val="left" w:pos="570"/>
          <w:tab w:val="left" w:pos="9240"/>
          <w:tab w:val="left" w:pos="9555"/>
        </w:tabs>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技术资料和材料等。</w:t>
      </w:r>
    </w:p>
    <w:p w14:paraId="7EC294F6">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（4）“相关服务”系指根据合同规定，乙方应提供的与货物有关的技术、管理和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1DDD0BEB">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2CC886FA">
      <w:pPr>
        <w:tabs>
          <w:tab w:val="left" w:pos="570"/>
          <w:tab w:val="left" w:pos="9240"/>
          <w:tab w:val="left" w:pos="9555"/>
        </w:tabs>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3501A24A">
      <w:pPr>
        <w:tabs>
          <w:tab w:val="left" w:pos="570"/>
          <w:tab w:val="left" w:pos="9240"/>
          <w:tab w:val="left" w:pos="9555"/>
        </w:tabs>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F3D38B8">
      <w:pPr>
        <w:numPr>
          <w:ilvl w:val="0"/>
          <w:numId w:val="6"/>
        </w:numPr>
        <w:autoSpaceDE w:val="0"/>
        <w:autoSpaceDN w:val="0"/>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48D7ADE4">
      <w:pPr>
        <w:autoSpaceDE w:val="0"/>
        <w:autoSpaceDN w:val="0"/>
        <w:snapToGrid w:val="0"/>
        <w:spacing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08AD0F47">
      <w:pPr>
        <w:snapToGrid w:val="0"/>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履行合同的时间、地点和方式</w:t>
      </w:r>
    </w:p>
    <w:p w14:paraId="7C4E7BE9">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乙方应当在约定的时间、地点，按照约定方式履行合同。</w:t>
      </w:r>
    </w:p>
    <w:p w14:paraId="14ED8263">
      <w:pPr>
        <w:autoSpaceDE w:val="0"/>
        <w:autoSpaceDN w:val="0"/>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 甲方的权利和义务</w:t>
      </w:r>
    </w:p>
    <w:p w14:paraId="11B87C1D">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9325B4E">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甲方有权要求乙方按时提各阶段有关安排计划，并有权定期核对乙方提供货物数量、规格、质量等内容。甲方有权督促乙方工作并要求乙方更换不符合要求的货物。</w:t>
      </w:r>
    </w:p>
    <w:p w14:paraId="40B36344">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甲方有权要求乙方对缺陷部分予以修复，并按合同约定享有货物保修及其他合同约定的权利。</w:t>
      </w:r>
    </w:p>
    <w:p w14:paraId="4F6631E4">
      <w:pPr>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4.4 甲方应当按照合同约定及时对交付的货物进行验收，未在</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约定的期限内对乙方履约提出任何异议或者向乙方作出任何说明的，视为验收通过。</w:t>
      </w:r>
    </w:p>
    <w:p w14:paraId="3ACA169F">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4.5 甲方应当根据合同约定及时向乙方支付合同价款，不得以内部人员变更、履行内部付款流程等为由，拒绝或迟延支付。</w:t>
      </w:r>
    </w:p>
    <w:p w14:paraId="65FE15F0">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 国家法律法规规定及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约定应由甲方承担的其他义务和责任。</w:t>
      </w:r>
    </w:p>
    <w:p w14:paraId="0203998A">
      <w:pPr>
        <w:autoSpaceDE w:val="0"/>
        <w:autoSpaceDN w:val="0"/>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 乙方的权利和义务</w:t>
      </w:r>
    </w:p>
    <w:p w14:paraId="12E8F783">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签署合同后，乙方应确定项目负责人（或项目联系人），负责与本合同有关的事务。</w:t>
      </w:r>
    </w:p>
    <w:p w14:paraId="1AE29B5F">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659D50A">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5.3乙方有权根据合同约定向甲方收取合同价款。</w:t>
      </w:r>
    </w:p>
    <w:p w14:paraId="27DC471B">
      <w:pPr>
        <w:pStyle w:val="24"/>
        <w:spacing w:line="400" w:lineRule="exact"/>
        <w:ind w:firstLine="369" w:firstLineChars="176"/>
        <w:rPr>
          <w:rFonts w:hint="eastAsia" w:ascii="宋体" w:hAnsi="宋体" w:eastAsia="宋体" w:cs="宋体"/>
          <w:color w:val="auto"/>
          <w:sz w:val="24"/>
          <w:szCs w:val="24"/>
          <w:highlight w:val="none"/>
        </w:rPr>
      </w:pPr>
      <w:r>
        <w:rPr>
          <w:rFonts w:hint="eastAsia" w:ascii="宋体" w:hAnsi="宋体" w:eastAsia="宋体" w:cs="宋体"/>
          <w:snapToGrid/>
          <w:color w:val="auto"/>
          <w:kern w:val="2"/>
          <w:sz w:val="21"/>
          <w:szCs w:val="21"/>
          <w:highlight w:val="none"/>
          <w:lang w:val="en-US" w:eastAsia="zh-CN" w:bidi="ar-SA"/>
        </w:rPr>
        <w:t>5.4国家法律法规规定及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napToGrid/>
          <w:color w:val="auto"/>
          <w:kern w:val="2"/>
          <w:sz w:val="21"/>
          <w:szCs w:val="21"/>
          <w:highlight w:val="none"/>
          <w:lang w:val="en-US" w:eastAsia="zh-CN" w:bidi="ar-SA"/>
        </w:rPr>
        <w:t>约定应由乙方承担的其他义务和责任。</w:t>
      </w:r>
    </w:p>
    <w:p w14:paraId="5691125F">
      <w:pPr>
        <w:numPr>
          <w:ilvl w:val="0"/>
          <w:numId w:val="7"/>
        </w:numPr>
        <w:autoSpaceDE w:val="0"/>
        <w:autoSpaceDN w:val="0"/>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合同履行</w:t>
      </w:r>
    </w:p>
    <w:p w14:paraId="27849CE4">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3BB51BC5">
      <w:pPr>
        <w:autoSpaceDE w:val="0"/>
        <w:autoSpaceDN w:val="0"/>
        <w:snapToGrid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EA8995D">
      <w:pPr>
        <w:snapToGrid w:val="0"/>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 货物包装、运输、保险和交付要求</w:t>
      </w:r>
    </w:p>
    <w:p w14:paraId="3FC3404D">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本合同</w:t>
      </w:r>
      <w:r>
        <w:rPr>
          <w:rFonts w:hint="eastAsia" w:ascii="宋体" w:hAnsi="宋体" w:eastAsia="宋体" w:cs="宋体"/>
          <w:bCs/>
          <w:color w:val="auto"/>
          <w:szCs w:val="21"/>
          <w:highlight w:val="none"/>
        </w:rPr>
        <w:t>涉及商品包装、快递包装的，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另有约定外，</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约定的</w:t>
      </w:r>
      <w:r>
        <w:rPr>
          <w:rFonts w:hint="eastAsia" w:ascii="宋体" w:hAnsi="宋体" w:eastAsia="宋体" w:cs="宋体"/>
          <w:color w:val="auto"/>
          <w:szCs w:val="21"/>
          <w:highlight w:val="none"/>
        </w:rPr>
        <w:t>指定现场。</w:t>
      </w:r>
    </w:p>
    <w:p w14:paraId="33B13E65">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另有约定外，</w:t>
      </w:r>
      <w:r>
        <w:rPr>
          <w:rFonts w:hint="eastAsia" w:ascii="宋体" w:hAnsi="宋体" w:eastAsia="宋体" w:cs="宋体"/>
          <w:color w:val="auto"/>
          <w:szCs w:val="21"/>
          <w:highlight w:val="none"/>
        </w:rPr>
        <w:t>乙方负责办理将货物运抵本合同规定的交货地点，并装卸、交付至甲方的一切运输事项，相关费用应包含在合同价款中。</w:t>
      </w:r>
    </w:p>
    <w:p w14:paraId="48A328E3">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0C5AD51E">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C32C91">
      <w:pPr>
        <w:autoSpaceDE w:val="0"/>
        <w:autoSpaceDN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乙方在运输到达之前应提前通知甲方，并提示货物运输装卸的注意事项，甲方配合乙方做好货物的接收工作。</w:t>
      </w:r>
    </w:p>
    <w:p w14:paraId="0643FE18">
      <w:pPr>
        <w:pStyle w:val="82"/>
        <w:ind w:firstLine="420"/>
        <w:rPr>
          <w:rFonts w:hint="eastAsia"/>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3F4ADA0C">
      <w:pPr>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8. 质量标准和保证</w:t>
      </w:r>
    </w:p>
    <w:p w14:paraId="70FBFCC7">
      <w:pPr>
        <w:pStyle w:val="35"/>
        <w:snapToGrid w:val="0"/>
        <w:spacing w:line="400" w:lineRule="exact"/>
        <w:ind w:firstLine="420" w:firstLineChars="200"/>
        <w:jc w:val="left"/>
        <w:rPr>
          <w:rFonts w:hint="eastAsia" w:hAnsi="宋体"/>
          <w:b/>
          <w:color w:val="auto"/>
          <w:highlight w:val="none"/>
        </w:rPr>
      </w:pPr>
      <w:r>
        <w:rPr>
          <w:rFonts w:hint="eastAsia" w:hAnsi="宋体"/>
          <w:color w:val="auto"/>
          <w:highlight w:val="none"/>
        </w:rPr>
        <w:t>8.1 质量标准</w:t>
      </w:r>
    </w:p>
    <w:p w14:paraId="0198A0FB">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5970232">
      <w:pPr>
        <w:pStyle w:val="35"/>
        <w:snapToGrid w:val="0"/>
        <w:spacing w:line="400" w:lineRule="exact"/>
        <w:ind w:firstLine="420" w:firstLineChars="200"/>
        <w:jc w:val="left"/>
        <w:rPr>
          <w:rFonts w:hint="eastAsia" w:hAnsi="宋体"/>
          <w:color w:val="auto"/>
          <w:highlight w:val="none"/>
        </w:rPr>
      </w:pPr>
      <w:r>
        <w:rPr>
          <w:rFonts w:hint="eastAsia" w:hAnsi="宋体"/>
          <w:color w:val="auto"/>
          <w:highlight w:val="none"/>
        </w:rPr>
        <w:t>（2）采用中华人民共和国法定计量单位。</w:t>
      </w:r>
    </w:p>
    <w:p w14:paraId="4F6CA837">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722F2270">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24273C2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8.2 保证</w:t>
      </w:r>
    </w:p>
    <w:p w14:paraId="21A2684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7C2BD83C">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4E4E437">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3E1E3E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280D778">
      <w:pPr>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4DD324E">
      <w:p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9. 权利瑕疵担保</w:t>
      </w:r>
    </w:p>
    <w:p w14:paraId="328C096C">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14:paraId="1DFC873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53DB8D20">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749014BF">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10. 知识产权保护</w:t>
      </w:r>
    </w:p>
    <w:p w14:paraId="2387D6BB">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401"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color w:val="auto"/>
          <w:szCs w:val="21"/>
          <w:highlight w:val="none"/>
        </w:rPr>
        <w:t>。</w:t>
      </w:r>
    </w:p>
    <w:p w14:paraId="5B91AC83">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11. 保密义务</w:t>
      </w:r>
    </w:p>
    <w:p w14:paraId="6FABCCF9">
      <w:pPr>
        <w:autoSpaceDE w:val="0"/>
        <w:autoSpaceDN w:val="0"/>
        <w:snapToGrid w:val="0"/>
        <w:spacing w:line="400" w:lineRule="exact"/>
        <w:ind w:firstLine="420" w:firstLineChars="200"/>
        <w:jc w:val="left"/>
        <w:rPr>
          <w:rFonts w:hint="eastAsia"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509D3E01">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12. 合同价款支付</w:t>
      </w:r>
    </w:p>
    <w:p w14:paraId="01FB56E2">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003B47D4">
      <w:pPr>
        <w:pStyle w:val="3"/>
        <w:spacing w:line="400" w:lineRule="exact"/>
        <w:ind w:left="0" w:firstLine="420" w:firstLineChars="200"/>
        <w:rPr>
          <w:rFonts w:hint="eastAsia" w:eastAsia="宋体"/>
          <w:color w:val="auto"/>
          <w:highlight w:val="none"/>
        </w:rPr>
      </w:pPr>
      <w:r>
        <w:rPr>
          <w:rFonts w:hint="eastAsia" w:ascii="宋体" w:hAnsi="宋体"/>
          <w:b w:val="0"/>
          <w:bCs w:val="0"/>
          <w:color w:val="auto"/>
          <w:sz w:val="21"/>
          <w:szCs w:val="21"/>
          <w:highlight w:val="none"/>
          <w:lang w:val="en-US"/>
        </w:rPr>
        <w:t xml:space="preserve">12.2 </w:t>
      </w:r>
      <w:r>
        <w:rPr>
          <w:rFonts w:hint="eastAsia" w:ascii="宋体" w:hAnsi="宋体" w:eastAsia="宋体"/>
          <w:b w:val="0"/>
          <w:bCs w:val="0"/>
          <w:color w:val="auto"/>
          <w:sz w:val="21"/>
          <w:szCs w:val="21"/>
          <w:highlight w:val="none"/>
        </w:rPr>
        <w:t>对于满足合同约定支付条件的，</w:t>
      </w:r>
      <w:r>
        <w:rPr>
          <w:rFonts w:hint="eastAsia" w:ascii="宋体" w:hAnsi="宋体" w:eastAsia="宋体"/>
          <w:b w:val="0"/>
          <w:bCs w:val="0"/>
          <w:color w:val="auto"/>
          <w:sz w:val="21"/>
          <w:szCs w:val="21"/>
          <w:highlight w:val="none"/>
          <w:lang w:val="en-US"/>
        </w:rPr>
        <w:t>甲方</w:t>
      </w:r>
      <w:r>
        <w:rPr>
          <w:rFonts w:hint="eastAsia" w:ascii="宋体" w:hAnsi="宋体" w:eastAsia="宋体"/>
          <w:b w:val="0"/>
          <w:bCs w:val="0"/>
          <w:color w:val="auto"/>
          <w:sz w:val="21"/>
          <w:szCs w:val="21"/>
          <w:highlight w:val="none"/>
        </w:rPr>
        <w:t>原则上应当自收到发票后10个工作日内将资金支付到合同约定的</w:t>
      </w:r>
      <w:r>
        <w:rPr>
          <w:rFonts w:hint="eastAsia" w:ascii="宋体" w:hAnsi="宋体"/>
          <w:b w:val="0"/>
          <w:bCs w:val="0"/>
          <w:color w:val="auto"/>
          <w:sz w:val="21"/>
          <w:szCs w:val="21"/>
          <w:highlight w:val="none"/>
        </w:rPr>
        <w:t>乙方</w:t>
      </w:r>
      <w:r>
        <w:rPr>
          <w:rFonts w:hint="eastAsia" w:ascii="宋体" w:hAnsi="宋体" w:eastAsia="宋体"/>
          <w:b w:val="0"/>
          <w:bCs w:val="0"/>
          <w:color w:val="auto"/>
          <w:sz w:val="21"/>
          <w:szCs w:val="21"/>
          <w:highlight w:val="none"/>
        </w:rPr>
        <w:t>账户，不得以机构变动、人员更替、政策调整等为由迟延付款，不得将采购文件和合同中未规定的义务作为向</w:t>
      </w:r>
      <w:r>
        <w:rPr>
          <w:rFonts w:hint="eastAsia" w:ascii="宋体" w:hAnsi="宋体" w:eastAsia="宋体"/>
          <w:b w:val="0"/>
          <w:bCs w:val="0"/>
          <w:color w:val="auto"/>
          <w:sz w:val="21"/>
          <w:szCs w:val="21"/>
          <w:highlight w:val="none"/>
          <w:lang w:val="en-US"/>
        </w:rPr>
        <w:t>乙方</w:t>
      </w:r>
      <w:r>
        <w:rPr>
          <w:rFonts w:hint="eastAsia" w:ascii="宋体" w:hAnsi="宋体" w:eastAsia="宋体"/>
          <w:b w:val="0"/>
          <w:bCs w:val="0"/>
          <w:color w:val="auto"/>
          <w:sz w:val="21"/>
          <w:szCs w:val="21"/>
          <w:highlight w:val="none"/>
        </w:rPr>
        <w:t>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p>
    <w:p w14:paraId="4518E4AF">
      <w:pPr>
        <w:pStyle w:val="24"/>
        <w:spacing w:line="400" w:lineRule="exact"/>
        <w:rPr>
          <w:rFonts w:hint="eastAsia" w:hAnsi="宋体"/>
          <w:b/>
          <w:bCs/>
          <w:color w:val="auto"/>
          <w:szCs w:val="24"/>
          <w:highlight w:val="none"/>
        </w:rPr>
      </w:pPr>
      <w:r>
        <w:rPr>
          <w:rFonts w:hint="eastAsia" w:hAnsi="宋体"/>
          <w:b/>
          <w:bCs/>
          <w:color w:val="auto"/>
          <w:szCs w:val="24"/>
          <w:highlight w:val="none"/>
        </w:rPr>
        <w:t>13.</w:t>
      </w:r>
      <w:r>
        <w:rPr>
          <w:rFonts w:hint="eastAsia" w:hAnsi="宋体"/>
          <w:b/>
          <w:bCs/>
          <w:color w:val="auto"/>
          <w:szCs w:val="24"/>
          <w:highlight w:val="none"/>
          <w:lang w:val="en-US"/>
        </w:rPr>
        <w:t xml:space="preserve"> </w:t>
      </w:r>
      <w:r>
        <w:rPr>
          <w:rFonts w:hint="eastAsia" w:hAnsi="宋体"/>
          <w:b/>
          <w:bCs/>
          <w:color w:val="auto"/>
          <w:szCs w:val="24"/>
          <w:highlight w:val="none"/>
        </w:rPr>
        <w:t>履约保证金</w:t>
      </w:r>
    </w:p>
    <w:p w14:paraId="6C9D7E6D">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346E1CA3">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0DD834BC">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D4C6E73">
      <w:pPr>
        <w:autoSpaceDE w:val="0"/>
        <w:autoSpaceDN w:val="0"/>
        <w:snapToGrid w:val="0"/>
        <w:spacing w:line="400" w:lineRule="exact"/>
        <w:jc w:val="left"/>
        <w:rPr>
          <w:rFonts w:hint="eastAsia"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6ECBC00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23AF3B4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BBF2ADF">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60D640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11EB29C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0580F039">
      <w:pPr>
        <w:pStyle w:val="82"/>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15C0C8CD">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571974C">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4E1B13CA">
      <w:p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15. 违约责任</w:t>
      </w:r>
    </w:p>
    <w:p w14:paraId="490B56BC">
      <w:pPr>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04DF3FF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6F167E04">
      <w:pPr>
        <w:autoSpaceDE w:val="0"/>
        <w:autoSpaceDN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14:paraId="7E85690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807421">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22622D74">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14:paraId="603BE4E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58327A7">
      <w:pPr>
        <w:snapToGrid w:val="0"/>
        <w:spacing w:line="400" w:lineRule="exact"/>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4524FDD">
      <w:pPr>
        <w:numPr>
          <w:ilvl w:val="0"/>
          <w:numId w:val="8"/>
        </w:num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合同变更、中止与终止</w:t>
      </w:r>
    </w:p>
    <w:p w14:paraId="79DD8483">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    16.1合同的变更</w:t>
      </w:r>
    </w:p>
    <w:p w14:paraId="189E996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4F4A68D4">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16.2合同的中止</w:t>
      </w:r>
    </w:p>
    <w:p w14:paraId="52A26537">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30CF2976">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E8E1316">
      <w:pPr>
        <w:pStyle w:val="82"/>
        <w:ind w:firstLine="420"/>
        <w:jc w:val="both"/>
        <w:rPr>
          <w:rFonts w:hint="eastAsia"/>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4E78B26">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1A4CC63E">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16.3合同的终止</w:t>
      </w:r>
    </w:p>
    <w:p w14:paraId="31DB3AC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14:paraId="56EF1E10">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51A45F2A">
      <w:pPr>
        <w:pStyle w:val="82"/>
        <w:rPr>
          <w:rFonts w:hint="eastAsia"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4EEA13F">
      <w:pPr>
        <w:pStyle w:val="82"/>
        <w:ind w:firstLine="420"/>
        <w:jc w:val="both"/>
        <w:rPr>
          <w:rFonts w:hint="eastAsia"/>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1C2EDFF8">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17. 合同分包</w:t>
      </w:r>
    </w:p>
    <w:p w14:paraId="2DC15FBD">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7F2B6059">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715444CB">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18. 不可抗力</w:t>
      </w:r>
    </w:p>
    <w:p w14:paraId="05E50A9F">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7E41D188">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A7E6B55">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0D347DC">
      <w:pPr>
        <w:autoSpaceDE w:val="0"/>
        <w:autoSpaceDN w:val="0"/>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19. 解决争议的方法</w:t>
      </w:r>
    </w:p>
    <w:p w14:paraId="33C24544">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5CD0DF5">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201D5EDE">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25AE1EDC">
      <w:pPr>
        <w:autoSpaceDE w:val="0"/>
        <w:autoSpaceDN w:val="0"/>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t>20. 政府采购政策</w:t>
      </w:r>
    </w:p>
    <w:p w14:paraId="1E2F389E">
      <w:pPr>
        <w:autoSpaceDE w:val="0"/>
        <w:autoSpaceDN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082050B0">
      <w:pPr>
        <w:autoSpaceDE w:val="0"/>
        <w:autoSpaceDN w:val="0"/>
        <w:snapToGri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68A41AF">
      <w:pPr>
        <w:pStyle w:val="24"/>
        <w:spacing w:line="400" w:lineRule="exact"/>
        <w:ind w:firstLine="420" w:firstLineChars="200"/>
        <w:rPr>
          <w:rFonts w:hint="eastAsia" w:ascii="宋体" w:hAnsi="宋体" w:eastAsia="宋体" w:cs="宋体"/>
          <w:snapToGrid/>
          <w:color w:val="auto"/>
          <w:kern w:val="2"/>
          <w:sz w:val="21"/>
          <w:szCs w:val="24"/>
          <w:highlight w:val="none"/>
          <w:lang w:val="en-GB" w:eastAsia="zh-CN" w:bidi="ar-SA"/>
        </w:rPr>
      </w:pPr>
      <w:r>
        <w:rPr>
          <w:rFonts w:hint="eastAsia" w:ascii="宋体" w:hAnsi="宋体" w:eastAsia="宋体" w:cs="宋体"/>
          <w:snapToGrid/>
          <w:color w:val="auto"/>
          <w:kern w:val="2"/>
          <w:sz w:val="21"/>
          <w:szCs w:val="24"/>
          <w:highlight w:val="none"/>
          <w:lang w:val="en-GB" w:eastAsia="zh-CN" w:bidi="ar-SA"/>
        </w:rPr>
        <w:t>2</w:t>
      </w:r>
      <w:r>
        <w:rPr>
          <w:rFonts w:hint="eastAsia" w:ascii="宋体" w:hAnsi="宋体" w:eastAsia="宋体" w:cs="宋体"/>
          <w:snapToGrid/>
          <w:color w:val="auto"/>
          <w:kern w:val="2"/>
          <w:sz w:val="21"/>
          <w:szCs w:val="24"/>
          <w:highlight w:val="none"/>
          <w:lang w:val="en-US" w:eastAsia="zh-CN" w:bidi="ar-SA"/>
        </w:rPr>
        <w:t>0</w:t>
      </w:r>
      <w:r>
        <w:rPr>
          <w:rFonts w:hint="eastAsia" w:ascii="宋体" w:hAnsi="宋体" w:eastAsia="宋体" w:cs="宋体"/>
          <w:snapToGrid/>
          <w:color w:val="auto"/>
          <w:kern w:val="2"/>
          <w:sz w:val="21"/>
          <w:szCs w:val="24"/>
          <w:highlight w:val="none"/>
          <w:lang w:val="en-GB" w:eastAsia="zh-CN" w:bidi="ar-SA"/>
        </w:rPr>
        <w:t>.</w:t>
      </w:r>
      <w:r>
        <w:rPr>
          <w:rFonts w:hint="eastAsia" w:ascii="宋体" w:hAnsi="宋体" w:eastAsia="宋体" w:cs="宋体"/>
          <w:snapToGrid/>
          <w:color w:val="auto"/>
          <w:kern w:val="2"/>
          <w:sz w:val="21"/>
          <w:szCs w:val="24"/>
          <w:highlight w:val="none"/>
          <w:lang w:val="en-US" w:eastAsia="zh-CN" w:bidi="ar-SA"/>
        </w:rPr>
        <w:t>3</w:t>
      </w:r>
      <w:r>
        <w:rPr>
          <w:rFonts w:hint="eastAsia" w:ascii="宋体" w:hAnsi="宋体" w:eastAsia="宋体" w:cs="宋体"/>
          <w:snapToGrid/>
          <w:color w:val="auto"/>
          <w:kern w:val="2"/>
          <w:sz w:val="21"/>
          <w:szCs w:val="24"/>
          <w:highlight w:val="none"/>
          <w:lang w:val="en-GB" w:eastAsia="zh-CN" w:bidi="ar-SA"/>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097949">
      <w:p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21. 法律适用</w:t>
      </w:r>
    </w:p>
    <w:p w14:paraId="1240F8E9">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39E5145D">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A9D698F">
      <w:pPr>
        <w:numPr>
          <w:ilvl w:val="255"/>
          <w:numId w:val="0"/>
        </w:numPr>
        <w:autoSpaceDE w:val="0"/>
        <w:autoSpaceDN w:val="0"/>
        <w:snapToGrid w:val="0"/>
        <w:spacing w:line="400" w:lineRule="exact"/>
        <w:jc w:val="left"/>
        <w:rPr>
          <w:rFonts w:hint="eastAsia" w:ascii="宋体" w:hAnsi="宋体"/>
          <w:b/>
          <w:color w:val="auto"/>
          <w:sz w:val="24"/>
          <w:highlight w:val="none"/>
        </w:rPr>
      </w:pPr>
      <w:r>
        <w:rPr>
          <w:rFonts w:hint="eastAsia" w:ascii="宋体" w:hAnsi="宋体"/>
          <w:b/>
          <w:color w:val="auto"/>
          <w:sz w:val="24"/>
          <w:highlight w:val="none"/>
        </w:rPr>
        <w:t>22. 通知</w:t>
      </w:r>
    </w:p>
    <w:p w14:paraId="787EF38A">
      <w:pPr>
        <w:pStyle w:val="82"/>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78180F84">
      <w:pPr>
        <w:pStyle w:val="82"/>
        <w:ind w:firstLine="0" w:firstLineChars="0"/>
        <w:jc w:val="both"/>
        <w:rPr>
          <w:rFonts w:hint="eastAsia"/>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210E6251">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2ABACAC1">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27D597B4">
      <w:pPr>
        <w:numPr>
          <w:ilvl w:val="0"/>
          <w:numId w:val="9"/>
        </w:numPr>
        <w:snapToGrid w:val="0"/>
        <w:spacing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合同未尽事项</w:t>
      </w:r>
    </w:p>
    <w:p w14:paraId="5FC937CA">
      <w:pPr>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A35E35E">
      <w:pPr>
        <w:snapToGrid w:val="0"/>
        <w:spacing w:line="400" w:lineRule="exact"/>
        <w:jc w:val="left"/>
        <w:rPr>
          <w:rFonts w:hint="eastAsia"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402" w:name="_Toc20313"/>
    </w:p>
    <w:p w14:paraId="018AFECA">
      <w:pPr>
        <w:snapToGrid w:val="0"/>
        <w:jc w:val="center"/>
        <w:rPr>
          <w:rFonts w:hint="eastAsia"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bookmarkEnd w:id="402"/>
    <w:p w14:paraId="555DD548">
      <w:pPr>
        <w:pStyle w:val="3"/>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1D5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78250">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7B5DB4F">
            <w:pPr>
              <w:snapToGrid w:val="0"/>
              <w:jc w:val="center"/>
              <w:rPr>
                <w:rFonts w:hint="eastAsia"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725D2593">
            <w:pPr>
              <w:snapToGrid w:val="0"/>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2490870C">
            <w:pPr>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详见联合体协议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但乙方1、乙方2、乙方3就本合同费用在甲方支付后自行结算，三方因费用支付及合同履行产生争议的，自行解决，与甲方无关。</w:t>
            </w:r>
          </w:p>
        </w:tc>
      </w:tr>
      <w:tr w14:paraId="116FE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31BAE7B">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5D1B3B9">
            <w:pPr>
              <w:snapToGrid w:val="0"/>
              <w:jc w:val="center"/>
              <w:rPr>
                <w:rFonts w:hint="eastAsia"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12D95F75">
            <w:pPr>
              <w:snapToGrid w:val="0"/>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23DE6F00">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6980E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46E38B">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62604A0">
            <w:pPr>
              <w:snapToGrid w:val="0"/>
              <w:jc w:val="center"/>
              <w:rPr>
                <w:rFonts w:hint="eastAsia"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31337E7C">
            <w:pPr>
              <w:snapToGrid w:val="0"/>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2BF81161">
            <w:pPr>
              <w:snapToGrid w:val="0"/>
              <w:jc w:val="left"/>
              <w:rPr>
                <w:rFonts w:hint="default" w:ascii="宋体" w:hAnsi="宋体" w:eastAsia="宋体"/>
                <w:strike w:val="0"/>
                <w:dstrike w:val="0"/>
                <w:color w:val="auto"/>
                <w:szCs w:val="21"/>
                <w:highlight w:val="none"/>
                <w:lang w:val="en-US" w:eastAsia="zh-CN"/>
              </w:rPr>
            </w:pPr>
            <w:r>
              <w:rPr>
                <w:rFonts w:hint="eastAsia" w:ascii="宋体" w:hAnsi="宋体"/>
                <w:strike w:val="0"/>
                <w:dstrike w:val="0"/>
                <w:color w:val="auto"/>
                <w:szCs w:val="21"/>
                <w:highlight w:val="none"/>
                <w:lang w:val="en-US" w:eastAsia="zh-CN"/>
              </w:rPr>
              <w:t>乙方交付的货物及安装须经甲方验收通过，不受时间限制。</w:t>
            </w:r>
          </w:p>
          <w:p w14:paraId="1B7DFB14">
            <w:pPr>
              <w:snapToGrid w:val="0"/>
              <w:jc w:val="left"/>
              <w:rPr>
                <w:rFonts w:hint="eastAsia" w:ascii="宋体" w:hAnsi="宋体" w:eastAsia="宋体"/>
                <w:color w:val="auto"/>
                <w:szCs w:val="21"/>
                <w:highlight w:val="none"/>
                <w:lang w:eastAsia="zh-CN"/>
              </w:rPr>
            </w:pPr>
          </w:p>
        </w:tc>
      </w:tr>
      <w:tr w14:paraId="28E89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EA0CE1">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AF77A73">
            <w:pPr>
              <w:snapToGrid w:val="0"/>
              <w:jc w:val="center"/>
              <w:rPr>
                <w:rFonts w:hint="eastAsia"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929B74D">
            <w:pPr>
              <w:snapToGrid w:val="0"/>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6A0F0226">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01432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6DC687">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DD44A2A">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205E70B9">
            <w:pPr>
              <w:snapToGrid w:val="0"/>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AEEC678">
            <w:pPr>
              <w:snapToGrid w:val="0"/>
              <w:jc w:val="left"/>
              <w:rPr>
                <w:rFonts w:hint="eastAsia" w:ascii="宋体" w:hAnsi="宋体"/>
                <w:color w:val="auto"/>
                <w:szCs w:val="21"/>
                <w:highlight w:val="none"/>
              </w:rPr>
            </w:pPr>
            <w:r>
              <w:rPr>
                <w:rFonts w:hint="eastAsia" w:ascii="宋体" w:hAnsi="宋体"/>
                <w:color w:val="auto"/>
                <w:szCs w:val="21"/>
                <w:highlight w:val="none"/>
              </w:rPr>
              <w:t>（1）乙方逾期履行合同的，自逾期之日起，向甲方每日偿付合同总价千分之五的</w:t>
            </w:r>
            <w:r>
              <w:rPr>
                <w:rFonts w:hint="eastAsia" w:ascii="宋体" w:hAnsi="宋体"/>
                <w:strike/>
                <w:dstrike w:val="0"/>
                <w:color w:val="auto"/>
                <w:szCs w:val="21"/>
                <w:highlight w:val="none"/>
              </w:rPr>
              <w:t>滞纳</w:t>
            </w:r>
            <w:r>
              <w:rPr>
                <w:rFonts w:hint="eastAsia" w:ascii="宋体" w:hAnsi="宋体"/>
                <w:strike w:val="0"/>
                <w:dstrike w:val="0"/>
                <w:color w:val="auto"/>
                <w:szCs w:val="21"/>
                <w:highlight w:val="none"/>
                <w:lang w:val="en-US" w:eastAsia="zh-CN"/>
              </w:rPr>
              <w:t>违约</w:t>
            </w:r>
            <w:r>
              <w:rPr>
                <w:rFonts w:hint="eastAsia" w:ascii="宋体" w:hAnsi="宋体"/>
                <w:color w:val="auto"/>
                <w:szCs w:val="21"/>
                <w:highlight w:val="none"/>
              </w:rPr>
              <w:t>金。逾期超过二十日的，甲方有权解除合同，要求乙方返还已支付的全部价款，并由乙方向甲方支付合同总金额20%的违约金。</w:t>
            </w:r>
          </w:p>
          <w:p w14:paraId="5A9A56AD">
            <w:pPr>
              <w:snapToGrid w:val="0"/>
              <w:jc w:val="left"/>
              <w:rPr>
                <w:rFonts w:hint="eastAsia" w:ascii="宋体" w:hAnsi="宋体"/>
                <w:color w:val="auto"/>
                <w:szCs w:val="21"/>
                <w:highlight w:val="none"/>
              </w:rPr>
            </w:pPr>
            <w:r>
              <w:rPr>
                <w:rFonts w:hint="eastAsia" w:ascii="宋体" w:hAnsi="宋体"/>
                <w:color w:val="auto"/>
                <w:szCs w:val="21"/>
                <w:highlight w:val="none"/>
              </w:rPr>
              <w:t>（2）甲方逾期支付货款的，</w:t>
            </w:r>
            <w:r>
              <w:rPr>
                <w:rFonts w:hint="eastAsia" w:ascii="宋体" w:hAnsi="宋体"/>
                <w:color w:val="auto"/>
                <w:szCs w:val="21"/>
                <w:highlight w:val="none"/>
                <w:lang w:val="en-US" w:eastAsia="zh-CN"/>
              </w:rPr>
              <w:t>乙方应予催告或提示，催告或提示十五个工作日仍未付款的，</w:t>
            </w:r>
            <w:r>
              <w:rPr>
                <w:rFonts w:hint="eastAsia" w:ascii="宋体" w:hAnsi="宋体"/>
                <w:color w:val="auto"/>
                <w:szCs w:val="21"/>
                <w:highlight w:val="none"/>
              </w:rPr>
              <w:t>向乙方每日偿付未付价款千分之五的</w:t>
            </w:r>
            <w:r>
              <w:rPr>
                <w:rFonts w:hint="eastAsia" w:ascii="宋体" w:hAnsi="宋体"/>
                <w:strike w:val="0"/>
                <w:dstrike w:val="0"/>
                <w:color w:val="auto"/>
                <w:szCs w:val="21"/>
                <w:highlight w:val="none"/>
                <w:lang w:val="en-US" w:eastAsia="zh-CN"/>
              </w:rPr>
              <w:t>违约</w:t>
            </w:r>
            <w:r>
              <w:rPr>
                <w:rFonts w:hint="eastAsia" w:ascii="宋体" w:hAnsi="宋体"/>
                <w:color w:val="auto"/>
                <w:szCs w:val="21"/>
                <w:highlight w:val="none"/>
              </w:rPr>
              <w:t>金。</w:t>
            </w:r>
          </w:p>
          <w:p w14:paraId="2A4948A8">
            <w:pPr>
              <w:snapToGrid w:val="0"/>
              <w:jc w:val="left"/>
              <w:rPr>
                <w:rFonts w:hint="eastAsia" w:ascii="宋体" w:hAnsi="宋体"/>
                <w:color w:val="auto"/>
                <w:szCs w:val="21"/>
                <w:highlight w:val="none"/>
              </w:rPr>
            </w:pPr>
            <w:r>
              <w:rPr>
                <w:rFonts w:hint="eastAsia" w:ascii="宋体" w:hAnsi="宋体"/>
                <w:color w:val="auto"/>
                <w:szCs w:val="21"/>
                <w:highlight w:val="none"/>
              </w:rPr>
              <w:t>（3）如验收不能达到质量功能（性能）标准，合同商品由乙方在验收后一周内运离安装地点，</w:t>
            </w:r>
            <w:r>
              <w:rPr>
                <w:rFonts w:hint="eastAsia" w:ascii="宋体" w:hAnsi="宋体"/>
                <w:color w:val="auto"/>
                <w:szCs w:val="21"/>
                <w:highlight w:val="none"/>
                <w:lang w:val="en-US" w:eastAsia="zh-CN"/>
              </w:rPr>
              <w:t>验收不合格后的毁损风险及</w:t>
            </w:r>
            <w:r>
              <w:rPr>
                <w:rFonts w:hint="eastAsia" w:ascii="宋体" w:hAnsi="宋体"/>
                <w:color w:val="auto"/>
                <w:szCs w:val="21"/>
                <w:highlight w:val="none"/>
              </w:rPr>
              <w:t>所需费用由乙方承担。如乙方在一</w:t>
            </w:r>
            <w:r>
              <w:rPr>
                <w:rFonts w:hint="eastAsia" w:ascii="宋体" w:hAnsi="宋体"/>
                <w:strike/>
                <w:dstrike w:val="0"/>
                <w:color w:val="auto"/>
                <w:szCs w:val="21"/>
                <w:highlight w:val="none"/>
              </w:rPr>
              <w:t>个月</w:t>
            </w:r>
            <w:r>
              <w:rPr>
                <w:rFonts w:hint="eastAsia" w:ascii="宋体" w:hAnsi="宋体"/>
                <w:strike w:val="0"/>
                <w:dstrike w:val="0"/>
                <w:color w:val="auto"/>
                <w:szCs w:val="21"/>
                <w:highlight w:val="none"/>
                <w:lang w:val="en-US" w:eastAsia="zh-CN"/>
              </w:rPr>
              <w:t>周</w:t>
            </w:r>
            <w:r>
              <w:rPr>
                <w:rFonts w:hint="eastAsia" w:ascii="宋体" w:hAnsi="宋体"/>
                <w:color w:val="auto"/>
                <w:szCs w:val="21"/>
                <w:highlight w:val="none"/>
              </w:rPr>
              <w:t>内不处理（搬走）合同商品，视为乙方放弃该商品，甲方有权自行处置（包括废物处理）</w:t>
            </w:r>
            <w:r>
              <w:rPr>
                <w:rFonts w:hint="eastAsia" w:ascii="宋体" w:hAnsi="宋体"/>
                <w:color w:val="auto"/>
                <w:szCs w:val="21"/>
                <w:highlight w:val="none"/>
                <w:lang w:val="en-US" w:eastAsia="zh-CN"/>
              </w:rPr>
              <w:t>或委托第三方代为处理，由此产生的费用均由乙方承担</w:t>
            </w:r>
            <w:r>
              <w:rPr>
                <w:rFonts w:hint="eastAsia" w:ascii="宋体" w:hAnsi="宋体"/>
                <w:color w:val="auto"/>
                <w:szCs w:val="21"/>
                <w:highlight w:val="none"/>
              </w:rPr>
              <w:t>。同时，乙方要支付给甲方总货款的20％作为违约赔偿金。</w:t>
            </w:r>
          </w:p>
          <w:p w14:paraId="476FD699">
            <w:pPr>
              <w:snapToGrid w:val="0"/>
              <w:jc w:val="left"/>
              <w:rPr>
                <w:rFonts w:hint="eastAsia" w:ascii="宋体" w:hAnsi="宋体"/>
                <w:color w:val="auto"/>
                <w:szCs w:val="21"/>
                <w:highlight w:val="none"/>
                <w:lang w:val="en-US" w:eastAsia="zh-CN"/>
              </w:rPr>
            </w:pPr>
            <w:r>
              <w:rPr>
                <w:rFonts w:hint="eastAsia" w:ascii="宋体" w:hAnsi="宋体"/>
                <w:color w:val="auto"/>
                <w:szCs w:val="21"/>
                <w:highlight w:val="none"/>
              </w:rPr>
              <w:t>（4）乙方在交付</w:t>
            </w:r>
            <w:r>
              <w:rPr>
                <w:rFonts w:hint="eastAsia" w:ascii="宋体" w:hAnsi="宋体"/>
                <w:color w:val="auto"/>
                <w:szCs w:val="21"/>
                <w:highlight w:val="none"/>
                <w:lang w:val="en-US" w:eastAsia="zh-CN"/>
              </w:rPr>
              <w:t>硬件</w:t>
            </w:r>
            <w:r>
              <w:rPr>
                <w:rFonts w:hint="eastAsia" w:ascii="宋体" w:hAnsi="宋体"/>
                <w:color w:val="auto"/>
                <w:szCs w:val="21"/>
                <w:highlight w:val="none"/>
              </w:rPr>
              <w:t>产品的同时需向甲方提供有关货物的附随资料，包括但不限于： 商品目录、出厂证明、安装图纸、使用说明书、质量合格证明、保修单及其他技术资料，否则视为未完成交付。如乙方交付的货物数量、品牌、型号等正确，包装和货物均完好，甲方的指定接收人在书面的验收单上签字，完成初步验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货物经甲方初验合格后，方可进行安装。</w:t>
            </w:r>
          </w:p>
          <w:p w14:paraId="64C68162">
            <w:pPr>
              <w:snapToGrid w:val="0"/>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货物经甲方初步验收合格后，乙方应当在货物交付后    日内通过货物的安装调试最终验收。</w:t>
            </w:r>
          </w:p>
          <w:p w14:paraId="1AD4A836">
            <w:pPr>
              <w:snapToGrid w:val="0"/>
              <w:ind w:firstLine="420" w:firstLineChars="200"/>
              <w:jc w:val="left"/>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乙方在完成安装调试后应当出具相应的验收材料申请甲方进行最终验收，如货物</w:t>
            </w:r>
            <w:r>
              <w:rPr>
                <w:rFonts w:hint="eastAsia" w:ascii="宋体" w:hAnsi="宋体"/>
                <w:color w:val="auto"/>
                <w:szCs w:val="21"/>
                <w:highlight w:val="none"/>
                <w:lang w:val="en-US" w:eastAsia="zh-CN"/>
              </w:rPr>
              <w:t>、软件、硬件</w:t>
            </w:r>
            <w:r>
              <w:rPr>
                <w:rFonts w:hint="default" w:ascii="宋体" w:hAnsi="宋体"/>
                <w:color w:val="auto"/>
                <w:szCs w:val="21"/>
                <w:highlight w:val="none"/>
                <w:lang w:val="en-US" w:eastAsia="zh-CN"/>
              </w:rPr>
              <w:t>无法正常运行的或无法正常满足甲方合同目的的，乙方仍应当对货物予以调换或重新调试，上述期限计算在乙方安装调试的期限内。如货物通过甲方最终验收的，乙方的安装调试验收单上</w:t>
            </w:r>
            <w:r>
              <w:rPr>
                <w:rFonts w:hint="eastAsia" w:ascii="宋体" w:hAnsi="宋体"/>
                <w:color w:val="auto"/>
                <w:szCs w:val="21"/>
                <w:highlight w:val="none"/>
                <w:lang w:val="en-US" w:eastAsia="zh-CN"/>
              </w:rPr>
              <w:t>盖章确认</w:t>
            </w:r>
            <w:r>
              <w:rPr>
                <w:rFonts w:hint="default" w:ascii="宋体" w:hAnsi="宋体"/>
                <w:color w:val="auto"/>
                <w:szCs w:val="21"/>
                <w:highlight w:val="none"/>
                <w:lang w:val="en-US" w:eastAsia="zh-CN"/>
              </w:rPr>
              <w:t>，该验收单作为甲方最终验收合格的凭证。</w:t>
            </w:r>
          </w:p>
          <w:p w14:paraId="6CC6CFFA">
            <w:pPr>
              <w:numPr>
                <w:ilvl w:val="0"/>
                <w:numId w:val="10"/>
              </w:numPr>
              <w:snapToGrid w:val="0"/>
              <w:jc w:val="left"/>
              <w:rPr>
                <w:rFonts w:hint="eastAsia" w:ascii="宋体" w:hAnsi="宋体"/>
                <w:color w:val="auto"/>
                <w:szCs w:val="21"/>
                <w:highlight w:val="none"/>
                <w:lang w:eastAsia="zh-CN"/>
              </w:rPr>
            </w:pPr>
            <w:r>
              <w:rPr>
                <w:rFonts w:hint="eastAsia" w:ascii="宋体" w:hAnsi="宋体"/>
                <w:color w:val="auto"/>
                <w:szCs w:val="21"/>
                <w:highlight w:val="none"/>
              </w:rPr>
              <w:t>乙方所交的货物品种、型号、规格、技术参数、质量不符合合同规定及招投标文件规定标准的，甲方有权拒收该货物，乙方愿意更换货物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并应当于2日内完成补换货，</w:t>
            </w:r>
            <w:r>
              <w:rPr>
                <w:rFonts w:hint="eastAsia" w:ascii="宋体" w:hAnsi="宋体"/>
                <w:color w:val="auto"/>
                <w:szCs w:val="21"/>
                <w:highlight w:val="none"/>
              </w:rPr>
              <w:t>但逾期交货的，按乙方逾期交货处理。乙方拒绝更换货物的，甲方可单方面解除合同要求乙方返还已支付的全部价款，同时</w:t>
            </w:r>
            <w:r>
              <w:rPr>
                <w:rFonts w:hint="eastAsia" w:ascii="宋体" w:hAnsi="宋体"/>
                <w:strike w:val="0"/>
                <w:dstrike w:val="0"/>
                <w:color w:val="auto"/>
                <w:szCs w:val="21"/>
                <w:highlight w:val="none"/>
                <w:lang w:val="en-US" w:eastAsia="zh-CN"/>
              </w:rPr>
              <w:t>由乙方向甲方支付合同总金额20%的违约金，造成甲方损失的，应予赔偿</w:t>
            </w:r>
            <w:r>
              <w:rPr>
                <w:rFonts w:hint="eastAsia" w:ascii="宋体" w:hAnsi="宋体"/>
                <w:color w:val="auto"/>
                <w:szCs w:val="21"/>
                <w:highlight w:val="none"/>
              </w:rPr>
              <w:t>。</w:t>
            </w:r>
          </w:p>
          <w:p w14:paraId="0806A797">
            <w:pPr>
              <w:numPr>
                <w:ilvl w:val="0"/>
                <w:numId w:val="0"/>
              </w:numPr>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）安装调试期间，乙方人员的人身财产安全由乙方自行负责，发生安全事故与甲方无关。如乙方人员与第三人发生纠纷或造成第三人人身财产损失的，亦</w:t>
            </w:r>
            <w:r>
              <w:rPr>
                <w:rFonts w:hint="eastAsia" w:ascii="宋体" w:hAnsi="宋体"/>
                <w:color w:val="auto"/>
                <w:szCs w:val="21"/>
                <w:highlight w:val="none"/>
                <w:lang w:val="en-US" w:eastAsia="zh-CN"/>
              </w:rPr>
              <w:t>由</w:t>
            </w:r>
            <w:r>
              <w:rPr>
                <w:rFonts w:hint="eastAsia" w:ascii="宋体" w:hAnsi="宋体"/>
                <w:color w:val="auto"/>
                <w:szCs w:val="21"/>
                <w:highlight w:val="none"/>
                <w:lang w:eastAsia="zh-CN"/>
              </w:rPr>
              <w:t>乙方自行解决纠纷并承担责任。</w:t>
            </w:r>
          </w:p>
          <w:p w14:paraId="6606D7F1">
            <w:pPr>
              <w:numPr>
                <w:ilvl w:val="0"/>
                <w:numId w:val="0"/>
              </w:numPr>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）乙方在最终验收通过后应当在1日内完成清场。逾期完成的，甲方有权委托第三人代为清场，相关费用由乙方承担。</w:t>
            </w:r>
          </w:p>
          <w:p w14:paraId="1A2356AD">
            <w:pPr>
              <w:snapToGrid w:val="0"/>
              <w:jc w:val="left"/>
              <w:rPr>
                <w:rFonts w:hint="eastAsia" w:ascii="宋体" w:hAnsi="宋体"/>
                <w:strike w:val="0"/>
                <w:dstrike w:val="0"/>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strike w:val="0"/>
                <w:dstrike w:val="0"/>
                <w:color w:val="auto"/>
                <w:szCs w:val="21"/>
                <w:highlight w:val="none"/>
              </w:rPr>
              <w:t>合同任何一方，对于因合同履行而了解、接触、取得的对方不对外公开或已对第三方承担保密义务的业务数据、业务资料及其他商业秘密负有保密责任</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lang w:val="en-US" w:eastAsia="zh-CN"/>
              </w:rPr>
              <w:t>乙方违反上述约定的，甲方</w:t>
            </w:r>
            <w:r>
              <w:rPr>
                <w:rFonts w:hint="eastAsia" w:ascii="宋体" w:hAnsi="宋体"/>
                <w:strike w:val="0"/>
                <w:dstrike w:val="0"/>
                <w:color w:val="auto"/>
                <w:szCs w:val="21"/>
                <w:highlight w:val="none"/>
              </w:rPr>
              <w:t>有权责令</w:t>
            </w:r>
            <w:r>
              <w:rPr>
                <w:rFonts w:hint="eastAsia" w:ascii="宋体" w:hAnsi="宋体"/>
                <w:strike w:val="0"/>
                <w:dstrike w:val="0"/>
                <w:color w:val="auto"/>
                <w:szCs w:val="21"/>
                <w:highlight w:val="none"/>
                <w:lang w:val="en-US" w:eastAsia="zh-CN"/>
              </w:rPr>
              <w:t>乙方</w:t>
            </w:r>
            <w:r>
              <w:rPr>
                <w:rFonts w:hint="eastAsia" w:ascii="宋体" w:hAnsi="宋体"/>
                <w:strike w:val="0"/>
                <w:dstrike w:val="0"/>
                <w:color w:val="auto"/>
                <w:szCs w:val="21"/>
                <w:highlight w:val="none"/>
              </w:rPr>
              <w:t>立即停止侵害、消除影响，要求乙方返还已支付的全部费用，并由乙方向甲方支付合同总金额20%的违约金，如还造成甲方损失的，乙方承担赔偿责任。</w:t>
            </w:r>
          </w:p>
          <w:p w14:paraId="5C3F87C6">
            <w:pPr>
              <w:numPr>
                <w:ilvl w:val="0"/>
                <w:numId w:val="0"/>
              </w:numPr>
              <w:snapToGrid w:val="0"/>
              <w:ind w:leftChars="0"/>
              <w:jc w:val="left"/>
              <w:rPr>
                <w:rFonts w:hint="eastAsia" w:ascii="宋体" w:hAnsi="宋体" w:eastAsia="宋体" w:cs="Times New Roman"/>
                <w:strike w:val="0"/>
                <w:dstrike w:val="0"/>
                <w:color w:val="auto"/>
                <w:szCs w:val="21"/>
                <w:highlight w:val="none"/>
                <w:lang w:eastAsia="zh-CN"/>
              </w:rPr>
            </w:pP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lang w:val="en-US" w:eastAsia="zh-CN"/>
              </w:rPr>
              <w:t>9</w:t>
            </w:r>
            <w:r>
              <w:rPr>
                <w:rFonts w:hint="eastAsia" w:ascii="宋体" w:hAnsi="宋体"/>
                <w:strike w:val="0"/>
                <w:dstrike w:val="0"/>
                <w:color w:val="auto"/>
                <w:szCs w:val="21"/>
                <w:highlight w:val="none"/>
                <w:lang w:eastAsia="zh-CN"/>
              </w:rPr>
              <w:t>）乙方保证向甲方交付的成果不会侵犯任何第三人的知识产权、商业秘密或者其他民事权利。如乙方违反上述规定，则由乙方自行解决与第三人的纠纷并承担全部责任。如造成甲方损失的，赔偿甲方损失。如造成甲方无法正常使用的，甲方有权解除本合同，要求乙方返还已支</w:t>
            </w:r>
            <w:r>
              <w:rPr>
                <w:rFonts w:hint="eastAsia" w:ascii="宋体" w:hAnsi="宋体" w:eastAsia="宋体" w:cs="Times New Roman"/>
                <w:strike w:val="0"/>
                <w:dstrike w:val="0"/>
                <w:color w:val="auto"/>
                <w:szCs w:val="21"/>
                <w:highlight w:val="none"/>
                <w:lang w:eastAsia="zh-CN"/>
              </w:rPr>
              <w:t>付的全部费用并支付合同总金额20%的违约金。</w:t>
            </w:r>
          </w:p>
          <w:p w14:paraId="1A71F38C">
            <w:pPr>
              <w:numPr>
                <w:ilvl w:val="0"/>
                <w:numId w:val="0"/>
              </w:numPr>
              <w:snapToGrid w:val="0"/>
              <w:ind w:leftChars="0"/>
              <w:jc w:val="left"/>
              <w:rPr>
                <w:rFonts w:hint="eastAsia" w:ascii="宋体" w:hAnsi="宋体" w:eastAsia="宋体" w:cs="Times New Roman"/>
                <w:strike w:val="0"/>
                <w:dstrike w:val="0"/>
                <w:color w:val="auto"/>
                <w:szCs w:val="21"/>
                <w:highlight w:val="none"/>
                <w:lang w:eastAsia="zh-CN"/>
              </w:rPr>
            </w:pPr>
            <w:r>
              <w:rPr>
                <w:rFonts w:hint="eastAsia" w:ascii="宋体" w:hAnsi="宋体" w:cs="Times New Roman"/>
                <w:strike w:val="0"/>
                <w:dstrike w:val="0"/>
                <w:color w:val="auto"/>
                <w:szCs w:val="21"/>
                <w:highlight w:val="none"/>
                <w:lang w:eastAsia="zh-CN"/>
              </w:rPr>
              <w:t>（</w:t>
            </w:r>
            <w:r>
              <w:rPr>
                <w:rFonts w:hint="eastAsia" w:ascii="宋体" w:hAnsi="宋体" w:cs="Times New Roman"/>
                <w:strike w:val="0"/>
                <w:dstrike w:val="0"/>
                <w:color w:val="auto"/>
                <w:szCs w:val="21"/>
                <w:highlight w:val="none"/>
                <w:lang w:val="en-US" w:eastAsia="zh-CN"/>
              </w:rPr>
              <w:t>10</w:t>
            </w:r>
            <w:r>
              <w:rPr>
                <w:rFonts w:hint="eastAsia" w:ascii="宋体" w:hAnsi="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eastAsia="zh-CN"/>
              </w:rPr>
              <w:t>甲方与乙方工作人员不建立任何劳动或劳务关系，如乙方工作人员在工作过程中</w:t>
            </w:r>
            <w:r>
              <w:rPr>
                <w:rFonts w:hint="eastAsia" w:ascii="宋体" w:hAnsi="宋体" w:cs="Times New Roman"/>
                <w:strike w:val="0"/>
                <w:dstrike w:val="0"/>
                <w:color w:val="auto"/>
                <w:szCs w:val="21"/>
                <w:highlight w:val="none"/>
                <w:lang w:val="en-US" w:eastAsia="zh-CN"/>
              </w:rPr>
              <w:t>(包括但不限于送货、安装调试、培训、维修等)</w:t>
            </w:r>
            <w:r>
              <w:rPr>
                <w:rFonts w:hint="eastAsia" w:ascii="宋体" w:hAnsi="宋体" w:eastAsia="宋体" w:cs="Times New Roman"/>
                <w:strike w:val="0"/>
                <w:dstrike w:val="0"/>
                <w:color w:val="auto"/>
                <w:szCs w:val="21"/>
                <w:highlight w:val="none"/>
                <w:lang w:eastAsia="zh-CN"/>
              </w:rPr>
              <w:t>发生安全事故造成甲方、其自身或第三方人身财产损失的，由乙方自行解决纠纷并承担全部责任，与甲方无关。如因此导致甲方被追责的，甲方有权就全部损失向乙方追偿。</w:t>
            </w:r>
          </w:p>
          <w:p w14:paraId="214556EC">
            <w:pPr>
              <w:numPr>
                <w:ilvl w:val="0"/>
                <w:numId w:val="0"/>
              </w:numPr>
              <w:snapToGrid w:val="0"/>
              <w:ind w:leftChars="0"/>
              <w:jc w:val="left"/>
              <w:rPr>
                <w:rFonts w:hint="eastAsia" w:ascii="宋体" w:hAnsi="宋体" w:eastAsia="宋体" w:cs="Times New Roman"/>
                <w:strike w:val="0"/>
                <w:dstrike w:val="0"/>
                <w:color w:val="auto"/>
                <w:szCs w:val="21"/>
                <w:highlight w:val="none"/>
                <w:lang w:eastAsia="zh-CN"/>
              </w:rPr>
            </w:pPr>
            <w:r>
              <w:rPr>
                <w:rFonts w:hint="eastAsia" w:ascii="宋体" w:hAnsi="宋体" w:cs="Times New Roman"/>
                <w:strike w:val="0"/>
                <w:dstrike w:val="0"/>
                <w:color w:val="auto"/>
                <w:szCs w:val="21"/>
                <w:highlight w:val="none"/>
                <w:lang w:val="en-US" w:eastAsia="zh-CN"/>
              </w:rPr>
              <w:t>（11）乙方保证提供的货物及其他服务均符合合同约定及招标要求，甲方验收通过不免除乙方对上述质量的保证，如因乙方货物无法完成合同约定技术参数或标准的，甲方有权扣除相应费用或要求乙方退还已支付的该部分费用，质量问题出现2项及以上或货物无法使用超过3日以上的，甲方有权解除合同，要求乙方支付合同金额20%的违约金，造成损失的，应当赔偿。</w:t>
            </w:r>
          </w:p>
          <w:p w14:paraId="570777B0">
            <w:pPr>
              <w:numPr>
                <w:ilvl w:val="0"/>
                <w:numId w:val="0"/>
              </w:numPr>
              <w:snapToGrid w:val="0"/>
              <w:ind w:leftChars="0"/>
              <w:jc w:val="left"/>
              <w:rPr>
                <w:rFonts w:hint="eastAsia" w:ascii="宋体" w:hAnsi="宋体" w:eastAsia="宋体" w:cs="Times New Roman"/>
                <w:strike w:val="0"/>
                <w:dstrike w:val="0"/>
                <w:color w:val="auto"/>
                <w:szCs w:val="21"/>
                <w:highlight w:val="none"/>
                <w:lang w:eastAsia="zh-CN"/>
              </w:rPr>
            </w:pPr>
            <w:r>
              <w:rPr>
                <w:rFonts w:hint="eastAsia" w:ascii="宋体" w:hAnsi="宋体" w:cs="Times New Roman"/>
                <w:strike w:val="0"/>
                <w:dstrike w:val="0"/>
                <w:color w:val="auto"/>
                <w:szCs w:val="21"/>
                <w:highlight w:val="none"/>
                <w:lang w:val="en-US" w:eastAsia="zh-CN"/>
              </w:rPr>
              <w:t>（12）乙方应保证软件及硬件生成数据的真实性、准确性，因乙方数据错误或瑕疵导致甲方损失等的，乙方承担赔偿责任。</w:t>
            </w:r>
          </w:p>
          <w:p w14:paraId="649ED654">
            <w:pPr>
              <w:snapToGrid w:val="0"/>
              <w:jc w:val="left"/>
              <w:rPr>
                <w:rFonts w:hint="eastAsia" w:ascii="宋体" w:hAnsi="宋体"/>
                <w:strike w:val="0"/>
                <w:dstrike w:val="0"/>
                <w:color w:val="auto"/>
                <w:szCs w:val="21"/>
                <w:highlight w:val="none"/>
                <w:lang w:eastAsia="zh-CN"/>
              </w:rPr>
            </w:pPr>
          </w:p>
        </w:tc>
      </w:tr>
      <w:tr w14:paraId="75121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B7C344">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46DA942">
            <w:pPr>
              <w:snapToGrid w:val="0"/>
              <w:jc w:val="center"/>
              <w:rPr>
                <w:rFonts w:hint="eastAsia"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61806077">
            <w:pPr>
              <w:snapToGrid w:val="0"/>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3C86C5A2">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726E87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F3F0464">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D0B1C39">
            <w:pPr>
              <w:snapToGrid w:val="0"/>
              <w:jc w:val="center"/>
              <w:rPr>
                <w:rFonts w:hint="eastAsia"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7D262A37">
            <w:pPr>
              <w:snapToGrid w:val="0"/>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2347CF0B">
            <w:pPr>
              <w:rPr>
                <w:color w:val="auto"/>
                <w:highlight w:val="none"/>
              </w:rPr>
            </w:pPr>
            <w:r>
              <w:rPr>
                <w:rFonts w:hint="eastAsia"/>
                <w:color w:val="auto"/>
                <w:highlight w:val="none"/>
              </w:rPr>
              <w:t>/</w:t>
            </w:r>
          </w:p>
        </w:tc>
      </w:tr>
      <w:tr w14:paraId="20B75F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850ADBE">
            <w:pPr>
              <w:snapToGrid w:val="0"/>
              <w:jc w:val="center"/>
              <w:rPr>
                <w:rFonts w:hint="eastAsia" w:ascii="宋体" w:hAnsi="宋体"/>
                <w:color w:val="auto"/>
                <w:szCs w:val="21"/>
                <w:highlight w:val="none"/>
              </w:rPr>
            </w:pPr>
          </w:p>
        </w:tc>
        <w:tc>
          <w:tcPr>
            <w:tcW w:w="1742" w:type="dxa"/>
            <w:vAlign w:val="center"/>
          </w:tcPr>
          <w:p w14:paraId="1CFDA5D6">
            <w:pPr>
              <w:snapToGrid w:val="0"/>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2C4610A7">
            <w:pPr>
              <w:rPr>
                <w:color w:val="auto"/>
                <w:highlight w:val="none"/>
              </w:rPr>
            </w:pPr>
            <w:r>
              <w:rPr>
                <w:rFonts w:hint="eastAsia"/>
                <w:color w:val="auto"/>
                <w:highlight w:val="none"/>
              </w:rPr>
              <w:t>甲方指定地点</w:t>
            </w:r>
          </w:p>
        </w:tc>
      </w:tr>
      <w:tr w14:paraId="2064D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2467799">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E6B66DE">
            <w:pPr>
              <w:snapToGrid w:val="0"/>
              <w:jc w:val="center"/>
              <w:rPr>
                <w:rFonts w:hint="eastAsia"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3C3E64E4">
            <w:pPr>
              <w:snapToGrid w:val="0"/>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2079BD21">
            <w:pPr>
              <w:rPr>
                <w:color w:val="auto"/>
                <w:highlight w:val="none"/>
              </w:rPr>
            </w:pPr>
            <w:r>
              <w:rPr>
                <w:rFonts w:hint="eastAsia"/>
                <w:color w:val="auto"/>
                <w:highlight w:val="none"/>
              </w:rPr>
              <w:t>/</w:t>
            </w:r>
          </w:p>
        </w:tc>
      </w:tr>
      <w:tr w14:paraId="1A4C2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860A7AE">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A4A6034">
            <w:pPr>
              <w:snapToGrid w:val="0"/>
              <w:jc w:val="center"/>
              <w:rPr>
                <w:rFonts w:hint="eastAsia"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02F65898">
            <w:pPr>
              <w:snapToGrid w:val="0"/>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7EACB9C5">
            <w:pPr>
              <w:rPr>
                <w:color w:val="auto"/>
                <w:highlight w:val="none"/>
              </w:rPr>
            </w:pPr>
            <w:r>
              <w:rPr>
                <w:rFonts w:hint="eastAsia"/>
                <w:color w:val="auto"/>
                <w:highlight w:val="none"/>
              </w:rPr>
              <w:t>/</w:t>
            </w:r>
          </w:p>
        </w:tc>
      </w:tr>
      <w:tr w14:paraId="55CAA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524B9F">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2254A46">
            <w:pPr>
              <w:snapToGrid w:val="0"/>
              <w:jc w:val="center"/>
              <w:rPr>
                <w:rFonts w:hint="eastAsia"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51EA1F6C">
            <w:pPr>
              <w:snapToGrid w:val="0"/>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8B58CEC">
            <w:pPr>
              <w:autoSpaceDE w:val="0"/>
              <w:autoSpaceDN w:val="0"/>
              <w:snapToGrid w:val="0"/>
              <w:jc w:val="left"/>
              <w:rPr>
                <w:rFonts w:hint="default" w:ascii="宋体" w:hAnsi="宋体"/>
                <w:color w:val="auto"/>
                <w:szCs w:val="21"/>
                <w:highlight w:val="none"/>
                <w:lang w:val="en-US"/>
              </w:rPr>
            </w:pPr>
            <w:r>
              <w:rPr>
                <w:rFonts w:hint="eastAsia" w:ascii="宋体" w:hAnsi="宋体"/>
                <w:color w:val="auto"/>
                <w:szCs w:val="21"/>
                <w:highlight w:val="none"/>
                <w:lang w:val="en-US" w:eastAsia="zh-CN"/>
              </w:rPr>
              <w:t>乙方货物质保期 三 年，自甲方最终验收通过之日起算。质保期内，乙方应当提供7×24小时电话支持服务。对甲方的需求，乙方应当2小时内响应并在24小时内排除故障。质保期内，对于不能修复的产品/部件，乙方应免费更换备品备件。如乙方未能在上述约定的时间内响应或排除故障的，甲方有权委托他人进行维修，产生的维修费用由乙方承担，如因乙方维修不及时给甲方造成损失的，乙方应当承担赔偿责任。</w:t>
            </w:r>
          </w:p>
        </w:tc>
      </w:tr>
      <w:tr w14:paraId="73ADA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B859F6">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AE2B18B">
            <w:pPr>
              <w:snapToGrid w:val="0"/>
              <w:jc w:val="center"/>
              <w:rPr>
                <w:rFonts w:hint="eastAsia"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2F500041">
            <w:pPr>
              <w:snapToGrid w:val="0"/>
              <w:jc w:val="left"/>
              <w:rPr>
                <w:rFonts w:hint="eastAsia" w:ascii="宋体" w:hAnsi="宋体"/>
                <w:color w:val="auto"/>
                <w:szCs w:val="21"/>
                <w:highlight w:val="none"/>
              </w:rPr>
            </w:pPr>
            <w:r>
              <w:rPr>
                <w:rFonts w:hint="eastAsia" w:ascii="宋体" w:hAnsi="宋体"/>
                <w:color w:val="auto"/>
                <w:szCs w:val="21"/>
                <w:highlight w:val="none"/>
              </w:rPr>
              <w:t>货物质量缺陷</w:t>
            </w:r>
          </w:p>
          <w:p w14:paraId="719A1DA3">
            <w:pPr>
              <w:snapToGrid w:val="0"/>
              <w:jc w:val="left"/>
              <w:rPr>
                <w:rFonts w:hint="eastAsia"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955CC1B">
            <w:pPr>
              <w:snapToGrid w:val="0"/>
              <w:jc w:val="left"/>
              <w:rPr>
                <w:rFonts w:hint="eastAsia" w:ascii="宋体" w:hAnsi="宋体" w:eastAsia="宋体"/>
                <w:color w:val="auto"/>
                <w:szCs w:val="21"/>
                <w:highlight w:val="none"/>
                <w:lang w:eastAsia="zh-CN"/>
              </w:rPr>
            </w:pPr>
            <w:r>
              <w:rPr>
                <w:rFonts w:hint="eastAsia" w:ascii="宋体" w:hAnsi="宋体"/>
                <w:strike w:val="0"/>
                <w:dstrike w:val="0"/>
                <w:color w:val="auto"/>
                <w:szCs w:val="21"/>
                <w:highlight w:val="none"/>
                <w:lang w:val="en-US" w:eastAsia="zh-CN"/>
              </w:rPr>
              <w:t>24小时</w:t>
            </w:r>
          </w:p>
        </w:tc>
      </w:tr>
      <w:tr w14:paraId="380C4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79CE8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3B4D229A">
            <w:pPr>
              <w:pStyle w:val="82"/>
              <w:ind w:firstLine="0" w:firstLineChars="0"/>
              <w:jc w:val="center"/>
              <w:rPr>
                <w:rFonts w:hint="eastAsia"/>
                <w:color w:val="auto"/>
                <w:highlight w:val="none"/>
              </w:rPr>
            </w:pPr>
            <w:r>
              <w:rPr>
                <w:rFonts w:hint="eastAsia" w:ascii="宋体" w:hAnsi="宋体" w:eastAsia="宋体" w:cs="宋体"/>
                <w:color w:val="auto"/>
                <w:highlight w:val="none"/>
              </w:rPr>
              <w:t>第11.1款</w:t>
            </w:r>
          </w:p>
        </w:tc>
        <w:tc>
          <w:tcPr>
            <w:tcW w:w="1742" w:type="dxa"/>
            <w:vAlign w:val="center"/>
          </w:tcPr>
          <w:p w14:paraId="3E4FC8AB">
            <w:pPr>
              <w:snapToGrid w:val="0"/>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5F6A2465">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3A479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B585B5">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C17CF24">
            <w:pPr>
              <w:snapToGrid w:val="0"/>
              <w:jc w:val="center"/>
              <w:rPr>
                <w:rFonts w:hint="eastAsia"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6ACB0AE2">
            <w:pPr>
              <w:snapToGrid w:val="0"/>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69C2EE22">
            <w:pPr>
              <w:snapToGrid w:val="0"/>
              <w:jc w:val="left"/>
              <w:rPr>
                <w:rFonts w:hint="eastAsia" w:ascii="宋体" w:hAnsi="宋体"/>
                <w:color w:val="auto"/>
                <w:szCs w:val="21"/>
                <w:highlight w:val="none"/>
              </w:rPr>
            </w:pPr>
            <w:r>
              <w:rPr>
                <w:rFonts w:hint="eastAsia" w:ascii="宋体" w:hAnsi="宋体"/>
                <w:color w:val="auto"/>
                <w:szCs w:val="21"/>
                <w:highlight w:val="none"/>
              </w:rPr>
              <w:t>详见“第一节 2.合同金额：（3）付款方式”</w:t>
            </w:r>
          </w:p>
        </w:tc>
      </w:tr>
      <w:tr w14:paraId="5B1D0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DA8780">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F7C660C">
            <w:pPr>
              <w:snapToGrid w:val="0"/>
              <w:jc w:val="center"/>
              <w:rPr>
                <w:rFonts w:hint="eastAsia"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520287D6">
            <w:pPr>
              <w:snapToGrid w:val="0"/>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72878B10">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65059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8B1079">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1FF447D">
            <w:pPr>
              <w:snapToGrid w:val="0"/>
              <w:jc w:val="center"/>
              <w:rPr>
                <w:rFonts w:hint="eastAsia"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5579DE43">
            <w:pPr>
              <w:snapToGrid w:val="0"/>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7E957BBF">
            <w:pPr>
              <w:snapToGrid w:val="0"/>
              <w:jc w:val="left"/>
              <w:rPr>
                <w:rFonts w:hint="eastAsia" w:ascii="宋体" w:hAnsi="宋体"/>
                <w:color w:val="auto"/>
                <w:szCs w:val="21"/>
                <w:highlight w:val="none"/>
              </w:rPr>
            </w:pPr>
            <w:r>
              <w:rPr>
                <w:rFonts w:hint="eastAsia" w:ascii="宋体" w:hAnsi="宋体"/>
                <w:color w:val="auto"/>
                <w:szCs w:val="21"/>
                <w:highlight w:val="none"/>
              </w:rPr>
              <w:t>履约保证金退还时间：/</w:t>
            </w:r>
            <w:r>
              <w:rPr>
                <w:rFonts w:hint="eastAsia" w:ascii="宋体" w:hAnsi="宋体"/>
                <w:color w:val="auto"/>
                <w:szCs w:val="21"/>
                <w:highlight w:val="none"/>
              </w:rPr>
              <w:br w:type="textWrapping"/>
            </w:r>
            <w:r>
              <w:rPr>
                <w:rFonts w:hint="eastAsia" w:ascii="宋体" w:hAnsi="宋体"/>
                <w:color w:val="auto"/>
                <w:szCs w:val="21"/>
                <w:highlight w:val="none"/>
              </w:rPr>
              <w:t>逾期退还的违约金：/</w:t>
            </w:r>
          </w:p>
        </w:tc>
      </w:tr>
      <w:tr w14:paraId="6BFF6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048CDF">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D0E4933">
            <w:pPr>
              <w:snapToGrid w:val="0"/>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7B5E0667">
            <w:pPr>
              <w:snapToGrid w:val="0"/>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7E9EDA2E">
            <w:pPr>
              <w:snapToGrid w:val="0"/>
              <w:jc w:val="left"/>
              <w:rPr>
                <w:rFonts w:hint="default" w:ascii="宋体" w:hAnsi="宋体" w:eastAsia="宋体"/>
                <w:color w:val="auto"/>
                <w:szCs w:val="21"/>
                <w:highlight w:val="none"/>
                <w:lang w:val="en-US" w:eastAsia="zh-CN"/>
              </w:rPr>
            </w:pPr>
          </w:p>
        </w:tc>
      </w:tr>
      <w:tr w14:paraId="2B367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78EDA5">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03779EB">
            <w:pPr>
              <w:snapToGrid w:val="0"/>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7F887632">
            <w:pPr>
              <w:snapToGrid w:val="0"/>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5C7987CA">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r w14:paraId="6EE38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94A953">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A7C046B">
            <w:pPr>
              <w:snapToGrid w:val="0"/>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3F43D63F">
            <w:pPr>
              <w:snapToGrid w:val="0"/>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65AA5D7C">
            <w:pPr>
              <w:snapToGrid w:val="0"/>
              <w:jc w:val="left"/>
              <w:rPr>
                <w:rFonts w:hint="default" w:ascii="宋体" w:hAnsi="宋体" w:eastAsia="宋体"/>
                <w:color w:val="auto"/>
                <w:szCs w:val="21"/>
                <w:highlight w:val="none"/>
                <w:lang w:val="en-US" w:eastAsia="zh-CN"/>
              </w:rPr>
            </w:pPr>
            <w:r>
              <w:rPr>
                <w:rFonts w:hint="eastAsia" w:ascii="宋体" w:hAnsi="宋体"/>
                <w:strike w:val="0"/>
                <w:dstrike w:val="0"/>
                <w:color w:val="auto"/>
                <w:szCs w:val="21"/>
                <w:highlight w:val="none"/>
                <w:lang w:val="en-US" w:eastAsia="zh-CN"/>
              </w:rPr>
              <w:t>如乙方未按甲方要求的时间地点完成培训、演示等其他服务的，甲方有权解除合同，要求乙方返还已支付的全部费用，并由乙方向甲方支付合同总金额20%的违约金。</w:t>
            </w:r>
          </w:p>
        </w:tc>
      </w:tr>
      <w:tr w14:paraId="70AF9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919B2">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0134B6F">
            <w:pPr>
              <w:snapToGrid w:val="0"/>
              <w:jc w:val="center"/>
              <w:rPr>
                <w:rFonts w:hint="eastAsia"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16B53FB5">
            <w:pPr>
              <w:snapToGrid w:val="0"/>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167AFCE2">
            <w:pPr>
              <w:snapToGrid w:val="0"/>
              <w:jc w:val="left"/>
              <w:rPr>
                <w:rFonts w:hint="eastAsia" w:ascii="宋体" w:hAnsi="宋体"/>
                <w:color w:val="auto"/>
                <w:szCs w:val="21"/>
                <w:highlight w:val="none"/>
              </w:rPr>
            </w:pPr>
            <w:r>
              <w:rPr>
                <w:rFonts w:hint="eastAsia" w:ascii="宋体" w:hAnsi="宋体"/>
                <w:color w:val="auto"/>
                <w:szCs w:val="21"/>
                <w:highlight w:val="none"/>
                <w:lang w:val="en-US" w:eastAsia="zh-CN"/>
              </w:rPr>
              <w:t>同</w:t>
            </w:r>
            <w:r>
              <w:rPr>
                <w:rFonts w:hint="eastAsia" w:ascii="宋体" w:hAnsi="宋体"/>
                <w:color w:val="auto"/>
                <w:szCs w:val="21"/>
                <w:highlight w:val="none"/>
              </w:rPr>
              <w:t>第二节第5.4款</w:t>
            </w:r>
          </w:p>
        </w:tc>
      </w:tr>
      <w:tr w14:paraId="6B3F71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93F4EC">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B231EA8">
            <w:pPr>
              <w:snapToGrid w:val="0"/>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4B4DE51A">
            <w:pPr>
              <w:snapToGrid w:val="0"/>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9721CA4">
            <w:pPr>
              <w:snapToGrid w:val="0"/>
              <w:jc w:val="left"/>
              <w:rPr>
                <w:rFonts w:hint="eastAsia" w:ascii="宋体" w:hAnsi="宋体" w:eastAsia="宋体"/>
                <w:color w:val="auto"/>
                <w:szCs w:val="21"/>
                <w:highlight w:val="none"/>
                <w:u w:val="single"/>
                <w:lang w:eastAsia="zh-CN"/>
              </w:rPr>
            </w:pPr>
            <w:r>
              <w:rPr>
                <w:rFonts w:hint="eastAsia" w:ascii="宋体" w:hAnsi="宋体"/>
                <w:strike w:val="0"/>
                <w:dstrike w:val="0"/>
                <w:color w:val="auto"/>
                <w:szCs w:val="21"/>
                <w:highlight w:val="none"/>
                <w:lang w:val="en-US" w:eastAsia="zh-CN"/>
              </w:rPr>
              <w:t>同</w:t>
            </w:r>
            <w:r>
              <w:rPr>
                <w:rFonts w:hint="eastAsia" w:ascii="宋体" w:hAnsi="宋体"/>
                <w:strike w:val="0"/>
                <w:dstrike w:val="0"/>
                <w:color w:val="auto"/>
                <w:szCs w:val="21"/>
                <w:highlight w:val="none"/>
              </w:rPr>
              <w:t>第二节第5.4款</w:t>
            </w:r>
          </w:p>
        </w:tc>
      </w:tr>
      <w:tr w14:paraId="1977E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F0DEC">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08CAA327">
            <w:pPr>
              <w:snapToGrid w:val="0"/>
              <w:jc w:val="center"/>
              <w:rPr>
                <w:rFonts w:hint="eastAsia"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49286ACA">
            <w:pPr>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7401B8AB">
            <w:pPr>
              <w:snapToGrid w:val="0"/>
              <w:jc w:val="left"/>
              <w:rPr>
                <w:rFonts w:hint="eastAsia" w:ascii="宋体" w:hAnsi="宋体"/>
                <w:color w:val="auto"/>
                <w:szCs w:val="21"/>
                <w:highlight w:val="none"/>
                <w:u w:val="single"/>
              </w:rPr>
            </w:pPr>
            <w:r>
              <w:rPr>
                <w:rFonts w:hint="eastAsia" w:ascii="宋体" w:hAnsi="宋体"/>
                <w:color w:val="auto"/>
                <w:szCs w:val="21"/>
                <w:highlight w:val="none"/>
                <w:u w:val="single"/>
              </w:rPr>
              <w:t>/</w:t>
            </w:r>
          </w:p>
        </w:tc>
      </w:tr>
      <w:tr w14:paraId="7BCFB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A9B79A8">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9946307">
            <w:pPr>
              <w:snapToGrid w:val="0"/>
              <w:jc w:val="center"/>
              <w:rPr>
                <w:rFonts w:hint="eastAsia"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C7E316F">
            <w:pPr>
              <w:snapToGrid w:val="0"/>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4C89D7EA">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1</w:t>
            </w:r>
            <w:r>
              <w:rPr>
                <w:rFonts w:hint="eastAsia" w:ascii="宋体" w:hAnsi="宋体" w:eastAsia="宋体" w:cs="Times New Roman"/>
                <w:strike w:val="0"/>
                <w:dstrike w:val="0"/>
                <w:color w:val="auto"/>
                <w:szCs w:val="21"/>
                <w:highlight w:val="none"/>
                <w:lang w:eastAsia="zh-CN"/>
              </w:rPr>
              <w:t>）未经甲方书面同意，乙方不得擅自转让、委托、转包、分包（含劳务分包）本合同下的义务，否则甲方有权解除合同，要求乙方返还已支付的全部费用并支付合同总金额20%的违约金，如造成甲方损失的，乙方还应当赔偿损失。</w:t>
            </w:r>
          </w:p>
          <w:p w14:paraId="129EFBC5">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2</w:t>
            </w:r>
            <w:r>
              <w:rPr>
                <w:rFonts w:hint="eastAsia" w:ascii="宋体" w:hAnsi="宋体" w:eastAsia="宋体" w:cs="Times New Roman"/>
                <w:strike w:val="0"/>
                <w:dstrike w:val="0"/>
                <w:color w:val="auto"/>
                <w:szCs w:val="21"/>
                <w:highlight w:val="none"/>
                <w:lang w:eastAsia="zh-CN"/>
              </w:rPr>
              <w:t>）乙方擅自终止、变更本合同的，应当向甲方支付合同总金额20%的违约金，已支付的费用由乙方返还，如还造成甲方损失的，赔偿损失。</w:t>
            </w:r>
          </w:p>
          <w:p w14:paraId="57E3ACEF">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3</w:t>
            </w:r>
            <w:r>
              <w:rPr>
                <w:rFonts w:hint="eastAsia" w:ascii="宋体" w:hAnsi="宋体" w:eastAsia="宋体" w:cs="Times New Roman"/>
                <w:strike w:val="0"/>
                <w:dstrike w:val="0"/>
                <w:color w:val="auto"/>
                <w:szCs w:val="21"/>
                <w:highlight w:val="none"/>
                <w:lang w:eastAsia="zh-CN"/>
              </w:rPr>
              <w:t>）乙方违约，甲方为维护己方权利而支付的诉讼费、律师费、评估费、鉴定费、保全费、保全担保费、调查取证费、证据固定费等费用由乙方承担。</w:t>
            </w:r>
          </w:p>
          <w:p w14:paraId="740A274D">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4</w:t>
            </w:r>
            <w:r>
              <w:rPr>
                <w:rFonts w:hint="eastAsia" w:ascii="宋体" w:hAnsi="宋体" w:eastAsia="宋体" w:cs="Times New Roman"/>
                <w:strike w:val="0"/>
                <w:dstrike w:val="0"/>
                <w:color w:val="auto"/>
                <w:szCs w:val="21"/>
                <w:highlight w:val="none"/>
                <w:lang w:eastAsia="zh-CN"/>
              </w:rPr>
              <w:t>）本合同对违约责任其他条款另有约定的，从其约定；但本合同中相关违约事宜作了多处违约责任约定的，甲方可以选择适用其中部分或全部违约责任。</w:t>
            </w:r>
          </w:p>
          <w:p w14:paraId="30FBDFB0">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5</w:t>
            </w:r>
            <w:r>
              <w:rPr>
                <w:rFonts w:hint="eastAsia" w:ascii="宋体" w:hAnsi="宋体" w:eastAsia="宋体" w:cs="Times New Roman"/>
                <w:strike w:val="0"/>
                <w:dstrike w:val="0"/>
                <w:color w:val="auto"/>
                <w:szCs w:val="21"/>
                <w:highlight w:val="none"/>
                <w:lang w:eastAsia="zh-CN"/>
              </w:rPr>
              <w:t>）对于乙方的相关义务条款，本合同中的其他条款中未作违约责任约定的，甲方有权催告或通知乙方改正或履行相关义务，同一事宜累计催告3次（含）以上或催告后10天内未改正或履行相关义务的，甲方有权解除协议。</w:t>
            </w:r>
          </w:p>
          <w:p w14:paraId="50E6337D">
            <w:pPr>
              <w:snapToGrid w:val="0"/>
              <w:jc w:val="left"/>
              <w:rPr>
                <w:rFonts w:hint="eastAsia" w:ascii="宋体" w:hAnsi="宋体" w:eastAsia="宋体" w:cs="Times New Roman"/>
                <w:strike w:val="0"/>
                <w:dstrike w:val="0"/>
                <w:color w:val="auto"/>
                <w:szCs w:val="21"/>
                <w:highlight w:val="none"/>
                <w:lang w:eastAsia="zh-CN"/>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6</w:t>
            </w:r>
            <w:r>
              <w:rPr>
                <w:rFonts w:hint="eastAsia" w:ascii="宋体" w:hAnsi="宋体" w:eastAsia="宋体" w:cs="Times New Roman"/>
                <w:strike w:val="0"/>
                <w:dstrike w:val="0"/>
                <w:color w:val="auto"/>
                <w:szCs w:val="21"/>
                <w:highlight w:val="none"/>
                <w:lang w:eastAsia="zh-CN"/>
              </w:rPr>
              <w:t>）甲方有权对乙方履行本合同的情况随时进行跟踪、监管与综合评定，如出现违反本合同约定及无法达到甲方合同目的的行为，甲方有权解除合同并不承担任何责任</w:t>
            </w:r>
          </w:p>
          <w:p w14:paraId="19B3F3BA">
            <w:pPr>
              <w:snapToGrid w:val="0"/>
              <w:jc w:val="left"/>
              <w:rPr>
                <w:rFonts w:hint="eastAsia" w:ascii="宋体" w:hAnsi="宋体"/>
                <w:color w:val="auto"/>
                <w:szCs w:val="21"/>
                <w:highlight w:val="none"/>
                <w:u w:val="single"/>
              </w:rPr>
            </w:pPr>
            <w:r>
              <w:rPr>
                <w:rFonts w:hint="eastAsia" w:ascii="宋体" w:hAnsi="宋体" w:eastAsia="宋体" w:cs="Times New Roman"/>
                <w:strike w:val="0"/>
                <w:dstrike w:val="0"/>
                <w:color w:val="auto"/>
                <w:szCs w:val="21"/>
                <w:highlight w:val="none"/>
                <w:lang w:eastAsia="zh-CN"/>
              </w:rPr>
              <w:t>（</w:t>
            </w:r>
            <w:r>
              <w:rPr>
                <w:rFonts w:hint="eastAsia" w:ascii="宋体" w:hAnsi="宋体" w:eastAsia="宋体" w:cs="Times New Roman"/>
                <w:strike w:val="0"/>
                <w:dstrike w:val="0"/>
                <w:color w:val="auto"/>
                <w:szCs w:val="21"/>
                <w:highlight w:val="none"/>
                <w:lang w:val="en-US" w:eastAsia="zh-CN"/>
              </w:rPr>
              <w:t>7</w:t>
            </w:r>
            <w:r>
              <w:rPr>
                <w:rFonts w:hint="eastAsia" w:ascii="宋体" w:hAnsi="宋体" w:eastAsia="宋体" w:cs="Times New Roman"/>
                <w:strike w:val="0"/>
                <w:dstrike w:val="0"/>
                <w:color w:val="auto"/>
                <w:szCs w:val="21"/>
                <w:highlight w:val="none"/>
                <w:lang w:eastAsia="zh-CN"/>
              </w:rPr>
              <w:t>）对于因甲方行使解除权而解除合同时，本合同其他条款有约定的，按约定执行，本合同其他条款无约定的，则在解除协议时，同时可以要求乙方支付合同总额20%的违约金，并赔偿甲方由此造成的损失。</w:t>
            </w:r>
          </w:p>
        </w:tc>
      </w:tr>
      <w:tr w14:paraId="77169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833DE2">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8BC8059">
            <w:pPr>
              <w:snapToGrid w:val="0"/>
              <w:jc w:val="center"/>
              <w:rPr>
                <w:rFonts w:hint="eastAsia"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BE017C1">
            <w:pPr>
              <w:snapToGrid w:val="0"/>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68655D59">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u w:val="single"/>
                <w:lang w:eastAsia="zh-CN"/>
              </w:rPr>
              <w:t>（</w:t>
            </w:r>
            <w:r>
              <w:rPr>
                <w:rFonts w:hint="eastAsia" w:ascii="宋体" w:hAnsi="宋体" w:cs="宋体"/>
                <w:iCs/>
                <w:color w:val="auto"/>
                <w:szCs w:val="21"/>
                <w:highlight w:val="none"/>
                <w:u w:val="single"/>
                <w:lang w:val="en-US" w:eastAsia="zh-CN"/>
              </w:rPr>
              <w:t>2</w:t>
            </w:r>
            <w:r>
              <w:rPr>
                <w:rFonts w:hint="eastAsia" w:ascii="宋体" w:hAnsi="宋体" w:cs="宋体"/>
                <w:iCs/>
                <w:color w:val="auto"/>
                <w:szCs w:val="21"/>
                <w:highlight w:val="none"/>
                <w:u w:val="single"/>
                <w:lang w:eastAsia="zh-CN"/>
              </w:rPr>
              <w:t>）</w:t>
            </w:r>
            <w:r>
              <w:rPr>
                <w:rFonts w:hint="eastAsia" w:ascii="宋体" w:hAnsi="宋体" w:cs="宋体"/>
                <w:iCs/>
                <w:color w:val="auto"/>
                <w:szCs w:val="21"/>
                <w:highlight w:val="none"/>
              </w:rPr>
              <w:t>种方式解决：</w:t>
            </w:r>
          </w:p>
          <w:p w14:paraId="6D22065A">
            <w:pPr>
              <w:autoSpaceDE w:val="0"/>
              <w:autoSpaceDN w:val="0"/>
              <w:snapToGrid w:val="0"/>
              <w:spacing w:line="400" w:lineRule="exact"/>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合同履行地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0DF66679">
            <w:pPr>
              <w:snapToGrid w:val="0"/>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u w:val="single"/>
                <w:lang w:val="en-US" w:eastAsia="zh-CN"/>
              </w:rPr>
              <w:t>甲方所在地</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29872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B020134">
            <w:pPr>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D32980F">
            <w:pPr>
              <w:snapToGrid w:val="0"/>
              <w:jc w:val="center"/>
              <w:rPr>
                <w:rFonts w:hint="eastAsia"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44FDD054">
            <w:pPr>
              <w:snapToGrid w:val="0"/>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710132DE">
            <w:pPr>
              <w:snapToGrid w:val="0"/>
              <w:jc w:val="left"/>
              <w:rPr>
                <w:rFonts w:hint="eastAsia" w:ascii="宋体" w:hAnsi="宋体"/>
                <w:color w:val="auto"/>
                <w:szCs w:val="21"/>
                <w:highlight w:val="none"/>
              </w:rPr>
            </w:pPr>
            <w:r>
              <w:rPr>
                <w:rFonts w:hint="eastAsia" w:ascii="宋体" w:hAnsi="宋体"/>
                <w:color w:val="auto"/>
                <w:szCs w:val="21"/>
                <w:highlight w:val="none"/>
              </w:rPr>
              <w:t>/</w:t>
            </w:r>
          </w:p>
        </w:tc>
      </w:tr>
    </w:tbl>
    <w:p w14:paraId="47173666">
      <w:pPr>
        <w:rPr>
          <w:color w:val="auto"/>
          <w:highlight w:val="none"/>
        </w:rPr>
      </w:pPr>
    </w:p>
    <w:p w14:paraId="01364091">
      <w:pPr>
        <w:rPr>
          <w:color w:val="auto"/>
          <w:highlight w:val="none"/>
        </w:rPr>
      </w:pPr>
    </w:p>
    <w:p w14:paraId="03005881">
      <w:pPr>
        <w:rPr>
          <w:color w:val="auto"/>
          <w:highlight w:val="none"/>
        </w:rPr>
      </w:pPr>
    </w:p>
    <w:p w14:paraId="2FC8935B">
      <w:pPr>
        <w:pStyle w:val="83"/>
        <w:ind w:firstLine="562"/>
        <w:rPr>
          <w:rFonts w:ascii="宋体" w:hAnsi="宋体" w:cs="宋体"/>
          <w:b/>
          <w:color w:val="auto"/>
          <w:sz w:val="28"/>
          <w:szCs w:val="28"/>
          <w:highlight w:val="none"/>
        </w:rPr>
      </w:pPr>
    </w:p>
    <w:p w14:paraId="0FC5EED2">
      <w:pPr>
        <w:pStyle w:val="3"/>
        <w:ind w:left="0" w:firstLine="0"/>
        <w:rPr>
          <w:color w:val="auto"/>
          <w:highlight w:val="none"/>
        </w:rPr>
      </w:pPr>
    </w:p>
    <w:p w14:paraId="15C218D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557CA3">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hint="eastAsia" w:ascii="宋体" w:hAnsi="宋体" w:cs="宋体"/>
          <w:b/>
          <w:color w:val="auto"/>
          <w:kern w:val="0"/>
          <w:sz w:val="36"/>
          <w:szCs w:val="36"/>
          <w:highlight w:val="none"/>
        </w:rPr>
      </w:pPr>
    </w:p>
    <w:p w14:paraId="337F155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hint="eastAsia" w:ascii="宋体" w:hAnsi="宋体" w:cs="宋体"/>
          <w:b/>
          <w:color w:val="auto"/>
          <w:kern w:val="0"/>
          <w:sz w:val="36"/>
          <w:szCs w:val="36"/>
          <w:highlight w:val="none"/>
        </w:rPr>
      </w:pPr>
    </w:p>
    <w:p w14:paraId="2810B2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hint="eastAsia" w:ascii="宋体" w:hAnsi="宋体" w:cs="宋体"/>
          <w:color w:val="auto"/>
          <w:sz w:val="24"/>
          <w:highlight w:val="none"/>
        </w:rPr>
      </w:pPr>
    </w:p>
    <w:p w14:paraId="4C9CD2D1">
      <w:pPr>
        <w:spacing w:line="360" w:lineRule="auto"/>
        <w:ind w:firstLine="480" w:firstLineChars="200"/>
        <w:rPr>
          <w:rFonts w:hint="eastAsia" w:ascii="宋体" w:hAnsi="宋体" w:cs="宋体"/>
          <w:color w:val="auto"/>
          <w:sz w:val="24"/>
          <w:highlight w:val="none"/>
        </w:rPr>
      </w:pPr>
    </w:p>
    <w:p w14:paraId="01DA84B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杭州市西湖区图书馆 、浙江省成套招标代理有限公司：</w:t>
      </w:r>
    </w:p>
    <w:p w14:paraId="3A8C97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我方参与杭州市西湖区图书馆采购智慧书架视觉盘点系统项目【招标编号：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8E377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A97B7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E84D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72446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6CC65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D25C1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rPr>
        <w:tab/>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hint="eastAsia" w:ascii="宋体" w:hAnsi="宋体" w:cs="宋体"/>
          <w:b/>
          <w:color w:val="auto"/>
          <w:kern w:val="0"/>
          <w:sz w:val="32"/>
          <w:szCs w:val="32"/>
          <w:highlight w:val="none"/>
        </w:rPr>
      </w:pPr>
    </w:p>
    <w:p w14:paraId="48FD2479">
      <w:pPr>
        <w:snapToGrid w:val="0"/>
        <w:spacing w:line="360" w:lineRule="auto"/>
        <w:ind w:right="480"/>
        <w:jc w:val="center"/>
        <w:rPr>
          <w:rFonts w:hint="eastAsia" w:ascii="宋体" w:hAnsi="宋体" w:cs="宋体"/>
          <w:b/>
          <w:color w:val="auto"/>
          <w:kern w:val="0"/>
          <w:sz w:val="32"/>
          <w:szCs w:val="32"/>
          <w:highlight w:val="none"/>
        </w:rPr>
      </w:pPr>
    </w:p>
    <w:p w14:paraId="47E9DCF4">
      <w:pPr>
        <w:snapToGrid w:val="0"/>
        <w:spacing w:line="360" w:lineRule="auto"/>
        <w:ind w:right="480"/>
        <w:jc w:val="center"/>
        <w:rPr>
          <w:rFonts w:hint="eastAsia" w:ascii="宋体" w:hAnsi="宋体" w:cs="宋体"/>
          <w:b/>
          <w:color w:val="auto"/>
          <w:kern w:val="0"/>
          <w:sz w:val="32"/>
          <w:szCs w:val="32"/>
          <w:highlight w:val="none"/>
        </w:rPr>
      </w:pPr>
    </w:p>
    <w:p w14:paraId="4DB97273">
      <w:pPr>
        <w:rPr>
          <w:rFonts w:hint="eastAsia" w:ascii="宋体" w:hAnsi="宋体" w:cs="宋体"/>
          <w:color w:val="auto"/>
          <w:highlight w:val="none"/>
        </w:rPr>
      </w:pPr>
    </w:p>
    <w:p w14:paraId="11281A90">
      <w:pPr>
        <w:snapToGrid w:val="0"/>
        <w:spacing w:line="360" w:lineRule="auto"/>
        <w:ind w:right="480"/>
        <w:jc w:val="center"/>
        <w:rPr>
          <w:rFonts w:hint="eastAsia" w:ascii="宋体" w:hAnsi="宋体" w:cs="宋体"/>
          <w:b/>
          <w:color w:val="auto"/>
          <w:kern w:val="0"/>
          <w:sz w:val="32"/>
          <w:szCs w:val="32"/>
          <w:highlight w:val="none"/>
        </w:rPr>
      </w:pPr>
    </w:p>
    <w:p w14:paraId="03E7DE35">
      <w:pPr>
        <w:snapToGrid w:val="0"/>
        <w:spacing w:line="360" w:lineRule="auto"/>
        <w:ind w:right="480"/>
        <w:jc w:val="center"/>
        <w:rPr>
          <w:rFonts w:hint="eastAsia" w:ascii="宋体" w:hAnsi="宋体" w:cs="宋体"/>
          <w:b/>
          <w:color w:val="auto"/>
          <w:kern w:val="0"/>
          <w:sz w:val="32"/>
          <w:szCs w:val="32"/>
          <w:highlight w:val="none"/>
        </w:rPr>
      </w:pPr>
    </w:p>
    <w:p w14:paraId="7AD8B22C">
      <w:pPr>
        <w:widowControl/>
        <w:spacing w:line="360" w:lineRule="auto"/>
        <w:rPr>
          <w:rFonts w:hint="eastAsia" w:ascii="宋体" w:hAnsi="宋体" w:cs="宋体"/>
          <w:b/>
          <w:color w:val="auto"/>
          <w:kern w:val="0"/>
          <w:sz w:val="32"/>
          <w:szCs w:val="32"/>
          <w:highlight w:val="none"/>
        </w:rPr>
      </w:pPr>
    </w:p>
    <w:p w14:paraId="150657D3">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hint="eastAsia" w:ascii="宋体" w:hAnsi="宋体" w:cs="宋体"/>
          <w:b/>
          <w:color w:val="auto"/>
          <w:kern w:val="0"/>
          <w:sz w:val="32"/>
          <w:szCs w:val="32"/>
          <w:highlight w:val="none"/>
        </w:rPr>
      </w:pPr>
    </w:p>
    <w:p w14:paraId="6A2A65FA">
      <w:pPr>
        <w:snapToGrid w:val="0"/>
        <w:spacing w:line="360" w:lineRule="auto"/>
        <w:ind w:right="480"/>
        <w:jc w:val="center"/>
        <w:rPr>
          <w:rFonts w:hint="eastAsia" w:ascii="宋体" w:hAnsi="宋体" w:cs="宋体"/>
          <w:b/>
          <w:color w:val="auto"/>
          <w:kern w:val="0"/>
          <w:sz w:val="32"/>
          <w:szCs w:val="32"/>
          <w:highlight w:val="none"/>
        </w:rPr>
      </w:pPr>
    </w:p>
    <w:p w14:paraId="206E758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hint="eastAsia" w:ascii="宋体" w:hAnsi="宋体" w:cs="宋体"/>
          <w:color w:val="auto"/>
          <w:sz w:val="24"/>
          <w:highlight w:val="none"/>
        </w:rPr>
      </w:pPr>
    </w:p>
    <w:p w14:paraId="69195E0F">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hint="eastAsia" w:ascii="宋体" w:hAnsi="宋体" w:cs="宋体"/>
          <w:b/>
          <w:color w:val="auto"/>
          <w:kern w:val="0"/>
          <w:sz w:val="32"/>
          <w:szCs w:val="32"/>
          <w:highlight w:val="none"/>
        </w:rPr>
      </w:pPr>
    </w:p>
    <w:p w14:paraId="28D6739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hint="eastAsia" w:ascii="宋体" w:hAnsi="宋体" w:cs="宋体"/>
          <w:color w:val="auto"/>
          <w:highlight w:val="none"/>
        </w:rPr>
      </w:pPr>
    </w:p>
    <w:p w14:paraId="0A3DB9EB">
      <w:pPr>
        <w:widowControl/>
        <w:spacing w:line="360" w:lineRule="auto"/>
        <w:ind w:left="150"/>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hint="eastAsia"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hint="eastAsia" w:ascii="宋体" w:hAnsi="宋体" w:cs="宋体"/>
          <w:b/>
          <w:color w:val="auto"/>
          <w:kern w:val="0"/>
          <w:sz w:val="32"/>
          <w:szCs w:val="32"/>
          <w:highlight w:val="none"/>
          <w:lang w:val="zh-CN"/>
        </w:rPr>
      </w:pPr>
    </w:p>
    <w:p w14:paraId="376949BE">
      <w:pPr>
        <w:snapToGrid w:val="0"/>
        <w:spacing w:line="360" w:lineRule="auto"/>
        <w:jc w:val="center"/>
        <w:rPr>
          <w:rFonts w:hint="eastAsia" w:ascii="宋体" w:hAnsi="宋体" w:cs="宋体"/>
          <w:b/>
          <w:color w:val="auto"/>
          <w:kern w:val="0"/>
          <w:sz w:val="32"/>
          <w:szCs w:val="32"/>
          <w:highlight w:val="none"/>
          <w:lang w:val="zh-CN"/>
        </w:rPr>
      </w:pPr>
    </w:p>
    <w:p w14:paraId="16A8A025">
      <w:pPr>
        <w:snapToGrid w:val="0"/>
        <w:spacing w:line="360" w:lineRule="auto"/>
        <w:jc w:val="center"/>
        <w:rPr>
          <w:rFonts w:hint="eastAsia" w:ascii="宋体" w:hAnsi="宋体" w:cs="宋体"/>
          <w:b/>
          <w:color w:val="auto"/>
          <w:kern w:val="0"/>
          <w:sz w:val="32"/>
          <w:szCs w:val="32"/>
          <w:highlight w:val="none"/>
          <w:lang w:val="zh-CN"/>
        </w:rPr>
      </w:pPr>
    </w:p>
    <w:p w14:paraId="7686895D">
      <w:pPr>
        <w:snapToGrid w:val="0"/>
        <w:spacing w:line="360" w:lineRule="auto"/>
        <w:jc w:val="center"/>
        <w:rPr>
          <w:rFonts w:hint="eastAsia" w:ascii="宋体" w:hAnsi="宋体" w:cs="宋体"/>
          <w:b/>
          <w:color w:val="auto"/>
          <w:kern w:val="0"/>
          <w:sz w:val="32"/>
          <w:szCs w:val="32"/>
          <w:highlight w:val="none"/>
          <w:lang w:val="zh-CN"/>
        </w:rPr>
      </w:pPr>
    </w:p>
    <w:p w14:paraId="24CEEE3C">
      <w:pPr>
        <w:snapToGrid w:val="0"/>
        <w:spacing w:line="360" w:lineRule="auto"/>
        <w:jc w:val="center"/>
        <w:rPr>
          <w:rFonts w:hint="eastAsia" w:ascii="宋体" w:hAnsi="宋体" w:cs="宋体"/>
          <w:b/>
          <w:color w:val="auto"/>
          <w:kern w:val="0"/>
          <w:sz w:val="32"/>
          <w:szCs w:val="32"/>
          <w:highlight w:val="none"/>
          <w:lang w:val="zh-CN"/>
        </w:rPr>
      </w:pPr>
    </w:p>
    <w:p w14:paraId="6B3D7C0F">
      <w:pPr>
        <w:snapToGrid w:val="0"/>
        <w:spacing w:line="360" w:lineRule="auto"/>
        <w:jc w:val="center"/>
        <w:outlineLvl w:val="0"/>
        <w:rPr>
          <w:rFonts w:hint="eastAsia" w:ascii="宋体" w:hAnsi="宋体" w:cs="宋体"/>
          <w:b/>
          <w:color w:val="auto"/>
          <w:kern w:val="0"/>
          <w:sz w:val="32"/>
          <w:szCs w:val="32"/>
          <w:highlight w:val="none"/>
        </w:rPr>
      </w:pPr>
    </w:p>
    <w:p w14:paraId="44044887">
      <w:pPr>
        <w:snapToGrid w:val="0"/>
        <w:spacing w:line="360" w:lineRule="auto"/>
        <w:jc w:val="center"/>
        <w:outlineLvl w:val="0"/>
        <w:rPr>
          <w:rFonts w:hint="eastAsia" w:ascii="宋体" w:hAnsi="宋体" w:cs="宋体"/>
          <w:b/>
          <w:color w:val="auto"/>
          <w:kern w:val="0"/>
          <w:sz w:val="32"/>
          <w:szCs w:val="32"/>
          <w:highlight w:val="none"/>
        </w:rPr>
      </w:pPr>
    </w:p>
    <w:p w14:paraId="3EEF05A1">
      <w:pPr>
        <w:rPr>
          <w:rFonts w:hint="eastAsia" w:ascii="宋体" w:hAnsi="宋体" w:cs="宋体"/>
          <w:color w:val="auto"/>
          <w:highlight w:val="none"/>
        </w:rPr>
      </w:pPr>
    </w:p>
    <w:p w14:paraId="1B0B4707">
      <w:pPr>
        <w:snapToGrid w:val="0"/>
        <w:spacing w:line="360" w:lineRule="auto"/>
        <w:jc w:val="center"/>
        <w:outlineLvl w:val="0"/>
        <w:rPr>
          <w:rFonts w:hint="eastAsia" w:ascii="宋体" w:hAnsi="宋体" w:cs="宋体"/>
          <w:b/>
          <w:color w:val="auto"/>
          <w:kern w:val="0"/>
          <w:sz w:val="32"/>
          <w:szCs w:val="32"/>
          <w:highlight w:val="none"/>
        </w:rPr>
      </w:pPr>
    </w:p>
    <w:p w14:paraId="7FDCC732">
      <w:pPr>
        <w:snapToGrid w:val="0"/>
        <w:spacing w:line="360" w:lineRule="auto"/>
        <w:jc w:val="center"/>
        <w:outlineLvl w:val="0"/>
        <w:rPr>
          <w:rFonts w:hint="eastAsia" w:ascii="宋体" w:hAnsi="宋体" w:cs="宋体"/>
          <w:b/>
          <w:color w:val="auto"/>
          <w:kern w:val="0"/>
          <w:sz w:val="32"/>
          <w:szCs w:val="32"/>
          <w:highlight w:val="none"/>
        </w:rPr>
      </w:pPr>
    </w:p>
    <w:p w14:paraId="1466F7D6">
      <w:pPr>
        <w:pStyle w:val="3"/>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hint="eastAsia" w:ascii="宋体" w:hAnsi="宋体" w:cs="宋体"/>
          <w:b/>
          <w:color w:val="auto"/>
          <w:kern w:val="0"/>
          <w:sz w:val="32"/>
          <w:szCs w:val="32"/>
          <w:highlight w:val="none"/>
        </w:rPr>
      </w:pPr>
    </w:p>
    <w:p w14:paraId="35B4170C">
      <w:pPr>
        <w:snapToGrid w:val="0"/>
        <w:spacing w:line="360" w:lineRule="auto"/>
        <w:ind w:firstLine="3855" w:firstLineChars="1200"/>
        <w:outlineLvl w:val="0"/>
        <w:rPr>
          <w:rFonts w:hint="eastAsia" w:ascii="宋体" w:hAnsi="宋体" w:cs="宋体"/>
          <w:b/>
          <w:color w:val="auto"/>
          <w:kern w:val="0"/>
          <w:sz w:val="32"/>
          <w:szCs w:val="32"/>
          <w:highlight w:val="none"/>
        </w:rPr>
      </w:pPr>
    </w:p>
    <w:p w14:paraId="2B8311E3">
      <w:pPr>
        <w:snapToGrid w:val="0"/>
        <w:spacing w:line="360" w:lineRule="auto"/>
        <w:ind w:firstLine="3855" w:firstLineChars="1200"/>
        <w:outlineLvl w:val="0"/>
        <w:rPr>
          <w:rFonts w:hint="eastAsia" w:ascii="宋体" w:hAnsi="宋体" w:cs="宋体"/>
          <w:b/>
          <w:color w:val="auto"/>
          <w:kern w:val="0"/>
          <w:sz w:val="32"/>
          <w:szCs w:val="32"/>
          <w:highlight w:val="none"/>
        </w:rPr>
      </w:pPr>
    </w:p>
    <w:p w14:paraId="30D4473E">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杭州市西湖区图书馆 、浙江省成套招标代理有限公司：</w:t>
      </w:r>
    </w:p>
    <w:p w14:paraId="741361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我方参加你方组织的杭州市西湖区图书馆采购智慧书架视觉盘点系统项目【招标编号：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33DCE3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br w:type="textWrapping"/>
      </w:r>
      <w:r>
        <w:rPr>
          <w:rFonts w:hint="eastAsia" w:ascii="宋体" w:hAnsi="宋体" w:cs="宋体"/>
          <w:snapToGrid w:val="0"/>
          <w:color w:val="auto"/>
          <w:kern w:val="28"/>
          <w:sz w:val="24"/>
          <w:szCs w:val="20"/>
          <w:highlight w:val="none"/>
        </w:rPr>
        <w:tab/>
      </w:r>
      <w:r>
        <w:rPr>
          <w:rFonts w:hint="eastAsia" w:ascii="宋体" w:hAnsi="宋体" w:cs="宋体"/>
          <w:snapToGrid w:val="0"/>
          <w:color w:val="auto"/>
          <w:kern w:val="28"/>
          <w:sz w:val="24"/>
          <w:szCs w:val="20"/>
          <w:highlight w:val="none"/>
        </w:rPr>
        <w:t>2.1.5</w:t>
      </w:r>
      <w:r>
        <w:rPr>
          <w:rFonts w:hint="eastAsia" w:ascii="宋体" w:hAnsi="宋体" w:cs="宋体"/>
          <w:color w:val="auto"/>
          <w:sz w:val="24"/>
          <w:highlight w:val="none"/>
        </w:rPr>
        <w:t>相关证明材料（如有）。</w:t>
      </w:r>
    </w:p>
    <w:p w14:paraId="435562D6">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00820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A73682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7CB7B18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43FA2B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eastAsia="华文楷体"/>
          <w:color w:val="auto"/>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5705C50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hint="eastAsia" w:ascii="宋体" w:hAnsi="宋体" w:cs="宋体"/>
          <w:b/>
          <w:color w:val="auto"/>
          <w:kern w:val="0"/>
          <w:sz w:val="32"/>
          <w:szCs w:val="32"/>
          <w:highlight w:val="none"/>
        </w:rPr>
      </w:pPr>
    </w:p>
    <w:p w14:paraId="7D910242">
      <w:pPr>
        <w:snapToGrid w:val="0"/>
        <w:spacing w:line="360" w:lineRule="auto"/>
        <w:rPr>
          <w:rFonts w:hint="eastAsia" w:ascii="宋体" w:hAnsi="宋体" w:cs="宋体"/>
          <w:color w:val="auto"/>
          <w:sz w:val="24"/>
          <w:highlight w:val="none"/>
        </w:rPr>
      </w:pPr>
    </w:p>
    <w:p w14:paraId="07620917">
      <w:pPr>
        <w:jc w:val="center"/>
        <w:rPr>
          <w:rFonts w:hint="eastAsia" w:ascii="宋体" w:hAnsi="宋体" w:cs="宋体"/>
          <w:b/>
          <w:color w:val="auto"/>
          <w:kern w:val="0"/>
          <w:sz w:val="32"/>
          <w:szCs w:val="32"/>
          <w:highlight w:val="none"/>
        </w:rPr>
      </w:pPr>
    </w:p>
    <w:p w14:paraId="25EB5632">
      <w:pPr>
        <w:jc w:val="center"/>
        <w:rPr>
          <w:rFonts w:hint="eastAsia" w:ascii="宋体" w:hAnsi="宋体" w:cs="宋体"/>
          <w:b/>
          <w:color w:val="auto"/>
          <w:kern w:val="0"/>
          <w:sz w:val="32"/>
          <w:szCs w:val="32"/>
          <w:highlight w:val="none"/>
        </w:rPr>
      </w:pPr>
    </w:p>
    <w:p w14:paraId="14D78100">
      <w:pPr>
        <w:jc w:val="center"/>
        <w:rPr>
          <w:rFonts w:hint="eastAsia" w:ascii="宋体" w:hAnsi="宋体" w:cs="宋体"/>
          <w:b/>
          <w:color w:val="auto"/>
          <w:kern w:val="0"/>
          <w:sz w:val="32"/>
          <w:szCs w:val="32"/>
          <w:highlight w:val="none"/>
        </w:rPr>
      </w:pPr>
    </w:p>
    <w:p w14:paraId="60A578D1">
      <w:pPr>
        <w:jc w:val="center"/>
        <w:rPr>
          <w:rFonts w:hint="eastAsia" w:ascii="宋体" w:hAnsi="宋体" w:cs="宋体"/>
          <w:b/>
          <w:color w:val="auto"/>
          <w:kern w:val="0"/>
          <w:sz w:val="32"/>
          <w:szCs w:val="32"/>
          <w:highlight w:val="none"/>
        </w:rPr>
      </w:pPr>
    </w:p>
    <w:p w14:paraId="42FCC18C">
      <w:pPr>
        <w:jc w:val="center"/>
        <w:rPr>
          <w:rFonts w:hint="eastAsia" w:ascii="宋体" w:hAnsi="宋体" w:cs="宋体"/>
          <w:b/>
          <w:color w:val="auto"/>
          <w:kern w:val="0"/>
          <w:sz w:val="32"/>
          <w:szCs w:val="32"/>
          <w:highlight w:val="none"/>
        </w:rPr>
      </w:pPr>
    </w:p>
    <w:p w14:paraId="4D4EEAC8">
      <w:pPr>
        <w:jc w:val="center"/>
        <w:rPr>
          <w:rFonts w:hint="eastAsia" w:ascii="宋体" w:hAnsi="宋体" w:cs="宋体"/>
          <w:b/>
          <w:color w:val="auto"/>
          <w:kern w:val="0"/>
          <w:sz w:val="32"/>
          <w:szCs w:val="32"/>
          <w:highlight w:val="none"/>
        </w:rPr>
      </w:pPr>
    </w:p>
    <w:p w14:paraId="58816216">
      <w:pPr>
        <w:jc w:val="center"/>
        <w:rPr>
          <w:rFonts w:hint="eastAsia" w:ascii="宋体" w:hAnsi="宋体" w:cs="宋体"/>
          <w:b/>
          <w:color w:val="auto"/>
          <w:kern w:val="0"/>
          <w:sz w:val="32"/>
          <w:szCs w:val="32"/>
          <w:highlight w:val="none"/>
        </w:rPr>
      </w:pPr>
    </w:p>
    <w:p w14:paraId="59AEF48F">
      <w:pPr>
        <w:jc w:val="center"/>
        <w:rPr>
          <w:rFonts w:hint="eastAsia" w:ascii="宋体" w:hAnsi="宋体" w:cs="宋体"/>
          <w:b/>
          <w:color w:val="auto"/>
          <w:kern w:val="0"/>
          <w:sz w:val="32"/>
          <w:szCs w:val="32"/>
          <w:highlight w:val="none"/>
        </w:rPr>
      </w:pPr>
    </w:p>
    <w:p w14:paraId="4800AE19">
      <w:pPr>
        <w:jc w:val="center"/>
        <w:rPr>
          <w:rFonts w:hint="eastAsia" w:ascii="宋体" w:hAnsi="宋体" w:cs="宋体"/>
          <w:b/>
          <w:color w:val="auto"/>
          <w:kern w:val="0"/>
          <w:sz w:val="32"/>
          <w:szCs w:val="32"/>
          <w:highlight w:val="none"/>
        </w:rPr>
      </w:pPr>
    </w:p>
    <w:p w14:paraId="433A6AA9">
      <w:pPr>
        <w:jc w:val="center"/>
        <w:rPr>
          <w:rFonts w:hint="eastAsia" w:ascii="宋体" w:hAnsi="宋体" w:cs="宋体"/>
          <w:b/>
          <w:color w:val="auto"/>
          <w:kern w:val="0"/>
          <w:sz w:val="32"/>
          <w:szCs w:val="32"/>
          <w:highlight w:val="none"/>
        </w:rPr>
      </w:pPr>
    </w:p>
    <w:p w14:paraId="5E3364CF">
      <w:pPr>
        <w:jc w:val="center"/>
        <w:rPr>
          <w:rFonts w:hint="eastAsia" w:ascii="宋体" w:hAnsi="宋体" w:cs="宋体"/>
          <w:b/>
          <w:color w:val="auto"/>
          <w:kern w:val="0"/>
          <w:sz w:val="32"/>
          <w:szCs w:val="32"/>
          <w:highlight w:val="none"/>
        </w:rPr>
      </w:pPr>
    </w:p>
    <w:p w14:paraId="6944C69B">
      <w:pPr>
        <w:jc w:val="center"/>
        <w:rPr>
          <w:rFonts w:hint="eastAsia" w:ascii="宋体" w:hAnsi="宋体" w:cs="宋体"/>
          <w:b/>
          <w:color w:val="auto"/>
          <w:kern w:val="0"/>
          <w:sz w:val="32"/>
          <w:szCs w:val="32"/>
          <w:highlight w:val="none"/>
        </w:rPr>
      </w:pPr>
    </w:p>
    <w:p w14:paraId="0AAB48B7">
      <w:pPr>
        <w:jc w:val="center"/>
        <w:rPr>
          <w:rFonts w:hint="eastAsia" w:ascii="宋体" w:hAnsi="宋体" w:cs="宋体"/>
          <w:b/>
          <w:color w:val="auto"/>
          <w:kern w:val="0"/>
          <w:sz w:val="32"/>
          <w:szCs w:val="32"/>
          <w:highlight w:val="none"/>
        </w:rPr>
      </w:pPr>
    </w:p>
    <w:p w14:paraId="04E0C92B">
      <w:pPr>
        <w:jc w:val="center"/>
        <w:rPr>
          <w:rFonts w:hint="eastAsia" w:ascii="宋体" w:hAnsi="宋体" w:cs="宋体"/>
          <w:b/>
          <w:color w:val="auto"/>
          <w:kern w:val="0"/>
          <w:sz w:val="32"/>
          <w:szCs w:val="32"/>
          <w:highlight w:val="none"/>
        </w:rPr>
      </w:pPr>
    </w:p>
    <w:p w14:paraId="57A1A56A">
      <w:pPr>
        <w:jc w:val="center"/>
        <w:rPr>
          <w:rFonts w:hint="eastAsia" w:ascii="宋体" w:hAnsi="宋体" w:cs="宋体"/>
          <w:b/>
          <w:color w:val="auto"/>
          <w:kern w:val="0"/>
          <w:sz w:val="32"/>
          <w:szCs w:val="32"/>
          <w:highlight w:val="none"/>
        </w:rPr>
      </w:pPr>
    </w:p>
    <w:p w14:paraId="1D5DEDD5">
      <w:pPr>
        <w:jc w:val="center"/>
        <w:rPr>
          <w:rFonts w:hint="eastAsia" w:ascii="宋体" w:hAnsi="宋体" w:cs="宋体"/>
          <w:b/>
          <w:color w:val="auto"/>
          <w:kern w:val="0"/>
          <w:sz w:val="32"/>
          <w:szCs w:val="32"/>
          <w:highlight w:val="none"/>
        </w:rPr>
      </w:pPr>
    </w:p>
    <w:p w14:paraId="1CE2A199">
      <w:pPr>
        <w:jc w:val="center"/>
        <w:rPr>
          <w:rFonts w:hint="eastAsia" w:ascii="宋体" w:hAnsi="宋体" w:cs="宋体"/>
          <w:b/>
          <w:color w:val="auto"/>
          <w:kern w:val="0"/>
          <w:sz w:val="32"/>
          <w:szCs w:val="32"/>
          <w:highlight w:val="none"/>
        </w:rPr>
      </w:pPr>
    </w:p>
    <w:p w14:paraId="7EAB73AD">
      <w:pPr>
        <w:jc w:val="center"/>
        <w:rPr>
          <w:rFonts w:hint="eastAsia" w:ascii="宋体" w:hAnsi="宋体" w:cs="宋体"/>
          <w:b/>
          <w:color w:val="auto"/>
          <w:kern w:val="0"/>
          <w:sz w:val="32"/>
          <w:szCs w:val="32"/>
          <w:highlight w:val="none"/>
        </w:rPr>
      </w:pPr>
    </w:p>
    <w:p w14:paraId="021CBDC2">
      <w:pPr>
        <w:jc w:val="center"/>
        <w:rPr>
          <w:rFonts w:hint="eastAsia" w:ascii="宋体" w:hAnsi="宋体" w:cs="宋体"/>
          <w:b/>
          <w:color w:val="auto"/>
          <w:kern w:val="0"/>
          <w:sz w:val="32"/>
          <w:szCs w:val="32"/>
          <w:highlight w:val="none"/>
        </w:rPr>
      </w:pPr>
    </w:p>
    <w:p w14:paraId="744D2BCB">
      <w:pPr>
        <w:widowControl/>
        <w:adjustRightInd/>
        <w:jc w:val="left"/>
        <w:rPr>
          <w:rFonts w:hint="eastAsia" w:ascii="宋体" w:hAnsi="宋体" w:cs="宋体"/>
          <w:b/>
          <w:color w:val="auto"/>
          <w:kern w:val="0"/>
          <w:sz w:val="32"/>
          <w:szCs w:val="32"/>
          <w:highlight w:val="none"/>
        </w:rPr>
      </w:pPr>
    </w:p>
    <w:p w14:paraId="65FEF2AD">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杭州市西湖区图书馆 、浙江省成套招标代理有限公司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杭州市西湖区图书馆采购智慧书架视觉盘点系统项目【招标编号：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hint="eastAsia" w:ascii="宋体" w:hAnsi="宋体" w:cs="宋体"/>
          <w:color w:val="auto"/>
          <w:sz w:val="24"/>
          <w:highlight w:val="none"/>
        </w:rPr>
      </w:pPr>
    </w:p>
    <w:p w14:paraId="08EE030A">
      <w:pPr>
        <w:snapToGrid w:val="0"/>
        <w:spacing w:line="360" w:lineRule="auto"/>
        <w:rPr>
          <w:rFonts w:hint="eastAsia" w:ascii="宋体" w:hAnsi="宋体" w:cs="宋体"/>
          <w:color w:val="auto"/>
          <w:sz w:val="24"/>
          <w:highlight w:val="none"/>
        </w:rPr>
      </w:pPr>
    </w:p>
    <w:p w14:paraId="174177D2">
      <w:pPr>
        <w:snapToGrid w:val="0"/>
        <w:spacing w:line="360" w:lineRule="auto"/>
        <w:rPr>
          <w:rFonts w:hint="eastAsia" w:ascii="宋体" w:hAnsi="宋体" w:cs="宋体"/>
          <w:color w:val="auto"/>
          <w:sz w:val="24"/>
          <w:highlight w:val="none"/>
        </w:rPr>
      </w:pPr>
    </w:p>
    <w:p w14:paraId="21DEAA6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杭州市西湖区图书馆 、浙江省成套招标代理有限公司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杭州市西湖区图书馆采购智慧书架视觉盘点系统项目【招标编号：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hint="eastAsia" w:ascii="宋体" w:hAnsi="宋体" w:cs="宋体"/>
          <w:b/>
          <w:color w:val="auto"/>
          <w:kern w:val="0"/>
          <w:sz w:val="32"/>
          <w:szCs w:val="32"/>
          <w:highlight w:val="none"/>
        </w:rPr>
      </w:pPr>
    </w:p>
    <w:p w14:paraId="2D481BF8">
      <w:pPr>
        <w:jc w:val="center"/>
        <w:rPr>
          <w:rFonts w:hint="eastAsia" w:ascii="宋体" w:hAnsi="宋体" w:cs="宋体"/>
          <w:b/>
          <w:color w:val="auto"/>
          <w:kern w:val="0"/>
          <w:sz w:val="32"/>
          <w:szCs w:val="32"/>
          <w:highlight w:val="none"/>
        </w:rPr>
      </w:pPr>
    </w:p>
    <w:p w14:paraId="4008F156">
      <w:pPr>
        <w:jc w:val="center"/>
        <w:rPr>
          <w:rFonts w:hint="eastAsia" w:ascii="宋体" w:hAnsi="宋体" w:cs="宋体"/>
          <w:b/>
          <w:color w:val="auto"/>
          <w:kern w:val="0"/>
          <w:sz w:val="32"/>
          <w:szCs w:val="32"/>
          <w:highlight w:val="none"/>
        </w:rPr>
      </w:pPr>
    </w:p>
    <w:p w14:paraId="2BD5FBD1">
      <w:pPr>
        <w:rPr>
          <w:rFonts w:hint="eastAsia" w:ascii="宋体" w:hAnsi="宋体" w:cs="宋体"/>
          <w:color w:val="auto"/>
          <w:highlight w:val="none"/>
        </w:rPr>
      </w:pPr>
    </w:p>
    <w:p w14:paraId="19B9FCE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2"/>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2"/>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545D23E">
            <w:pPr>
              <w:pStyle w:val="152"/>
              <w:adjustRightInd w:val="0"/>
              <w:spacing w:line="360" w:lineRule="auto"/>
              <w:rPr>
                <w:rFonts w:hint="eastAsia" w:hAnsi="宋体" w:cs="宋体"/>
                <w:bCs/>
                <w:color w:val="auto"/>
                <w:sz w:val="24"/>
                <w:highlight w:val="none"/>
              </w:rPr>
            </w:pPr>
          </w:p>
        </w:tc>
      </w:tr>
    </w:tbl>
    <w:p w14:paraId="628C4E04">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hint="eastAsia" w:ascii="宋体" w:hAnsi="宋体" w:cs="宋体"/>
          <w:b/>
          <w:color w:val="auto"/>
          <w:kern w:val="0"/>
          <w:sz w:val="32"/>
          <w:szCs w:val="32"/>
          <w:highlight w:val="none"/>
        </w:rPr>
      </w:pPr>
    </w:p>
    <w:p w14:paraId="4627CDA1">
      <w:pPr>
        <w:jc w:val="center"/>
        <w:rPr>
          <w:rFonts w:hint="eastAsia" w:ascii="宋体" w:hAnsi="宋体" w:cs="宋体"/>
          <w:b/>
          <w:color w:val="auto"/>
          <w:kern w:val="0"/>
          <w:sz w:val="32"/>
          <w:szCs w:val="32"/>
          <w:highlight w:val="none"/>
        </w:rPr>
      </w:pPr>
    </w:p>
    <w:p w14:paraId="77548A17">
      <w:pPr>
        <w:jc w:val="center"/>
        <w:rPr>
          <w:rFonts w:hint="eastAsia" w:ascii="宋体" w:hAnsi="宋体" w:cs="宋体"/>
          <w:b/>
          <w:color w:val="auto"/>
          <w:kern w:val="0"/>
          <w:sz w:val="32"/>
          <w:szCs w:val="32"/>
          <w:highlight w:val="none"/>
        </w:rPr>
      </w:pPr>
    </w:p>
    <w:p w14:paraId="5B2FE628">
      <w:pPr>
        <w:jc w:val="center"/>
        <w:rPr>
          <w:rFonts w:hint="eastAsia" w:ascii="宋体" w:hAnsi="宋体" w:cs="宋体"/>
          <w:b/>
          <w:color w:val="auto"/>
          <w:kern w:val="0"/>
          <w:sz w:val="32"/>
          <w:szCs w:val="32"/>
          <w:highlight w:val="none"/>
        </w:rPr>
      </w:pPr>
    </w:p>
    <w:p w14:paraId="7C06565A">
      <w:pPr>
        <w:jc w:val="center"/>
        <w:rPr>
          <w:rFonts w:hint="eastAsia" w:ascii="宋体" w:hAnsi="宋体" w:cs="宋体"/>
          <w:b/>
          <w:color w:val="auto"/>
          <w:kern w:val="0"/>
          <w:sz w:val="32"/>
          <w:szCs w:val="32"/>
          <w:highlight w:val="none"/>
        </w:rPr>
      </w:pPr>
    </w:p>
    <w:p w14:paraId="5D776B04">
      <w:pPr>
        <w:jc w:val="center"/>
        <w:rPr>
          <w:rFonts w:hint="eastAsia" w:ascii="宋体" w:hAnsi="宋体" w:cs="宋体"/>
          <w:b/>
          <w:color w:val="auto"/>
          <w:kern w:val="0"/>
          <w:sz w:val="32"/>
          <w:szCs w:val="32"/>
          <w:highlight w:val="none"/>
        </w:rPr>
      </w:pPr>
    </w:p>
    <w:p w14:paraId="344B579C">
      <w:pPr>
        <w:jc w:val="center"/>
        <w:rPr>
          <w:rFonts w:hint="eastAsia" w:ascii="宋体" w:hAnsi="宋体" w:cs="宋体"/>
          <w:b/>
          <w:color w:val="auto"/>
          <w:kern w:val="0"/>
          <w:sz w:val="32"/>
          <w:szCs w:val="32"/>
          <w:highlight w:val="none"/>
        </w:rPr>
      </w:pPr>
    </w:p>
    <w:p w14:paraId="7CF6F48C">
      <w:pPr>
        <w:jc w:val="center"/>
        <w:rPr>
          <w:rFonts w:hint="eastAsia" w:ascii="宋体" w:hAnsi="宋体" w:cs="宋体"/>
          <w:b/>
          <w:color w:val="auto"/>
          <w:kern w:val="0"/>
          <w:sz w:val="32"/>
          <w:szCs w:val="32"/>
          <w:highlight w:val="none"/>
        </w:rPr>
      </w:pPr>
    </w:p>
    <w:p w14:paraId="6C3C074B">
      <w:pPr>
        <w:jc w:val="center"/>
        <w:rPr>
          <w:rFonts w:hint="eastAsia" w:ascii="宋体" w:hAnsi="宋体" w:cs="宋体"/>
          <w:b/>
          <w:color w:val="auto"/>
          <w:kern w:val="0"/>
          <w:sz w:val="32"/>
          <w:szCs w:val="32"/>
          <w:highlight w:val="none"/>
        </w:rPr>
      </w:pPr>
    </w:p>
    <w:p w14:paraId="0998AE4C">
      <w:pPr>
        <w:jc w:val="center"/>
        <w:rPr>
          <w:rFonts w:hint="eastAsia" w:ascii="宋体" w:hAnsi="宋体" w:cs="宋体"/>
          <w:b/>
          <w:color w:val="auto"/>
          <w:kern w:val="0"/>
          <w:sz w:val="32"/>
          <w:szCs w:val="32"/>
          <w:highlight w:val="none"/>
        </w:rPr>
      </w:pPr>
    </w:p>
    <w:p w14:paraId="40CB6D0E">
      <w:pPr>
        <w:snapToGrid w:val="0"/>
        <w:spacing w:line="360" w:lineRule="auto"/>
        <w:ind w:right="480"/>
        <w:rPr>
          <w:rFonts w:hint="eastAsia" w:ascii="宋体" w:hAnsi="宋体" w:cs="宋体"/>
          <w:b/>
          <w:color w:val="auto"/>
          <w:kern w:val="0"/>
          <w:sz w:val="32"/>
          <w:szCs w:val="32"/>
          <w:highlight w:val="none"/>
        </w:rPr>
        <w:sectPr>
          <w:headerReference r:id="rId8" w:type="default"/>
          <w:footerReference r:id="rId9" w:type="default"/>
          <w:pgSz w:w="11906" w:h="16838"/>
          <w:pgMar w:top="1276" w:right="1418" w:bottom="1247" w:left="1418" w:header="851" w:footer="992" w:gutter="0"/>
          <w:cols w:space="720" w:num="1"/>
          <w:titlePg/>
          <w:docGrid w:linePitch="312" w:charSpace="0"/>
        </w:sectPr>
      </w:pPr>
    </w:p>
    <w:p w14:paraId="05AB7E5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hint="eastAsia" w:ascii="宋体" w:hAnsi="宋体" w:cs="宋体"/>
          <w:color w:val="auto"/>
          <w:sz w:val="24"/>
          <w:highlight w:val="none"/>
        </w:rPr>
      </w:pPr>
      <w:bookmarkStart w:id="40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3"/>
    <w:p w14:paraId="5DD0073E">
      <w:pPr>
        <w:snapToGrid w:val="0"/>
        <w:spacing w:line="360" w:lineRule="auto"/>
        <w:rPr>
          <w:rFonts w:hint="eastAsia" w:ascii="宋体" w:hAnsi="宋体" w:cs="宋体"/>
          <w:color w:val="auto"/>
          <w:kern w:val="0"/>
          <w:sz w:val="24"/>
          <w:highlight w:val="none"/>
        </w:rPr>
      </w:pPr>
    </w:p>
    <w:p w14:paraId="7E30EBAC">
      <w:pPr>
        <w:jc w:val="center"/>
        <w:rPr>
          <w:rFonts w:hint="eastAsia" w:ascii="宋体" w:hAnsi="宋体" w:cs="宋体"/>
          <w:b/>
          <w:color w:val="auto"/>
          <w:kern w:val="0"/>
          <w:sz w:val="32"/>
          <w:szCs w:val="32"/>
          <w:highlight w:val="none"/>
        </w:rPr>
      </w:pPr>
    </w:p>
    <w:p w14:paraId="099FD7BE">
      <w:pPr>
        <w:pStyle w:val="3"/>
        <w:rPr>
          <w:color w:val="auto"/>
          <w:highlight w:val="none"/>
          <w:lang w:val="en-US"/>
        </w:rPr>
      </w:pPr>
    </w:p>
    <w:p w14:paraId="16014825">
      <w:pPr>
        <w:rPr>
          <w:color w:val="auto"/>
          <w:highlight w:val="none"/>
        </w:rPr>
      </w:pPr>
    </w:p>
    <w:p w14:paraId="47ABDCC7">
      <w:pPr>
        <w:pStyle w:val="3"/>
        <w:rPr>
          <w:color w:val="auto"/>
          <w:highlight w:val="none"/>
          <w:lang w:val="en-US"/>
        </w:rPr>
      </w:pPr>
    </w:p>
    <w:p w14:paraId="421EF36A">
      <w:pPr>
        <w:jc w:val="center"/>
        <w:rPr>
          <w:rFonts w:hint="eastAsia" w:ascii="宋体" w:hAnsi="宋体" w:cs="宋体"/>
          <w:b/>
          <w:color w:val="auto"/>
          <w:kern w:val="0"/>
          <w:sz w:val="32"/>
          <w:szCs w:val="32"/>
          <w:highlight w:val="none"/>
        </w:rPr>
      </w:pPr>
    </w:p>
    <w:p w14:paraId="52A1A3D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hint="eastAsia"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hint="eastAsia" w:ascii="宋体" w:hAnsi="宋体" w:cs="宋体"/>
                <w:color w:val="auto"/>
                <w:sz w:val="24"/>
                <w:highlight w:val="none"/>
              </w:rPr>
            </w:pPr>
          </w:p>
          <w:p w14:paraId="0236FB73">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A5DEF90">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1226017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投标文件的组成应符合招标文件要求</w:t>
            </w:r>
          </w:p>
        </w:tc>
        <w:tc>
          <w:tcPr>
            <w:tcW w:w="2551" w:type="dxa"/>
            <w:vAlign w:val="center"/>
          </w:tcPr>
          <w:p w14:paraId="459EE5F3">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DF82AF">
            <w:pPr>
              <w:rPr>
                <w:rFonts w:hint="eastAsia" w:ascii="宋体" w:hAnsi="宋体" w:cs="宋体"/>
                <w:color w:val="auto"/>
                <w:highlight w:val="none"/>
              </w:rPr>
            </w:pPr>
            <w:r>
              <w:rPr>
                <w:rFonts w:hint="eastAsia" w:ascii="宋体" w:hAnsi="宋体" w:cs="宋体"/>
                <w:color w:val="auto"/>
                <w:sz w:val="24"/>
                <w:highlight w:val="none"/>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06995E1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9E51AA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80C7685">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155E8B2">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DEB7A86">
            <w:pPr>
              <w:rPr>
                <w:rFonts w:hint="eastAsia" w:ascii="宋体" w:hAnsi="宋体" w:cs="宋体"/>
                <w:color w:val="auto"/>
                <w:sz w:val="24"/>
                <w:highlight w:val="none"/>
              </w:rPr>
            </w:pPr>
          </w:p>
        </w:tc>
        <w:tc>
          <w:tcPr>
            <w:tcW w:w="1418" w:type="dxa"/>
          </w:tcPr>
          <w:p w14:paraId="41B0F07C">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628A9423">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38574999">
            <w:pPr>
              <w:rPr>
                <w:rFonts w:hint="eastAsia" w:ascii="宋体" w:hAnsi="宋体" w:cs="宋体"/>
                <w:color w:val="auto"/>
                <w:sz w:val="24"/>
                <w:highlight w:val="none"/>
              </w:rPr>
            </w:pPr>
          </w:p>
        </w:tc>
        <w:tc>
          <w:tcPr>
            <w:tcW w:w="1418" w:type="dxa"/>
          </w:tcPr>
          <w:p w14:paraId="68DE9B7F">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062D3E6D">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5CB02444">
      <w:pPr>
        <w:pStyle w:val="82"/>
        <w:rPr>
          <w:rFonts w:hint="eastAsia"/>
          <w:color w:val="auto"/>
          <w:highlight w:val="none"/>
        </w:rPr>
      </w:pPr>
    </w:p>
    <w:p w14:paraId="4702EFB3">
      <w:pPr>
        <w:jc w:val="center"/>
        <w:rPr>
          <w:rFonts w:hint="eastAsia" w:ascii="宋体" w:hAnsi="宋体" w:cs="宋体"/>
          <w:b/>
          <w:color w:val="auto"/>
          <w:kern w:val="0"/>
          <w:sz w:val="32"/>
          <w:szCs w:val="32"/>
          <w:highlight w:val="none"/>
        </w:rPr>
      </w:pPr>
    </w:p>
    <w:p w14:paraId="0360B3B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hint="eastAsia" w:ascii="宋体" w:hAnsi="宋体" w:cs="宋体"/>
          <w:b/>
          <w:color w:val="auto"/>
          <w:kern w:val="0"/>
          <w:sz w:val="32"/>
          <w:szCs w:val="32"/>
          <w:highlight w:val="none"/>
        </w:rPr>
      </w:pPr>
    </w:p>
    <w:p w14:paraId="61B92396">
      <w:pPr>
        <w:widowControl/>
        <w:adjustRightInd/>
        <w:jc w:val="left"/>
        <w:rPr>
          <w:rFonts w:hint="eastAsia" w:ascii="宋体" w:hAnsi="宋体" w:cs="宋体"/>
          <w:b/>
          <w:color w:val="auto"/>
          <w:kern w:val="0"/>
          <w:sz w:val="32"/>
          <w:szCs w:val="32"/>
          <w:highlight w:val="none"/>
        </w:rPr>
      </w:pPr>
    </w:p>
    <w:p w14:paraId="60D99C15">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71EFB36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929201A">
            <w:pPr>
              <w:snapToGrid w:val="0"/>
              <w:spacing w:line="360" w:lineRule="auto"/>
              <w:jc w:val="center"/>
              <w:rPr>
                <w:rFonts w:hint="eastAsia" w:ascii="宋体" w:hAnsi="宋体" w:cs="宋体"/>
                <w:bCs/>
                <w:color w:val="auto"/>
                <w:sz w:val="24"/>
                <w:highlight w:val="none"/>
              </w:rPr>
            </w:pPr>
          </w:p>
        </w:tc>
        <w:tc>
          <w:tcPr>
            <w:tcW w:w="3046" w:type="dxa"/>
          </w:tcPr>
          <w:p w14:paraId="1FC4BF7A">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87472B7">
            <w:pPr>
              <w:snapToGrid w:val="0"/>
              <w:spacing w:line="360" w:lineRule="auto"/>
              <w:jc w:val="center"/>
              <w:rPr>
                <w:rFonts w:hint="eastAsia" w:ascii="宋体" w:hAnsi="宋体" w:cs="宋体"/>
                <w:bCs/>
                <w:color w:val="auto"/>
                <w:sz w:val="24"/>
                <w:highlight w:val="none"/>
              </w:rPr>
            </w:pPr>
          </w:p>
        </w:tc>
        <w:tc>
          <w:tcPr>
            <w:tcW w:w="3046" w:type="dxa"/>
          </w:tcPr>
          <w:p w14:paraId="62177A4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Cs/>
                <w:color w:val="auto"/>
                <w:sz w:val="24"/>
                <w:highlight w:val="none"/>
              </w:rPr>
            </w:pPr>
          </w:p>
        </w:tc>
        <w:tc>
          <w:tcPr>
            <w:tcW w:w="3046" w:type="dxa"/>
          </w:tcPr>
          <w:p w14:paraId="4DD9774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335794A">
      <w:pPr>
        <w:pStyle w:val="82"/>
        <w:rPr>
          <w:rFonts w:hint="eastAsia"/>
          <w:color w:val="auto"/>
          <w:highlight w:val="none"/>
        </w:rPr>
      </w:pPr>
    </w:p>
    <w:p w14:paraId="6C30067D">
      <w:pPr>
        <w:jc w:val="center"/>
        <w:rPr>
          <w:rFonts w:hint="eastAsia" w:ascii="宋体" w:hAnsi="宋体" w:cs="宋体"/>
          <w:b/>
          <w:color w:val="auto"/>
          <w:kern w:val="0"/>
          <w:sz w:val="32"/>
          <w:szCs w:val="32"/>
          <w:highlight w:val="none"/>
        </w:rPr>
      </w:pPr>
    </w:p>
    <w:p w14:paraId="78F4E456">
      <w:pPr>
        <w:jc w:val="center"/>
        <w:rPr>
          <w:rFonts w:hint="eastAsia" w:ascii="宋体" w:hAnsi="宋体" w:cs="宋体"/>
          <w:b/>
          <w:color w:val="auto"/>
          <w:kern w:val="0"/>
          <w:sz w:val="32"/>
          <w:szCs w:val="32"/>
          <w:highlight w:val="none"/>
        </w:rPr>
      </w:pPr>
    </w:p>
    <w:p w14:paraId="3AD55321">
      <w:pPr>
        <w:jc w:val="center"/>
        <w:rPr>
          <w:rFonts w:hint="eastAsia" w:ascii="宋体" w:hAnsi="宋体" w:cs="宋体"/>
          <w:b/>
          <w:color w:val="auto"/>
          <w:kern w:val="0"/>
          <w:sz w:val="32"/>
          <w:szCs w:val="32"/>
          <w:highlight w:val="none"/>
        </w:rPr>
      </w:pPr>
    </w:p>
    <w:p w14:paraId="4AA26EB8">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BD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7D74CB">
            <w:pPr>
              <w:spacing w:line="360" w:lineRule="auto"/>
              <w:jc w:val="center"/>
              <w:rPr>
                <w:rFonts w:hint="eastAsia" w:ascii="宋体" w:hAnsi="宋体" w:cs="宋体"/>
                <w:b/>
                <w:color w:val="auto"/>
                <w:sz w:val="24"/>
                <w:highlight w:val="none"/>
              </w:rPr>
            </w:pPr>
          </w:p>
          <w:p w14:paraId="7DA55F6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8A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hint="eastAsia" w:ascii="宋体" w:hAnsi="宋体" w:cs="宋体"/>
                <w:color w:val="auto"/>
                <w:sz w:val="24"/>
                <w:highlight w:val="none"/>
              </w:rPr>
            </w:pPr>
          </w:p>
        </w:tc>
      </w:tr>
      <w:tr w14:paraId="6197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hint="eastAsia" w:ascii="宋体" w:hAnsi="宋体" w:cs="宋体"/>
                <w:color w:val="auto"/>
                <w:sz w:val="24"/>
                <w:highlight w:val="none"/>
              </w:rPr>
            </w:pPr>
          </w:p>
        </w:tc>
      </w:tr>
      <w:tr w14:paraId="2142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hint="eastAsia" w:ascii="宋体" w:hAnsi="宋体" w:cs="宋体"/>
                <w:color w:val="auto"/>
                <w:sz w:val="24"/>
                <w:highlight w:val="none"/>
              </w:rPr>
            </w:pPr>
          </w:p>
        </w:tc>
      </w:tr>
    </w:tbl>
    <w:p w14:paraId="3899A8C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hint="eastAsia" w:ascii="宋体" w:hAnsi="宋体" w:cs="宋体"/>
          <w:b/>
          <w:color w:val="auto"/>
          <w:kern w:val="0"/>
          <w:sz w:val="32"/>
          <w:szCs w:val="32"/>
          <w:highlight w:val="none"/>
        </w:rPr>
      </w:pPr>
    </w:p>
    <w:p w14:paraId="00FA48C4">
      <w:pPr>
        <w:jc w:val="center"/>
        <w:rPr>
          <w:rFonts w:hint="eastAsia" w:ascii="宋体" w:hAnsi="宋体" w:cs="宋体"/>
          <w:b/>
          <w:color w:val="auto"/>
          <w:kern w:val="0"/>
          <w:sz w:val="32"/>
          <w:szCs w:val="32"/>
          <w:highlight w:val="none"/>
        </w:rPr>
      </w:pPr>
    </w:p>
    <w:p w14:paraId="03F0DA6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cs="宋体"/>
                <w:b/>
                <w:bCs/>
                <w:color w:val="auto"/>
                <w:sz w:val="24"/>
                <w:highlight w:val="none"/>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hint="eastAsia" w:ascii="宋体" w:hAnsi="宋体" w:cs="宋体"/>
                <w:b/>
                <w:color w:val="auto"/>
                <w:kern w:val="0"/>
                <w:sz w:val="32"/>
                <w:szCs w:val="32"/>
                <w:highlight w:val="none"/>
              </w:rPr>
            </w:pPr>
          </w:p>
        </w:tc>
        <w:tc>
          <w:tcPr>
            <w:tcW w:w="3062" w:type="dxa"/>
          </w:tcPr>
          <w:p w14:paraId="10208ACB">
            <w:pPr>
              <w:jc w:val="center"/>
              <w:rPr>
                <w:rFonts w:hint="eastAsia" w:ascii="宋体" w:hAnsi="宋体" w:cs="宋体"/>
                <w:b/>
                <w:color w:val="auto"/>
                <w:kern w:val="0"/>
                <w:sz w:val="32"/>
                <w:szCs w:val="32"/>
                <w:highlight w:val="none"/>
              </w:rPr>
            </w:pPr>
          </w:p>
        </w:tc>
        <w:tc>
          <w:tcPr>
            <w:tcW w:w="1102" w:type="dxa"/>
          </w:tcPr>
          <w:p w14:paraId="66BF6F43">
            <w:pPr>
              <w:jc w:val="center"/>
              <w:rPr>
                <w:rFonts w:hint="eastAsia" w:ascii="宋体" w:hAnsi="宋体" w:cs="宋体"/>
                <w:b/>
                <w:color w:val="auto"/>
                <w:kern w:val="0"/>
                <w:sz w:val="32"/>
                <w:szCs w:val="32"/>
                <w:highlight w:val="none"/>
              </w:rPr>
            </w:pPr>
          </w:p>
        </w:tc>
        <w:tc>
          <w:tcPr>
            <w:tcW w:w="1088" w:type="dxa"/>
          </w:tcPr>
          <w:p w14:paraId="271A295D">
            <w:pPr>
              <w:jc w:val="center"/>
              <w:rPr>
                <w:rFonts w:hint="eastAsia"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hint="eastAsia" w:ascii="宋体" w:hAnsi="宋体" w:cs="宋体"/>
                <w:b/>
                <w:color w:val="auto"/>
                <w:kern w:val="0"/>
                <w:sz w:val="32"/>
                <w:szCs w:val="32"/>
                <w:highlight w:val="none"/>
              </w:rPr>
            </w:pPr>
          </w:p>
        </w:tc>
        <w:tc>
          <w:tcPr>
            <w:tcW w:w="3062" w:type="dxa"/>
          </w:tcPr>
          <w:p w14:paraId="59DA7692">
            <w:pPr>
              <w:jc w:val="center"/>
              <w:rPr>
                <w:rFonts w:hint="eastAsia" w:ascii="宋体" w:hAnsi="宋体" w:cs="宋体"/>
                <w:b/>
                <w:color w:val="auto"/>
                <w:kern w:val="0"/>
                <w:sz w:val="32"/>
                <w:szCs w:val="32"/>
                <w:highlight w:val="none"/>
              </w:rPr>
            </w:pPr>
          </w:p>
        </w:tc>
        <w:tc>
          <w:tcPr>
            <w:tcW w:w="1102" w:type="dxa"/>
          </w:tcPr>
          <w:p w14:paraId="54B63565">
            <w:pPr>
              <w:jc w:val="center"/>
              <w:rPr>
                <w:rFonts w:hint="eastAsia" w:ascii="宋体" w:hAnsi="宋体" w:cs="宋体"/>
                <w:b/>
                <w:color w:val="auto"/>
                <w:kern w:val="0"/>
                <w:sz w:val="32"/>
                <w:szCs w:val="32"/>
                <w:highlight w:val="none"/>
              </w:rPr>
            </w:pPr>
          </w:p>
        </w:tc>
        <w:tc>
          <w:tcPr>
            <w:tcW w:w="1088" w:type="dxa"/>
          </w:tcPr>
          <w:p w14:paraId="3C8D8ADC">
            <w:pPr>
              <w:jc w:val="center"/>
              <w:rPr>
                <w:rFonts w:hint="eastAsia"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hint="eastAsia" w:ascii="宋体" w:hAnsi="宋体" w:cs="宋体"/>
                <w:b/>
                <w:color w:val="auto"/>
                <w:kern w:val="0"/>
                <w:sz w:val="32"/>
                <w:szCs w:val="32"/>
                <w:highlight w:val="none"/>
              </w:rPr>
            </w:pPr>
          </w:p>
        </w:tc>
        <w:tc>
          <w:tcPr>
            <w:tcW w:w="3062" w:type="dxa"/>
          </w:tcPr>
          <w:p w14:paraId="052C252C">
            <w:pPr>
              <w:jc w:val="center"/>
              <w:rPr>
                <w:rFonts w:hint="eastAsia" w:ascii="宋体" w:hAnsi="宋体" w:cs="宋体"/>
                <w:b/>
                <w:color w:val="auto"/>
                <w:kern w:val="0"/>
                <w:sz w:val="32"/>
                <w:szCs w:val="32"/>
                <w:highlight w:val="none"/>
              </w:rPr>
            </w:pPr>
          </w:p>
        </w:tc>
        <w:tc>
          <w:tcPr>
            <w:tcW w:w="1102" w:type="dxa"/>
          </w:tcPr>
          <w:p w14:paraId="02F5E406">
            <w:pPr>
              <w:jc w:val="center"/>
              <w:rPr>
                <w:rFonts w:hint="eastAsia" w:ascii="宋体" w:hAnsi="宋体" w:cs="宋体"/>
                <w:b/>
                <w:color w:val="auto"/>
                <w:kern w:val="0"/>
                <w:sz w:val="32"/>
                <w:szCs w:val="32"/>
                <w:highlight w:val="none"/>
              </w:rPr>
            </w:pPr>
          </w:p>
        </w:tc>
        <w:tc>
          <w:tcPr>
            <w:tcW w:w="1088" w:type="dxa"/>
          </w:tcPr>
          <w:p w14:paraId="56C0766F">
            <w:pPr>
              <w:jc w:val="center"/>
              <w:rPr>
                <w:rFonts w:hint="eastAsia" w:ascii="宋体" w:hAnsi="宋体" w:cs="宋体"/>
                <w:b/>
                <w:color w:val="auto"/>
                <w:kern w:val="0"/>
                <w:sz w:val="32"/>
                <w:szCs w:val="32"/>
                <w:highlight w:val="none"/>
              </w:rPr>
            </w:pPr>
          </w:p>
        </w:tc>
      </w:tr>
    </w:tbl>
    <w:p w14:paraId="5E574AAB">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hint="eastAsia" w:ascii="宋体" w:hAnsi="宋体" w:cs="宋体"/>
          <w:b/>
          <w:color w:val="auto"/>
          <w:kern w:val="0"/>
          <w:sz w:val="32"/>
          <w:szCs w:val="32"/>
          <w:highlight w:val="none"/>
        </w:rPr>
      </w:pPr>
    </w:p>
    <w:p w14:paraId="2277E26B">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74A7E195">
      <w:pPr>
        <w:snapToGrid w:val="0"/>
        <w:spacing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19B2A60D">
      <w:pPr>
        <w:pStyle w:val="82"/>
        <w:snapToGrid w:val="0"/>
        <w:spacing w:line="360" w:lineRule="auto"/>
        <w:rPr>
          <w:rFonts w:hint="eastAsia"/>
          <w:color w:val="auto"/>
          <w:highlight w:val="none"/>
        </w:rPr>
      </w:pPr>
    </w:p>
    <w:p w14:paraId="754ECA43">
      <w:pPr>
        <w:ind w:firstLine="1911" w:firstLineChars="595"/>
        <w:rPr>
          <w:rFonts w:hint="eastAsia" w:ascii="宋体" w:hAnsi="宋体" w:cs="宋体"/>
          <w:b/>
          <w:bCs/>
          <w:color w:val="auto"/>
          <w:sz w:val="32"/>
          <w:szCs w:val="32"/>
          <w:highlight w:val="none"/>
        </w:rPr>
      </w:pPr>
    </w:p>
    <w:p w14:paraId="791FB389">
      <w:pPr>
        <w:ind w:firstLine="1911" w:firstLineChars="595"/>
        <w:rPr>
          <w:rFonts w:hint="eastAsia" w:ascii="宋体" w:hAnsi="宋体" w:cs="宋体"/>
          <w:b/>
          <w:bCs/>
          <w:color w:val="auto"/>
          <w:sz w:val="32"/>
          <w:szCs w:val="32"/>
          <w:highlight w:val="none"/>
        </w:rPr>
      </w:pPr>
    </w:p>
    <w:p w14:paraId="609CD44F">
      <w:pPr>
        <w:ind w:firstLine="1911" w:firstLineChars="595"/>
        <w:rPr>
          <w:rFonts w:hint="eastAsia" w:ascii="宋体" w:hAnsi="宋体" w:cs="宋体"/>
          <w:b/>
          <w:bCs/>
          <w:color w:val="auto"/>
          <w:sz w:val="32"/>
          <w:szCs w:val="32"/>
          <w:highlight w:val="none"/>
        </w:rPr>
      </w:pPr>
    </w:p>
    <w:p w14:paraId="36E9C6EB">
      <w:pPr>
        <w:ind w:firstLine="1911" w:firstLineChars="595"/>
        <w:rPr>
          <w:rFonts w:hint="eastAsia" w:ascii="宋体" w:hAnsi="宋体" w:cs="宋体"/>
          <w:b/>
          <w:bCs/>
          <w:color w:val="auto"/>
          <w:sz w:val="32"/>
          <w:szCs w:val="32"/>
          <w:highlight w:val="none"/>
        </w:rPr>
      </w:pPr>
    </w:p>
    <w:p w14:paraId="12A95E5B">
      <w:pPr>
        <w:ind w:firstLine="1911" w:firstLineChars="595"/>
        <w:rPr>
          <w:rFonts w:hint="eastAsia" w:ascii="宋体" w:hAnsi="宋体" w:cs="宋体"/>
          <w:b/>
          <w:bCs/>
          <w:color w:val="auto"/>
          <w:sz w:val="32"/>
          <w:szCs w:val="32"/>
          <w:highlight w:val="none"/>
        </w:rPr>
      </w:pPr>
    </w:p>
    <w:p w14:paraId="3F7FF588">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hint="eastAsia" w:ascii="宋体" w:hAnsi="宋体" w:cs="宋体"/>
          <w:color w:val="auto"/>
          <w:sz w:val="24"/>
          <w:highlight w:val="none"/>
        </w:rPr>
      </w:pPr>
    </w:p>
    <w:p w14:paraId="42E2EC0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杭州市西湖区图书馆 、浙江省成套招标代理有限公司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firstLine="4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hint="eastAsia" w:ascii="宋体" w:hAnsi="宋体" w:cs="宋体"/>
          <w:color w:val="auto"/>
          <w:kern w:val="0"/>
          <w:sz w:val="24"/>
          <w:highlight w:val="none"/>
          <w:lang w:val="zh-CN"/>
        </w:rPr>
      </w:pPr>
    </w:p>
    <w:p w14:paraId="580DB8F3">
      <w:pPr>
        <w:autoSpaceDE w:val="0"/>
        <w:autoSpaceDN w:val="0"/>
        <w:spacing w:line="360" w:lineRule="auto"/>
        <w:ind w:left="2"/>
        <w:jc w:val="left"/>
        <w:rPr>
          <w:rFonts w:hint="eastAsia" w:ascii="宋体" w:hAnsi="宋体" w:cs="宋体"/>
          <w:color w:val="auto"/>
          <w:kern w:val="0"/>
          <w:sz w:val="24"/>
          <w:highlight w:val="none"/>
          <w:lang w:val="zh-CN"/>
        </w:rPr>
      </w:pPr>
    </w:p>
    <w:p w14:paraId="79BDEBD1">
      <w:pPr>
        <w:autoSpaceDE w:val="0"/>
        <w:autoSpaceDN w:val="0"/>
        <w:spacing w:line="360" w:lineRule="auto"/>
        <w:ind w:left="2"/>
        <w:jc w:val="left"/>
        <w:rPr>
          <w:rFonts w:hint="eastAsia"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hint="eastAsia" w:ascii="宋体" w:hAnsi="宋体" w:cs="宋体"/>
          <w:b/>
          <w:bCs/>
          <w:color w:val="auto"/>
          <w:sz w:val="24"/>
          <w:highlight w:val="none"/>
        </w:rPr>
      </w:pPr>
    </w:p>
    <w:p w14:paraId="42F1731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240C592">
      <w:pPr>
        <w:spacing w:line="360" w:lineRule="auto"/>
        <w:jc w:val="center"/>
        <w:rPr>
          <w:rFonts w:hint="eastAsia"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39BE14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hint="eastAsia" w:ascii="宋体" w:hAnsi="宋体" w:cs="宋体"/>
          <w:b/>
          <w:color w:val="auto"/>
          <w:kern w:val="0"/>
          <w:sz w:val="36"/>
          <w:szCs w:val="36"/>
          <w:highlight w:val="none"/>
        </w:rPr>
      </w:pPr>
    </w:p>
    <w:p w14:paraId="71E4BC15">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38D6D8E2">
      <w:pPr>
        <w:pStyle w:val="83"/>
        <w:rPr>
          <w:color w:val="auto"/>
          <w:highlight w:val="none"/>
        </w:rPr>
      </w:pPr>
    </w:p>
    <w:p w14:paraId="117D6ED4">
      <w:pPr>
        <w:snapToGrid w:val="0"/>
        <w:spacing w:line="360" w:lineRule="auto"/>
        <w:ind w:right="480"/>
        <w:jc w:val="center"/>
        <w:rPr>
          <w:rFonts w:hint="eastAsia" w:ascii="宋体" w:hAnsi="宋体" w:cs="宋体"/>
          <w:b/>
          <w:color w:val="auto"/>
          <w:kern w:val="0"/>
          <w:sz w:val="32"/>
          <w:szCs w:val="32"/>
          <w:highlight w:val="none"/>
        </w:rPr>
      </w:pPr>
    </w:p>
    <w:p w14:paraId="0B04AA81">
      <w:pPr>
        <w:snapToGrid w:val="0"/>
        <w:spacing w:line="360" w:lineRule="auto"/>
        <w:ind w:right="480"/>
        <w:jc w:val="center"/>
        <w:rPr>
          <w:rFonts w:hint="eastAsia" w:ascii="宋体" w:hAnsi="宋体" w:cs="宋体"/>
          <w:b/>
          <w:color w:val="auto"/>
          <w:kern w:val="0"/>
          <w:sz w:val="32"/>
          <w:szCs w:val="32"/>
          <w:highlight w:val="none"/>
        </w:rPr>
      </w:pPr>
    </w:p>
    <w:p w14:paraId="7B59EC93">
      <w:pPr>
        <w:snapToGrid w:val="0"/>
        <w:spacing w:line="360" w:lineRule="auto"/>
        <w:ind w:right="480"/>
        <w:jc w:val="center"/>
        <w:rPr>
          <w:rFonts w:hint="eastAsia" w:ascii="宋体" w:hAnsi="宋体" w:cs="宋体"/>
          <w:b/>
          <w:color w:val="auto"/>
          <w:kern w:val="0"/>
          <w:sz w:val="32"/>
          <w:szCs w:val="32"/>
          <w:highlight w:val="none"/>
        </w:rPr>
      </w:pPr>
    </w:p>
    <w:p w14:paraId="6C0E19BF">
      <w:pPr>
        <w:snapToGrid w:val="0"/>
        <w:spacing w:line="360" w:lineRule="auto"/>
        <w:ind w:right="480"/>
        <w:jc w:val="center"/>
        <w:rPr>
          <w:rFonts w:hint="eastAsia" w:ascii="宋体" w:hAnsi="宋体" w:cs="宋体"/>
          <w:b/>
          <w:color w:val="auto"/>
          <w:kern w:val="0"/>
          <w:sz w:val="32"/>
          <w:szCs w:val="32"/>
          <w:highlight w:val="none"/>
        </w:rPr>
      </w:pPr>
    </w:p>
    <w:p w14:paraId="50DAE0C4">
      <w:pPr>
        <w:snapToGrid w:val="0"/>
        <w:spacing w:line="360" w:lineRule="auto"/>
        <w:ind w:right="480"/>
        <w:jc w:val="center"/>
        <w:rPr>
          <w:rFonts w:hint="eastAsia" w:ascii="宋体" w:hAnsi="宋体" w:cs="宋体"/>
          <w:b/>
          <w:color w:val="auto"/>
          <w:kern w:val="0"/>
          <w:sz w:val="32"/>
          <w:szCs w:val="32"/>
          <w:highlight w:val="none"/>
        </w:rPr>
      </w:pPr>
    </w:p>
    <w:p w14:paraId="584A54FE">
      <w:pPr>
        <w:snapToGrid w:val="0"/>
        <w:spacing w:line="360" w:lineRule="auto"/>
        <w:ind w:right="480"/>
        <w:jc w:val="center"/>
        <w:rPr>
          <w:rFonts w:hint="eastAsia" w:ascii="宋体" w:hAnsi="宋体" w:cs="宋体"/>
          <w:b/>
          <w:color w:val="auto"/>
          <w:kern w:val="0"/>
          <w:sz w:val="32"/>
          <w:szCs w:val="32"/>
          <w:highlight w:val="none"/>
        </w:rPr>
      </w:pPr>
    </w:p>
    <w:p w14:paraId="6B02E968">
      <w:pPr>
        <w:snapToGrid w:val="0"/>
        <w:spacing w:line="360" w:lineRule="auto"/>
        <w:ind w:right="480"/>
        <w:jc w:val="center"/>
        <w:rPr>
          <w:rFonts w:hint="eastAsia" w:ascii="宋体" w:hAnsi="宋体" w:cs="宋体"/>
          <w:b/>
          <w:color w:val="auto"/>
          <w:kern w:val="0"/>
          <w:sz w:val="32"/>
          <w:szCs w:val="32"/>
          <w:highlight w:val="none"/>
        </w:rPr>
      </w:pPr>
    </w:p>
    <w:p w14:paraId="4F9F53C5">
      <w:pPr>
        <w:snapToGrid w:val="0"/>
        <w:spacing w:line="360" w:lineRule="auto"/>
        <w:ind w:right="480"/>
        <w:jc w:val="center"/>
        <w:rPr>
          <w:rFonts w:hint="eastAsia" w:ascii="宋体" w:hAnsi="宋体" w:cs="宋体"/>
          <w:b/>
          <w:color w:val="auto"/>
          <w:kern w:val="0"/>
          <w:sz w:val="32"/>
          <w:szCs w:val="32"/>
          <w:highlight w:val="none"/>
        </w:rPr>
      </w:pPr>
    </w:p>
    <w:p w14:paraId="337CE062">
      <w:pPr>
        <w:snapToGrid w:val="0"/>
        <w:spacing w:line="360" w:lineRule="auto"/>
        <w:ind w:right="480"/>
        <w:jc w:val="center"/>
        <w:rPr>
          <w:rFonts w:hint="eastAsia" w:ascii="宋体" w:hAnsi="宋体" w:cs="宋体"/>
          <w:b/>
          <w:color w:val="auto"/>
          <w:kern w:val="0"/>
          <w:sz w:val="32"/>
          <w:szCs w:val="32"/>
          <w:highlight w:val="none"/>
        </w:rPr>
      </w:pPr>
    </w:p>
    <w:p w14:paraId="1BA20830">
      <w:pPr>
        <w:snapToGrid w:val="0"/>
        <w:spacing w:line="360" w:lineRule="auto"/>
        <w:ind w:right="480"/>
        <w:jc w:val="center"/>
        <w:rPr>
          <w:rFonts w:hint="eastAsia" w:ascii="宋体" w:hAnsi="宋体" w:cs="宋体"/>
          <w:b/>
          <w:color w:val="auto"/>
          <w:kern w:val="0"/>
          <w:sz w:val="32"/>
          <w:szCs w:val="32"/>
          <w:highlight w:val="none"/>
        </w:rPr>
      </w:pPr>
    </w:p>
    <w:p w14:paraId="63315EDA">
      <w:pPr>
        <w:snapToGrid w:val="0"/>
        <w:spacing w:line="360" w:lineRule="auto"/>
        <w:ind w:right="480"/>
        <w:jc w:val="center"/>
        <w:rPr>
          <w:rFonts w:hint="eastAsia" w:ascii="宋体" w:hAnsi="宋体" w:cs="宋体"/>
          <w:b/>
          <w:color w:val="auto"/>
          <w:kern w:val="0"/>
          <w:sz w:val="32"/>
          <w:szCs w:val="32"/>
          <w:highlight w:val="none"/>
        </w:rPr>
      </w:pPr>
    </w:p>
    <w:p w14:paraId="7F603788">
      <w:pPr>
        <w:snapToGrid w:val="0"/>
        <w:spacing w:line="360" w:lineRule="auto"/>
        <w:ind w:right="480"/>
        <w:jc w:val="center"/>
        <w:rPr>
          <w:rFonts w:hint="eastAsia" w:ascii="宋体" w:hAnsi="宋体" w:cs="宋体"/>
          <w:b/>
          <w:color w:val="auto"/>
          <w:kern w:val="0"/>
          <w:sz w:val="32"/>
          <w:szCs w:val="32"/>
          <w:highlight w:val="none"/>
        </w:rPr>
      </w:pPr>
    </w:p>
    <w:p w14:paraId="657A60D8">
      <w:pPr>
        <w:snapToGrid w:val="0"/>
        <w:spacing w:line="360" w:lineRule="auto"/>
        <w:ind w:right="480"/>
        <w:jc w:val="center"/>
        <w:rPr>
          <w:rFonts w:hint="eastAsia" w:ascii="宋体" w:hAnsi="宋体" w:cs="宋体"/>
          <w:b/>
          <w:color w:val="auto"/>
          <w:kern w:val="0"/>
          <w:sz w:val="32"/>
          <w:szCs w:val="32"/>
          <w:highlight w:val="none"/>
        </w:rPr>
      </w:pPr>
    </w:p>
    <w:p w14:paraId="6C98CFB7">
      <w:pPr>
        <w:snapToGrid w:val="0"/>
        <w:spacing w:line="360" w:lineRule="auto"/>
        <w:ind w:right="480"/>
        <w:jc w:val="center"/>
        <w:rPr>
          <w:rFonts w:hint="eastAsia" w:ascii="宋体" w:hAnsi="宋体" w:cs="宋体"/>
          <w:b/>
          <w:color w:val="auto"/>
          <w:kern w:val="0"/>
          <w:sz w:val="32"/>
          <w:szCs w:val="32"/>
          <w:highlight w:val="none"/>
        </w:rPr>
      </w:pPr>
    </w:p>
    <w:p w14:paraId="23407D7B">
      <w:pPr>
        <w:snapToGrid w:val="0"/>
        <w:spacing w:line="360" w:lineRule="auto"/>
        <w:ind w:right="480"/>
        <w:jc w:val="center"/>
        <w:rPr>
          <w:rFonts w:hint="eastAsia" w:ascii="宋体" w:hAnsi="宋体" w:cs="宋体"/>
          <w:b/>
          <w:color w:val="auto"/>
          <w:kern w:val="0"/>
          <w:sz w:val="32"/>
          <w:szCs w:val="32"/>
          <w:highlight w:val="none"/>
        </w:rPr>
      </w:pPr>
    </w:p>
    <w:p w14:paraId="3A5F7B3B">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27CD20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杭州市西湖区图书馆 、浙江省成套招标代理有限公司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杭州市西湖区图书馆采购智慧书架视觉盘点系统项目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6" w:type="pct"/>
            <w:vAlign w:val="center"/>
          </w:tcPr>
          <w:p w14:paraId="7757B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32" w:type="pct"/>
          </w:tcPr>
          <w:p w14:paraId="704A0472">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070" w:type="pct"/>
            <w:vAlign w:val="center"/>
          </w:tcPr>
          <w:p w14:paraId="1F212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340" w:type="pct"/>
            <w:vAlign w:val="center"/>
          </w:tcPr>
          <w:p w14:paraId="50B466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534" w:type="pct"/>
            <w:vAlign w:val="center"/>
          </w:tcPr>
          <w:p w14:paraId="5A8C2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680" w:type="pct"/>
            <w:vAlign w:val="center"/>
          </w:tcPr>
          <w:p w14:paraId="0CBEB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1070" w:type="pct"/>
            <w:vAlign w:val="center"/>
          </w:tcPr>
          <w:p w14:paraId="604FD59A">
            <w:pPr>
              <w:spacing w:line="360" w:lineRule="auto"/>
              <w:jc w:val="center"/>
              <w:rPr>
                <w:rFonts w:ascii="宋体" w:hAnsi="宋体" w:cs="宋体"/>
                <w:b/>
                <w:color w:val="auto"/>
                <w:sz w:val="24"/>
                <w:highlight w:val="none"/>
              </w:rPr>
            </w:pPr>
          </w:p>
          <w:p w14:paraId="34F0F1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质保期</w:t>
            </w:r>
            <w:r>
              <w:rPr>
                <w:rFonts w:hint="eastAsia" w:ascii="宋体" w:hAnsi="宋体" w:cs="宋体"/>
                <w:b/>
                <w:color w:val="auto"/>
                <w:sz w:val="24"/>
                <w:highlight w:val="none"/>
              </w:rPr>
              <w:t>）</w:t>
            </w:r>
          </w:p>
          <w:p w14:paraId="510865F1">
            <w:pPr>
              <w:spacing w:line="360" w:lineRule="auto"/>
              <w:jc w:val="center"/>
              <w:rPr>
                <w:rFonts w:ascii="宋体" w:hAnsi="宋体" w:cs="宋体"/>
                <w:b/>
                <w:color w:val="auto"/>
                <w:sz w:val="24"/>
                <w:highlight w:val="none"/>
              </w:rPr>
            </w:pP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86" w:type="pct"/>
            <w:vAlign w:val="center"/>
          </w:tcPr>
          <w:p w14:paraId="317BFFE1">
            <w:pPr>
              <w:snapToGrid w:val="0"/>
              <w:spacing w:line="360" w:lineRule="auto"/>
              <w:jc w:val="center"/>
              <w:rPr>
                <w:rFonts w:ascii="宋体" w:hAnsi="宋体" w:cs="宋体"/>
                <w:color w:val="auto"/>
                <w:sz w:val="24"/>
                <w:highlight w:val="none"/>
              </w:rPr>
            </w:pPr>
          </w:p>
        </w:tc>
        <w:tc>
          <w:tcPr>
            <w:tcW w:w="632" w:type="pct"/>
            <w:vAlign w:val="center"/>
          </w:tcPr>
          <w:p w14:paraId="4B404F27">
            <w:pPr>
              <w:snapToGrid w:val="0"/>
              <w:spacing w:line="360" w:lineRule="auto"/>
              <w:jc w:val="center"/>
              <w:rPr>
                <w:rFonts w:ascii="宋体" w:hAnsi="宋体" w:cs="宋体"/>
                <w:color w:val="auto"/>
                <w:sz w:val="24"/>
                <w:highlight w:val="none"/>
              </w:rPr>
            </w:pPr>
          </w:p>
        </w:tc>
        <w:tc>
          <w:tcPr>
            <w:tcW w:w="1070" w:type="pct"/>
            <w:vAlign w:val="center"/>
          </w:tcPr>
          <w:p w14:paraId="236A96D3">
            <w:pPr>
              <w:snapToGrid w:val="0"/>
              <w:spacing w:line="360" w:lineRule="auto"/>
              <w:jc w:val="center"/>
              <w:rPr>
                <w:rFonts w:ascii="宋体" w:hAnsi="宋体" w:cs="宋体"/>
                <w:color w:val="auto"/>
                <w:sz w:val="24"/>
                <w:highlight w:val="none"/>
              </w:rPr>
            </w:pPr>
          </w:p>
        </w:tc>
        <w:tc>
          <w:tcPr>
            <w:tcW w:w="340" w:type="pct"/>
            <w:vAlign w:val="center"/>
          </w:tcPr>
          <w:p w14:paraId="0B957A34">
            <w:pPr>
              <w:snapToGrid w:val="0"/>
              <w:spacing w:line="360" w:lineRule="auto"/>
              <w:jc w:val="center"/>
              <w:rPr>
                <w:rFonts w:ascii="宋体" w:hAnsi="宋体" w:cs="宋体"/>
                <w:color w:val="auto"/>
                <w:sz w:val="24"/>
                <w:highlight w:val="none"/>
              </w:rPr>
            </w:pPr>
          </w:p>
        </w:tc>
        <w:tc>
          <w:tcPr>
            <w:tcW w:w="534" w:type="pct"/>
            <w:vAlign w:val="center"/>
          </w:tcPr>
          <w:p w14:paraId="1CB7F146">
            <w:pPr>
              <w:spacing w:line="360" w:lineRule="auto"/>
              <w:jc w:val="center"/>
              <w:rPr>
                <w:rFonts w:ascii="宋体" w:hAnsi="宋体" w:cs="宋体"/>
                <w:color w:val="auto"/>
                <w:sz w:val="24"/>
                <w:highlight w:val="none"/>
              </w:rPr>
            </w:pPr>
          </w:p>
        </w:tc>
        <w:tc>
          <w:tcPr>
            <w:tcW w:w="680" w:type="pct"/>
            <w:vAlign w:val="center"/>
          </w:tcPr>
          <w:p w14:paraId="01A0980A">
            <w:pPr>
              <w:spacing w:line="360" w:lineRule="auto"/>
              <w:jc w:val="center"/>
              <w:rPr>
                <w:rFonts w:ascii="宋体" w:hAnsi="宋体" w:cs="宋体"/>
                <w:color w:val="auto"/>
                <w:sz w:val="24"/>
                <w:highlight w:val="none"/>
              </w:rPr>
            </w:pPr>
          </w:p>
        </w:tc>
        <w:tc>
          <w:tcPr>
            <w:tcW w:w="1070" w:type="pct"/>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86" w:type="pct"/>
            <w:vAlign w:val="center"/>
          </w:tcPr>
          <w:p w14:paraId="70DD88B7">
            <w:pPr>
              <w:snapToGrid w:val="0"/>
              <w:spacing w:line="360" w:lineRule="auto"/>
              <w:jc w:val="center"/>
              <w:rPr>
                <w:rFonts w:ascii="宋体" w:hAnsi="宋体" w:cs="宋体"/>
                <w:color w:val="auto"/>
                <w:sz w:val="24"/>
                <w:highlight w:val="none"/>
              </w:rPr>
            </w:pPr>
          </w:p>
        </w:tc>
        <w:tc>
          <w:tcPr>
            <w:tcW w:w="632" w:type="pct"/>
            <w:vAlign w:val="center"/>
          </w:tcPr>
          <w:p w14:paraId="32E9FDE4">
            <w:pPr>
              <w:snapToGrid w:val="0"/>
              <w:spacing w:line="360" w:lineRule="auto"/>
              <w:jc w:val="center"/>
              <w:rPr>
                <w:rFonts w:ascii="宋体" w:hAnsi="宋体" w:cs="宋体"/>
                <w:color w:val="auto"/>
                <w:sz w:val="24"/>
                <w:highlight w:val="none"/>
              </w:rPr>
            </w:pPr>
          </w:p>
        </w:tc>
        <w:tc>
          <w:tcPr>
            <w:tcW w:w="1070" w:type="pct"/>
            <w:vAlign w:val="center"/>
          </w:tcPr>
          <w:p w14:paraId="238C2740">
            <w:pPr>
              <w:snapToGrid w:val="0"/>
              <w:spacing w:line="360" w:lineRule="auto"/>
              <w:jc w:val="center"/>
              <w:rPr>
                <w:rFonts w:ascii="宋体" w:hAnsi="宋体" w:cs="宋体"/>
                <w:color w:val="auto"/>
                <w:sz w:val="24"/>
                <w:highlight w:val="none"/>
              </w:rPr>
            </w:pPr>
          </w:p>
        </w:tc>
        <w:tc>
          <w:tcPr>
            <w:tcW w:w="340" w:type="pct"/>
            <w:vAlign w:val="center"/>
          </w:tcPr>
          <w:p w14:paraId="44C08CD3">
            <w:pPr>
              <w:snapToGrid w:val="0"/>
              <w:spacing w:line="360" w:lineRule="auto"/>
              <w:jc w:val="center"/>
              <w:rPr>
                <w:rFonts w:ascii="宋体" w:hAnsi="宋体" w:cs="宋体"/>
                <w:color w:val="auto"/>
                <w:sz w:val="24"/>
                <w:highlight w:val="none"/>
              </w:rPr>
            </w:pPr>
          </w:p>
        </w:tc>
        <w:tc>
          <w:tcPr>
            <w:tcW w:w="534" w:type="pct"/>
            <w:vAlign w:val="center"/>
          </w:tcPr>
          <w:p w14:paraId="67EA183A">
            <w:pPr>
              <w:spacing w:line="360" w:lineRule="auto"/>
              <w:jc w:val="center"/>
              <w:rPr>
                <w:rFonts w:ascii="宋体" w:hAnsi="宋体" w:cs="宋体"/>
                <w:color w:val="auto"/>
                <w:sz w:val="24"/>
                <w:highlight w:val="none"/>
              </w:rPr>
            </w:pPr>
          </w:p>
        </w:tc>
        <w:tc>
          <w:tcPr>
            <w:tcW w:w="680" w:type="pct"/>
            <w:vAlign w:val="center"/>
          </w:tcPr>
          <w:p w14:paraId="0B5DA852">
            <w:pPr>
              <w:spacing w:line="360" w:lineRule="auto"/>
              <w:jc w:val="center"/>
              <w:rPr>
                <w:rFonts w:ascii="宋体" w:hAnsi="宋体" w:cs="宋体"/>
                <w:color w:val="auto"/>
                <w:sz w:val="24"/>
                <w:highlight w:val="none"/>
              </w:rPr>
            </w:pPr>
          </w:p>
        </w:tc>
        <w:tc>
          <w:tcPr>
            <w:tcW w:w="1070" w:type="pct"/>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5DFCE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86" w:type="pct"/>
            <w:vAlign w:val="center"/>
          </w:tcPr>
          <w:p w14:paraId="370BA880">
            <w:pPr>
              <w:snapToGrid w:val="0"/>
              <w:spacing w:line="360" w:lineRule="auto"/>
              <w:jc w:val="center"/>
              <w:rPr>
                <w:rFonts w:ascii="宋体" w:hAnsi="宋体" w:cs="宋体"/>
                <w:color w:val="auto"/>
                <w:sz w:val="24"/>
                <w:highlight w:val="none"/>
              </w:rPr>
            </w:pPr>
          </w:p>
        </w:tc>
        <w:tc>
          <w:tcPr>
            <w:tcW w:w="632" w:type="pct"/>
            <w:vAlign w:val="center"/>
          </w:tcPr>
          <w:p w14:paraId="18FAEA46">
            <w:pPr>
              <w:snapToGrid w:val="0"/>
              <w:spacing w:line="360" w:lineRule="auto"/>
              <w:jc w:val="center"/>
              <w:rPr>
                <w:rFonts w:ascii="宋体" w:hAnsi="宋体" w:cs="宋体"/>
                <w:color w:val="auto"/>
                <w:sz w:val="24"/>
                <w:highlight w:val="none"/>
              </w:rPr>
            </w:pPr>
          </w:p>
        </w:tc>
        <w:tc>
          <w:tcPr>
            <w:tcW w:w="1070" w:type="pct"/>
            <w:vAlign w:val="center"/>
          </w:tcPr>
          <w:p w14:paraId="6C74362E">
            <w:pPr>
              <w:snapToGrid w:val="0"/>
              <w:spacing w:line="360" w:lineRule="auto"/>
              <w:jc w:val="center"/>
              <w:rPr>
                <w:rFonts w:ascii="宋体" w:hAnsi="宋体" w:cs="宋体"/>
                <w:color w:val="auto"/>
                <w:sz w:val="24"/>
                <w:highlight w:val="none"/>
              </w:rPr>
            </w:pPr>
          </w:p>
        </w:tc>
        <w:tc>
          <w:tcPr>
            <w:tcW w:w="340" w:type="pct"/>
            <w:vAlign w:val="center"/>
          </w:tcPr>
          <w:p w14:paraId="4FECCBFD">
            <w:pPr>
              <w:snapToGrid w:val="0"/>
              <w:spacing w:line="360" w:lineRule="auto"/>
              <w:jc w:val="center"/>
              <w:rPr>
                <w:rFonts w:ascii="宋体" w:hAnsi="宋体" w:cs="宋体"/>
                <w:color w:val="auto"/>
                <w:sz w:val="24"/>
                <w:highlight w:val="none"/>
              </w:rPr>
            </w:pPr>
          </w:p>
        </w:tc>
        <w:tc>
          <w:tcPr>
            <w:tcW w:w="534" w:type="pct"/>
            <w:vAlign w:val="center"/>
          </w:tcPr>
          <w:p w14:paraId="0BEA471E">
            <w:pPr>
              <w:spacing w:line="360" w:lineRule="auto"/>
              <w:jc w:val="center"/>
              <w:rPr>
                <w:rFonts w:ascii="宋体" w:hAnsi="宋体" w:cs="宋体"/>
                <w:color w:val="auto"/>
                <w:sz w:val="24"/>
                <w:highlight w:val="none"/>
              </w:rPr>
            </w:pPr>
          </w:p>
        </w:tc>
        <w:tc>
          <w:tcPr>
            <w:tcW w:w="680" w:type="pct"/>
            <w:vAlign w:val="center"/>
          </w:tcPr>
          <w:p w14:paraId="3C44E124">
            <w:pPr>
              <w:spacing w:line="360" w:lineRule="auto"/>
              <w:jc w:val="center"/>
              <w:rPr>
                <w:rFonts w:ascii="宋体" w:hAnsi="宋体" w:cs="宋体"/>
                <w:color w:val="auto"/>
                <w:sz w:val="24"/>
                <w:highlight w:val="none"/>
              </w:rPr>
            </w:pPr>
          </w:p>
        </w:tc>
        <w:tc>
          <w:tcPr>
            <w:tcW w:w="1070" w:type="pct"/>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201893D">
            <w:pPr>
              <w:spacing w:line="360" w:lineRule="auto"/>
              <w:jc w:val="center"/>
              <w:rPr>
                <w:rFonts w:ascii="宋体" w:hAnsi="宋体" w:cs="宋体"/>
                <w:color w:val="auto"/>
                <w:sz w:val="24"/>
                <w:highlight w:val="none"/>
              </w:rPr>
            </w:pPr>
          </w:p>
        </w:tc>
        <w:tc>
          <w:tcPr>
            <w:tcW w:w="486" w:type="pct"/>
            <w:vAlign w:val="center"/>
          </w:tcPr>
          <w:p w14:paraId="464FD0B2">
            <w:pPr>
              <w:snapToGrid w:val="0"/>
              <w:spacing w:line="360" w:lineRule="auto"/>
              <w:jc w:val="center"/>
              <w:rPr>
                <w:rFonts w:ascii="宋体" w:hAnsi="宋体" w:cs="宋体"/>
                <w:color w:val="auto"/>
                <w:sz w:val="24"/>
                <w:highlight w:val="none"/>
              </w:rPr>
            </w:pPr>
          </w:p>
        </w:tc>
        <w:tc>
          <w:tcPr>
            <w:tcW w:w="632" w:type="pct"/>
            <w:vAlign w:val="center"/>
          </w:tcPr>
          <w:p w14:paraId="72EBBD15">
            <w:pPr>
              <w:snapToGrid w:val="0"/>
              <w:spacing w:line="360" w:lineRule="auto"/>
              <w:jc w:val="center"/>
              <w:rPr>
                <w:rFonts w:ascii="宋体" w:hAnsi="宋体" w:cs="宋体"/>
                <w:color w:val="auto"/>
                <w:sz w:val="24"/>
                <w:highlight w:val="none"/>
              </w:rPr>
            </w:pPr>
          </w:p>
        </w:tc>
        <w:tc>
          <w:tcPr>
            <w:tcW w:w="1070" w:type="pct"/>
            <w:vAlign w:val="center"/>
          </w:tcPr>
          <w:p w14:paraId="49FBACC8">
            <w:pPr>
              <w:snapToGrid w:val="0"/>
              <w:spacing w:line="360" w:lineRule="auto"/>
              <w:jc w:val="center"/>
              <w:rPr>
                <w:rFonts w:ascii="宋体" w:hAnsi="宋体" w:cs="宋体"/>
                <w:color w:val="auto"/>
                <w:sz w:val="24"/>
                <w:highlight w:val="none"/>
              </w:rPr>
            </w:pPr>
          </w:p>
        </w:tc>
        <w:tc>
          <w:tcPr>
            <w:tcW w:w="340" w:type="pct"/>
            <w:vAlign w:val="center"/>
          </w:tcPr>
          <w:p w14:paraId="66BBBFA1">
            <w:pPr>
              <w:snapToGrid w:val="0"/>
              <w:spacing w:line="360" w:lineRule="auto"/>
              <w:jc w:val="center"/>
              <w:rPr>
                <w:rFonts w:ascii="宋体" w:hAnsi="宋体" w:cs="宋体"/>
                <w:color w:val="auto"/>
                <w:sz w:val="24"/>
                <w:highlight w:val="none"/>
              </w:rPr>
            </w:pPr>
          </w:p>
        </w:tc>
        <w:tc>
          <w:tcPr>
            <w:tcW w:w="534" w:type="pct"/>
            <w:vAlign w:val="center"/>
          </w:tcPr>
          <w:p w14:paraId="46D4408C">
            <w:pPr>
              <w:spacing w:line="360" w:lineRule="auto"/>
              <w:jc w:val="center"/>
              <w:rPr>
                <w:rFonts w:ascii="宋体" w:hAnsi="宋体" w:cs="宋体"/>
                <w:color w:val="auto"/>
                <w:sz w:val="24"/>
                <w:highlight w:val="none"/>
              </w:rPr>
            </w:pPr>
          </w:p>
        </w:tc>
        <w:tc>
          <w:tcPr>
            <w:tcW w:w="680" w:type="pct"/>
            <w:vAlign w:val="center"/>
          </w:tcPr>
          <w:p w14:paraId="184AA5E4">
            <w:pPr>
              <w:spacing w:line="360" w:lineRule="auto"/>
              <w:jc w:val="center"/>
              <w:rPr>
                <w:rFonts w:ascii="宋体" w:hAnsi="宋体" w:cs="宋体"/>
                <w:color w:val="auto"/>
                <w:sz w:val="24"/>
                <w:highlight w:val="none"/>
              </w:rPr>
            </w:pPr>
          </w:p>
        </w:tc>
        <w:tc>
          <w:tcPr>
            <w:tcW w:w="1070" w:type="pct"/>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2D188667">
            <w:pPr>
              <w:spacing w:line="360" w:lineRule="auto"/>
              <w:jc w:val="center"/>
              <w:rPr>
                <w:rFonts w:ascii="宋体" w:hAnsi="宋体" w:cs="宋体"/>
                <w:color w:val="auto"/>
                <w:sz w:val="24"/>
                <w:highlight w:val="none"/>
              </w:rPr>
            </w:pPr>
          </w:p>
        </w:tc>
        <w:tc>
          <w:tcPr>
            <w:tcW w:w="486" w:type="pct"/>
            <w:vAlign w:val="center"/>
          </w:tcPr>
          <w:p w14:paraId="068526CB">
            <w:pPr>
              <w:snapToGrid w:val="0"/>
              <w:spacing w:line="360" w:lineRule="auto"/>
              <w:jc w:val="center"/>
              <w:rPr>
                <w:rFonts w:ascii="宋体" w:hAnsi="宋体" w:cs="宋体"/>
                <w:color w:val="auto"/>
                <w:sz w:val="24"/>
                <w:highlight w:val="none"/>
              </w:rPr>
            </w:pPr>
          </w:p>
        </w:tc>
        <w:tc>
          <w:tcPr>
            <w:tcW w:w="632" w:type="pct"/>
            <w:vAlign w:val="center"/>
          </w:tcPr>
          <w:p w14:paraId="3C1055A7">
            <w:pPr>
              <w:snapToGrid w:val="0"/>
              <w:spacing w:line="360" w:lineRule="auto"/>
              <w:jc w:val="center"/>
              <w:rPr>
                <w:rFonts w:ascii="宋体" w:hAnsi="宋体" w:cs="宋体"/>
                <w:color w:val="auto"/>
                <w:sz w:val="24"/>
                <w:highlight w:val="none"/>
              </w:rPr>
            </w:pPr>
          </w:p>
        </w:tc>
        <w:tc>
          <w:tcPr>
            <w:tcW w:w="1070" w:type="pct"/>
            <w:vAlign w:val="center"/>
          </w:tcPr>
          <w:p w14:paraId="4A19400F">
            <w:pPr>
              <w:snapToGrid w:val="0"/>
              <w:spacing w:line="360" w:lineRule="auto"/>
              <w:jc w:val="center"/>
              <w:rPr>
                <w:rFonts w:ascii="宋体" w:hAnsi="宋体" w:cs="宋体"/>
                <w:color w:val="auto"/>
                <w:sz w:val="24"/>
                <w:highlight w:val="none"/>
              </w:rPr>
            </w:pPr>
          </w:p>
        </w:tc>
        <w:tc>
          <w:tcPr>
            <w:tcW w:w="340" w:type="pct"/>
            <w:vAlign w:val="center"/>
          </w:tcPr>
          <w:p w14:paraId="481F458D">
            <w:pPr>
              <w:snapToGrid w:val="0"/>
              <w:spacing w:line="360" w:lineRule="auto"/>
              <w:jc w:val="center"/>
              <w:rPr>
                <w:rFonts w:ascii="宋体" w:hAnsi="宋体" w:cs="宋体"/>
                <w:color w:val="auto"/>
                <w:sz w:val="24"/>
                <w:highlight w:val="none"/>
              </w:rPr>
            </w:pPr>
          </w:p>
        </w:tc>
        <w:tc>
          <w:tcPr>
            <w:tcW w:w="534" w:type="pct"/>
            <w:vAlign w:val="center"/>
          </w:tcPr>
          <w:p w14:paraId="5B1378C9">
            <w:pPr>
              <w:spacing w:line="360" w:lineRule="auto"/>
              <w:jc w:val="center"/>
              <w:rPr>
                <w:rFonts w:ascii="宋体" w:hAnsi="宋体" w:cs="宋体"/>
                <w:color w:val="auto"/>
                <w:sz w:val="24"/>
                <w:highlight w:val="none"/>
              </w:rPr>
            </w:pPr>
          </w:p>
        </w:tc>
        <w:tc>
          <w:tcPr>
            <w:tcW w:w="680" w:type="pct"/>
            <w:vAlign w:val="center"/>
          </w:tcPr>
          <w:p w14:paraId="26531FA6">
            <w:pPr>
              <w:spacing w:line="360" w:lineRule="auto"/>
              <w:jc w:val="center"/>
              <w:rPr>
                <w:rFonts w:ascii="宋体" w:hAnsi="宋体" w:cs="宋体"/>
                <w:color w:val="auto"/>
                <w:sz w:val="24"/>
                <w:highlight w:val="none"/>
              </w:rPr>
            </w:pPr>
          </w:p>
        </w:tc>
        <w:tc>
          <w:tcPr>
            <w:tcW w:w="1070" w:type="pct"/>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627" w:type="pct"/>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627" w:type="pct"/>
            <w:gridSpan w:val="4"/>
            <w:vAlign w:val="center"/>
          </w:tcPr>
          <w:p w14:paraId="5500B1F1">
            <w:pPr>
              <w:spacing w:line="360" w:lineRule="auto"/>
              <w:jc w:val="center"/>
              <w:rPr>
                <w:rFonts w:ascii="宋体" w:hAnsi="宋体" w:cs="宋体"/>
                <w:color w:val="auto"/>
                <w:sz w:val="24"/>
                <w:highlight w:val="none"/>
              </w:rPr>
            </w:pPr>
          </w:p>
        </w:tc>
      </w:tr>
    </w:tbl>
    <w:p w14:paraId="4FBBFA7D">
      <w:pPr>
        <w:snapToGrid w:val="0"/>
        <w:spacing w:line="360" w:lineRule="auto"/>
        <w:ind w:left="480"/>
        <w:rPr>
          <w:rFonts w:hint="eastAsia" w:ascii="宋体" w:hAnsi="宋体" w:cs="宋体"/>
          <w:b/>
          <w:color w:val="auto"/>
          <w:kern w:val="0"/>
          <w:sz w:val="24"/>
          <w:highlight w:val="none"/>
          <w:lang w:val="zh-CN"/>
        </w:rPr>
      </w:pPr>
    </w:p>
    <w:p w14:paraId="3E91EEA6">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7EAA8FD">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656CE4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numPr>
          <w:ilvl w:val="0"/>
          <w:numId w:val="12"/>
        </w:num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02D63EF">
      <w:pPr>
        <w:numPr>
          <w:ilvl w:val="0"/>
          <w:numId w:val="12"/>
        </w:num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174E6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1E1DFEC">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C07CCAC">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B397102">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04" w:name="_Hlk101259491"/>
      <w:r>
        <w:rPr>
          <w:rFonts w:hint="eastAsia" w:ascii="宋体" w:hAnsi="宋体" w:eastAsia="宋体" w:cs="宋体"/>
          <w:color w:val="auto"/>
          <w:sz w:val="32"/>
          <w:szCs w:val="32"/>
          <w:highlight w:val="none"/>
        </w:rPr>
        <w:t>（如果有）</w:t>
      </w:r>
      <w:bookmarkEnd w:id="404"/>
    </w:p>
    <w:p w14:paraId="2E863468">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24902AF">
      <w:pPr>
        <w:spacing w:line="360" w:lineRule="auto"/>
        <w:ind w:right="420" w:firstLine="3614" w:firstLineChars="1000"/>
        <w:rPr>
          <w:rFonts w:hint="eastAsia" w:ascii="宋体" w:hAnsi="宋体" w:cs="宋体"/>
          <w:b/>
          <w:color w:val="auto"/>
          <w:kern w:val="0"/>
          <w:sz w:val="36"/>
          <w:szCs w:val="36"/>
          <w:highlight w:val="none"/>
        </w:rPr>
      </w:pPr>
    </w:p>
    <w:p w14:paraId="5CBA7C62">
      <w:pPr>
        <w:spacing w:line="360" w:lineRule="auto"/>
        <w:ind w:right="420" w:firstLine="3614" w:firstLineChars="1000"/>
        <w:rPr>
          <w:rFonts w:hint="eastAsia" w:ascii="宋体" w:hAnsi="宋体" w:cs="宋体"/>
          <w:b/>
          <w:color w:val="auto"/>
          <w:kern w:val="0"/>
          <w:sz w:val="36"/>
          <w:szCs w:val="36"/>
          <w:highlight w:val="none"/>
        </w:rPr>
      </w:pPr>
    </w:p>
    <w:p w14:paraId="0730C22F">
      <w:pPr>
        <w:spacing w:line="360" w:lineRule="auto"/>
        <w:ind w:right="420" w:firstLine="3614" w:firstLineChars="1000"/>
        <w:rPr>
          <w:rFonts w:hint="eastAsia" w:ascii="宋体" w:hAnsi="宋体" w:cs="宋体"/>
          <w:b/>
          <w:color w:val="auto"/>
          <w:kern w:val="0"/>
          <w:sz w:val="36"/>
          <w:szCs w:val="36"/>
          <w:highlight w:val="none"/>
        </w:rPr>
      </w:pPr>
    </w:p>
    <w:p w14:paraId="43D58B69">
      <w:pPr>
        <w:spacing w:line="360" w:lineRule="auto"/>
        <w:ind w:right="420" w:firstLine="3614" w:firstLineChars="1000"/>
        <w:rPr>
          <w:rFonts w:hint="eastAsia" w:ascii="宋体" w:hAnsi="宋体" w:cs="宋体"/>
          <w:b/>
          <w:color w:val="auto"/>
          <w:kern w:val="0"/>
          <w:sz w:val="36"/>
          <w:szCs w:val="36"/>
          <w:highlight w:val="none"/>
        </w:rPr>
      </w:pPr>
    </w:p>
    <w:p w14:paraId="66B90D50">
      <w:pPr>
        <w:spacing w:line="360" w:lineRule="auto"/>
        <w:ind w:right="420" w:firstLine="3614" w:firstLineChars="1000"/>
        <w:rPr>
          <w:rFonts w:hint="eastAsia" w:ascii="宋体" w:hAnsi="宋体" w:cs="宋体"/>
          <w:b/>
          <w:color w:val="auto"/>
          <w:kern w:val="0"/>
          <w:sz w:val="36"/>
          <w:szCs w:val="36"/>
          <w:highlight w:val="none"/>
        </w:rPr>
      </w:pPr>
    </w:p>
    <w:p w14:paraId="6A8A1B24">
      <w:pPr>
        <w:spacing w:line="360" w:lineRule="auto"/>
        <w:ind w:right="420" w:firstLine="3614" w:firstLineChars="1000"/>
        <w:rPr>
          <w:rFonts w:hint="eastAsia" w:ascii="宋体" w:hAnsi="宋体" w:cs="宋体"/>
          <w:b/>
          <w:color w:val="auto"/>
          <w:kern w:val="0"/>
          <w:sz w:val="36"/>
          <w:szCs w:val="36"/>
          <w:highlight w:val="none"/>
        </w:rPr>
      </w:pPr>
    </w:p>
    <w:p w14:paraId="52AF90CA">
      <w:pPr>
        <w:spacing w:line="360" w:lineRule="auto"/>
        <w:ind w:right="420" w:firstLine="3614" w:firstLineChars="1000"/>
        <w:rPr>
          <w:rFonts w:hint="eastAsia" w:ascii="宋体" w:hAnsi="宋体" w:cs="宋体"/>
          <w:b/>
          <w:color w:val="auto"/>
          <w:kern w:val="0"/>
          <w:sz w:val="36"/>
          <w:szCs w:val="36"/>
          <w:highlight w:val="none"/>
        </w:rPr>
      </w:pPr>
    </w:p>
    <w:p w14:paraId="71C1588C">
      <w:pPr>
        <w:spacing w:line="360" w:lineRule="auto"/>
        <w:ind w:right="420" w:firstLine="3614" w:firstLineChars="1000"/>
        <w:rPr>
          <w:rFonts w:hint="eastAsia" w:ascii="宋体" w:hAnsi="宋体" w:cs="宋体"/>
          <w:b/>
          <w:color w:val="auto"/>
          <w:kern w:val="0"/>
          <w:sz w:val="36"/>
          <w:szCs w:val="36"/>
          <w:highlight w:val="none"/>
        </w:rPr>
      </w:pPr>
    </w:p>
    <w:p w14:paraId="712D0AED">
      <w:pPr>
        <w:spacing w:line="360" w:lineRule="auto"/>
        <w:ind w:right="420" w:firstLine="3614" w:firstLineChars="1000"/>
        <w:rPr>
          <w:rFonts w:hint="eastAsia" w:ascii="宋体" w:hAnsi="宋体" w:cs="宋体"/>
          <w:b/>
          <w:color w:val="auto"/>
          <w:kern w:val="0"/>
          <w:sz w:val="36"/>
          <w:szCs w:val="36"/>
          <w:highlight w:val="none"/>
        </w:rPr>
      </w:pPr>
    </w:p>
    <w:p w14:paraId="4C25B476">
      <w:pPr>
        <w:spacing w:line="360" w:lineRule="auto"/>
        <w:ind w:right="420" w:firstLine="3614" w:firstLineChars="1000"/>
        <w:rPr>
          <w:rFonts w:hint="eastAsia" w:ascii="宋体" w:hAnsi="宋体" w:cs="宋体"/>
          <w:b/>
          <w:color w:val="auto"/>
          <w:kern w:val="0"/>
          <w:sz w:val="36"/>
          <w:szCs w:val="36"/>
          <w:highlight w:val="none"/>
        </w:rPr>
      </w:pPr>
    </w:p>
    <w:p w14:paraId="6D294196">
      <w:pPr>
        <w:spacing w:line="360" w:lineRule="auto"/>
        <w:ind w:right="420" w:firstLine="3614" w:firstLineChars="1000"/>
        <w:rPr>
          <w:rFonts w:hint="eastAsia" w:ascii="宋体" w:hAnsi="宋体" w:cs="宋体"/>
          <w:b/>
          <w:color w:val="auto"/>
          <w:kern w:val="0"/>
          <w:sz w:val="36"/>
          <w:szCs w:val="36"/>
          <w:highlight w:val="none"/>
        </w:rPr>
      </w:pPr>
    </w:p>
    <w:p w14:paraId="33006BCB">
      <w:pPr>
        <w:spacing w:line="360" w:lineRule="auto"/>
        <w:ind w:right="420" w:firstLine="3614" w:firstLineChars="1000"/>
        <w:rPr>
          <w:rFonts w:hint="eastAsia" w:ascii="宋体" w:hAnsi="宋体" w:cs="宋体"/>
          <w:b/>
          <w:color w:val="auto"/>
          <w:kern w:val="0"/>
          <w:sz w:val="36"/>
          <w:szCs w:val="36"/>
          <w:highlight w:val="none"/>
        </w:rPr>
      </w:pPr>
    </w:p>
    <w:p w14:paraId="70623F43">
      <w:pPr>
        <w:spacing w:line="360" w:lineRule="auto"/>
        <w:ind w:right="420"/>
        <w:rPr>
          <w:rFonts w:hint="eastAsia" w:ascii="宋体" w:hAnsi="宋体" w:cs="宋体"/>
          <w:b/>
          <w:color w:val="auto"/>
          <w:kern w:val="0"/>
          <w:sz w:val="36"/>
          <w:szCs w:val="36"/>
          <w:highlight w:val="none"/>
        </w:rPr>
      </w:pPr>
    </w:p>
    <w:p w14:paraId="74A4D3C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05" w:name="_Toc465665161"/>
      <w:r>
        <w:rPr>
          <w:rFonts w:hint="eastAsia" w:ascii="宋体" w:hAnsi="宋体" w:cs="宋体"/>
          <w:color w:val="auto"/>
          <w:highlight w:val="none"/>
        </w:rPr>
        <w:t>附件</w:t>
      </w:r>
      <w:bookmarkEnd w:id="405"/>
    </w:p>
    <w:p w14:paraId="580F887E">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hint="eastAsia" w:ascii="宋体" w:hAnsi="宋体" w:cs="宋体"/>
          <w:b/>
          <w:color w:val="auto"/>
          <w:spacing w:val="6"/>
          <w:sz w:val="32"/>
          <w:szCs w:val="32"/>
          <w:highlight w:val="none"/>
        </w:rPr>
      </w:pPr>
      <w:bookmarkStart w:id="406" w:name="OLE_LINK13"/>
      <w:bookmarkStart w:id="407" w:name="OLE_LINK14"/>
      <w:r>
        <w:rPr>
          <w:rFonts w:hint="eastAsia" w:ascii="宋体" w:hAnsi="宋体" w:cs="宋体"/>
          <w:b/>
          <w:color w:val="auto"/>
          <w:spacing w:val="6"/>
          <w:sz w:val="32"/>
          <w:szCs w:val="32"/>
          <w:highlight w:val="none"/>
        </w:rPr>
        <w:t>残疾人福利性单位声明函</w:t>
      </w:r>
    </w:p>
    <w:bookmarkEnd w:id="406"/>
    <w:bookmarkEnd w:id="407"/>
    <w:p w14:paraId="713E7004">
      <w:pPr>
        <w:spacing w:line="360" w:lineRule="auto"/>
        <w:rPr>
          <w:rFonts w:hint="eastAsia" w:ascii="宋体" w:hAnsi="宋体" w:cs="宋体"/>
          <w:b/>
          <w:color w:val="auto"/>
          <w:spacing w:val="6"/>
          <w:sz w:val="30"/>
          <w:szCs w:val="30"/>
          <w:highlight w:val="none"/>
        </w:rPr>
      </w:pPr>
    </w:p>
    <w:p w14:paraId="313DA1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 xml:space="preserve">杭州市西湖区图书馆 </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采购智慧书架视觉盘点系统项目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hint="eastAsia" w:ascii="宋体" w:hAnsi="宋体" w:cs="宋体"/>
          <w:color w:val="auto"/>
          <w:sz w:val="24"/>
          <w:highlight w:val="none"/>
        </w:rPr>
      </w:pPr>
    </w:p>
    <w:p w14:paraId="2F392961">
      <w:pPr>
        <w:spacing w:line="360" w:lineRule="auto"/>
        <w:ind w:firstLine="480" w:firstLineChars="200"/>
        <w:rPr>
          <w:rFonts w:hint="eastAsia" w:ascii="宋体" w:hAnsi="宋体" w:cs="宋体"/>
          <w:color w:val="auto"/>
          <w:sz w:val="24"/>
          <w:highlight w:val="none"/>
        </w:rPr>
      </w:pPr>
    </w:p>
    <w:p w14:paraId="4F9738D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hint="eastAsia" w:ascii="宋体" w:hAnsi="宋体" w:cs="宋体"/>
          <w:color w:val="auto"/>
          <w:sz w:val="24"/>
          <w:highlight w:val="none"/>
        </w:rPr>
      </w:pPr>
    </w:p>
    <w:p w14:paraId="41B93328">
      <w:pPr>
        <w:spacing w:line="360" w:lineRule="auto"/>
        <w:ind w:firstLine="420" w:firstLineChars="200"/>
        <w:rPr>
          <w:rFonts w:hint="eastAsia" w:ascii="宋体" w:hAnsi="宋体" w:cs="宋体"/>
          <w:color w:val="auto"/>
          <w:highlight w:val="none"/>
        </w:rPr>
      </w:pPr>
    </w:p>
    <w:p w14:paraId="0974FF8F">
      <w:pPr>
        <w:spacing w:line="360" w:lineRule="auto"/>
        <w:ind w:firstLine="420" w:firstLineChars="200"/>
        <w:rPr>
          <w:rFonts w:hint="eastAsia" w:ascii="宋体" w:hAnsi="宋体" w:cs="宋体"/>
          <w:color w:val="auto"/>
          <w:highlight w:val="none"/>
        </w:rPr>
      </w:pPr>
    </w:p>
    <w:p w14:paraId="2A5CC95C">
      <w:pPr>
        <w:spacing w:line="360" w:lineRule="auto"/>
        <w:ind w:firstLine="420" w:firstLineChars="200"/>
        <w:rPr>
          <w:rFonts w:hint="eastAsia" w:ascii="宋体" w:hAnsi="宋体" w:cs="宋体"/>
          <w:color w:val="auto"/>
          <w:highlight w:val="none"/>
        </w:rPr>
      </w:pPr>
    </w:p>
    <w:p w14:paraId="324D0198">
      <w:pPr>
        <w:spacing w:line="360" w:lineRule="auto"/>
        <w:ind w:firstLine="420" w:firstLineChars="200"/>
        <w:rPr>
          <w:rFonts w:hint="eastAsia" w:ascii="宋体" w:hAnsi="宋体" w:cs="宋体"/>
          <w:color w:val="auto"/>
          <w:highlight w:val="none"/>
        </w:rPr>
      </w:pPr>
    </w:p>
    <w:p w14:paraId="045D49E6">
      <w:pPr>
        <w:spacing w:line="360" w:lineRule="auto"/>
        <w:rPr>
          <w:rFonts w:hint="eastAsia" w:ascii="宋体" w:hAnsi="宋体" w:cs="宋体"/>
          <w:b/>
          <w:color w:val="auto"/>
          <w:sz w:val="24"/>
          <w:highlight w:val="none"/>
        </w:rPr>
      </w:pPr>
    </w:p>
    <w:p w14:paraId="51C19CEB">
      <w:pPr>
        <w:spacing w:line="360" w:lineRule="auto"/>
        <w:rPr>
          <w:rFonts w:hint="eastAsia" w:ascii="宋体" w:hAnsi="宋体" w:cs="宋体"/>
          <w:b/>
          <w:color w:val="auto"/>
          <w:sz w:val="24"/>
          <w:highlight w:val="none"/>
        </w:rPr>
      </w:pPr>
    </w:p>
    <w:p w14:paraId="1FAF54F1">
      <w:pPr>
        <w:spacing w:line="360" w:lineRule="auto"/>
        <w:rPr>
          <w:rFonts w:hint="eastAsia" w:ascii="宋体" w:hAnsi="宋体" w:cs="宋体"/>
          <w:b/>
          <w:color w:val="auto"/>
          <w:sz w:val="24"/>
          <w:highlight w:val="none"/>
        </w:rPr>
      </w:pPr>
    </w:p>
    <w:p w14:paraId="0DE163B8">
      <w:pPr>
        <w:spacing w:line="360" w:lineRule="auto"/>
        <w:rPr>
          <w:rFonts w:hint="eastAsia" w:ascii="宋体" w:hAnsi="宋体" w:cs="宋体"/>
          <w:b/>
          <w:color w:val="auto"/>
          <w:sz w:val="24"/>
          <w:highlight w:val="none"/>
        </w:rPr>
      </w:pPr>
    </w:p>
    <w:p w14:paraId="12D0A647">
      <w:pPr>
        <w:spacing w:line="360" w:lineRule="auto"/>
        <w:rPr>
          <w:rFonts w:hint="eastAsia" w:ascii="宋体" w:hAnsi="宋体" w:cs="宋体"/>
          <w:b/>
          <w:color w:val="auto"/>
          <w:sz w:val="24"/>
          <w:highlight w:val="none"/>
        </w:rPr>
      </w:pPr>
    </w:p>
    <w:p w14:paraId="50DD2CE0">
      <w:pPr>
        <w:spacing w:line="360" w:lineRule="auto"/>
        <w:rPr>
          <w:rFonts w:hint="eastAsia" w:ascii="宋体" w:hAnsi="宋体" w:cs="宋体"/>
          <w:b/>
          <w:color w:val="auto"/>
          <w:sz w:val="24"/>
          <w:highlight w:val="none"/>
        </w:rPr>
      </w:pPr>
    </w:p>
    <w:p w14:paraId="252C48F0">
      <w:pPr>
        <w:spacing w:line="360" w:lineRule="auto"/>
        <w:rPr>
          <w:rFonts w:hint="eastAsia" w:ascii="宋体" w:hAnsi="宋体" w:cs="宋体"/>
          <w:b/>
          <w:color w:val="auto"/>
          <w:sz w:val="24"/>
          <w:highlight w:val="none"/>
        </w:rPr>
      </w:pPr>
    </w:p>
    <w:p w14:paraId="21604C02">
      <w:pPr>
        <w:spacing w:line="360" w:lineRule="auto"/>
        <w:rPr>
          <w:rFonts w:hint="eastAsia" w:ascii="宋体" w:hAnsi="宋体" w:cs="宋体"/>
          <w:b/>
          <w:color w:val="auto"/>
          <w:sz w:val="24"/>
          <w:highlight w:val="none"/>
        </w:rPr>
      </w:pPr>
    </w:p>
    <w:p w14:paraId="2A39E907">
      <w:pPr>
        <w:spacing w:line="360" w:lineRule="auto"/>
        <w:rPr>
          <w:rFonts w:hint="eastAsia" w:ascii="宋体" w:hAnsi="宋体" w:cs="宋体"/>
          <w:b/>
          <w:color w:val="auto"/>
          <w:sz w:val="24"/>
          <w:highlight w:val="none"/>
        </w:rPr>
      </w:pPr>
    </w:p>
    <w:p w14:paraId="0ADBEE9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hint="eastAsia" w:ascii="宋体" w:hAnsi="宋体" w:cs="宋体"/>
          <w:b/>
          <w:bCs/>
          <w:color w:val="auto"/>
          <w:sz w:val="24"/>
          <w:highlight w:val="none"/>
        </w:rPr>
      </w:pPr>
    </w:p>
    <w:p w14:paraId="2BC479D4">
      <w:pPr>
        <w:spacing w:line="360" w:lineRule="auto"/>
        <w:rPr>
          <w:rFonts w:hint="eastAsia" w:ascii="宋体" w:hAnsi="宋体" w:cs="宋体"/>
          <w:b/>
          <w:color w:val="auto"/>
          <w:sz w:val="24"/>
          <w:highlight w:val="none"/>
        </w:rPr>
      </w:pPr>
    </w:p>
    <w:p w14:paraId="1F9AF4BA">
      <w:pPr>
        <w:spacing w:line="360" w:lineRule="auto"/>
        <w:rPr>
          <w:rFonts w:hint="eastAsia" w:ascii="宋体" w:hAnsi="宋体" w:cs="宋体"/>
          <w:b/>
          <w:color w:val="auto"/>
          <w:sz w:val="24"/>
          <w:highlight w:val="none"/>
        </w:rPr>
      </w:pPr>
    </w:p>
    <w:p w14:paraId="70E5A138">
      <w:pPr>
        <w:spacing w:line="360" w:lineRule="auto"/>
        <w:rPr>
          <w:rFonts w:hint="eastAsia" w:ascii="宋体" w:hAnsi="宋体" w:cs="宋体"/>
          <w:b/>
          <w:color w:val="auto"/>
          <w:sz w:val="24"/>
          <w:highlight w:val="none"/>
        </w:rPr>
      </w:pPr>
    </w:p>
    <w:p w14:paraId="682F83F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hint="eastAsia" w:ascii="宋体" w:hAnsi="宋体" w:cs="宋体"/>
          <w:color w:val="auto"/>
          <w:sz w:val="30"/>
          <w:szCs w:val="30"/>
          <w:highlight w:val="none"/>
        </w:rPr>
      </w:pPr>
    </w:p>
    <w:p w14:paraId="61B85D82">
      <w:pPr>
        <w:spacing w:line="360" w:lineRule="auto"/>
        <w:jc w:val="center"/>
        <w:rPr>
          <w:rFonts w:hint="eastAsia" w:ascii="宋体" w:hAnsi="宋体" w:cs="宋体"/>
          <w:b/>
          <w:color w:val="auto"/>
          <w:spacing w:val="6"/>
          <w:sz w:val="32"/>
          <w:szCs w:val="32"/>
          <w:highlight w:val="none"/>
        </w:rPr>
      </w:pPr>
    </w:p>
    <w:p w14:paraId="5513B6AA">
      <w:pPr>
        <w:spacing w:line="360" w:lineRule="auto"/>
        <w:jc w:val="center"/>
        <w:rPr>
          <w:rFonts w:hint="eastAsia" w:ascii="宋体" w:hAnsi="宋体" w:cs="宋体"/>
          <w:b/>
          <w:color w:val="auto"/>
          <w:spacing w:val="6"/>
          <w:sz w:val="32"/>
          <w:szCs w:val="32"/>
          <w:highlight w:val="none"/>
        </w:rPr>
      </w:pPr>
    </w:p>
    <w:p w14:paraId="5D167CE3">
      <w:pPr>
        <w:spacing w:line="360" w:lineRule="auto"/>
        <w:jc w:val="center"/>
        <w:rPr>
          <w:rFonts w:hint="eastAsia" w:ascii="宋体" w:hAnsi="宋体" w:cs="宋体"/>
          <w:b/>
          <w:color w:val="auto"/>
          <w:spacing w:val="6"/>
          <w:sz w:val="32"/>
          <w:szCs w:val="32"/>
          <w:highlight w:val="none"/>
        </w:rPr>
      </w:pPr>
    </w:p>
    <w:p w14:paraId="6D7FAA68">
      <w:pPr>
        <w:spacing w:line="360" w:lineRule="auto"/>
        <w:jc w:val="center"/>
        <w:rPr>
          <w:rFonts w:hint="eastAsia" w:ascii="宋体" w:hAnsi="宋体" w:cs="宋体"/>
          <w:b/>
          <w:color w:val="auto"/>
          <w:spacing w:val="6"/>
          <w:sz w:val="32"/>
          <w:szCs w:val="32"/>
          <w:highlight w:val="none"/>
        </w:rPr>
      </w:pPr>
    </w:p>
    <w:p w14:paraId="67C804BD">
      <w:pPr>
        <w:spacing w:line="360" w:lineRule="auto"/>
        <w:jc w:val="center"/>
        <w:rPr>
          <w:rFonts w:hint="eastAsia" w:ascii="宋体" w:hAnsi="宋体" w:cs="宋体"/>
          <w:b/>
          <w:color w:val="auto"/>
          <w:spacing w:val="6"/>
          <w:sz w:val="32"/>
          <w:szCs w:val="32"/>
          <w:highlight w:val="none"/>
        </w:rPr>
      </w:pPr>
    </w:p>
    <w:p w14:paraId="4BAA54ED">
      <w:pPr>
        <w:spacing w:line="360" w:lineRule="auto"/>
        <w:jc w:val="center"/>
        <w:rPr>
          <w:rFonts w:hint="eastAsia" w:ascii="宋体" w:hAnsi="宋体" w:cs="宋体"/>
          <w:b/>
          <w:color w:val="auto"/>
          <w:spacing w:val="6"/>
          <w:sz w:val="32"/>
          <w:szCs w:val="32"/>
          <w:highlight w:val="none"/>
        </w:rPr>
      </w:pPr>
    </w:p>
    <w:p w14:paraId="3B3D1461">
      <w:pPr>
        <w:spacing w:line="360" w:lineRule="auto"/>
        <w:jc w:val="center"/>
        <w:rPr>
          <w:rFonts w:hint="eastAsia" w:ascii="宋体" w:hAnsi="宋体" w:cs="宋体"/>
          <w:b/>
          <w:color w:val="auto"/>
          <w:spacing w:val="6"/>
          <w:sz w:val="32"/>
          <w:szCs w:val="32"/>
          <w:highlight w:val="none"/>
        </w:rPr>
      </w:pPr>
    </w:p>
    <w:p w14:paraId="3963B281">
      <w:pPr>
        <w:spacing w:line="360" w:lineRule="auto"/>
        <w:jc w:val="center"/>
        <w:rPr>
          <w:rFonts w:hint="eastAsia" w:ascii="宋体" w:hAnsi="宋体" w:cs="宋体"/>
          <w:b/>
          <w:color w:val="auto"/>
          <w:spacing w:val="6"/>
          <w:sz w:val="32"/>
          <w:szCs w:val="32"/>
          <w:highlight w:val="none"/>
        </w:rPr>
      </w:pPr>
    </w:p>
    <w:p w14:paraId="60B51343">
      <w:pPr>
        <w:spacing w:line="360" w:lineRule="auto"/>
        <w:jc w:val="center"/>
        <w:rPr>
          <w:rFonts w:hint="eastAsia" w:ascii="宋体" w:hAnsi="宋体" w:cs="宋体"/>
          <w:b/>
          <w:color w:val="auto"/>
          <w:spacing w:val="6"/>
          <w:sz w:val="32"/>
          <w:szCs w:val="32"/>
          <w:highlight w:val="none"/>
        </w:rPr>
      </w:pPr>
    </w:p>
    <w:p w14:paraId="49C8AD6E">
      <w:pPr>
        <w:spacing w:line="360" w:lineRule="auto"/>
        <w:jc w:val="center"/>
        <w:rPr>
          <w:rFonts w:hint="eastAsia" w:ascii="宋体" w:hAnsi="宋体" w:cs="宋体"/>
          <w:b/>
          <w:color w:val="auto"/>
          <w:spacing w:val="6"/>
          <w:sz w:val="32"/>
          <w:szCs w:val="32"/>
          <w:highlight w:val="none"/>
        </w:rPr>
      </w:pPr>
    </w:p>
    <w:p w14:paraId="68E64652">
      <w:pPr>
        <w:spacing w:line="360" w:lineRule="auto"/>
        <w:jc w:val="center"/>
        <w:rPr>
          <w:rFonts w:hint="eastAsia" w:ascii="宋体" w:hAnsi="宋体" w:cs="宋体"/>
          <w:b/>
          <w:color w:val="auto"/>
          <w:spacing w:val="6"/>
          <w:sz w:val="32"/>
          <w:szCs w:val="32"/>
          <w:highlight w:val="none"/>
        </w:rPr>
      </w:pPr>
    </w:p>
    <w:p w14:paraId="6C0D09D8">
      <w:pPr>
        <w:spacing w:line="360" w:lineRule="auto"/>
        <w:jc w:val="center"/>
        <w:rPr>
          <w:rFonts w:hint="eastAsia" w:ascii="宋体" w:hAnsi="宋体" w:cs="宋体"/>
          <w:b/>
          <w:color w:val="auto"/>
          <w:spacing w:val="6"/>
          <w:sz w:val="32"/>
          <w:szCs w:val="32"/>
          <w:highlight w:val="none"/>
        </w:rPr>
      </w:pPr>
    </w:p>
    <w:p w14:paraId="02D82453">
      <w:pPr>
        <w:spacing w:line="360" w:lineRule="auto"/>
        <w:jc w:val="left"/>
        <w:rPr>
          <w:rFonts w:hint="eastAsia" w:ascii="宋体" w:hAnsi="宋体" w:cs="宋体"/>
          <w:b/>
          <w:color w:val="auto"/>
          <w:spacing w:val="6"/>
          <w:sz w:val="32"/>
          <w:szCs w:val="32"/>
          <w:highlight w:val="none"/>
        </w:rPr>
      </w:pPr>
    </w:p>
    <w:p w14:paraId="6B79694F">
      <w:pPr>
        <w:spacing w:line="360" w:lineRule="auto"/>
        <w:jc w:val="left"/>
        <w:rPr>
          <w:rFonts w:hint="eastAsia" w:ascii="宋体" w:hAnsi="宋体" w:cs="宋体"/>
          <w:b/>
          <w:color w:val="auto"/>
          <w:spacing w:val="6"/>
          <w:sz w:val="32"/>
          <w:szCs w:val="32"/>
          <w:highlight w:val="none"/>
        </w:rPr>
      </w:pPr>
    </w:p>
    <w:p w14:paraId="5D9C5E6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hint="eastAsia" w:ascii="宋体" w:hAnsi="宋体" w:cs="宋体"/>
          <w:b/>
          <w:color w:val="auto"/>
          <w:sz w:val="24"/>
          <w:highlight w:val="none"/>
        </w:rPr>
      </w:pPr>
    </w:p>
    <w:p w14:paraId="1330249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hint="eastAsia" w:ascii="宋体" w:hAnsi="宋体" w:cs="宋体"/>
          <w:b/>
          <w:color w:val="auto"/>
          <w:sz w:val="24"/>
          <w:highlight w:val="none"/>
        </w:rPr>
      </w:pPr>
    </w:p>
    <w:p w14:paraId="35282C7A">
      <w:pPr>
        <w:spacing w:line="360" w:lineRule="auto"/>
        <w:rPr>
          <w:rFonts w:hint="eastAsia" w:ascii="宋体" w:hAnsi="宋体" w:cs="宋体"/>
          <w:b/>
          <w:color w:val="auto"/>
          <w:sz w:val="24"/>
          <w:highlight w:val="none"/>
        </w:rPr>
      </w:pPr>
    </w:p>
    <w:p w14:paraId="7D55851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hint="eastAsia" w:ascii="宋体" w:hAnsi="宋体" w:cs="宋体"/>
          <w:b/>
          <w:color w:val="auto"/>
          <w:sz w:val="24"/>
          <w:highlight w:val="none"/>
        </w:rPr>
      </w:pPr>
    </w:p>
    <w:p w14:paraId="32840F06">
      <w:pPr>
        <w:autoSpaceDE w:val="0"/>
        <w:autoSpaceDN w:val="0"/>
        <w:jc w:val="center"/>
        <w:rPr>
          <w:rFonts w:hint="eastAsia" w:ascii="宋体" w:hAnsi="宋体" w:cs="宋体"/>
          <w:b/>
          <w:color w:val="auto"/>
          <w:spacing w:val="6"/>
          <w:sz w:val="32"/>
          <w:szCs w:val="32"/>
          <w:highlight w:val="none"/>
        </w:rPr>
      </w:pPr>
    </w:p>
    <w:p w14:paraId="443DA4A6">
      <w:pPr>
        <w:autoSpaceDE w:val="0"/>
        <w:autoSpaceDN w:val="0"/>
        <w:jc w:val="center"/>
        <w:rPr>
          <w:rFonts w:hint="eastAsia" w:ascii="宋体" w:hAnsi="宋体" w:cs="宋体"/>
          <w:b/>
          <w:color w:val="auto"/>
          <w:spacing w:val="6"/>
          <w:sz w:val="32"/>
          <w:szCs w:val="32"/>
          <w:highlight w:val="none"/>
        </w:rPr>
      </w:pPr>
    </w:p>
    <w:p w14:paraId="57B9E3C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hint="eastAsia" w:ascii="宋体" w:hAnsi="宋体" w:cs="宋体"/>
          <w:color w:val="auto"/>
          <w:sz w:val="24"/>
          <w:highlight w:val="none"/>
          <w:u w:val="single"/>
        </w:rPr>
      </w:pPr>
    </w:p>
    <w:p w14:paraId="07B306D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杭州市西湖区图书馆 、浙江省成套招标代理有限公司：</w:t>
      </w:r>
    </w:p>
    <w:p w14:paraId="2B8580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杭州市西湖区图书馆采购智慧书架视觉盘点系统项目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hint="eastAsia" w:ascii="宋体" w:hAnsi="宋体" w:cs="宋体"/>
          <w:color w:val="auto"/>
          <w:sz w:val="24"/>
          <w:highlight w:val="none"/>
        </w:rPr>
      </w:pPr>
    </w:p>
    <w:p w14:paraId="54754C4E">
      <w:pPr>
        <w:spacing w:line="360" w:lineRule="auto"/>
        <w:ind w:firstLine="494"/>
        <w:rPr>
          <w:rFonts w:hint="eastAsia" w:ascii="宋体" w:hAnsi="宋体" w:cs="宋体"/>
          <w:color w:val="auto"/>
          <w:sz w:val="24"/>
          <w:highlight w:val="none"/>
        </w:rPr>
      </w:pPr>
    </w:p>
    <w:p w14:paraId="3813B2E7">
      <w:pPr>
        <w:spacing w:line="360" w:lineRule="auto"/>
        <w:ind w:firstLine="494"/>
        <w:rPr>
          <w:rFonts w:hint="eastAsia" w:ascii="宋体" w:hAnsi="宋体" w:cs="宋体"/>
          <w:color w:val="auto"/>
          <w:sz w:val="24"/>
          <w:highlight w:val="none"/>
        </w:rPr>
      </w:pPr>
    </w:p>
    <w:p w14:paraId="165A7295">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hint="eastAsia"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hint="eastAsia" w:ascii="宋体" w:hAnsi="宋体" w:cs="宋体"/>
          <w:b/>
          <w:color w:val="auto"/>
          <w:spacing w:val="6"/>
          <w:sz w:val="32"/>
          <w:szCs w:val="32"/>
          <w:highlight w:val="none"/>
        </w:rPr>
      </w:pPr>
    </w:p>
    <w:p w14:paraId="513ED51A">
      <w:pPr>
        <w:autoSpaceDE w:val="0"/>
        <w:autoSpaceDN w:val="0"/>
        <w:jc w:val="center"/>
        <w:rPr>
          <w:rFonts w:hint="eastAsia" w:ascii="宋体" w:hAnsi="宋体" w:cs="宋体"/>
          <w:b/>
          <w:color w:val="auto"/>
          <w:spacing w:val="6"/>
          <w:sz w:val="32"/>
          <w:szCs w:val="32"/>
          <w:highlight w:val="none"/>
        </w:rPr>
      </w:pPr>
    </w:p>
    <w:p w14:paraId="2F736E40">
      <w:pPr>
        <w:autoSpaceDE w:val="0"/>
        <w:autoSpaceDN w:val="0"/>
        <w:jc w:val="center"/>
        <w:rPr>
          <w:rFonts w:hint="eastAsia" w:ascii="宋体" w:hAnsi="宋体" w:cs="宋体"/>
          <w:b/>
          <w:color w:val="auto"/>
          <w:spacing w:val="6"/>
          <w:sz w:val="32"/>
          <w:szCs w:val="32"/>
          <w:highlight w:val="none"/>
        </w:rPr>
      </w:pPr>
    </w:p>
    <w:p w14:paraId="3EA54A02">
      <w:pPr>
        <w:autoSpaceDE w:val="0"/>
        <w:autoSpaceDN w:val="0"/>
        <w:jc w:val="center"/>
        <w:rPr>
          <w:rFonts w:hint="eastAsia" w:ascii="宋体" w:hAnsi="宋体" w:cs="宋体"/>
          <w:b/>
          <w:color w:val="auto"/>
          <w:spacing w:val="6"/>
          <w:sz w:val="32"/>
          <w:szCs w:val="32"/>
          <w:highlight w:val="none"/>
        </w:rPr>
      </w:pPr>
    </w:p>
    <w:p w14:paraId="0689EF81">
      <w:pPr>
        <w:autoSpaceDE w:val="0"/>
        <w:autoSpaceDN w:val="0"/>
        <w:jc w:val="center"/>
        <w:rPr>
          <w:rFonts w:hint="eastAsia" w:ascii="宋体" w:hAnsi="宋体" w:cs="宋体"/>
          <w:b/>
          <w:color w:val="auto"/>
          <w:spacing w:val="6"/>
          <w:sz w:val="32"/>
          <w:szCs w:val="32"/>
          <w:highlight w:val="none"/>
        </w:rPr>
      </w:pPr>
    </w:p>
    <w:p w14:paraId="1096810A">
      <w:pPr>
        <w:autoSpaceDE w:val="0"/>
        <w:autoSpaceDN w:val="0"/>
        <w:jc w:val="center"/>
        <w:rPr>
          <w:rFonts w:hint="eastAsia" w:ascii="宋体" w:hAnsi="宋体" w:cs="宋体"/>
          <w:b/>
          <w:color w:val="auto"/>
          <w:spacing w:val="6"/>
          <w:sz w:val="32"/>
          <w:szCs w:val="32"/>
          <w:highlight w:val="none"/>
        </w:rPr>
      </w:pPr>
    </w:p>
    <w:p w14:paraId="426DC93C">
      <w:pPr>
        <w:autoSpaceDE w:val="0"/>
        <w:autoSpaceDN w:val="0"/>
        <w:jc w:val="center"/>
        <w:rPr>
          <w:rFonts w:hint="eastAsia" w:ascii="宋体" w:hAnsi="宋体" w:cs="宋体"/>
          <w:b/>
          <w:color w:val="auto"/>
          <w:spacing w:val="6"/>
          <w:sz w:val="32"/>
          <w:szCs w:val="32"/>
          <w:highlight w:val="none"/>
        </w:rPr>
      </w:pPr>
    </w:p>
    <w:p w14:paraId="118A2161">
      <w:pPr>
        <w:autoSpaceDE w:val="0"/>
        <w:autoSpaceDN w:val="0"/>
        <w:jc w:val="center"/>
        <w:rPr>
          <w:rFonts w:hint="eastAsia" w:ascii="宋体" w:hAnsi="宋体" w:cs="宋体"/>
          <w:b/>
          <w:color w:val="auto"/>
          <w:spacing w:val="6"/>
          <w:sz w:val="32"/>
          <w:szCs w:val="32"/>
          <w:highlight w:val="none"/>
        </w:rPr>
      </w:pPr>
    </w:p>
    <w:p w14:paraId="55A758B1">
      <w:pPr>
        <w:autoSpaceDE w:val="0"/>
        <w:autoSpaceDN w:val="0"/>
        <w:jc w:val="center"/>
        <w:rPr>
          <w:rFonts w:hint="eastAsia" w:ascii="宋体" w:hAnsi="宋体" w:cs="宋体"/>
          <w:b/>
          <w:color w:val="auto"/>
          <w:spacing w:val="6"/>
          <w:sz w:val="32"/>
          <w:szCs w:val="32"/>
          <w:highlight w:val="none"/>
        </w:rPr>
      </w:pPr>
    </w:p>
    <w:p w14:paraId="439311EC">
      <w:pPr>
        <w:autoSpaceDE w:val="0"/>
        <w:autoSpaceDN w:val="0"/>
        <w:jc w:val="center"/>
        <w:rPr>
          <w:rFonts w:hint="eastAsia" w:ascii="宋体" w:hAnsi="宋体" w:cs="宋体"/>
          <w:b/>
          <w:color w:val="auto"/>
          <w:spacing w:val="6"/>
          <w:sz w:val="32"/>
          <w:szCs w:val="32"/>
          <w:highlight w:val="none"/>
        </w:rPr>
      </w:pPr>
    </w:p>
    <w:p w14:paraId="1786AFAA">
      <w:pPr>
        <w:autoSpaceDE w:val="0"/>
        <w:autoSpaceDN w:val="0"/>
        <w:jc w:val="center"/>
        <w:rPr>
          <w:rFonts w:hint="eastAsia" w:ascii="宋体" w:hAnsi="宋体" w:cs="宋体"/>
          <w:b/>
          <w:color w:val="auto"/>
          <w:spacing w:val="6"/>
          <w:sz w:val="32"/>
          <w:szCs w:val="32"/>
          <w:highlight w:val="none"/>
        </w:rPr>
      </w:pPr>
    </w:p>
    <w:p w14:paraId="14C0A277">
      <w:pPr>
        <w:autoSpaceDE w:val="0"/>
        <w:autoSpaceDN w:val="0"/>
        <w:jc w:val="center"/>
        <w:rPr>
          <w:rFonts w:hint="eastAsia" w:ascii="宋体" w:hAnsi="宋体" w:cs="宋体"/>
          <w:b/>
          <w:color w:val="auto"/>
          <w:spacing w:val="6"/>
          <w:sz w:val="32"/>
          <w:szCs w:val="32"/>
          <w:highlight w:val="none"/>
        </w:rPr>
      </w:pPr>
    </w:p>
    <w:p w14:paraId="737AECC2">
      <w:pPr>
        <w:autoSpaceDE w:val="0"/>
        <w:autoSpaceDN w:val="0"/>
        <w:jc w:val="center"/>
        <w:rPr>
          <w:rFonts w:hint="eastAsia"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40AB1E3">
      <w:pPr>
        <w:autoSpaceDE w:val="0"/>
        <w:autoSpaceDN w:val="0"/>
        <w:jc w:val="center"/>
        <w:rPr>
          <w:rFonts w:ascii="宋体" w:hAnsi="宋体" w:cs="宋体"/>
          <w:b/>
          <w:color w:val="auto"/>
          <w:spacing w:val="6"/>
          <w:sz w:val="32"/>
          <w:szCs w:val="32"/>
          <w:highlight w:val="none"/>
        </w:rPr>
      </w:pPr>
    </w:p>
    <w:p w14:paraId="3F842840">
      <w:pPr>
        <w:autoSpaceDE w:val="0"/>
        <w:autoSpaceDN w:val="0"/>
        <w:jc w:val="center"/>
        <w:rPr>
          <w:rFonts w:hint="eastAsia" w:ascii="宋体" w:hAnsi="宋体" w:cs="宋体"/>
          <w:b/>
          <w:color w:val="auto"/>
          <w:spacing w:val="6"/>
          <w:sz w:val="32"/>
          <w:szCs w:val="32"/>
          <w:highlight w:val="none"/>
        </w:rPr>
      </w:pPr>
    </w:p>
    <w:p w14:paraId="6D5381CB">
      <w:pPr>
        <w:autoSpaceDE w:val="0"/>
        <w:autoSpaceDN w:val="0"/>
        <w:rPr>
          <w:rFonts w:hint="eastAsia" w:ascii="宋体" w:hAnsi="宋体" w:cs="宋体"/>
          <w:b/>
          <w:color w:val="auto"/>
          <w:spacing w:val="6"/>
          <w:sz w:val="32"/>
          <w:szCs w:val="32"/>
          <w:highlight w:val="none"/>
        </w:rPr>
      </w:pPr>
    </w:p>
    <w:p w14:paraId="14C877D0">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杭州市西湖区图书馆采购智慧书架视觉盘点系统项目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hint="eastAsia" w:ascii="宋体" w:hAnsi="宋体" w:cs="宋体"/>
          <w:color w:val="auto"/>
          <w:kern w:val="0"/>
          <w:sz w:val="24"/>
          <w:highlight w:val="none"/>
          <w:lang w:val="zh-CN"/>
        </w:rPr>
      </w:pPr>
      <w:bookmarkStart w:id="40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8"/>
    <w:p w14:paraId="1D6E74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hint="eastAsia" w:ascii="宋体" w:hAnsi="宋体" w:cs="宋体"/>
          <w:b/>
          <w:color w:val="auto"/>
          <w:spacing w:val="6"/>
          <w:sz w:val="32"/>
          <w:szCs w:val="32"/>
          <w:highlight w:val="none"/>
        </w:rPr>
      </w:pPr>
    </w:p>
    <w:p w14:paraId="78C21CBB">
      <w:pPr>
        <w:autoSpaceDE w:val="0"/>
        <w:autoSpaceDN w:val="0"/>
        <w:jc w:val="center"/>
        <w:rPr>
          <w:rFonts w:hint="eastAsia" w:ascii="宋体" w:hAnsi="宋体" w:cs="宋体"/>
          <w:b/>
          <w:color w:val="auto"/>
          <w:spacing w:val="6"/>
          <w:sz w:val="32"/>
          <w:szCs w:val="32"/>
          <w:highlight w:val="none"/>
        </w:rPr>
      </w:pPr>
    </w:p>
    <w:p w14:paraId="1788E2EB">
      <w:pPr>
        <w:autoSpaceDE w:val="0"/>
        <w:autoSpaceDN w:val="0"/>
        <w:jc w:val="center"/>
        <w:rPr>
          <w:rFonts w:hint="eastAsia" w:ascii="宋体" w:hAnsi="宋体" w:cs="宋体"/>
          <w:b/>
          <w:color w:val="auto"/>
          <w:spacing w:val="6"/>
          <w:sz w:val="32"/>
          <w:szCs w:val="32"/>
          <w:highlight w:val="none"/>
        </w:rPr>
      </w:pPr>
    </w:p>
    <w:p w14:paraId="491B3618">
      <w:pPr>
        <w:autoSpaceDE w:val="0"/>
        <w:autoSpaceDN w:val="0"/>
        <w:jc w:val="center"/>
        <w:rPr>
          <w:rFonts w:hint="eastAsia" w:ascii="宋体" w:hAnsi="宋体" w:cs="宋体"/>
          <w:b/>
          <w:color w:val="auto"/>
          <w:spacing w:val="6"/>
          <w:sz w:val="32"/>
          <w:szCs w:val="32"/>
          <w:highlight w:val="none"/>
        </w:rPr>
      </w:pPr>
    </w:p>
    <w:p w14:paraId="1A723575">
      <w:pPr>
        <w:autoSpaceDE w:val="0"/>
        <w:autoSpaceDN w:val="0"/>
        <w:jc w:val="center"/>
        <w:rPr>
          <w:rFonts w:hint="eastAsia" w:ascii="宋体" w:hAnsi="宋体" w:cs="宋体"/>
          <w:b/>
          <w:color w:val="auto"/>
          <w:spacing w:val="6"/>
          <w:sz w:val="32"/>
          <w:szCs w:val="32"/>
          <w:highlight w:val="none"/>
        </w:rPr>
      </w:pPr>
    </w:p>
    <w:p w14:paraId="64FDC1D0">
      <w:pPr>
        <w:autoSpaceDE w:val="0"/>
        <w:autoSpaceDN w:val="0"/>
        <w:jc w:val="center"/>
        <w:rPr>
          <w:rFonts w:hint="eastAsia" w:ascii="宋体" w:hAnsi="宋体" w:cs="宋体"/>
          <w:b/>
          <w:color w:val="auto"/>
          <w:spacing w:val="6"/>
          <w:sz w:val="32"/>
          <w:szCs w:val="32"/>
          <w:highlight w:val="none"/>
        </w:rPr>
      </w:pPr>
    </w:p>
    <w:p w14:paraId="598342FD">
      <w:pPr>
        <w:autoSpaceDE w:val="0"/>
        <w:autoSpaceDN w:val="0"/>
        <w:jc w:val="center"/>
        <w:rPr>
          <w:rFonts w:hint="eastAsia" w:ascii="宋体" w:hAnsi="宋体" w:cs="宋体"/>
          <w:b/>
          <w:color w:val="auto"/>
          <w:spacing w:val="6"/>
          <w:sz w:val="32"/>
          <w:szCs w:val="32"/>
          <w:highlight w:val="none"/>
        </w:rPr>
      </w:pPr>
    </w:p>
    <w:p w14:paraId="2B2D0E52">
      <w:pPr>
        <w:autoSpaceDE w:val="0"/>
        <w:autoSpaceDN w:val="0"/>
        <w:jc w:val="center"/>
        <w:rPr>
          <w:rFonts w:hint="eastAsia" w:ascii="宋体" w:hAnsi="宋体" w:cs="宋体"/>
          <w:b/>
          <w:color w:val="auto"/>
          <w:spacing w:val="6"/>
          <w:sz w:val="32"/>
          <w:szCs w:val="32"/>
          <w:highlight w:val="none"/>
        </w:rPr>
      </w:pPr>
    </w:p>
    <w:p w14:paraId="22EE701E">
      <w:pPr>
        <w:autoSpaceDE w:val="0"/>
        <w:autoSpaceDN w:val="0"/>
        <w:jc w:val="center"/>
        <w:rPr>
          <w:rFonts w:hint="eastAsia" w:ascii="宋体" w:hAnsi="宋体" w:cs="宋体"/>
          <w:b/>
          <w:color w:val="auto"/>
          <w:spacing w:val="6"/>
          <w:sz w:val="32"/>
          <w:szCs w:val="32"/>
          <w:highlight w:val="none"/>
        </w:rPr>
      </w:pPr>
    </w:p>
    <w:p w14:paraId="79D4858E">
      <w:pPr>
        <w:autoSpaceDE w:val="0"/>
        <w:autoSpaceDN w:val="0"/>
        <w:jc w:val="center"/>
        <w:rPr>
          <w:rFonts w:hint="eastAsia" w:ascii="宋体" w:hAnsi="宋体" w:cs="宋体"/>
          <w:b/>
          <w:color w:val="auto"/>
          <w:spacing w:val="6"/>
          <w:sz w:val="32"/>
          <w:szCs w:val="32"/>
          <w:highlight w:val="none"/>
        </w:rPr>
      </w:pPr>
    </w:p>
    <w:p w14:paraId="72D7F0EB">
      <w:pPr>
        <w:autoSpaceDE w:val="0"/>
        <w:autoSpaceDN w:val="0"/>
        <w:jc w:val="center"/>
        <w:rPr>
          <w:rFonts w:hint="eastAsia" w:ascii="宋体" w:hAnsi="宋体" w:cs="宋体"/>
          <w:b/>
          <w:color w:val="auto"/>
          <w:spacing w:val="6"/>
          <w:sz w:val="32"/>
          <w:szCs w:val="32"/>
          <w:highlight w:val="none"/>
        </w:rPr>
      </w:pPr>
    </w:p>
    <w:p w14:paraId="4AB157A9">
      <w:pPr>
        <w:autoSpaceDE w:val="0"/>
        <w:autoSpaceDN w:val="0"/>
        <w:jc w:val="center"/>
        <w:rPr>
          <w:rFonts w:hint="eastAsia" w:ascii="宋体" w:hAnsi="宋体" w:cs="宋体"/>
          <w:b/>
          <w:color w:val="auto"/>
          <w:spacing w:val="6"/>
          <w:sz w:val="32"/>
          <w:szCs w:val="32"/>
          <w:highlight w:val="none"/>
        </w:rPr>
      </w:pPr>
    </w:p>
    <w:p w14:paraId="4565DE69">
      <w:pPr>
        <w:autoSpaceDE w:val="0"/>
        <w:autoSpaceDN w:val="0"/>
        <w:jc w:val="center"/>
        <w:rPr>
          <w:rFonts w:hint="eastAsia" w:ascii="宋体" w:hAnsi="宋体" w:cs="宋体"/>
          <w:b/>
          <w:color w:val="auto"/>
          <w:spacing w:val="6"/>
          <w:sz w:val="32"/>
          <w:szCs w:val="32"/>
          <w:highlight w:val="none"/>
        </w:rPr>
      </w:pPr>
    </w:p>
    <w:p w14:paraId="4F01F67D">
      <w:pPr>
        <w:autoSpaceDE w:val="0"/>
        <w:autoSpaceDN w:val="0"/>
        <w:jc w:val="center"/>
        <w:rPr>
          <w:rFonts w:hint="eastAsia" w:ascii="宋体" w:hAnsi="宋体" w:cs="宋体"/>
          <w:b/>
          <w:color w:val="auto"/>
          <w:spacing w:val="6"/>
          <w:sz w:val="32"/>
          <w:szCs w:val="32"/>
          <w:highlight w:val="none"/>
        </w:rPr>
      </w:pPr>
    </w:p>
    <w:p w14:paraId="0A3933D7">
      <w:pPr>
        <w:autoSpaceDE w:val="0"/>
        <w:autoSpaceDN w:val="0"/>
        <w:jc w:val="center"/>
        <w:rPr>
          <w:rFonts w:hint="eastAsia" w:ascii="宋体" w:hAnsi="宋体" w:cs="宋体"/>
          <w:b/>
          <w:color w:val="auto"/>
          <w:spacing w:val="6"/>
          <w:sz w:val="32"/>
          <w:szCs w:val="32"/>
          <w:highlight w:val="none"/>
        </w:rPr>
      </w:pPr>
    </w:p>
    <w:p w14:paraId="08A2AE7D">
      <w:pPr>
        <w:autoSpaceDE w:val="0"/>
        <w:autoSpaceDN w:val="0"/>
        <w:jc w:val="center"/>
        <w:rPr>
          <w:rFonts w:hint="eastAsia" w:ascii="宋体" w:hAnsi="宋体" w:cs="宋体"/>
          <w:b/>
          <w:color w:val="auto"/>
          <w:spacing w:val="6"/>
          <w:sz w:val="32"/>
          <w:szCs w:val="32"/>
          <w:highlight w:val="none"/>
        </w:rPr>
      </w:pPr>
    </w:p>
    <w:p w14:paraId="185E2D5C">
      <w:pPr>
        <w:autoSpaceDE w:val="0"/>
        <w:autoSpaceDN w:val="0"/>
        <w:jc w:val="center"/>
        <w:rPr>
          <w:rFonts w:hint="eastAsia" w:ascii="宋体" w:hAnsi="宋体" w:cs="宋体"/>
          <w:b/>
          <w:color w:val="auto"/>
          <w:spacing w:val="6"/>
          <w:sz w:val="32"/>
          <w:szCs w:val="32"/>
          <w:highlight w:val="none"/>
        </w:rPr>
      </w:pPr>
    </w:p>
    <w:p w14:paraId="4E35E118">
      <w:pPr>
        <w:autoSpaceDE w:val="0"/>
        <w:autoSpaceDN w:val="0"/>
        <w:jc w:val="center"/>
        <w:rPr>
          <w:rFonts w:hint="eastAsia" w:ascii="宋体" w:hAnsi="宋体" w:cs="宋体"/>
          <w:b/>
          <w:color w:val="auto"/>
          <w:spacing w:val="6"/>
          <w:sz w:val="32"/>
          <w:szCs w:val="32"/>
          <w:highlight w:val="none"/>
        </w:rPr>
      </w:pPr>
    </w:p>
    <w:p w14:paraId="28232EAE">
      <w:pPr>
        <w:autoSpaceDE w:val="0"/>
        <w:autoSpaceDN w:val="0"/>
        <w:jc w:val="center"/>
        <w:rPr>
          <w:rFonts w:hint="eastAsia" w:ascii="宋体" w:hAnsi="宋体" w:cs="宋体"/>
          <w:b/>
          <w:color w:val="auto"/>
          <w:spacing w:val="6"/>
          <w:sz w:val="32"/>
          <w:szCs w:val="32"/>
          <w:highlight w:val="none"/>
        </w:rPr>
      </w:pPr>
    </w:p>
    <w:p w14:paraId="3AD405FD">
      <w:pPr>
        <w:autoSpaceDE w:val="0"/>
        <w:autoSpaceDN w:val="0"/>
        <w:jc w:val="center"/>
        <w:rPr>
          <w:rFonts w:hint="eastAsia" w:ascii="宋体" w:hAnsi="宋体" w:cs="宋体"/>
          <w:b/>
          <w:color w:val="auto"/>
          <w:spacing w:val="6"/>
          <w:sz w:val="32"/>
          <w:szCs w:val="32"/>
          <w:highlight w:val="none"/>
        </w:rPr>
      </w:pPr>
    </w:p>
    <w:p w14:paraId="378C88F2">
      <w:pPr>
        <w:autoSpaceDE w:val="0"/>
        <w:autoSpaceDN w:val="0"/>
        <w:jc w:val="center"/>
        <w:rPr>
          <w:rFonts w:hint="eastAsia" w:ascii="宋体" w:hAnsi="宋体" w:cs="宋体"/>
          <w:b/>
          <w:color w:val="auto"/>
          <w:spacing w:val="6"/>
          <w:sz w:val="32"/>
          <w:szCs w:val="32"/>
          <w:highlight w:val="none"/>
        </w:rPr>
      </w:pPr>
    </w:p>
    <w:p w14:paraId="39AE4AE9">
      <w:pPr>
        <w:autoSpaceDE w:val="0"/>
        <w:autoSpaceDN w:val="0"/>
        <w:jc w:val="center"/>
        <w:rPr>
          <w:rFonts w:hint="eastAsia" w:ascii="宋体" w:hAnsi="宋体" w:cs="宋体"/>
          <w:b/>
          <w:color w:val="auto"/>
          <w:spacing w:val="6"/>
          <w:sz w:val="32"/>
          <w:szCs w:val="32"/>
          <w:highlight w:val="none"/>
        </w:rPr>
      </w:pPr>
    </w:p>
    <w:p w14:paraId="6241465B">
      <w:pPr>
        <w:autoSpaceDE w:val="0"/>
        <w:autoSpaceDN w:val="0"/>
        <w:jc w:val="center"/>
        <w:rPr>
          <w:rFonts w:hint="eastAsia" w:ascii="宋体" w:hAnsi="宋体" w:cs="宋体"/>
          <w:b/>
          <w:color w:val="auto"/>
          <w:spacing w:val="6"/>
          <w:sz w:val="32"/>
          <w:szCs w:val="32"/>
          <w:highlight w:val="none"/>
        </w:rPr>
      </w:pPr>
    </w:p>
    <w:p w14:paraId="1FA2F52C">
      <w:pPr>
        <w:autoSpaceDE w:val="0"/>
        <w:autoSpaceDN w:val="0"/>
        <w:jc w:val="center"/>
        <w:rPr>
          <w:rFonts w:hint="eastAsia" w:ascii="宋体" w:hAnsi="宋体" w:cs="宋体"/>
          <w:b/>
          <w:color w:val="auto"/>
          <w:spacing w:val="6"/>
          <w:sz w:val="32"/>
          <w:szCs w:val="32"/>
          <w:highlight w:val="none"/>
        </w:rPr>
      </w:pPr>
    </w:p>
    <w:p w14:paraId="0591FFF1">
      <w:pPr>
        <w:autoSpaceDE w:val="0"/>
        <w:autoSpaceDN w:val="0"/>
        <w:jc w:val="center"/>
        <w:rPr>
          <w:rFonts w:hint="eastAsia" w:ascii="宋体" w:hAnsi="宋体" w:cs="宋体"/>
          <w:b/>
          <w:color w:val="auto"/>
          <w:spacing w:val="6"/>
          <w:sz w:val="32"/>
          <w:szCs w:val="32"/>
          <w:highlight w:val="none"/>
        </w:rPr>
      </w:pPr>
    </w:p>
    <w:p w14:paraId="68070233">
      <w:pPr>
        <w:autoSpaceDE w:val="0"/>
        <w:autoSpaceDN w:val="0"/>
        <w:jc w:val="center"/>
        <w:rPr>
          <w:rFonts w:hint="eastAsia" w:ascii="宋体" w:hAnsi="宋体" w:cs="宋体"/>
          <w:b/>
          <w:color w:val="auto"/>
          <w:spacing w:val="6"/>
          <w:sz w:val="32"/>
          <w:szCs w:val="32"/>
          <w:highlight w:val="none"/>
        </w:rPr>
      </w:pPr>
    </w:p>
    <w:p w14:paraId="1512BF88">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杭州市西湖区图书馆采购智慧书架视觉盘点系统项目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CTZB-2025070210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9"/>
    </w:p>
    <w:p w14:paraId="51371C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hint="eastAsia" w:ascii="宋体" w:hAnsi="宋体" w:cs="宋体"/>
          <w:b/>
          <w:color w:val="auto"/>
          <w:spacing w:val="6"/>
          <w:sz w:val="32"/>
          <w:szCs w:val="32"/>
          <w:highlight w:val="none"/>
        </w:rPr>
      </w:pPr>
    </w:p>
    <w:p w14:paraId="72EABF73">
      <w:pPr>
        <w:autoSpaceDE w:val="0"/>
        <w:autoSpaceDN w:val="0"/>
        <w:jc w:val="center"/>
        <w:rPr>
          <w:rFonts w:hint="eastAsia" w:ascii="宋体" w:hAnsi="宋体" w:cs="宋体"/>
          <w:b/>
          <w:color w:val="auto"/>
          <w:spacing w:val="6"/>
          <w:sz w:val="32"/>
          <w:szCs w:val="32"/>
          <w:highlight w:val="none"/>
        </w:rPr>
      </w:pPr>
    </w:p>
    <w:p w14:paraId="50B7B94B">
      <w:pPr>
        <w:autoSpaceDE w:val="0"/>
        <w:autoSpaceDN w:val="0"/>
        <w:jc w:val="center"/>
        <w:rPr>
          <w:rFonts w:hint="eastAsia" w:ascii="宋体" w:hAnsi="宋体" w:cs="宋体"/>
          <w:b/>
          <w:color w:val="auto"/>
          <w:spacing w:val="6"/>
          <w:sz w:val="32"/>
          <w:szCs w:val="32"/>
          <w:highlight w:val="none"/>
        </w:rPr>
      </w:pPr>
    </w:p>
    <w:p w14:paraId="38EC1307">
      <w:pPr>
        <w:autoSpaceDE w:val="0"/>
        <w:autoSpaceDN w:val="0"/>
        <w:jc w:val="center"/>
        <w:rPr>
          <w:rFonts w:hint="eastAsia" w:ascii="宋体" w:hAnsi="宋体" w:cs="宋体"/>
          <w:b/>
          <w:color w:val="auto"/>
          <w:spacing w:val="6"/>
          <w:sz w:val="32"/>
          <w:szCs w:val="32"/>
          <w:highlight w:val="none"/>
        </w:rPr>
      </w:pPr>
    </w:p>
    <w:p w14:paraId="3C5C0D5D">
      <w:pPr>
        <w:autoSpaceDE w:val="0"/>
        <w:autoSpaceDN w:val="0"/>
        <w:jc w:val="center"/>
        <w:rPr>
          <w:rFonts w:hint="eastAsia" w:ascii="宋体" w:hAnsi="宋体" w:cs="宋体"/>
          <w:b/>
          <w:color w:val="auto"/>
          <w:spacing w:val="6"/>
          <w:sz w:val="32"/>
          <w:szCs w:val="32"/>
          <w:highlight w:val="none"/>
        </w:rPr>
      </w:pPr>
    </w:p>
    <w:p w14:paraId="1E8783B3">
      <w:pPr>
        <w:autoSpaceDE w:val="0"/>
        <w:autoSpaceDN w:val="0"/>
        <w:jc w:val="center"/>
        <w:rPr>
          <w:rFonts w:hint="eastAsia" w:ascii="宋体" w:hAnsi="宋体" w:cs="宋体"/>
          <w:b/>
          <w:color w:val="auto"/>
          <w:spacing w:val="6"/>
          <w:sz w:val="32"/>
          <w:szCs w:val="32"/>
          <w:highlight w:val="none"/>
        </w:rPr>
      </w:pPr>
    </w:p>
    <w:p w14:paraId="2B407A67">
      <w:pPr>
        <w:autoSpaceDE w:val="0"/>
        <w:autoSpaceDN w:val="0"/>
        <w:jc w:val="center"/>
        <w:rPr>
          <w:rFonts w:hint="eastAsia" w:ascii="宋体" w:hAnsi="宋体" w:cs="宋体"/>
          <w:b/>
          <w:color w:val="auto"/>
          <w:spacing w:val="6"/>
          <w:sz w:val="32"/>
          <w:szCs w:val="32"/>
          <w:highlight w:val="none"/>
        </w:rPr>
      </w:pPr>
    </w:p>
    <w:p w14:paraId="5095F7ED">
      <w:pPr>
        <w:autoSpaceDE w:val="0"/>
        <w:autoSpaceDN w:val="0"/>
        <w:jc w:val="center"/>
        <w:rPr>
          <w:rFonts w:hint="eastAsia" w:ascii="宋体" w:hAnsi="宋体" w:cs="宋体"/>
          <w:b/>
          <w:color w:val="auto"/>
          <w:spacing w:val="6"/>
          <w:sz w:val="32"/>
          <w:szCs w:val="32"/>
          <w:highlight w:val="none"/>
        </w:rPr>
      </w:pPr>
    </w:p>
    <w:p w14:paraId="7A033BF7">
      <w:pPr>
        <w:autoSpaceDE w:val="0"/>
        <w:autoSpaceDN w:val="0"/>
        <w:jc w:val="center"/>
        <w:rPr>
          <w:rFonts w:hint="eastAsia" w:ascii="宋体" w:hAnsi="宋体" w:cs="宋体"/>
          <w:b/>
          <w:color w:val="auto"/>
          <w:spacing w:val="6"/>
          <w:sz w:val="32"/>
          <w:szCs w:val="32"/>
          <w:highlight w:val="none"/>
        </w:rPr>
      </w:pPr>
    </w:p>
    <w:p w14:paraId="5752BBA5">
      <w:pPr>
        <w:autoSpaceDE w:val="0"/>
        <w:autoSpaceDN w:val="0"/>
        <w:jc w:val="center"/>
        <w:rPr>
          <w:rFonts w:hint="eastAsia" w:ascii="宋体" w:hAnsi="宋体" w:cs="宋体"/>
          <w:b/>
          <w:color w:val="auto"/>
          <w:spacing w:val="6"/>
          <w:sz w:val="32"/>
          <w:szCs w:val="32"/>
          <w:highlight w:val="none"/>
        </w:rPr>
      </w:pPr>
    </w:p>
    <w:p w14:paraId="148B4C02">
      <w:pPr>
        <w:autoSpaceDE w:val="0"/>
        <w:autoSpaceDN w:val="0"/>
        <w:jc w:val="center"/>
        <w:rPr>
          <w:rFonts w:hint="eastAsia" w:ascii="宋体" w:hAnsi="宋体" w:cs="宋体"/>
          <w:b/>
          <w:color w:val="auto"/>
          <w:spacing w:val="6"/>
          <w:sz w:val="32"/>
          <w:szCs w:val="32"/>
          <w:highlight w:val="none"/>
        </w:rPr>
      </w:pPr>
    </w:p>
    <w:p w14:paraId="02CC9AE3">
      <w:pPr>
        <w:autoSpaceDE w:val="0"/>
        <w:autoSpaceDN w:val="0"/>
        <w:jc w:val="center"/>
        <w:rPr>
          <w:rFonts w:hint="eastAsia" w:ascii="宋体" w:hAnsi="宋体" w:cs="宋体"/>
          <w:b/>
          <w:color w:val="auto"/>
          <w:spacing w:val="6"/>
          <w:sz w:val="32"/>
          <w:szCs w:val="32"/>
          <w:highlight w:val="none"/>
        </w:rPr>
      </w:pPr>
    </w:p>
    <w:p w14:paraId="3E34EF90">
      <w:pPr>
        <w:autoSpaceDE w:val="0"/>
        <w:autoSpaceDN w:val="0"/>
        <w:jc w:val="center"/>
        <w:rPr>
          <w:rFonts w:hint="eastAsia" w:ascii="宋体" w:hAnsi="宋体" w:cs="宋体"/>
          <w:b/>
          <w:color w:val="auto"/>
          <w:spacing w:val="6"/>
          <w:sz w:val="32"/>
          <w:szCs w:val="32"/>
          <w:highlight w:val="none"/>
        </w:rPr>
      </w:pPr>
    </w:p>
    <w:p w14:paraId="0C8CA739">
      <w:pPr>
        <w:autoSpaceDE w:val="0"/>
        <w:autoSpaceDN w:val="0"/>
        <w:jc w:val="center"/>
        <w:rPr>
          <w:rFonts w:hint="eastAsia" w:ascii="宋体" w:hAnsi="宋体" w:cs="宋体"/>
          <w:b/>
          <w:color w:val="auto"/>
          <w:spacing w:val="6"/>
          <w:sz w:val="32"/>
          <w:szCs w:val="32"/>
          <w:highlight w:val="none"/>
        </w:rPr>
      </w:pPr>
    </w:p>
    <w:p w14:paraId="1A614C2E">
      <w:pPr>
        <w:autoSpaceDE w:val="0"/>
        <w:autoSpaceDN w:val="0"/>
        <w:jc w:val="center"/>
        <w:rPr>
          <w:rFonts w:hint="eastAsia" w:ascii="宋体" w:hAnsi="宋体" w:cs="宋体"/>
          <w:b/>
          <w:color w:val="auto"/>
          <w:spacing w:val="6"/>
          <w:sz w:val="32"/>
          <w:szCs w:val="32"/>
          <w:highlight w:val="none"/>
        </w:rPr>
      </w:pPr>
    </w:p>
    <w:p w14:paraId="0ED50160">
      <w:pPr>
        <w:autoSpaceDE w:val="0"/>
        <w:autoSpaceDN w:val="0"/>
        <w:jc w:val="center"/>
        <w:rPr>
          <w:rFonts w:hint="eastAsia" w:ascii="宋体" w:hAnsi="宋体" w:cs="宋体"/>
          <w:b/>
          <w:color w:val="auto"/>
          <w:spacing w:val="6"/>
          <w:sz w:val="32"/>
          <w:szCs w:val="32"/>
          <w:highlight w:val="none"/>
        </w:rPr>
      </w:pPr>
    </w:p>
    <w:p w14:paraId="3916A0A0">
      <w:pPr>
        <w:autoSpaceDE w:val="0"/>
        <w:autoSpaceDN w:val="0"/>
        <w:jc w:val="center"/>
        <w:rPr>
          <w:rFonts w:hint="eastAsia" w:ascii="宋体" w:hAnsi="宋体" w:cs="宋体"/>
          <w:b/>
          <w:color w:val="auto"/>
          <w:spacing w:val="6"/>
          <w:sz w:val="32"/>
          <w:szCs w:val="32"/>
          <w:highlight w:val="none"/>
        </w:rPr>
      </w:pPr>
    </w:p>
    <w:p w14:paraId="32E8B7AE">
      <w:pPr>
        <w:autoSpaceDE w:val="0"/>
        <w:autoSpaceDN w:val="0"/>
        <w:jc w:val="center"/>
        <w:rPr>
          <w:rFonts w:hint="eastAsia" w:ascii="宋体" w:hAnsi="宋体" w:cs="宋体"/>
          <w:b/>
          <w:color w:val="auto"/>
          <w:spacing w:val="6"/>
          <w:sz w:val="32"/>
          <w:szCs w:val="32"/>
          <w:highlight w:val="none"/>
        </w:rPr>
      </w:pPr>
    </w:p>
    <w:p w14:paraId="2F95282E">
      <w:pPr>
        <w:autoSpaceDE w:val="0"/>
        <w:autoSpaceDN w:val="0"/>
        <w:jc w:val="center"/>
        <w:rPr>
          <w:rFonts w:hint="eastAsia" w:ascii="宋体" w:hAnsi="宋体" w:cs="宋体"/>
          <w:b/>
          <w:color w:val="auto"/>
          <w:spacing w:val="6"/>
          <w:sz w:val="32"/>
          <w:szCs w:val="32"/>
          <w:highlight w:val="none"/>
        </w:rPr>
      </w:pPr>
    </w:p>
    <w:p w14:paraId="0544F935">
      <w:pPr>
        <w:autoSpaceDE w:val="0"/>
        <w:autoSpaceDN w:val="0"/>
        <w:jc w:val="center"/>
        <w:rPr>
          <w:rFonts w:hint="eastAsia" w:ascii="宋体" w:hAnsi="宋体" w:cs="宋体"/>
          <w:b/>
          <w:color w:val="auto"/>
          <w:spacing w:val="6"/>
          <w:sz w:val="32"/>
          <w:szCs w:val="32"/>
          <w:highlight w:val="none"/>
        </w:rPr>
      </w:pPr>
    </w:p>
    <w:p w14:paraId="38B9E4EF">
      <w:pPr>
        <w:autoSpaceDE w:val="0"/>
        <w:autoSpaceDN w:val="0"/>
        <w:jc w:val="center"/>
        <w:rPr>
          <w:rFonts w:hint="eastAsia" w:ascii="宋体" w:hAnsi="宋体" w:cs="宋体"/>
          <w:b/>
          <w:color w:val="auto"/>
          <w:spacing w:val="6"/>
          <w:sz w:val="32"/>
          <w:szCs w:val="32"/>
          <w:highlight w:val="none"/>
        </w:rPr>
      </w:pPr>
    </w:p>
    <w:p w14:paraId="2B342BE9">
      <w:pPr>
        <w:autoSpaceDE w:val="0"/>
        <w:autoSpaceDN w:val="0"/>
        <w:jc w:val="center"/>
        <w:rPr>
          <w:rFonts w:hint="eastAsia" w:ascii="宋体" w:hAnsi="宋体" w:cs="宋体"/>
          <w:b/>
          <w:color w:val="auto"/>
          <w:spacing w:val="6"/>
          <w:sz w:val="32"/>
          <w:szCs w:val="32"/>
          <w:highlight w:val="none"/>
        </w:rPr>
      </w:pPr>
    </w:p>
    <w:p w14:paraId="4FD7D9C2">
      <w:pPr>
        <w:autoSpaceDE w:val="0"/>
        <w:autoSpaceDN w:val="0"/>
        <w:jc w:val="center"/>
        <w:rPr>
          <w:rFonts w:hint="eastAsia" w:ascii="宋体" w:hAnsi="宋体" w:cs="宋体"/>
          <w:b/>
          <w:color w:val="auto"/>
          <w:spacing w:val="6"/>
          <w:sz w:val="32"/>
          <w:szCs w:val="32"/>
          <w:highlight w:val="none"/>
        </w:rPr>
      </w:pPr>
    </w:p>
    <w:p w14:paraId="72ABF3B8">
      <w:pPr>
        <w:autoSpaceDE w:val="0"/>
        <w:autoSpaceDN w:val="0"/>
        <w:jc w:val="center"/>
        <w:rPr>
          <w:rFonts w:hint="eastAsia" w:ascii="宋体" w:hAnsi="宋体" w:cs="宋体"/>
          <w:b/>
          <w:color w:val="auto"/>
          <w:spacing w:val="6"/>
          <w:sz w:val="32"/>
          <w:szCs w:val="32"/>
          <w:highlight w:val="none"/>
        </w:rPr>
      </w:pPr>
    </w:p>
    <w:p w14:paraId="7DFA6407">
      <w:pPr>
        <w:autoSpaceDE w:val="0"/>
        <w:autoSpaceDN w:val="0"/>
        <w:jc w:val="center"/>
        <w:rPr>
          <w:rFonts w:hint="eastAsia" w:ascii="宋体" w:hAnsi="宋体" w:cs="宋体"/>
          <w:b/>
          <w:color w:val="auto"/>
          <w:spacing w:val="6"/>
          <w:sz w:val="32"/>
          <w:szCs w:val="32"/>
          <w:highlight w:val="none"/>
        </w:rPr>
      </w:pPr>
    </w:p>
    <w:p w14:paraId="1C4CD0A8">
      <w:pPr>
        <w:autoSpaceDE w:val="0"/>
        <w:autoSpaceDN w:val="0"/>
        <w:jc w:val="center"/>
        <w:rPr>
          <w:rFonts w:hint="eastAsia" w:ascii="宋体" w:hAnsi="宋体" w:cs="宋体"/>
          <w:b/>
          <w:color w:val="auto"/>
          <w:spacing w:val="6"/>
          <w:sz w:val="32"/>
          <w:szCs w:val="32"/>
          <w:highlight w:val="none"/>
        </w:rPr>
      </w:pPr>
    </w:p>
    <w:p w14:paraId="4C39DE30">
      <w:pPr>
        <w:autoSpaceDE w:val="0"/>
        <w:autoSpaceDN w:val="0"/>
        <w:jc w:val="center"/>
        <w:rPr>
          <w:rFonts w:hint="eastAsia" w:ascii="宋体" w:hAnsi="宋体" w:cs="宋体"/>
          <w:b/>
          <w:color w:val="auto"/>
          <w:spacing w:val="6"/>
          <w:sz w:val="32"/>
          <w:szCs w:val="32"/>
          <w:highlight w:val="none"/>
        </w:rPr>
      </w:pPr>
    </w:p>
    <w:p w14:paraId="2855E3C4">
      <w:pPr>
        <w:widowControl/>
        <w:adjustRightInd/>
        <w:jc w:val="left"/>
        <w:rPr>
          <w:rFonts w:hint="eastAsia" w:ascii="宋体" w:hAnsi="宋体" w:cs="宋体"/>
          <w:b/>
          <w:color w:val="auto"/>
          <w:kern w:val="0"/>
          <w:sz w:val="32"/>
          <w:szCs w:val="32"/>
          <w:highlight w:val="none"/>
        </w:rPr>
      </w:pPr>
    </w:p>
    <w:p w14:paraId="626964F0">
      <w:pPr>
        <w:snapToGrid w:val="0"/>
        <w:spacing w:line="360" w:lineRule="auto"/>
        <w:outlineLvl w:val="0"/>
        <w:rPr>
          <w:rFonts w:hint="eastAsia" w:ascii="宋体" w:hAnsi="宋体" w:cs="宋体"/>
          <w:b/>
          <w:color w:val="auto"/>
          <w:kern w:val="0"/>
          <w:sz w:val="44"/>
          <w:szCs w:val="44"/>
          <w:highlight w:val="none"/>
        </w:rPr>
      </w:pPr>
    </w:p>
    <w:p w14:paraId="66436997">
      <w:pPr>
        <w:snapToGrid w:val="0"/>
        <w:spacing w:line="360" w:lineRule="auto"/>
        <w:outlineLvl w:val="0"/>
        <w:rPr>
          <w:rFonts w:hint="eastAsia" w:ascii="宋体" w:hAnsi="宋体" w:cs="宋体"/>
          <w:b/>
          <w:color w:val="auto"/>
          <w:kern w:val="0"/>
          <w:sz w:val="44"/>
          <w:szCs w:val="44"/>
          <w:highlight w:val="none"/>
        </w:rPr>
      </w:pPr>
    </w:p>
    <w:p w14:paraId="7EE04C7F">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hint="eastAsia" w:ascii="宋体" w:hAnsi="宋体" w:cs="宋体"/>
          <w:color w:val="auto"/>
          <w:sz w:val="24"/>
          <w:highlight w:val="none"/>
          <w:u w:val="single"/>
        </w:rPr>
      </w:pPr>
    </w:p>
    <w:p w14:paraId="03978A9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48C72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杭州市西湖区图书馆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杭州市西湖区图书馆采购智慧书架视觉盘点系统项目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64"/>
        <w:tblW w:w="4997" w:type="pct"/>
        <w:tblInd w:w="0" w:type="dxa"/>
        <w:tblLayout w:type="autofit"/>
        <w:tblCellMar>
          <w:top w:w="0" w:type="dxa"/>
          <w:left w:w="108" w:type="dxa"/>
          <w:bottom w:w="0" w:type="dxa"/>
          <w:right w:w="108" w:type="dxa"/>
        </w:tblCellMar>
      </w:tblPr>
      <w:tblGrid>
        <w:gridCol w:w="717"/>
        <w:gridCol w:w="1150"/>
        <w:gridCol w:w="830"/>
        <w:gridCol w:w="1265"/>
        <w:gridCol w:w="1478"/>
        <w:gridCol w:w="1066"/>
        <w:gridCol w:w="1244"/>
        <w:gridCol w:w="1530"/>
      </w:tblGrid>
      <w:tr w14:paraId="2FE633E3">
        <w:tblPrEx>
          <w:tblCellMar>
            <w:top w:w="0" w:type="dxa"/>
            <w:left w:w="108" w:type="dxa"/>
            <w:bottom w:w="0" w:type="dxa"/>
            <w:right w:w="108" w:type="dxa"/>
          </w:tblCellMar>
        </w:tblPrEx>
        <w:trPr>
          <w:trHeight w:val="4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BD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FBF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标的</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F2A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制造商</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527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从业人员（单位：人）</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6F7B">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营业收入</w:t>
            </w:r>
          </w:p>
          <w:p w14:paraId="4D246FD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（单位：万元）</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8FF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资产总额</w:t>
            </w:r>
          </w:p>
          <w:p w14:paraId="02704759">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（单位：万元）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387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所属行业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698D">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属于</w:t>
            </w:r>
            <w:r>
              <w:rPr>
                <w:rFonts w:hint="eastAsia" w:ascii="宋体" w:hAnsi="宋体" w:cs="宋体"/>
                <w:color w:val="auto"/>
                <w:kern w:val="0"/>
                <w:sz w:val="20"/>
                <w:szCs w:val="20"/>
                <w:highlight w:val="none"/>
                <w:u w:val="single"/>
                <w:lang w:bidi="ar"/>
              </w:rPr>
              <w:t xml:space="preserve">  </w:t>
            </w:r>
            <w:r>
              <w:rPr>
                <w:rFonts w:hint="eastAsia" w:ascii="宋体" w:hAnsi="宋体" w:cs="宋体"/>
                <w:color w:val="auto"/>
                <w:kern w:val="0"/>
                <w:sz w:val="20"/>
                <w:szCs w:val="20"/>
                <w:highlight w:val="none"/>
                <w:lang w:bidi="ar"/>
              </w:rPr>
              <w:t>企业</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（可以选择填写或打勾）</w:t>
            </w:r>
          </w:p>
        </w:tc>
      </w:tr>
      <w:tr w14:paraId="6EC7DCAF">
        <w:tblPrEx>
          <w:tblCellMar>
            <w:top w:w="0" w:type="dxa"/>
            <w:left w:w="108" w:type="dxa"/>
            <w:bottom w:w="0" w:type="dxa"/>
            <w:right w:w="108" w:type="dxa"/>
          </w:tblCellMar>
        </w:tblPrEx>
        <w:trPr>
          <w:trHeight w:val="793"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7D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11B4">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智慧书架视觉盘点系统</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4850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307A">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22B5">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8742">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8C55">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C24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16C35C5E">
        <w:tblPrEx>
          <w:tblCellMar>
            <w:top w:w="0" w:type="dxa"/>
            <w:left w:w="108" w:type="dxa"/>
            <w:bottom w:w="0" w:type="dxa"/>
            <w:right w:w="108" w:type="dxa"/>
          </w:tblCellMar>
        </w:tblPrEx>
        <w:trPr>
          <w:trHeight w:val="766"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24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D7E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高清影像自动采集系统</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F7E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C293">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5E44">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4526C">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E581">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FC6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5ED0B69F">
        <w:tblPrEx>
          <w:tblCellMar>
            <w:top w:w="0" w:type="dxa"/>
            <w:left w:w="108" w:type="dxa"/>
            <w:bottom w:w="0" w:type="dxa"/>
            <w:right w:w="108" w:type="dxa"/>
          </w:tblCellMar>
        </w:tblPrEx>
        <w:trPr>
          <w:trHeight w:val="657"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21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FB8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读者查询手机端</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4F9B">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86AA">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4F59E">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AF076">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419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36A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21649D98">
        <w:tblPrEx>
          <w:tblCellMar>
            <w:top w:w="0" w:type="dxa"/>
            <w:left w:w="108" w:type="dxa"/>
            <w:bottom w:w="0" w:type="dxa"/>
            <w:right w:w="108" w:type="dxa"/>
          </w:tblCellMar>
        </w:tblPrEx>
        <w:trPr>
          <w:trHeight w:val="334"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3F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0220">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馆员图书管理手机端</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6F8B">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4E7F">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DBA7">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89A2">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CFD4">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220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5F40D89A">
        <w:tblPrEx>
          <w:tblCellMar>
            <w:top w:w="0" w:type="dxa"/>
            <w:left w:w="108" w:type="dxa"/>
            <w:bottom w:w="0" w:type="dxa"/>
            <w:right w:w="108" w:type="dxa"/>
          </w:tblCellMar>
        </w:tblPrEx>
        <w:trPr>
          <w:trHeight w:val="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C4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819F">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AI盘点摄像机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816A">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A024">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2DEA">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7481">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0C7D">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57A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4E1FF075">
        <w:tblPrEx>
          <w:tblCellMar>
            <w:top w:w="0" w:type="dxa"/>
            <w:left w:w="108" w:type="dxa"/>
            <w:bottom w:w="0" w:type="dxa"/>
            <w:right w:w="108" w:type="dxa"/>
          </w:tblCellMar>
        </w:tblPrEx>
        <w:trPr>
          <w:trHeight w:val="654"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64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8F10">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摄像机定制支架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E486">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EB20">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CD2B">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A76">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9935">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E39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338E367B">
        <w:tblPrEx>
          <w:tblCellMar>
            <w:top w:w="0" w:type="dxa"/>
            <w:left w:w="108" w:type="dxa"/>
            <w:bottom w:w="0" w:type="dxa"/>
            <w:right w:w="108" w:type="dxa"/>
          </w:tblCellMar>
        </w:tblPrEx>
        <w:trPr>
          <w:trHeight w:val="66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3B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8E7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边缘计算服务主机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0855">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8C0A">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C154">
            <w:pPr>
              <w:widowControl/>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38C3">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4DD9">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E81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0DBD61FC">
        <w:tblPrEx>
          <w:tblCellMar>
            <w:top w:w="0" w:type="dxa"/>
            <w:left w:w="108" w:type="dxa"/>
            <w:bottom w:w="0" w:type="dxa"/>
            <w:right w:w="108" w:type="dxa"/>
          </w:tblCellMar>
        </w:tblPrEx>
        <w:trPr>
          <w:trHeight w:val="934"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48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7302">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Web服务主机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DC3A">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EC71">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3A6E">
            <w:pPr>
              <w:widowControl/>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C69C">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D314">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177E">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2A349132">
        <w:tblPrEx>
          <w:tblCellMar>
            <w:top w:w="0" w:type="dxa"/>
            <w:left w:w="108" w:type="dxa"/>
            <w:bottom w:w="0" w:type="dxa"/>
            <w:right w:w="108" w:type="dxa"/>
          </w:tblCellMar>
        </w:tblPrEx>
        <w:trPr>
          <w:trHeight w:val="907"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C0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729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网络交换机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F16B">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D814">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976A">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F9E8">
            <w:pPr>
              <w:widowControl/>
              <w:jc w:val="center"/>
              <w:textAlignment w:val="center"/>
              <w:rPr>
                <w:rFonts w:hint="eastAsia" w:ascii="宋体" w:hAnsi="宋体" w:cs="宋体"/>
                <w:color w:val="auto"/>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300A">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714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7FD82EBB">
        <w:tblPrEx>
          <w:tblCellMar>
            <w:top w:w="0" w:type="dxa"/>
            <w:left w:w="108" w:type="dxa"/>
            <w:bottom w:w="0" w:type="dxa"/>
            <w:right w:w="108" w:type="dxa"/>
          </w:tblCellMar>
        </w:tblPrEx>
        <w:trPr>
          <w:trHeight w:val="1398"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1D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FA45">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汇聚层交换机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D63F">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6485">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321E">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671D">
            <w:pPr>
              <w:widowControl/>
              <w:jc w:val="center"/>
              <w:textAlignment w:val="center"/>
              <w:rPr>
                <w:rFonts w:hint="eastAsia" w:ascii="宋体" w:hAnsi="宋体" w:cs="宋体"/>
                <w:color w:val="auto"/>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0B4E">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7F6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2A0EA6FB">
        <w:tblPrEx>
          <w:tblCellMar>
            <w:top w:w="0" w:type="dxa"/>
            <w:left w:w="108" w:type="dxa"/>
            <w:bottom w:w="0" w:type="dxa"/>
            <w:right w:w="108" w:type="dxa"/>
          </w:tblCellMar>
        </w:tblPrEx>
        <w:trPr>
          <w:trHeight w:val="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B7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E3C5">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图书定位检索机32寸一体机</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58FD">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9761">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D0A7">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5CAE">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B952">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409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23F96D71">
        <w:tblPrEx>
          <w:tblCellMar>
            <w:top w:w="0" w:type="dxa"/>
            <w:left w:w="108" w:type="dxa"/>
            <w:bottom w:w="0" w:type="dxa"/>
            <w:right w:w="108" w:type="dxa"/>
          </w:tblCellMar>
        </w:tblPrEx>
        <w:trPr>
          <w:trHeight w:val="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41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6DD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手持盘点仪</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37E3">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29B8">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BD32">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04A0">
            <w:pPr>
              <w:widowControl/>
              <w:jc w:val="center"/>
              <w:textAlignment w:val="center"/>
              <w:rPr>
                <w:rFonts w:hint="eastAsia" w:ascii="宋体" w:hAnsi="宋体" w:cs="宋体"/>
                <w:color w:val="auto"/>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6494">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A04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268114DD">
        <w:tblPrEx>
          <w:tblCellMar>
            <w:top w:w="0" w:type="dxa"/>
            <w:left w:w="108" w:type="dxa"/>
            <w:bottom w:w="0" w:type="dxa"/>
            <w:right w:w="108" w:type="dxa"/>
          </w:tblCellMar>
        </w:tblPrEx>
        <w:trPr>
          <w:trHeight w:val="1534"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FD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2462">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国产化数据库</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3EC4">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FAD8">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DE93">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F81F">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FD7D">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5BB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3D0573E8">
        <w:tblPrEx>
          <w:tblCellMar>
            <w:top w:w="0" w:type="dxa"/>
            <w:left w:w="108" w:type="dxa"/>
            <w:bottom w:w="0" w:type="dxa"/>
            <w:right w:w="108" w:type="dxa"/>
          </w:tblCellMar>
        </w:tblPrEx>
        <w:trPr>
          <w:trHeight w:val="151"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B4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8E32">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国产化中间件</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EDA6">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F35F">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491B">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A58A">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903C">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533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r w14:paraId="01B1115A">
        <w:tblPrEx>
          <w:tblCellMar>
            <w:top w:w="0" w:type="dxa"/>
            <w:left w:w="108" w:type="dxa"/>
            <w:bottom w:w="0" w:type="dxa"/>
            <w:right w:w="108" w:type="dxa"/>
          </w:tblCellMar>
        </w:tblPrEx>
        <w:trPr>
          <w:trHeight w:val="941"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43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3367">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图书层架标</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D3B9">
            <w:pPr>
              <w:widowControl/>
              <w:jc w:val="left"/>
              <w:textAlignment w:val="center"/>
              <w:rPr>
                <w:rFonts w:hint="eastAsia" w:ascii="宋体" w:hAnsi="宋体" w:cs="宋体"/>
                <w:color w:val="auto"/>
                <w:szCs w:val="21"/>
                <w:highlight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8D07">
            <w:pPr>
              <w:widowControl/>
              <w:jc w:val="center"/>
              <w:textAlignment w:val="center"/>
              <w:rPr>
                <w:rFonts w:hint="eastAsia" w:ascii="宋体" w:hAnsi="宋体" w:cs="宋体"/>
                <w:color w:val="auto"/>
                <w:szCs w:val="21"/>
                <w:highlight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1B45">
            <w:pPr>
              <w:widowControl/>
              <w:jc w:val="center"/>
              <w:textAlignment w:val="center"/>
              <w:rPr>
                <w:rFonts w:hint="eastAsia" w:ascii="宋体" w:hAnsi="宋体" w:cs="宋体"/>
                <w:color w:val="auto"/>
                <w:szCs w:val="21"/>
                <w:highlight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FBCD">
            <w:pPr>
              <w:widowControl/>
              <w:jc w:val="center"/>
              <w:textAlignment w:val="center"/>
              <w:rPr>
                <w:rFonts w:hint="eastAsia" w:ascii="宋体" w:hAnsi="宋体" w:cs="宋体"/>
                <w:color w:val="auto"/>
                <w:kern w:val="0"/>
                <w:szCs w:val="21"/>
                <w:highlight w:val="none"/>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0CAF">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11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中型企业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小型企业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sym w:font="Wingdings 2" w:char="00A3"/>
            </w:r>
            <w:r>
              <w:rPr>
                <w:rFonts w:hint="eastAsia" w:ascii="宋体" w:hAnsi="宋体" w:cs="宋体"/>
                <w:color w:val="auto"/>
                <w:kern w:val="0"/>
                <w:szCs w:val="21"/>
                <w:highlight w:val="none"/>
                <w:lang w:bidi="ar"/>
              </w:rPr>
              <w:t>微型企业</w:t>
            </w:r>
          </w:p>
        </w:tc>
      </w:tr>
    </w:tbl>
    <w:p w14:paraId="6B9188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AEFB7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D7A67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20AE35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5B9D4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50D00B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w:t>
      </w:r>
    </w:p>
    <w:p w14:paraId="6AD6BD7F">
      <w:pPr>
        <w:spacing w:line="360" w:lineRule="auto"/>
        <w:ind w:firstLine="240" w:firstLineChars="100"/>
        <w:rPr>
          <w:rFonts w:hint="eastAsia" w:ascii="宋体" w:hAnsi="宋体" w:cs="宋体"/>
          <w:bCs/>
          <w:color w:val="auto"/>
          <w:sz w:val="24"/>
          <w:highlight w:val="none"/>
        </w:rPr>
      </w:pP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0" w:usb3="00000000" w:csb0="400001BF" w:csb1="DFF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1"/>
      <w:framePr w:wrap="around" w:vAnchor="text" w:hAnchor="margin" w:xAlign="right" w:y="1"/>
      <w:rPr>
        <w:rStyle w:val="74"/>
      </w:rPr>
    </w:pPr>
    <w:r>
      <w:fldChar w:fldCharType="begin"/>
    </w:r>
    <w:r>
      <w:rPr>
        <w:rStyle w:val="74"/>
      </w:rPr>
      <w:instrText xml:space="preserve">PAGE  </w:instrText>
    </w:r>
    <w:r>
      <w:fldChar w:fldCharType="end"/>
    </w:r>
  </w:p>
  <w:p w14:paraId="473D3CB8">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131845147"/>
    <w:bookmarkStart w:id="411" w:name="_Toc91899912"/>
    <w:bookmarkStart w:id="412" w:name="_Toc3611018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1"/>
      <w:framePr w:wrap="around" w:vAnchor="text" w:hAnchor="margin" w:xAlign="right" w:y="1"/>
      <w:rPr>
        <w:rStyle w:val="74"/>
      </w:rPr>
    </w:pPr>
    <w:r>
      <w:fldChar w:fldCharType="begin"/>
    </w:r>
    <w:r>
      <w:rPr>
        <w:rStyle w:val="74"/>
      </w:rPr>
      <w:instrText xml:space="preserve">PAGE  </w:instrText>
    </w:r>
    <w:r>
      <w:fldChar w:fldCharType="end"/>
    </w:r>
  </w:p>
  <w:p w14:paraId="23EEE2A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2"/>
      <w:pBdr>
        <w:bottom w:val="single" w:color="auto" w:sz="6" w:space="4"/>
      </w:pBdr>
      <w:jc w:val="right"/>
    </w:pPr>
    <w:r>
      <w:t></w:t>
    </w:r>
    <w:r>
      <w:rPr>
        <w:rFonts w:hint="eastAsia"/>
      </w:rPr>
      <w:t xml:space="preserve">             </w:t>
    </w:r>
    <w:r>
      <w:t>政府采购公开招标文件</w:t>
    </w:r>
  </w:p>
  <w:p w14:paraId="6808C5F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 xml:space="preserve"> </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2"/>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2"/>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2"/>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BC9F8A7"/>
    <w:multiLevelType w:val="singleLevel"/>
    <w:tmpl w:val="CBC9F8A7"/>
    <w:lvl w:ilvl="0" w:tentative="0">
      <w:start w:val="5"/>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91B076E"/>
    <w:multiLevelType w:val="singleLevel"/>
    <w:tmpl w:val="091B076E"/>
    <w:lvl w:ilvl="0" w:tentative="0">
      <w:start w:val="1"/>
      <w:numFmt w:val="decimal"/>
      <w:lvlText w:val="%1."/>
      <w:lvlJc w:val="left"/>
      <w:pPr>
        <w:ind w:left="425" w:hanging="425"/>
      </w:pPr>
      <w:rPr>
        <w:rFonts w:hint="default"/>
      </w:rPr>
    </w:lvl>
  </w:abstractNum>
  <w:abstractNum w:abstractNumId="9">
    <w:nsid w:val="5A0FB57B"/>
    <w:multiLevelType w:val="singleLevel"/>
    <w:tmpl w:val="5A0FB57B"/>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F7555D0"/>
    <w:multiLevelType w:val="singleLevel"/>
    <w:tmpl w:val="7F7555D0"/>
    <w:lvl w:ilvl="0" w:tentative="0">
      <w:start w:val="1"/>
      <w:numFmt w:val="decimal"/>
      <w:lvlText w:val="%1."/>
      <w:lvlJc w:val="left"/>
      <w:pPr>
        <w:ind w:left="425" w:hanging="425"/>
      </w:pPr>
      <w:rPr>
        <w:rFonts w:hint="default"/>
      </w:rPr>
    </w:lvl>
  </w:abstractNum>
  <w:num w:numId="1">
    <w:abstractNumId w:val="11"/>
  </w:num>
  <w:num w:numId="2">
    <w:abstractNumId w:val="8"/>
  </w:num>
  <w:num w:numId="3">
    <w:abstractNumId w:val="10"/>
  </w:num>
  <w:num w:numId="4">
    <w:abstractNumId w:val="3"/>
  </w:num>
  <w:num w:numId="5">
    <w:abstractNumId w:val="7"/>
  </w:num>
  <w:num w:numId="6">
    <w:abstractNumId w:val="5"/>
  </w:num>
  <w:num w:numId="7">
    <w:abstractNumId w:val="4"/>
  </w:num>
  <w:num w:numId="8">
    <w:abstractNumId w:val="0"/>
  </w:num>
  <w:num w:numId="9">
    <w:abstractNumId w:val="6"/>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8AB"/>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8F"/>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CB8"/>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F38"/>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941"/>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20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28"/>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C56"/>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117D9A"/>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64FBC"/>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B140CE"/>
    <w:rsid w:val="08D66AD6"/>
    <w:rsid w:val="08D833C0"/>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72433"/>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881B10"/>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476FC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D6C4E"/>
    <w:rsid w:val="129E45B4"/>
    <w:rsid w:val="12D81596"/>
    <w:rsid w:val="13072A44"/>
    <w:rsid w:val="135F4BE2"/>
    <w:rsid w:val="139B1A0A"/>
    <w:rsid w:val="139D25C7"/>
    <w:rsid w:val="13BF3CE4"/>
    <w:rsid w:val="13C77A9D"/>
    <w:rsid w:val="141008D8"/>
    <w:rsid w:val="14125FE6"/>
    <w:rsid w:val="1424395D"/>
    <w:rsid w:val="146D271E"/>
    <w:rsid w:val="14982588"/>
    <w:rsid w:val="149A5AD9"/>
    <w:rsid w:val="14A7619D"/>
    <w:rsid w:val="150536C3"/>
    <w:rsid w:val="150C1963"/>
    <w:rsid w:val="151447A0"/>
    <w:rsid w:val="154A6454"/>
    <w:rsid w:val="15762120"/>
    <w:rsid w:val="159D14C2"/>
    <w:rsid w:val="15D84755"/>
    <w:rsid w:val="161F262E"/>
    <w:rsid w:val="16A8729C"/>
    <w:rsid w:val="16B33777"/>
    <w:rsid w:val="16BC70A7"/>
    <w:rsid w:val="16C6339E"/>
    <w:rsid w:val="172A06A9"/>
    <w:rsid w:val="172F2D79"/>
    <w:rsid w:val="17486576"/>
    <w:rsid w:val="17557BEF"/>
    <w:rsid w:val="17A73A0A"/>
    <w:rsid w:val="17D349C1"/>
    <w:rsid w:val="18244F26"/>
    <w:rsid w:val="1830729E"/>
    <w:rsid w:val="1852128A"/>
    <w:rsid w:val="1870062C"/>
    <w:rsid w:val="18817102"/>
    <w:rsid w:val="18830A15"/>
    <w:rsid w:val="18852B28"/>
    <w:rsid w:val="188B5321"/>
    <w:rsid w:val="19932372"/>
    <w:rsid w:val="19A20DD5"/>
    <w:rsid w:val="19AE03F1"/>
    <w:rsid w:val="19B13651"/>
    <w:rsid w:val="19F4091F"/>
    <w:rsid w:val="1A071A03"/>
    <w:rsid w:val="1A1F16AE"/>
    <w:rsid w:val="1A3B5C77"/>
    <w:rsid w:val="1A6B1B55"/>
    <w:rsid w:val="1A984BAD"/>
    <w:rsid w:val="1A992925"/>
    <w:rsid w:val="1AB8220E"/>
    <w:rsid w:val="1AE34AB0"/>
    <w:rsid w:val="1AE4166C"/>
    <w:rsid w:val="1AF06CFB"/>
    <w:rsid w:val="1AF11B8D"/>
    <w:rsid w:val="1B11359C"/>
    <w:rsid w:val="1B2A271F"/>
    <w:rsid w:val="1B530544"/>
    <w:rsid w:val="1B713184"/>
    <w:rsid w:val="1BA209CF"/>
    <w:rsid w:val="1BB4777D"/>
    <w:rsid w:val="1BD75AB8"/>
    <w:rsid w:val="1C0459C2"/>
    <w:rsid w:val="1C1B3B4A"/>
    <w:rsid w:val="1C88086E"/>
    <w:rsid w:val="1CC54B64"/>
    <w:rsid w:val="1CCB5193"/>
    <w:rsid w:val="1D266CE1"/>
    <w:rsid w:val="1D3963AF"/>
    <w:rsid w:val="1D6A673C"/>
    <w:rsid w:val="1D9247AE"/>
    <w:rsid w:val="1DB567EC"/>
    <w:rsid w:val="1DF51A98"/>
    <w:rsid w:val="1DFFCC71"/>
    <w:rsid w:val="1E051CD9"/>
    <w:rsid w:val="1E3D060F"/>
    <w:rsid w:val="1E3F7D2E"/>
    <w:rsid w:val="1E4134E4"/>
    <w:rsid w:val="1E5062B3"/>
    <w:rsid w:val="1E523514"/>
    <w:rsid w:val="1E714A66"/>
    <w:rsid w:val="1E802593"/>
    <w:rsid w:val="1E8B6156"/>
    <w:rsid w:val="1EA703CC"/>
    <w:rsid w:val="1EB7330C"/>
    <w:rsid w:val="1EDC0404"/>
    <w:rsid w:val="1F0A0FF3"/>
    <w:rsid w:val="1F0B722E"/>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181D52"/>
    <w:rsid w:val="233500BF"/>
    <w:rsid w:val="23377FF7"/>
    <w:rsid w:val="23627FFE"/>
    <w:rsid w:val="236B425F"/>
    <w:rsid w:val="23836192"/>
    <w:rsid w:val="23901F29"/>
    <w:rsid w:val="239C0061"/>
    <w:rsid w:val="23B908A4"/>
    <w:rsid w:val="23E95BEF"/>
    <w:rsid w:val="23FD0064"/>
    <w:rsid w:val="243976B8"/>
    <w:rsid w:val="245375B0"/>
    <w:rsid w:val="24642C0A"/>
    <w:rsid w:val="24B22173"/>
    <w:rsid w:val="24B95AD9"/>
    <w:rsid w:val="24BE24DA"/>
    <w:rsid w:val="24CF5825"/>
    <w:rsid w:val="24D663E6"/>
    <w:rsid w:val="24D77F2B"/>
    <w:rsid w:val="25152081"/>
    <w:rsid w:val="258B00E2"/>
    <w:rsid w:val="25A917A6"/>
    <w:rsid w:val="25BE27CC"/>
    <w:rsid w:val="25D95F0D"/>
    <w:rsid w:val="25F74A5C"/>
    <w:rsid w:val="260A43F4"/>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485D2C"/>
    <w:rsid w:val="2B7807EE"/>
    <w:rsid w:val="2BA50BF7"/>
    <w:rsid w:val="2BBF00EC"/>
    <w:rsid w:val="2BC37CFD"/>
    <w:rsid w:val="2BD5237F"/>
    <w:rsid w:val="2BE536CE"/>
    <w:rsid w:val="2BE758D9"/>
    <w:rsid w:val="2BF346BB"/>
    <w:rsid w:val="2C09049E"/>
    <w:rsid w:val="2C0A653C"/>
    <w:rsid w:val="2C191F85"/>
    <w:rsid w:val="2CE82D6F"/>
    <w:rsid w:val="2CED6583"/>
    <w:rsid w:val="2D343236"/>
    <w:rsid w:val="2D38455E"/>
    <w:rsid w:val="2D575011"/>
    <w:rsid w:val="2DD15014"/>
    <w:rsid w:val="2DF72DE4"/>
    <w:rsid w:val="2E0220AF"/>
    <w:rsid w:val="2E46F253"/>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715A3C"/>
    <w:rsid w:val="319C6071"/>
    <w:rsid w:val="31AC537E"/>
    <w:rsid w:val="31E3679B"/>
    <w:rsid w:val="31E732FD"/>
    <w:rsid w:val="32517576"/>
    <w:rsid w:val="329D695D"/>
    <w:rsid w:val="32BE5C2C"/>
    <w:rsid w:val="32FB6478"/>
    <w:rsid w:val="33263B3F"/>
    <w:rsid w:val="336963EB"/>
    <w:rsid w:val="33816EEB"/>
    <w:rsid w:val="33D22636"/>
    <w:rsid w:val="33EB55CD"/>
    <w:rsid w:val="33EC4C02"/>
    <w:rsid w:val="340D2360"/>
    <w:rsid w:val="3410665D"/>
    <w:rsid w:val="34211214"/>
    <w:rsid w:val="342E63AB"/>
    <w:rsid w:val="34950E68"/>
    <w:rsid w:val="34986E94"/>
    <w:rsid w:val="34AF62C9"/>
    <w:rsid w:val="34CB4388"/>
    <w:rsid w:val="34F528F0"/>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8B5D78"/>
    <w:rsid w:val="37EE7094"/>
    <w:rsid w:val="38296C89"/>
    <w:rsid w:val="383002EB"/>
    <w:rsid w:val="38586797"/>
    <w:rsid w:val="385D15DF"/>
    <w:rsid w:val="38BC0149"/>
    <w:rsid w:val="38D87D1C"/>
    <w:rsid w:val="39636459"/>
    <w:rsid w:val="396B7F6C"/>
    <w:rsid w:val="396F4112"/>
    <w:rsid w:val="397F6572"/>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303BB"/>
    <w:rsid w:val="3E0D48F6"/>
    <w:rsid w:val="3E1868B4"/>
    <w:rsid w:val="3E377251"/>
    <w:rsid w:val="3E42664B"/>
    <w:rsid w:val="3E5A7334"/>
    <w:rsid w:val="3E630F65"/>
    <w:rsid w:val="3E7B5D6B"/>
    <w:rsid w:val="3E843E66"/>
    <w:rsid w:val="3E8F51FE"/>
    <w:rsid w:val="3E926F87"/>
    <w:rsid w:val="3E9A59DE"/>
    <w:rsid w:val="3EAF4836"/>
    <w:rsid w:val="3EC33DFA"/>
    <w:rsid w:val="3F060E16"/>
    <w:rsid w:val="3F1D1096"/>
    <w:rsid w:val="3F2F0234"/>
    <w:rsid w:val="3F6363FE"/>
    <w:rsid w:val="3F756B8F"/>
    <w:rsid w:val="3F95482B"/>
    <w:rsid w:val="3FCBF228"/>
    <w:rsid w:val="4019356B"/>
    <w:rsid w:val="403A1C8F"/>
    <w:rsid w:val="40592157"/>
    <w:rsid w:val="406E1CAE"/>
    <w:rsid w:val="40942C2F"/>
    <w:rsid w:val="40A0133A"/>
    <w:rsid w:val="40C31A53"/>
    <w:rsid w:val="40FF545D"/>
    <w:rsid w:val="410067C8"/>
    <w:rsid w:val="410D4CAE"/>
    <w:rsid w:val="414B4683"/>
    <w:rsid w:val="418F0D2A"/>
    <w:rsid w:val="41A33A6C"/>
    <w:rsid w:val="41D01505"/>
    <w:rsid w:val="42474939"/>
    <w:rsid w:val="424C3C57"/>
    <w:rsid w:val="42613FF3"/>
    <w:rsid w:val="42660D96"/>
    <w:rsid w:val="428667D2"/>
    <w:rsid w:val="42A46363"/>
    <w:rsid w:val="42CD1CE0"/>
    <w:rsid w:val="42E1381E"/>
    <w:rsid w:val="42ED6459"/>
    <w:rsid w:val="42FE58DD"/>
    <w:rsid w:val="43174B3D"/>
    <w:rsid w:val="43342EA7"/>
    <w:rsid w:val="434B790E"/>
    <w:rsid w:val="4360274F"/>
    <w:rsid w:val="43636B97"/>
    <w:rsid w:val="43977AB6"/>
    <w:rsid w:val="43A3342B"/>
    <w:rsid w:val="43C77C27"/>
    <w:rsid w:val="43DE09EE"/>
    <w:rsid w:val="44002FAD"/>
    <w:rsid w:val="44437BD6"/>
    <w:rsid w:val="449101DD"/>
    <w:rsid w:val="44DE1391"/>
    <w:rsid w:val="451B225C"/>
    <w:rsid w:val="452410C9"/>
    <w:rsid w:val="45317DFB"/>
    <w:rsid w:val="456D3CE4"/>
    <w:rsid w:val="4579042C"/>
    <w:rsid w:val="457BF825"/>
    <w:rsid w:val="457F0571"/>
    <w:rsid w:val="45851176"/>
    <w:rsid w:val="4590727C"/>
    <w:rsid w:val="45C63B94"/>
    <w:rsid w:val="460E7DA5"/>
    <w:rsid w:val="46422483"/>
    <w:rsid w:val="4659254A"/>
    <w:rsid w:val="465B0637"/>
    <w:rsid w:val="465E3F0D"/>
    <w:rsid w:val="466A16E6"/>
    <w:rsid w:val="46893F2B"/>
    <w:rsid w:val="46C4686E"/>
    <w:rsid w:val="477530F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70656"/>
    <w:rsid w:val="4A4424D7"/>
    <w:rsid w:val="4AB82D0F"/>
    <w:rsid w:val="4AC32699"/>
    <w:rsid w:val="4AEB7664"/>
    <w:rsid w:val="4AFD7C19"/>
    <w:rsid w:val="4B0567D1"/>
    <w:rsid w:val="4B236AAE"/>
    <w:rsid w:val="4B707271"/>
    <w:rsid w:val="4B9739F7"/>
    <w:rsid w:val="4BEE2503"/>
    <w:rsid w:val="4C245A30"/>
    <w:rsid w:val="4C36515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9465D"/>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57AF3"/>
    <w:rsid w:val="52977FD4"/>
    <w:rsid w:val="52A25790"/>
    <w:rsid w:val="52A96B6F"/>
    <w:rsid w:val="52B45975"/>
    <w:rsid w:val="52C81227"/>
    <w:rsid w:val="52D94AA4"/>
    <w:rsid w:val="52E57838"/>
    <w:rsid w:val="52EA3A62"/>
    <w:rsid w:val="52F50BB8"/>
    <w:rsid w:val="52F83A10"/>
    <w:rsid w:val="53097272"/>
    <w:rsid w:val="53544462"/>
    <w:rsid w:val="5397158E"/>
    <w:rsid w:val="54013861"/>
    <w:rsid w:val="543E2BE5"/>
    <w:rsid w:val="54487265"/>
    <w:rsid w:val="544D6070"/>
    <w:rsid w:val="54605E1E"/>
    <w:rsid w:val="54B3506A"/>
    <w:rsid w:val="54CA0D16"/>
    <w:rsid w:val="54CF6866"/>
    <w:rsid w:val="54DD4057"/>
    <w:rsid w:val="54E7490F"/>
    <w:rsid w:val="550764A4"/>
    <w:rsid w:val="550B2BF6"/>
    <w:rsid w:val="55214EB5"/>
    <w:rsid w:val="55364EFD"/>
    <w:rsid w:val="555D4828"/>
    <w:rsid w:val="557A4C8B"/>
    <w:rsid w:val="558931E1"/>
    <w:rsid w:val="55905041"/>
    <w:rsid w:val="55923347"/>
    <w:rsid w:val="55925180"/>
    <w:rsid w:val="5593D7A7"/>
    <w:rsid w:val="55983B1B"/>
    <w:rsid w:val="55A8376B"/>
    <w:rsid w:val="55AF28C1"/>
    <w:rsid w:val="55DC29B6"/>
    <w:rsid w:val="55DD4241"/>
    <w:rsid w:val="56471638"/>
    <w:rsid w:val="566B6D1E"/>
    <w:rsid w:val="57032A2C"/>
    <w:rsid w:val="570F5219"/>
    <w:rsid w:val="575D12B5"/>
    <w:rsid w:val="57610A87"/>
    <w:rsid w:val="577B1140"/>
    <w:rsid w:val="577B7F21"/>
    <w:rsid w:val="577F181B"/>
    <w:rsid w:val="57921984"/>
    <w:rsid w:val="579737F0"/>
    <w:rsid w:val="579B6A0C"/>
    <w:rsid w:val="57AB7B30"/>
    <w:rsid w:val="57AF5251"/>
    <w:rsid w:val="57B26373"/>
    <w:rsid w:val="57B63F04"/>
    <w:rsid w:val="57C04B64"/>
    <w:rsid w:val="57CD20C2"/>
    <w:rsid w:val="57D675AB"/>
    <w:rsid w:val="57D73717"/>
    <w:rsid w:val="57D95FDD"/>
    <w:rsid w:val="58917D2F"/>
    <w:rsid w:val="5894085C"/>
    <w:rsid w:val="58AE4F0C"/>
    <w:rsid w:val="58B85899"/>
    <w:rsid w:val="58E363A9"/>
    <w:rsid w:val="59166304"/>
    <w:rsid w:val="595E1678"/>
    <w:rsid w:val="596D5BD4"/>
    <w:rsid w:val="597E3DD8"/>
    <w:rsid w:val="59F80043"/>
    <w:rsid w:val="59F80A30"/>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941FA"/>
    <w:rsid w:val="5C02690E"/>
    <w:rsid w:val="5C196DA7"/>
    <w:rsid w:val="5C2A048C"/>
    <w:rsid w:val="5C80234E"/>
    <w:rsid w:val="5C823844"/>
    <w:rsid w:val="5C8A680C"/>
    <w:rsid w:val="5D0C4701"/>
    <w:rsid w:val="5D0F0395"/>
    <w:rsid w:val="5D221076"/>
    <w:rsid w:val="5D397964"/>
    <w:rsid w:val="5D5A391C"/>
    <w:rsid w:val="5D5F10C0"/>
    <w:rsid w:val="5D891B7B"/>
    <w:rsid w:val="5DA81E26"/>
    <w:rsid w:val="5DAD38EE"/>
    <w:rsid w:val="5E006862"/>
    <w:rsid w:val="5E0207B9"/>
    <w:rsid w:val="5E1834A1"/>
    <w:rsid w:val="5E261785"/>
    <w:rsid w:val="5E4A7017"/>
    <w:rsid w:val="5E552BBA"/>
    <w:rsid w:val="5E5E165B"/>
    <w:rsid w:val="5E611C10"/>
    <w:rsid w:val="5E7A0F3F"/>
    <w:rsid w:val="5E85769B"/>
    <w:rsid w:val="5EFC7377"/>
    <w:rsid w:val="5F06174D"/>
    <w:rsid w:val="5F3A3602"/>
    <w:rsid w:val="5F45733B"/>
    <w:rsid w:val="5F6277C6"/>
    <w:rsid w:val="5F6D0B1D"/>
    <w:rsid w:val="5F8D0B82"/>
    <w:rsid w:val="5FCC5339"/>
    <w:rsid w:val="5FE34A5B"/>
    <w:rsid w:val="5FF89898"/>
    <w:rsid w:val="5FFE1E36"/>
    <w:rsid w:val="60232584"/>
    <w:rsid w:val="602B01DA"/>
    <w:rsid w:val="603502EE"/>
    <w:rsid w:val="607330CE"/>
    <w:rsid w:val="60825176"/>
    <w:rsid w:val="609F2AC4"/>
    <w:rsid w:val="60BB42CE"/>
    <w:rsid w:val="60FA2EE8"/>
    <w:rsid w:val="610538E1"/>
    <w:rsid w:val="61054A27"/>
    <w:rsid w:val="610A52BC"/>
    <w:rsid w:val="611D2366"/>
    <w:rsid w:val="61421856"/>
    <w:rsid w:val="615227C4"/>
    <w:rsid w:val="61654E3F"/>
    <w:rsid w:val="6182292A"/>
    <w:rsid w:val="618D5C6B"/>
    <w:rsid w:val="619F7F92"/>
    <w:rsid w:val="61AB7489"/>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F088D"/>
    <w:rsid w:val="64055776"/>
    <w:rsid w:val="64240056"/>
    <w:rsid w:val="643E143A"/>
    <w:rsid w:val="64491666"/>
    <w:rsid w:val="648B6EEF"/>
    <w:rsid w:val="64C158BF"/>
    <w:rsid w:val="64CE2EAA"/>
    <w:rsid w:val="653C3090"/>
    <w:rsid w:val="65854376"/>
    <w:rsid w:val="658767BE"/>
    <w:rsid w:val="65892531"/>
    <w:rsid w:val="66140709"/>
    <w:rsid w:val="66195831"/>
    <w:rsid w:val="662E75B1"/>
    <w:rsid w:val="66342C2E"/>
    <w:rsid w:val="663E784C"/>
    <w:rsid w:val="668B6A45"/>
    <w:rsid w:val="672E3A17"/>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2C5E02"/>
    <w:rsid w:val="693E15D3"/>
    <w:rsid w:val="69627681"/>
    <w:rsid w:val="69744789"/>
    <w:rsid w:val="6977531D"/>
    <w:rsid w:val="69CC2BFF"/>
    <w:rsid w:val="69FD55B8"/>
    <w:rsid w:val="6A0B1C62"/>
    <w:rsid w:val="6A2406C8"/>
    <w:rsid w:val="6A2E54E3"/>
    <w:rsid w:val="6ADE0BD1"/>
    <w:rsid w:val="6AE96859"/>
    <w:rsid w:val="6B147746"/>
    <w:rsid w:val="6B24787C"/>
    <w:rsid w:val="6B573233"/>
    <w:rsid w:val="6B5B6274"/>
    <w:rsid w:val="6B935D53"/>
    <w:rsid w:val="6BBFAE0E"/>
    <w:rsid w:val="6C196F71"/>
    <w:rsid w:val="6C226FCB"/>
    <w:rsid w:val="6C31226F"/>
    <w:rsid w:val="6C552F0B"/>
    <w:rsid w:val="6C8C67B7"/>
    <w:rsid w:val="6C9D744C"/>
    <w:rsid w:val="6CA6520C"/>
    <w:rsid w:val="6D167928"/>
    <w:rsid w:val="6D26299B"/>
    <w:rsid w:val="6D4772EC"/>
    <w:rsid w:val="6D7C36BA"/>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6FFFDDCA"/>
    <w:rsid w:val="707723D0"/>
    <w:rsid w:val="70B337A4"/>
    <w:rsid w:val="70F5661B"/>
    <w:rsid w:val="7112701C"/>
    <w:rsid w:val="71360107"/>
    <w:rsid w:val="713B688E"/>
    <w:rsid w:val="71B40FF2"/>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697C0B"/>
    <w:rsid w:val="7583797F"/>
    <w:rsid w:val="75D20F1D"/>
    <w:rsid w:val="75DA2C18"/>
    <w:rsid w:val="75F54412"/>
    <w:rsid w:val="761D08E0"/>
    <w:rsid w:val="765D347C"/>
    <w:rsid w:val="76826699"/>
    <w:rsid w:val="76A7732A"/>
    <w:rsid w:val="76C87133"/>
    <w:rsid w:val="76CD08D5"/>
    <w:rsid w:val="76DB4B92"/>
    <w:rsid w:val="77052AA4"/>
    <w:rsid w:val="77136511"/>
    <w:rsid w:val="77340A39"/>
    <w:rsid w:val="77351FD0"/>
    <w:rsid w:val="77440722"/>
    <w:rsid w:val="77472422"/>
    <w:rsid w:val="777F31F2"/>
    <w:rsid w:val="77D1700D"/>
    <w:rsid w:val="77E6BDE6"/>
    <w:rsid w:val="77EC04CC"/>
    <w:rsid w:val="780472F2"/>
    <w:rsid w:val="78775729"/>
    <w:rsid w:val="78856081"/>
    <w:rsid w:val="78A42DB0"/>
    <w:rsid w:val="78A656AB"/>
    <w:rsid w:val="78B2245C"/>
    <w:rsid w:val="78E172CC"/>
    <w:rsid w:val="78E43389"/>
    <w:rsid w:val="78EA1D1F"/>
    <w:rsid w:val="7904172F"/>
    <w:rsid w:val="790F7E27"/>
    <w:rsid w:val="79164340"/>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749B6"/>
    <w:rsid w:val="7BEE0103"/>
    <w:rsid w:val="7BEF07FF"/>
    <w:rsid w:val="7C0A0FE4"/>
    <w:rsid w:val="7C254906"/>
    <w:rsid w:val="7C430B2C"/>
    <w:rsid w:val="7C590818"/>
    <w:rsid w:val="7C7C10F6"/>
    <w:rsid w:val="7C853BEA"/>
    <w:rsid w:val="7C881368"/>
    <w:rsid w:val="7CE27788"/>
    <w:rsid w:val="7CFDCA9D"/>
    <w:rsid w:val="7D0C32F1"/>
    <w:rsid w:val="7D0F408D"/>
    <w:rsid w:val="7D491C6C"/>
    <w:rsid w:val="7D5429C0"/>
    <w:rsid w:val="7D6E6D43"/>
    <w:rsid w:val="7DB57A34"/>
    <w:rsid w:val="7DD86F60"/>
    <w:rsid w:val="7DE60973"/>
    <w:rsid w:val="7DEF0916"/>
    <w:rsid w:val="7E1E5218"/>
    <w:rsid w:val="7E396A2C"/>
    <w:rsid w:val="7E9A4E1F"/>
    <w:rsid w:val="7EA7723A"/>
    <w:rsid w:val="7EF56FBB"/>
    <w:rsid w:val="7F0768EB"/>
    <w:rsid w:val="7F143BEC"/>
    <w:rsid w:val="7F715AF2"/>
    <w:rsid w:val="7F886E69"/>
    <w:rsid w:val="7F961E7F"/>
    <w:rsid w:val="7FAC02FC"/>
    <w:rsid w:val="7FDB7FD8"/>
    <w:rsid w:val="7FDF22AF"/>
    <w:rsid w:val="7FDFEDDD"/>
    <w:rsid w:val="8EFBC552"/>
    <w:rsid w:val="96F7683D"/>
    <w:rsid w:val="9DFDB345"/>
    <w:rsid w:val="A5BFDB9B"/>
    <w:rsid w:val="B7FFFD1A"/>
    <w:rsid w:val="BB7FA927"/>
    <w:rsid w:val="BBAE0282"/>
    <w:rsid w:val="BFFC3D1B"/>
    <w:rsid w:val="C7EF609F"/>
    <w:rsid w:val="D2D2898E"/>
    <w:rsid w:val="D6DF39B5"/>
    <w:rsid w:val="D7FDDF94"/>
    <w:rsid w:val="DBEF8EAC"/>
    <w:rsid w:val="E8FF467C"/>
    <w:rsid w:val="EDDF17ED"/>
    <w:rsid w:val="F5FFD31F"/>
    <w:rsid w:val="F8226CA4"/>
    <w:rsid w:val="FBBD82F2"/>
    <w:rsid w:val="FBBFBCFE"/>
    <w:rsid w:val="FBFD1C1D"/>
    <w:rsid w:val="FD2DFE79"/>
    <w:rsid w:val="FD43967C"/>
    <w:rsid w:val="FDBB428E"/>
    <w:rsid w:val="FF95E8FB"/>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qFormat/>
    <w:uiPriority w:val="0"/>
    <w:pPr>
      <w:ind w:left="420" w:leftChars="200"/>
    </w:pPr>
    <w:rPr>
      <w:rFonts w:ascii="等线" w:hAnsi="等线" w:eastAsia="等线"/>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Date"/>
    <w:basedOn w:val="1"/>
    <w:next w:val="1"/>
    <w:link w:val="184"/>
    <w:qFormat/>
    <w:uiPriority w:val="0"/>
    <w:pPr>
      <w:ind w:left="100" w:leftChars="2500"/>
    </w:pPr>
    <w:rPr>
      <w:rFonts w:ascii="宋体"/>
      <w:sz w:val="24"/>
      <w:szCs w:val="21"/>
      <w:lang w:val="zh-CN"/>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9"/>
    <w:qFormat/>
    <w:uiPriority w:val="0"/>
    <w:rPr>
      <w:b/>
      <w:bCs/>
    </w:rPr>
  </w:style>
  <w:style w:type="paragraph" w:styleId="62">
    <w:name w:val="Body Text First Indent"/>
    <w:basedOn w:val="24"/>
    <w:next w:val="1"/>
    <w:link w:val="323"/>
    <w:qFormat/>
    <w:uiPriority w:val="0"/>
    <w:pPr>
      <w:ind w:firstLine="420"/>
    </w:pPr>
    <w:rPr>
      <w:rFonts w:hAnsi="Calibri" w:cs="Times New Roman"/>
      <w:snapToGrid/>
      <w:szCs w:val="20"/>
    </w:rPr>
  </w:style>
  <w:style w:type="paragraph" w:styleId="63">
    <w:name w:val="Body Text First Indent 2"/>
    <w:basedOn w:val="26"/>
    <w:next w:val="30"/>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列表段落1"/>
    <w:basedOn w:val="1"/>
    <w:qFormat/>
    <w:uiPriority w:val="34"/>
    <w:pPr>
      <w:spacing w:line="360" w:lineRule="auto"/>
      <w:ind w:firstLine="200" w:firstLineChars="200"/>
    </w:pPr>
    <w:rPr>
      <w:rFonts w:eastAsia="楷体_GB2312" w:cs="Lucida Sans"/>
      <w:sz w:val="24"/>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25"/>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1"/>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PlainText"/>
    <w:basedOn w:val="1"/>
    <w:autoRedefine/>
    <w:qFormat/>
    <w:uiPriority w:val="0"/>
    <w:pPr>
      <w:widowControl/>
      <w:spacing w:line="360" w:lineRule="auto"/>
      <w:textAlignment w:val="baseline"/>
    </w:pPr>
    <w:rPr>
      <w:rFonts w:ascii="宋体" w:hAnsi="Courier New"/>
      <w:szCs w:val="20"/>
    </w:rPr>
  </w:style>
  <w:style w:type="character" w:customStyle="1" w:styleId="968">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18616</Words>
  <Characters>20038</Characters>
  <Lines>417</Lines>
  <Paragraphs>117</Paragraphs>
  <TotalTime>29</TotalTime>
  <ScaleCrop>false</ScaleCrop>
  <LinksUpToDate>false</LinksUpToDate>
  <CharactersWithSpaces>20512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2025-07-10T14:14:00Z</dcterms:created>
  <dc:creator>玥</dc:creator>
  <cp:lastModifiedBy>无恙</cp:lastModifiedBy>
  <cp:lastPrinted>2021-12-30T03:06:00Z</cp:lastPrinted>
  <dcterms:modified xsi:type="dcterms:W3CDTF">2025-07-15T08:21:40Z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1583654AFCAF4938B8157D937991D78F_13</vt:lpwstr>
  </property>
  <property fmtid="{D5CDD505-2E9C-101B-9397-08002B2CF9AE}" pid="5" name="KSOTemplateDocerSaveRecord">
    <vt:lpwstr>eyJoZGlkIjoiMWI4YjJjZTUzNGNlYTQyODI4ZTEyNDRhODcyM2Y3ZDEiLCJ1c2VySWQiOiI2ODExMTc1NzQifQ==</vt:lpwstr>
  </property>
</Properties>
</file>