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A388E">
      <w:pPr>
        <w:spacing w:line="360" w:lineRule="auto"/>
        <w:ind w:left="120" w:firstLine="22"/>
        <w:jc w:val="center"/>
        <w:rPr>
          <w:rFonts w:hint="eastAsia" w:ascii="宋体" w:hAnsi="宋体" w:cs="宋体"/>
          <w:b/>
          <w:color w:val="000000" w:themeColor="text1"/>
          <w:sz w:val="24"/>
          <w14:textFill>
            <w14:solidFill>
              <w14:schemeClr w14:val="tx1"/>
            </w14:solidFill>
          </w14:textFill>
        </w:rPr>
      </w:pPr>
    </w:p>
    <w:p w14:paraId="6FF85502">
      <w:pPr>
        <w:spacing w:line="360" w:lineRule="auto"/>
        <w:ind w:left="120" w:firstLine="22"/>
        <w:jc w:val="center"/>
        <w:rPr>
          <w:rFonts w:hint="eastAsia" w:ascii="宋体" w:hAnsi="宋体" w:cs="宋体"/>
          <w:b/>
          <w:color w:val="000000" w:themeColor="text1"/>
          <w:sz w:val="24"/>
          <w14:textFill>
            <w14:solidFill>
              <w14:schemeClr w14:val="tx1"/>
            </w14:solidFill>
          </w14:textFill>
        </w:rPr>
      </w:pPr>
    </w:p>
    <w:p w14:paraId="24E21B20">
      <w:pPr>
        <w:adjustRightInd/>
        <w:spacing w:line="360" w:lineRule="auto"/>
        <w:ind w:left="120" w:firstLine="22"/>
        <w:jc w:val="center"/>
        <w:rPr>
          <w:rFonts w:hint="eastAsia" w:ascii="宋体" w:hAnsi="宋体" w:cs="宋体"/>
          <w:b/>
          <w:color w:val="000000" w:themeColor="text1"/>
          <w:sz w:val="44"/>
          <w:szCs w:val="44"/>
          <w14:textFill>
            <w14:solidFill>
              <w14:schemeClr w14:val="tx1"/>
            </w14:solidFill>
          </w14:textFill>
        </w:rPr>
      </w:pPr>
    </w:p>
    <w:p w14:paraId="11375599">
      <w:pPr>
        <w:adjustRightInd/>
        <w:spacing w:line="360" w:lineRule="auto"/>
        <w:ind w:left="120" w:firstLine="22"/>
        <w:jc w:val="center"/>
        <w:rPr>
          <w:rFonts w:hint="eastAsia" w:ascii="宋体" w:hAnsi="宋体" w:cs="宋体"/>
          <w:color w:val="000000" w:themeColor="text1"/>
          <w:sz w:val="44"/>
          <w:szCs w:val="44"/>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t>2025至2026年电子阅文服务项目</w:t>
      </w:r>
    </w:p>
    <w:p w14:paraId="12DB8030">
      <w:pPr>
        <w:adjustRightInd/>
        <w:spacing w:line="360" w:lineRule="auto"/>
        <w:ind w:left="120" w:firstLine="22"/>
        <w:jc w:val="center"/>
        <w:rPr>
          <w:rFonts w:hint="eastAsia"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 xml:space="preserve">采购文件 </w:t>
      </w:r>
    </w:p>
    <w:p w14:paraId="09D16E5C">
      <w:pPr>
        <w:adjustRightInd/>
        <w:spacing w:line="360" w:lineRule="auto"/>
        <w:ind w:left="120" w:firstLine="22"/>
        <w:jc w:val="center"/>
        <w:rPr>
          <w:rFonts w:hint="eastAsia"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（电子招投标）</w:t>
      </w:r>
    </w:p>
    <w:p w14:paraId="42836662">
      <w:pPr>
        <w:pStyle w:val="4"/>
        <w:rPr>
          <w:rFonts w:hint="eastAsia"/>
          <w:color w:val="000000" w:themeColor="text1"/>
          <w14:textFill>
            <w14:solidFill>
              <w14:schemeClr w14:val="tx1"/>
            </w14:solidFill>
          </w14:textFill>
        </w:rPr>
      </w:pPr>
    </w:p>
    <w:p w14:paraId="45FBA8D3">
      <w:pPr>
        <w:snapToGrid w:val="0"/>
        <w:spacing w:line="360" w:lineRule="auto"/>
        <w:ind w:left="120" w:firstLine="22"/>
        <w:jc w:val="center"/>
        <w:rPr>
          <w:rFonts w:hint="eastAsia" w:ascii="宋体" w:hAnsi="宋体" w:cs="宋体"/>
          <w:color w:val="000000" w:themeColor="text1"/>
          <w:sz w:val="30"/>
          <w:szCs w:val="30"/>
          <w14:textFill>
            <w14:solidFill>
              <w14:schemeClr w14:val="tx1"/>
            </w14:solidFill>
          </w14:textFill>
        </w:rPr>
      </w:pPr>
      <w:r>
        <w:rPr>
          <w:rFonts w:ascii="宋体" w:hAnsi="宋体" w:cs="宋体"/>
          <w:color w:val="000000" w:themeColor="text1"/>
          <w:kern w:val="0"/>
          <w:sz w:val="24"/>
          <w14:textFill>
            <w14:solidFill>
              <w14:schemeClr w14:val="tx1"/>
            </w14:solidFill>
          </w14:textFill>
        </w:rPr>
        <w:drawing>
          <wp:inline distT="0" distB="0" distL="114300" distR="114300">
            <wp:extent cx="1781175" cy="1358265"/>
            <wp:effectExtent l="0" t="0" r="9525" b="13335"/>
            <wp:docPr id="5"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56"/>
                    <pic:cNvPicPr>
                      <a:picLocks noChangeAspect="1"/>
                    </pic:cNvPicPr>
                  </pic:nvPicPr>
                  <pic:blipFill>
                    <a:blip r:embed="rId27"/>
                    <a:stretch>
                      <a:fillRect/>
                    </a:stretch>
                  </pic:blipFill>
                  <pic:spPr>
                    <a:xfrm>
                      <a:off x="0" y="0"/>
                      <a:ext cx="1781175" cy="1358265"/>
                    </a:xfrm>
                    <a:prstGeom prst="rect">
                      <a:avLst/>
                    </a:prstGeom>
                    <a:noFill/>
                    <a:ln>
                      <a:noFill/>
                    </a:ln>
                  </pic:spPr>
                </pic:pic>
              </a:graphicData>
            </a:graphic>
          </wp:inline>
        </w:drawing>
      </w:r>
    </w:p>
    <w:p w14:paraId="62887DB8">
      <w:pPr>
        <w:snapToGrid w:val="0"/>
        <w:spacing w:line="360" w:lineRule="auto"/>
        <w:ind w:left="120" w:firstLine="22"/>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编号:CTZB-2025030519</w:t>
      </w:r>
    </w:p>
    <w:p w14:paraId="294BD83B">
      <w:pPr>
        <w:adjustRightInd/>
        <w:spacing w:line="360" w:lineRule="auto"/>
        <w:ind w:left="120" w:firstLine="22"/>
        <w:rPr>
          <w:rFonts w:hint="eastAsia" w:ascii="宋体" w:hAnsi="宋体" w:cs="宋体"/>
          <w:color w:val="000000" w:themeColor="text1"/>
          <w:sz w:val="28"/>
          <w:szCs w:val="20"/>
          <w14:textFill>
            <w14:solidFill>
              <w14:schemeClr w14:val="tx1"/>
            </w14:solidFill>
          </w14:textFill>
        </w:rPr>
      </w:pPr>
      <w:r>
        <w:rPr>
          <w:rFonts w:hint="eastAsia" w:ascii="宋体" w:hAnsi="宋体" w:cs="宋体"/>
          <w:color w:val="000000" w:themeColor="text1"/>
          <w:sz w:val="28"/>
          <w:szCs w:val="20"/>
          <w14:textFill>
            <w14:solidFill>
              <w14:schemeClr w14:val="tx1"/>
            </w14:solidFill>
          </w14:textFill>
        </w:rPr>
        <w:t xml:space="preserve">                                </w:t>
      </w:r>
    </w:p>
    <w:p w14:paraId="5DB327D9">
      <w:pPr>
        <w:spacing w:line="360" w:lineRule="auto"/>
        <w:ind w:left="120" w:firstLine="22"/>
        <w:rPr>
          <w:rFonts w:hint="eastAsia"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w:t>
      </w:r>
    </w:p>
    <w:p w14:paraId="3D0C968F">
      <w:pPr>
        <w:spacing w:line="360" w:lineRule="auto"/>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 xml:space="preserve">         </w:t>
      </w:r>
      <w:r>
        <w:rPr>
          <w:rFonts w:hint="eastAsia" w:ascii="宋体" w:hAnsi="宋体" w:cs="宋体"/>
          <w:b/>
          <w:bCs/>
          <w:color w:val="000000" w:themeColor="text1"/>
          <w:sz w:val="32"/>
          <w:szCs w:val="32"/>
          <w14:textFill>
            <w14:solidFill>
              <w14:schemeClr w14:val="tx1"/>
            </w14:solidFill>
          </w14:textFill>
        </w:rPr>
        <w:t>采购人：杭州市人民代表大会常务委员会办公厅</w:t>
      </w:r>
    </w:p>
    <w:p w14:paraId="26F8C6EA">
      <w:pPr>
        <w:snapToGrid w:val="0"/>
        <w:spacing w:line="360" w:lineRule="auto"/>
        <w:ind w:left="120" w:firstLine="22"/>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招标代理机构：浙江省成套招标代理有限公司</w:t>
      </w:r>
    </w:p>
    <w:p w14:paraId="30F3C61E">
      <w:pPr>
        <w:snapToGrid w:val="0"/>
        <w:spacing w:line="360" w:lineRule="auto"/>
        <w:ind w:left="120" w:firstLine="22"/>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二〇二五年七月</w:t>
      </w:r>
    </w:p>
    <w:p w14:paraId="13042ED7">
      <w:pPr>
        <w:spacing w:line="360" w:lineRule="auto"/>
        <w:ind w:left="120"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0" w:name="_Hlt67893495"/>
      <w:bookmarkEnd w:id="0"/>
    </w:p>
    <w:p w14:paraId="22859B97">
      <w:pPr>
        <w:pStyle w:val="636"/>
        <w:spacing w:line="360" w:lineRule="auto"/>
        <w:ind w:left="210" w:firstLine="355"/>
        <w:rPr>
          <w:color w:val="000000" w:themeColor="text1"/>
          <w14:textFill>
            <w14:solidFill>
              <w14:schemeClr w14:val="tx1"/>
            </w14:solidFill>
          </w14:textFill>
        </w:rPr>
      </w:pPr>
    </w:p>
    <w:p w14:paraId="7AAEAD25">
      <w:pPr>
        <w:spacing w:line="360" w:lineRule="auto"/>
        <w:ind w:left="120" w:firstLine="22"/>
        <w:jc w:val="center"/>
        <w:rPr>
          <w:rFonts w:hint="eastAsia"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目  录</w:t>
      </w:r>
    </w:p>
    <w:p w14:paraId="1A35549D">
      <w:pPr>
        <w:spacing w:line="360" w:lineRule="auto"/>
        <w:ind w:left="120" w:firstLine="22"/>
        <w:rPr>
          <w:rFonts w:hint="eastAsia" w:ascii="宋体" w:hAnsi="宋体" w:cs="宋体"/>
          <w:color w:val="000000" w:themeColor="text1"/>
          <w:sz w:val="32"/>
          <w:szCs w:val="32"/>
          <w14:textFill>
            <w14:solidFill>
              <w14:schemeClr w14:val="tx1"/>
            </w14:solidFill>
          </w14:textFill>
        </w:rPr>
      </w:pPr>
    </w:p>
    <w:p w14:paraId="0AFBBB5E">
      <w:pPr>
        <w:spacing w:line="360" w:lineRule="auto"/>
        <w:ind w:left="120" w:firstLine="22"/>
        <w:rPr>
          <w:rFonts w:hint="eastAsia" w:ascii="宋体" w:hAnsi="宋体" w:cs="宋体"/>
          <w:color w:val="000000" w:themeColor="text1"/>
          <w:sz w:val="32"/>
          <w:szCs w:val="32"/>
          <w14:textFill>
            <w14:solidFill>
              <w14:schemeClr w14:val="tx1"/>
            </w14:solidFill>
          </w14:textFill>
        </w:rPr>
      </w:pPr>
    </w:p>
    <w:p w14:paraId="764FBEB1">
      <w:pPr>
        <w:spacing w:line="360" w:lineRule="auto"/>
        <w:ind w:left="120" w:firstLine="1280" w:firstLineChars="400"/>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第一部分      招标公告</w:t>
      </w:r>
    </w:p>
    <w:p w14:paraId="6C537952">
      <w:pPr>
        <w:spacing w:line="360" w:lineRule="auto"/>
        <w:ind w:left="120" w:firstLine="1280" w:firstLineChars="400"/>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第二部分      投标人须知</w:t>
      </w:r>
    </w:p>
    <w:p w14:paraId="596223B7">
      <w:pPr>
        <w:spacing w:line="360" w:lineRule="auto"/>
        <w:ind w:left="120" w:firstLine="1280" w:firstLineChars="400"/>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第三部分      采购需求</w:t>
      </w:r>
    </w:p>
    <w:p w14:paraId="25011719">
      <w:pPr>
        <w:spacing w:line="360" w:lineRule="auto"/>
        <w:ind w:left="120" w:firstLine="1280" w:firstLineChars="400"/>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第四部分      评标办法</w:t>
      </w:r>
    </w:p>
    <w:p w14:paraId="35DFD7F9">
      <w:pPr>
        <w:spacing w:line="360" w:lineRule="auto"/>
        <w:ind w:left="120" w:firstLine="1280" w:firstLineChars="400"/>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第五部分      拟签订的合同文本</w:t>
      </w:r>
    </w:p>
    <w:p w14:paraId="676D46A5">
      <w:pPr>
        <w:spacing w:line="360" w:lineRule="auto"/>
        <w:ind w:left="120" w:firstLine="1280" w:firstLineChars="400"/>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第六部分      应提交的有关格式范例</w:t>
      </w:r>
    </w:p>
    <w:p w14:paraId="663C03F4">
      <w:pPr>
        <w:spacing w:line="360" w:lineRule="auto"/>
        <w:ind w:left="120" w:firstLine="549" w:firstLineChars="229"/>
        <w:rPr>
          <w:rFonts w:hint="eastAsia" w:ascii="宋体" w:hAnsi="宋体" w:cs="宋体"/>
          <w:color w:val="000000" w:themeColor="text1"/>
          <w:sz w:val="24"/>
          <w14:textFill>
            <w14:solidFill>
              <w14:schemeClr w14:val="tx1"/>
            </w14:solidFill>
          </w14:textFill>
        </w:rPr>
      </w:pPr>
      <w:bookmarkStart w:id="1" w:name="_Hlt91233176"/>
      <w:bookmarkEnd w:id="1"/>
      <w:bookmarkStart w:id="2" w:name="_Toc91899869"/>
    </w:p>
    <w:p w14:paraId="27708394">
      <w:pPr>
        <w:spacing w:line="360" w:lineRule="auto"/>
        <w:ind w:left="120" w:firstLine="549" w:firstLineChars="229"/>
        <w:rPr>
          <w:rFonts w:hint="eastAsia" w:ascii="宋体" w:hAnsi="宋体" w:cs="宋体"/>
          <w:color w:val="000000" w:themeColor="text1"/>
          <w:sz w:val="24"/>
          <w14:textFill>
            <w14:solidFill>
              <w14:schemeClr w14:val="tx1"/>
            </w14:solidFill>
          </w14:textFill>
        </w:rPr>
      </w:pPr>
    </w:p>
    <w:p w14:paraId="227499BD">
      <w:pPr>
        <w:spacing w:line="360" w:lineRule="auto"/>
        <w:ind w:left="120" w:firstLine="549" w:firstLineChars="229"/>
        <w:rPr>
          <w:rFonts w:hint="eastAsia" w:ascii="宋体" w:hAnsi="宋体" w:cs="宋体"/>
          <w:color w:val="000000" w:themeColor="text1"/>
          <w:sz w:val="24"/>
          <w14:textFill>
            <w14:solidFill>
              <w14:schemeClr w14:val="tx1"/>
            </w14:solidFill>
          </w14:textFill>
        </w:rPr>
      </w:pPr>
    </w:p>
    <w:p w14:paraId="6E3A9A62">
      <w:pPr>
        <w:spacing w:line="360" w:lineRule="auto"/>
        <w:ind w:left="120" w:firstLine="549" w:firstLineChars="229"/>
        <w:rPr>
          <w:rFonts w:hint="eastAsia" w:ascii="宋体" w:hAnsi="宋体" w:cs="宋体"/>
          <w:color w:val="000000" w:themeColor="text1"/>
          <w:sz w:val="24"/>
          <w14:textFill>
            <w14:solidFill>
              <w14:schemeClr w14:val="tx1"/>
            </w14:solidFill>
          </w14:textFill>
        </w:rPr>
      </w:pPr>
    </w:p>
    <w:p w14:paraId="5941A0AE">
      <w:pPr>
        <w:spacing w:line="360" w:lineRule="auto"/>
        <w:ind w:left="120" w:firstLine="549" w:firstLineChars="229"/>
        <w:rPr>
          <w:rFonts w:hint="eastAsia" w:ascii="宋体" w:hAnsi="宋体" w:cs="宋体"/>
          <w:color w:val="000000" w:themeColor="text1"/>
          <w:sz w:val="24"/>
          <w14:textFill>
            <w14:solidFill>
              <w14:schemeClr w14:val="tx1"/>
            </w14:solidFill>
          </w14:textFill>
        </w:rPr>
      </w:pPr>
    </w:p>
    <w:p w14:paraId="45BE0F73">
      <w:pPr>
        <w:spacing w:line="360" w:lineRule="auto"/>
        <w:ind w:left="120" w:firstLine="549" w:firstLineChars="229"/>
        <w:rPr>
          <w:rFonts w:hint="eastAsia" w:ascii="宋体" w:hAnsi="宋体" w:cs="宋体"/>
          <w:color w:val="000000" w:themeColor="text1"/>
          <w:sz w:val="24"/>
          <w14:textFill>
            <w14:solidFill>
              <w14:schemeClr w14:val="tx1"/>
            </w14:solidFill>
          </w14:textFill>
        </w:rPr>
      </w:pPr>
    </w:p>
    <w:p w14:paraId="27637942">
      <w:pPr>
        <w:spacing w:line="360" w:lineRule="auto"/>
        <w:ind w:left="120" w:firstLine="549" w:firstLineChars="229"/>
        <w:rPr>
          <w:rFonts w:hint="eastAsia" w:ascii="宋体" w:hAnsi="宋体" w:cs="宋体"/>
          <w:color w:val="000000" w:themeColor="text1"/>
          <w:sz w:val="24"/>
          <w14:textFill>
            <w14:solidFill>
              <w14:schemeClr w14:val="tx1"/>
            </w14:solidFill>
          </w14:textFill>
        </w:rPr>
      </w:pPr>
    </w:p>
    <w:p w14:paraId="2E2FA195">
      <w:pPr>
        <w:spacing w:line="360" w:lineRule="auto"/>
        <w:ind w:left="120" w:firstLine="549" w:firstLineChars="229"/>
        <w:rPr>
          <w:rFonts w:hint="eastAsia" w:ascii="宋体" w:hAnsi="宋体" w:cs="宋体"/>
          <w:color w:val="000000" w:themeColor="text1"/>
          <w:sz w:val="24"/>
          <w14:textFill>
            <w14:solidFill>
              <w14:schemeClr w14:val="tx1"/>
            </w14:solidFill>
          </w14:textFill>
        </w:rPr>
      </w:pPr>
    </w:p>
    <w:p w14:paraId="7456AB57">
      <w:pPr>
        <w:spacing w:line="360" w:lineRule="auto"/>
        <w:ind w:left="120" w:firstLine="549" w:firstLineChars="229"/>
        <w:rPr>
          <w:rFonts w:hint="eastAsia" w:ascii="宋体" w:hAnsi="宋体" w:cs="宋体"/>
          <w:color w:val="000000" w:themeColor="text1"/>
          <w:sz w:val="24"/>
          <w14:textFill>
            <w14:solidFill>
              <w14:schemeClr w14:val="tx1"/>
            </w14:solidFill>
          </w14:textFill>
        </w:rPr>
      </w:pPr>
    </w:p>
    <w:p w14:paraId="3BF81D1F">
      <w:pPr>
        <w:adjustRightInd/>
        <w:spacing w:line="360" w:lineRule="auto"/>
        <w:ind w:left="120" w:firstLine="22"/>
        <w:jc w:val="center"/>
        <w:outlineLvl w:val="0"/>
        <w:rPr>
          <w:rFonts w:hint="eastAsia" w:ascii="宋体" w:hAnsi="宋体" w:cs="宋体"/>
          <w:b/>
          <w:color w:val="000000" w:themeColor="text1"/>
          <w:sz w:val="36"/>
          <w:szCs w:val="20"/>
          <w14:textFill>
            <w14:solidFill>
              <w14:schemeClr w14:val="tx1"/>
            </w14:solidFill>
          </w14:textFill>
        </w:rPr>
      </w:pPr>
      <w:bookmarkStart w:id="3" w:name="第一部分"/>
      <w:r>
        <w:rPr>
          <w:rFonts w:hint="eastAsia" w:ascii="宋体" w:hAnsi="宋体" w:cs="宋体"/>
          <w:b/>
          <w:color w:val="000000" w:themeColor="text1"/>
          <w:sz w:val="36"/>
          <w:szCs w:val="36"/>
          <w14:textFill>
            <w14:solidFill>
              <w14:schemeClr w14:val="tx1"/>
            </w14:solidFill>
          </w14:textFill>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000000" w:themeColor="text1"/>
          <w:sz w:val="36"/>
          <w:szCs w:val="20"/>
          <w14:textFill>
            <w14:solidFill>
              <w14:schemeClr w14:val="tx1"/>
            </w14:solidFill>
          </w14:textFill>
        </w:rPr>
        <w:t>第一部分 招标公告</w:t>
      </w:r>
    </w:p>
    <w:p w14:paraId="3881F31F">
      <w:pPr>
        <w:pBdr>
          <w:top w:val="single" w:color="auto" w:sz="4" w:space="1"/>
          <w:left w:val="single" w:color="auto" w:sz="4" w:space="4"/>
          <w:bottom w:val="single" w:color="auto" w:sz="4" w:space="1"/>
          <w:right w:val="single" w:color="auto" w:sz="4" w:space="4"/>
        </w:pBd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项目概况</w:t>
      </w:r>
    </w:p>
    <w:p w14:paraId="6C58C353">
      <w:pPr>
        <w:pBdr>
          <w:top w:val="single" w:color="auto" w:sz="4" w:space="1"/>
          <w:left w:val="single" w:color="auto" w:sz="4" w:space="4"/>
          <w:bottom w:val="single" w:color="auto" w:sz="4" w:space="1"/>
          <w:right w:val="single" w:color="auto" w:sz="4" w:space="4"/>
        </w:pBdr>
        <w:spacing w:line="360" w:lineRule="auto"/>
        <w:ind w:left="120"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2025至2026年电子阅文服务项目</w:t>
      </w:r>
      <w:r>
        <w:rPr>
          <w:rFonts w:hint="eastAsia" w:ascii="宋体" w:hAnsi="宋体" w:cs="宋体"/>
          <w:color w:val="000000" w:themeColor="text1"/>
          <w:sz w:val="24"/>
          <w14:textFill>
            <w14:solidFill>
              <w14:schemeClr w14:val="tx1"/>
            </w14:solidFill>
          </w14:textFill>
        </w:rPr>
        <w:t>的潜在投标人应在政采云平台（</w:t>
      </w:r>
      <w:r>
        <w:fldChar w:fldCharType="begin"/>
      </w:r>
      <w:r>
        <w:instrText xml:space="preserve"> HYPERLINK "https://www.zcygov.cn/）获取（下载）采购文件，并于2025年%20%20月%20%20日09点30分00秒" </w:instrText>
      </w:r>
      <w:r>
        <w:fldChar w:fldCharType="separate"/>
      </w:r>
      <w:r>
        <w:rPr>
          <w:rStyle w:val="77"/>
          <w:rFonts w:hint="eastAsia" w:ascii="宋体" w:hAnsi="宋体" w:eastAsia="宋体" w:cs="宋体"/>
          <w:snapToGrid/>
          <w:color w:val="000000" w:themeColor="text1"/>
          <w:kern w:val="2"/>
          <w:sz w:val="24"/>
          <w:szCs w:val="24"/>
          <w14:textFill>
            <w14:solidFill>
              <w14:schemeClr w14:val="tx1"/>
            </w14:solidFill>
          </w14:textFill>
        </w:rPr>
        <w:t>https://www.zcygov.cn/）获取（下载）采购文件，并于2025年</w:t>
      </w:r>
      <w:r>
        <w:rPr>
          <w:rStyle w:val="77"/>
          <w:rFonts w:hint="eastAsia" w:ascii="宋体" w:hAnsi="宋体" w:cs="宋体"/>
          <w:snapToGrid/>
          <w:color w:val="000000" w:themeColor="text1"/>
          <w:kern w:val="2"/>
          <w:sz w:val="24"/>
          <w:szCs w:val="24"/>
          <w14:textFill>
            <w14:solidFill>
              <w14:schemeClr w14:val="tx1"/>
            </w14:solidFill>
          </w14:textFill>
        </w:rPr>
        <w:t>7</w:t>
      </w:r>
      <w:r>
        <w:rPr>
          <w:rStyle w:val="77"/>
          <w:rFonts w:hint="eastAsia" w:ascii="宋体" w:hAnsi="宋体" w:eastAsia="宋体" w:cs="宋体"/>
          <w:snapToGrid/>
          <w:color w:val="000000" w:themeColor="text1"/>
          <w:kern w:val="2"/>
          <w:sz w:val="24"/>
          <w:szCs w:val="24"/>
          <w14:textFill>
            <w14:solidFill>
              <w14:schemeClr w14:val="tx1"/>
            </w14:solidFill>
          </w14:textFill>
        </w:rPr>
        <w:t>月</w:t>
      </w:r>
      <w:r>
        <w:rPr>
          <w:rStyle w:val="77"/>
          <w:rFonts w:hint="eastAsia" w:ascii="宋体" w:hAnsi="宋体" w:cs="宋体"/>
          <w:snapToGrid/>
          <w:color w:val="000000" w:themeColor="text1"/>
          <w:kern w:val="2"/>
          <w:sz w:val="24"/>
          <w:szCs w:val="24"/>
          <w14:textFill>
            <w14:solidFill>
              <w14:schemeClr w14:val="tx1"/>
            </w14:solidFill>
          </w14:textFill>
        </w:rPr>
        <w:t>30</w:t>
      </w:r>
      <w:r>
        <w:rPr>
          <w:rStyle w:val="77"/>
          <w:rFonts w:hint="eastAsia" w:ascii="宋体" w:hAnsi="宋体" w:eastAsia="宋体" w:cs="宋体"/>
          <w:snapToGrid/>
          <w:color w:val="000000" w:themeColor="text1"/>
          <w:kern w:val="2"/>
          <w:sz w:val="24"/>
          <w:szCs w:val="24"/>
          <w14:textFill>
            <w14:solidFill>
              <w14:schemeClr w14:val="tx1"/>
            </w14:solidFill>
          </w14:textFill>
        </w:rPr>
        <w:t>日</w:t>
      </w:r>
      <w:r>
        <w:rPr>
          <w:rStyle w:val="77"/>
          <w:rFonts w:hint="eastAsia" w:ascii="宋体" w:hAnsi="宋体" w:cs="宋体"/>
          <w:snapToGrid/>
          <w:color w:val="000000" w:themeColor="text1"/>
          <w:kern w:val="2"/>
          <w:sz w:val="24"/>
          <w:szCs w:val="24"/>
          <w14:textFill>
            <w14:solidFill>
              <w14:schemeClr w14:val="tx1"/>
            </w14:solidFill>
          </w14:textFill>
        </w:rPr>
        <w:t>09</w:t>
      </w:r>
      <w:r>
        <w:rPr>
          <w:rStyle w:val="77"/>
          <w:rFonts w:hint="eastAsia" w:ascii="宋体" w:hAnsi="宋体" w:eastAsia="宋体" w:cs="宋体"/>
          <w:snapToGrid/>
          <w:color w:val="000000" w:themeColor="text1"/>
          <w:kern w:val="2"/>
          <w:sz w:val="24"/>
          <w:szCs w:val="24"/>
          <w14:textFill>
            <w14:solidFill>
              <w14:schemeClr w14:val="tx1"/>
            </w14:solidFill>
          </w14:textFill>
        </w:rPr>
        <w:t>点30分</w:t>
      </w:r>
      <w:r>
        <w:rPr>
          <w:rStyle w:val="77"/>
          <w:rFonts w:hint="eastAsia" w:ascii="宋体" w:hAnsi="宋体" w:eastAsia="宋体" w:cs="宋体"/>
          <w:bCs/>
          <w:snapToGrid/>
          <w:color w:val="000000" w:themeColor="text1"/>
          <w:kern w:val="2"/>
          <w:sz w:val="24"/>
          <w:szCs w:val="24"/>
          <w14:textFill>
            <w14:solidFill>
              <w14:schemeClr w14:val="tx1"/>
            </w14:solidFill>
          </w14:textFill>
        </w:rPr>
        <w:t>00秒</w:t>
      </w:r>
      <w:r>
        <w:rPr>
          <w:rStyle w:val="77"/>
          <w:rFonts w:hint="eastAsia" w:ascii="宋体" w:hAnsi="宋体" w:eastAsia="宋体" w:cs="宋体"/>
          <w:bCs/>
          <w:snapToGrid/>
          <w:color w:val="000000" w:themeColor="text1"/>
          <w:kern w:val="2"/>
          <w:sz w:val="24"/>
          <w:szCs w:val="24"/>
          <w14:textFill>
            <w14:solidFill>
              <w14:schemeClr w14:val="tx1"/>
            </w14:solidFill>
          </w14:textFill>
        </w:rPr>
        <w:fldChar w:fldCharType="end"/>
      </w:r>
      <w:r>
        <w:rPr>
          <w:rFonts w:hint="eastAsia" w:ascii="宋体" w:hAnsi="宋体" w:cs="宋体"/>
          <w:bCs/>
          <w:color w:val="000000" w:themeColor="text1"/>
          <w:sz w:val="24"/>
          <w14:textFill>
            <w14:solidFill>
              <w14:schemeClr w14:val="tx1"/>
            </w14:solidFill>
          </w14:textFill>
        </w:rPr>
        <w:t>（北京时间）前</w:t>
      </w:r>
      <w:r>
        <w:rPr>
          <w:rFonts w:hint="eastAsia" w:ascii="宋体" w:hAnsi="宋体" w:cs="宋体"/>
          <w:color w:val="000000" w:themeColor="text1"/>
          <w:sz w:val="24"/>
          <w14:textFill>
            <w14:solidFill>
              <w14:schemeClr w14:val="tx1"/>
            </w14:solidFill>
          </w14:textFill>
        </w:rPr>
        <w:t>递交（上传）投标文件。</w:t>
      </w:r>
    </w:p>
    <w:p w14:paraId="244A49E7">
      <w:pPr>
        <w:spacing w:line="360" w:lineRule="auto"/>
        <w:ind w:left="120" w:firstLine="2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p>
    <w:p w14:paraId="5101FB68">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项目编号：</w:t>
      </w:r>
      <w:r>
        <w:rPr>
          <w:rFonts w:hint="eastAsia" w:ascii="宋体" w:hAnsi="宋体" w:cs="宋体"/>
          <w:color w:val="000000" w:themeColor="text1"/>
          <w:sz w:val="24"/>
          <w14:textFill>
            <w14:solidFill>
              <w14:schemeClr w14:val="tx1"/>
            </w14:solidFill>
          </w14:textFill>
        </w:rPr>
        <w:t>CTZB-2025030519</w:t>
      </w:r>
    </w:p>
    <w:p w14:paraId="5416B27A">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项目名称：</w:t>
      </w:r>
      <w:bookmarkStart w:id="595" w:name="_GoBack"/>
      <w:r>
        <w:rPr>
          <w:rFonts w:hint="eastAsia" w:ascii="宋体" w:hAnsi="宋体" w:cs="宋体"/>
          <w:color w:val="000000" w:themeColor="text1"/>
          <w:sz w:val="24"/>
          <w14:textFill>
            <w14:solidFill>
              <w14:schemeClr w14:val="tx1"/>
            </w14:solidFill>
          </w14:textFill>
        </w:rPr>
        <w:t>2025至2026年电子阅文服务项目</w:t>
      </w:r>
      <w:bookmarkEnd w:id="595"/>
    </w:p>
    <w:p w14:paraId="05C9C92B">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预算金额（元）：</w:t>
      </w:r>
      <w:r>
        <w:rPr>
          <w:rFonts w:hint="eastAsia" w:ascii="宋体" w:hAnsi="宋体" w:cs="宋体"/>
          <w:color w:val="000000" w:themeColor="text1"/>
          <w:sz w:val="24"/>
          <w14:textFill>
            <w14:solidFill>
              <w14:schemeClr w14:val="tx1"/>
            </w14:solidFill>
          </w14:textFill>
        </w:rPr>
        <w:t>2413000</w:t>
      </w:r>
      <w:r>
        <w:rPr>
          <w:rFonts w:ascii="宋体" w:hAnsi="宋体" w:cs="宋体"/>
          <w:color w:val="000000" w:themeColor="text1"/>
          <w:sz w:val="24"/>
          <w14:textFill>
            <w14:solidFill>
              <w14:schemeClr w14:val="tx1"/>
            </w14:solidFill>
          </w14:textFill>
        </w:rPr>
        <w:t>.00</w:t>
      </w:r>
    </w:p>
    <w:p w14:paraId="293717BE">
      <w:pPr>
        <w:spacing w:line="360" w:lineRule="auto"/>
        <w:ind w:left="120"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最高限价（元）：</w:t>
      </w:r>
      <w:r>
        <w:rPr>
          <w:rFonts w:hint="eastAsia" w:ascii="宋体" w:hAnsi="宋体" w:cs="宋体"/>
          <w:color w:val="000000" w:themeColor="text1"/>
          <w:sz w:val="24"/>
          <w14:textFill>
            <w14:solidFill>
              <w14:schemeClr w14:val="tx1"/>
            </w14:solidFill>
          </w14:textFill>
        </w:rPr>
        <w:t>2413000</w:t>
      </w:r>
      <w:r>
        <w:rPr>
          <w:rFonts w:ascii="宋体" w:hAnsi="宋体" w:cs="宋体"/>
          <w:color w:val="000000" w:themeColor="text1"/>
          <w:sz w:val="24"/>
          <w14:textFill>
            <w14:solidFill>
              <w14:schemeClr w14:val="tx1"/>
            </w14:solidFill>
          </w14:textFill>
        </w:rPr>
        <w:t>.00</w:t>
      </w:r>
    </w:p>
    <w:p w14:paraId="41969270">
      <w:pPr>
        <w:tabs>
          <w:tab w:val="left" w:pos="525"/>
        </w:tabs>
        <w:spacing w:line="360" w:lineRule="auto"/>
        <w:ind w:left="120"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采购需求：</w:t>
      </w:r>
      <w:r>
        <w:rPr>
          <w:rFonts w:hint="eastAsia" w:ascii="宋体" w:hAnsi="宋体" w:cs="宋体"/>
          <w:color w:val="000000" w:themeColor="text1"/>
          <w:sz w:val="24"/>
          <w14:textFill>
            <w14:solidFill>
              <w14:schemeClr w14:val="tx1"/>
            </w14:solidFill>
          </w14:textFill>
        </w:rPr>
        <w:t>提供</w:t>
      </w:r>
      <w:r>
        <w:rPr>
          <w:rFonts w:ascii="宋体" w:hAnsi="宋体" w:cs="宋体"/>
          <w:color w:val="000000" w:themeColor="text1"/>
          <w:sz w:val="24"/>
          <w14:textFill>
            <w14:solidFill>
              <w14:schemeClr w14:val="tx1"/>
            </w14:solidFill>
          </w14:textFill>
        </w:rPr>
        <w:t>859</w:t>
      </w:r>
      <w:r>
        <w:rPr>
          <w:rFonts w:hint="eastAsia" w:ascii="宋体" w:hAnsi="宋体" w:cs="宋体"/>
          <w:color w:val="000000" w:themeColor="text1"/>
          <w:sz w:val="24"/>
          <w14:textFill>
            <w14:solidFill>
              <w14:schemeClr w14:val="tx1"/>
            </w14:solidFill>
          </w14:textFill>
        </w:rPr>
        <w:t>套电子阅文服务（会议服务、会务服务、安全服务）以及运维服务（云资源、流量、短信、日常驻点服务及大会期间保障服务）；提供满足等保二级的</w:t>
      </w:r>
      <w:r>
        <w:rPr>
          <w:rFonts w:hint="eastAsia" w:ascii="宋体" w:hAnsi="宋体" w:cs="宋体"/>
          <w:color w:val="000000" w:themeColor="text1"/>
          <w:kern w:val="0"/>
          <w:sz w:val="24"/>
          <w:lang w:bidi="ar"/>
          <w14:textFill>
            <w14:solidFill>
              <w14:schemeClr w14:val="tx1"/>
            </w14:solidFill>
          </w14:textFill>
        </w:rPr>
        <w:t>安全服务</w:t>
      </w:r>
      <w:r>
        <w:rPr>
          <w:rFonts w:hint="eastAsia" w:ascii="宋体" w:hAnsi="宋体" w:cs="宋体"/>
          <w:color w:val="000000" w:themeColor="text1"/>
          <w:sz w:val="24"/>
          <w14:textFill>
            <w14:solidFill>
              <w14:schemeClr w14:val="tx1"/>
            </w14:solidFill>
          </w14:textFill>
        </w:rPr>
        <w:t>。具体以采购文件第三部分采购需求为准，供应商可点击本公告下方“浏览采购文件”查看采购需求。</w:t>
      </w:r>
    </w:p>
    <w:p w14:paraId="487CB84A">
      <w:pPr>
        <w:pStyle w:val="131"/>
        <w:ind w:left="120" w:firstLine="482"/>
        <w:rPr>
          <w:rFonts w:hint="eastAsia" w:ascii="宋体" w:hAnsi="宋体" w:cs="宋体"/>
          <w:color w:val="000000" w:themeColor="text1"/>
          <w:szCs w:val="24"/>
          <w14:textFill>
            <w14:solidFill>
              <w14:schemeClr w14:val="tx1"/>
            </w14:solidFill>
          </w14:textFill>
        </w:rPr>
      </w:pPr>
      <w:r>
        <w:rPr>
          <w:rFonts w:hint="eastAsia" w:ascii="宋体" w:hAnsi="宋体" w:cs="宋体"/>
          <w:b/>
          <w:color w:val="000000" w:themeColor="text1"/>
          <w14:textFill>
            <w14:solidFill>
              <w14:schemeClr w14:val="tx1"/>
            </w14:solidFill>
          </w14:textFill>
        </w:rPr>
        <w:t>合同履约期限：</w:t>
      </w:r>
      <w:r>
        <w:rPr>
          <w:rFonts w:hint="eastAsia"/>
          <w:color w:val="000000" w:themeColor="text1"/>
          <w14:textFill>
            <w14:solidFill>
              <w14:schemeClr w14:val="tx1"/>
            </w14:solidFill>
          </w14:textFill>
        </w:rPr>
        <w:t>合同签订之日起至2027年4月30日</w:t>
      </w:r>
      <w:r>
        <w:rPr>
          <w:rFonts w:hint="eastAsia" w:ascii="宋体" w:hAnsi="宋体" w:cs="宋体"/>
          <w:color w:val="000000" w:themeColor="text1"/>
          <w:szCs w:val="24"/>
          <w14:textFill>
            <w14:solidFill>
              <w14:schemeClr w14:val="tx1"/>
            </w14:solidFill>
          </w14:textFill>
        </w:rPr>
        <w:t>。</w:t>
      </w:r>
    </w:p>
    <w:p w14:paraId="73B6D468">
      <w:pPr>
        <w:pStyle w:val="6"/>
        <w:spacing w:line="360" w:lineRule="auto"/>
        <w:ind w:left="120" w:firstLine="482" w:firstLineChars="200"/>
        <w:rPr>
          <w:rFonts w:hint="eastAsia" w:hAnsi="宋体" w:cs="宋体"/>
          <w:b/>
          <w:color w:val="000000" w:themeColor="text1"/>
          <w14:textFill>
            <w14:solidFill>
              <w14:schemeClr w14:val="tx1"/>
            </w14:solidFill>
          </w14:textFill>
        </w:rPr>
      </w:pPr>
      <w:r>
        <w:rPr>
          <w:rFonts w:hint="eastAsia" w:hAnsi="宋体" w:cs="宋体"/>
          <w:b/>
          <w:color w:val="000000" w:themeColor="text1"/>
          <w:sz w:val="24"/>
          <w14:textFill>
            <w14:solidFill>
              <w14:schemeClr w14:val="tx1"/>
            </w14:solidFill>
          </w14:textFill>
        </w:rPr>
        <w:t>本项目接受联合体投标：</w:t>
      </w:r>
      <w:r>
        <w:rPr>
          <w:rFonts w:hAnsi="宋体" w:cs="宋体"/>
          <w:color w:val="000000" w:themeColor="text1"/>
          <w:kern w:val="0"/>
          <w:sz w:val="24"/>
          <w14:textFill>
            <w14:solidFill>
              <w14:schemeClr w14:val="tx1"/>
            </w14:solidFill>
          </w14:textFill>
        </w:rPr>
        <w:t xml:space="preserve"> </w:t>
      </w:r>
      <w:sdt>
        <w:sdtPr>
          <w:rPr>
            <w:rFonts w:hAnsi="宋体" w:cs="宋体"/>
            <w:color w:val="000000" w:themeColor="text1"/>
            <w:kern w:val="0"/>
            <w:sz w:val="24"/>
            <w14:textFill>
              <w14:solidFill>
                <w14:schemeClr w14:val="tx1"/>
              </w14:solidFill>
            </w14:textFill>
          </w:rPr>
          <w:id w:val="1290853763"/>
          <w14:checkbox>
            <w14:checked w14:val="1"/>
            <w14:checkedState w14:val="00FE" w14:font="Wingdings"/>
            <w14:uncheckedState w14:val="2610" w14:font="MS Gothic"/>
          </w14:checkbox>
        </w:sdtPr>
        <w:sdtEndPr>
          <w:rPr>
            <w:rFonts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hAnsi="宋体" w:cs="宋体"/>
          <w:b/>
          <w:color w:val="000000" w:themeColor="text1"/>
          <w:sz w:val="24"/>
          <w14:textFill>
            <w14:solidFill>
              <w14:schemeClr w14:val="tx1"/>
            </w14:solidFill>
          </w14:textFill>
        </w:rPr>
        <w:t>是；</w:t>
      </w:r>
      <w:sdt>
        <w:sdtPr>
          <w:rPr>
            <w:rFonts w:hAnsi="宋体" w:cs="宋体"/>
            <w:color w:val="000000" w:themeColor="text1"/>
            <w:kern w:val="0"/>
            <w:sz w:val="24"/>
            <w14:textFill>
              <w14:solidFill>
                <w14:schemeClr w14:val="tx1"/>
              </w14:solidFill>
            </w14:textFill>
          </w:rPr>
          <w:id w:val="1757859279"/>
          <w14:checkbox>
            <w14:checked w14:val="0"/>
            <w14:checkedState w14:val="00FE" w14:font="Wingdings"/>
            <w14:uncheckedState w14:val="2610" w14:font="MS Gothic"/>
          </w14:checkbox>
        </w:sdtPr>
        <w:sdtEndPr>
          <w:rPr>
            <w:rFonts w:hAnsi="宋体" w:cs="宋体"/>
            <w:color w:val="000000" w:themeColor="text1"/>
            <w:kern w:val="0"/>
            <w:sz w:val="24"/>
            <w14:textFill>
              <w14:solidFill>
                <w14:schemeClr w14:val="tx1"/>
              </w14:solidFill>
            </w14:textFill>
          </w:rPr>
        </w:sdtEndPr>
        <w:sdtContent>
          <w:r>
            <w:rPr>
              <w:rFonts w:hint="eastAsia" w:ascii="MS Gothic" w:hAnsi="MS Gothic" w:cs="宋体"/>
              <w:color w:val="000000" w:themeColor="text1"/>
              <w:kern w:val="0"/>
              <w:sz w:val="24"/>
              <w14:textFill>
                <w14:solidFill>
                  <w14:schemeClr w14:val="tx1"/>
                </w14:solidFill>
              </w14:textFill>
            </w:rPr>
            <w:t>☐</w:t>
          </w:r>
        </w:sdtContent>
      </w:sdt>
      <w:r>
        <w:rPr>
          <w:rFonts w:hint="eastAsia" w:hAnsi="宋体" w:cs="宋体"/>
          <w:b/>
          <w:color w:val="000000" w:themeColor="text1"/>
          <w:sz w:val="24"/>
          <w14:textFill>
            <w14:solidFill>
              <w14:schemeClr w14:val="tx1"/>
            </w14:solidFill>
          </w14:textFill>
        </w:rPr>
        <w:t>否</w:t>
      </w:r>
      <w:r>
        <w:rPr>
          <w:rFonts w:hint="eastAsia" w:hAnsi="宋体" w:cs="宋体"/>
          <w:color w:val="000000" w:themeColor="text1"/>
          <w:kern w:val="0"/>
          <w:sz w:val="24"/>
          <w14:textFill>
            <w14:solidFill>
              <w14:schemeClr w14:val="tx1"/>
            </w14:solidFill>
          </w14:textFill>
        </w:rPr>
        <w:t>。</w:t>
      </w:r>
    </w:p>
    <w:p w14:paraId="47FF9EB4">
      <w:pPr>
        <w:spacing w:line="360" w:lineRule="auto"/>
        <w:ind w:left="120" w:firstLine="2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二、申请人的资格要求：</w:t>
      </w:r>
    </w:p>
    <w:p w14:paraId="34784239">
      <w:pPr>
        <w:spacing w:line="360" w:lineRule="auto"/>
        <w:ind w:left="119" w:firstLine="480" w:firstLineChars="200"/>
        <w:rPr>
          <w:rFonts w:hint="eastAsia" w:ascii="宋体" w:hAnsi="宋体" w:cs="宋体"/>
          <w:snapToGrid w:val="0"/>
          <w:color w:val="000000" w:themeColor="text1"/>
          <w:kern w:val="28"/>
          <w:sz w:val="24"/>
          <w:szCs w:val="20"/>
          <w14:textFill>
            <w14:solidFill>
              <w14:schemeClr w14:val="tx1"/>
            </w14:solidFill>
          </w14:textFill>
        </w:rPr>
      </w:pPr>
      <w:bookmarkStart w:id="11" w:name="_Hlk133442352"/>
      <w:r>
        <w:rPr>
          <w:rFonts w:hint="eastAsia" w:ascii="宋体" w:hAnsi="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04914E97">
      <w:pPr>
        <w:spacing w:line="360" w:lineRule="auto"/>
        <w:ind w:left="119" w:firstLine="480" w:firstLineChars="200"/>
        <w:rPr>
          <w:rFonts w:hint="eastAsia" w:ascii="宋体" w:hAnsi="宋体" w:cs="宋体"/>
          <w:snapToGrid w:val="0"/>
          <w:color w:val="000000" w:themeColor="text1"/>
          <w:kern w:val="28"/>
          <w:sz w:val="24"/>
          <w:szCs w:val="20"/>
          <w14:textFill>
            <w14:solidFill>
              <w14:schemeClr w14:val="tx1"/>
            </w14:solidFill>
          </w14:textFill>
        </w:rPr>
      </w:pPr>
      <w:r>
        <w:rPr>
          <w:rFonts w:ascii="宋体" w:hAnsi="宋体" w:cs="宋体"/>
          <w:snapToGrid w:val="0"/>
          <w:color w:val="000000" w:themeColor="text1"/>
          <w:kern w:val="28"/>
          <w:sz w:val="24"/>
          <w:szCs w:val="20"/>
          <w14:textFill>
            <w14:solidFill>
              <w14:schemeClr w14:val="tx1"/>
            </w14:solidFill>
          </w14:textFill>
        </w:rPr>
        <w:t>2</w:t>
      </w:r>
      <w:r>
        <w:rPr>
          <w:rFonts w:hint="eastAsia" w:ascii="宋体" w:hAnsi="宋体" w:cs="宋体"/>
          <w:snapToGrid w:val="0"/>
          <w:color w:val="000000" w:themeColor="text1"/>
          <w:kern w:val="28"/>
          <w:sz w:val="24"/>
          <w:szCs w:val="20"/>
          <w14:textFill>
            <w14:solidFill>
              <w14:schemeClr w14:val="tx1"/>
            </w14:solidFill>
          </w14:textFill>
        </w:rPr>
        <w:t>.</w:t>
      </w:r>
      <w:r>
        <w:rPr>
          <w:rFonts w:hint="eastAsia" w:ascii="宋体" w:hAnsi="宋体" w:cs="宋体"/>
          <w:color w:val="000000" w:themeColor="text1"/>
          <w14:textFill>
            <w14:solidFill>
              <w14:schemeClr w14:val="tx1"/>
            </w14:solidFill>
          </w14:textFill>
        </w:rPr>
        <w:t xml:space="preserve"> </w:t>
      </w:r>
      <w:r>
        <w:rPr>
          <w:rFonts w:hint="eastAsia" w:ascii="宋体" w:hAnsi="宋体" w:cs="宋体"/>
          <w:snapToGrid w:val="0"/>
          <w:color w:val="000000" w:themeColor="text1"/>
          <w:kern w:val="28"/>
          <w:sz w:val="24"/>
          <w:szCs w:val="20"/>
          <w14:textFill>
            <w14:solidFill>
              <w14:schemeClr w14:val="tx1"/>
            </w14:solidFill>
          </w14:textFill>
        </w:rPr>
        <w:t>以联合体形式投标的，提供联合协议(本项目不接受联合体投标或者投标人不以联合体形式投标的，则不需要提供) ；</w:t>
      </w:r>
    </w:p>
    <w:p w14:paraId="5580AE14">
      <w:pPr>
        <w:spacing w:line="360" w:lineRule="auto"/>
        <w:ind w:left="119" w:firstLine="480" w:firstLineChars="200"/>
        <w:rPr>
          <w:rFonts w:hint="eastAsia" w:ascii="宋体" w:hAnsi="宋体" w:cs="宋体"/>
          <w:snapToGrid w:val="0"/>
          <w:color w:val="000000" w:themeColor="text1"/>
          <w:kern w:val="28"/>
          <w:sz w:val="24"/>
          <w:szCs w:val="20"/>
          <w14:textFill>
            <w14:solidFill>
              <w14:schemeClr w14:val="tx1"/>
            </w14:solidFill>
          </w14:textFill>
        </w:rPr>
      </w:pPr>
      <w:r>
        <w:rPr>
          <w:rFonts w:ascii="宋体" w:hAnsi="宋体" w:cs="宋体"/>
          <w:snapToGrid w:val="0"/>
          <w:color w:val="000000" w:themeColor="text1"/>
          <w:kern w:val="28"/>
          <w:sz w:val="24"/>
          <w:szCs w:val="20"/>
          <w14:textFill>
            <w14:solidFill>
              <w14:schemeClr w14:val="tx1"/>
            </w14:solidFill>
          </w14:textFill>
        </w:rPr>
        <w:t>3</w:t>
      </w:r>
      <w:r>
        <w:rPr>
          <w:rFonts w:hint="eastAsia" w:ascii="宋体" w:hAnsi="宋体" w:cs="宋体"/>
          <w:snapToGrid w:val="0"/>
          <w:color w:val="000000" w:themeColor="text1"/>
          <w:kern w:val="28"/>
          <w:sz w:val="24"/>
          <w:szCs w:val="20"/>
          <w14:textFill>
            <w14:solidFill>
              <w14:schemeClr w14:val="tx1"/>
            </w14:solidFill>
          </w14:textFill>
        </w:rPr>
        <w:t>.落实政府采购政策需满足的资格要求：</w:t>
      </w:r>
    </w:p>
    <w:p w14:paraId="44A30A16">
      <w:pPr>
        <w:spacing w:line="360" w:lineRule="auto"/>
        <w:ind w:left="119" w:firstLine="480" w:firstLineChars="200"/>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28616923"/>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sz w:val="24"/>
          <w14:textFill>
            <w14:solidFill>
              <w14:schemeClr w14:val="tx1"/>
            </w14:solidFill>
          </w14:textFill>
        </w:rPr>
        <w:t>无</w:t>
      </w:r>
      <w:r>
        <w:rPr>
          <w:rFonts w:hint="eastAsia" w:ascii="宋体" w:hAnsi="宋体" w:cs="宋体"/>
          <w:snapToGrid w:val="0"/>
          <w:color w:val="000000" w:themeColor="text1"/>
          <w:kern w:val="28"/>
          <w:sz w:val="24"/>
          <w:szCs w:val="20"/>
          <w14:textFill>
            <w14:solidFill>
              <w14:schemeClr w14:val="tx1"/>
            </w14:solidFill>
          </w14:textFill>
        </w:rPr>
        <w:t>（注：不得限制大中型企业与小微企业组成联合体参与投标）；</w:t>
      </w:r>
    </w:p>
    <w:p w14:paraId="3DC6B925">
      <w:pPr>
        <w:spacing w:line="360" w:lineRule="auto"/>
        <w:ind w:left="119" w:firstLine="480" w:firstLineChars="200"/>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728338571"/>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14:paraId="0BB9A167">
      <w:pPr>
        <w:spacing w:line="360" w:lineRule="auto"/>
        <w:ind w:left="119" w:firstLine="480" w:firstLineChars="200"/>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62828342"/>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服务全部由符合政策要求的中小企业承接，提供中小企业声明函；</w:t>
      </w:r>
    </w:p>
    <w:p w14:paraId="6B71A18A">
      <w:pPr>
        <w:spacing w:line="360" w:lineRule="auto"/>
        <w:ind w:left="119" w:firstLine="480" w:firstLineChars="200"/>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1158305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服务全部由符合政策要求的小微企业承接，提供小微企业声明函；</w:t>
      </w:r>
    </w:p>
    <w:p w14:paraId="014F2306">
      <w:pPr>
        <w:spacing w:line="360" w:lineRule="auto"/>
        <w:ind w:left="119" w:firstLine="480" w:firstLineChars="200"/>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2694222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p w14:paraId="53FF4245">
      <w:pPr>
        <w:spacing w:line="360" w:lineRule="auto"/>
        <w:ind w:left="119" w:firstLine="480" w:firstLineChars="200"/>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14:textFill>
            <w14:solidFill>
              <w14:schemeClr w14:val="tx1"/>
            </w14:solidFill>
          </w14:textFill>
        </w:rPr>
        <w:t>；</w:t>
      </w:r>
    </w:p>
    <w:p w14:paraId="029E278A">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p>
    <w:p w14:paraId="085F893E">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466463"/>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无。</w:t>
      </w:r>
    </w:p>
    <w:p w14:paraId="5420B42A">
      <w:pPr>
        <w:widowControl/>
        <w:snapToGrid w:val="0"/>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607112291"/>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有特定资格要求：        ，该特定条件的法律法规依据：        。</w:t>
      </w:r>
    </w:p>
    <w:p w14:paraId="05AC9947">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5.单位</w:t>
      </w:r>
      <w:r>
        <w:rPr>
          <w:rFonts w:hint="eastAsia" w:ascii="宋体" w:hAnsi="宋体" w:cs="宋体"/>
          <w:color w:val="000000" w:themeColor="text1"/>
          <w:sz w:val="24"/>
          <w14:textFill>
            <w14:solidFill>
              <w14:schemeClr w14:val="tx1"/>
            </w14:solidFill>
          </w14:textFill>
        </w:rPr>
        <w:t>负责人为同一人或者存在直接控股、管理关系的不同供应商，不得参加同一合同项下的政府采购活动；为采购项目提供整体设计、规范编制或者项目管理、监理、检测等服务后不得再参加该采购项目的其他采购活动。</w:t>
      </w:r>
    </w:p>
    <w:bookmarkEnd w:id="11"/>
    <w:p w14:paraId="4980DDCF">
      <w:pPr>
        <w:spacing w:line="360" w:lineRule="auto"/>
        <w:ind w:left="120" w:firstLine="2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三、获取采购文件 </w:t>
      </w:r>
    </w:p>
    <w:p w14:paraId="6FCA1DB2">
      <w:pPr>
        <w:spacing w:line="360" w:lineRule="auto"/>
        <w:ind w:left="120"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u w:val="single"/>
          <w14:textFill>
            <w14:solidFill>
              <w14:schemeClr w14:val="tx1"/>
            </w14:solidFill>
          </w14:textFill>
        </w:rPr>
        <w:t>2025年7月30日</w:t>
      </w:r>
      <w:r>
        <w:rPr>
          <w:rFonts w:hint="eastAsia" w:ascii="宋体" w:hAnsi="宋体" w:cs="宋体"/>
          <w:color w:val="000000" w:themeColor="text1"/>
          <w:sz w:val="24"/>
          <w14:textFill>
            <w14:solidFill>
              <w14:schemeClr w14:val="tx1"/>
            </w14:solidFill>
          </w14:textFill>
        </w:rPr>
        <w:t>，每天上午00:00至12:00 ，下午12:00至23:59（北京时间，线上获取法定节假日均可，线下获取文件法定节假日除外）</w:t>
      </w:r>
    </w:p>
    <w:p w14:paraId="37E22B27">
      <w:pPr>
        <w:spacing w:line="360" w:lineRule="auto"/>
        <w:ind w:left="120"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7A9E49D0">
      <w:pPr>
        <w:spacing w:line="360" w:lineRule="auto"/>
        <w:ind w:left="120"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258297D1">
      <w:pPr>
        <w:spacing w:line="360" w:lineRule="auto"/>
        <w:ind w:left="120"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售价（元）：</w:t>
      </w:r>
      <w:r>
        <w:rPr>
          <w:rFonts w:hint="eastAsia" w:ascii="宋体" w:hAnsi="宋体" w:cs="宋体"/>
          <w:color w:val="000000" w:themeColor="text1"/>
          <w:sz w:val="24"/>
          <w14:textFill>
            <w14:solidFill>
              <w14:schemeClr w14:val="tx1"/>
            </w14:solidFill>
          </w14:textFill>
        </w:rPr>
        <w:t xml:space="preserve">0 </w:t>
      </w:r>
      <w:r>
        <w:rPr>
          <w:rFonts w:hint="eastAsia" w:ascii="宋体" w:hAnsi="宋体" w:cs="宋体"/>
          <w:color w:val="000000" w:themeColor="text1"/>
          <w:sz w:val="24"/>
          <w14:textFill>
            <w14:solidFill>
              <w14:schemeClr w14:val="tx1"/>
            </w14:solidFill>
          </w14:textFill>
        </w:rPr>
        <w:tab/>
      </w:r>
    </w:p>
    <w:p w14:paraId="1E06EC18">
      <w:pPr>
        <w:spacing w:line="360" w:lineRule="auto"/>
        <w:ind w:left="120" w:firstLine="2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四、提交投标文件截止时间、开标时间和地点</w:t>
      </w:r>
    </w:p>
    <w:p w14:paraId="0A9C0CEB">
      <w:pPr>
        <w:spacing w:line="360" w:lineRule="auto"/>
        <w:ind w:left="120"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提交投标文件截止时间：</w:t>
      </w:r>
      <w:r>
        <w:rPr>
          <w:rFonts w:hint="eastAsia" w:ascii="宋体" w:hAnsi="宋体" w:cs="宋体"/>
          <w:color w:val="000000" w:themeColor="text1"/>
          <w:sz w:val="24"/>
          <w:u w:val="single"/>
          <w14:textFill>
            <w14:solidFill>
              <w14:schemeClr w14:val="tx1"/>
            </w14:solidFill>
          </w14:textFill>
        </w:rPr>
        <w:t xml:space="preserve"> 2025年7月30日09点30分00秒</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（北京时间）</w:t>
      </w:r>
    </w:p>
    <w:p w14:paraId="1FA84FB1">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1705F53F">
      <w:pPr>
        <w:spacing w:line="360" w:lineRule="auto"/>
        <w:ind w:left="120" w:firstLine="482" w:firstLineChars="200"/>
        <w:rPr>
          <w:rFonts w:hint="eastAsia"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开标时间：</w:t>
      </w:r>
      <w:r>
        <w:rPr>
          <w:rFonts w:hint="eastAsia" w:ascii="宋体" w:hAnsi="宋体" w:cs="宋体"/>
          <w:color w:val="000000" w:themeColor="text1"/>
          <w:sz w:val="24"/>
          <w:u w:val="single"/>
          <w14:textFill>
            <w14:solidFill>
              <w14:schemeClr w14:val="tx1"/>
            </w14:solidFill>
          </w14:textFill>
        </w:rPr>
        <w:t>2025年7月30日09点30分00秒</w:t>
      </w:r>
      <w:r>
        <w:rPr>
          <w:rFonts w:hint="eastAsia" w:ascii="宋体" w:hAnsi="宋体" w:cs="宋体"/>
          <w:bCs/>
          <w:color w:val="000000" w:themeColor="text1"/>
          <w:sz w:val="24"/>
          <w:u w:val="single"/>
          <w14:textFill>
            <w14:solidFill>
              <w14:schemeClr w14:val="tx1"/>
            </w14:solidFill>
          </w14:textFill>
        </w:rPr>
        <w:t xml:space="preserve">  </w:t>
      </w:r>
    </w:p>
    <w:p w14:paraId="5A9E315A">
      <w:pPr>
        <w:spacing w:line="360" w:lineRule="auto"/>
        <w:ind w:left="120"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开标地点（网址）：</w:t>
      </w:r>
      <w:r>
        <w:rPr>
          <w:rFonts w:hint="eastAsia" w:ascii="宋体" w:hAnsi="宋体" w:cs="宋体"/>
          <w:color w:val="000000" w:themeColor="text1"/>
          <w:sz w:val="24"/>
          <w14:textFill>
            <w14:solidFill>
              <w14:schemeClr w14:val="tx1"/>
            </w14:solidFill>
          </w14:textFill>
        </w:rPr>
        <w:t>政采云平台（</w:t>
      </w:r>
      <w:r>
        <w:fldChar w:fldCharType="begin"/>
      </w:r>
      <w:r>
        <w:instrText xml:space="preserve"> HYPERLINK "https://www.zcygov.cn/" </w:instrText>
      </w:r>
      <w:r>
        <w:fldChar w:fldCharType="separate"/>
      </w:r>
      <w:r>
        <w:rPr>
          <w:rStyle w:val="77"/>
          <w:rFonts w:hint="eastAsia" w:ascii="宋体" w:hAnsi="宋体" w:eastAsia="宋体" w:cs="宋体"/>
          <w:snapToGrid/>
          <w:color w:val="000000" w:themeColor="text1"/>
          <w:kern w:val="2"/>
          <w:sz w:val="24"/>
          <w:szCs w:val="24"/>
          <w14:textFill>
            <w14:solidFill>
              <w14:schemeClr w14:val="tx1"/>
            </w14:solidFill>
          </w14:textFill>
        </w:rPr>
        <w:t>https://www.zcygov.cn/</w:t>
      </w:r>
      <w:r>
        <w:rPr>
          <w:rStyle w:val="77"/>
          <w:rFonts w:hint="eastAsia" w:ascii="宋体" w:hAnsi="宋体" w:eastAsia="宋体" w:cs="宋体"/>
          <w:snapToGrid/>
          <w:color w:val="000000" w:themeColor="text1"/>
          <w:kern w:val="2"/>
          <w:sz w:val="24"/>
          <w:szCs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），杭州市文晖路42号现代置业大厦西楼17楼开标室二。</w:t>
      </w:r>
    </w:p>
    <w:p w14:paraId="01D81DC5">
      <w:pPr>
        <w:tabs>
          <w:tab w:val="left" w:pos="900"/>
        </w:tabs>
        <w:snapToGrid w:val="0"/>
        <w:spacing w:line="360" w:lineRule="auto"/>
        <w:ind w:left="482" w:hanging="482" w:hangingChars="200"/>
        <w:jc w:val="left"/>
        <w:rPr>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五、采购意向公开链接 </w:t>
      </w:r>
      <w:r>
        <w:fldChar w:fldCharType="begin"/>
      </w:r>
      <w:r>
        <w:instrText xml:space="preserve"> HYPERLINK "https://zfcg.czt.zj.gov.cn/site/detail?parentId=600007&amp;articleId=FMhc6N5UsEoWpeRaAOndgA%3D%3D" </w:instrText>
      </w:r>
      <w:r>
        <w:fldChar w:fldCharType="separate"/>
      </w:r>
      <w:r>
        <w:rPr>
          <w:rStyle w:val="77"/>
          <w:rFonts w:ascii="Times New Roman" w:hAnsi="Times New Roman" w:eastAsia="宋体" w:cs="Times New Roman"/>
          <w:snapToGrid/>
          <w:color w:val="000000" w:themeColor="text1"/>
          <w:kern w:val="2"/>
          <w:sz w:val="21"/>
          <w:szCs w:val="24"/>
          <w14:textFill>
            <w14:solidFill>
              <w14:schemeClr w14:val="tx1"/>
            </w14:solidFill>
          </w14:textFill>
        </w:rPr>
        <w:t>https://zfcg.czt.zj.gov.cn/site/detail?parentId=600007&amp;articleId=FMhc6N5UsEoWpeRaAOndgA%3D%3D</w:t>
      </w:r>
      <w:r>
        <w:rPr>
          <w:rStyle w:val="77"/>
          <w:rFonts w:ascii="Times New Roman" w:hAnsi="Times New Roman" w:eastAsia="宋体" w:cs="Times New Roman"/>
          <w:snapToGrid/>
          <w:color w:val="000000" w:themeColor="text1"/>
          <w:kern w:val="2"/>
          <w:sz w:val="21"/>
          <w:szCs w:val="24"/>
          <w14:textFill>
            <w14:solidFill>
              <w14:schemeClr w14:val="tx1"/>
            </w14:solidFill>
          </w14:textFill>
        </w:rPr>
        <w:fldChar w:fldCharType="end"/>
      </w:r>
    </w:p>
    <w:p w14:paraId="5AFABA66">
      <w:pPr>
        <w:tabs>
          <w:tab w:val="left" w:pos="900"/>
        </w:tabs>
        <w:snapToGrid w:val="0"/>
        <w:spacing w:line="360" w:lineRule="auto"/>
        <w:ind w:left="120" w:firstLine="22"/>
        <w:jc w:val="lef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六、公告期限 </w:t>
      </w:r>
    </w:p>
    <w:p w14:paraId="5FCDBEDC">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自本公告发布之日起5个工作日。</w:t>
      </w:r>
    </w:p>
    <w:p w14:paraId="731FECAA">
      <w:pPr>
        <w:spacing w:line="360" w:lineRule="auto"/>
        <w:ind w:left="120" w:firstLine="2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七、其他补充事宜</w:t>
      </w:r>
    </w:p>
    <w:p w14:paraId="2AC7216E">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w:t>
      </w:r>
      <w:r>
        <w:rPr>
          <w:rFonts w:ascii="宋体" w:hAnsi="宋体" w:cs="宋体"/>
          <w:color w:val="000000" w:themeColor="text1"/>
          <w:sz w:val="24"/>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14:textFill>
            <w14:solidFill>
              <w14:schemeClr w14:val="tx1"/>
            </w14:solidFill>
          </w14:textFill>
        </w:rPr>
        <w:t>。</w:t>
      </w:r>
    </w:p>
    <w:p w14:paraId="345A538D">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84412DB">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6940BBD">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其他事项：（1）需要落实的政府采购政策：包括节约资源、保护环境、支持创新、促进中小企业发展等。详见采购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投标文件的传输递交：投标人在投标截止时间前将加密的投标文件上传至政府采购云平台，还可以在投标截止时间前直接提交或者以邮政快递方式递交备份投标文件1份。备份投标文件的制作、存储、密封详见采购文件第二部分第15点—“备份投标文件”；⑨投标文件的解密：投标人按照平台提示和采购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采购文件公告期限与招标公告的公告期限一致。</w:t>
      </w:r>
    </w:p>
    <w:p w14:paraId="689323A1">
      <w:pPr>
        <w:spacing w:line="360" w:lineRule="auto"/>
        <w:ind w:left="120" w:firstLine="2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八、对本次采购提出询问、质疑、投诉，请按以下方式联系</w:t>
      </w:r>
    </w:p>
    <w:p w14:paraId="6FCACCC0">
      <w:pPr>
        <w:pStyle w:val="965"/>
        <w:adjustRightInd w:val="0"/>
        <w:snapToGrid w:val="0"/>
        <w:ind w:firstLine="480"/>
        <w:rPr>
          <w:rFonts w:hint="eastAsia"/>
          <w:color w:val="000000" w:themeColor="text1"/>
          <w:szCs w:val="24"/>
          <w14:textFill>
            <w14:solidFill>
              <w14:schemeClr w14:val="tx1"/>
            </w14:solidFill>
          </w14:textFill>
        </w:rPr>
      </w:pPr>
      <w:r>
        <w:rPr>
          <w:color w:val="000000" w:themeColor="text1"/>
          <w:szCs w:val="24"/>
          <w14:textFill>
            <w14:solidFill>
              <w14:schemeClr w14:val="tx1"/>
            </w14:solidFill>
          </w14:textFill>
        </w:rPr>
        <w:t>1.</w:t>
      </w:r>
      <w:r>
        <w:rPr>
          <w:rFonts w:hint="eastAsia"/>
          <w:color w:val="000000" w:themeColor="text1"/>
          <w:szCs w:val="24"/>
          <w14:textFill>
            <w14:solidFill>
              <w14:schemeClr w14:val="tx1"/>
            </w14:solidFill>
          </w14:textFill>
        </w:rPr>
        <w:t>采购人信息</w:t>
      </w:r>
    </w:p>
    <w:p w14:paraId="521DC5DA">
      <w:pPr>
        <w:widowControl/>
        <w:snapToGrid w:val="0"/>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名称：</w:t>
      </w:r>
      <w:r>
        <w:rPr>
          <w:rFonts w:hint="eastAsia" w:ascii="宋体" w:hAnsi="宋体" w:cs="宋体"/>
          <w:color w:val="000000" w:themeColor="text1"/>
          <w:kern w:val="0"/>
          <w:sz w:val="24"/>
          <w14:textFill>
            <w14:solidFill>
              <w14:schemeClr w14:val="tx1"/>
            </w14:solidFill>
          </w14:textFill>
        </w:rPr>
        <w:t>杭州市人民代表大会常务委员会办公厅</w:t>
      </w:r>
    </w:p>
    <w:p w14:paraId="5B3C2FCF">
      <w:pPr>
        <w:widowControl/>
        <w:snapToGrid w:val="0"/>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地址：</w:t>
      </w:r>
      <w:r>
        <w:rPr>
          <w:rFonts w:hint="eastAsia" w:ascii="宋体" w:hAnsi="宋体" w:cs="宋体"/>
          <w:color w:val="000000" w:themeColor="text1"/>
          <w:kern w:val="0"/>
          <w:sz w:val="24"/>
          <w14:textFill>
            <w14:solidFill>
              <w14:schemeClr w14:val="tx1"/>
            </w14:solidFill>
          </w14:textFill>
        </w:rPr>
        <w:t>解放东路18号E</w:t>
      </w:r>
      <w:r>
        <w:rPr>
          <w:rFonts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座</w:t>
      </w:r>
      <w:r>
        <w:rPr>
          <w:rFonts w:ascii="宋体" w:hAnsi="宋体" w:cs="宋体"/>
          <w:color w:val="000000" w:themeColor="text1"/>
          <w:kern w:val="0"/>
          <w:sz w:val="24"/>
          <w14:textFill>
            <w14:solidFill>
              <w14:schemeClr w14:val="tx1"/>
            </w14:solidFill>
          </w14:textFill>
        </w:rPr>
        <w:t xml:space="preserve"> </w:t>
      </w:r>
    </w:p>
    <w:p w14:paraId="2F02FC74">
      <w:pPr>
        <w:widowControl/>
        <w:snapToGrid w:val="0"/>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项目联系人</w:t>
      </w:r>
      <w:r>
        <w:rPr>
          <w:rFonts w:hint="eastAsia" w:ascii="宋体" w:hAnsi="宋体" w:cs="宋体"/>
          <w:color w:val="000000" w:themeColor="text1"/>
          <w:sz w:val="24"/>
          <w14:textFill>
            <w14:solidFill>
              <w14:schemeClr w14:val="tx1"/>
            </w14:solidFill>
          </w14:textFill>
        </w:rPr>
        <w:t>（询问）</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厉锦宇</w:t>
      </w:r>
    </w:p>
    <w:p w14:paraId="209BC955">
      <w:pPr>
        <w:widowControl/>
        <w:snapToGrid w:val="0"/>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项目联系方式</w:t>
      </w:r>
      <w:r>
        <w:rPr>
          <w:rFonts w:hint="eastAsia" w:ascii="宋体" w:hAnsi="宋体" w:cs="宋体"/>
          <w:color w:val="000000" w:themeColor="text1"/>
          <w:sz w:val="24"/>
          <w14:textFill>
            <w14:solidFill>
              <w14:schemeClr w14:val="tx1"/>
            </w14:solidFill>
          </w14:textFill>
        </w:rPr>
        <w:t>（询问）</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0571-85250798</w:t>
      </w:r>
    </w:p>
    <w:p w14:paraId="13877788">
      <w:pPr>
        <w:widowControl/>
        <w:snapToGrid w:val="0"/>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质疑联系人：</w:t>
      </w:r>
      <w:r>
        <w:rPr>
          <w:rFonts w:hint="eastAsia" w:ascii="宋体" w:hAnsi="宋体" w:cs="宋体"/>
          <w:color w:val="000000" w:themeColor="text1"/>
          <w:kern w:val="0"/>
          <w:sz w:val="24"/>
          <w14:textFill>
            <w14:solidFill>
              <w14:schemeClr w14:val="tx1"/>
            </w14:solidFill>
          </w14:textFill>
        </w:rPr>
        <w:t>蔡寅</w:t>
      </w:r>
      <w:r>
        <w:rPr>
          <w:rFonts w:ascii="宋体" w:hAnsi="宋体" w:cs="宋体"/>
          <w:color w:val="000000" w:themeColor="text1"/>
          <w:kern w:val="0"/>
          <w:sz w:val="24"/>
          <w14:textFill>
            <w14:solidFill>
              <w14:schemeClr w14:val="tx1"/>
            </w14:solidFill>
          </w14:textFill>
        </w:rPr>
        <w:t xml:space="preserve"> </w:t>
      </w:r>
    </w:p>
    <w:p w14:paraId="4F0151FB">
      <w:pPr>
        <w:widowControl/>
        <w:snapToGrid w:val="0"/>
        <w:spacing w:line="360" w:lineRule="auto"/>
        <w:ind w:firstLine="480" w:firstLineChars="200"/>
        <w:jc w:val="left"/>
        <w:rPr>
          <w:rFonts w:hint="eastAsia" w:asciiTheme="minorEastAsia" w:hAnsiTheme="minorEastAsia" w:eastAsiaTheme="minorEastAsia"/>
          <w:snapToGrid w:val="0"/>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质疑联系方式：</w:t>
      </w:r>
      <w:r>
        <w:rPr>
          <w:rFonts w:hint="eastAsia" w:ascii="宋体" w:hAnsi="宋体" w:cs="宋体"/>
          <w:color w:val="000000" w:themeColor="text1"/>
          <w:kern w:val="0"/>
          <w:sz w:val="24"/>
          <w14:textFill>
            <w14:solidFill>
              <w14:schemeClr w14:val="tx1"/>
            </w14:solidFill>
          </w14:textFill>
        </w:rPr>
        <w:t>0571-8525</w:t>
      </w:r>
      <w:r>
        <w:rPr>
          <w:rFonts w:ascii="宋体" w:hAnsi="宋体" w:cs="宋体"/>
          <w:color w:val="000000" w:themeColor="text1"/>
          <w:kern w:val="0"/>
          <w:sz w:val="24"/>
          <w14:textFill>
            <w14:solidFill>
              <w14:schemeClr w14:val="tx1"/>
            </w14:solidFill>
          </w14:textFill>
        </w:rPr>
        <w:t>2080</w:t>
      </w:r>
    </w:p>
    <w:p w14:paraId="00B2DF28">
      <w:pPr>
        <w:widowControl/>
        <w:snapToGrid w:val="0"/>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（请通过以下路径在线提起质疑：政采云-项目采购-询问质疑投诉-质疑列表）</w:t>
      </w:r>
    </w:p>
    <w:p w14:paraId="6927B441">
      <w:pPr>
        <w:pStyle w:val="965"/>
        <w:adjustRightInd w:val="0"/>
        <w:snapToGrid w:val="0"/>
        <w:ind w:left="120" w:firstLine="480"/>
        <w:rPr>
          <w:rFonts w:hint="eastAsia"/>
          <w:color w:val="000000" w:themeColor="text1"/>
          <w:szCs w:val="24"/>
          <w14:textFill>
            <w14:solidFill>
              <w14:schemeClr w14:val="tx1"/>
            </w14:solidFill>
          </w14:textFill>
        </w:rPr>
      </w:pPr>
      <w:r>
        <w:rPr>
          <w:color w:val="000000" w:themeColor="text1"/>
          <w:szCs w:val="24"/>
          <w14:textFill>
            <w14:solidFill>
              <w14:schemeClr w14:val="tx1"/>
            </w14:solidFill>
          </w14:textFill>
        </w:rPr>
        <w:t xml:space="preserve">2. </w:t>
      </w:r>
      <w:r>
        <w:rPr>
          <w:rFonts w:hint="eastAsia"/>
          <w:color w:val="000000" w:themeColor="text1"/>
          <w:szCs w:val="24"/>
          <w14:textFill>
            <w14:solidFill>
              <w14:schemeClr w14:val="tx1"/>
            </w14:solidFill>
          </w14:textFill>
        </w:rPr>
        <w:t>采购代理机构信息</w:t>
      </w:r>
    </w:p>
    <w:p w14:paraId="333B20B2">
      <w:pPr>
        <w:pStyle w:val="965"/>
        <w:adjustRightInd w:val="0"/>
        <w:snapToGrid w:val="0"/>
        <w:ind w:left="120" w:firstLine="48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名称：浙江省成套招标代理有限公司</w:t>
      </w:r>
    </w:p>
    <w:p w14:paraId="7E620E00">
      <w:pPr>
        <w:pStyle w:val="965"/>
        <w:adjustRightInd w:val="0"/>
        <w:snapToGrid w:val="0"/>
        <w:ind w:left="120" w:firstLine="48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地址：</w:t>
      </w:r>
      <w:r>
        <w:rPr>
          <w:rFonts w:hint="eastAsia"/>
          <w:color w:val="000000" w:themeColor="text1"/>
          <w:szCs w:val="24"/>
          <w:lang w:val="zh-CN"/>
          <w14:textFill>
            <w14:solidFill>
              <w14:schemeClr w14:val="tx1"/>
            </w14:solidFill>
          </w14:textFill>
        </w:rPr>
        <w:t>杭州市文晖路</w:t>
      </w:r>
      <w:r>
        <w:rPr>
          <w:color w:val="000000" w:themeColor="text1"/>
          <w:szCs w:val="24"/>
          <w:lang w:val="zh-CN"/>
          <w14:textFill>
            <w14:solidFill>
              <w14:schemeClr w14:val="tx1"/>
            </w14:solidFill>
          </w14:textFill>
        </w:rPr>
        <w:t>42号现代置业大厦西楼17、18楼</w:t>
      </w:r>
    </w:p>
    <w:p w14:paraId="12BFFED4">
      <w:pPr>
        <w:pStyle w:val="965"/>
        <w:adjustRightInd w:val="0"/>
        <w:snapToGrid w:val="0"/>
        <w:ind w:left="120" w:firstLine="48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传真：</w:t>
      </w:r>
      <w:r>
        <w:rPr>
          <w:color w:val="000000" w:themeColor="text1"/>
          <w:szCs w:val="24"/>
          <w14:textFill>
            <w14:solidFill>
              <w14:schemeClr w14:val="tx1"/>
            </w14:solidFill>
          </w14:textFill>
        </w:rPr>
        <w:t>4008-266-163转08156</w:t>
      </w:r>
    </w:p>
    <w:p w14:paraId="6A9FC2FC">
      <w:pPr>
        <w:pStyle w:val="965"/>
        <w:adjustRightInd w:val="0"/>
        <w:snapToGrid w:val="0"/>
        <w:ind w:left="120" w:firstLine="48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项目联系人</w:t>
      </w:r>
      <w:r>
        <w:rPr>
          <w:rFonts w:hint="eastAsia"/>
          <w:color w:val="000000" w:themeColor="text1"/>
          <w14:textFill>
            <w14:solidFill>
              <w14:schemeClr w14:val="tx1"/>
            </w14:solidFill>
          </w14:textFill>
        </w:rPr>
        <w:t>（询问）</w:t>
      </w:r>
      <w:r>
        <w:rPr>
          <w:rFonts w:hint="eastAsia"/>
          <w:color w:val="000000" w:themeColor="text1"/>
          <w:szCs w:val="24"/>
          <w14:textFill>
            <w14:solidFill>
              <w14:schemeClr w14:val="tx1"/>
            </w14:solidFill>
          </w14:textFill>
        </w:rPr>
        <w:t>：陆佳</w:t>
      </w:r>
    </w:p>
    <w:p w14:paraId="0E0831B0">
      <w:pPr>
        <w:pStyle w:val="965"/>
        <w:adjustRightInd w:val="0"/>
        <w:snapToGrid w:val="0"/>
        <w:ind w:left="120" w:firstLine="48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项目联系方式</w:t>
      </w:r>
      <w:r>
        <w:rPr>
          <w:rFonts w:hint="eastAsia"/>
          <w:color w:val="000000" w:themeColor="text1"/>
          <w14:textFill>
            <w14:solidFill>
              <w14:schemeClr w14:val="tx1"/>
            </w14:solidFill>
          </w14:textFill>
        </w:rPr>
        <w:t>（询问）</w:t>
      </w:r>
      <w:r>
        <w:rPr>
          <w:rFonts w:hint="eastAsia"/>
          <w:color w:val="000000" w:themeColor="text1"/>
          <w:szCs w:val="24"/>
          <w14:textFill>
            <w14:solidFill>
              <w14:schemeClr w14:val="tx1"/>
            </w14:solidFill>
          </w14:textFill>
        </w:rPr>
        <w:t>：</w:t>
      </w:r>
      <w:r>
        <w:rPr>
          <w:color w:val="000000" w:themeColor="text1"/>
          <w:szCs w:val="24"/>
          <w14:textFill>
            <w14:solidFill>
              <w14:schemeClr w14:val="tx1"/>
            </w14:solidFill>
          </w14:textFill>
        </w:rPr>
        <w:t>0571-87634685</w:t>
      </w:r>
    </w:p>
    <w:p w14:paraId="6B66F53E">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质疑联系人：冯东东 </w:t>
      </w:r>
    </w:p>
    <w:p w14:paraId="67DB303A">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质疑联系方式：0571-85331293</w:t>
      </w:r>
    </w:p>
    <w:p w14:paraId="5ED5FFB4">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（请通过以下路径在线提起质疑：政采云-项目采购-询问质疑投诉-质疑列表）    </w:t>
      </w:r>
    </w:p>
    <w:p w14:paraId="52BF860A">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3.同级政府采购监督管理部门            </w:t>
      </w:r>
    </w:p>
    <w:p w14:paraId="18860BD2">
      <w:pPr>
        <w:pStyle w:val="965"/>
        <w:snapToGrid w:val="0"/>
        <w:ind w:left="120" w:firstLine="48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名称：杭州市财政局政府采购监管处 /浙江省政府采购行政裁决服务中心（杭州）</w:t>
      </w:r>
    </w:p>
    <w:p w14:paraId="69803720">
      <w:pPr>
        <w:pStyle w:val="965"/>
        <w:snapToGrid w:val="0"/>
        <w:ind w:left="120" w:firstLine="48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地址：杭州市上城区清泰街549号城建综合大楼11楼（快递仅限ems或顺丰） </w:t>
      </w:r>
    </w:p>
    <w:p w14:paraId="76CFBD88">
      <w:pPr>
        <w:pStyle w:val="965"/>
        <w:snapToGrid w:val="0"/>
        <w:ind w:left="120" w:firstLine="48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传真： /</w:t>
      </w:r>
    </w:p>
    <w:p w14:paraId="1AA714BA">
      <w:pPr>
        <w:pStyle w:val="965"/>
        <w:snapToGrid w:val="0"/>
        <w:ind w:left="120" w:firstLine="48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联系人 ：朱女士、王女士</w:t>
      </w:r>
    </w:p>
    <w:p w14:paraId="16D2E30A">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监督投诉电话：0571-87227671,0571-87800218</w:t>
      </w:r>
    </w:p>
    <w:p w14:paraId="335CA457">
      <w:pPr>
        <w:spacing w:line="360" w:lineRule="auto"/>
        <w:ind w:left="119"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04196FCE">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CA问题联系电话（人工）：汇信CA 400-888-4636；天谷CA 400-087-8198。</w:t>
      </w:r>
    </w:p>
    <w:p w14:paraId="5EE2EF47">
      <w:pPr>
        <w:widowControl/>
        <w:adjustRightInd/>
        <w:spacing w:line="360" w:lineRule="auto"/>
        <w:ind w:left="120" w:firstLine="22"/>
        <w:jc w:val="left"/>
        <w:rPr>
          <w:rFonts w:hint="eastAsia" w:ascii="宋体" w:hAnsi="宋体" w:cs="宋体"/>
          <w:b/>
          <w:color w:val="000000" w:themeColor="text1"/>
          <w:sz w:val="36"/>
          <w:szCs w:val="20"/>
          <w14:textFill>
            <w14:solidFill>
              <w14:schemeClr w14:val="tx1"/>
            </w14:solidFill>
          </w14:textFill>
        </w:rPr>
      </w:pPr>
      <w:r>
        <w:rPr>
          <w:rFonts w:ascii="宋体" w:hAnsi="宋体" w:cs="宋体"/>
          <w:b/>
          <w:color w:val="000000" w:themeColor="text1"/>
          <w:sz w:val="36"/>
          <w:szCs w:val="20"/>
          <w14:textFill>
            <w14:solidFill>
              <w14:schemeClr w14:val="tx1"/>
            </w14:solidFill>
          </w14:textFill>
        </w:rPr>
        <w:br w:type="page"/>
      </w:r>
    </w:p>
    <w:p w14:paraId="43024E89">
      <w:pPr>
        <w:adjustRightInd/>
        <w:spacing w:line="360" w:lineRule="auto"/>
        <w:ind w:left="120" w:firstLine="22"/>
        <w:jc w:val="center"/>
        <w:outlineLvl w:val="0"/>
        <w:rPr>
          <w:rFonts w:hint="eastAsia"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第二部分</w:t>
      </w:r>
      <w:bookmarkEnd w:id="8"/>
      <w:r>
        <w:rPr>
          <w:rFonts w:hint="eastAsia" w:ascii="宋体" w:hAnsi="宋体" w:cs="宋体"/>
          <w:b/>
          <w:color w:val="000000" w:themeColor="text1"/>
          <w:sz w:val="36"/>
          <w:szCs w:val="20"/>
          <w14:textFill>
            <w14:solidFill>
              <w14:schemeClr w14:val="tx1"/>
            </w14:solidFill>
          </w14:textFill>
        </w:rPr>
        <w:t xml:space="preserve"> 投标人须知</w:t>
      </w:r>
      <w:bookmarkEnd w:id="9"/>
    </w:p>
    <w:p w14:paraId="4A8BAC25">
      <w:pPr>
        <w:adjustRightInd/>
        <w:spacing w:line="360" w:lineRule="auto"/>
        <w:ind w:left="120" w:firstLine="3845" w:firstLineChars="1197"/>
        <w:outlineLvl w:val="1"/>
        <w:rPr>
          <w:rFonts w:hint="eastAsia"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EA441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6B57E121">
            <w:pPr>
              <w:snapToGrid w:val="0"/>
              <w:spacing w:line="360" w:lineRule="auto"/>
              <w:ind w:left="120" w:firstLine="2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843" w:type="dxa"/>
            <w:tcBorders>
              <w:top w:val="single" w:color="000000" w:sz="8" w:space="0"/>
              <w:left w:val="single" w:color="000000" w:sz="8" w:space="0"/>
              <w:bottom w:val="single" w:color="000000" w:sz="8" w:space="0"/>
              <w:right w:val="single" w:color="000000" w:sz="8" w:space="0"/>
            </w:tcBorders>
            <w:vAlign w:val="center"/>
          </w:tcPr>
          <w:p w14:paraId="25649917">
            <w:pPr>
              <w:snapToGrid w:val="0"/>
              <w:spacing w:line="360" w:lineRule="auto"/>
              <w:ind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事项</w:t>
            </w:r>
          </w:p>
        </w:tc>
        <w:tc>
          <w:tcPr>
            <w:tcW w:w="6095" w:type="dxa"/>
            <w:tcBorders>
              <w:top w:val="single" w:color="000000" w:sz="8" w:space="0"/>
              <w:left w:val="single" w:color="000000" w:sz="8" w:space="0"/>
              <w:bottom w:val="single" w:color="000000" w:sz="8" w:space="0"/>
              <w:right w:val="single" w:color="000000" w:sz="8" w:space="0"/>
            </w:tcBorders>
            <w:vAlign w:val="center"/>
          </w:tcPr>
          <w:p w14:paraId="1F51C2A0">
            <w:pPr>
              <w:snapToGrid w:val="0"/>
              <w:spacing w:line="360" w:lineRule="auto"/>
              <w:ind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本项目的特别规定</w:t>
            </w:r>
          </w:p>
        </w:tc>
      </w:tr>
      <w:tr w14:paraId="5C8B86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1E7583BE">
            <w:pPr>
              <w:snapToGrid w:val="0"/>
              <w:spacing w:line="360" w:lineRule="auto"/>
              <w:ind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843" w:type="dxa"/>
            <w:tcBorders>
              <w:top w:val="single" w:color="000000" w:sz="8" w:space="0"/>
              <w:left w:val="single" w:color="000000" w:sz="8" w:space="0"/>
              <w:bottom w:val="single" w:color="000000" w:sz="8" w:space="0"/>
              <w:right w:val="single" w:color="000000" w:sz="8" w:space="0"/>
            </w:tcBorders>
            <w:vAlign w:val="center"/>
          </w:tcPr>
          <w:p w14:paraId="1D4BDEDA">
            <w:pPr>
              <w:snapToGrid w:val="0"/>
              <w:spacing w:line="360" w:lineRule="auto"/>
              <w:ind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项目属性</w:t>
            </w:r>
          </w:p>
        </w:tc>
        <w:tc>
          <w:tcPr>
            <w:tcW w:w="6095" w:type="dxa"/>
            <w:tcBorders>
              <w:top w:val="single" w:color="000000" w:sz="8" w:space="0"/>
              <w:left w:val="single" w:color="000000" w:sz="8" w:space="0"/>
              <w:bottom w:val="single" w:color="000000" w:sz="8" w:space="0"/>
              <w:right w:val="single" w:color="000000" w:sz="8" w:space="0"/>
            </w:tcBorders>
            <w:vAlign w:val="center"/>
          </w:tcPr>
          <w:p w14:paraId="02B107F9">
            <w:pPr>
              <w:spacing w:line="360" w:lineRule="auto"/>
              <w:ind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服务类。</w:t>
            </w:r>
          </w:p>
        </w:tc>
      </w:tr>
      <w:tr w14:paraId="4A9FDB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6FB2671C">
            <w:pPr>
              <w:snapToGrid w:val="0"/>
              <w:spacing w:line="360" w:lineRule="auto"/>
              <w:ind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843" w:type="dxa"/>
            <w:tcBorders>
              <w:top w:val="single" w:color="000000" w:sz="8" w:space="0"/>
              <w:left w:val="single" w:color="000000" w:sz="8" w:space="0"/>
              <w:bottom w:val="single" w:color="000000" w:sz="8" w:space="0"/>
              <w:right w:val="single" w:color="000000" w:sz="8" w:space="0"/>
            </w:tcBorders>
            <w:vAlign w:val="center"/>
          </w:tcPr>
          <w:p w14:paraId="2A2A92E3">
            <w:pPr>
              <w:snapToGrid w:val="0"/>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采购标的及其对应的中小企业划分标准所属行业</w:t>
            </w:r>
          </w:p>
        </w:tc>
        <w:tc>
          <w:tcPr>
            <w:tcW w:w="6095" w:type="dxa"/>
            <w:tcBorders>
              <w:top w:val="single" w:color="000000" w:sz="8" w:space="0"/>
              <w:left w:val="single" w:color="000000" w:sz="8" w:space="0"/>
              <w:bottom w:val="single" w:color="000000" w:sz="8" w:space="0"/>
              <w:right w:val="single" w:color="000000" w:sz="8" w:space="0"/>
            </w:tcBorders>
            <w:vAlign w:val="center"/>
          </w:tcPr>
          <w:p w14:paraId="3E51CFBA">
            <w:pPr>
              <w:snapToGrid w:val="0"/>
              <w:spacing w:line="360" w:lineRule="auto"/>
              <w:ind w:left="120"/>
              <w:rPr>
                <w:rFonts w:hint="eastAsia" w:ascii="宋体" w:hAnsi="宋体" w:cs="宋体"/>
                <w:b/>
                <w:bCs/>
                <w:color w:val="000000" w:themeColor="text1"/>
                <w:kern w:val="0"/>
                <w:sz w:val="24"/>
                <w:u w:val="single"/>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标的：</w:t>
            </w:r>
            <w:r>
              <w:rPr>
                <w:rFonts w:hint="eastAsia" w:ascii="宋体" w:hAnsi="宋体" w:cs="宋体"/>
                <w:b/>
                <w:bCs/>
                <w:color w:val="000000" w:themeColor="text1"/>
                <w:kern w:val="0"/>
                <w:sz w:val="24"/>
                <w:u w:val="single"/>
                <w14:textFill>
                  <w14:solidFill>
                    <w14:schemeClr w14:val="tx1"/>
                  </w14:solidFill>
                </w14:textFill>
              </w:rPr>
              <w:t>2025至2026年电子阅文服务，</w:t>
            </w:r>
            <w:r>
              <w:rPr>
                <w:rFonts w:hint="eastAsia" w:ascii="宋体" w:hAnsi="宋体" w:cs="宋体"/>
                <w:b/>
                <w:bCs/>
                <w:color w:val="000000" w:themeColor="text1"/>
                <w:kern w:val="0"/>
                <w:sz w:val="24"/>
                <w14:textFill>
                  <w14:solidFill>
                    <w14:schemeClr w14:val="tx1"/>
                  </w14:solidFill>
                </w14:textFill>
              </w:rPr>
              <w:t>属于</w:t>
            </w:r>
            <w:r>
              <w:rPr>
                <w:rFonts w:hint="eastAsia" w:ascii="宋体" w:hAnsi="宋体" w:cs="宋体"/>
                <w:b/>
                <w:bCs/>
                <w:color w:val="000000" w:themeColor="text1"/>
                <w:kern w:val="0"/>
                <w:sz w:val="24"/>
                <w:u w:val="single"/>
                <w14:textFill>
                  <w14:solidFill>
                    <w14:schemeClr w14:val="tx1"/>
                  </w14:solidFill>
                </w14:textFill>
              </w:rPr>
              <w:t>软件和信息技术服务业。</w:t>
            </w:r>
          </w:p>
          <w:p w14:paraId="639AF46D">
            <w:pPr>
              <w:pStyle w:val="4"/>
              <w:ind w:left="0" w:leftChars="0" w:firstLine="0" w:firstLineChars="0"/>
              <w:rPr>
                <w:rFonts w:hint="eastAsia"/>
                <w:color w:val="000000" w:themeColor="text1"/>
                <w14:textFill>
                  <w14:solidFill>
                    <w14:schemeClr w14:val="tx1"/>
                  </w14:solidFill>
                </w14:textFill>
              </w:rPr>
            </w:pPr>
            <w:r>
              <w:rPr>
                <w:color w:val="000000" w:themeColor="text1"/>
                <w:lang w:val="en-US"/>
                <w14:textFill>
                  <w14:solidFill>
                    <w14:schemeClr w14:val="tx1"/>
                  </w14:solidFill>
                </w14:textFill>
              </w:rPr>
              <w:t>根据</w:t>
            </w:r>
            <w:r>
              <w:rPr>
                <w:color w:val="000000" w:themeColor="text1"/>
                <w14:textFill>
                  <w14:solidFill>
                    <w14:schemeClr w14:val="tx1"/>
                  </w14:solidFill>
                </w14:textFill>
              </w:rPr>
              <w:t>《关于印发中小企业划型标准规定的通知》（工信部联企业〔2011〕300）第</w:t>
            </w:r>
            <w:r>
              <w:rPr>
                <w:color w:val="000000" w:themeColor="text1"/>
                <w:lang w:val="en-US"/>
                <w14:textFill>
                  <w14:solidFill>
                    <w14:schemeClr w14:val="tx1"/>
                  </w14:solidFill>
                </w14:textFill>
              </w:rPr>
              <w:t>四条规定：</w:t>
            </w:r>
            <w:r>
              <w:rPr>
                <w:rFonts w:hint="eastAsia"/>
                <w:color w:val="000000" w:themeColor="text1"/>
                <w14:textFill>
                  <w14:solidFill>
                    <w14:schemeClr w14:val="tx1"/>
                  </w14:solidFill>
                </w14:textFill>
              </w:rPr>
              <w:t>软件和信息技术服务业行业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248C0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71C6F29D">
            <w:pPr>
              <w:snapToGrid w:val="0"/>
              <w:spacing w:line="360" w:lineRule="auto"/>
              <w:ind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843" w:type="dxa"/>
            <w:tcBorders>
              <w:top w:val="single" w:color="000000" w:sz="8" w:space="0"/>
              <w:left w:val="single" w:color="000000" w:sz="8" w:space="0"/>
              <w:bottom w:val="single" w:color="000000" w:sz="8" w:space="0"/>
              <w:right w:val="single" w:color="000000" w:sz="8" w:space="0"/>
            </w:tcBorders>
            <w:vAlign w:val="center"/>
          </w:tcPr>
          <w:p w14:paraId="78566758">
            <w:pPr>
              <w:snapToGrid w:val="0"/>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是否允许采购进口产品</w:t>
            </w:r>
          </w:p>
        </w:tc>
        <w:tc>
          <w:tcPr>
            <w:tcW w:w="6095" w:type="dxa"/>
            <w:tcBorders>
              <w:top w:val="single" w:color="000000" w:sz="8" w:space="0"/>
              <w:left w:val="single" w:color="000000" w:sz="8" w:space="0"/>
              <w:bottom w:val="single" w:color="000000" w:sz="8" w:space="0"/>
              <w:right w:val="single" w:color="000000" w:sz="8" w:space="0"/>
            </w:tcBorders>
            <w:vAlign w:val="center"/>
          </w:tcPr>
          <w:p w14:paraId="25C793FB">
            <w:pPr>
              <w:spacing w:line="360" w:lineRule="auto"/>
              <w:ind w:left="120" w:firstLine="22"/>
              <w:rPr>
                <w:rFonts w:hint="eastAsia"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70159610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本项目不允许采购进口产品。</w:t>
            </w:r>
          </w:p>
          <w:p w14:paraId="7484C525">
            <w:pPr>
              <w:spacing w:line="360" w:lineRule="auto"/>
              <w:ind w:left="120" w:firstLine="22"/>
              <w:rPr>
                <w:rFonts w:hint="eastAsia"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572076750"/>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可以就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采购进口产品。</w:t>
            </w:r>
          </w:p>
        </w:tc>
      </w:tr>
      <w:tr w14:paraId="1AD28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2B39FA09">
            <w:pPr>
              <w:snapToGrid w:val="0"/>
              <w:spacing w:line="360" w:lineRule="auto"/>
              <w:ind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843" w:type="dxa"/>
            <w:tcBorders>
              <w:top w:val="single" w:color="000000" w:sz="8" w:space="0"/>
              <w:left w:val="single" w:color="000000" w:sz="8" w:space="0"/>
              <w:bottom w:val="single" w:color="000000" w:sz="8" w:space="0"/>
              <w:right w:val="single" w:color="000000" w:sz="8" w:space="0"/>
            </w:tcBorders>
            <w:vAlign w:val="center"/>
          </w:tcPr>
          <w:p w14:paraId="6A39FE23">
            <w:pPr>
              <w:snapToGrid w:val="0"/>
              <w:spacing w:line="360" w:lineRule="auto"/>
              <w:ind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095" w:type="dxa"/>
            <w:tcBorders>
              <w:top w:val="single" w:color="000000" w:sz="8" w:space="0"/>
              <w:left w:val="single" w:color="000000" w:sz="8" w:space="0"/>
              <w:bottom w:val="single" w:color="000000" w:sz="8" w:space="0"/>
              <w:right w:val="single" w:color="000000" w:sz="8" w:space="0"/>
            </w:tcBorders>
            <w:vAlign w:val="center"/>
          </w:tcPr>
          <w:p w14:paraId="4DD780DF">
            <w:pPr>
              <w:snapToGrid w:val="0"/>
              <w:spacing w:line="360" w:lineRule="auto"/>
              <w:ind w:left="120" w:firstLine="22"/>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79526043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同意将非主体、非关键性的</w:t>
            </w:r>
            <w:r>
              <w:rPr>
                <w:rFonts w:hint="eastAsia" w:ascii="宋体" w:hAnsi="宋体" w:cs="宋体"/>
                <w:color w:val="000000" w:themeColor="text1"/>
                <w:sz w:val="24"/>
                <w:u w:val="single"/>
                <w14:textFill>
                  <w14:solidFill>
                    <w14:schemeClr w14:val="tx1"/>
                  </w14:solidFill>
                </w14:textFill>
              </w:rPr>
              <w:t>人代会期间驻点</w:t>
            </w:r>
            <w:r>
              <w:rPr>
                <w:rFonts w:hint="eastAsia" w:ascii="宋体" w:hAnsi="宋体" w:cs="宋体"/>
                <w:color w:val="000000" w:themeColor="text1"/>
                <w:sz w:val="24"/>
                <w14:textFill>
                  <w14:solidFill>
                    <w14:schemeClr w14:val="tx1"/>
                  </w14:solidFill>
                </w14:textFill>
              </w:rPr>
              <w:t>工作分包，分包部分合同金额比例应达到合同总金额的5%，分包供应商应具备承接分包内容所必需的设备和专业技术能力，总包供应商对分包内容承担连带责任。</w:t>
            </w:r>
          </w:p>
          <w:p w14:paraId="5F77C406">
            <w:pPr>
              <w:spacing w:line="360" w:lineRule="auto"/>
              <w:ind w:left="120" w:firstLine="22"/>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144020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B</w:t>
            </w:r>
            <w:r>
              <w:rPr>
                <w:rFonts w:hint="eastAsia" w:ascii="宋体" w:hAnsi="宋体" w:cs="宋体"/>
                <w:color w:val="000000" w:themeColor="text1"/>
                <w:sz w:val="24"/>
                <w14:textFill>
                  <w14:solidFill>
                    <w14:schemeClr w14:val="tx1"/>
                  </w14:solidFill>
                </w14:textFill>
              </w:rPr>
              <w:t>不同意分包。</w:t>
            </w:r>
          </w:p>
          <w:p w14:paraId="10A8124B">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注：不得限制中型企业向小微企业合理分包。</w:t>
            </w:r>
          </w:p>
        </w:tc>
      </w:tr>
      <w:tr w14:paraId="043381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18B4F1A1">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p w14:paraId="70A6799D">
            <w:pPr>
              <w:snapToGrid w:val="0"/>
              <w:spacing w:line="360" w:lineRule="auto"/>
              <w:ind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843" w:type="dxa"/>
            <w:tcBorders>
              <w:top w:val="single" w:color="000000" w:sz="8" w:space="0"/>
              <w:left w:val="single" w:color="000000" w:sz="8" w:space="0"/>
              <w:bottom w:val="single" w:color="000000" w:sz="8" w:space="0"/>
              <w:right w:val="single" w:color="000000" w:sz="8" w:space="0"/>
            </w:tcBorders>
            <w:vAlign w:val="center"/>
          </w:tcPr>
          <w:p w14:paraId="3D946ADB">
            <w:pPr>
              <w:snapToGrid w:val="0"/>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开标前答疑会或现场考察</w:t>
            </w:r>
          </w:p>
        </w:tc>
        <w:tc>
          <w:tcPr>
            <w:tcW w:w="6095" w:type="dxa"/>
            <w:tcBorders>
              <w:top w:val="single" w:color="000000" w:sz="8" w:space="0"/>
              <w:left w:val="single" w:color="000000" w:sz="8" w:space="0"/>
              <w:bottom w:val="single" w:color="000000" w:sz="8" w:space="0"/>
              <w:right w:val="single" w:color="000000" w:sz="8" w:space="0"/>
            </w:tcBorders>
            <w:vAlign w:val="center"/>
          </w:tcPr>
          <w:p w14:paraId="01D41FEA">
            <w:pPr>
              <w:spacing w:line="360" w:lineRule="auto"/>
              <w:ind w:left="120" w:firstLine="22"/>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7171433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41D90B01">
            <w:pPr>
              <w:spacing w:line="360" w:lineRule="auto"/>
              <w:ind w:left="120" w:firstLine="22"/>
              <w:rPr>
                <w:rFonts w:hint="eastAsia" w:ascii="宋体" w:hAnsi="宋体" w:cs="宋体"/>
                <w:color w:val="000000" w:themeColor="text1"/>
                <w:sz w:val="24"/>
                <w:szCs w:val="20"/>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28376564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r>
              <w:rPr>
                <w:rFonts w:hint="eastAsia" w:ascii="宋体" w:hAnsi="宋体" w:cs="宋体"/>
                <w:color w:val="000000" w:themeColor="text1"/>
                <w:sz w:val="24"/>
                <w14:textFill>
                  <w14:solidFill>
                    <w14:schemeClr w14:val="tx1"/>
                  </w14:solidFill>
                </w14:textFill>
              </w:rPr>
              <w:t>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，联系方式：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szCs w:val="20"/>
                <w14:textFill>
                  <w14:solidFill>
                    <w14:schemeClr w14:val="tx1"/>
                  </w14:solidFill>
                </w14:textFill>
              </w:rPr>
              <w:t>。</w:t>
            </w:r>
          </w:p>
          <w:p w14:paraId="3E880BA5">
            <w:pPr>
              <w:spacing w:line="360" w:lineRule="auto"/>
              <w:ind w:left="120" w:firstLine="2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C不统一组织，供应商在获取采购文件后，自行至项目现场考察。地点： ，联系人： ，联系方式： 。</w:t>
            </w:r>
          </w:p>
        </w:tc>
      </w:tr>
      <w:tr w14:paraId="740B9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46EC72D9">
            <w:pPr>
              <w:snapToGrid w:val="0"/>
              <w:spacing w:line="360" w:lineRule="auto"/>
              <w:ind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843" w:type="dxa"/>
            <w:tcBorders>
              <w:top w:val="single" w:color="000000" w:sz="8" w:space="0"/>
              <w:left w:val="single" w:color="000000" w:sz="8" w:space="0"/>
              <w:bottom w:val="single" w:color="000000" w:sz="8" w:space="0"/>
              <w:right w:val="single" w:color="000000" w:sz="8" w:space="0"/>
            </w:tcBorders>
            <w:vAlign w:val="center"/>
          </w:tcPr>
          <w:p w14:paraId="77FED5B5">
            <w:pPr>
              <w:snapToGrid w:val="0"/>
              <w:spacing w:line="360" w:lineRule="auto"/>
              <w:ind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6095" w:type="dxa"/>
            <w:tcBorders>
              <w:top w:val="single" w:color="000000" w:sz="8" w:space="0"/>
              <w:left w:val="single" w:color="000000" w:sz="8" w:space="0"/>
              <w:bottom w:val="single" w:color="000000" w:sz="8" w:space="0"/>
              <w:right w:val="single" w:color="000000" w:sz="8" w:space="0"/>
            </w:tcBorders>
            <w:vAlign w:val="center"/>
          </w:tcPr>
          <w:p w14:paraId="065969A8">
            <w:pPr>
              <w:spacing w:line="360" w:lineRule="auto"/>
              <w:ind w:left="120" w:firstLine="22"/>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98918782"/>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不要求提供。</w:t>
            </w:r>
          </w:p>
          <w:p w14:paraId="2F3710E6">
            <w:pPr>
              <w:spacing w:line="360" w:lineRule="auto"/>
              <w:ind w:left="120" w:firstLine="22"/>
              <w:rPr>
                <w:rFonts w:hint="eastAsia"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B要求提供，</w:t>
            </w:r>
          </w:p>
          <w:p w14:paraId="6E900A3D">
            <w:pPr>
              <w:spacing w:line="360" w:lineRule="auto"/>
              <w:ind w:left="120" w:firstLine="22"/>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snapToGrid w:val="0"/>
                <w:color w:val="000000" w:themeColor="text1"/>
                <w:kern w:val="28"/>
                <w:sz w:val="24"/>
                <w14:textFill>
                  <w14:solidFill>
                    <w14:schemeClr w14:val="tx1"/>
                  </w14:solidFill>
                </w14:textFill>
              </w:rPr>
              <w:t>样品：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26E5B954">
            <w:pPr>
              <w:spacing w:line="360" w:lineRule="auto"/>
              <w:ind w:left="120" w:firstLine="22"/>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snapToGrid w:val="0"/>
                <w:color w:val="000000" w:themeColor="text1"/>
                <w:kern w:val="28"/>
                <w:sz w:val="24"/>
                <w14:textFill>
                  <w14:solidFill>
                    <w14:schemeClr w14:val="tx1"/>
                  </w14:solidFill>
                </w14:textFill>
              </w:rPr>
              <w:t>样品制作的标准和要求：</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56038609">
            <w:pPr>
              <w:spacing w:line="360" w:lineRule="auto"/>
              <w:ind w:left="120" w:firstLine="22"/>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（3）样品的评审方法以及评审标准</w:t>
            </w:r>
            <w:r>
              <w:rPr>
                <w:rFonts w:hint="eastAsia" w:ascii="宋体" w:hAnsi="宋体" w:cs="宋体"/>
                <w:snapToGrid w:val="0"/>
                <w:color w:val="000000" w:themeColor="text1"/>
                <w:kern w:val="28"/>
                <w:sz w:val="24"/>
                <w14:textFill>
                  <w14:solidFill>
                    <w14:schemeClr w14:val="tx1"/>
                  </w14:solidFill>
                </w14:textFill>
              </w:rPr>
              <w:t>：详见</w:t>
            </w:r>
            <w:r>
              <w:rPr>
                <w:rFonts w:hint="eastAsia" w:ascii="宋体" w:hAnsi="宋体" w:cs="宋体"/>
                <w:color w:val="000000" w:themeColor="text1"/>
                <w:sz w:val="24"/>
                <w:u w:val="single"/>
                <w14:textFill>
                  <w14:solidFill>
                    <w14:schemeClr w14:val="tx1"/>
                  </w14:solidFill>
                </w14:textFill>
              </w:rPr>
              <w:t>评标办法</w:t>
            </w:r>
            <w:r>
              <w:rPr>
                <w:rFonts w:hint="eastAsia" w:ascii="宋体" w:hAnsi="宋体" w:cs="宋体"/>
                <w:color w:val="000000" w:themeColor="text1"/>
                <w:kern w:val="0"/>
                <w:sz w:val="24"/>
                <w14:textFill>
                  <w14:solidFill>
                    <w14:schemeClr w14:val="tx1"/>
                  </w14:solidFill>
                </w14:textFill>
              </w:rPr>
              <w:t>；</w:t>
            </w:r>
          </w:p>
          <w:p w14:paraId="6039DBC9">
            <w:pPr>
              <w:spacing w:line="360" w:lineRule="auto"/>
              <w:ind w:left="120" w:firstLine="22"/>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（4）是否需要随样品提交检测报告：</w:t>
            </w:r>
            <w:sdt>
              <w:sdtPr>
                <w:rPr>
                  <w:rFonts w:hint="eastAsia" w:ascii="宋体" w:hAnsi="宋体" w:cs="宋体"/>
                  <w:color w:val="000000" w:themeColor="text1"/>
                  <w:kern w:val="0"/>
                  <w:sz w:val="24"/>
                  <w14:textFill>
                    <w14:solidFill>
                      <w14:schemeClr w14:val="tx1"/>
                    </w14:solidFill>
                  </w14:textFill>
                </w:rPr>
                <w:id w:val="1303421454"/>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否；</w:t>
            </w:r>
            <w:sdt>
              <w:sdtPr>
                <w:rPr>
                  <w:rFonts w:hint="eastAsia" w:ascii="宋体" w:hAnsi="宋体" w:cs="宋体"/>
                  <w:color w:val="000000" w:themeColor="text1"/>
                  <w:kern w:val="0"/>
                  <w:sz w:val="24"/>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是，检测机构的要求</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；检测内容</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26B1AA07">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（5）提供样品的时间：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；联系人</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28"/>
                <w:sz w:val="24"/>
                <w14:textFill>
                  <w14:solidFill>
                    <w14:schemeClr w14:val="tx1"/>
                  </w14:solidFill>
                </w14:textFill>
              </w:rPr>
              <w:t>联系电话：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。请投标人在上述时间内提供样品并按规定位置安装完毕。超过截止时间的，采购人或采购代理机构将不予接收，并将清场并封闭样品现场。</w:t>
            </w:r>
          </w:p>
          <w:p w14:paraId="08D499A0">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F1642C0">
            <w:pPr>
              <w:spacing w:line="360" w:lineRule="auto"/>
              <w:ind w:left="120" w:firstLine="22"/>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（7）制作、运输、安装和保管样品所发生的一切费用由投标人自理。</w:t>
            </w:r>
          </w:p>
        </w:tc>
      </w:tr>
      <w:tr w14:paraId="47831A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0"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7CED5D91">
            <w:pPr>
              <w:snapToGrid w:val="0"/>
              <w:spacing w:line="360" w:lineRule="auto"/>
              <w:ind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1843" w:type="dxa"/>
            <w:tcBorders>
              <w:top w:val="single" w:color="000000" w:sz="8" w:space="0"/>
              <w:left w:val="single" w:color="000000" w:sz="8" w:space="0"/>
              <w:bottom w:val="single" w:color="000000" w:sz="8" w:space="0"/>
              <w:right w:val="single" w:color="000000" w:sz="8" w:space="0"/>
            </w:tcBorders>
            <w:vAlign w:val="center"/>
          </w:tcPr>
          <w:p w14:paraId="392B7917">
            <w:pPr>
              <w:snapToGrid w:val="0"/>
              <w:spacing w:line="360" w:lineRule="auto"/>
              <w:ind w:firstLine="22"/>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方案讲解演示</w:t>
            </w:r>
          </w:p>
        </w:tc>
        <w:tc>
          <w:tcPr>
            <w:tcW w:w="6095" w:type="dxa"/>
            <w:tcBorders>
              <w:top w:val="single" w:color="000000" w:sz="8" w:space="0"/>
              <w:left w:val="single" w:color="000000" w:sz="8" w:space="0"/>
              <w:bottom w:val="single" w:color="000000" w:sz="8" w:space="0"/>
              <w:right w:val="single" w:color="000000" w:sz="8" w:space="0"/>
            </w:tcBorders>
            <w:vAlign w:val="center"/>
          </w:tcPr>
          <w:p w14:paraId="53D1331B">
            <w:pPr>
              <w:spacing w:line="360" w:lineRule="auto"/>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59348549"/>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1BA28527">
            <w:pPr>
              <w:spacing w:line="360" w:lineRule="auto"/>
              <w:rPr>
                <w:rFonts w:hint="eastAsia"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17407171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B组织。</w:t>
            </w:r>
          </w:p>
          <w:p w14:paraId="44DAE3B0">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（1）在评标时安排每个投标人进行方案讲解演示。每个投标人时间不超过</w:t>
            </w:r>
            <w:r>
              <w:rPr>
                <w:rFonts w:ascii="宋体" w:hAnsi="宋体" w:cs="宋体"/>
                <w:color w:val="000000" w:themeColor="text1"/>
                <w:kern w:val="0"/>
                <w:sz w:val="24"/>
                <w14:textFill>
                  <w14:solidFill>
                    <w14:schemeClr w14:val="tx1"/>
                  </w14:solidFill>
                </w14:textFill>
              </w:rPr>
              <w:t>20</w:t>
            </w:r>
            <w:r>
              <w:rPr>
                <w:rFonts w:hint="eastAsia" w:ascii="宋体" w:hAnsi="宋体" w:cs="宋体"/>
                <w:color w:val="000000" w:themeColor="text1"/>
                <w:kern w:val="0"/>
                <w:sz w:val="24"/>
                <w14:textFill>
                  <w14:solidFill>
                    <w14:schemeClr w14:val="tx1"/>
                  </w14:solidFill>
                </w14:textFill>
              </w:rPr>
              <w:t>分钟，讲解次序以投标文件解密时间先后次序为准，讲解演示人员不超过</w:t>
            </w:r>
            <w:r>
              <w:rPr>
                <w:rFonts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人。讲解演示结束后按要求解答评标委员会提问。</w:t>
            </w:r>
          </w:p>
          <w:p w14:paraId="1C5DAB76">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（2）方案讲解演示方式：</w:t>
            </w:r>
          </w:p>
          <w:p w14:paraId="50877D25">
            <w:pPr>
              <w:snapToGrid w:val="0"/>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现场演示：</w:t>
            </w:r>
            <w:r>
              <w:rPr>
                <w:rFonts w:hint="eastAsia" w:ascii="宋体" w:hAnsi="宋体" w:cs="宋体"/>
                <w:color w:val="000000" w:themeColor="text1"/>
                <w:kern w:val="0"/>
                <w:sz w:val="24"/>
                <w14:textFill>
                  <w14:solidFill>
                    <w14:schemeClr w14:val="tx1"/>
                  </w14:solidFill>
                </w14:textFill>
              </w:rPr>
              <w:t>评审现场不具备网络环境，仅提供电源和投影设备，供应商需提前自筹搭建演示所需环境。演示地点：</w:t>
            </w:r>
            <w:r>
              <w:rPr>
                <w:rFonts w:hint="eastAsia" w:ascii="宋体" w:hAnsi="宋体" w:cs="宋体"/>
                <w:color w:val="000000" w:themeColor="text1"/>
                <w:kern w:val="28"/>
                <w:sz w:val="24"/>
                <w14:textFill>
                  <w14:solidFill>
                    <w14:schemeClr w14:val="tx1"/>
                  </w14:solidFill>
                </w14:textFill>
              </w:rPr>
              <w:t>杭州市拱墅区文晖路42号现代置业大厦西楼16楼2号会议室</w:t>
            </w:r>
            <w:r>
              <w:rPr>
                <w:rFonts w:hint="eastAsia" w:ascii="宋体" w:hAnsi="宋体" w:cs="宋体"/>
                <w:color w:val="000000" w:themeColor="text1"/>
                <w:kern w:val="0"/>
                <w:sz w:val="24"/>
                <w14:textFill>
                  <w14:solidFill>
                    <w14:schemeClr w14:val="tx1"/>
                  </w14:solidFill>
                </w14:textFill>
              </w:rPr>
              <w:t>。</w:t>
            </w:r>
          </w:p>
          <w:p w14:paraId="78D8E5E1">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钉钉在线演示：</w:t>
            </w:r>
            <w:r>
              <w:rPr>
                <w:rFonts w:hint="eastAsia" w:ascii="宋体" w:hAnsi="宋体" w:cs="宋体"/>
                <w:color w:val="000000" w:themeColor="text1"/>
                <w:kern w:val="0"/>
                <w:sz w:val="24"/>
                <w14:textFill>
                  <w14:solidFill>
                    <w14:schemeClr w14:val="tx1"/>
                  </w14:solidFill>
                </w14:textFill>
              </w:rPr>
              <w:t>需在开标前书面告知采购代理机构（格式自拟），并在开标前准备好演示所需环境。</w:t>
            </w:r>
          </w:p>
          <w:p w14:paraId="33F7E917">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拍摄视频演示：</w:t>
            </w:r>
            <w:r>
              <w:rPr>
                <w:rFonts w:hint="eastAsia" w:ascii="宋体" w:hAnsi="宋体" w:cs="宋体"/>
                <w:color w:val="000000" w:themeColor="text1"/>
                <w:kern w:val="0"/>
                <w:sz w:val="24"/>
                <w14:textFill>
                  <w14:solidFill>
                    <w14:schemeClr w14:val="tx1"/>
                  </w14:solidFill>
                </w14:textFill>
              </w:rPr>
              <w:t>将演示内容拍摄为视频，拷贝U盘（密封），在开标截止时间前送达（或邮寄）至</w:t>
            </w:r>
            <w:r>
              <w:rPr>
                <w:rFonts w:hint="eastAsia" w:ascii="宋体" w:hAnsi="宋体" w:cs="宋体"/>
                <w:color w:val="000000" w:themeColor="text1"/>
                <w:kern w:val="28"/>
                <w:sz w:val="24"/>
                <w14:textFill>
                  <w14:solidFill>
                    <w14:schemeClr w14:val="tx1"/>
                  </w14:solidFill>
                </w14:textFill>
              </w:rPr>
              <w:t>杭州市拱墅区文晖路42号现代置业大厦西楼13楼1301室</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28"/>
                <w:sz w:val="24"/>
                <w14:textFill>
                  <w14:solidFill>
                    <w14:schemeClr w14:val="tx1"/>
                  </w14:solidFill>
                </w14:textFill>
              </w:rPr>
              <w:t>演示视频签收人员联系电话：</w:t>
            </w:r>
            <w:r>
              <w:rPr>
                <w:rFonts w:hint="eastAsia" w:ascii="宋体" w:hAnsi="宋体" w:cs="宋体"/>
                <w:color w:val="000000" w:themeColor="text1"/>
                <w:sz w:val="24"/>
                <w:u w:val="single"/>
                <w14:textFill>
                  <w14:solidFill>
                    <w14:schemeClr w14:val="tx1"/>
                  </w14:solidFill>
                </w14:textFill>
              </w:rPr>
              <w:t>陆佳，0571-87634685。</w:t>
            </w:r>
          </w:p>
          <w:p w14:paraId="48B5F70A">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（3）演示内容：详见评分标准。</w:t>
            </w:r>
          </w:p>
          <w:p w14:paraId="07D312C1">
            <w:pPr>
              <w:spacing w:line="360" w:lineRule="auto"/>
              <w:ind w:left="120" w:firstLine="22"/>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注：因投标人自身原因导致无法演示或者演示效果不理想的，责任自负。</w:t>
            </w:r>
          </w:p>
        </w:tc>
      </w:tr>
      <w:tr w14:paraId="701214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000000" w:sz="8" w:space="0"/>
              <w:left w:val="single" w:color="000000" w:sz="8" w:space="0"/>
              <w:bottom w:val="single" w:color="000000" w:sz="8" w:space="0"/>
              <w:right w:val="single" w:color="000000" w:sz="8" w:space="0"/>
            </w:tcBorders>
            <w:vAlign w:val="center"/>
          </w:tcPr>
          <w:p w14:paraId="0BA07165">
            <w:pPr>
              <w:snapToGrid w:val="0"/>
              <w:spacing w:line="360" w:lineRule="auto"/>
              <w:ind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1843" w:type="dxa"/>
            <w:vMerge w:val="restart"/>
            <w:tcBorders>
              <w:top w:val="single" w:color="000000" w:sz="8" w:space="0"/>
              <w:left w:val="single" w:color="000000" w:sz="8" w:space="0"/>
              <w:bottom w:val="single" w:color="000000" w:sz="8" w:space="0"/>
              <w:right w:val="single" w:color="000000" w:sz="8" w:space="0"/>
            </w:tcBorders>
            <w:vAlign w:val="center"/>
          </w:tcPr>
          <w:p w14:paraId="252AF54D">
            <w:pPr>
              <w:snapToGrid w:val="0"/>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投标人应当提供的资格、资信证明文件</w:t>
            </w:r>
          </w:p>
        </w:tc>
        <w:tc>
          <w:tcPr>
            <w:tcW w:w="6095" w:type="dxa"/>
            <w:tcBorders>
              <w:top w:val="single" w:color="000000" w:sz="8" w:space="0"/>
              <w:left w:val="single" w:color="000000" w:sz="8" w:space="0"/>
              <w:bottom w:val="single" w:color="000000" w:sz="8" w:space="0"/>
              <w:right w:val="single" w:color="000000" w:sz="8" w:space="0"/>
            </w:tcBorders>
            <w:vAlign w:val="center"/>
          </w:tcPr>
          <w:p w14:paraId="7C115AFE">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（1）资格证明文件：见采购文件第二部分11.1。</w:t>
            </w:r>
          </w:p>
          <w:p w14:paraId="40DCC22D">
            <w:pPr>
              <w:spacing w:line="360" w:lineRule="auto"/>
              <w:ind w:left="120" w:firstLine="22"/>
              <w:rPr>
                <w:rFonts w:hint="eastAsia" w:ascii="宋体" w:hAnsi="宋体" w:cs="宋体"/>
                <w:snapToGrid w:val="0"/>
                <w:color w:val="000000" w:themeColor="text1"/>
                <w:kern w:val="0"/>
                <w:szCs w:val="2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投标人未提供有效的资格证明文件的，视为投标人不具备采购文件中规定的资格要求，投标无效。</w:t>
            </w:r>
          </w:p>
        </w:tc>
      </w:tr>
      <w:tr w14:paraId="730E4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top w:val="single" w:color="000000" w:sz="8" w:space="0"/>
              <w:left w:val="single" w:color="000000" w:sz="8" w:space="0"/>
              <w:bottom w:val="single" w:color="000000" w:sz="8" w:space="0"/>
              <w:right w:val="single" w:color="000000" w:sz="8" w:space="0"/>
            </w:tcBorders>
            <w:vAlign w:val="center"/>
          </w:tcPr>
          <w:p w14:paraId="00AC88FA">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843" w:type="dxa"/>
            <w:vMerge w:val="continue"/>
            <w:tcBorders>
              <w:top w:val="single" w:color="000000" w:sz="8" w:space="0"/>
              <w:left w:val="single" w:color="000000" w:sz="8" w:space="0"/>
              <w:bottom w:val="single" w:color="000000" w:sz="8" w:space="0"/>
              <w:right w:val="single" w:color="000000" w:sz="8" w:space="0"/>
            </w:tcBorders>
            <w:vAlign w:val="center"/>
          </w:tcPr>
          <w:p w14:paraId="760F8136">
            <w:pPr>
              <w:snapToGrid w:val="0"/>
              <w:spacing w:line="360" w:lineRule="auto"/>
              <w:ind w:left="120" w:firstLine="22"/>
              <w:jc w:val="center"/>
              <w:rPr>
                <w:rFonts w:hint="eastAsia" w:ascii="宋体" w:hAnsi="宋体" w:cs="宋体"/>
                <w:b/>
                <w:color w:val="000000" w:themeColor="text1"/>
                <w:sz w:val="24"/>
                <w14:textFill>
                  <w14:solidFill>
                    <w14:schemeClr w14:val="tx1"/>
                  </w14:solidFill>
                </w14:textFill>
              </w:rPr>
            </w:pPr>
          </w:p>
        </w:tc>
        <w:tc>
          <w:tcPr>
            <w:tcW w:w="6095" w:type="dxa"/>
            <w:tcBorders>
              <w:top w:val="single" w:color="000000" w:sz="8" w:space="0"/>
              <w:left w:val="single" w:color="000000" w:sz="8" w:space="0"/>
              <w:bottom w:val="single" w:color="000000" w:sz="8" w:space="0"/>
              <w:right w:val="single" w:color="000000" w:sz="8" w:space="0"/>
            </w:tcBorders>
            <w:vAlign w:val="center"/>
          </w:tcPr>
          <w:p w14:paraId="4BDCDCC5">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（2）资信证明文件：根据采购文件第四部分评标标准提供。</w:t>
            </w:r>
          </w:p>
        </w:tc>
      </w:tr>
      <w:tr w14:paraId="7654E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02"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052DB4F1">
            <w:pPr>
              <w:snapToGrid w:val="0"/>
              <w:spacing w:line="360" w:lineRule="auto"/>
              <w:ind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1843" w:type="dxa"/>
            <w:tcBorders>
              <w:top w:val="single" w:color="000000" w:sz="8" w:space="0"/>
              <w:left w:val="single" w:color="000000" w:sz="8" w:space="0"/>
              <w:bottom w:val="single" w:color="000000" w:sz="8" w:space="0"/>
              <w:right w:val="single" w:color="000000" w:sz="8" w:space="0"/>
            </w:tcBorders>
            <w:vAlign w:val="center"/>
          </w:tcPr>
          <w:p w14:paraId="458335ED">
            <w:pPr>
              <w:snapToGrid w:val="0"/>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节能产品、环境标志产品</w:t>
            </w:r>
          </w:p>
        </w:tc>
        <w:tc>
          <w:tcPr>
            <w:tcW w:w="6095" w:type="dxa"/>
            <w:tcBorders>
              <w:top w:val="single" w:color="000000" w:sz="8" w:space="0"/>
              <w:left w:val="single" w:color="000000" w:sz="8" w:space="0"/>
              <w:bottom w:val="single" w:color="000000" w:sz="8" w:space="0"/>
              <w:right w:val="single" w:color="000000" w:sz="8" w:space="0"/>
            </w:tcBorders>
            <w:vAlign w:val="center"/>
          </w:tcPr>
          <w:p w14:paraId="55B89DA9">
            <w:pPr>
              <w:pStyle w:val="2"/>
              <w:spacing w:line="360" w:lineRule="auto"/>
              <w:ind w:firstLine="0" w:firstLineChars="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2685510F">
            <w:pPr>
              <w:pStyle w:val="2"/>
              <w:spacing w:line="360" w:lineRule="auto"/>
              <w:ind w:firstLine="480"/>
              <w:rPr>
                <w:rFonts w:hint="eastAsia" w:ascii="宋体" w:hAnsi="宋体" w:eastAsia="宋体" w:cs="宋体"/>
                <w:color w:val="000000" w:themeColor="text1"/>
                <w:sz w:val="24"/>
                <w:szCs w:val="24"/>
                <w14:textFill>
                  <w14:solidFill>
                    <w14:schemeClr w14:val="tx1"/>
                  </w14:solidFill>
                </w14:textFill>
              </w:rPr>
            </w:pPr>
            <w:sdt>
              <w:sdtPr>
                <w:rPr>
                  <w:rFonts w:hint="eastAsia" w:ascii="宋体" w:hAnsi="宋体" w:cs="宋体"/>
                  <w:color w:val="000000" w:themeColor="text1"/>
                  <w:sz w:val="24"/>
                  <w14:textFill>
                    <w14:solidFill>
                      <w14:schemeClr w14:val="tx1"/>
                    </w14:solidFill>
                  </w14:textFill>
                </w:rPr>
                <w:id w:val="147461840"/>
                <w14:checkbox>
                  <w14:checked w14:val="0"/>
                  <w14:checkedState w14:val="00FE" w14:font="Wingdings"/>
                  <w14:uncheckedState w14:val="2610" w14:font="MS Gothic"/>
                </w14:checkbox>
              </w:sdtPr>
              <w:sdtEndPr>
                <w:rPr>
                  <w:rFonts w:hint="eastAsia" w:ascii="宋体" w:hAnsi="宋体" w:eastAsia="宋体" w:cs="宋体"/>
                  <w:color w:val="000000" w:themeColor="text1"/>
                  <w:sz w:val="24"/>
                  <w:szCs w:val="24"/>
                  <w14:textFill>
                    <w14:solidFill>
                      <w14:schemeClr w14:val="tx1"/>
                    </w14:solidFill>
                  </w14:textFill>
                </w:rPr>
              </w:sdtEndPr>
              <w:sdtContent>
                <w:r>
                  <w:rPr>
                    <w:rFonts w:hint="eastAsia" w:ascii="宋体" w:hAnsi="宋体" w:eastAsia="宋体" w:cs="宋体"/>
                    <w:color w:val="000000" w:themeColor="text1"/>
                    <w:sz w:val="24"/>
                    <w:szCs w:val="24"/>
                    <w14:textFill>
                      <w14:solidFill>
                        <w14:schemeClr w14:val="tx1"/>
                      </w14:solidFill>
                    </w14:textFill>
                  </w:rPr>
                  <w:t>☐</w:t>
                </w:r>
              </w:sdtContent>
            </w:sdt>
            <w:r>
              <w:rPr>
                <w:rFonts w:hint="eastAsia" w:ascii="宋体" w:hAnsi="宋体" w:eastAsia="宋体" w:cs="宋体"/>
                <w:color w:val="000000" w:themeColor="text1"/>
                <w:sz w:val="24"/>
                <w:szCs w:val="24"/>
                <w14:textFill>
                  <w14:solidFill>
                    <w14:schemeClr w14:val="tx1"/>
                  </w14:solidFill>
                </w14:textFill>
              </w:rPr>
              <w:t xml:space="preserve">强制采购。产品：    </w:t>
            </w:r>
          </w:p>
          <w:p w14:paraId="63837F2B">
            <w:pPr>
              <w:pStyle w:val="2"/>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□优先采购节能产品。产品：   </w:t>
            </w:r>
          </w:p>
          <w:p w14:paraId="46B282D7">
            <w:pPr>
              <w:pStyle w:val="2"/>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□优先采购环保产品。产品：    </w:t>
            </w:r>
          </w:p>
          <w:p w14:paraId="4952535D">
            <w:pPr>
              <w:pStyle w:val="2"/>
              <w:spacing w:line="360" w:lineRule="auto"/>
              <w:ind w:firstLine="480" w:firstLineChars="0"/>
              <w:rPr>
                <w:rFonts w:hint="eastAsia"/>
                <w:color w:val="000000" w:themeColor="text1"/>
                <w14:textFill>
                  <w14:solidFill>
                    <w14:schemeClr w14:val="tx1"/>
                  </w14:solidFill>
                </w14:textFill>
              </w:rPr>
            </w:pPr>
            <w:sdt>
              <w:sdtPr>
                <w:rPr>
                  <w:rFonts w:hint="eastAsia" w:ascii="宋体" w:hAnsi="宋体" w:cs="宋体"/>
                  <w:color w:val="000000" w:themeColor="text1"/>
                  <w:sz w:val="24"/>
                  <w14:textFill>
                    <w14:solidFill>
                      <w14:schemeClr w14:val="tx1"/>
                    </w14:solidFill>
                  </w14:textFill>
                </w:rPr>
                <w:id w:val="416988416"/>
                <w14:checkbox>
                  <w14:checked w14:val="1"/>
                  <w14:checkedState w14:val="00FE" w14:font="Wingdings"/>
                  <w14:uncheckedState w14:val="2610" w14:font="MS Gothic"/>
                </w14:checkbox>
              </w:sdtPr>
              <w:sdtEndPr>
                <w:rPr>
                  <w:rFonts w:hint="eastAsia" w:ascii="宋体" w:hAnsi="宋体" w:cs="宋体"/>
                  <w:color w:val="000000" w:themeColor="text1"/>
                  <w:sz w:val="24"/>
                  <w14:textFill>
                    <w14:solidFill>
                      <w14:schemeClr w14:val="tx1"/>
                    </w14:solidFill>
                  </w14:textFill>
                </w:rPr>
              </w:sdtEndPr>
              <w:sdtContent>
                <w:r>
                  <w:rPr>
                    <w:rFonts w:hint="eastAsia" w:ascii="宋体" w:hAnsi="宋体" w:cs="宋体"/>
                    <w:color w:val="000000" w:themeColor="text1"/>
                    <w:sz w:val="24"/>
                    <w14:textFill>
                      <w14:solidFill>
                        <w14:schemeClr w14:val="tx1"/>
                      </w14:solidFill>
                    </w14:textFill>
                  </w:rPr>
                  <w:sym w:font="Wingdings" w:char="F0FE"/>
                </w:r>
              </w:sdtContent>
            </w:sdt>
            <w:r>
              <w:rPr>
                <w:rFonts w:hint="eastAsia" w:ascii="宋体" w:hAnsi="宋体" w:eastAsia="宋体" w:cs="宋体"/>
                <w:color w:val="000000" w:themeColor="text1"/>
                <w:sz w:val="24"/>
                <w:szCs w:val="24"/>
                <w14:textFill>
                  <w14:solidFill>
                    <w14:schemeClr w14:val="tx1"/>
                  </w14:solidFill>
                </w14:textFill>
              </w:rPr>
              <w:t>无</w:t>
            </w:r>
          </w:p>
        </w:tc>
      </w:tr>
      <w:tr w14:paraId="4C069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324CCB0F">
            <w:pPr>
              <w:snapToGrid w:val="0"/>
              <w:spacing w:line="360" w:lineRule="auto"/>
              <w:ind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843" w:type="dxa"/>
            <w:tcBorders>
              <w:top w:val="single" w:color="000000" w:sz="8" w:space="0"/>
              <w:left w:val="single" w:color="000000" w:sz="8" w:space="0"/>
              <w:bottom w:val="single" w:color="000000" w:sz="8" w:space="0"/>
              <w:right w:val="single" w:color="000000" w:sz="8" w:space="0"/>
            </w:tcBorders>
            <w:vAlign w:val="center"/>
          </w:tcPr>
          <w:p w14:paraId="4716CB67">
            <w:pPr>
              <w:snapToGrid w:val="0"/>
              <w:spacing w:line="360" w:lineRule="auto"/>
              <w:ind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报价要求</w:t>
            </w:r>
          </w:p>
        </w:tc>
        <w:tc>
          <w:tcPr>
            <w:tcW w:w="6095" w:type="dxa"/>
            <w:tcBorders>
              <w:top w:val="single" w:color="000000" w:sz="8" w:space="0"/>
              <w:left w:val="single" w:color="000000" w:sz="8" w:space="0"/>
              <w:bottom w:val="single" w:color="000000" w:sz="8" w:space="0"/>
              <w:right w:val="single" w:color="000000" w:sz="8" w:space="0"/>
            </w:tcBorders>
            <w:vAlign w:val="center"/>
          </w:tcPr>
          <w:p w14:paraId="5085F6CC">
            <w:pPr>
              <w:snapToGrid w:val="0"/>
              <w:spacing w:line="360" w:lineRule="auto"/>
              <w:ind w:left="120" w:firstLine="22"/>
              <w:jc w:val="left"/>
              <w:rPr>
                <w:rFonts w:hint="eastAsia"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lang w:val="zh-CN"/>
                <w14:textFill>
                  <w14:solidFill>
                    <w14:schemeClr w14:val="tx1"/>
                  </w14:solidFill>
                </w14:textFill>
              </w:rPr>
              <w:t>投标文件</w:t>
            </w:r>
            <w:r>
              <w:rPr>
                <w:rFonts w:hint="eastAsia" w:ascii="宋体" w:hAnsi="宋体" w:cs="宋体"/>
                <w:b/>
                <w:bCs/>
                <w:color w:val="000000" w:themeColor="text1"/>
                <w:sz w:val="24"/>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lang w:val="zh-CN"/>
                <w14:textFill>
                  <w14:solidFill>
                    <w14:schemeClr w14:val="tx1"/>
                  </w14:solidFill>
                </w14:textFill>
              </w:rPr>
              <w:t>投标文件中价格全部采用人民币报价。采购文件未列明，而投标人认为必需的费用也需列入报价。</w:t>
            </w:r>
            <w:r>
              <w:rPr>
                <w:rFonts w:hint="eastAsia" w:ascii="宋体" w:hAnsi="宋体" w:cs="宋体"/>
                <w:b/>
                <w:color w:val="000000" w:themeColor="text1"/>
                <w:kern w:val="0"/>
                <w:sz w:val="24"/>
                <w:lang w:val="zh-CN"/>
                <w14:textFill>
                  <w14:solidFill>
                    <w14:schemeClr w14:val="tx1"/>
                  </w14:solidFill>
                </w14:textFill>
              </w:rPr>
              <w:t>提醒：验收时检测费用由采购人承担，不包含在投标总价中。</w:t>
            </w:r>
          </w:p>
          <w:p w14:paraId="3E59DBC8">
            <w:pPr>
              <w:snapToGrid w:val="0"/>
              <w:spacing w:line="360" w:lineRule="auto"/>
              <w:ind w:left="120" w:firstLine="22"/>
              <w:jc w:val="left"/>
              <w:rPr>
                <w:rFonts w:hint="eastAsia"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投标报价出现下列情形的，投标无效：</w:t>
            </w:r>
          </w:p>
          <w:p w14:paraId="1851622C">
            <w:pPr>
              <w:snapToGrid w:val="0"/>
              <w:spacing w:line="360" w:lineRule="auto"/>
              <w:ind w:left="120" w:firstLine="22"/>
              <w:jc w:val="left"/>
              <w:rPr>
                <w:rFonts w:hint="eastAsia"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投标文件出现不是唯一的、有选择性投标报价的；</w:t>
            </w:r>
          </w:p>
          <w:p w14:paraId="052FF5A6">
            <w:pPr>
              <w:snapToGrid w:val="0"/>
              <w:spacing w:line="360" w:lineRule="auto"/>
              <w:ind w:left="120" w:firstLine="22"/>
              <w:jc w:val="left"/>
              <w:rPr>
                <w:rFonts w:hint="eastAsia"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投标报价超过采购文件中规定的预算金额或者最高限价的;</w:t>
            </w:r>
          </w:p>
          <w:p w14:paraId="1BEF959B">
            <w:pPr>
              <w:snapToGrid w:val="0"/>
              <w:spacing w:line="360" w:lineRule="auto"/>
              <w:ind w:left="120" w:firstLine="22"/>
              <w:jc w:val="left"/>
              <w:rPr>
                <w:rFonts w:hint="eastAsia"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p>
          <w:p w14:paraId="514B2CE8">
            <w:pPr>
              <w:snapToGrid w:val="0"/>
              <w:spacing w:line="360" w:lineRule="auto"/>
              <w:ind w:left="120" w:firstLine="22"/>
              <w:jc w:val="left"/>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投标人对根据修正原则修正后的报价不确认的。</w:t>
            </w:r>
          </w:p>
        </w:tc>
      </w:tr>
      <w:tr w14:paraId="04E75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4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3336D5BD">
            <w:pPr>
              <w:snapToGrid w:val="0"/>
              <w:spacing w:line="360" w:lineRule="auto"/>
              <w:ind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843" w:type="dxa"/>
            <w:tcBorders>
              <w:top w:val="single" w:color="000000" w:sz="8" w:space="0"/>
              <w:left w:val="single" w:color="000000" w:sz="8" w:space="0"/>
              <w:bottom w:val="single" w:color="000000" w:sz="8" w:space="0"/>
              <w:right w:val="single" w:color="000000" w:sz="8" w:space="0"/>
            </w:tcBorders>
            <w:vAlign w:val="center"/>
          </w:tcPr>
          <w:p w14:paraId="59B27F09">
            <w:pPr>
              <w:snapToGrid w:val="0"/>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中小企业信用融资</w:t>
            </w:r>
          </w:p>
        </w:tc>
        <w:tc>
          <w:tcPr>
            <w:tcW w:w="6095" w:type="dxa"/>
            <w:tcBorders>
              <w:top w:val="single" w:color="000000" w:sz="8" w:space="0"/>
              <w:left w:val="single" w:color="000000" w:sz="8" w:space="0"/>
              <w:bottom w:val="single" w:color="000000" w:sz="8" w:space="0"/>
              <w:right w:val="single" w:color="000000" w:sz="8" w:space="0"/>
            </w:tcBorders>
            <w:vAlign w:val="center"/>
          </w:tcPr>
          <w:p w14:paraId="2FC07222">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5F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392D87F8">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1843" w:type="dxa"/>
            <w:tcBorders>
              <w:top w:val="single" w:color="000000" w:sz="8" w:space="0"/>
              <w:left w:val="single" w:color="000000" w:sz="8" w:space="0"/>
              <w:bottom w:val="single" w:color="000000" w:sz="8" w:space="0"/>
              <w:right w:val="single" w:color="000000" w:sz="8" w:space="0"/>
            </w:tcBorders>
            <w:vAlign w:val="center"/>
          </w:tcPr>
          <w:p w14:paraId="22C5F5FC">
            <w:pPr>
              <w:snapToGrid w:val="0"/>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备份投标文件送达地点和签收人员</w:t>
            </w:r>
          </w:p>
        </w:tc>
        <w:tc>
          <w:tcPr>
            <w:tcW w:w="6095" w:type="dxa"/>
            <w:tcBorders>
              <w:top w:val="single" w:color="000000" w:sz="8" w:space="0"/>
              <w:left w:val="single" w:color="000000" w:sz="8" w:space="0"/>
              <w:bottom w:val="single" w:color="000000" w:sz="8" w:space="0"/>
              <w:right w:val="single" w:color="000000" w:sz="8" w:space="0"/>
            </w:tcBorders>
            <w:vAlign w:val="center"/>
          </w:tcPr>
          <w:p w14:paraId="1F7A8390">
            <w:pPr>
              <w:pStyle w:val="34"/>
              <w:spacing w:line="360" w:lineRule="auto"/>
              <w:ind w:left="120" w:firstLine="22"/>
              <w:rPr>
                <w:rFonts w:hint="eastAsia" w:hAnsi="宋体" w:cs="宋体"/>
                <w:color w:val="000000" w:themeColor="text1"/>
                <w:kern w:val="28"/>
                <w:sz w:val="24"/>
                <w14:textFill>
                  <w14:solidFill>
                    <w14:schemeClr w14:val="tx1"/>
                  </w14:solidFill>
                </w14:textFill>
              </w:rPr>
            </w:pPr>
            <w:r>
              <w:rPr>
                <w:rFonts w:hint="eastAsia" w:hAnsi="宋体" w:cs="宋体"/>
                <w:color w:val="000000" w:themeColor="text1"/>
                <w:kern w:val="28"/>
                <w:sz w:val="24"/>
                <w:szCs w:val="24"/>
                <w14:textFill>
                  <w14:solidFill>
                    <w14:schemeClr w14:val="tx1"/>
                  </w14:solidFill>
                </w14:textFill>
              </w:rPr>
              <w:t>备份投标文件送达地点：</w:t>
            </w:r>
            <w:r>
              <w:rPr>
                <w:rFonts w:hint="eastAsia" w:hAnsi="宋体" w:cs="宋体"/>
                <w:color w:val="000000" w:themeColor="text1"/>
                <w:kern w:val="28"/>
                <w:sz w:val="24"/>
                <w:szCs w:val="24"/>
                <w:u w:val="single"/>
                <w14:textFill>
                  <w14:solidFill>
                    <w14:schemeClr w14:val="tx1"/>
                  </w14:solidFill>
                </w14:textFill>
              </w:rPr>
              <w:t>杭州市拱墅区文晖路42号现代置业大厦西楼1301室</w:t>
            </w:r>
            <w:r>
              <w:rPr>
                <w:rFonts w:hint="eastAsia" w:hAnsi="宋体" w:cs="宋体"/>
                <w:color w:val="000000" w:themeColor="text1"/>
                <w:kern w:val="28"/>
                <w:sz w:val="24"/>
                <w:szCs w:val="24"/>
                <w14:textFill>
                  <w14:solidFill>
                    <w14:schemeClr w14:val="tx1"/>
                  </w14:solidFill>
                </w14:textFill>
              </w:rPr>
              <w:t>；备份投标文件签收人员联系电话：</w:t>
            </w:r>
            <w:r>
              <w:rPr>
                <w:rFonts w:hint="eastAsia" w:hAnsi="宋体" w:cs="宋体"/>
                <w:color w:val="000000" w:themeColor="text1"/>
                <w:sz w:val="24"/>
                <w:u w:val="single"/>
                <w14:textFill>
                  <w14:solidFill>
                    <w14:schemeClr w14:val="tx1"/>
                  </w14:solidFill>
                </w14:textFill>
              </w:rPr>
              <w:t>陆佳，0571-87634685</w:t>
            </w:r>
            <w:r>
              <w:rPr>
                <w:rFonts w:hint="eastAsia" w:hAnsi="宋体" w:cs="宋体"/>
                <w:color w:val="000000" w:themeColor="text1"/>
                <w:sz w:val="24"/>
                <w:szCs w:val="24"/>
                <w14:textFill>
                  <w14:solidFill>
                    <w14:schemeClr w14:val="tx1"/>
                  </w14:solidFill>
                </w14:textFill>
              </w:rPr>
              <w:t>。</w:t>
            </w:r>
            <w:r>
              <w:rPr>
                <w:rFonts w:hint="eastAsia" w:hAnsi="宋体" w:cs="宋体"/>
                <w:b/>
                <w:color w:val="000000" w:themeColor="text1"/>
                <w:sz w:val="24"/>
                <w:szCs w:val="24"/>
                <w14:textFill>
                  <w14:solidFill>
                    <w14:schemeClr w14:val="tx1"/>
                  </w14:solidFill>
                </w14:textFill>
              </w:rPr>
              <w:t>采购人、采购机构不强制或变相强制投标人提交备份投标文件。</w:t>
            </w:r>
          </w:p>
        </w:tc>
      </w:tr>
      <w:tr w14:paraId="197F7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000000" w:sz="8" w:space="0"/>
              <w:left w:val="single" w:color="000000" w:sz="8" w:space="0"/>
              <w:bottom w:val="single" w:color="000000" w:sz="8" w:space="0"/>
              <w:right w:val="single" w:color="000000" w:sz="8" w:space="0"/>
            </w:tcBorders>
            <w:vAlign w:val="center"/>
          </w:tcPr>
          <w:p w14:paraId="786EEABE">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1843" w:type="dxa"/>
            <w:vMerge w:val="restart"/>
            <w:tcBorders>
              <w:top w:val="single" w:color="000000" w:sz="8" w:space="0"/>
              <w:left w:val="single" w:color="000000" w:sz="8" w:space="0"/>
              <w:bottom w:val="single" w:color="000000" w:sz="8" w:space="0"/>
              <w:right w:val="single" w:color="000000" w:sz="8" w:space="0"/>
            </w:tcBorders>
            <w:vAlign w:val="center"/>
          </w:tcPr>
          <w:p w14:paraId="523082F1">
            <w:pPr>
              <w:snapToGrid w:val="0"/>
              <w:spacing w:line="360" w:lineRule="auto"/>
              <w:ind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特别说明</w:t>
            </w:r>
          </w:p>
        </w:tc>
        <w:tc>
          <w:tcPr>
            <w:tcW w:w="6095" w:type="dxa"/>
            <w:tcBorders>
              <w:top w:val="single" w:color="000000" w:sz="8" w:space="0"/>
              <w:left w:val="single" w:color="000000" w:sz="8" w:space="0"/>
              <w:bottom w:val="single" w:color="000000" w:sz="8" w:space="0"/>
              <w:right w:val="single" w:color="000000" w:sz="8" w:space="0"/>
            </w:tcBorders>
            <w:vAlign w:val="center"/>
          </w:tcPr>
          <w:p w14:paraId="2A1C4493">
            <w:pPr>
              <w:spacing w:line="360" w:lineRule="auto"/>
              <w:ind w:left="120" w:firstLine="22"/>
              <w:rPr>
                <w:rFonts w:hint="eastAsia"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联合体投标的，联合体各方分别提供与联合体协议中规定的分工内容相应的业绩证明材料，业绩数量以提供材料较少的一方为准。</w:t>
            </w:r>
          </w:p>
        </w:tc>
      </w:tr>
      <w:tr w14:paraId="1E694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top w:val="single" w:color="000000" w:sz="8" w:space="0"/>
              <w:left w:val="single" w:color="000000" w:sz="8" w:space="0"/>
              <w:bottom w:val="single" w:color="000000" w:sz="8" w:space="0"/>
              <w:right w:val="single" w:color="000000" w:sz="8" w:space="0"/>
            </w:tcBorders>
            <w:vAlign w:val="center"/>
          </w:tcPr>
          <w:p w14:paraId="4A740C66">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843" w:type="dxa"/>
            <w:vMerge w:val="continue"/>
            <w:tcBorders>
              <w:top w:val="single" w:color="000000" w:sz="8" w:space="0"/>
              <w:left w:val="single" w:color="000000" w:sz="8" w:space="0"/>
              <w:bottom w:val="single" w:color="000000" w:sz="8" w:space="0"/>
              <w:right w:val="single" w:color="000000" w:sz="8" w:space="0"/>
            </w:tcBorders>
            <w:vAlign w:val="center"/>
          </w:tcPr>
          <w:p w14:paraId="610C8676">
            <w:pPr>
              <w:snapToGrid w:val="0"/>
              <w:spacing w:line="360" w:lineRule="auto"/>
              <w:ind w:left="120" w:firstLine="22"/>
              <w:jc w:val="center"/>
              <w:rPr>
                <w:rFonts w:hint="eastAsia" w:ascii="宋体" w:hAnsi="宋体" w:cs="宋体"/>
                <w:b/>
                <w:color w:val="000000" w:themeColor="text1"/>
                <w:sz w:val="24"/>
                <w14:textFill>
                  <w14:solidFill>
                    <w14:schemeClr w14:val="tx1"/>
                  </w14:solidFill>
                </w14:textFill>
              </w:rPr>
            </w:pPr>
          </w:p>
        </w:tc>
        <w:tc>
          <w:tcPr>
            <w:tcW w:w="6095" w:type="dxa"/>
            <w:tcBorders>
              <w:top w:val="single" w:color="000000" w:sz="8" w:space="0"/>
              <w:left w:val="single" w:color="000000" w:sz="8" w:space="0"/>
              <w:bottom w:val="single" w:color="000000" w:sz="8" w:space="0"/>
              <w:right w:val="single" w:color="000000" w:sz="8" w:space="0"/>
            </w:tcBorders>
            <w:vAlign w:val="center"/>
          </w:tcPr>
          <w:p w14:paraId="388F3BCD">
            <w:pPr>
              <w:spacing w:line="360" w:lineRule="auto"/>
              <w:ind w:left="120" w:firstLine="22"/>
              <w:rPr>
                <w:rFonts w:hint="eastAsia" w:ascii="宋体" w:hAnsi="宋体" w:cs="宋体"/>
                <w:snapToGrid w:val="0"/>
                <w:color w:val="000000" w:themeColor="text1"/>
                <w:kern w:val="28"/>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71423886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snapToGrid w:val="0"/>
                <w:color w:val="000000" w:themeColor="text1"/>
                <w:kern w:val="28"/>
                <w:sz w:val="24"/>
                <w14:textFill>
                  <w14:solidFill>
                    <w14:schemeClr w14:val="tx1"/>
                  </w14:solidFill>
                </w14:textFill>
              </w:rPr>
              <w:t>联合体投标的，联合体各方均需按采购文件第四部分评标标准要求提供资信证明文件，否则视为不符合相关要求。</w:t>
            </w:r>
          </w:p>
          <w:p w14:paraId="69F606A1">
            <w:pPr>
              <w:spacing w:line="360" w:lineRule="auto"/>
              <w:ind w:left="120" w:firstLine="22"/>
              <w:rPr>
                <w:rFonts w:hint="eastAsia" w:ascii="宋体" w:hAnsi="宋体" w:cs="宋体"/>
                <w:snapToGrid w:val="0"/>
                <w:color w:val="000000" w:themeColor="text1"/>
                <w:kern w:val="28"/>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69671215"/>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snapToGrid w:val="0"/>
                <w:color w:val="000000" w:themeColor="text1"/>
                <w:kern w:val="28"/>
                <w:sz w:val="24"/>
                <w14:textFill>
                  <w14:solidFill>
                    <w14:schemeClr w14:val="tx1"/>
                  </w14:solidFill>
                </w14:textFill>
              </w:rPr>
              <w:t>联合体投标的，联合体中有一方或者联合体成员根据分工按采购文件第四部分评标标准要求提供资信证明文件的，视为符合了相关要求。</w:t>
            </w:r>
          </w:p>
        </w:tc>
      </w:tr>
      <w:tr w14:paraId="67CE7A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472B02EC">
            <w:pPr>
              <w:snapToGrid w:val="0"/>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1843" w:type="dxa"/>
            <w:tcBorders>
              <w:top w:val="single" w:color="000000" w:sz="8" w:space="0"/>
              <w:left w:val="single" w:color="000000" w:sz="8" w:space="0"/>
              <w:bottom w:val="single" w:color="000000" w:sz="8" w:space="0"/>
              <w:right w:val="single" w:color="000000" w:sz="8" w:space="0"/>
            </w:tcBorders>
            <w:vAlign w:val="center"/>
          </w:tcPr>
          <w:p w14:paraId="581C008F">
            <w:pPr>
              <w:snapToGrid w:val="0"/>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pacing w:val="-6"/>
                <w:sz w:val="24"/>
                <w14:textFill>
                  <w14:solidFill>
                    <w14:schemeClr w14:val="tx1"/>
                  </w14:solidFill>
                </w14:textFill>
              </w:rPr>
              <w:t>推荐中标候选人数量</w:t>
            </w:r>
          </w:p>
        </w:tc>
        <w:tc>
          <w:tcPr>
            <w:tcW w:w="6095" w:type="dxa"/>
            <w:tcBorders>
              <w:top w:val="single" w:color="000000" w:sz="8" w:space="0"/>
              <w:left w:val="single" w:color="000000" w:sz="8" w:space="0"/>
              <w:bottom w:val="single" w:color="000000" w:sz="8" w:space="0"/>
              <w:right w:val="single" w:color="000000" w:sz="8" w:space="0"/>
            </w:tcBorders>
            <w:vAlign w:val="center"/>
          </w:tcPr>
          <w:p w14:paraId="454E4C36">
            <w:pPr>
              <w:spacing w:line="360" w:lineRule="auto"/>
              <w:ind w:left="120" w:firstLine="22"/>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推荐中标候选人数量：</w:t>
            </w:r>
            <w:r>
              <w:rPr>
                <w:rFonts w:hint="eastAsia" w:ascii="宋体" w:hAnsi="宋体" w:cs="宋体"/>
                <w:color w:val="000000" w:themeColor="text1"/>
                <w:spacing w:val="-6"/>
                <w:sz w:val="24"/>
                <w:u w:val="single"/>
                <w14:textFill>
                  <w14:solidFill>
                    <w14:schemeClr w14:val="tx1"/>
                  </w14:solidFill>
                </w14:textFill>
              </w:rPr>
              <w:t>1</w:t>
            </w:r>
            <w:r>
              <w:rPr>
                <w:rFonts w:hint="eastAsia" w:ascii="宋体" w:hAnsi="宋体" w:cs="宋体"/>
                <w:color w:val="000000" w:themeColor="text1"/>
                <w:spacing w:val="-6"/>
                <w:sz w:val="24"/>
                <w14:textFill>
                  <w14:solidFill>
                    <w14:schemeClr w14:val="tx1"/>
                  </w14:solidFill>
                </w14:textFill>
              </w:rPr>
              <w:t>名</w:t>
            </w:r>
          </w:p>
        </w:tc>
      </w:tr>
      <w:tr w14:paraId="201C2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773B7405">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843" w:type="dxa"/>
            <w:tcBorders>
              <w:top w:val="single" w:color="000000" w:sz="8" w:space="0"/>
              <w:left w:val="single" w:color="000000" w:sz="8" w:space="0"/>
              <w:bottom w:val="single" w:color="000000" w:sz="8" w:space="0"/>
              <w:right w:val="single" w:color="000000" w:sz="8" w:space="0"/>
            </w:tcBorders>
            <w:vAlign w:val="center"/>
          </w:tcPr>
          <w:p w14:paraId="3EDEEE82">
            <w:pPr>
              <w:snapToGrid w:val="0"/>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代理服务费</w:t>
            </w:r>
          </w:p>
        </w:tc>
        <w:tc>
          <w:tcPr>
            <w:tcW w:w="6095" w:type="dxa"/>
            <w:tcBorders>
              <w:top w:val="single" w:color="000000" w:sz="8" w:space="0"/>
              <w:left w:val="single" w:color="000000" w:sz="8" w:space="0"/>
              <w:bottom w:val="single" w:color="000000" w:sz="8" w:space="0"/>
              <w:right w:val="single" w:color="000000" w:sz="8" w:space="0"/>
            </w:tcBorders>
            <w:vAlign w:val="center"/>
          </w:tcPr>
          <w:p w14:paraId="0970D376">
            <w:pPr>
              <w:autoSpaceDE w:val="0"/>
              <w:autoSpaceDN w:val="0"/>
              <w:snapToGrid w:val="0"/>
              <w:spacing w:line="360" w:lineRule="auto"/>
              <w:ind w:left="120" w:firstLine="22"/>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收到中标通知书5个工作日内，中标人需向招标代理机构支付招标代理服务费。</w:t>
            </w:r>
            <w:r>
              <w:rPr>
                <w:rFonts w:hint="eastAsia" w:ascii="宋体" w:hAnsi="宋体" w:cs="宋体"/>
                <w:color w:val="000000" w:themeColor="text1"/>
                <w:sz w:val="24"/>
                <w14:textFill>
                  <w14:solidFill>
                    <w14:schemeClr w14:val="tx1"/>
                  </w14:solidFill>
                </w14:textFill>
              </w:rPr>
              <w:t>参照【2002】1980号文规定的</w:t>
            </w:r>
            <w:r>
              <w:rPr>
                <w:rFonts w:ascii="宋体" w:hAnsi="宋体" w:cs="宋体"/>
                <w:color w:val="000000" w:themeColor="text1"/>
                <w:sz w:val="24"/>
                <w14:textFill>
                  <w14:solidFill>
                    <w14:schemeClr w14:val="tx1"/>
                  </w14:solidFill>
                </w14:textFill>
              </w:rPr>
              <w:t>80</w:t>
            </w:r>
            <w:r>
              <w:rPr>
                <w:rFonts w:hint="eastAsia" w:ascii="宋体" w:hAnsi="宋体" w:cs="宋体"/>
                <w:color w:val="000000" w:themeColor="text1"/>
                <w:sz w:val="24"/>
                <w14:textFill>
                  <w14:solidFill>
                    <w14:schemeClr w14:val="tx1"/>
                  </w14:solidFill>
                </w14:textFill>
              </w:rPr>
              <w:t>%向中标供应商收取（不足7</w:t>
            </w:r>
            <w:r>
              <w:rPr>
                <w:rFonts w:ascii="宋体" w:hAnsi="宋体" w:cs="宋体"/>
                <w:color w:val="000000" w:themeColor="text1"/>
                <w:sz w:val="24"/>
                <w14:textFill>
                  <w14:solidFill>
                    <w14:schemeClr w14:val="tx1"/>
                  </w14:solidFill>
                </w14:textFill>
              </w:rPr>
              <w:t>000</w:t>
            </w:r>
            <w:r>
              <w:rPr>
                <w:rFonts w:hint="eastAsia" w:ascii="宋体" w:hAnsi="宋体" w:cs="宋体"/>
                <w:color w:val="000000" w:themeColor="text1"/>
                <w:sz w:val="24"/>
                <w14:textFill>
                  <w14:solidFill>
                    <w14:schemeClr w14:val="tx1"/>
                  </w14:solidFill>
                </w14:textFill>
              </w:rPr>
              <w:t>元按7</w:t>
            </w:r>
            <w:r>
              <w:rPr>
                <w:rFonts w:ascii="宋体" w:hAnsi="宋体" w:cs="宋体"/>
                <w:color w:val="000000" w:themeColor="text1"/>
                <w:sz w:val="24"/>
                <w14:textFill>
                  <w14:solidFill>
                    <w14:schemeClr w14:val="tx1"/>
                  </w14:solidFill>
                </w14:textFill>
              </w:rPr>
              <w:t>000</w:t>
            </w:r>
            <w:r>
              <w:rPr>
                <w:rFonts w:hint="eastAsia" w:ascii="宋体" w:hAnsi="宋体" w:cs="宋体"/>
                <w:color w:val="000000" w:themeColor="text1"/>
                <w:sz w:val="24"/>
                <w14:textFill>
                  <w14:solidFill>
                    <w14:schemeClr w14:val="tx1"/>
                  </w14:solidFill>
                </w14:textFill>
              </w:rPr>
              <w:t>元计）。</w:t>
            </w:r>
          </w:p>
          <w:p w14:paraId="486D0E5D">
            <w:pPr>
              <w:pStyle w:val="131"/>
              <w:snapToGrid w:val="0"/>
              <w:spacing w:before="0"/>
              <w:ind w:left="120" w:firstLine="22" w:firstLineChars="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pacing w:val="-6"/>
                <w:szCs w:val="24"/>
                <w14:textFill>
                  <w14:solidFill>
                    <w14:schemeClr w14:val="tx1"/>
                  </w14:solidFill>
                </w14:textFill>
              </w:rPr>
              <w:t>收款单位（户名）：</w:t>
            </w:r>
            <w:r>
              <w:rPr>
                <w:rFonts w:hint="eastAsia" w:ascii="宋体" w:hAnsi="宋体" w:cs="宋体"/>
                <w:bCs/>
                <w:color w:val="000000" w:themeColor="text1"/>
                <w:kern w:val="0"/>
                <w:szCs w:val="24"/>
                <w14:textFill>
                  <w14:solidFill>
                    <w14:schemeClr w14:val="tx1"/>
                  </w14:solidFill>
                </w14:textFill>
              </w:rPr>
              <w:t>浙江省成套招标代理有限公司；</w:t>
            </w:r>
          </w:p>
          <w:p w14:paraId="1ACCDDFA">
            <w:pPr>
              <w:pStyle w:val="131"/>
              <w:snapToGrid w:val="0"/>
              <w:spacing w:before="0"/>
              <w:ind w:left="120" w:firstLine="22" w:firstLineChars="0"/>
              <w:rPr>
                <w:rFonts w:hint="eastAsia" w:ascii="宋体" w:hAnsi="宋体" w:cs="宋体"/>
                <w:color w:val="000000" w:themeColor="text1"/>
                <w:spacing w:val="-6"/>
                <w:szCs w:val="24"/>
                <w14:textFill>
                  <w14:solidFill>
                    <w14:schemeClr w14:val="tx1"/>
                  </w14:solidFill>
                </w14:textFill>
              </w:rPr>
            </w:pPr>
            <w:r>
              <w:rPr>
                <w:rFonts w:hint="eastAsia" w:ascii="宋体" w:hAnsi="宋体" w:cs="宋体"/>
                <w:bCs/>
                <w:color w:val="000000" w:themeColor="text1"/>
                <w:kern w:val="0"/>
                <w:szCs w:val="24"/>
                <w14:textFill>
                  <w14:solidFill>
                    <w14:schemeClr w14:val="tx1"/>
                  </w14:solidFill>
                </w14:textFill>
              </w:rPr>
              <w:t>开户银行：中信</w:t>
            </w:r>
            <w:r>
              <w:rPr>
                <w:rFonts w:hint="eastAsia" w:ascii="宋体" w:hAnsi="宋体" w:cs="宋体"/>
                <w:color w:val="000000" w:themeColor="text1"/>
                <w:spacing w:val="-6"/>
                <w:szCs w:val="24"/>
                <w14:textFill>
                  <w14:solidFill>
                    <w14:schemeClr w14:val="tx1"/>
                  </w14:solidFill>
                </w14:textFill>
              </w:rPr>
              <w:t>银行杭州西湖支行；</w:t>
            </w:r>
          </w:p>
          <w:p w14:paraId="406C91A4">
            <w:pPr>
              <w:spacing w:line="360" w:lineRule="auto"/>
              <w:ind w:firstLine="228" w:firstLineChars="1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银行账号：</w:t>
            </w:r>
            <w:r>
              <w:rPr>
                <w:rFonts w:ascii="宋体" w:hAnsi="宋体" w:cs="宋体"/>
                <w:color w:val="000000" w:themeColor="text1"/>
                <w:spacing w:val="-6"/>
                <w:sz w:val="24"/>
                <w14:textFill>
                  <w14:solidFill>
                    <w14:schemeClr w14:val="tx1"/>
                  </w14:solidFill>
                </w14:textFill>
              </w:rPr>
              <w:t>7331 6101 8260 0126 385。</w:t>
            </w:r>
          </w:p>
        </w:tc>
      </w:tr>
    </w:tbl>
    <w:p w14:paraId="7333B543">
      <w:pPr>
        <w:snapToGrid w:val="0"/>
        <w:spacing w:line="360" w:lineRule="auto"/>
        <w:ind w:left="120" w:firstLine="22"/>
        <w:jc w:val="center"/>
        <w:rPr>
          <w:rFonts w:hint="eastAsia" w:ascii="宋体" w:hAnsi="宋体" w:cs="宋体"/>
          <w:b/>
          <w:color w:val="000000" w:themeColor="text1"/>
          <w:sz w:val="32"/>
          <w:szCs w:val="20"/>
          <w14:textFill>
            <w14:solidFill>
              <w14:schemeClr w14:val="tx1"/>
            </w14:solidFill>
          </w14:textFill>
        </w:rPr>
      </w:pPr>
    </w:p>
    <w:bookmarkEnd w:id="10"/>
    <w:p w14:paraId="21BDBE35">
      <w:pPr>
        <w:adjustRightInd/>
        <w:spacing w:line="360" w:lineRule="auto"/>
        <w:ind w:left="120" w:firstLine="3845" w:firstLineChars="1197"/>
        <w:rPr>
          <w:rFonts w:hint="eastAsia" w:ascii="宋体" w:hAnsi="宋体" w:cs="宋体"/>
          <w:b/>
          <w:color w:val="000000" w:themeColor="text1"/>
          <w:sz w:val="32"/>
          <w:szCs w:val="20"/>
          <w14:textFill>
            <w14:solidFill>
              <w14:schemeClr w14:val="tx1"/>
            </w14:solidFill>
          </w14:textFill>
        </w:rPr>
      </w:pPr>
      <w:bookmarkStart w:id="12" w:name="第三部分"/>
      <w:bookmarkStart w:id="13" w:name="_Toc164416483"/>
    </w:p>
    <w:p w14:paraId="0736BC44">
      <w:pPr>
        <w:adjustRightInd/>
        <w:spacing w:line="360" w:lineRule="auto"/>
        <w:ind w:left="120" w:firstLine="3845" w:firstLineChars="1197"/>
        <w:rPr>
          <w:rFonts w:hint="eastAsia" w:ascii="宋体" w:hAnsi="宋体" w:cs="宋体"/>
          <w:b/>
          <w:color w:val="000000" w:themeColor="text1"/>
          <w:sz w:val="32"/>
          <w:szCs w:val="20"/>
          <w14:textFill>
            <w14:solidFill>
              <w14:schemeClr w14:val="tx1"/>
            </w14:solidFill>
          </w14:textFill>
        </w:rPr>
      </w:pPr>
    </w:p>
    <w:p w14:paraId="59E13B58">
      <w:pPr>
        <w:adjustRightInd/>
        <w:spacing w:line="360" w:lineRule="auto"/>
        <w:ind w:left="120" w:firstLine="22"/>
        <w:jc w:val="center"/>
        <w:rPr>
          <w:rFonts w:hint="eastAsia"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一、总则</w:t>
      </w:r>
    </w:p>
    <w:p w14:paraId="30AE731D">
      <w:pPr>
        <w:snapToGrid w:val="0"/>
        <w:spacing w:line="360" w:lineRule="auto"/>
        <w:ind w:left="120" w:firstLine="361" w:firstLineChars="150"/>
        <w:jc w:val="left"/>
        <w:outlineLvl w:val="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 适用范围</w:t>
      </w:r>
    </w:p>
    <w:p w14:paraId="2F82F8B3">
      <w:pPr>
        <w:snapToGrid w:val="0"/>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本采购文件适用于该项目的招标、投标、开标、资格审查及信用信息查询、评标、定标、合同、验收等行为（法律、法规另有规定的，从其规定）。</w:t>
      </w:r>
    </w:p>
    <w:p w14:paraId="4E8BCAB6">
      <w:pPr>
        <w:adjustRightInd/>
        <w:snapToGrid w:val="0"/>
        <w:spacing w:line="360" w:lineRule="auto"/>
        <w:ind w:left="120" w:firstLine="361" w:firstLineChars="150"/>
        <w:jc w:val="left"/>
        <w:outlineLvl w:val="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2.定义</w:t>
      </w:r>
    </w:p>
    <w:p w14:paraId="63EC803B">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“采购人”系指招标公告中载明的本项目的采购人。</w:t>
      </w:r>
    </w:p>
    <w:p w14:paraId="030048A7">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“采购代理机构”系指招标公告中载明的本项目的采购代理机构。</w:t>
      </w:r>
    </w:p>
    <w:p w14:paraId="3CEFF3C1">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“投标人”系指是指响应招标、参加投标竞争的法人、其他组织或者自然人。</w:t>
      </w:r>
    </w:p>
    <w:p w14:paraId="5C66F8B9">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14:paraId="7560B83B">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A88A646">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2.6“电子交易平台”系指本项目政府采购活动所依托的政府采购云平台（https://www.zcygov.cn/）。</w:t>
      </w:r>
    </w:p>
    <w:p w14:paraId="075F8235">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 “▲” 系指实质性要求条款，“</w:t>
      </w:r>
      <w:sdt>
        <w:sdtPr>
          <w:rPr>
            <w:rFonts w:hint="eastAsia" w:ascii="宋体" w:hAnsi="宋体" w:cs="宋体"/>
            <w:color w:val="000000" w:themeColor="text1"/>
            <w:kern w:val="0"/>
            <w:sz w:val="24"/>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”系指适用本项目的要求，“</w:t>
      </w:r>
      <w:sdt>
        <w:sdtPr>
          <w:rPr>
            <w:rFonts w:hint="eastAsia" w:ascii="宋体" w:hAnsi="宋体" w:cs="宋体"/>
            <w:color w:val="000000" w:themeColor="text1"/>
            <w:kern w:val="0"/>
            <w:sz w:val="24"/>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系指不适用本项目的要求。</w:t>
      </w:r>
    </w:p>
    <w:p w14:paraId="7612D643">
      <w:pPr>
        <w:adjustRightInd/>
        <w:snapToGrid w:val="0"/>
        <w:spacing w:line="360" w:lineRule="auto"/>
        <w:ind w:left="120" w:firstLine="361" w:firstLineChars="150"/>
        <w:jc w:val="left"/>
        <w:outlineLvl w:val="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 采购项目需要落实的政府采购政策</w:t>
      </w:r>
    </w:p>
    <w:p w14:paraId="4BB2AC38">
      <w:pPr>
        <w:spacing w:line="360" w:lineRule="auto"/>
        <w:ind w:left="12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14:textFill>
            <w14:solidFill>
              <w14:schemeClr w14:val="tx1"/>
            </w14:solidFill>
          </w14:textFill>
        </w:rPr>
        <w:t>。</w:t>
      </w:r>
    </w:p>
    <w:p w14:paraId="2085BF21">
      <w:pPr>
        <w:spacing w:line="360" w:lineRule="auto"/>
        <w:ind w:left="12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支持绿色发展</w:t>
      </w:r>
    </w:p>
    <w:p w14:paraId="46022636">
      <w:pPr>
        <w:spacing w:line="360" w:lineRule="auto"/>
        <w:ind w:left="120" w:firstLine="480"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采购文件要求提供相关产品认证证书。</w:t>
      </w:r>
      <w:r>
        <w:rPr>
          <w:rFonts w:hint="eastAsia" w:ascii="宋体" w:hAnsi="宋体" w:cs="宋体"/>
          <w:b/>
          <w:color w:val="000000" w:themeColor="text1"/>
          <w:sz w:val="24"/>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5B80BB8F">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 修缮、装修类项目采购建材的，采购人应将绿色建筑和绿色建材性能、指标等作为实质性条件纳入采购文件和合同。</w:t>
      </w:r>
    </w:p>
    <w:p w14:paraId="74A843E6">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人优先采购秸秆环保板材等资源综合利用产品。鼓励采购人优先采购绿色物流配送服务、提供新能源交通工具的租赁服务。</w:t>
      </w:r>
    </w:p>
    <w:p w14:paraId="7641BE6B">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3.2.4 </w:t>
      </w:r>
      <w:r>
        <w:rPr>
          <w:rFonts w:hint="eastAsia" w:ascii="宋体" w:hAnsi="宋体" w:cs="宋体"/>
          <w:color w:val="000000" w:themeColor="text1"/>
          <w:sz w:val="24"/>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鼓励供应商在参加政府采购过程中开展绿色设计、选择绿色材料、打造绿色制造工艺、开展绿色运输、做好废弃产品回收处理，实现产品全周期的绿色环保。鼓励采购人对其提高预付款比例、免收履约保证金。</w:t>
      </w:r>
    </w:p>
    <w:p w14:paraId="5333166A">
      <w:pPr>
        <w:spacing w:line="360" w:lineRule="auto"/>
        <w:ind w:left="12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3.3支持中小企业发展</w:t>
      </w:r>
    </w:p>
    <w:p w14:paraId="69EFD0F9">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030D2F3">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符合中小企业划分标准的个体工商户，在政府采购活动中视同中小企业。</w:t>
      </w:r>
    </w:p>
    <w:p w14:paraId="5C197CBB">
      <w:pPr>
        <w:widowControl/>
        <w:spacing w:line="360" w:lineRule="auto"/>
        <w:ind w:left="120" w:firstLine="480" w:firstLineChars="200"/>
        <w:jc w:val="left"/>
        <w:rPr>
          <w:rFonts w:hint="eastAsia" w:ascii="宋体" w:hAnsi="宋体" w:cs="宋体"/>
          <w:color w:val="000000" w:themeColor="text1"/>
          <w:kern w:val="0"/>
          <w:sz w:val="24"/>
          <w14:textFill>
            <w14:solidFill>
              <w14:schemeClr w14:val="tx1"/>
            </w14:solidFill>
          </w14:textFill>
        </w:rPr>
      </w:pPr>
      <w:r>
        <w:rPr>
          <w:rFonts w:ascii="宋体" w:hAnsi="宋体" w:cs="宋体"/>
          <w:bCs/>
          <w:color w:val="000000" w:themeColor="text1"/>
          <w:sz w:val="24"/>
          <w14:textFill>
            <w14:solidFill>
              <w14:schemeClr w14:val="tx1"/>
            </w14:solidFill>
          </w14:textFill>
        </w:rPr>
        <w:t>3.3.2</w:t>
      </w:r>
      <w:r>
        <w:rPr>
          <w:rFonts w:hint="eastAsia" w:ascii="宋体" w:hAnsi="宋体" w:cs="宋体"/>
          <w:color w:val="000000" w:themeColor="text1"/>
          <w:kern w:val="0"/>
          <w:sz w:val="24"/>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8D30493">
      <w:pPr>
        <w:widowControl/>
        <w:spacing w:line="360" w:lineRule="auto"/>
        <w:ind w:left="120"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326351CC">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sz w:val="24"/>
          <w14:textFill>
            <w14:solidFill>
              <w14:schemeClr w14:val="tx1"/>
            </w14:solidFill>
          </w14:textFill>
        </w:rPr>
        <w:t>20</w:t>
      </w:r>
      <w:r>
        <w:rPr>
          <w:rFonts w:hint="eastAsia" w:ascii="宋体" w:hAnsi="宋体" w:cs="宋体"/>
          <w:color w:val="000000" w:themeColor="text1"/>
          <w:sz w:val="24"/>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2745C325">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3A5C3995">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F19EC7B">
      <w:pPr>
        <w:spacing w:line="360" w:lineRule="auto"/>
        <w:ind w:left="120"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3.3.6</w:t>
      </w:r>
      <w:r>
        <w:rPr>
          <w:rFonts w:hint="eastAsia" w:ascii="宋体" w:hAnsi="宋体" w:cs="宋体"/>
          <w:b/>
          <w:bCs/>
          <w:color w:val="000000" w:themeColor="text1"/>
          <w:sz w:val="24"/>
          <w:lang w:val="en"/>
          <w14:textFill>
            <w14:solidFill>
              <w14:schemeClr w14:val="tx1"/>
            </w14:solidFill>
          </w14:textFill>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b/>
          <w:bCs/>
          <w:color w:val="000000" w:themeColor="text1"/>
          <w:sz w:val="24"/>
          <w14:textFill>
            <w14:solidFill>
              <w14:schemeClr w14:val="tx1"/>
            </w14:solidFill>
          </w14:textFill>
        </w:rPr>
        <w:t>。</w:t>
      </w:r>
    </w:p>
    <w:p w14:paraId="20922558">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14:paraId="21AF61C9">
      <w:pPr>
        <w:spacing w:line="360" w:lineRule="auto"/>
        <w:ind w:left="12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w:t>
      </w:r>
      <w:r>
        <w:rPr>
          <w:rFonts w:hint="eastAsia" w:ascii="宋体" w:hAnsi="宋体" w:cs="宋体"/>
          <w:bCs/>
          <w:color w:val="000000" w:themeColor="text1"/>
          <w:sz w:val="24"/>
          <w14:textFill>
            <w14:solidFill>
              <w14:schemeClr w14:val="tx1"/>
            </w14:solidFill>
          </w14:textFill>
        </w:rPr>
        <w:t>支持创新发展</w:t>
      </w:r>
    </w:p>
    <w:p w14:paraId="60471410">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 首台套、“制造精品”、“专精特新”等创新产品按规定享受政府采购支持政策。</w:t>
      </w:r>
    </w:p>
    <w:p w14:paraId="21D9A4EC">
      <w:pPr>
        <w:pStyle w:val="4"/>
        <w:adjustRightInd w:val="0"/>
        <w:ind w:firstLine="355"/>
        <w:rPr>
          <w:rFonts w:hint="eastAsia" w:cs="仿宋"/>
          <w:b w:val="0"/>
          <w:bCs w:val="0"/>
          <w:color w:val="000000" w:themeColor="text1"/>
          <w:lang w:val="en-US"/>
          <w14:textFill>
            <w14:solidFill>
              <w14:schemeClr w14:val="tx1"/>
            </w14:solidFill>
          </w14:textFill>
        </w:rPr>
      </w:pPr>
      <w:r>
        <w:rPr>
          <w:rFonts w:hint="eastAsia" w:cs="仿宋"/>
          <w:b w:val="0"/>
          <w:bCs w:val="0"/>
          <w:color w:val="000000" w:themeColor="text1"/>
          <w:lang w:val="en-US"/>
          <w14:textFill>
            <w14:solidFill>
              <w14:schemeClr w14:val="tx1"/>
            </w14:solidFill>
          </w14:textFill>
        </w:rPr>
        <w:t>3.4.2 采购人应当贯彻落实知识产权保护相关法律法规，应当采购使用正版软件。</w:t>
      </w:r>
    </w:p>
    <w:p w14:paraId="3598B5EC">
      <w:pPr>
        <w:spacing w:line="360" w:lineRule="auto"/>
        <w:ind w:left="120"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3.5平等对待内外资企业和符合条件的破产重整企业</w:t>
      </w:r>
    </w:p>
    <w:p w14:paraId="3E87DD73">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平等对待内外资企业和符合条件的破产重整企业，切实保障企业公平竞争，平等维护企业的合法利益。</w:t>
      </w:r>
    </w:p>
    <w:p w14:paraId="7D475FE3">
      <w:pPr>
        <w:spacing w:line="360" w:lineRule="auto"/>
        <w:ind w:left="120" w:firstLine="241" w:firstLineChars="1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4. 询问、质疑、投诉</w:t>
      </w:r>
      <w:r>
        <w:rPr>
          <w:rFonts w:hint="eastAsia" w:ascii="宋体" w:hAnsi="宋体" w:cs="仿宋"/>
          <w:b/>
          <w:color w:val="000000" w:themeColor="text1"/>
          <w:sz w:val="24"/>
          <w14:textFill>
            <w14:solidFill>
              <w14:schemeClr w14:val="tx1"/>
            </w14:solidFill>
          </w14:textFill>
        </w:rPr>
        <w:t>、补偿救济</w:t>
      </w:r>
    </w:p>
    <w:p w14:paraId="363682DF">
      <w:pPr>
        <w:autoSpaceDE w:val="0"/>
        <w:autoSpaceDN w:val="0"/>
        <w:spacing w:line="360" w:lineRule="auto"/>
        <w:ind w:left="120"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478525">
      <w:pPr>
        <w:autoSpaceDE w:val="0"/>
        <w:autoSpaceDN w:val="0"/>
        <w:spacing w:line="360" w:lineRule="auto"/>
        <w:ind w:left="120"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4.2供应商询问</w:t>
      </w:r>
    </w:p>
    <w:p w14:paraId="26CBB801">
      <w:pPr>
        <w:autoSpaceDE w:val="0"/>
        <w:autoSpaceDN w:val="0"/>
        <w:spacing w:line="360" w:lineRule="auto"/>
        <w:ind w:left="120"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05ED6DA">
      <w:pPr>
        <w:autoSpaceDE w:val="0"/>
        <w:autoSpaceDN w:val="0"/>
        <w:spacing w:line="360" w:lineRule="auto"/>
        <w:ind w:left="120"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4.3供应商质疑</w:t>
      </w:r>
    </w:p>
    <w:p w14:paraId="016556E5">
      <w:pPr>
        <w:pStyle w:val="34"/>
        <w:spacing w:line="360" w:lineRule="auto"/>
        <w:ind w:left="120" w:firstLine="480" w:firstLineChars="200"/>
        <w:rPr>
          <w:rFonts w:hint="eastAsia"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w:t>
      </w:r>
      <w:r>
        <w:rPr>
          <w:rFonts w:hint="eastAsia" w:hAnsi="宋体" w:cs="宋体"/>
          <w:color w:val="000000" w:themeColor="text1"/>
          <w:sz w:val="24"/>
          <w14:textFill>
            <w14:solidFill>
              <w14:schemeClr w14:val="tx1"/>
            </w14:solidFill>
          </w14:textFill>
        </w:rPr>
        <w:t>.1提出质疑的供应商应当是参与所质疑项目采购活动的供应商。潜在供应商已依法获取其可质疑的采购文件的，可以对该文件提出质疑。</w:t>
      </w:r>
    </w:p>
    <w:p w14:paraId="27C33FAC">
      <w:pPr>
        <w:pStyle w:val="34"/>
        <w:spacing w:line="360" w:lineRule="auto"/>
        <w:ind w:left="120" w:firstLine="480" w:firstLineChars="200"/>
        <w:rPr>
          <w:rFonts w:hint="eastAsia"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w:t>
      </w:r>
      <w:r>
        <w:rPr>
          <w:rFonts w:hint="eastAsia" w:hAnsi="宋体" w:cs="宋体"/>
          <w:color w:val="000000" w:themeColor="text1"/>
          <w:sz w:val="24"/>
          <w14:textFill>
            <w14:solidFill>
              <w14:schemeClr w14:val="tx1"/>
            </w14:solidFill>
          </w14:textFill>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086E70F9">
      <w:pPr>
        <w:pStyle w:val="6"/>
        <w:spacing w:line="360" w:lineRule="auto"/>
        <w:ind w:left="120" w:firstLine="480" w:firstLineChars="200"/>
        <w:rPr>
          <w:rFonts w:hint="eastAsia" w:hAnsi="宋体" w:cs="宋体"/>
          <w:snapToGrid/>
          <w:color w:val="000000" w:themeColor="text1"/>
          <w:kern w:val="2"/>
          <w:sz w:val="24"/>
          <w14:textFill>
            <w14:solidFill>
              <w14:schemeClr w14:val="tx1"/>
            </w14:solidFill>
          </w14:textFill>
        </w:rPr>
      </w:pPr>
      <w:r>
        <w:rPr>
          <w:rFonts w:hint="eastAsia" w:hAnsi="宋体" w:cs="宋体"/>
          <w:snapToGrid/>
          <w:color w:val="000000" w:themeColor="text1"/>
          <w:kern w:val="2"/>
          <w:sz w:val="24"/>
          <w14:textFill>
            <w14:solidFill>
              <w14:schemeClr w14:val="tx1"/>
            </w14:solidFill>
          </w14:textFill>
        </w:rPr>
        <w:t>4.3.2.1对采购文件提出质疑的，质疑期限为供应商获得采购文件之日或者采购文件公告期限届满之日起计算。</w:t>
      </w:r>
    </w:p>
    <w:p w14:paraId="0FF0A404">
      <w:pPr>
        <w:pStyle w:val="34"/>
        <w:spacing w:line="360" w:lineRule="auto"/>
        <w:ind w:left="479" w:leftChars="228" w:firstLine="22"/>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1DD0D4FB">
      <w:pPr>
        <w:pStyle w:val="34"/>
        <w:spacing w:line="360" w:lineRule="auto"/>
        <w:ind w:left="120" w:firstLine="480" w:firstLineChars="200"/>
        <w:rPr>
          <w:rFonts w:hint="eastAsia"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w:t>
      </w:r>
      <w:r>
        <w:rPr>
          <w:rFonts w:hint="eastAsia" w:hAnsi="宋体" w:cs="宋体"/>
          <w:color w:val="000000" w:themeColor="text1"/>
          <w:sz w:val="24"/>
          <w14:textFill>
            <w14:solidFill>
              <w14:schemeClr w14:val="tx1"/>
            </w14:solidFill>
          </w14:textFill>
        </w:rPr>
        <w:t>供应商提出质疑应当提交质疑函和必要的证明材料。质疑函应当包括下列内容：</w:t>
      </w:r>
    </w:p>
    <w:p w14:paraId="6F8760C2">
      <w:pPr>
        <w:pStyle w:val="34"/>
        <w:spacing w:line="360" w:lineRule="auto"/>
        <w:ind w:left="120" w:firstLine="480" w:firstLineChars="200"/>
        <w:rPr>
          <w:rFonts w:hint="eastAsia"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4.3.3.1供应商的姓名或者名称、地址、邮编、联系人及联系电话；</w:t>
      </w:r>
    </w:p>
    <w:p w14:paraId="3797E42E">
      <w:pPr>
        <w:pStyle w:val="34"/>
        <w:spacing w:line="360" w:lineRule="auto"/>
        <w:ind w:left="120" w:firstLine="480" w:firstLineChars="200"/>
        <w:rPr>
          <w:rFonts w:hint="eastAsia"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4.3.3.2质疑项目的名称、编号；</w:t>
      </w:r>
    </w:p>
    <w:p w14:paraId="591997F2">
      <w:pPr>
        <w:pStyle w:val="34"/>
        <w:spacing w:line="360" w:lineRule="auto"/>
        <w:ind w:left="120" w:firstLine="480" w:firstLineChars="200"/>
        <w:rPr>
          <w:rFonts w:hint="eastAsia"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4.3.3.3具体、明确的质疑事项和与质疑事项相关的请求；</w:t>
      </w:r>
    </w:p>
    <w:p w14:paraId="45E6F395">
      <w:pPr>
        <w:pStyle w:val="34"/>
        <w:spacing w:line="360" w:lineRule="auto"/>
        <w:ind w:left="120" w:firstLine="480" w:firstLineChars="200"/>
        <w:rPr>
          <w:rFonts w:hint="eastAsia"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4.3.3.4事实依据；</w:t>
      </w:r>
    </w:p>
    <w:p w14:paraId="481B7EB5">
      <w:pPr>
        <w:pStyle w:val="34"/>
        <w:spacing w:line="360" w:lineRule="auto"/>
        <w:ind w:left="120" w:firstLine="480" w:firstLineChars="200"/>
        <w:rPr>
          <w:rFonts w:hint="eastAsia"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4.3.3.5必要的法律依据；</w:t>
      </w:r>
    </w:p>
    <w:p w14:paraId="61D8CEF4">
      <w:pPr>
        <w:pStyle w:val="34"/>
        <w:spacing w:line="360" w:lineRule="auto"/>
        <w:ind w:left="120" w:firstLine="960" w:firstLineChars="400"/>
        <w:rPr>
          <w:rFonts w:hint="eastAsia"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4.3.3.6提出质疑的日期。</w:t>
      </w:r>
    </w:p>
    <w:p w14:paraId="55884161">
      <w:pPr>
        <w:pStyle w:val="888"/>
        <w:shd w:val="clear" w:color="auto" w:fill="FFFFFF"/>
        <w:snapToGrid w:val="0"/>
        <w:spacing w:after="240" w:afterAutospacing="0" w:line="360" w:lineRule="auto"/>
        <w:ind w:left="120" w:firstLine="501" w:firstLineChars="209"/>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6740FECD">
      <w:pPr>
        <w:pStyle w:val="888"/>
        <w:shd w:val="clear" w:color="auto" w:fill="FFFFFF"/>
        <w:snapToGrid w:val="0"/>
        <w:spacing w:after="240" w:afterAutospacing="0" w:line="360" w:lineRule="auto"/>
        <w:ind w:left="120" w:firstLine="501" w:firstLineChars="209"/>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质疑函范本及制作说明详见附件2。</w:t>
      </w:r>
    </w:p>
    <w:p w14:paraId="437BF323">
      <w:pPr>
        <w:pStyle w:val="888"/>
        <w:shd w:val="clear" w:color="auto" w:fill="FFFFFF"/>
        <w:snapToGrid w:val="0"/>
        <w:spacing w:after="240" w:afterAutospacing="0" w:line="360" w:lineRule="auto"/>
        <w:ind w:left="120" w:firstLine="501" w:firstLineChars="209"/>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4.3.4对同一采购程序环节的质疑，供应商须在法定质疑期内一次性提出。</w:t>
      </w:r>
    </w:p>
    <w:p w14:paraId="052B5871">
      <w:pPr>
        <w:pStyle w:val="888"/>
        <w:shd w:val="clear" w:color="auto" w:fill="FFFFFF"/>
        <w:snapToGrid w:val="0"/>
        <w:spacing w:after="240" w:afterAutospacing="0" w:line="360" w:lineRule="auto"/>
        <w:ind w:left="120" w:firstLine="501" w:firstLineChars="209"/>
        <w:contextualSpacing/>
        <w:rPr>
          <w:rFonts w:hint="eastAsia"/>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4.3</w:t>
      </w:r>
      <w:r>
        <w:rPr>
          <w:rFonts w:hint="eastAsia"/>
          <w:color w:val="000000" w:themeColor="text1"/>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AEC888B">
      <w:pPr>
        <w:pStyle w:val="888"/>
        <w:shd w:val="clear" w:color="auto" w:fill="FFFFFF"/>
        <w:snapToGrid w:val="0"/>
        <w:spacing w:after="240" w:afterAutospacing="0" w:line="360" w:lineRule="auto"/>
        <w:ind w:left="120" w:firstLine="22"/>
        <w:contextualSpacing/>
        <w:rPr>
          <w:rFonts w:hint="eastAsia"/>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4.3</w:t>
      </w:r>
      <w:r>
        <w:rPr>
          <w:rFonts w:hint="eastAsia"/>
          <w:color w:val="000000" w:themeColor="text1"/>
          <w14:textFill>
            <w14:solidFill>
              <w14:schemeClr w14:val="tx1"/>
            </w14:solidFill>
          </w14:textFill>
        </w:rPr>
        <w:t>.6询问或者质疑事项可能影响采购结果的，采购人应当暂停签订合同，已经签订合同的，应当中止履行合同。</w:t>
      </w:r>
    </w:p>
    <w:p w14:paraId="0F3F1DC2">
      <w:pPr>
        <w:pStyle w:val="888"/>
        <w:shd w:val="clear" w:color="auto" w:fill="FFFFFF"/>
        <w:snapToGrid w:val="0"/>
        <w:spacing w:after="240" w:afterAutospacing="0" w:line="360" w:lineRule="auto"/>
        <w:ind w:left="120" w:firstLine="480" w:firstLineChars="200"/>
        <w:contextualSpacing/>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4.4供应商投诉</w:t>
      </w:r>
    </w:p>
    <w:p w14:paraId="03654644">
      <w:pPr>
        <w:pStyle w:val="888"/>
        <w:shd w:val="clear" w:color="auto" w:fill="FFFFFF"/>
        <w:snapToGrid w:val="0"/>
        <w:spacing w:after="240" w:afterAutospacing="0" w:line="360" w:lineRule="auto"/>
        <w:ind w:left="120" w:firstLine="501" w:firstLineChars="209"/>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5F454750">
      <w:pPr>
        <w:pStyle w:val="888"/>
        <w:shd w:val="clear" w:color="auto" w:fill="FFFFFF"/>
        <w:snapToGrid w:val="0"/>
        <w:spacing w:after="240" w:afterAutospacing="0" w:line="360" w:lineRule="auto"/>
        <w:ind w:left="120" w:firstLine="501" w:firstLineChars="209"/>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4.4.</w:t>
      </w:r>
      <w:r>
        <w:rPr>
          <w:rFonts w:hint="eastAsia"/>
          <w:color w:val="000000" w:themeColor="text1"/>
          <w:lang w:val="zh-CN"/>
          <w14:textFill>
            <w14:solidFill>
              <w14:schemeClr w14:val="tx1"/>
            </w14:solidFill>
          </w14:textFill>
        </w:rPr>
        <w:t>2</w:t>
      </w:r>
      <w:r>
        <w:rPr>
          <w:rFonts w:hint="eastAsia"/>
          <w:color w:val="000000" w:themeColor="text1"/>
          <w14:textFill>
            <w14:solidFill>
              <w14:schemeClr w14:val="tx1"/>
            </w14:solidFill>
          </w14:textFill>
        </w:rPr>
        <w:t>供应商投诉的事项不得超出已质疑事项的范围，基于质疑答复内容提出的投诉事项除外。</w:t>
      </w:r>
    </w:p>
    <w:p w14:paraId="7FCDB322">
      <w:pPr>
        <w:pStyle w:val="888"/>
        <w:shd w:val="clear" w:color="auto" w:fill="FFFFFF"/>
        <w:snapToGrid w:val="0"/>
        <w:spacing w:after="240" w:afterAutospacing="0" w:line="360" w:lineRule="auto"/>
        <w:ind w:left="120" w:firstLine="501" w:firstLineChars="209"/>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4.4.3供应商投诉应当有明确的请求和必要的证明材料。</w:t>
      </w:r>
    </w:p>
    <w:p w14:paraId="115E0ED9">
      <w:pPr>
        <w:pStyle w:val="888"/>
        <w:shd w:val="clear" w:color="auto" w:fill="FFFFFF"/>
        <w:snapToGrid w:val="0"/>
        <w:spacing w:after="240" w:afterAutospacing="0" w:line="360" w:lineRule="auto"/>
        <w:ind w:left="119" w:firstLine="480" w:firstLineChars="200"/>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4.4.4以联合体形式参加政府采购活动的，其投诉应当由组成联合体的所有供应商共同提出。</w:t>
      </w:r>
    </w:p>
    <w:p w14:paraId="606C5919">
      <w:pPr>
        <w:pStyle w:val="888"/>
        <w:shd w:val="clear" w:color="auto" w:fill="FFFFFF"/>
        <w:snapToGrid w:val="0"/>
        <w:spacing w:after="240" w:afterAutospacing="0" w:line="360" w:lineRule="auto"/>
        <w:ind w:left="119" w:firstLine="480" w:firstLineChars="200"/>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37A2EBC0">
      <w:pPr>
        <w:pStyle w:val="888"/>
        <w:shd w:val="clear" w:color="auto" w:fill="FFFFFF"/>
        <w:spacing w:after="240" w:afterAutospacing="0" w:line="360" w:lineRule="auto"/>
        <w:ind w:left="120" w:firstLine="480"/>
        <w:contextualSpacing/>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4.5 补偿救济</w:t>
      </w:r>
    </w:p>
    <w:p w14:paraId="003AEC29">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采购人因政策变化、规划调整而不履行政府采购合同的，供应商可依据《杭州市涉企补偿救济实施办法（试行）》向采购人提起补偿申请。</w:t>
      </w:r>
    </w:p>
    <w:p w14:paraId="6F829857">
      <w:pPr>
        <w:pStyle w:val="888"/>
        <w:shd w:val="clear" w:color="auto" w:fill="FFFFFF"/>
        <w:snapToGrid w:val="0"/>
        <w:spacing w:after="240" w:afterAutospacing="0" w:line="360" w:lineRule="auto"/>
        <w:ind w:left="119" w:firstLine="480" w:firstLineChars="200"/>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投诉书范本及制作说明详见附件3。</w:t>
      </w:r>
    </w:p>
    <w:p w14:paraId="001B2B56">
      <w:pPr>
        <w:pStyle w:val="131"/>
        <w:snapToGrid w:val="0"/>
        <w:spacing w:before="0"/>
        <w:ind w:left="120" w:firstLine="360"/>
        <w:rPr>
          <w:rFonts w:hint="eastAsia" w:ascii="宋体" w:hAnsi="宋体" w:cs="宋体"/>
          <w:color w:val="000000" w:themeColor="text1"/>
          <w:sz w:val="18"/>
          <w:szCs w:val="18"/>
          <w14:textFill>
            <w14:solidFill>
              <w14:schemeClr w14:val="tx1"/>
            </w14:solidFill>
          </w14:textFill>
        </w:rPr>
      </w:pPr>
    </w:p>
    <w:p w14:paraId="2D5A2922">
      <w:pPr>
        <w:adjustRightInd/>
        <w:spacing w:line="360" w:lineRule="auto"/>
        <w:ind w:left="120" w:firstLine="22"/>
        <w:jc w:val="center"/>
        <w:outlineLvl w:val="1"/>
        <w:rPr>
          <w:rFonts w:hint="eastAsia"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二、采购文件的构成、澄清、修改</w:t>
      </w:r>
    </w:p>
    <w:p w14:paraId="76E8BB3E">
      <w:pPr>
        <w:adjustRightInd/>
        <w:spacing w:line="360" w:lineRule="auto"/>
        <w:ind w:left="120" w:firstLine="22"/>
        <w:outlineLvl w:val="2"/>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5．采购文件的构成</w:t>
      </w:r>
    </w:p>
    <w:p w14:paraId="59642319">
      <w:pPr>
        <w:pStyle w:val="34"/>
        <w:spacing w:line="360" w:lineRule="auto"/>
        <w:ind w:left="120"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 采购文件包括下列文件及附件：</w:t>
      </w:r>
    </w:p>
    <w:p w14:paraId="71A34D5F">
      <w:pPr>
        <w:pStyle w:val="34"/>
        <w:tabs>
          <w:tab w:val="left" w:pos="840"/>
        </w:tabs>
        <w:spacing w:line="360" w:lineRule="auto"/>
        <w:ind w:left="120" w:firstLine="960" w:firstLineChars="4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5.1.1招标公告；</w:t>
      </w:r>
    </w:p>
    <w:p w14:paraId="20DC26CE">
      <w:pPr>
        <w:pStyle w:val="34"/>
        <w:tabs>
          <w:tab w:val="left" w:pos="840"/>
        </w:tabs>
        <w:spacing w:line="360" w:lineRule="auto"/>
        <w:ind w:left="120" w:firstLine="960" w:firstLineChars="4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5.1.2投标人须知；</w:t>
      </w:r>
    </w:p>
    <w:p w14:paraId="38C978E4">
      <w:pPr>
        <w:pStyle w:val="34"/>
        <w:tabs>
          <w:tab w:val="left" w:pos="840"/>
        </w:tabs>
        <w:spacing w:line="360" w:lineRule="auto"/>
        <w:ind w:left="120" w:firstLine="960" w:firstLineChars="4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5.1.3采购需求；</w:t>
      </w:r>
    </w:p>
    <w:p w14:paraId="242F8451">
      <w:pPr>
        <w:pStyle w:val="34"/>
        <w:tabs>
          <w:tab w:val="left" w:pos="840"/>
        </w:tabs>
        <w:spacing w:line="360" w:lineRule="auto"/>
        <w:ind w:left="120" w:firstLine="960" w:firstLineChars="4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5.1.4评标办法；</w:t>
      </w:r>
    </w:p>
    <w:p w14:paraId="4DF3E7D3">
      <w:pPr>
        <w:pStyle w:val="34"/>
        <w:tabs>
          <w:tab w:val="left" w:pos="840"/>
        </w:tabs>
        <w:spacing w:line="360" w:lineRule="auto"/>
        <w:ind w:left="120" w:firstLine="960" w:firstLineChars="4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5.1.5拟签订的合同文本；</w:t>
      </w:r>
    </w:p>
    <w:p w14:paraId="21115FAC">
      <w:pPr>
        <w:pStyle w:val="34"/>
        <w:tabs>
          <w:tab w:val="left" w:pos="840"/>
        </w:tabs>
        <w:spacing w:line="360" w:lineRule="auto"/>
        <w:ind w:left="120" w:firstLine="960" w:firstLineChars="4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5.1.6</w:t>
      </w:r>
      <w:r>
        <w:rPr>
          <w:rFonts w:hint="eastAsia" w:hAnsi="宋体" w:cs="宋体"/>
          <w:color w:val="000000" w:themeColor="text1"/>
          <w:sz w:val="24"/>
          <w:szCs w:val="24"/>
          <w14:textFill>
            <w14:solidFill>
              <w14:schemeClr w14:val="tx1"/>
            </w14:solidFill>
          </w14:textFill>
        </w:rPr>
        <w:t>应提交的有关格式范例。</w:t>
      </w:r>
    </w:p>
    <w:p w14:paraId="3290110B">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5.2与本项目有关的</w:t>
      </w:r>
      <w:r>
        <w:rPr>
          <w:rFonts w:hint="eastAsia" w:ascii="宋体" w:hAnsi="宋体" w:cs="宋体"/>
          <w:bCs/>
          <w:color w:val="000000" w:themeColor="text1"/>
          <w:sz w:val="24"/>
          <w14:textFill>
            <w14:solidFill>
              <w14:schemeClr w14:val="tx1"/>
            </w14:solidFill>
          </w14:textFill>
        </w:rPr>
        <w:t>澄清或者修改的内容为采购文件的组成部分</w:t>
      </w:r>
      <w:r>
        <w:rPr>
          <w:rFonts w:hint="eastAsia" w:ascii="宋体" w:hAnsi="宋体" w:cs="宋体"/>
          <w:color w:val="000000" w:themeColor="text1"/>
          <w:sz w:val="24"/>
          <w14:textFill>
            <w14:solidFill>
              <w14:schemeClr w14:val="tx1"/>
            </w14:solidFill>
          </w14:textFill>
        </w:rPr>
        <w:t>。</w:t>
      </w:r>
    </w:p>
    <w:p w14:paraId="5BEA9861">
      <w:pPr>
        <w:adjustRightInd/>
        <w:spacing w:line="360" w:lineRule="auto"/>
        <w:ind w:left="120" w:firstLine="22"/>
        <w:outlineLvl w:val="2"/>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6. 采购文件的澄清、修改</w:t>
      </w:r>
    </w:p>
    <w:p w14:paraId="51E4A2B8">
      <w:pPr>
        <w:pStyle w:val="131"/>
        <w:snapToGrid w:val="0"/>
        <w:spacing w:before="0"/>
        <w:ind w:left="120"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6.1已获取采购文件的潜在投标人，若有问题需要澄清，应于投标截止时间前，以书面形式向采购代理机构提出。</w:t>
      </w:r>
    </w:p>
    <w:p w14:paraId="4B4352BF">
      <w:pPr>
        <w:pStyle w:val="131"/>
        <w:snapToGrid w:val="0"/>
        <w:spacing w:before="0"/>
        <w:ind w:left="120"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 采购代理机构对采购文件进行澄清或修改的，将同时通过电子交易平台通知已获取采购文件的潜在投标人。依法应当公告的，将按规定公告，同时视情况延长投标截止时间和开标时间。该澄清或者修改的内容为采购文件的组成部分。</w:t>
      </w:r>
    </w:p>
    <w:p w14:paraId="70CA446C">
      <w:pPr>
        <w:pStyle w:val="24"/>
        <w:ind w:left="120" w:firstLine="22"/>
        <w:rPr>
          <w:rFonts w:hint="eastAsia" w:hAnsi="宋体" w:cs="宋体"/>
          <w:color w:val="000000" w:themeColor="text1"/>
          <w:sz w:val="18"/>
          <w:szCs w:val="18"/>
          <w:lang w:val="en-US"/>
          <w14:textFill>
            <w14:solidFill>
              <w14:schemeClr w14:val="tx1"/>
            </w14:solidFill>
          </w14:textFill>
        </w:rPr>
      </w:pPr>
      <w:r>
        <w:rPr>
          <w:rFonts w:hint="eastAsia" w:hAnsi="宋体" w:cs="宋体"/>
          <w:color w:val="000000" w:themeColor="text1"/>
          <w:szCs w:val="24"/>
          <w:lang w:val="en-US"/>
          <w14:textFill>
            <w14:solidFill>
              <w14:schemeClr w14:val="tx1"/>
            </w14:solidFill>
          </w14:textFill>
        </w:rPr>
        <w:t xml:space="preserve">    </w:t>
      </w:r>
    </w:p>
    <w:p w14:paraId="1AAFD7AD">
      <w:pPr>
        <w:pStyle w:val="34"/>
        <w:spacing w:line="360" w:lineRule="auto"/>
        <w:ind w:left="120" w:firstLine="22"/>
        <w:outlineLvl w:val="2"/>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7.开标前答疑会或现场考察</w:t>
      </w:r>
    </w:p>
    <w:p w14:paraId="66F1C5D0">
      <w:pPr>
        <w:pStyle w:val="34"/>
        <w:spacing w:line="360" w:lineRule="auto"/>
        <w:ind w:left="120"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643E9EB7">
      <w:pPr>
        <w:adjustRightInd/>
        <w:spacing w:line="360" w:lineRule="auto"/>
        <w:ind w:left="120" w:firstLine="22"/>
        <w:jc w:val="center"/>
        <w:outlineLvl w:val="1"/>
        <w:rPr>
          <w:rFonts w:hint="eastAsia" w:ascii="宋体" w:hAnsi="宋体" w:cs="宋体"/>
          <w:b/>
          <w:color w:val="000000" w:themeColor="text1"/>
          <w:sz w:val="30"/>
          <w:szCs w:val="20"/>
          <w14:textFill>
            <w14:solidFill>
              <w14:schemeClr w14:val="tx1"/>
            </w14:solidFill>
          </w14:textFill>
        </w:rPr>
      </w:pPr>
      <w:r>
        <w:rPr>
          <w:rFonts w:hint="eastAsia" w:ascii="宋体" w:hAnsi="宋体" w:cs="宋体"/>
          <w:b/>
          <w:color w:val="000000" w:themeColor="text1"/>
          <w:sz w:val="30"/>
          <w:szCs w:val="20"/>
          <w14:textFill>
            <w14:solidFill>
              <w14:schemeClr w14:val="tx1"/>
            </w14:solidFill>
          </w14:textFill>
        </w:rPr>
        <w:t>三、投标</w:t>
      </w:r>
    </w:p>
    <w:p w14:paraId="515BD0BC">
      <w:pPr>
        <w:pStyle w:val="34"/>
        <w:spacing w:line="360" w:lineRule="auto"/>
        <w:ind w:left="120" w:firstLine="22"/>
        <w:outlineLvl w:val="2"/>
        <w:rPr>
          <w:rFonts w:hint="eastAsia" w:hAnsi="宋体" w:cs="宋体"/>
          <w:b/>
          <w:color w:val="000000" w:themeColor="text1"/>
          <w:sz w:val="24"/>
          <w:szCs w:val="24"/>
          <w:lang w:val="zh-CN"/>
          <w14:textFill>
            <w14:solidFill>
              <w14:schemeClr w14:val="tx1"/>
            </w14:solidFill>
          </w14:textFill>
        </w:rPr>
      </w:pPr>
      <w:r>
        <w:rPr>
          <w:rFonts w:hint="eastAsia" w:hAnsi="宋体" w:cs="宋体"/>
          <w:b/>
          <w:color w:val="000000" w:themeColor="text1"/>
          <w:sz w:val="24"/>
          <w:szCs w:val="24"/>
          <w14:textFill>
            <w14:solidFill>
              <w14:schemeClr w14:val="tx1"/>
            </w14:solidFill>
          </w14:textFill>
        </w:rPr>
        <w:t>8</w:t>
      </w:r>
      <w:r>
        <w:rPr>
          <w:rFonts w:hint="eastAsia" w:hAnsi="宋体" w:cs="宋体"/>
          <w:b/>
          <w:color w:val="000000" w:themeColor="text1"/>
          <w:sz w:val="24"/>
          <w:szCs w:val="24"/>
          <w:lang w:val="zh-CN"/>
          <w14:textFill>
            <w14:solidFill>
              <w14:schemeClr w14:val="tx1"/>
            </w14:solidFill>
          </w14:textFill>
        </w:rPr>
        <w:t>. 采购文件的获取</w:t>
      </w:r>
    </w:p>
    <w:p w14:paraId="4A63989C">
      <w:pPr>
        <w:spacing w:line="360" w:lineRule="auto"/>
        <w:ind w:left="120" w:firstLine="480" w:firstLineChars="200"/>
        <w:rPr>
          <w:rFonts w:hint="eastAsia"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详见招标公告中获取采购文件的时间期限、地点、方式及采购文件售价。</w:t>
      </w:r>
    </w:p>
    <w:p w14:paraId="69E26A1E">
      <w:pPr>
        <w:pStyle w:val="34"/>
        <w:spacing w:line="360" w:lineRule="auto"/>
        <w:ind w:left="120" w:firstLine="22"/>
        <w:outlineLvl w:val="2"/>
        <w:rPr>
          <w:rFonts w:hint="eastAsia" w:hAnsi="宋体" w:cs="宋体"/>
          <w:b/>
          <w:color w:val="000000" w:themeColor="text1"/>
          <w:szCs w:val="24"/>
          <w14:textFill>
            <w14:solidFill>
              <w14:schemeClr w14:val="tx1"/>
            </w14:solidFill>
          </w14:textFill>
        </w:rPr>
      </w:pPr>
      <w:r>
        <w:rPr>
          <w:rFonts w:hint="eastAsia" w:hAnsi="宋体" w:cs="宋体"/>
          <w:b/>
          <w:color w:val="000000" w:themeColor="text1"/>
          <w:kern w:val="28"/>
          <w:sz w:val="24"/>
          <w:szCs w:val="24"/>
          <w14:textFill>
            <w14:solidFill>
              <w14:schemeClr w14:val="tx1"/>
            </w14:solidFill>
          </w14:textFill>
        </w:rPr>
        <w:t>9.投标保证金</w:t>
      </w:r>
    </w:p>
    <w:p w14:paraId="2E0DEBBF">
      <w:pPr>
        <w:pStyle w:val="6"/>
        <w:spacing w:line="360" w:lineRule="auto"/>
        <w:ind w:left="120" w:firstLine="470" w:firstLineChars="196"/>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本项目不需缴纳投标保证金。</w:t>
      </w:r>
    </w:p>
    <w:p w14:paraId="6719D8F9">
      <w:pPr>
        <w:pStyle w:val="34"/>
        <w:spacing w:line="360" w:lineRule="auto"/>
        <w:ind w:left="120" w:firstLine="22"/>
        <w:outlineLvl w:val="2"/>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10. 投标文件的语言</w:t>
      </w:r>
    </w:p>
    <w:p w14:paraId="65A5B972">
      <w:pPr>
        <w:autoSpaceDE w:val="0"/>
        <w:autoSpaceDN w:val="0"/>
        <w:spacing w:line="360" w:lineRule="auto"/>
        <w:ind w:left="120"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投标文件及投标人与采购有关的来往通知、函件和文件均应使用中文。</w:t>
      </w:r>
    </w:p>
    <w:p w14:paraId="21C84752">
      <w:pPr>
        <w:pStyle w:val="34"/>
        <w:spacing w:line="360" w:lineRule="auto"/>
        <w:ind w:left="120" w:firstLine="22"/>
        <w:outlineLvl w:val="2"/>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11. 投标文件的组成</w:t>
      </w:r>
    </w:p>
    <w:p w14:paraId="1B64E6C3">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hint="eastAsia" w:ascii="宋体" w:hAnsi="宋体" w:cs="宋体"/>
          <w:b/>
          <w:color w:val="000000" w:themeColor="text1"/>
          <w:sz w:val="24"/>
          <w14:textFill>
            <w14:solidFill>
              <w14:schemeClr w14:val="tx1"/>
            </w14:solidFill>
          </w14:textFill>
        </w:rPr>
        <w:t>资格文件</w:t>
      </w:r>
      <w:r>
        <w:rPr>
          <w:rFonts w:hint="eastAsia" w:ascii="宋体" w:hAnsi="宋体" w:cs="宋体"/>
          <w:color w:val="000000" w:themeColor="text1"/>
          <w:sz w:val="24"/>
          <w14:textFill>
            <w14:solidFill>
              <w14:schemeClr w14:val="tx1"/>
            </w14:solidFill>
          </w14:textFill>
        </w:rPr>
        <w:t>：</w:t>
      </w:r>
    </w:p>
    <w:p w14:paraId="08F595BE">
      <w:pPr>
        <w:snapToGrid w:val="0"/>
        <w:spacing w:line="360" w:lineRule="auto"/>
        <w:ind w:left="120"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11.1.1符合参加政府采购活动应当具备的一般条件的承诺函；</w:t>
      </w:r>
    </w:p>
    <w:p w14:paraId="507E57C4">
      <w:pPr>
        <w:snapToGrid w:val="0"/>
        <w:spacing w:line="360" w:lineRule="auto"/>
        <w:ind w:left="120"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1.1.2</w:t>
      </w:r>
      <w:r>
        <w:rPr>
          <w:rFonts w:hint="eastAsia" w:ascii="宋体" w:hAnsi="宋体" w:cs="宋体"/>
          <w:snapToGrid w:val="0"/>
          <w:color w:val="000000" w:themeColor="text1"/>
          <w:kern w:val="28"/>
          <w:sz w:val="24"/>
          <w:szCs w:val="20"/>
          <w14:textFill>
            <w14:solidFill>
              <w14:schemeClr w14:val="tx1"/>
            </w14:solidFill>
          </w14:textFill>
        </w:rPr>
        <w:t>联合协议（如果有)；</w:t>
      </w:r>
    </w:p>
    <w:p w14:paraId="19F9C775">
      <w:pPr>
        <w:snapToGrid w:val="0"/>
        <w:spacing w:line="360" w:lineRule="auto"/>
        <w:ind w:left="120"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1E659166">
      <w:pPr>
        <w:snapToGrid w:val="0"/>
        <w:spacing w:line="360" w:lineRule="auto"/>
        <w:ind w:left="120"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3987AAE1">
      <w:pPr>
        <w:snapToGrid w:val="0"/>
        <w:spacing w:line="360" w:lineRule="auto"/>
        <w:ind w:left="120"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14:paraId="24B355C1">
      <w:pPr>
        <w:snapToGrid w:val="0"/>
        <w:spacing w:line="360" w:lineRule="auto"/>
        <w:ind w:left="120"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11.2.1投标函；</w:t>
      </w:r>
      <w:r>
        <w:rPr>
          <w:rFonts w:hint="eastAsia" w:ascii="宋体" w:hAnsi="宋体" w:cs="宋体"/>
          <w:color w:val="000000" w:themeColor="text1"/>
          <w:sz w:val="24"/>
          <w:lang w:val="zh-CN"/>
          <w14:textFill>
            <w14:solidFill>
              <w14:schemeClr w14:val="tx1"/>
            </w14:solidFill>
          </w14:textFill>
        </w:rPr>
        <w:t xml:space="preserve"> </w:t>
      </w:r>
    </w:p>
    <w:p w14:paraId="0EED82B1">
      <w:pPr>
        <w:snapToGrid w:val="0"/>
        <w:spacing w:line="360" w:lineRule="auto"/>
        <w:ind w:left="120"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11.2.2授权委托书或法定代表人（单位负责人、自然人本人）身份证明；</w:t>
      </w:r>
    </w:p>
    <w:p w14:paraId="48BB6EE8">
      <w:pPr>
        <w:snapToGrid w:val="0"/>
        <w:spacing w:line="360" w:lineRule="auto"/>
        <w:ind w:left="120"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分包意向协议（如果有)；</w:t>
      </w:r>
    </w:p>
    <w:p w14:paraId="599A935F">
      <w:pPr>
        <w:snapToGrid w:val="0"/>
        <w:spacing w:line="360" w:lineRule="auto"/>
        <w:ind w:left="120"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14:paraId="1A147C3B">
      <w:pPr>
        <w:snapToGrid w:val="0"/>
        <w:spacing w:line="360" w:lineRule="auto"/>
        <w:ind w:left="120"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p>
    <w:p w14:paraId="1EEE994F">
      <w:pPr>
        <w:snapToGrid w:val="0"/>
        <w:spacing w:line="360" w:lineRule="auto"/>
        <w:ind w:left="120"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14:paraId="427C362E">
      <w:pPr>
        <w:snapToGrid w:val="0"/>
        <w:spacing w:line="360" w:lineRule="auto"/>
        <w:ind w:left="120"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14:paraId="32374B51">
      <w:pPr>
        <w:snapToGrid w:val="0"/>
        <w:spacing w:line="360" w:lineRule="auto"/>
        <w:ind w:left="120" w:firstLine="960" w:firstLineChars="4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14:paraId="0E513CA5">
      <w:pPr>
        <w:snapToGrid w:val="0"/>
        <w:spacing w:line="360" w:lineRule="auto"/>
        <w:ind w:left="120" w:firstLine="480" w:firstLineChars="200"/>
        <w:rPr>
          <w:rFonts w:hint="eastAsia" w:ascii="宋体" w:hAnsi="宋体" w:cs="宋体"/>
          <w:color w:val="000000" w:themeColor="text1"/>
          <w:sz w:val="24"/>
          <w:u w:val="single"/>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报价文件：</w:t>
      </w:r>
      <w:r>
        <w:rPr>
          <w:rFonts w:hint="eastAsia" w:ascii="宋体" w:hAnsi="宋体" w:cs="宋体"/>
          <w:color w:val="000000" w:themeColor="text1"/>
          <w:sz w:val="24"/>
          <w14:textFill>
            <w14:solidFill>
              <w14:schemeClr w14:val="tx1"/>
            </w14:solidFill>
          </w14:textFill>
        </w:rPr>
        <w:t xml:space="preserve"> </w:t>
      </w:r>
    </w:p>
    <w:p w14:paraId="5D902DBA">
      <w:pPr>
        <w:snapToGrid w:val="0"/>
        <w:spacing w:line="360" w:lineRule="auto"/>
        <w:ind w:left="120"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11.3.1开标一览表（报价表）；</w:t>
      </w:r>
    </w:p>
    <w:p w14:paraId="7F3723B7">
      <w:pPr>
        <w:pStyle w:val="2"/>
        <w:snapToGrid w:val="0"/>
        <w:ind w:left="120" w:firstLine="960" w:firstLineChars="400"/>
        <w:rPr>
          <w:rFonts w:hint="eastAsia" w:ascii="宋体" w:hAnsi="宋体" w:cs="宋体"/>
          <w:color w:val="000000" w:themeColor="text1"/>
          <w:sz w:val="24"/>
          <w14:textFill>
            <w14:solidFill>
              <w14:schemeClr w14:val="tx1"/>
            </w14:solidFill>
          </w14:textFill>
        </w:rPr>
      </w:pPr>
      <w:r>
        <w:rPr>
          <w:rFonts w:ascii="宋体" w:hAnsi="宋体" w:eastAsia="宋体" w:cs="宋体"/>
          <w:color w:val="000000" w:themeColor="text1"/>
          <w:kern w:val="2"/>
          <w:sz w:val="24"/>
          <w:szCs w:val="24"/>
          <w14:textFill>
            <w14:solidFill>
              <w14:schemeClr w14:val="tx1"/>
            </w14:solidFill>
          </w14:textFill>
        </w:rPr>
        <w:t>11.3.2</w:t>
      </w:r>
      <w:r>
        <w:rPr>
          <w:rFonts w:hint="eastAsia" w:ascii="宋体" w:hAnsi="宋体" w:eastAsia="宋体" w:cs="宋体"/>
          <w:color w:val="000000" w:themeColor="text1"/>
          <w:kern w:val="2"/>
          <w:sz w:val="24"/>
          <w:szCs w:val="24"/>
          <w14:textFill>
            <w14:solidFill>
              <w14:schemeClr w14:val="tx1"/>
            </w14:solidFill>
          </w14:textFill>
        </w:rPr>
        <w:t>中小企业声明函。</w:t>
      </w:r>
    </w:p>
    <w:p w14:paraId="016219F2">
      <w:pPr>
        <w:spacing w:line="360" w:lineRule="auto"/>
        <w:ind w:left="120" w:firstLine="723" w:firstLineChars="3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投标文件含有采购人不能接受的附加条件的，投标无效；</w:t>
      </w:r>
    </w:p>
    <w:p w14:paraId="2B8A1323">
      <w:pPr>
        <w:spacing w:line="360" w:lineRule="auto"/>
        <w:ind w:left="120" w:firstLine="723" w:firstLineChars="3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投标人提供虚假材料投标的，投标无效。</w:t>
      </w:r>
    </w:p>
    <w:p w14:paraId="6B0CDE5C">
      <w:pPr>
        <w:pStyle w:val="131"/>
        <w:snapToGrid w:val="0"/>
        <w:spacing w:before="0"/>
        <w:ind w:left="120" w:firstLine="482"/>
        <w:outlineLvl w:val="2"/>
        <w:rPr>
          <w:rFonts w:hint="eastAsia" w:ascii="宋体" w:hAnsi="宋体" w:cs="仿宋_GB2312"/>
          <w:b/>
          <w:bCs/>
          <w:color w:val="000000" w:themeColor="text1"/>
          <w:kern w:val="0"/>
          <w:szCs w:val="24"/>
          <w14:textFill>
            <w14:solidFill>
              <w14:schemeClr w14:val="tx1"/>
            </w14:solidFill>
          </w14:textFill>
        </w:rPr>
      </w:pPr>
      <w:r>
        <w:rPr>
          <w:rFonts w:hint="eastAsia" w:ascii="宋体" w:hAnsi="宋体" w:cs="仿宋_GB2312"/>
          <w:b/>
          <w:bCs/>
          <w:color w:val="000000" w:themeColor="text1"/>
          <w:kern w:val="0"/>
          <w:szCs w:val="24"/>
          <w14:textFill>
            <w14:solidFill>
              <w14:schemeClr w14:val="tx1"/>
            </w14:solidFill>
          </w14:textFill>
        </w:rPr>
        <w:t>投标人可事先在公开官网查询、核对相关证书和报告内容，确保投标（响应）文件资料准确无误。投标人应对投标文件中材料的真实性、合法性负责。</w:t>
      </w:r>
    </w:p>
    <w:p w14:paraId="67BB610C">
      <w:pPr>
        <w:pStyle w:val="131"/>
        <w:snapToGrid w:val="0"/>
        <w:spacing w:before="0"/>
        <w:ind w:left="120" w:firstLine="482"/>
        <w:outlineLvl w:val="2"/>
        <w:rPr>
          <w:rFonts w:hint="eastAsia"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12</w:t>
      </w:r>
      <w:r>
        <w:rPr>
          <w:rFonts w:hint="eastAsia" w:ascii="宋体" w:hAnsi="宋体" w:cs="宋体"/>
          <w:b/>
          <w:color w:val="000000" w:themeColor="text1"/>
          <w:kern w:val="0"/>
          <w:szCs w:val="24"/>
          <w:lang w:val="zh-CN"/>
          <w14:textFill>
            <w14:solidFill>
              <w14:schemeClr w14:val="tx1"/>
            </w14:solidFill>
          </w14:textFill>
        </w:rPr>
        <w:t xml:space="preserve">. </w:t>
      </w:r>
      <w:r>
        <w:rPr>
          <w:rFonts w:hint="eastAsia" w:ascii="宋体" w:hAnsi="宋体" w:cs="宋体"/>
          <w:b/>
          <w:color w:val="000000" w:themeColor="text1"/>
          <w:szCs w:val="24"/>
          <w14:textFill>
            <w14:solidFill>
              <w14:schemeClr w14:val="tx1"/>
            </w14:solidFill>
          </w14:textFill>
        </w:rPr>
        <w:t>投标文件的编制</w:t>
      </w:r>
    </w:p>
    <w:p w14:paraId="1A870811">
      <w:pPr>
        <w:spacing w:line="360" w:lineRule="auto"/>
        <w:ind w:left="120" w:firstLine="480"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12.1投标文件分为资格文件、商务技术文件、报价文件三部分。各投标人在编制投标文件时请按照采购文件第六部分规定的格式进行，混乱的编排导致投标文件被误读或评标委员会查找不到有效文件是投标人的风险。</w:t>
      </w:r>
    </w:p>
    <w:p w14:paraId="494D2D92">
      <w:pPr>
        <w:spacing w:line="360" w:lineRule="auto"/>
        <w:ind w:left="120"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12.2投标人进行电子投标应安装客户端软件—“政采云电子交易客户端”，并按照采购文件和电子交易平台的要求编制并加密投标文件。投标人未按规定加密的投标文件，电子交易平台将拒收并提示。</w:t>
      </w:r>
    </w:p>
    <w:p w14:paraId="30DA1920">
      <w:pPr>
        <w:spacing w:line="360" w:lineRule="auto"/>
        <w:ind w:left="120"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3A02A75C">
      <w:pPr>
        <w:snapToGrid w:val="0"/>
        <w:spacing w:line="360" w:lineRule="auto"/>
        <w:ind w:left="120" w:firstLine="22"/>
        <w:outlineLvl w:val="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13.投标文件的签署、盖章</w:t>
      </w:r>
    </w:p>
    <w:p w14:paraId="12DB39E2">
      <w:pPr>
        <w:pStyle w:val="131"/>
        <w:snapToGrid w:val="0"/>
        <w:spacing w:before="0"/>
        <w:ind w:left="120" w:firstLine="480"/>
        <w:rPr>
          <w:rFonts w:hint="eastAsia" w:ascii="宋体" w:hAnsi="宋体" w:cs="宋体"/>
          <w:b/>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13.1投标文件按照采购文件第六部分格式要</w:t>
      </w:r>
      <w:r>
        <w:rPr>
          <w:rFonts w:hint="eastAsia" w:ascii="宋体" w:hAnsi="宋体" w:cs="宋体"/>
          <w:color w:val="000000" w:themeColor="text1"/>
          <w14:textFill>
            <w14:solidFill>
              <w14:schemeClr w14:val="tx1"/>
            </w14:solidFill>
          </w14:textFill>
        </w:rPr>
        <w:t>求进行签署、盖章。</w:t>
      </w:r>
      <w:r>
        <w:rPr>
          <w:rFonts w:hint="eastAsia" w:ascii="宋体" w:hAnsi="宋体" w:cs="宋体"/>
          <w:b/>
          <w:color w:val="000000" w:themeColor="text1"/>
          <w14:textFill>
            <w14:solidFill>
              <w14:schemeClr w14:val="tx1"/>
            </w14:solidFill>
          </w14:textFill>
        </w:rPr>
        <w:t>▲投标人的投标文件未按照采购文件要求签署、盖章的，其投标无效</w:t>
      </w:r>
      <w:r>
        <w:rPr>
          <w:rFonts w:hint="eastAsia" w:ascii="宋体" w:hAnsi="宋体" w:cs="宋体"/>
          <w:color w:val="000000" w:themeColor="text1"/>
          <w:szCs w:val="24"/>
          <w14:textFill>
            <w14:solidFill>
              <w14:schemeClr w14:val="tx1"/>
            </w14:solidFill>
          </w14:textFill>
        </w:rPr>
        <w:t>。</w:t>
      </w:r>
    </w:p>
    <w:p w14:paraId="7F48552F">
      <w:pPr>
        <w:pStyle w:val="131"/>
        <w:snapToGrid w:val="0"/>
        <w:spacing w:before="0"/>
        <w:ind w:left="120"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14F8F439">
      <w:pPr>
        <w:pStyle w:val="131"/>
        <w:snapToGrid w:val="0"/>
        <w:spacing w:before="0"/>
        <w:ind w:left="120" w:firstLine="48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13.3采购文件对投标文件签署、盖章的要求适用于电子签名。</w:t>
      </w:r>
    </w:p>
    <w:p w14:paraId="2DBDE3D5">
      <w:pPr>
        <w:pStyle w:val="34"/>
        <w:spacing w:line="360" w:lineRule="auto"/>
        <w:ind w:left="120" w:firstLine="22"/>
        <w:outlineLvl w:val="2"/>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14. 投标文件的提交、补充、修改、撤回</w:t>
      </w:r>
    </w:p>
    <w:p w14:paraId="68DA33E6">
      <w:pPr>
        <w:pStyle w:val="131"/>
        <w:ind w:left="120" w:firstLine="48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605F060">
      <w:pPr>
        <w:pStyle w:val="131"/>
        <w:spacing w:before="0"/>
        <w:ind w:left="120" w:firstLine="48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7CE342FA">
      <w:pPr>
        <w:pStyle w:val="131"/>
        <w:spacing w:before="0"/>
        <w:ind w:left="120" w:firstLine="48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358D6230">
      <w:pPr>
        <w:pStyle w:val="34"/>
        <w:spacing w:line="360" w:lineRule="auto"/>
        <w:ind w:left="120" w:firstLine="22"/>
        <w:outlineLvl w:val="2"/>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15.备份投标文件</w:t>
      </w:r>
    </w:p>
    <w:p w14:paraId="0BFC9E89">
      <w:pPr>
        <w:pStyle w:val="34"/>
        <w:spacing w:line="360" w:lineRule="auto"/>
        <w:ind w:left="120" w:firstLine="360" w:firstLineChars="150"/>
        <w:rPr>
          <w:rFonts w:hint="eastAsia"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14:textFill>
            <w14:solidFill>
              <w14:schemeClr w14:val="tx1"/>
            </w14:solidFill>
          </w14:textFill>
        </w:rPr>
        <w:t>但采购人、采购代理机构不强制或变相强制投标人提交备份投标文件。</w:t>
      </w:r>
    </w:p>
    <w:p w14:paraId="755AB21A">
      <w:pPr>
        <w:pStyle w:val="34"/>
        <w:spacing w:line="360" w:lineRule="auto"/>
        <w:ind w:left="120" w:firstLine="480" w:firstLineChars="200"/>
        <w:rPr>
          <w:rFonts w:hint="eastAsia"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15.2备份投标文件须在“政采云投标客户端”制作生成，并储存在</w:t>
      </w:r>
      <w:r>
        <w:rPr>
          <w:rFonts w:hint="eastAsia" w:hAnsi="宋体" w:cs="宋体"/>
          <w:color w:val="000000" w:themeColor="text1"/>
          <w:sz w:val="24"/>
          <w14:textFill>
            <w14:solidFill>
              <w14:schemeClr w14:val="tx1"/>
            </w14:solidFill>
          </w14:textFill>
        </w:rPr>
        <w:t>DVD光盘等存储介质</w:t>
      </w:r>
      <w:r>
        <w:rPr>
          <w:rFonts w:hint="eastAsia" w:hAnsi="宋体" w:cs="宋体"/>
          <w:color w:val="000000" w:themeColor="text1"/>
          <w:sz w:val="24"/>
          <w:szCs w:val="24"/>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14:textFill>
            <w14:solidFill>
              <w14:schemeClr w14:val="tx1"/>
            </w14:solidFill>
          </w14:textFill>
        </w:rPr>
        <w:t>不符合上述制作、</w:t>
      </w:r>
      <w:r>
        <w:rPr>
          <w:rFonts w:hint="eastAsia" w:hAnsi="宋体" w:cs="宋体"/>
          <w:b/>
          <w:color w:val="000000" w:themeColor="text1"/>
          <w:sz w:val="24"/>
          <w:szCs w:val="24"/>
          <w14:textFill>
            <w14:solidFill>
              <w14:schemeClr w14:val="tx1"/>
            </w14:solidFill>
          </w14:textFill>
        </w:rPr>
        <w:t>存储、密封规定的备份投标文件将被视为无效或者被拒绝接收。</w:t>
      </w:r>
    </w:p>
    <w:p w14:paraId="336F8276">
      <w:pPr>
        <w:pStyle w:val="34"/>
        <w:spacing w:line="360" w:lineRule="auto"/>
        <w:ind w:left="120"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57ECBBD0">
      <w:pPr>
        <w:pStyle w:val="34"/>
        <w:spacing w:line="360" w:lineRule="auto"/>
        <w:ind w:left="120"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14:textFill>
            <w14:solidFill>
              <w14:schemeClr w14:val="tx1"/>
            </w14:solidFill>
          </w14:textFill>
        </w:rPr>
        <w:t>采购文件第二部分投标人须知前附表规定的备份投标文件送达地点；</w:t>
      </w:r>
      <w:r>
        <w:rPr>
          <w:rFonts w:hint="eastAsia" w:hAnsi="宋体" w:cs="宋体"/>
          <w:color w:val="000000" w:themeColor="text1"/>
          <w:sz w:val="24"/>
          <w:szCs w:val="24"/>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2FEDF753">
      <w:pPr>
        <w:pStyle w:val="34"/>
        <w:spacing w:line="360" w:lineRule="auto"/>
        <w:ind w:left="120" w:firstLine="479" w:firstLineChars="199"/>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15.5投标人仅提交备份投标文件，未在电子交易平台传输递交投标文件的，投标无效。</w:t>
      </w:r>
    </w:p>
    <w:p w14:paraId="5736000C">
      <w:pPr>
        <w:pStyle w:val="131"/>
        <w:spacing w:before="0"/>
        <w:ind w:left="120" w:firstLine="22" w:firstLineChars="0"/>
        <w:outlineLvl w:val="2"/>
        <w:rPr>
          <w:rFonts w:hint="eastAsia"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16.投标文件的无效处理</w:t>
      </w:r>
    </w:p>
    <w:p w14:paraId="4DAC9E7B">
      <w:pPr>
        <w:pStyle w:val="26"/>
        <w:spacing w:line="360" w:lineRule="auto"/>
        <w:ind w:left="120" w:firstLine="360" w:firstLineChars="150"/>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有采购文件第四部分</w:t>
      </w:r>
      <w:r>
        <w:rPr>
          <w:rFonts w:cs="宋体"/>
          <w:color w:val="000000" w:themeColor="text1"/>
          <w:szCs w:val="21"/>
          <w14:textFill>
            <w14:solidFill>
              <w14:schemeClr w14:val="tx1"/>
            </w14:solidFill>
          </w14:textFill>
        </w:rPr>
        <w:t>4.2规定</w:t>
      </w:r>
      <w:r>
        <w:rPr>
          <w:rFonts w:hint="eastAsia" w:cs="宋体"/>
          <w:color w:val="000000" w:themeColor="text1"/>
          <w:szCs w:val="21"/>
          <w14:textFill>
            <w14:solidFill>
              <w14:schemeClr w14:val="tx1"/>
            </w14:solidFill>
          </w14:textFill>
        </w:rPr>
        <w:t>的情形之一的，投标无效：</w:t>
      </w:r>
    </w:p>
    <w:p w14:paraId="7248B184">
      <w:pPr>
        <w:pStyle w:val="131"/>
        <w:spacing w:before="0"/>
        <w:ind w:left="120" w:firstLine="22" w:firstLineChars="0"/>
        <w:outlineLvl w:val="2"/>
        <w:rPr>
          <w:rFonts w:hint="eastAsia"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17.投标有效期</w:t>
      </w:r>
    </w:p>
    <w:p w14:paraId="69CF172D">
      <w:pPr>
        <w:spacing w:line="360" w:lineRule="auto"/>
        <w:ind w:left="120" w:firstLine="480" w:firstLineChars="200"/>
        <w:rPr>
          <w:rFonts w:hint="eastAsia" w:ascii="宋体" w:hAnsi="宋体" w:cs="宋体"/>
          <w:b/>
          <w:color w:val="000000" w:themeColor="text1"/>
          <w:sz w:val="24"/>
          <w:szCs w:val="21"/>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14:textFill>
            <w14:solidFill>
              <w14:schemeClr w14:val="tx1"/>
            </w14:solidFill>
          </w14:textFill>
        </w:rPr>
        <w:t>投标人的投标文件中承</w:t>
      </w:r>
      <w:r>
        <w:rPr>
          <w:rFonts w:hint="eastAsia" w:ascii="宋体" w:hAnsi="宋体" w:cs="宋体"/>
          <w:b/>
          <w:color w:val="000000" w:themeColor="text1"/>
          <w:sz w:val="24"/>
          <w:szCs w:val="21"/>
          <w14:textFill>
            <w14:solidFill>
              <w14:schemeClr w14:val="tx1"/>
            </w14:solidFill>
          </w14:textFill>
        </w:rPr>
        <w:t>诺的投标有效期少于采购文件中载明的投标有效期的，投标无效。</w:t>
      </w:r>
    </w:p>
    <w:p w14:paraId="48B90DDC">
      <w:pPr>
        <w:pStyle w:val="131"/>
        <w:spacing w:before="0"/>
        <w:ind w:left="120"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17.2投标文件合格投递后，自投标截止日期起，在投标有效期内有效。</w:t>
      </w:r>
    </w:p>
    <w:p w14:paraId="7E559C11">
      <w:pPr>
        <w:pStyle w:val="131"/>
        <w:spacing w:before="0"/>
        <w:ind w:left="120"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35512EA3">
      <w:pPr>
        <w:pStyle w:val="131"/>
        <w:spacing w:before="0"/>
        <w:ind w:left="120" w:firstLine="643"/>
        <w:rPr>
          <w:rFonts w:hint="eastAsia" w:ascii="宋体" w:hAnsi="宋体" w:cs="宋体"/>
          <w:b/>
          <w:color w:val="000000" w:themeColor="text1"/>
          <w:sz w:val="32"/>
          <w14:textFill>
            <w14:solidFill>
              <w14:schemeClr w14:val="tx1"/>
            </w14:solidFill>
          </w14:textFill>
        </w:rPr>
      </w:pPr>
    </w:p>
    <w:p w14:paraId="067703CD">
      <w:pPr>
        <w:pStyle w:val="131"/>
        <w:spacing w:before="0"/>
        <w:ind w:left="120" w:firstLine="1928" w:firstLineChars="600"/>
        <w:outlineLvl w:val="1"/>
        <w:rPr>
          <w:rFonts w:hint="eastAsia"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四、开标、资格审查与信用信息查询</w:t>
      </w:r>
    </w:p>
    <w:p w14:paraId="1ED9881F">
      <w:pPr>
        <w:pStyle w:val="557"/>
        <w:spacing w:before="0" w:line="360" w:lineRule="auto"/>
        <w:ind w:left="0" w:firstLine="241" w:firstLineChars="100"/>
        <w:contextualSpacing/>
        <w:outlineLvl w:val="2"/>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18.开标</w:t>
      </w:r>
      <w:r>
        <w:rPr>
          <w:rFonts w:hint="eastAsia" w:ascii="宋体" w:hAnsi="宋体" w:cs="宋体"/>
          <w:color w:val="000000" w:themeColor="text1"/>
          <w:sz w:val="24"/>
          <w14:textFill>
            <w14:solidFill>
              <w14:schemeClr w14:val="tx1"/>
            </w14:solidFill>
          </w14:textFill>
        </w:rPr>
        <w:t xml:space="preserve"> </w:t>
      </w:r>
    </w:p>
    <w:p w14:paraId="1A47CD07">
      <w:pPr>
        <w:pStyle w:val="557"/>
        <w:spacing w:before="0" w:line="360" w:lineRule="auto"/>
        <w:ind w:left="0"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18.1采购代理机构按照采购文件规定的时间通过电子交易平台组织开标，所有投标人均应当准时在线参加。投标人不足3家的，不得开标。</w:t>
      </w:r>
    </w:p>
    <w:p w14:paraId="4F914F1F">
      <w:pPr>
        <w:pStyle w:val="557"/>
        <w:spacing w:before="0" w:line="360" w:lineRule="auto"/>
        <w:ind w:left="0" w:firstLine="240" w:firstLineChars="1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18.2开标时，电子交易平台按开标时间自动提取所有投标文件。采购代理机构依托电子交易平台发起开始解密指令，投标人按照平台提示和采购文件的规定在半小时内完成在线解密。</w:t>
      </w:r>
    </w:p>
    <w:p w14:paraId="14954057">
      <w:pPr>
        <w:pStyle w:val="557"/>
        <w:spacing w:before="0" w:line="360" w:lineRule="auto"/>
        <w:ind w:left="0" w:firstLine="240" w:firstLineChars="100"/>
        <w:contextualSpacing/>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18.3</w:t>
      </w:r>
      <w:r>
        <w:rPr>
          <w:rFonts w:hint="eastAsia" w:ascii="宋体" w:hAnsi="宋体" w:cs="宋体"/>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3CD2088C">
      <w:pPr>
        <w:pStyle w:val="557"/>
        <w:spacing w:before="0" w:line="360" w:lineRule="auto"/>
        <w:ind w:left="0" w:firstLine="22"/>
        <w:contextualSpacing/>
        <w:outlineLvl w:val="2"/>
        <w:rPr>
          <w:rFonts w:hint="eastAsia" w:ascii="宋体" w:hAnsi="宋体" w:cs="宋体"/>
          <w:b/>
          <w:color w:val="000000" w:themeColor="text1"/>
          <w:sz w:val="24"/>
          <w:szCs w:val="24"/>
          <w14:textFill>
            <w14:solidFill>
              <w14:schemeClr w14:val="tx1"/>
            </w14:solidFill>
          </w14:textFill>
        </w:rPr>
      </w:pPr>
      <w:r>
        <w:rPr>
          <w:rFonts w:ascii="宋体" w:hAnsi="宋体" w:cs="宋体"/>
          <w:b/>
          <w:color w:val="000000" w:themeColor="text1"/>
          <w:sz w:val="24"/>
          <w:szCs w:val="24"/>
          <w14:textFill>
            <w14:solidFill>
              <w14:schemeClr w14:val="tx1"/>
            </w14:solidFill>
          </w14:textFill>
        </w:rPr>
        <w:t>19、资格审查</w:t>
      </w:r>
    </w:p>
    <w:p w14:paraId="609EAC83">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19.1</w:t>
      </w:r>
      <w:r>
        <w:rPr>
          <w:rFonts w:hint="eastAsia" w:ascii="宋体" w:hAnsi="宋体" w:cs="宋体"/>
          <w:color w:val="000000" w:themeColor="text1"/>
          <w:sz w:val="24"/>
          <w14:textFill>
            <w14:solidFill>
              <w14:schemeClr w14:val="tx1"/>
            </w14:solidFill>
          </w14:textFill>
        </w:rPr>
        <w:t>采购人或采购代理机构依据法律法规和采购文件的规定，对投标人的资格进行审查。</w:t>
      </w:r>
    </w:p>
    <w:p w14:paraId="424D0CA2">
      <w:pPr>
        <w:pStyle w:val="131"/>
        <w:spacing w:before="0"/>
        <w:ind w:left="120"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19.2投标人未按照采购文件要求提供与</w:t>
      </w:r>
      <w:r>
        <w:rPr>
          <w:rFonts w:hint="eastAsia" w:ascii="宋体" w:hAnsi="宋体" w:cs="宋体"/>
          <w:color w:val="000000" w:themeColor="text1"/>
          <w14:textFill>
            <w14:solidFill>
              <w14:schemeClr w14:val="tx1"/>
            </w14:solidFill>
          </w14:textFill>
        </w:rPr>
        <w:t>资格条件相应的</w:t>
      </w:r>
      <w:r>
        <w:rPr>
          <w:rFonts w:hint="eastAsia" w:ascii="宋体" w:hAnsi="宋体" w:cs="宋体"/>
          <w:color w:val="000000" w:themeColor="text1"/>
          <w:kern w:val="0"/>
          <w:szCs w:val="24"/>
          <w14:textFill>
            <w14:solidFill>
              <w14:schemeClr w14:val="tx1"/>
            </w14:solidFill>
          </w14:textFill>
        </w:rPr>
        <w:t>有效资格证明材料的，视为</w:t>
      </w:r>
      <w:r>
        <w:rPr>
          <w:rFonts w:hint="eastAsia" w:ascii="宋体" w:hAnsi="宋体" w:cs="宋体"/>
          <w:color w:val="000000" w:themeColor="text1"/>
          <w14:textFill>
            <w14:solidFill>
              <w14:schemeClr w14:val="tx1"/>
            </w14:solidFill>
          </w14:textFill>
        </w:rPr>
        <w:t>投标人不具备采购文件中规定的资格要求，其投标无效。</w:t>
      </w:r>
    </w:p>
    <w:p w14:paraId="20EA8409">
      <w:pPr>
        <w:pStyle w:val="131"/>
        <w:spacing w:before="0"/>
        <w:ind w:left="120"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3对未通过资格审查的投标人，采购人或采购代理机构告知其未通过的原因。</w:t>
      </w:r>
    </w:p>
    <w:p w14:paraId="5FD8174C">
      <w:pPr>
        <w:pStyle w:val="131"/>
        <w:spacing w:before="0"/>
        <w:ind w:left="120"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4合格投标人不足3家的，不再评标。</w:t>
      </w:r>
    </w:p>
    <w:p w14:paraId="0002AA23">
      <w:pPr>
        <w:pStyle w:val="131"/>
        <w:spacing w:before="0"/>
        <w:ind w:left="120" w:firstLine="22" w:firstLineChars="0"/>
        <w:outlineLvl w:val="2"/>
        <w:rPr>
          <w:rFonts w:hint="eastAsia"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20、信用信息查询</w:t>
      </w:r>
    </w:p>
    <w:p w14:paraId="0145A6EF">
      <w:pPr>
        <w:pStyle w:val="131"/>
        <w:spacing w:before="0"/>
        <w:ind w:firstLine="495" w:firstLineChars="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20.1信用信息查询渠道及截止时间：采购代理机构将在资格审查时通过“信用中国”网站(www.creditchina.gov.cn)、中国政府采购网(www.ccgp.gov.cn)渠道查询投标人的信用记录。</w:t>
      </w:r>
    </w:p>
    <w:p w14:paraId="6821C45D">
      <w:pPr>
        <w:pStyle w:val="131"/>
        <w:spacing w:before="0"/>
        <w:ind w:left="119"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14:paraId="72770B88">
      <w:pPr>
        <w:pStyle w:val="131"/>
        <w:spacing w:before="0"/>
        <w:ind w:left="119"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5C025452">
      <w:pPr>
        <w:pStyle w:val="131"/>
        <w:spacing w:before="0"/>
        <w:ind w:left="119"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14:textFill>
            <w14:solidFill>
              <w14:schemeClr w14:val="tx1"/>
            </w14:solidFill>
          </w14:textFill>
        </w:rPr>
        <w:t>。</w:t>
      </w:r>
    </w:p>
    <w:p w14:paraId="6069A7A0">
      <w:pPr>
        <w:pStyle w:val="131"/>
        <w:spacing w:before="0"/>
        <w:ind w:left="120" w:firstLine="22" w:firstLineChars="0"/>
        <w:rPr>
          <w:rFonts w:hint="eastAsia" w:ascii="宋体" w:hAnsi="宋体" w:cs="宋体"/>
          <w:color w:val="000000" w:themeColor="text1"/>
          <w:kern w:val="0"/>
          <w:szCs w:val="24"/>
          <w14:textFill>
            <w14:solidFill>
              <w14:schemeClr w14:val="tx1"/>
            </w14:solidFill>
          </w14:textFill>
        </w:rPr>
      </w:pPr>
    </w:p>
    <w:p w14:paraId="50509D29">
      <w:pPr>
        <w:snapToGrid w:val="0"/>
        <w:spacing w:line="360" w:lineRule="auto"/>
        <w:ind w:left="120" w:firstLine="22"/>
        <w:jc w:val="center"/>
        <w:outlineLvl w:val="1"/>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五、评标</w:t>
      </w:r>
    </w:p>
    <w:p w14:paraId="3FAA0749">
      <w:pPr>
        <w:spacing w:line="360" w:lineRule="auto"/>
        <w:ind w:left="120" w:firstLine="482" w:firstLineChars="200"/>
        <w:outlineLvl w:val="2"/>
        <w:rPr>
          <w:rFonts w:hint="eastAsia" w:ascii="宋体" w:hAnsi="宋体" w:cs="宋体"/>
          <w:b/>
          <w:color w:val="000000" w:themeColor="text1"/>
          <w:sz w:val="24"/>
          <w14:textFill>
            <w14:solidFill>
              <w14:schemeClr w14:val="tx1"/>
            </w14:solidFill>
          </w14:textFill>
        </w:rPr>
      </w:pPr>
      <w:bookmarkStart w:id="14" w:name="_Toc91899903"/>
      <w:r>
        <w:rPr>
          <w:rFonts w:hint="eastAsia" w:ascii="宋体" w:hAnsi="宋体" w:cs="宋体"/>
          <w:b/>
          <w:color w:val="000000" w:themeColor="text1"/>
          <w:sz w:val="24"/>
          <w14:textFill>
            <w14:solidFill>
              <w14:schemeClr w14:val="tx1"/>
            </w14:solidFill>
          </w14:textFill>
        </w:rPr>
        <w:t>21.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评标委员会将根据采购文件和有关规定，履行评标工作职责，并按照评标方法及评分标准，全面衡量各投标人对采购文件的响应情况。对实质上响应采购文件的投标人，按照评审因素的量化指标排出推荐中标的投标人的先后顺序，并按顺序提出授标建议。</w:t>
      </w:r>
      <w:r>
        <w:rPr>
          <w:rFonts w:hint="eastAsia" w:ascii="宋体" w:hAnsi="宋体" w:cs="宋体"/>
          <w:b/>
          <w:color w:val="000000" w:themeColor="text1"/>
          <w:sz w:val="24"/>
          <w14:textFill>
            <w14:solidFill>
              <w14:schemeClr w14:val="tx1"/>
            </w14:solidFill>
          </w14:textFill>
        </w:rPr>
        <w:t>详见采购文件第四部分评标办法。</w:t>
      </w:r>
    </w:p>
    <w:p w14:paraId="78E649BE">
      <w:pPr>
        <w:snapToGrid w:val="0"/>
        <w:spacing w:line="360" w:lineRule="auto"/>
        <w:ind w:left="120" w:firstLine="22"/>
        <w:jc w:val="center"/>
        <w:outlineLvl w:val="1"/>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六、定 标</w:t>
      </w:r>
    </w:p>
    <w:p w14:paraId="35A7F024">
      <w:pPr>
        <w:pStyle w:val="26"/>
        <w:spacing w:line="360" w:lineRule="auto"/>
        <w:ind w:left="479" w:hanging="479" w:hangingChars="199"/>
        <w:outlineLvl w:val="2"/>
        <w:rPr>
          <w:rFonts w:hint="eastAsia"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22. 确定中标供应商</w:t>
      </w:r>
    </w:p>
    <w:p w14:paraId="06B46122">
      <w:pPr>
        <w:pStyle w:val="131"/>
        <w:snapToGrid w:val="0"/>
        <w:spacing w:before="0"/>
        <w:ind w:left="120" w:firstLine="480"/>
        <w:rPr>
          <w:rFonts w:hint="eastAsia"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50FF16D7">
      <w:pPr>
        <w:pStyle w:val="131"/>
        <w:snapToGrid w:val="0"/>
        <w:spacing w:before="0"/>
        <w:ind w:left="120" w:firstLine="22" w:firstLineChars="0"/>
        <w:outlineLvl w:val="2"/>
        <w:rPr>
          <w:rFonts w:hint="eastAsia"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23. 中标通知与中标结果公告</w:t>
      </w:r>
    </w:p>
    <w:p w14:paraId="651C0680">
      <w:pPr>
        <w:pStyle w:val="131"/>
        <w:ind w:left="119"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7F3258E1">
      <w:pPr>
        <w:pStyle w:val="131"/>
        <w:ind w:left="119"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hint="eastAsia" w:ascii="宋体" w:hAnsi="宋体" w:cs="宋体"/>
          <w:color w:val="000000" w:themeColor="text1"/>
          <w:kern w:val="0"/>
          <w:szCs w:val="24"/>
          <w14:textFill>
            <w14:solidFill>
              <w14:schemeClr w14:val="tx1"/>
            </w14:solidFill>
          </w14:textFill>
        </w:rPr>
        <w:t>资格审查情况、评审专家抽取规则、符合性审查情况、</w:t>
      </w:r>
      <w:bookmarkEnd w:id="15"/>
      <w:r>
        <w:rPr>
          <w:rFonts w:hint="eastAsia" w:ascii="宋体" w:hAnsi="宋体" w:cs="宋体"/>
          <w:color w:val="000000" w:themeColor="text1"/>
          <w:kern w:val="0"/>
          <w:szCs w:val="24"/>
          <w14:textFill>
            <w14:solidFill>
              <w14:schemeClr w14:val="tx1"/>
            </w14:solidFill>
          </w14:textFill>
        </w:rPr>
        <w:t>未中标情况说明、中标公告期限以及评审专家名单、评分汇总及明细。</w:t>
      </w:r>
    </w:p>
    <w:p w14:paraId="49889DA8">
      <w:pPr>
        <w:pStyle w:val="131"/>
        <w:ind w:left="119"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23.3公告期限为1个工作日。</w:t>
      </w:r>
    </w:p>
    <w:p w14:paraId="191521DB">
      <w:pPr>
        <w:pStyle w:val="131"/>
        <w:snapToGrid w:val="0"/>
        <w:spacing w:before="0"/>
        <w:ind w:firstLine="480"/>
        <w:rPr>
          <w:rStyle w:val="79"/>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 xml:space="preserve">23.4 </w:t>
      </w:r>
      <w:r>
        <w:rPr>
          <w:rFonts w:hint="eastAsia" w:ascii="宋体" w:hAnsi="宋体" w:cs="宋体"/>
          <w:bCs/>
          <w:color w:val="000000" w:themeColor="text1"/>
          <w:szCs w:val="24"/>
          <w14:textFill>
            <w14:solidFill>
              <w14:schemeClr w14:val="tx1"/>
            </w14:solidFill>
          </w14:textFill>
        </w:rPr>
        <w:t>由于中标、成交供应商原因导致重新采购的，应当承担支付代理费和专家评审费等费用在内的赔偿责任。</w:t>
      </w:r>
    </w:p>
    <w:p w14:paraId="5AC090A5">
      <w:pPr>
        <w:snapToGrid w:val="0"/>
        <w:spacing w:line="360" w:lineRule="auto"/>
        <w:ind w:left="120" w:leftChars="57" w:firstLine="482" w:firstLineChars="150"/>
        <w:jc w:val="center"/>
        <w:outlineLvl w:val="1"/>
        <w:rPr>
          <w:rFonts w:hint="eastAsia"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七、合同授予</w:t>
      </w:r>
    </w:p>
    <w:p w14:paraId="2879EBB9">
      <w:pPr>
        <w:pStyle w:val="26"/>
        <w:spacing w:line="360" w:lineRule="auto"/>
        <w:ind w:left="479" w:hanging="479" w:hangingChars="199"/>
        <w:outlineLvl w:val="2"/>
        <w:rPr>
          <w:rFonts w:hint="eastAsia"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 xml:space="preserve">24. </w:t>
      </w:r>
      <w:r>
        <w:rPr>
          <w:rFonts w:hint="eastAsia" w:cs="宋体"/>
          <w:color w:val="000000" w:themeColor="text1"/>
          <w14:textFill>
            <w14:solidFill>
              <w14:schemeClr w14:val="tx1"/>
            </w14:solidFill>
          </w14:textFill>
        </w:rPr>
        <w:t>合同主要条款详见第五部分拟签订的合同文本。</w:t>
      </w:r>
    </w:p>
    <w:p w14:paraId="6854F39E">
      <w:pPr>
        <w:pStyle w:val="26"/>
        <w:spacing w:line="360" w:lineRule="auto"/>
        <w:ind w:left="479" w:hanging="479" w:hangingChars="199"/>
        <w:outlineLvl w:val="2"/>
        <w:rPr>
          <w:rFonts w:hint="eastAsia"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25. 合同的签订</w:t>
      </w:r>
    </w:p>
    <w:p w14:paraId="1E12E551">
      <w:pPr>
        <w:pStyle w:val="131"/>
        <w:ind w:left="119"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25.1 采购人与中标人应当通过电子交易平台在中标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F42400">
      <w:pPr>
        <w:pStyle w:val="131"/>
        <w:spacing w:before="0"/>
        <w:ind w:left="119"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1215EA19">
      <w:pPr>
        <w:pStyle w:val="131"/>
        <w:spacing w:before="0"/>
        <w:ind w:left="119"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25.3如签订合同并生效后，供应商无故拒绝或延期，除按照合同条款处理外，列入不良行为记录一次，并给予通报。</w:t>
      </w:r>
    </w:p>
    <w:p w14:paraId="6DC2693E">
      <w:pPr>
        <w:pStyle w:val="131"/>
        <w:spacing w:before="0"/>
        <w:ind w:left="119"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564C5726">
      <w:pPr>
        <w:pStyle w:val="131"/>
        <w:spacing w:before="0"/>
        <w:ind w:left="119"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25.5采购合同由采购人与中标供应商根据采购文件、投标文件等内容通过政府采购电子交易平台在线签订，自动备案。</w:t>
      </w:r>
    </w:p>
    <w:p w14:paraId="49B82EBC">
      <w:pPr>
        <w:pStyle w:val="26"/>
        <w:spacing w:line="360" w:lineRule="auto"/>
        <w:ind w:left="479" w:hanging="479" w:hangingChars="199"/>
        <w:outlineLvl w:val="2"/>
        <w:rPr>
          <w:rFonts w:hint="eastAsia"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26. 履约保证金</w:t>
      </w:r>
    </w:p>
    <w:p w14:paraId="39E5CBA6">
      <w:pPr>
        <w:pStyle w:val="131"/>
        <w:ind w:left="119"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FC2619E">
      <w:pPr>
        <w:pStyle w:val="131"/>
        <w:ind w:left="119"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1F27BAB9">
      <w:pPr>
        <w:pStyle w:val="26"/>
        <w:spacing w:line="360" w:lineRule="auto"/>
        <w:ind w:left="479" w:hanging="479" w:hangingChars="199"/>
        <w:outlineLvl w:val="2"/>
        <w:rPr>
          <w:rFonts w:hint="eastAsia"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27.预付款</w:t>
      </w:r>
    </w:p>
    <w:p w14:paraId="52331A41">
      <w:pPr>
        <w:pStyle w:val="131"/>
        <w:ind w:left="119"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采购人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采购人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0D8321A8">
      <w:pPr>
        <w:spacing w:line="360" w:lineRule="auto"/>
        <w:ind w:left="120" w:firstLine="22"/>
        <w:rPr>
          <w:rFonts w:hint="eastAsia" w:ascii="宋体" w:hAnsi="宋体" w:cs="宋体"/>
          <w:color w:val="000000" w:themeColor="text1"/>
          <w14:textFill>
            <w14:solidFill>
              <w14:schemeClr w14:val="tx1"/>
            </w14:solidFill>
          </w14:textFill>
        </w:rPr>
      </w:pPr>
    </w:p>
    <w:p w14:paraId="7AAEEF09">
      <w:pPr>
        <w:snapToGrid w:val="0"/>
        <w:spacing w:line="360" w:lineRule="auto"/>
        <w:ind w:left="120" w:firstLine="3357" w:firstLineChars="1045"/>
        <w:rPr>
          <w:rFonts w:hint="eastAsia" w:ascii="宋体" w:hAnsi="宋体" w:cs="宋体"/>
          <w:b/>
          <w:color w:val="000000" w:themeColor="text1"/>
          <w:sz w:val="32"/>
          <w14:textFill>
            <w14:solidFill>
              <w14:schemeClr w14:val="tx1"/>
            </w14:solidFill>
          </w14:textFill>
        </w:rPr>
      </w:pPr>
    </w:p>
    <w:p w14:paraId="241537A3">
      <w:pPr>
        <w:snapToGrid w:val="0"/>
        <w:spacing w:line="360" w:lineRule="auto"/>
        <w:ind w:left="120" w:firstLine="22"/>
        <w:jc w:val="center"/>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八、电子交易活动的中止</w:t>
      </w:r>
    </w:p>
    <w:p w14:paraId="5D043C5C">
      <w:pPr>
        <w:pStyle w:val="131"/>
        <w:snapToGrid w:val="0"/>
        <w:spacing w:before="0"/>
        <w:ind w:left="120" w:firstLine="22" w:firstLineChars="0"/>
        <w:outlineLvl w:val="2"/>
        <w:rPr>
          <w:rFonts w:hint="eastAsia" w:ascii="宋体" w:hAnsi="宋体" w:cs="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2</w:t>
      </w:r>
      <w:r>
        <w:rPr>
          <w:rFonts w:ascii="宋体" w:hAnsi="宋体" w:cs="宋体"/>
          <w:b/>
          <w:bCs/>
          <w:color w:val="000000" w:themeColor="text1"/>
          <w:szCs w:val="24"/>
          <w14:textFill>
            <w14:solidFill>
              <w14:schemeClr w14:val="tx1"/>
            </w14:solidFill>
          </w14:textFill>
        </w:rPr>
        <w:t>8</w:t>
      </w:r>
      <w:r>
        <w:rPr>
          <w:rFonts w:hint="eastAsia" w:ascii="宋体" w:hAnsi="宋体" w:cs="宋体"/>
          <w:b/>
          <w:color w:val="000000" w:themeColor="text1"/>
          <w:szCs w:val="24"/>
          <w14:textFill>
            <w14:solidFill>
              <w14:schemeClr w14:val="tx1"/>
            </w14:solidFill>
          </w14:textFill>
        </w:rPr>
        <w:t>. 电子交易活动的中止。</w:t>
      </w:r>
      <w:r>
        <w:rPr>
          <w:rFonts w:hint="eastAsia"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采购过程中出现以下情形，导致电子交易平台无法正常运行，或者无法保证电子交易的公平、公正和安全时，采购代理机构可中止电子交易活动：</w:t>
      </w:r>
    </w:p>
    <w:p w14:paraId="068C6E97">
      <w:pPr>
        <w:pStyle w:val="131"/>
        <w:snapToGrid w:val="0"/>
        <w:spacing w:before="0"/>
        <w:ind w:left="120"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28.1电子交易平台发生故障而无法登录访问的； </w:t>
      </w:r>
    </w:p>
    <w:p w14:paraId="547B502D">
      <w:pPr>
        <w:pStyle w:val="131"/>
        <w:snapToGrid w:val="0"/>
        <w:spacing w:before="0"/>
        <w:ind w:left="120"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28.2电子交易平台应用或数据库出现错误，不能进行正常操作的；</w:t>
      </w:r>
    </w:p>
    <w:p w14:paraId="19BFA677">
      <w:pPr>
        <w:pStyle w:val="131"/>
        <w:snapToGrid w:val="0"/>
        <w:spacing w:before="0"/>
        <w:ind w:left="120"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28.3电子交易平台发现严重安全漏洞，有潜在泄密危险的；</w:t>
      </w:r>
    </w:p>
    <w:p w14:paraId="6861EE15">
      <w:pPr>
        <w:pStyle w:val="131"/>
        <w:snapToGrid w:val="0"/>
        <w:spacing w:before="0"/>
        <w:ind w:left="120"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28.4病毒发作导致不能进行正常操作的； </w:t>
      </w:r>
    </w:p>
    <w:p w14:paraId="0FF78714">
      <w:pPr>
        <w:pStyle w:val="131"/>
        <w:snapToGrid w:val="0"/>
        <w:spacing w:before="0"/>
        <w:ind w:left="120"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28.5其他无法保证电子交易的公平、公正和安全的情况。</w:t>
      </w:r>
    </w:p>
    <w:p w14:paraId="2605CFE0">
      <w:pPr>
        <w:pStyle w:val="131"/>
        <w:snapToGrid w:val="0"/>
        <w:spacing w:before="0"/>
        <w:ind w:left="120" w:firstLine="22" w:firstLineChars="0"/>
        <w:outlineLvl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29.出现以上情形，不影响采购公平、公正性的，采购组织机构可以待上述情形消除后继续组织电子交易活动，也可以决定某些环节以纸质形式进行；影响或可能影响采购公平、公正性的，应当重新采购。</w:t>
      </w:r>
    </w:p>
    <w:p w14:paraId="48049466">
      <w:pPr>
        <w:tabs>
          <w:tab w:val="left" w:pos="0"/>
        </w:tabs>
        <w:spacing w:line="360" w:lineRule="auto"/>
        <w:ind w:left="120" w:firstLine="22"/>
        <w:rPr>
          <w:rFonts w:hint="eastAsia" w:ascii="宋体" w:hAnsi="宋体" w:cs="宋体"/>
          <w:color w:val="000000" w:themeColor="text1"/>
          <w:sz w:val="24"/>
          <w14:textFill>
            <w14:solidFill>
              <w14:schemeClr w14:val="tx1"/>
            </w14:solidFill>
          </w14:textFill>
        </w:rPr>
      </w:pPr>
    </w:p>
    <w:p w14:paraId="72BDE697">
      <w:pPr>
        <w:snapToGrid w:val="0"/>
        <w:spacing w:line="360" w:lineRule="auto"/>
        <w:ind w:left="120" w:leftChars="57" w:firstLine="482" w:firstLineChars="150"/>
        <w:jc w:val="center"/>
        <w:outlineLvl w:val="1"/>
        <w:rPr>
          <w:rFonts w:hint="eastAsia"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九、验收</w:t>
      </w:r>
    </w:p>
    <w:p w14:paraId="7A443161">
      <w:pPr>
        <w:pStyle w:val="26"/>
        <w:spacing w:line="360" w:lineRule="auto"/>
        <w:ind w:left="120" w:firstLine="22" w:firstLineChars="0"/>
        <w:outlineLvl w:val="2"/>
        <w:rPr>
          <w:rFonts w:hint="eastAsia"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30.验收</w:t>
      </w:r>
    </w:p>
    <w:p w14:paraId="25274044">
      <w:pPr>
        <w:tabs>
          <w:tab w:val="left" w:pos="0"/>
        </w:tabs>
        <w:spacing w:line="360" w:lineRule="auto"/>
        <w:ind w:left="120"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DD92513">
      <w:pPr>
        <w:tabs>
          <w:tab w:val="left" w:pos="0"/>
        </w:tabs>
        <w:spacing w:line="360" w:lineRule="auto"/>
        <w:ind w:left="120"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3E7048D5">
      <w:pPr>
        <w:tabs>
          <w:tab w:val="left" w:pos="0"/>
        </w:tabs>
        <w:spacing w:line="360" w:lineRule="auto"/>
        <w:ind w:left="120"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4A6E1D3">
      <w:pPr>
        <w:tabs>
          <w:tab w:val="left" w:pos="0"/>
        </w:tabs>
        <w:spacing w:line="360" w:lineRule="auto"/>
        <w:ind w:left="120" w:firstLine="480" w:firstLineChars="200"/>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413262AC">
      <w:pPr>
        <w:pStyle w:val="4"/>
        <w:ind w:firstLine="480" w:firstLineChars="200"/>
        <w:rPr>
          <w:rFonts w:hint="eastAsia"/>
          <w:color w:val="000000" w:themeColor="text1"/>
          <w14:textFill>
            <w14:solidFill>
              <w14:schemeClr w14:val="tx1"/>
            </w14:solidFill>
          </w14:textFill>
        </w:rPr>
      </w:pPr>
      <w:bookmarkStart w:id="16" w:name="_Hlt74707468"/>
      <w:bookmarkEnd w:id="16"/>
      <w:bookmarkStart w:id="17" w:name="_Hlt68073093"/>
      <w:bookmarkEnd w:id="17"/>
      <w:bookmarkStart w:id="18" w:name="_Hlt68072998"/>
      <w:bookmarkEnd w:id="18"/>
      <w:bookmarkStart w:id="19" w:name="_Hlt74729768"/>
      <w:bookmarkEnd w:id="19"/>
      <w:bookmarkStart w:id="20" w:name="_Hlt74730295"/>
      <w:bookmarkEnd w:id="20"/>
      <w:bookmarkStart w:id="21" w:name="_Hlt74714665"/>
      <w:bookmarkEnd w:id="21"/>
      <w:bookmarkStart w:id="22" w:name="_Hlt75236290"/>
      <w:bookmarkEnd w:id="22"/>
      <w:bookmarkStart w:id="23" w:name="_Hlt68057669"/>
      <w:bookmarkEnd w:id="23"/>
      <w:bookmarkStart w:id="24" w:name="_Hlt68403820"/>
      <w:bookmarkEnd w:id="24"/>
      <w:bookmarkStart w:id="25" w:name="_Hlt75236101"/>
      <w:bookmarkEnd w:id="25"/>
      <w:bookmarkStart w:id="26" w:name="_Hlt68072990"/>
      <w:bookmarkEnd w:id="26"/>
      <w:bookmarkStart w:id="27" w:name="_Hlt75236011"/>
      <w:bookmarkEnd w:id="27"/>
      <w:r>
        <w:rPr>
          <w:rFonts w:hint="eastAsia" w:cs="宋体"/>
          <w:b w:val="0"/>
          <w:bCs w:val="0"/>
          <w:color w:val="000000" w:themeColor="text1"/>
          <w:kern w:val="0"/>
          <w:lang w:val="en-US"/>
          <w14:textFill>
            <w14:solidFill>
              <w14:schemeClr w14:val="tx1"/>
            </w14:solidFill>
          </w14:textFill>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500469D">
      <w:pPr>
        <w:tabs>
          <w:tab w:val="left" w:pos="0"/>
        </w:tabs>
        <w:spacing w:line="360" w:lineRule="auto"/>
        <w:ind w:left="120" w:firstLine="22"/>
        <w:rPr>
          <w:rFonts w:hint="eastAsia" w:ascii="宋体" w:hAnsi="宋体" w:cs="宋体"/>
          <w:color w:val="000000" w:themeColor="text1"/>
          <w:kern w:val="0"/>
          <w:sz w:val="24"/>
          <w14:textFill>
            <w14:solidFill>
              <w14:schemeClr w14:val="tx1"/>
            </w14:solidFill>
          </w14:textFill>
        </w:rPr>
        <w:sectPr>
          <w:headerReference r:id="rId6" w:type="first"/>
          <w:footerReference r:id="rId9" w:type="first"/>
          <w:headerReference r:id="rId5" w:type="default"/>
          <w:footerReference r:id="rId7" w:type="default"/>
          <w:footerReference r:id="rId8" w:type="even"/>
          <w:pgSz w:w="11906" w:h="16838"/>
          <w:pgMar w:top="680" w:right="1418" w:bottom="468" w:left="1418" w:header="851" w:footer="992" w:gutter="0"/>
          <w:cols w:space="720" w:num="1"/>
          <w:titlePg/>
          <w:docGrid w:linePitch="312" w:charSpace="0"/>
        </w:sectPr>
      </w:pPr>
    </w:p>
    <w:bookmarkEnd w:id="12"/>
    <w:bookmarkEnd w:id="13"/>
    <w:p w14:paraId="36A1BE9E">
      <w:pPr>
        <w:spacing w:line="360" w:lineRule="auto"/>
        <w:ind w:left="120" w:firstLine="22"/>
        <w:jc w:val="center"/>
        <w:outlineLvl w:val="0"/>
        <w:rPr>
          <w:rFonts w:hint="eastAsia" w:ascii="宋体" w:hAnsi="宋体" w:cs="宋体"/>
          <w:b/>
          <w:color w:val="000000" w:themeColor="text1"/>
          <w:sz w:val="36"/>
          <w:szCs w:val="36"/>
          <w14:textFill>
            <w14:solidFill>
              <w14:schemeClr w14:val="tx1"/>
            </w14:solidFill>
          </w14:textFill>
        </w:rPr>
      </w:pPr>
      <w:bookmarkStart w:id="28" w:name="第四部分"/>
      <w:r>
        <w:rPr>
          <w:rFonts w:hint="eastAsia" w:ascii="宋体" w:hAnsi="宋体" w:cs="宋体"/>
          <w:b/>
          <w:color w:val="000000" w:themeColor="text1"/>
          <w:sz w:val="36"/>
          <w:szCs w:val="36"/>
          <w14:textFill>
            <w14:solidFill>
              <w14:schemeClr w14:val="tx1"/>
            </w14:solidFill>
          </w14:textFill>
        </w:rPr>
        <w:t>第三部分   采购需求</w:t>
      </w:r>
    </w:p>
    <w:p w14:paraId="761A751C">
      <w:pPr>
        <w:pStyle w:val="4"/>
        <w:rPr>
          <w:rFonts w:hint="eastAsia"/>
          <w:color w:val="000000" w:themeColor="text1"/>
          <w14:textFill>
            <w14:solidFill>
              <w14:schemeClr w14:val="tx1"/>
            </w14:solidFill>
          </w14:textFill>
        </w:rPr>
      </w:pPr>
      <w:bookmarkStart w:id="29" w:name="_Toc24880"/>
      <w:bookmarkStart w:id="30" w:name="_Toc74212841"/>
      <w:bookmarkStart w:id="31" w:name="_Toc73972763"/>
      <w:bookmarkStart w:id="32" w:name="_Toc82944772"/>
      <w:bookmarkStart w:id="33" w:name="_Toc77068670"/>
      <w:bookmarkStart w:id="34" w:name="_Toc509753936"/>
      <w:bookmarkStart w:id="35" w:name="_Toc18516"/>
      <w:bookmarkStart w:id="36" w:name="_Toc22873"/>
      <w:bookmarkStart w:id="37" w:name="_Toc16588"/>
      <w:r>
        <w:rPr>
          <w:rFonts w:hint="eastAsia"/>
          <w:color w:val="000000" w:themeColor="text1"/>
          <w14:textFill>
            <w14:solidFill>
              <w14:schemeClr w14:val="tx1"/>
            </w14:solidFill>
          </w14:textFill>
        </w:rPr>
        <w:t>一、项目背景</w:t>
      </w:r>
      <w:bookmarkEnd w:id="29"/>
      <w:bookmarkEnd w:id="30"/>
      <w:bookmarkEnd w:id="31"/>
      <w:bookmarkEnd w:id="32"/>
      <w:bookmarkEnd w:id="33"/>
      <w:bookmarkEnd w:id="34"/>
    </w:p>
    <w:p w14:paraId="700B9879">
      <w:pPr>
        <w:spacing w:line="360" w:lineRule="auto"/>
        <w:ind w:firstLine="480"/>
        <w:rPr>
          <w:rFonts w:hint="eastAsia" w:ascii="宋体" w:hAnsi="宋体"/>
          <w:color w:val="000000" w:themeColor="text1"/>
          <w:sz w:val="24"/>
          <w14:textFill>
            <w14:solidFill>
              <w14:schemeClr w14:val="tx1"/>
            </w14:solidFill>
          </w14:textFill>
        </w:rPr>
      </w:pPr>
      <w:bookmarkStart w:id="38" w:name="_Toc82944773"/>
      <w:bookmarkStart w:id="39" w:name="_Toc5073"/>
      <w:r>
        <w:rPr>
          <w:rFonts w:hint="eastAsia" w:ascii="宋体" w:hAnsi="宋体"/>
          <w:color w:val="000000" w:themeColor="text1"/>
          <w:sz w:val="24"/>
          <w14:textFill>
            <w14:solidFill>
              <w14:schemeClr w14:val="tx1"/>
            </w14:solidFill>
          </w14:textFill>
        </w:rPr>
        <w:t>为展示数字化改革成果，提高市人大代表的“数字+”履职能力，拟为市第十四届人大代表提供电子阅文服务。通过“数字人大”电子阅文服务，提供一体化会议服务方案，满足市人大常委会等多级会议需求，解决会议用纸量大、印制费用高，耗费过多人力物力等多种问题，实现会议全数字化管理，有力保障会议质量和文稿安全。</w:t>
      </w:r>
    </w:p>
    <w:p w14:paraId="07E549FB">
      <w:pPr>
        <w:pStyle w:val="24"/>
        <w:ind w:firstLine="480" w:firstLineChars="200"/>
        <w:jc w:val="left"/>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2025至2026年电子阅文服务项目，服务期限2年。</w:t>
      </w:r>
    </w:p>
    <w:p w14:paraId="0253C494">
      <w:pPr>
        <w:pStyle w:val="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二、项目目标</w:t>
      </w:r>
      <w:bookmarkEnd w:id="38"/>
      <w:bookmarkEnd w:id="39"/>
    </w:p>
    <w:p w14:paraId="62A9238D">
      <w:pPr>
        <w:spacing w:line="360" w:lineRule="auto"/>
        <w:ind w:firstLine="56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为展示杭州市人大常委会的数字化改革成果，提高杭州市人大代表的“数字+”履职能力，拟为杭州市第十四届人大代表提供电子阅文服务，按照每年购买服务的形式进行，通过电子阅文服务，满足杭州市人大代表参加杭州市人代会、常委会、主任会议等多级会议需求，解决会议用纸量大、印制费用高，耗费过多人力物力等多种问题，实现会议全数字化管理，有力保障会议顺利进行。</w:t>
      </w:r>
    </w:p>
    <w:p w14:paraId="0DC5C480">
      <w:pPr>
        <w:spacing w:line="360" w:lineRule="auto"/>
        <w:ind w:firstLine="56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其主要设计思路如下：</w:t>
      </w:r>
    </w:p>
    <w:p w14:paraId="771018AC">
      <w:pPr>
        <w:spacing w:line="360" w:lineRule="auto"/>
        <w:ind w:firstLine="56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强安全：系统从登录、使用、资料防泄密、数据存储、数据传输和设备管制等方面做了全面设计，以此来保障数据的安全性。</w:t>
      </w:r>
    </w:p>
    <w:p w14:paraId="3F8F64D6">
      <w:pPr>
        <w:spacing w:line="360" w:lineRule="auto"/>
        <w:ind w:firstLine="56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易管理：所有用户端权限由服务端控制，通过系统预配置的相关策略就可以轻松实现所有终端的权限控制。</w:t>
      </w:r>
    </w:p>
    <w:p w14:paraId="7B1C4460">
      <w:pPr>
        <w:spacing w:line="360" w:lineRule="auto"/>
        <w:ind w:firstLine="56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易操作：系统根据参会人员的特征，在系统设计时遵从设计简约、交互简单、功能灵活的要求。</w:t>
      </w:r>
    </w:p>
    <w:p w14:paraId="06780087">
      <w:pPr>
        <w:spacing w:line="360" w:lineRule="auto"/>
        <w:outlineLvl w:val="1"/>
        <w:rPr>
          <w:rFonts w:hint="eastAsia" w:ascii="宋体" w:hAnsi="宋体"/>
          <w:color w:val="000000" w:themeColor="text1"/>
          <w:sz w:val="24"/>
          <w14:textFill>
            <w14:solidFill>
              <w14:schemeClr w14:val="tx1"/>
            </w14:solidFill>
          </w14:textFill>
        </w:rPr>
      </w:pPr>
      <w:bookmarkStart w:id="40" w:name="_Toc15937"/>
      <w:bookmarkStart w:id="41" w:name="_Toc82944771"/>
      <w:bookmarkStart w:id="42" w:name="_Hlk72355707"/>
      <w:bookmarkStart w:id="43" w:name="_Toc627343937"/>
      <w:bookmarkStart w:id="44" w:name="_Hlk105858395"/>
      <w:r>
        <w:rPr>
          <w:rFonts w:hint="eastAsia" w:ascii="宋体" w:hAnsi="宋体"/>
          <w:b/>
          <w:bCs/>
          <w:color w:val="000000" w:themeColor="text1"/>
          <w:sz w:val="24"/>
          <w14:textFill>
            <w14:solidFill>
              <w14:schemeClr w14:val="tx1"/>
            </w14:solidFill>
          </w14:textFill>
        </w:rPr>
        <w:t>三、</w:t>
      </w:r>
      <w:bookmarkStart w:id="45" w:name="_Toc3430"/>
      <w:r>
        <w:rPr>
          <w:rFonts w:hint="eastAsia" w:ascii="宋体" w:hAnsi="宋体"/>
          <w:b/>
          <w:bCs/>
          <w:color w:val="000000" w:themeColor="text1"/>
          <w:sz w:val="24"/>
          <w14:textFill>
            <w14:solidFill>
              <w14:schemeClr w14:val="tx1"/>
            </w14:solidFill>
          </w14:textFill>
        </w:rPr>
        <w:t>项目采购服务清单</w:t>
      </w:r>
      <w:bookmarkEnd w:id="40"/>
      <w:bookmarkEnd w:id="41"/>
      <w:bookmarkEnd w:id="45"/>
      <w:r>
        <w:rPr>
          <w:rFonts w:hint="eastAsia" w:ascii="宋体" w:hAnsi="宋体"/>
          <w:b/>
          <w:bCs/>
          <w:color w:val="000000" w:themeColor="text1"/>
          <w:sz w:val="24"/>
          <w14:textFill>
            <w14:solidFill>
              <w14:schemeClr w14:val="tx1"/>
            </w14:solidFill>
          </w14:textFill>
        </w:rPr>
        <w:t>（包括但不限于以下内容）</w:t>
      </w:r>
    </w:p>
    <w:tbl>
      <w:tblPr>
        <w:tblStyle w:val="63"/>
        <w:tblW w:w="840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696"/>
        <w:gridCol w:w="2682"/>
        <w:gridCol w:w="4567"/>
      </w:tblGrid>
      <w:tr w14:paraId="3C190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7" w:type="dxa"/>
            <w:shd w:val="clear" w:color="auto" w:fill="auto"/>
            <w:vAlign w:val="center"/>
          </w:tcPr>
          <w:p w14:paraId="44B8F304">
            <w:pPr>
              <w:widowControl/>
              <w:spacing w:line="360" w:lineRule="auto"/>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序号</w:t>
            </w:r>
          </w:p>
        </w:tc>
        <w:tc>
          <w:tcPr>
            <w:tcW w:w="696" w:type="dxa"/>
            <w:shd w:val="clear" w:color="auto" w:fill="auto"/>
            <w:vAlign w:val="center"/>
          </w:tcPr>
          <w:p w14:paraId="064FAE3C">
            <w:pPr>
              <w:widowControl/>
              <w:spacing w:line="360" w:lineRule="auto"/>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类型</w:t>
            </w:r>
          </w:p>
        </w:tc>
        <w:tc>
          <w:tcPr>
            <w:tcW w:w="2682" w:type="dxa"/>
            <w:shd w:val="clear" w:color="auto" w:fill="auto"/>
            <w:vAlign w:val="center"/>
          </w:tcPr>
          <w:p w14:paraId="39DBD5BD">
            <w:pPr>
              <w:widowControl/>
              <w:spacing w:line="360" w:lineRule="auto"/>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服务模块</w:t>
            </w:r>
          </w:p>
        </w:tc>
        <w:tc>
          <w:tcPr>
            <w:tcW w:w="4567" w:type="dxa"/>
            <w:shd w:val="clear" w:color="auto" w:fill="auto"/>
            <w:vAlign w:val="center"/>
          </w:tcPr>
          <w:p w14:paraId="41A3985D">
            <w:pPr>
              <w:widowControl/>
              <w:spacing w:line="360" w:lineRule="auto"/>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说明</w:t>
            </w:r>
          </w:p>
        </w:tc>
      </w:tr>
      <w:tr w14:paraId="3204B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7" w:type="dxa"/>
            <w:vMerge w:val="restart"/>
            <w:shd w:val="clear" w:color="auto" w:fill="auto"/>
            <w:vAlign w:val="center"/>
          </w:tcPr>
          <w:p w14:paraId="27182086">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c>
          <w:tcPr>
            <w:tcW w:w="696" w:type="dxa"/>
            <w:vMerge w:val="restart"/>
            <w:shd w:val="clear" w:color="auto" w:fill="auto"/>
            <w:vAlign w:val="center"/>
          </w:tcPr>
          <w:p w14:paraId="63A46C80">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电子阅文服务（会议服务）</w:t>
            </w:r>
          </w:p>
        </w:tc>
        <w:tc>
          <w:tcPr>
            <w:tcW w:w="2682" w:type="dxa"/>
            <w:shd w:val="clear" w:color="auto" w:fill="auto"/>
          </w:tcPr>
          <w:p w14:paraId="35E350B4">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用户体系管理</w:t>
            </w:r>
          </w:p>
        </w:tc>
        <w:tc>
          <w:tcPr>
            <w:tcW w:w="4567" w:type="dxa"/>
            <w:shd w:val="clear" w:color="auto" w:fill="auto"/>
          </w:tcPr>
          <w:p w14:paraId="6C9BD9F0">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会议系统用户管理</w:t>
            </w:r>
          </w:p>
        </w:tc>
      </w:tr>
      <w:tr w14:paraId="4D14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7" w:type="dxa"/>
            <w:vMerge w:val="continue"/>
            <w:shd w:val="clear" w:color="auto" w:fill="auto"/>
            <w:vAlign w:val="center"/>
          </w:tcPr>
          <w:p w14:paraId="78E63AE7">
            <w:pPr>
              <w:spacing w:line="360" w:lineRule="auto"/>
              <w:jc w:val="center"/>
              <w:rPr>
                <w:rFonts w:hint="eastAsia" w:ascii="宋体" w:hAnsi="宋体" w:cs="宋体"/>
                <w:color w:val="000000" w:themeColor="text1"/>
                <w:sz w:val="24"/>
                <w14:textFill>
                  <w14:solidFill>
                    <w14:schemeClr w14:val="tx1"/>
                  </w14:solidFill>
                </w14:textFill>
              </w:rPr>
            </w:pPr>
          </w:p>
        </w:tc>
        <w:tc>
          <w:tcPr>
            <w:tcW w:w="696" w:type="dxa"/>
            <w:vMerge w:val="continue"/>
            <w:shd w:val="clear" w:color="auto" w:fill="auto"/>
            <w:vAlign w:val="center"/>
          </w:tcPr>
          <w:p w14:paraId="336EAA5A">
            <w:pPr>
              <w:spacing w:line="360" w:lineRule="auto"/>
              <w:jc w:val="center"/>
              <w:rPr>
                <w:rFonts w:hint="eastAsia" w:ascii="宋体" w:hAnsi="宋体" w:cs="宋体"/>
                <w:color w:val="000000" w:themeColor="text1"/>
                <w:sz w:val="24"/>
                <w14:textFill>
                  <w14:solidFill>
                    <w14:schemeClr w14:val="tx1"/>
                  </w14:solidFill>
                </w14:textFill>
              </w:rPr>
            </w:pPr>
          </w:p>
        </w:tc>
        <w:tc>
          <w:tcPr>
            <w:tcW w:w="2682" w:type="dxa"/>
            <w:shd w:val="clear" w:color="auto" w:fill="auto"/>
          </w:tcPr>
          <w:p w14:paraId="378A110B">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角色权限管理</w:t>
            </w:r>
          </w:p>
        </w:tc>
        <w:tc>
          <w:tcPr>
            <w:tcW w:w="4567" w:type="dxa"/>
            <w:shd w:val="clear" w:color="auto" w:fill="auto"/>
          </w:tcPr>
          <w:p w14:paraId="46BC9E60">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会议系统用户的具体角色管理</w:t>
            </w:r>
          </w:p>
        </w:tc>
      </w:tr>
      <w:tr w14:paraId="6936E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7" w:type="dxa"/>
            <w:vMerge w:val="continue"/>
            <w:shd w:val="clear" w:color="auto" w:fill="auto"/>
            <w:vAlign w:val="center"/>
          </w:tcPr>
          <w:p w14:paraId="2A266A00">
            <w:pPr>
              <w:spacing w:line="360" w:lineRule="auto"/>
              <w:jc w:val="center"/>
              <w:rPr>
                <w:rFonts w:hint="eastAsia" w:ascii="宋体" w:hAnsi="宋体" w:cs="宋体"/>
                <w:color w:val="000000" w:themeColor="text1"/>
                <w:sz w:val="24"/>
                <w14:textFill>
                  <w14:solidFill>
                    <w14:schemeClr w14:val="tx1"/>
                  </w14:solidFill>
                </w14:textFill>
              </w:rPr>
            </w:pPr>
          </w:p>
        </w:tc>
        <w:tc>
          <w:tcPr>
            <w:tcW w:w="696" w:type="dxa"/>
            <w:vMerge w:val="continue"/>
            <w:shd w:val="clear" w:color="auto" w:fill="auto"/>
            <w:vAlign w:val="center"/>
          </w:tcPr>
          <w:p w14:paraId="1EBD54A6">
            <w:pPr>
              <w:spacing w:line="360" w:lineRule="auto"/>
              <w:jc w:val="center"/>
              <w:rPr>
                <w:rFonts w:hint="eastAsia" w:ascii="宋体" w:hAnsi="宋体" w:cs="宋体"/>
                <w:color w:val="000000" w:themeColor="text1"/>
                <w:sz w:val="24"/>
                <w14:textFill>
                  <w14:solidFill>
                    <w14:schemeClr w14:val="tx1"/>
                  </w14:solidFill>
                </w14:textFill>
              </w:rPr>
            </w:pPr>
          </w:p>
        </w:tc>
        <w:tc>
          <w:tcPr>
            <w:tcW w:w="2682" w:type="dxa"/>
            <w:shd w:val="clear" w:color="auto" w:fill="auto"/>
          </w:tcPr>
          <w:p w14:paraId="60652531">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账号密码登录</w:t>
            </w:r>
          </w:p>
        </w:tc>
        <w:tc>
          <w:tcPr>
            <w:tcW w:w="4567" w:type="dxa"/>
            <w:shd w:val="clear" w:color="auto" w:fill="auto"/>
          </w:tcPr>
          <w:p w14:paraId="2350AE2E">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通过账号密码认证用户，登录进入系统内</w:t>
            </w:r>
          </w:p>
        </w:tc>
      </w:tr>
      <w:tr w14:paraId="39149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7" w:type="dxa"/>
            <w:vMerge w:val="continue"/>
            <w:shd w:val="clear" w:color="auto" w:fill="auto"/>
            <w:vAlign w:val="center"/>
          </w:tcPr>
          <w:p w14:paraId="7AEF06CC">
            <w:pPr>
              <w:spacing w:line="360" w:lineRule="auto"/>
              <w:jc w:val="center"/>
              <w:rPr>
                <w:rFonts w:hint="eastAsia" w:ascii="宋体" w:hAnsi="宋体" w:cs="宋体"/>
                <w:color w:val="000000" w:themeColor="text1"/>
                <w:sz w:val="24"/>
                <w14:textFill>
                  <w14:solidFill>
                    <w14:schemeClr w14:val="tx1"/>
                  </w14:solidFill>
                </w14:textFill>
              </w:rPr>
            </w:pPr>
          </w:p>
        </w:tc>
        <w:tc>
          <w:tcPr>
            <w:tcW w:w="696" w:type="dxa"/>
            <w:vMerge w:val="continue"/>
            <w:shd w:val="clear" w:color="auto" w:fill="auto"/>
            <w:vAlign w:val="center"/>
          </w:tcPr>
          <w:p w14:paraId="3EE4C808">
            <w:pPr>
              <w:spacing w:line="360" w:lineRule="auto"/>
              <w:jc w:val="center"/>
              <w:rPr>
                <w:rFonts w:hint="eastAsia" w:ascii="宋体" w:hAnsi="宋体" w:cs="宋体"/>
                <w:color w:val="000000" w:themeColor="text1"/>
                <w:sz w:val="24"/>
                <w14:textFill>
                  <w14:solidFill>
                    <w14:schemeClr w14:val="tx1"/>
                  </w14:solidFill>
                </w14:textFill>
              </w:rPr>
            </w:pPr>
          </w:p>
        </w:tc>
        <w:tc>
          <w:tcPr>
            <w:tcW w:w="2682" w:type="dxa"/>
            <w:shd w:val="clear" w:color="auto" w:fill="auto"/>
          </w:tcPr>
          <w:p w14:paraId="69DAA190">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列席登录</w:t>
            </w:r>
          </w:p>
        </w:tc>
        <w:tc>
          <w:tcPr>
            <w:tcW w:w="4567" w:type="dxa"/>
            <w:shd w:val="clear" w:color="auto" w:fill="auto"/>
          </w:tcPr>
          <w:p w14:paraId="0374F62C">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支持未认证人员查看公开信息</w:t>
            </w:r>
          </w:p>
        </w:tc>
      </w:tr>
      <w:tr w14:paraId="6D7B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57" w:type="dxa"/>
            <w:vMerge w:val="continue"/>
            <w:shd w:val="clear" w:color="auto" w:fill="auto"/>
            <w:vAlign w:val="center"/>
          </w:tcPr>
          <w:p w14:paraId="65C4C76C">
            <w:pPr>
              <w:spacing w:line="360" w:lineRule="auto"/>
              <w:jc w:val="center"/>
              <w:rPr>
                <w:rFonts w:hint="eastAsia" w:ascii="宋体" w:hAnsi="宋体" w:cs="宋体"/>
                <w:color w:val="000000" w:themeColor="text1"/>
                <w:sz w:val="24"/>
                <w14:textFill>
                  <w14:solidFill>
                    <w14:schemeClr w14:val="tx1"/>
                  </w14:solidFill>
                </w14:textFill>
              </w:rPr>
            </w:pPr>
          </w:p>
        </w:tc>
        <w:tc>
          <w:tcPr>
            <w:tcW w:w="696" w:type="dxa"/>
            <w:vMerge w:val="continue"/>
            <w:shd w:val="clear" w:color="auto" w:fill="auto"/>
            <w:vAlign w:val="center"/>
          </w:tcPr>
          <w:p w14:paraId="4923592B">
            <w:pPr>
              <w:spacing w:line="360" w:lineRule="auto"/>
              <w:jc w:val="center"/>
              <w:rPr>
                <w:rFonts w:hint="eastAsia" w:ascii="宋体" w:hAnsi="宋体" w:cs="宋体"/>
                <w:color w:val="000000" w:themeColor="text1"/>
                <w:sz w:val="24"/>
                <w14:textFill>
                  <w14:solidFill>
                    <w14:schemeClr w14:val="tx1"/>
                  </w14:solidFill>
                </w14:textFill>
              </w:rPr>
            </w:pPr>
          </w:p>
        </w:tc>
        <w:tc>
          <w:tcPr>
            <w:tcW w:w="2682" w:type="dxa"/>
            <w:shd w:val="clear" w:color="auto" w:fill="auto"/>
          </w:tcPr>
          <w:p w14:paraId="6C20A5C7">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多类型会议</w:t>
            </w:r>
          </w:p>
        </w:tc>
        <w:tc>
          <w:tcPr>
            <w:tcW w:w="4567" w:type="dxa"/>
            <w:shd w:val="clear" w:color="auto" w:fill="auto"/>
          </w:tcPr>
          <w:p w14:paraId="3B84B75C">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支持人代会、常委会、主任会议、党组会等多种模式会议</w:t>
            </w:r>
          </w:p>
        </w:tc>
      </w:tr>
      <w:tr w14:paraId="04E0F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7" w:type="dxa"/>
            <w:vMerge w:val="continue"/>
            <w:shd w:val="clear" w:color="auto" w:fill="auto"/>
            <w:vAlign w:val="center"/>
          </w:tcPr>
          <w:p w14:paraId="239BAC2D">
            <w:pPr>
              <w:spacing w:line="360" w:lineRule="auto"/>
              <w:jc w:val="center"/>
              <w:rPr>
                <w:rFonts w:hint="eastAsia" w:ascii="宋体" w:hAnsi="宋体" w:cs="宋体"/>
                <w:color w:val="000000" w:themeColor="text1"/>
                <w:sz w:val="24"/>
                <w14:textFill>
                  <w14:solidFill>
                    <w14:schemeClr w14:val="tx1"/>
                  </w14:solidFill>
                </w14:textFill>
              </w:rPr>
            </w:pPr>
          </w:p>
        </w:tc>
        <w:tc>
          <w:tcPr>
            <w:tcW w:w="696" w:type="dxa"/>
            <w:vMerge w:val="continue"/>
            <w:shd w:val="clear" w:color="auto" w:fill="auto"/>
            <w:vAlign w:val="center"/>
          </w:tcPr>
          <w:p w14:paraId="2628EE20">
            <w:pPr>
              <w:spacing w:line="360" w:lineRule="auto"/>
              <w:jc w:val="center"/>
              <w:rPr>
                <w:rFonts w:hint="eastAsia" w:ascii="宋体" w:hAnsi="宋体" w:cs="宋体"/>
                <w:color w:val="000000" w:themeColor="text1"/>
                <w:sz w:val="24"/>
                <w14:textFill>
                  <w14:solidFill>
                    <w14:schemeClr w14:val="tx1"/>
                  </w14:solidFill>
                </w14:textFill>
              </w:rPr>
            </w:pPr>
          </w:p>
        </w:tc>
        <w:tc>
          <w:tcPr>
            <w:tcW w:w="2682" w:type="dxa"/>
            <w:shd w:val="clear" w:color="auto" w:fill="auto"/>
          </w:tcPr>
          <w:p w14:paraId="0B4408CF">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会议查看</w:t>
            </w:r>
          </w:p>
        </w:tc>
        <w:tc>
          <w:tcPr>
            <w:tcW w:w="4567" w:type="dxa"/>
            <w:shd w:val="clear" w:color="auto" w:fill="auto"/>
          </w:tcPr>
          <w:p w14:paraId="4C12B61B">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支持按分类查看会议信息</w:t>
            </w:r>
          </w:p>
        </w:tc>
      </w:tr>
      <w:tr w14:paraId="1340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7" w:type="dxa"/>
            <w:vMerge w:val="continue"/>
            <w:shd w:val="clear" w:color="auto" w:fill="auto"/>
            <w:vAlign w:val="center"/>
          </w:tcPr>
          <w:p w14:paraId="45D1BA6F">
            <w:pPr>
              <w:spacing w:line="360" w:lineRule="auto"/>
              <w:jc w:val="center"/>
              <w:rPr>
                <w:rFonts w:hint="eastAsia" w:ascii="宋体" w:hAnsi="宋体" w:cs="宋体"/>
                <w:color w:val="000000" w:themeColor="text1"/>
                <w:sz w:val="24"/>
                <w14:textFill>
                  <w14:solidFill>
                    <w14:schemeClr w14:val="tx1"/>
                  </w14:solidFill>
                </w14:textFill>
              </w:rPr>
            </w:pPr>
          </w:p>
        </w:tc>
        <w:tc>
          <w:tcPr>
            <w:tcW w:w="696" w:type="dxa"/>
            <w:vMerge w:val="continue"/>
            <w:shd w:val="clear" w:color="auto" w:fill="auto"/>
            <w:vAlign w:val="center"/>
          </w:tcPr>
          <w:p w14:paraId="19EA20F9">
            <w:pPr>
              <w:spacing w:line="360" w:lineRule="auto"/>
              <w:jc w:val="center"/>
              <w:rPr>
                <w:rFonts w:hint="eastAsia" w:ascii="宋体" w:hAnsi="宋体" w:cs="宋体"/>
                <w:color w:val="000000" w:themeColor="text1"/>
                <w:sz w:val="24"/>
                <w14:textFill>
                  <w14:solidFill>
                    <w14:schemeClr w14:val="tx1"/>
                  </w14:solidFill>
                </w14:textFill>
              </w:rPr>
            </w:pPr>
          </w:p>
        </w:tc>
        <w:tc>
          <w:tcPr>
            <w:tcW w:w="2682" w:type="dxa"/>
            <w:shd w:val="clear" w:color="auto" w:fill="auto"/>
          </w:tcPr>
          <w:p w14:paraId="45FFB278">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会议文件</w:t>
            </w:r>
          </w:p>
        </w:tc>
        <w:tc>
          <w:tcPr>
            <w:tcW w:w="4567" w:type="dxa"/>
            <w:shd w:val="clear" w:color="auto" w:fill="auto"/>
          </w:tcPr>
          <w:p w14:paraId="7D6E8067">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支持在线预览文件</w:t>
            </w:r>
          </w:p>
        </w:tc>
      </w:tr>
      <w:tr w14:paraId="22814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7" w:type="dxa"/>
            <w:vMerge w:val="continue"/>
            <w:shd w:val="clear" w:color="auto" w:fill="auto"/>
            <w:vAlign w:val="center"/>
          </w:tcPr>
          <w:p w14:paraId="3E0FEEAE">
            <w:pPr>
              <w:spacing w:line="360" w:lineRule="auto"/>
              <w:jc w:val="center"/>
              <w:rPr>
                <w:rFonts w:hint="eastAsia" w:ascii="宋体" w:hAnsi="宋体" w:cs="宋体"/>
                <w:color w:val="000000" w:themeColor="text1"/>
                <w:sz w:val="24"/>
                <w14:textFill>
                  <w14:solidFill>
                    <w14:schemeClr w14:val="tx1"/>
                  </w14:solidFill>
                </w14:textFill>
              </w:rPr>
            </w:pPr>
          </w:p>
        </w:tc>
        <w:tc>
          <w:tcPr>
            <w:tcW w:w="696" w:type="dxa"/>
            <w:vMerge w:val="continue"/>
            <w:shd w:val="clear" w:color="auto" w:fill="auto"/>
            <w:vAlign w:val="center"/>
          </w:tcPr>
          <w:p w14:paraId="04446347">
            <w:pPr>
              <w:spacing w:line="360" w:lineRule="auto"/>
              <w:jc w:val="center"/>
              <w:rPr>
                <w:rFonts w:hint="eastAsia" w:ascii="宋体" w:hAnsi="宋体" w:cs="宋体"/>
                <w:color w:val="000000" w:themeColor="text1"/>
                <w:sz w:val="24"/>
                <w14:textFill>
                  <w14:solidFill>
                    <w14:schemeClr w14:val="tx1"/>
                  </w14:solidFill>
                </w14:textFill>
              </w:rPr>
            </w:pPr>
          </w:p>
        </w:tc>
        <w:tc>
          <w:tcPr>
            <w:tcW w:w="2682" w:type="dxa"/>
            <w:shd w:val="clear" w:color="auto" w:fill="auto"/>
          </w:tcPr>
          <w:p w14:paraId="4EA15B02">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会议议程</w:t>
            </w:r>
          </w:p>
        </w:tc>
        <w:tc>
          <w:tcPr>
            <w:tcW w:w="4567" w:type="dxa"/>
            <w:shd w:val="clear" w:color="auto" w:fill="auto"/>
          </w:tcPr>
          <w:p w14:paraId="1F2D28C1">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实时查看会议议程信息管理以及查阅</w:t>
            </w:r>
          </w:p>
        </w:tc>
      </w:tr>
      <w:tr w14:paraId="1C3BD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7" w:type="dxa"/>
            <w:vMerge w:val="continue"/>
            <w:shd w:val="clear" w:color="auto" w:fill="auto"/>
            <w:vAlign w:val="center"/>
          </w:tcPr>
          <w:p w14:paraId="5405ED6B">
            <w:pPr>
              <w:spacing w:line="360" w:lineRule="auto"/>
              <w:jc w:val="center"/>
              <w:rPr>
                <w:rFonts w:hint="eastAsia" w:ascii="宋体" w:hAnsi="宋体" w:cs="宋体"/>
                <w:color w:val="000000" w:themeColor="text1"/>
                <w:sz w:val="24"/>
                <w14:textFill>
                  <w14:solidFill>
                    <w14:schemeClr w14:val="tx1"/>
                  </w14:solidFill>
                </w14:textFill>
              </w:rPr>
            </w:pPr>
          </w:p>
        </w:tc>
        <w:tc>
          <w:tcPr>
            <w:tcW w:w="696" w:type="dxa"/>
            <w:vMerge w:val="continue"/>
            <w:shd w:val="clear" w:color="auto" w:fill="auto"/>
            <w:vAlign w:val="center"/>
          </w:tcPr>
          <w:p w14:paraId="0271FCC3">
            <w:pPr>
              <w:spacing w:line="360" w:lineRule="auto"/>
              <w:jc w:val="center"/>
              <w:rPr>
                <w:rFonts w:hint="eastAsia" w:ascii="宋体" w:hAnsi="宋体" w:cs="宋体"/>
                <w:color w:val="000000" w:themeColor="text1"/>
                <w:sz w:val="24"/>
                <w14:textFill>
                  <w14:solidFill>
                    <w14:schemeClr w14:val="tx1"/>
                  </w14:solidFill>
                </w14:textFill>
              </w:rPr>
            </w:pPr>
          </w:p>
        </w:tc>
        <w:tc>
          <w:tcPr>
            <w:tcW w:w="2682" w:type="dxa"/>
            <w:shd w:val="clear" w:color="auto" w:fill="auto"/>
          </w:tcPr>
          <w:p w14:paraId="69FA84FA">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会议日程</w:t>
            </w:r>
          </w:p>
        </w:tc>
        <w:tc>
          <w:tcPr>
            <w:tcW w:w="4567" w:type="dxa"/>
            <w:shd w:val="clear" w:color="auto" w:fill="auto"/>
          </w:tcPr>
          <w:p w14:paraId="4ACC573E">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实时查看会议日程信息管理以及查阅</w:t>
            </w:r>
          </w:p>
        </w:tc>
      </w:tr>
      <w:tr w14:paraId="5818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7" w:type="dxa"/>
            <w:vMerge w:val="continue"/>
            <w:shd w:val="clear" w:color="auto" w:fill="auto"/>
            <w:vAlign w:val="center"/>
          </w:tcPr>
          <w:p w14:paraId="3DA747BF">
            <w:pPr>
              <w:spacing w:line="360" w:lineRule="auto"/>
              <w:jc w:val="center"/>
              <w:rPr>
                <w:rFonts w:hint="eastAsia" w:ascii="宋体" w:hAnsi="宋体" w:cs="宋体"/>
                <w:color w:val="000000" w:themeColor="text1"/>
                <w:sz w:val="24"/>
                <w14:textFill>
                  <w14:solidFill>
                    <w14:schemeClr w14:val="tx1"/>
                  </w14:solidFill>
                </w14:textFill>
              </w:rPr>
            </w:pPr>
          </w:p>
        </w:tc>
        <w:tc>
          <w:tcPr>
            <w:tcW w:w="696" w:type="dxa"/>
            <w:vMerge w:val="continue"/>
            <w:shd w:val="clear" w:color="auto" w:fill="auto"/>
            <w:vAlign w:val="center"/>
          </w:tcPr>
          <w:p w14:paraId="5578499F">
            <w:pPr>
              <w:spacing w:line="360" w:lineRule="auto"/>
              <w:jc w:val="center"/>
              <w:rPr>
                <w:rFonts w:hint="eastAsia" w:ascii="宋体" w:hAnsi="宋体" w:cs="宋体"/>
                <w:color w:val="000000" w:themeColor="text1"/>
                <w:sz w:val="24"/>
                <w14:textFill>
                  <w14:solidFill>
                    <w14:schemeClr w14:val="tx1"/>
                  </w14:solidFill>
                </w14:textFill>
              </w:rPr>
            </w:pPr>
          </w:p>
        </w:tc>
        <w:tc>
          <w:tcPr>
            <w:tcW w:w="2682" w:type="dxa"/>
            <w:shd w:val="clear" w:color="auto" w:fill="auto"/>
          </w:tcPr>
          <w:p w14:paraId="02AD2D6F">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参阅资料</w:t>
            </w:r>
          </w:p>
        </w:tc>
        <w:tc>
          <w:tcPr>
            <w:tcW w:w="4567" w:type="dxa"/>
            <w:shd w:val="clear" w:color="auto" w:fill="auto"/>
          </w:tcPr>
          <w:p w14:paraId="48B4B88A">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会议相关参阅文件资料管理以及查阅</w:t>
            </w:r>
          </w:p>
        </w:tc>
      </w:tr>
      <w:tr w14:paraId="336B8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7" w:type="dxa"/>
            <w:vMerge w:val="continue"/>
            <w:shd w:val="clear" w:color="auto" w:fill="auto"/>
            <w:vAlign w:val="center"/>
          </w:tcPr>
          <w:p w14:paraId="3C74019F">
            <w:pPr>
              <w:spacing w:line="360" w:lineRule="auto"/>
              <w:jc w:val="center"/>
              <w:rPr>
                <w:rFonts w:hint="eastAsia" w:ascii="宋体" w:hAnsi="宋体" w:cs="宋体"/>
                <w:color w:val="000000" w:themeColor="text1"/>
                <w:sz w:val="24"/>
                <w14:textFill>
                  <w14:solidFill>
                    <w14:schemeClr w14:val="tx1"/>
                  </w14:solidFill>
                </w14:textFill>
              </w:rPr>
            </w:pPr>
          </w:p>
        </w:tc>
        <w:tc>
          <w:tcPr>
            <w:tcW w:w="696" w:type="dxa"/>
            <w:vMerge w:val="continue"/>
            <w:shd w:val="clear" w:color="auto" w:fill="auto"/>
            <w:vAlign w:val="center"/>
          </w:tcPr>
          <w:p w14:paraId="496F0043">
            <w:pPr>
              <w:spacing w:line="360" w:lineRule="auto"/>
              <w:jc w:val="center"/>
              <w:rPr>
                <w:rFonts w:hint="eastAsia" w:ascii="宋体" w:hAnsi="宋体" w:cs="宋体"/>
                <w:color w:val="000000" w:themeColor="text1"/>
                <w:sz w:val="24"/>
                <w14:textFill>
                  <w14:solidFill>
                    <w14:schemeClr w14:val="tx1"/>
                  </w14:solidFill>
                </w14:textFill>
              </w:rPr>
            </w:pPr>
          </w:p>
        </w:tc>
        <w:tc>
          <w:tcPr>
            <w:tcW w:w="2682" w:type="dxa"/>
            <w:shd w:val="clear" w:color="auto" w:fill="auto"/>
          </w:tcPr>
          <w:p w14:paraId="4269D977">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会议简报</w:t>
            </w:r>
          </w:p>
        </w:tc>
        <w:tc>
          <w:tcPr>
            <w:tcW w:w="4567" w:type="dxa"/>
            <w:shd w:val="clear" w:color="auto" w:fill="auto"/>
          </w:tcPr>
          <w:p w14:paraId="71C87CE0">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会议简报信息管理以及查阅</w:t>
            </w:r>
          </w:p>
        </w:tc>
      </w:tr>
      <w:tr w14:paraId="0E8A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7" w:type="dxa"/>
            <w:vMerge w:val="continue"/>
            <w:shd w:val="clear" w:color="auto" w:fill="auto"/>
            <w:vAlign w:val="center"/>
          </w:tcPr>
          <w:p w14:paraId="3ECBD3A7">
            <w:pPr>
              <w:spacing w:line="360" w:lineRule="auto"/>
              <w:jc w:val="center"/>
              <w:rPr>
                <w:rFonts w:hint="eastAsia" w:ascii="宋体" w:hAnsi="宋体" w:cs="宋体"/>
                <w:color w:val="000000" w:themeColor="text1"/>
                <w:sz w:val="24"/>
                <w14:textFill>
                  <w14:solidFill>
                    <w14:schemeClr w14:val="tx1"/>
                  </w14:solidFill>
                </w14:textFill>
              </w:rPr>
            </w:pPr>
          </w:p>
        </w:tc>
        <w:tc>
          <w:tcPr>
            <w:tcW w:w="696" w:type="dxa"/>
            <w:vMerge w:val="continue"/>
            <w:shd w:val="clear" w:color="auto" w:fill="auto"/>
            <w:vAlign w:val="center"/>
          </w:tcPr>
          <w:p w14:paraId="2C838C3B">
            <w:pPr>
              <w:spacing w:line="360" w:lineRule="auto"/>
              <w:jc w:val="center"/>
              <w:rPr>
                <w:rFonts w:hint="eastAsia" w:ascii="宋体" w:hAnsi="宋体" w:cs="宋体"/>
                <w:color w:val="000000" w:themeColor="text1"/>
                <w:sz w:val="24"/>
                <w14:textFill>
                  <w14:solidFill>
                    <w14:schemeClr w14:val="tx1"/>
                  </w14:solidFill>
                </w14:textFill>
              </w:rPr>
            </w:pPr>
          </w:p>
        </w:tc>
        <w:tc>
          <w:tcPr>
            <w:tcW w:w="2682" w:type="dxa"/>
            <w:shd w:val="clear" w:color="auto" w:fill="auto"/>
          </w:tcPr>
          <w:p w14:paraId="4DA76FC0">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会议纪要</w:t>
            </w:r>
          </w:p>
        </w:tc>
        <w:tc>
          <w:tcPr>
            <w:tcW w:w="4567" w:type="dxa"/>
            <w:shd w:val="clear" w:color="auto" w:fill="auto"/>
          </w:tcPr>
          <w:p w14:paraId="2B76FB0F">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会议纪要信息管理以及查阅</w:t>
            </w:r>
          </w:p>
        </w:tc>
      </w:tr>
      <w:tr w14:paraId="40273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7" w:type="dxa"/>
            <w:vMerge w:val="continue"/>
            <w:shd w:val="clear" w:color="auto" w:fill="auto"/>
            <w:vAlign w:val="center"/>
          </w:tcPr>
          <w:p w14:paraId="66103E13">
            <w:pPr>
              <w:spacing w:line="360" w:lineRule="auto"/>
              <w:jc w:val="center"/>
              <w:rPr>
                <w:rFonts w:hint="eastAsia" w:ascii="宋体" w:hAnsi="宋体" w:cs="宋体"/>
                <w:color w:val="000000" w:themeColor="text1"/>
                <w:sz w:val="24"/>
                <w14:textFill>
                  <w14:solidFill>
                    <w14:schemeClr w14:val="tx1"/>
                  </w14:solidFill>
                </w14:textFill>
              </w:rPr>
            </w:pPr>
          </w:p>
        </w:tc>
        <w:tc>
          <w:tcPr>
            <w:tcW w:w="696" w:type="dxa"/>
            <w:vMerge w:val="continue"/>
            <w:shd w:val="clear" w:color="auto" w:fill="auto"/>
            <w:vAlign w:val="center"/>
          </w:tcPr>
          <w:p w14:paraId="182A5777">
            <w:pPr>
              <w:spacing w:line="360" w:lineRule="auto"/>
              <w:jc w:val="center"/>
              <w:rPr>
                <w:rFonts w:hint="eastAsia" w:ascii="宋体" w:hAnsi="宋体" w:cs="宋体"/>
                <w:color w:val="000000" w:themeColor="text1"/>
                <w:sz w:val="24"/>
                <w14:textFill>
                  <w14:solidFill>
                    <w14:schemeClr w14:val="tx1"/>
                  </w14:solidFill>
                </w14:textFill>
              </w:rPr>
            </w:pPr>
          </w:p>
        </w:tc>
        <w:tc>
          <w:tcPr>
            <w:tcW w:w="2682" w:type="dxa"/>
            <w:shd w:val="clear" w:color="auto" w:fill="auto"/>
          </w:tcPr>
          <w:p w14:paraId="2B6A2DAC">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主席团会议</w:t>
            </w:r>
          </w:p>
        </w:tc>
        <w:tc>
          <w:tcPr>
            <w:tcW w:w="4567" w:type="dxa"/>
            <w:shd w:val="clear" w:color="auto" w:fill="auto"/>
          </w:tcPr>
          <w:p w14:paraId="2366F73A">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主席团会议信息管理以及查阅</w:t>
            </w:r>
          </w:p>
        </w:tc>
      </w:tr>
      <w:tr w14:paraId="014ED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7" w:type="dxa"/>
            <w:vMerge w:val="continue"/>
            <w:shd w:val="clear" w:color="auto" w:fill="auto"/>
            <w:vAlign w:val="center"/>
          </w:tcPr>
          <w:p w14:paraId="3BFA011B">
            <w:pPr>
              <w:spacing w:line="360" w:lineRule="auto"/>
              <w:jc w:val="center"/>
              <w:rPr>
                <w:rFonts w:hint="eastAsia" w:ascii="宋体" w:hAnsi="宋体" w:cs="宋体"/>
                <w:color w:val="000000" w:themeColor="text1"/>
                <w:sz w:val="24"/>
                <w14:textFill>
                  <w14:solidFill>
                    <w14:schemeClr w14:val="tx1"/>
                  </w14:solidFill>
                </w14:textFill>
              </w:rPr>
            </w:pPr>
          </w:p>
        </w:tc>
        <w:tc>
          <w:tcPr>
            <w:tcW w:w="696" w:type="dxa"/>
            <w:vMerge w:val="continue"/>
            <w:shd w:val="clear" w:color="auto" w:fill="auto"/>
            <w:vAlign w:val="center"/>
          </w:tcPr>
          <w:p w14:paraId="01092C8C">
            <w:pPr>
              <w:spacing w:line="360" w:lineRule="auto"/>
              <w:jc w:val="center"/>
              <w:rPr>
                <w:rFonts w:hint="eastAsia" w:ascii="宋体" w:hAnsi="宋体" w:cs="宋体"/>
                <w:color w:val="000000" w:themeColor="text1"/>
                <w:sz w:val="24"/>
                <w14:textFill>
                  <w14:solidFill>
                    <w14:schemeClr w14:val="tx1"/>
                  </w14:solidFill>
                </w14:textFill>
              </w:rPr>
            </w:pPr>
          </w:p>
        </w:tc>
        <w:tc>
          <w:tcPr>
            <w:tcW w:w="2682" w:type="dxa"/>
            <w:shd w:val="clear" w:color="auto" w:fill="auto"/>
          </w:tcPr>
          <w:p w14:paraId="57FEB220">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领导讲话</w:t>
            </w:r>
          </w:p>
        </w:tc>
        <w:tc>
          <w:tcPr>
            <w:tcW w:w="4567" w:type="dxa"/>
            <w:shd w:val="clear" w:color="auto" w:fill="auto"/>
          </w:tcPr>
          <w:p w14:paraId="61046977">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领导讲话信息管理以及查阅</w:t>
            </w:r>
          </w:p>
        </w:tc>
      </w:tr>
      <w:tr w14:paraId="44F6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57" w:type="dxa"/>
            <w:vMerge w:val="continue"/>
            <w:shd w:val="clear" w:color="auto" w:fill="auto"/>
            <w:vAlign w:val="center"/>
          </w:tcPr>
          <w:p w14:paraId="48D42095">
            <w:pPr>
              <w:spacing w:line="360" w:lineRule="auto"/>
              <w:jc w:val="center"/>
              <w:rPr>
                <w:rFonts w:hint="eastAsia" w:ascii="宋体" w:hAnsi="宋体" w:cs="宋体"/>
                <w:color w:val="000000" w:themeColor="text1"/>
                <w:sz w:val="24"/>
                <w14:textFill>
                  <w14:solidFill>
                    <w14:schemeClr w14:val="tx1"/>
                  </w14:solidFill>
                </w14:textFill>
              </w:rPr>
            </w:pPr>
          </w:p>
        </w:tc>
        <w:tc>
          <w:tcPr>
            <w:tcW w:w="696" w:type="dxa"/>
            <w:vMerge w:val="continue"/>
            <w:shd w:val="clear" w:color="auto" w:fill="auto"/>
            <w:vAlign w:val="center"/>
          </w:tcPr>
          <w:p w14:paraId="0CF2C08F">
            <w:pPr>
              <w:spacing w:line="360" w:lineRule="auto"/>
              <w:jc w:val="center"/>
              <w:rPr>
                <w:rFonts w:hint="eastAsia" w:ascii="宋体" w:hAnsi="宋体" w:cs="宋体"/>
                <w:color w:val="000000" w:themeColor="text1"/>
                <w:sz w:val="24"/>
                <w14:textFill>
                  <w14:solidFill>
                    <w14:schemeClr w14:val="tx1"/>
                  </w14:solidFill>
                </w14:textFill>
              </w:rPr>
            </w:pPr>
          </w:p>
        </w:tc>
        <w:tc>
          <w:tcPr>
            <w:tcW w:w="2682" w:type="dxa"/>
            <w:shd w:val="clear" w:color="auto" w:fill="auto"/>
          </w:tcPr>
          <w:p w14:paraId="57D1F761">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会议信息管理</w:t>
            </w:r>
          </w:p>
        </w:tc>
        <w:tc>
          <w:tcPr>
            <w:tcW w:w="4567" w:type="dxa"/>
            <w:shd w:val="clear" w:color="auto" w:fill="auto"/>
          </w:tcPr>
          <w:p w14:paraId="2D0C1E61">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会议基础信息管理，包括关键词筛选、按会议状态筛选、参会人员设置、会议创建、会议编辑、会议查看、会议删除等</w:t>
            </w:r>
          </w:p>
        </w:tc>
      </w:tr>
      <w:tr w14:paraId="672C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7" w:type="dxa"/>
            <w:vMerge w:val="continue"/>
            <w:shd w:val="clear" w:color="auto" w:fill="auto"/>
            <w:vAlign w:val="center"/>
          </w:tcPr>
          <w:p w14:paraId="34929624">
            <w:pPr>
              <w:spacing w:line="360" w:lineRule="auto"/>
              <w:jc w:val="center"/>
              <w:rPr>
                <w:rFonts w:hint="eastAsia" w:ascii="宋体" w:hAnsi="宋体" w:cs="宋体"/>
                <w:color w:val="000000" w:themeColor="text1"/>
                <w:sz w:val="24"/>
                <w14:textFill>
                  <w14:solidFill>
                    <w14:schemeClr w14:val="tx1"/>
                  </w14:solidFill>
                </w14:textFill>
              </w:rPr>
            </w:pPr>
          </w:p>
        </w:tc>
        <w:tc>
          <w:tcPr>
            <w:tcW w:w="696" w:type="dxa"/>
            <w:vMerge w:val="continue"/>
            <w:shd w:val="clear" w:color="auto" w:fill="auto"/>
            <w:vAlign w:val="center"/>
          </w:tcPr>
          <w:p w14:paraId="7696B2CC">
            <w:pPr>
              <w:spacing w:line="360" w:lineRule="auto"/>
              <w:jc w:val="center"/>
              <w:rPr>
                <w:rFonts w:hint="eastAsia" w:ascii="宋体" w:hAnsi="宋体" w:cs="宋体"/>
                <w:color w:val="000000" w:themeColor="text1"/>
                <w:sz w:val="24"/>
                <w14:textFill>
                  <w14:solidFill>
                    <w14:schemeClr w14:val="tx1"/>
                  </w14:solidFill>
                </w14:textFill>
              </w:rPr>
            </w:pPr>
          </w:p>
        </w:tc>
        <w:tc>
          <w:tcPr>
            <w:tcW w:w="2682" w:type="dxa"/>
            <w:shd w:val="clear" w:color="auto" w:fill="auto"/>
          </w:tcPr>
          <w:p w14:paraId="0E564681">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会议分类管理</w:t>
            </w:r>
          </w:p>
        </w:tc>
        <w:tc>
          <w:tcPr>
            <w:tcW w:w="4567" w:type="dxa"/>
            <w:shd w:val="clear" w:color="auto" w:fill="auto"/>
          </w:tcPr>
          <w:p w14:paraId="1EDB8939">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会议类型的管理，包括创建、修改、删除等</w:t>
            </w:r>
          </w:p>
        </w:tc>
      </w:tr>
      <w:tr w14:paraId="77086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57" w:type="dxa"/>
            <w:vMerge w:val="continue"/>
            <w:shd w:val="clear" w:color="auto" w:fill="auto"/>
            <w:vAlign w:val="center"/>
          </w:tcPr>
          <w:p w14:paraId="21BBEEA2">
            <w:pPr>
              <w:spacing w:line="360" w:lineRule="auto"/>
              <w:jc w:val="center"/>
              <w:rPr>
                <w:rFonts w:hint="eastAsia" w:ascii="宋体" w:hAnsi="宋体" w:cs="宋体"/>
                <w:color w:val="000000" w:themeColor="text1"/>
                <w:sz w:val="24"/>
                <w14:textFill>
                  <w14:solidFill>
                    <w14:schemeClr w14:val="tx1"/>
                  </w14:solidFill>
                </w14:textFill>
              </w:rPr>
            </w:pPr>
          </w:p>
        </w:tc>
        <w:tc>
          <w:tcPr>
            <w:tcW w:w="696" w:type="dxa"/>
            <w:vMerge w:val="continue"/>
            <w:shd w:val="clear" w:color="auto" w:fill="auto"/>
            <w:vAlign w:val="center"/>
          </w:tcPr>
          <w:p w14:paraId="41BE7666">
            <w:pPr>
              <w:spacing w:line="360" w:lineRule="auto"/>
              <w:jc w:val="center"/>
              <w:rPr>
                <w:rFonts w:hint="eastAsia" w:ascii="宋体" w:hAnsi="宋体" w:cs="宋体"/>
                <w:color w:val="000000" w:themeColor="text1"/>
                <w:sz w:val="24"/>
                <w14:textFill>
                  <w14:solidFill>
                    <w14:schemeClr w14:val="tx1"/>
                  </w14:solidFill>
                </w14:textFill>
              </w:rPr>
            </w:pPr>
          </w:p>
        </w:tc>
        <w:tc>
          <w:tcPr>
            <w:tcW w:w="2682" w:type="dxa"/>
            <w:shd w:val="clear" w:color="auto" w:fill="auto"/>
          </w:tcPr>
          <w:p w14:paraId="42D0EDB6">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会议模块管理</w:t>
            </w:r>
          </w:p>
        </w:tc>
        <w:tc>
          <w:tcPr>
            <w:tcW w:w="4567" w:type="dxa"/>
            <w:shd w:val="clear" w:color="auto" w:fill="auto"/>
          </w:tcPr>
          <w:p w14:paraId="643C43F8">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会议模块的管理，包括创建、修改、删除等，以及会议模块与会议类型的关联设置等</w:t>
            </w:r>
          </w:p>
        </w:tc>
      </w:tr>
      <w:tr w14:paraId="642E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7" w:type="dxa"/>
            <w:vMerge w:val="continue"/>
            <w:shd w:val="clear" w:color="auto" w:fill="auto"/>
            <w:vAlign w:val="center"/>
          </w:tcPr>
          <w:p w14:paraId="1963F42B">
            <w:pPr>
              <w:spacing w:line="360" w:lineRule="auto"/>
              <w:jc w:val="center"/>
              <w:rPr>
                <w:rFonts w:hint="eastAsia" w:ascii="宋体" w:hAnsi="宋体" w:cs="宋体"/>
                <w:color w:val="000000" w:themeColor="text1"/>
                <w:sz w:val="24"/>
                <w14:textFill>
                  <w14:solidFill>
                    <w14:schemeClr w14:val="tx1"/>
                  </w14:solidFill>
                </w14:textFill>
              </w:rPr>
            </w:pPr>
          </w:p>
        </w:tc>
        <w:tc>
          <w:tcPr>
            <w:tcW w:w="696" w:type="dxa"/>
            <w:vMerge w:val="restart"/>
            <w:shd w:val="clear" w:color="auto" w:fill="auto"/>
            <w:vAlign w:val="center"/>
          </w:tcPr>
          <w:p w14:paraId="2A9ACE32">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电子阅文服务（会务服务）</w:t>
            </w:r>
          </w:p>
        </w:tc>
        <w:tc>
          <w:tcPr>
            <w:tcW w:w="2682" w:type="dxa"/>
            <w:shd w:val="clear" w:color="auto" w:fill="auto"/>
          </w:tcPr>
          <w:p w14:paraId="0FE50CF7">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电子阅文</w:t>
            </w:r>
          </w:p>
        </w:tc>
        <w:tc>
          <w:tcPr>
            <w:tcW w:w="4567" w:type="dxa"/>
            <w:shd w:val="clear" w:color="auto" w:fill="auto"/>
          </w:tcPr>
          <w:p w14:paraId="612F0711">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支持会议文件在线/离线两种模式预览</w:t>
            </w:r>
          </w:p>
        </w:tc>
      </w:tr>
      <w:tr w14:paraId="18FB3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57" w:type="dxa"/>
            <w:vMerge w:val="continue"/>
            <w:shd w:val="clear" w:color="auto" w:fill="auto"/>
            <w:vAlign w:val="center"/>
          </w:tcPr>
          <w:p w14:paraId="79F4C032">
            <w:pPr>
              <w:spacing w:line="360" w:lineRule="auto"/>
              <w:jc w:val="center"/>
              <w:rPr>
                <w:rFonts w:hint="eastAsia" w:ascii="宋体" w:hAnsi="宋体" w:cs="宋体"/>
                <w:color w:val="000000" w:themeColor="text1"/>
                <w:sz w:val="24"/>
                <w14:textFill>
                  <w14:solidFill>
                    <w14:schemeClr w14:val="tx1"/>
                  </w14:solidFill>
                </w14:textFill>
              </w:rPr>
            </w:pPr>
          </w:p>
        </w:tc>
        <w:tc>
          <w:tcPr>
            <w:tcW w:w="696" w:type="dxa"/>
            <w:vMerge w:val="continue"/>
            <w:shd w:val="clear" w:color="auto" w:fill="auto"/>
            <w:vAlign w:val="center"/>
          </w:tcPr>
          <w:p w14:paraId="3D7E42CA">
            <w:pPr>
              <w:spacing w:line="360" w:lineRule="auto"/>
              <w:jc w:val="center"/>
              <w:rPr>
                <w:rFonts w:hint="eastAsia" w:ascii="宋体" w:hAnsi="宋体" w:cs="宋体"/>
                <w:color w:val="000000" w:themeColor="text1"/>
                <w:sz w:val="24"/>
                <w14:textFill>
                  <w14:solidFill>
                    <w14:schemeClr w14:val="tx1"/>
                  </w14:solidFill>
                </w14:textFill>
              </w:rPr>
            </w:pPr>
          </w:p>
        </w:tc>
        <w:tc>
          <w:tcPr>
            <w:tcW w:w="2682" w:type="dxa"/>
            <w:vMerge w:val="restart"/>
            <w:shd w:val="clear" w:color="auto" w:fill="auto"/>
            <w:vAlign w:val="center"/>
          </w:tcPr>
          <w:p w14:paraId="2FD50657">
            <w:pPr>
              <w:widowControl/>
              <w:spacing w:line="360" w:lineRule="auto"/>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离线会议</w:t>
            </w:r>
          </w:p>
        </w:tc>
        <w:tc>
          <w:tcPr>
            <w:tcW w:w="4567" w:type="dxa"/>
            <w:shd w:val="clear" w:color="auto" w:fill="auto"/>
          </w:tcPr>
          <w:p w14:paraId="1A6111F9">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支持在无网络环境下正常查阅当前会议内容，大致包含如下功能：</w:t>
            </w:r>
          </w:p>
        </w:tc>
      </w:tr>
      <w:tr w14:paraId="518EE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7" w:type="dxa"/>
            <w:vMerge w:val="continue"/>
            <w:shd w:val="clear" w:color="auto" w:fill="auto"/>
            <w:vAlign w:val="center"/>
          </w:tcPr>
          <w:p w14:paraId="77E74E9D">
            <w:pPr>
              <w:spacing w:line="360" w:lineRule="auto"/>
              <w:jc w:val="center"/>
              <w:rPr>
                <w:rFonts w:hint="eastAsia" w:ascii="宋体" w:hAnsi="宋体" w:cs="宋体"/>
                <w:color w:val="000000" w:themeColor="text1"/>
                <w:sz w:val="24"/>
                <w14:textFill>
                  <w14:solidFill>
                    <w14:schemeClr w14:val="tx1"/>
                  </w14:solidFill>
                </w14:textFill>
              </w:rPr>
            </w:pPr>
          </w:p>
        </w:tc>
        <w:tc>
          <w:tcPr>
            <w:tcW w:w="696" w:type="dxa"/>
            <w:vMerge w:val="continue"/>
            <w:shd w:val="clear" w:color="auto" w:fill="auto"/>
            <w:vAlign w:val="center"/>
          </w:tcPr>
          <w:p w14:paraId="7FBFD43E">
            <w:pPr>
              <w:spacing w:line="360" w:lineRule="auto"/>
              <w:jc w:val="center"/>
              <w:rPr>
                <w:rFonts w:hint="eastAsia" w:ascii="宋体" w:hAnsi="宋体" w:cs="宋体"/>
                <w:color w:val="000000" w:themeColor="text1"/>
                <w:sz w:val="24"/>
                <w14:textFill>
                  <w14:solidFill>
                    <w14:schemeClr w14:val="tx1"/>
                  </w14:solidFill>
                </w14:textFill>
              </w:rPr>
            </w:pPr>
          </w:p>
        </w:tc>
        <w:tc>
          <w:tcPr>
            <w:tcW w:w="2682" w:type="dxa"/>
            <w:vMerge w:val="continue"/>
            <w:shd w:val="clear" w:color="auto" w:fill="auto"/>
            <w:vAlign w:val="center"/>
          </w:tcPr>
          <w:p w14:paraId="7D3E4E6C">
            <w:pPr>
              <w:spacing w:line="360" w:lineRule="auto"/>
              <w:jc w:val="left"/>
              <w:rPr>
                <w:rFonts w:hint="eastAsia" w:ascii="宋体" w:hAnsi="宋体" w:cs="宋体"/>
                <w:color w:val="000000" w:themeColor="text1"/>
                <w:sz w:val="24"/>
                <w14:textFill>
                  <w14:solidFill>
                    <w14:schemeClr w14:val="tx1"/>
                  </w14:solidFill>
                </w14:textFill>
              </w:rPr>
            </w:pPr>
          </w:p>
        </w:tc>
        <w:tc>
          <w:tcPr>
            <w:tcW w:w="4567" w:type="dxa"/>
            <w:shd w:val="clear" w:color="auto" w:fill="auto"/>
          </w:tcPr>
          <w:p w14:paraId="5A5387D5">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1、文件上传校验，包括文件大小、文件格式等；</w:t>
            </w:r>
          </w:p>
        </w:tc>
      </w:tr>
      <w:tr w14:paraId="06DDA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7" w:type="dxa"/>
            <w:vMerge w:val="continue"/>
            <w:shd w:val="clear" w:color="auto" w:fill="auto"/>
            <w:vAlign w:val="center"/>
          </w:tcPr>
          <w:p w14:paraId="724C1E2E">
            <w:pPr>
              <w:spacing w:line="360" w:lineRule="auto"/>
              <w:jc w:val="center"/>
              <w:rPr>
                <w:rFonts w:hint="eastAsia" w:ascii="宋体" w:hAnsi="宋体" w:cs="宋体"/>
                <w:color w:val="000000" w:themeColor="text1"/>
                <w:sz w:val="24"/>
                <w14:textFill>
                  <w14:solidFill>
                    <w14:schemeClr w14:val="tx1"/>
                  </w14:solidFill>
                </w14:textFill>
              </w:rPr>
            </w:pPr>
          </w:p>
        </w:tc>
        <w:tc>
          <w:tcPr>
            <w:tcW w:w="696" w:type="dxa"/>
            <w:vMerge w:val="continue"/>
            <w:shd w:val="clear" w:color="auto" w:fill="auto"/>
            <w:vAlign w:val="center"/>
          </w:tcPr>
          <w:p w14:paraId="6D2EC72A">
            <w:pPr>
              <w:spacing w:line="360" w:lineRule="auto"/>
              <w:jc w:val="center"/>
              <w:rPr>
                <w:rFonts w:hint="eastAsia" w:ascii="宋体" w:hAnsi="宋体" w:cs="宋体"/>
                <w:color w:val="000000" w:themeColor="text1"/>
                <w:sz w:val="24"/>
                <w14:textFill>
                  <w14:solidFill>
                    <w14:schemeClr w14:val="tx1"/>
                  </w14:solidFill>
                </w14:textFill>
              </w:rPr>
            </w:pPr>
          </w:p>
        </w:tc>
        <w:tc>
          <w:tcPr>
            <w:tcW w:w="2682" w:type="dxa"/>
            <w:vMerge w:val="continue"/>
            <w:shd w:val="clear" w:color="auto" w:fill="auto"/>
            <w:vAlign w:val="center"/>
          </w:tcPr>
          <w:p w14:paraId="369B8B39">
            <w:pPr>
              <w:spacing w:line="360" w:lineRule="auto"/>
              <w:jc w:val="left"/>
              <w:rPr>
                <w:rFonts w:hint="eastAsia" w:ascii="宋体" w:hAnsi="宋体" w:cs="宋体"/>
                <w:color w:val="000000" w:themeColor="text1"/>
                <w:sz w:val="24"/>
                <w14:textFill>
                  <w14:solidFill>
                    <w14:schemeClr w14:val="tx1"/>
                  </w14:solidFill>
                </w14:textFill>
              </w:rPr>
            </w:pPr>
          </w:p>
        </w:tc>
        <w:tc>
          <w:tcPr>
            <w:tcW w:w="4567" w:type="dxa"/>
            <w:shd w:val="clear" w:color="auto" w:fill="auto"/>
          </w:tcPr>
          <w:p w14:paraId="0838D204">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2、文件自动批量下载；</w:t>
            </w:r>
          </w:p>
        </w:tc>
      </w:tr>
      <w:tr w14:paraId="55943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7" w:type="dxa"/>
            <w:vMerge w:val="continue"/>
            <w:shd w:val="clear" w:color="auto" w:fill="auto"/>
            <w:vAlign w:val="center"/>
          </w:tcPr>
          <w:p w14:paraId="7F94C761">
            <w:pPr>
              <w:spacing w:line="360" w:lineRule="auto"/>
              <w:jc w:val="center"/>
              <w:rPr>
                <w:rFonts w:hint="eastAsia" w:ascii="宋体" w:hAnsi="宋体" w:cs="宋体"/>
                <w:color w:val="000000" w:themeColor="text1"/>
                <w:sz w:val="24"/>
                <w14:textFill>
                  <w14:solidFill>
                    <w14:schemeClr w14:val="tx1"/>
                  </w14:solidFill>
                </w14:textFill>
              </w:rPr>
            </w:pPr>
          </w:p>
        </w:tc>
        <w:tc>
          <w:tcPr>
            <w:tcW w:w="696" w:type="dxa"/>
            <w:vMerge w:val="continue"/>
            <w:shd w:val="clear" w:color="auto" w:fill="auto"/>
            <w:vAlign w:val="center"/>
          </w:tcPr>
          <w:p w14:paraId="09B1BDE4">
            <w:pPr>
              <w:spacing w:line="360" w:lineRule="auto"/>
              <w:jc w:val="center"/>
              <w:rPr>
                <w:rFonts w:hint="eastAsia" w:ascii="宋体" w:hAnsi="宋体" w:cs="宋体"/>
                <w:color w:val="000000" w:themeColor="text1"/>
                <w:sz w:val="24"/>
                <w14:textFill>
                  <w14:solidFill>
                    <w14:schemeClr w14:val="tx1"/>
                  </w14:solidFill>
                </w14:textFill>
              </w:rPr>
            </w:pPr>
          </w:p>
        </w:tc>
        <w:tc>
          <w:tcPr>
            <w:tcW w:w="2682" w:type="dxa"/>
            <w:vMerge w:val="continue"/>
            <w:shd w:val="clear" w:color="auto" w:fill="auto"/>
            <w:vAlign w:val="center"/>
          </w:tcPr>
          <w:p w14:paraId="02CE8BCE">
            <w:pPr>
              <w:spacing w:line="360" w:lineRule="auto"/>
              <w:jc w:val="left"/>
              <w:rPr>
                <w:rFonts w:hint="eastAsia" w:ascii="宋体" w:hAnsi="宋体" w:cs="宋体"/>
                <w:color w:val="000000" w:themeColor="text1"/>
                <w:sz w:val="24"/>
                <w14:textFill>
                  <w14:solidFill>
                    <w14:schemeClr w14:val="tx1"/>
                  </w14:solidFill>
                </w14:textFill>
              </w:rPr>
            </w:pPr>
          </w:p>
        </w:tc>
        <w:tc>
          <w:tcPr>
            <w:tcW w:w="4567" w:type="dxa"/>
            <w:shd w:val="clear" w:color="auto" w:fill="auto"/>
          </w:tcPr>
          <w:p w14:paraId="48D6053F">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3、文件本地化存储管理；</w:t>
            </w:r>
          </w:p>
        </w:tc>
      </w:tr>
      <w:tr w14:paraId="00340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7" w:type="dxa"/>
            <w:vMerge w:val="continue"/>
            <w:shd w:val="clear" w:color="auto" w:fill="auto"/>
            <w:vAlign w:val="center"/>
          </w:tcPr>
          <w:p w14:paraId="3117B34B">
            <w:pPr>
              <w:spacing w:line="360" w:lineRule="auto"/>
              <w:jc w:val="center"/>
              <w:rPr>
                <w:rFonts w:hint="eastAsia" w:ascii="宋体" w:hAnsi="宋体" w:cs="宋体"/>
                <w:color w:val="000000" w:themeColor="text1"/>
                <w:sz w:val="24"/>
                <w14:textFill>
                  <w14:solidFill>
                    <w14:schemeClr w14:val="tx1"/>
                  </w14:solidFill>
                </w14:textFill>
              </w:rPr>
            </w:pPr>
          </w:p>
        </w:tc>
        <w:tc>
          <w:tcPr>
            <w:tcW w:w="696" w:type="dxa"/>
            <w:vMerge w:val="continue"/>
            <w:shd w:val="clear" w:color="auto" w:fill="auto"/>
            <w:vAlign w:val="center"/>
          </w:tcPr>
          <w:p w14:paraId="754619D0">
            <w:pPr>
              <w:spacing w:line="360" w:lineRule="auto"/>
              <w:jc w:val="center"/>
              <w:rPr>
                <w:rFonts w:hint="eastAsia" w:ascii="宋体" w:hAnsi="宋体" w:cs="宋体"/>
                <w:color w:val="000000" w:themeColor="text1"/>
                <w:sz w:val="24"/>
                <w14:textFill>
                  <w14:solidFill>
                    <w14:schemeClr w14:val="tx1"/>
                  </w14:solidFill>
                </w14:textFill>
              </w:rPr>
            </w:pPr>
          </w:p>
        </w:tc>
        <w:tc>
          <w:tcPr>
            <w:tcW w:w="2682" w:type="dxa"/>
            <w:vMerge w:val="continue"/>
            <w:shd w:val="clear" w:color="auto" w:fill="auto"/>
            <w:vAlign w:val="center"/>
          </w:tcPr>
          <w:p w14:paraId="1D592B0A">
            <w:pPr>
              <w:spacing w:line="360" w:lineRule="auto"/>
              <w:jc w:val="left"/>
              <w:rPr>
                <w:rFonts w:hint="eastAsia" w:ascii="宋体" w:hAnsi="宋体" w:cs="宋体"/>
                <w:color w:val="000000" w:themeColor="text1"/>
                <w:sz w:val="24"/>
                <w14:textFill>
                  <w14:solidFill>
                    <w14:schemeClr w14:val="tx1"/>
                  </w14:solidFill>
                </w14:textFill>
              </w:rPr>
            </w:pPr>
          </w:p>
        </w:tc>
        <w:tc>
          <w:tcPr>
            <w:tcW w:w="4567" w:type="dxa"/>
            <w:shd w:val="clear" w:color="auto" w:fill="auto"/>
          </w:tcPr>
          <w:p w14:paraId="00D4D675">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4、文件本地化阅览组件；</w:t>
            </w:r>
          </w:p>
        </w:tc>
      </w:tr>
      <w:tr w14:paraId="17F9D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7" w:type="dxa"/>
            <w:vMerge w:val="continue"/>
            <w:shd w:val="clear" w:color="auto" w:fill="auto"/>
            <w:vAlign w:val="center"/>
          </w:tcPr>
          <w:p w14:paraId="66E42E84">
            <w:pPr>
              <w:spacing w:line="360" w:lineRule="auto"/>
              <w:jc w:val="center"/>
              <w:rPr>
                <w:rFonts w:hint="eastAsia" w:ascii="宋体" w:hAnsi="宋体" w:cs="宋体"/>
                <w:color w:val="000000" w:themeColor="text1"/>
                <w:sz w:val="24"/>
                <w14:textFill>
                  <w14:solidFill>
                    <w14:schemeClr w14:val="tx1"/>
                  </w14:solidFill>
                </w14:textFill>
              </w:rPr>
            </w:pPr>
          </w:p>
        </w:tc>
        <w:tc>
          <w:tcPr>
            <w:tcW w:w="696" w:type="dxa"/>
            <w:vMerge w:val="continue"/>
            <w:shd w:val="clear" w:color="auto" w:fill="auto"/>
            <w:vAlign w:val="center"/>
          </w:tcPr>
          <w:p w14:paraId="5AD96D68">
            <w:pPr>
              <w:spacing w:line="360" w:lineRule="auto"/>
              <w:jc w:val="center"/>
              <w:rPr>
                <w:rFonts w:hint="eastAsia" w:ascii="宋体" w:hAnsi="宋体" w:cs="宋体"/>
                <w:color w:val="000000" w:themeColor="text1"/>
                <w:sz w:val="24"/>
                <w14:textFill>
                  <w14:solidFill>
                    <w14:schemeClr w14:val="tx1"/>
                  </w14:solidFill>
                </w14:textFill>
              </w:rPr>
            </w:pPr>
          </w:p>
        </w:tc>
        <w:tc>
          <w:tcPr>
            <w:tcW w:w="2682" w:type="dxa"/>
            <w:vMerge w:val="continue"/>
            <w:shd w:val="clear" w:color="auto" w:fill="auto"/>
            <w:vAlign w:val="center"/>
          </w:tcPr>
          <w:p w14:paraId="62470EFD">
            <w:pPr>
              <w:spacing w:line="360" w:lineRule="auto"/>
              <w:jc w:val="left"/>
              <w:rPr>
                <w:rFonts w:hint="eastAsia" w:ascii="宋体" w:hAnsi="宋体" w:cs="宋体"/>
                <w:color w:val="000000" w:themeColor="text1"/>
                <w:sz w:val="24"/>
                <w14:textFill>
                  <w14:solidFill>
                    <w14:schemeClr w14:val="tx1"/>
                  </w14:solidFill>
                </w14:textFill>
              </w:rPr>
            </w:pPr>
          </w:p>
        </w:tc>
        <w:tc>
          <w:tcPr>
            <w:tcW w:w="4567" w:type="dxa"/>
            <w:shd w:val="clear" w:color="auto" w:fill="auto"/>
          </w:tcPr>
          <w:p w14:paraId="5B16E271">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5、本地文件一键清空等。</w:t>
            </w:r>
          </w:p>
        </w:tc>
      </w:tr>
      <w:tr w14:paraId="08243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7" w:type="dxa"/>
            <w:vMerge w:val="continue"/>
            <w:shd w:val="clear" w:color="auto" w:fill="auto"/>
            <w:vAlign w:val="center"/>
          </w:tcPr>
          <w:p w14:paraId="67B03FF0">
            <w:pPr>
              <w:spacing w:line="360" w:lineRule="auto"/>
              <w:jc w:val="center"/>
              <w:rPr>
                <w:rFonts w:hint="eastAsia" w:ascii="宋体" w:hAnsi="宋体" w:cs="宋体"/>
                <w:color w:val="000000" w:themeColor="text1"/>
                <w:sz w:val="24"/>
                <w14:textFill>
                  <w14:solidFill>
                    <w14:schemeClr w14:val="tx1"/>
                  </w14:solidFill>
                </w14:textFill>
              </w:rPr>
            </w:pPr>
          </w:p>
        </w:tc>
        <w:tc>
          <w:tcPr>
            <w:tcW w:w="696" w:type="dxa"/>
            <w:vMerge w:val="continue"/>
            <w:shd w:val="clear" w:color="auto" w:fill="auto"/>
            <w:vAlign w:val="center"/>
          </w:tcPr>
          <w:p w14:paraId="6F91D3DE">
            <w:pPr>
              <w:spacing w:line="360" w:lineRule="auto"/>
              <w:jc w:val="center"/>
              <w:rPr>
                <w:rFonts w:hint="eastAsia" w:ascii="宋体" w:hAnsi="宋体" w:cs="宋体"/>
                <w:color w:val="000000" w:themeColor="text1"/>
                <w:sz w:val="24"/>
                <w14:textFill>
                  <w14:solidFill>
                    <w14:schemeClr w14:val="tx1"/>
                  </w14:solidFill>
                </w14:textFill>
              </w:rPr>
            </w:pPr>
          </w:p>
        </w:tc>
        <w:tc>
          <w:tcPr>
            <w:tcW w:w="2682" w:type="dxa"/>
            <w:vMerge w:val="restart"/>
            <w:shd w:val="clear" w:color="auto" w:fill="auto"/>
            <w:vAlign w:val="center"/>
          </w:tcPr>
          <w:p w14:paraId="4879EB40">
            <w:pPr>
              <w:widowControl/>
              <w:spacing w:line="360" w:lineRule="auto"/>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多组织一体化</w:t>
            </w:r>
          </w:p>
        </w:tc>
        <w:tc>
          <w:tcPr>
            <w:tcW w:w="4567" w:type="dxa"/>
            <w:shd w:val="clear" w:color="auto" w:fill="auto"/>
          </w:tcPr>
          <w:p w14:paraId="0842DCFB">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1、支持单用户多组织身份管理；</w:t>
            </w:r>
          </w:p>
        </w:tc>
      </w:tr>
      <w:tr w14:paraId="6550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7" w:type="dxa"/>
            <w:vMerge w:val="continue"/>
            <w:shd w:val="clear" w:color="auto" w:fill="auto"/>
            <w:vAlign w:val="center"/>
          </w:tcPr>
          <w:p w14:paraId="71630F20">
            <w:pPr>
              <w:spacing w:line="360" w:lineRule="auto"/>
              <w:jc w:val="center"/>
              <w:rPr>
                <w:rFonts w:hint="eastAsia" w:ascii="宋体" w:hAnsi="宋体" w:cs="宋体"/>
                <w:color w:val="000000" w:themeColor="text1"/>
                <w:sz w:val="24"/>
                <w14:textFill>
                  <w14:solidFill>
                    <w14:schemeClr w14:val="tx1"/>
                  </w14:solidFill>
                </w14:textFill>
              </w:rPr>
            </w:pPr>
          </w:p>
        </w:tc>
        <w:tc>
          <w:tcPr>
            <w:tcW w:w="696" w:type="dxa"/>
            <w:vMerge w:val="continue"/>
            <w:shd w:val="clear" w:color="auto" w:fill="auto"/>
            <w:vAlign w:val="center"/>
          </w:tcPr>
          <w:p w14:paraId="004826EE">
            <w:pPr>
              <w:spacing w:line="360" w:lineRule="auto"/>
              <w:jc w:val="center"/>
              <w:rPr>
                <w:rFonts w:hint="eastAsia" w:ascii="宋体" w:hAnsi="宋体" w:cs="宋体"/>
                <w:color w:val="000000" w:themeColor="text1"/>
                <w:sz w:val="24"/>
                <w14:textFill>
                  <w14:solidFill>
                    <w14:schemeClr w14:val="tx1"/>
                  </w14:solidFill>
                </w14:textFill>
              </w:rPr>
            </w:pPr>
          </w:p>
        </w:tc>
        <w:tc>
          <w:tcPr>
            <w:tcW w:w="2682" w:type="dxa"/>
            <w:vMerge w:val="continue"/>
            <w:shd w:val="clear" w:color="auto" w:fill="auto"/>
            <w:vAlign w:val="center"/>
          </w:tcPr>
          <w:p w14:paraId="6B0A25F1">
            <w:pPr>
              <w:spacing w:line="360" w:lineRule="auto"/>
              <w:jc w:val="left"/>
              <w:rPr>
                <w:rFonts w:hint="eastAsia" w:ascii="宋体" w:hAnsi="宋体" w:cs="宋体"/>
                <w:color w:val="000000" w:themeColor="text1"/>
                <w:sz w:val="24"/>
                <w14:textFill>
                  <w14:solidFill>
                    <w14:schemeClr w14:val="tx1"/>
                  </w14:solidFill>
                </w14:textFill>
              </w:rPr>
            </w:pPr>
          </w:p>
        </w:tc>
        <w:tc>
          <w:tcPr>
            <w:tcW w:w="4567" w:type="dxa"/>
            <w:shd w:val="clear" w:color="auto" w:fill="auto"/>
          </w:tcPr>
          <w:p w14:paraId="7F5E7234">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2、用户组织信息查询；</w:t>
            </w:r>
          </w:p>
        </w:tc>
      </w:tr>
      <w:tr w14:paraId="0BC1D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7" w:type="dxa"/>
            <w:vMerge w:val="continue"/>
            <w:shd w:val="clear" w:color="auto" w:fill="auto"/>
            <w:vAlign w:val="center"/>
          </w:tcPr>
          <w:p w14:paraId="50D26E4F">
            <w:pPr>
              <w:spacing w:line="360" w:lineRule="auto"/>
              <w:jc w:val="center"/>
              <w:rPr>
                <w:rFonts w:hint="eastAsia" w:ascii="宋体" w:hAnsi="宋体" w:cs="宋体"/>
                <w:color w:val="000000" w:themeColor="text1"/>
                <w:sz w:val="24"/>
                <w14:textFill>
                  <w14:solidFill>
                    <w14:schemeClr w14:val="tx1"/>
                  </w14:solidFill>
                </w14:textFill>
              </w:rPr>
            </w:pPr>
          </w:p>
        </w:tc>
        <w:tc>
          <w:tcPr>
            <w:tcW w:w="696" w:type="dxa"/>
            <w:vMerge w:val="continue"/>
            <w:shd w:val="clear" w:color="auto" w:fill="auto"/>
            <w:vAlign w:val="center"/>
          </w:tcPr>
          <w:p w14:paraId="33DEBAFF">
            <w:pPr>
              <w:spacing w:line="360" w:lineRule="auto"/>
              <w:jc w:val="center"/>
              <w:rPr>
                <w:rFonts w:hint="eastAsia" w:ascii="宋体" w:hAnsi="宋体" w:cs="宋体"/>
                <w:color w:val="000000" w:themeColor="text1"/>
                <w:sz w:val="24"/>
                <w14:textFill>
                  <w14:solidFill>
                    <w14:schemeClr w14:val="tx1"/>
                  </w14:solidFill>
                </w14:textFill>
              </w:rPr>
            </w:pPr>
          </w:p>
        </w:tc>
        <w:tc>
          <w:tcPr>
            <w:tcW w:w="2682" w:type="dxa"/>
            <w:vMerge w:val="continue"/>
            <w:shd w:val="clear" w:color="auto" w:fill="auto"/>
            <w:vAlign w:val="center"/>
          </w:tcPr>
          <w:p w14:paraId="02B88A81">
            <w:pPr>
              <w:spacing w:line="360" w:lineRule="auto"/>
              <w:jc w:val="left"/>
              <w:rPr>
                <w:rFonts w:hint="eastAsia" w:ascii="宋体" w:hAnsi="宋体" w:cs="宋体"/>
                <w:color w:val="000000" w:themeColor="text1"/>
                <w:sz w:val="24"/>
                <w14:textFill>
                  <w14:solidFill>
                    <w14:schemeClr w14:val="tx1"/>
                  </w14:solidFill>
                </w14:textFill>
              </w:rPr>
            </w:pPr>
          </w:p>
        </w:tc>
        <w:tc>
          <w:tcPr>
            <w:tcW w:w="4567" w:type="dxa"/>
            <w:shd w:val="clear" w:color="auto" w:fill="auto"/>
          </w:tcPr>
          <w:p w14:paraId="7CA61D60">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3、用户组织切换、校验；</w:t>
            </w:r>
          </w:p>
        </w:tc>
      </w:tr>
      <w:tr w14:paraId="73834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7" w:type="dxa"/>
            <w:vMerge w:val="continue"/>
            <w:shd w:val="clear" w:color="auto" w:fill="auto"/>
            <w:vAlign w:val="center"/>
          </w:tcPr>
          <w:p w14:paraId="25E18E1A">
            <w:pPr>
              <w:spacing w:line="360" w:lineRule="auto"/>
              <w:jc w:val="center"/>
              <w:rPr>
                <w:rFonts w:hint="eastAsia" w:ascii="宋体" w:hAnsi="宋体" w:cs="宋体"/>
                <w:color w:val="000000" w:themeColor="text1"/>
                <w:sz w:val="24"/>
                <w14:textFill>
                  <w14:solidFill>
                    <w14:schemeClr w14:val="tx1"/>
                  </w14:solidFill>
                </w14:textFill>
              </w:rPr>
            </w:pPr>
          </w:p>
        </w:tc>
        <w:tc>
          <w:tcPr>
            <w:tcW w:w="696" w:type="dxa"/>
            <w:vMerge w:val="continue"/>
            <w:shd w:val="clear" w:color="auto" w:fill="auto"/>
            <w:vAlign w:val="center"/>
          </w:tcPr>
          <w:p w14:paraId="59154C84">
            <w:pPr>
              <w:spacing w:line="360" w:lineRule="auto"/>
              <w:jc w:val="center"/>
              <w:rPr>
                <w:rFonts w:hint="eastAsia" w:ascii="宋体" w:hAnsi="宋体" w:cs="宋体"/>
                <w:color w:val="000000" w:themeColor="text1"/>
                <w:sz w:val="24"/>
                <w14:textFill>
                  <w14:solidFill>
                    <w14:schemeClr w14:val="tx1"/>
                  </w14:solidFill>
                </w14:textFill>
              </w:rPr>
            </w:pPr>
          </w:p>
        </w:tc>
        <w:tc>
          <w:tcPr>
            <w:tcW w:w="2682" w:type="dxa"/>
            <w:vMerge w:val="continue"/>
            <w:shd w:val="clear" w:color="auto" w:fill="auto"/>
            <w:vAlign w:val="center"/>
          </w:tcPr>
          <w:p w14:paraId="21255253">
            <w:pPr>
              <w:spacing w:line="360" w:lineRule="auto"/>
              <w:jc w:val="left"/>
              <w:rPr>
                <w:rFonts w:hint="eastAsia" w:ascii="宋体" w:hAnsi="宋体" w:cs="宋体"/>
                <w:color w:val="000000" w:themeColor="text1"/>
                <w:sz w:val="24"/>
                <w14:textFill>
                  <w14:solidFill>
                    <w14:schemeClr w14:val="tx1"/>
                  </w14:solidFill>
                </w14:textFill>
              </w:rPr>
            </w:pPr>
          </w:p>
        </w:tc>
        <w:tc>
          <w:tcPr>
            <w:tcW w:w="4567" w:type="dxa"/>
            <w:shd w:val="clear" w:color="auto" w:fill="auto"/>
          </w:tcPr>
          <w:p w14:paraId="2FD402FC">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4、查看多组织会议相关信息。</w:t>
            </w:r>
          </w:p>
        </w:tc>
      </w:tr>
      <w:tr w14:paraId="55EF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7" w:type="dxa"/>
            <w:vMerge w:val="continue"/>
            <w:shd w:val="clear" w:color="auto" w:fill="auto"/>
            <w:vAlign w:val="center"/>
          </w:tcPr>
          <w:p w14:paraId="0E2CE020">
            <w:pPr>
              <w:spacing w:line="360" w:lineRule="auto"/>
              <w:jc w:val="center"/>
              <w:rPr>
                <w:rFonts w:hint="eastAsia" w:ascii="宋体" w:hAnsi="宋体" w:cs="宋体"/>
                <w:color w:val="000000" w:themeColor="text1"/>
                <w:sz w:val="24"/>
                <w14:textFill>
                  <w14:solidFill>
                    <w14:schemeClr w14:val="tx1"/>
                  </w14:solidFill>
                </w14:textFill>
              </w:rPr>
            </w:pPr>
          </w:p>
        </w:tc>
        <w:tc>
          <w:tcPr>
            <w:tcW w:w="696" w:type="dxa"/>
            <w:vMerge w:val="continue"/>
            <w:shd w:val="clear" w:color="auto" w:fill="auto"/>
            <w:vAlign w:val="center"/>
          </w:tcPr>
          <w:p w14:paraId="6A9EF1AE">
            <w:pPr>
              <w:spacing w:line="360" w:lineRule="auto"/>
              <w:jc w:val="center"/>
              <w:rPr>
                <w:rFonts w:hint="eastAsia" w:ascii="宋体" w:hAnsi="宋体" w:cs="宋体"/>
                <w:color w:val="000000" w:themeColor="text1"/>
                <w:sz w:val="24"/>
                <w14:textFill>
                  <w14:solidFill>
                    <w14:schemeClr w14:val="tx1"/>
                  </w14:solidFill>
                </w14:textFill>
              </w:rPr>
            </w:pPr>
          </w:p>
        </w:tc>
        <w:tc>
          <w:tcPr>
            <w:tcW w:w="2682" w:type="dxa"/>
            <w:shd w:val="clear" w:color="auto" w:fill="auto"/>
          </w:tcPr>
          <w:p w14:paraId="6EAA9A0B">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多终端适配</w:t>
            </w:r>
          </w:p>
        </w:tc>
        <w:tc>
          <w:tcPr>
            <w:tcW w:w="4567" w:type="dxa"/>
            <w:shd w:val="clear" w:color="auto" w:fill="auto"/>
          </w:tcPr>
          <w:p w14:paraId="21E47F2D">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支持浙政钉、平板电脑等平台使用</w:t>
            </w:r>
          </w:p>
        </w:tc>
      </w:tr>
      <w:tr w14:paraId="20A1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7" w:type="dxa"/>
            <w:vMerge w:val="continue"/>
            <w:shd w:val="clear" w:color="auto" w:fill="auto"/>
            <w:vAlign w:val="center"/>
          </w:tcPr>
          <w:p w14:paraId="63DF6C4E">
            <w:pPr>
              <w:spacing w:line="360" w:lineRule="auto"/>
              <w:jc w:val="center"/>
              <w:rPr>
                <w:rFonts w:hint="eastAsia" w:ascii="宋体" w:hAnsi="宋体" w:cs="宋体"/>
                <w:color w:val="000000" w:themeColor="text1"/>
                <w:sz w:val="24"/>
                <w14:textFill>
                  <w14:solidFill>
                    <w14:schemeClr w14:val="tx1"/>
                  </w14:solidFill>
                </w14:textFill>
              </w:rPr>
            </w:pPr>
          </w:p>
        </w:tc>
        <w:tc>
          <w:tcPr>
            <w:tcW w:w="696" w:type="dxa"/>
            <w:vMerge w:val="continue"/>
            <w:shd w:val="clear" w:color="auto" w:fill="auto"/>
            <w:vAlign w:val="center"/>
          </w:tcPr>
          <w:p w14:paraId="0D4AD2C4">
            <w:pPr>
              <w:spacing w:line="360" w:lineRule="auto"/>
              <w:jc w:val="center"/>
              <w:rPr>
                <w:rFonts w:hint="eastAsia" w:ascii="宋体" w:hAnsi="宋体" w:cs="宋体"/>
                <w:color w:val="000000" w:themeColor="text1"/>
                <w:sz w:val="24"/>
                <w14:textFill>
                  <w14:solidFill>
                    <w14:schemeClr w14:val="tx1"/>
                  </w14:solidFill>
                </w14:textFill>
              </w:rPr>
            </w:pPr>
          </w:p>
        </w:tc>
        <w:tc>
          <w:tcPr>
            <w:tcW w:w="2682" w:type="dxa"/>
            <w:shd w:val="clear" w:color="auto" w:fill="auto"/>
          </w:tcPr>
          <w:p w14:paraId="0A84684C">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文件权限控制</w:t>
            </w:r>
          </w:p>
        </w:tc>
        <w:tc>
          <w:tcPr>
            <w:tcW w:w="4567" w:type="dxa"/>
            <w:shd w:val="clear" w:color="auto" w:fill="auto"/>
          </w:tcPr>
          <w:p w14:paraId="14A1DCD7">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控制某一个文件的可见人员范围</w:t>
            </w:r>
          </w:p>
        </w:tc>
      </w:tr>
      <w:tr w14:paraId="1370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7" w:type="dxa"/>
            <w:vMerge w:val="continue"/>
            <w:shd w:val="clear" w:color="auto" w:fill="auto"/>
            <w:vAlign w:val="center"/>
          </w:tcPr>
          <w:p w14:paraId="7DC98A6D">
            <w:pPr>
              <w:spacing w:line="360" w:lineRule="auto"/>
              <w:jc w:val="center"/>
              <w:rPr>
                <w:rFonts w:hint="eastAsia" w:ascii="宋体" w:hAnsi="宋体" w:cs="宋体"/>
                <w:color w:val="000000" w:themeColor="text1"/>
                <w:sz w:val="24"/>
                <w14:textFill>
                  <w14:solidFill>
                    <w14:schemeClr w14:val="tx1"/>
                  </w14:solidFill>
                </w14:textFill>
              </w:rPr>
            </w:pPr>
          </w:p>
        </w:tc>
        <w:tc>
          <w:tcPr>
            <w:tcW w:w="696" w:type="dxa"/>
            <w:vMerge w:val="continue"/>
            <w:shd w:val="clear" w:color="auto" w:fill="auto"/>
            <w:vAlign w:val="center"/>
          </w:tcPr>
          <w:p w14:paraId="37D060F3">
            <w:pPr>
              <w:spacing w:line="360" w:lineRule="auto"/>
              <w:jc w:val="center"/>
              <w:rPr>
                <w:rFonts w:hint="eastAsia" w:ascii="宋体" w:hAnsi="宋体" w:cs="宋体"/>
                <w:color w:val="000000" w:themeColor="text1"/>
                <w:sz w:val="24"/>
                <w14:textFill>
                  <w14:solidFill>
                    <w14:schemeClr w14:val="tx1"/>
                  </w14:solidFill>
                </w14:textFill>
              </w:rPr>
            </w:pPr>
          </w:p>
        </w:tc>
        <w:tc>
          <w:tcPr>
            <w:tcW w:w="2682" w:type="dxa"/>
            <w:shd w:val="clear" w:color="auto" w:fill="auto"/>
            <w:vAlign w:val="center"/>
          </w:tcPr>
          <w:p w14:paraId="50240CBD">
            <w:pPr>
              <w:widowControl/>
              <w:spacing w:line="360" w:lineRule="auto"/>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文件分发</w:t>
            </w:r>
          </w:p>
        </w:tc>
        <w:tc>
          <w:tcPr>
            <w:tcW w:w="4567" w:type="dxa"/>
            <w:shd w:val="clear" w:color="auto" w:fill="auto"/>
          </w:tcPr>
          <w:p w14:paraId="12098CEC">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根据权限将文件分发到具体参会人</w:t>
            </w:r>
          </w:p>
        </w:tc>
      </w:tr>
      <w:tr w14:paraId="75F1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7" w:type="dxa"/>
            <w:vMerge w:val="continue"/>
            <w:shd w:val="clear" w:color="auto" w:fill="auto"/>
            <w:vAlign w:val="center"/>
          </w:tcPr>
          <w:p w14:paraId="4AD1A0EC">
            <w:pPr>
              <w:spacing w:line="360" w:lineRule="auto"/>
              <w:jc w:val="center"/>
              <w:rPr>
                <w:rFonts w:hint="eastAsia" w:ascii="宋体" w:hAnsi="宋体" w:cs="宋体"/>
                <w:color w:val="000000" w:themeColor="text1"/>
                <w:sz w:val="24"/>
                <w14:textFill>
                  <w14:solidFill>
                    <w14:schemeClr w14:val="tx1"/>
                  </w14:solidFill>
                </w14:textFill>
              </w:rPr>
            </w:pPr>
          </w:p>
        </w:tc>
        <w:tc>
          <w:tcPr>
            <w:tcW w:w="696" w:type="dxa"/>
            <w:vMerge w:val="continue"/>
            <w:shd w:val="clear" w:color="auto" w:fill="auto"/>
            <w:vAlign w:val="center"/>
          </w:tcPr>
          <w:p w14:paraId="67176210">
            <w:pPr>
              <w:spacing w:line="360" w:lineRule="auto"/>
              <w:jc w:val="center"/>
              <w:rPr>
                <w:rFonts w:hint="eastAsia" w:ascii="宋体" w:hAnsi="宋体" w:cs="宋体"/>
                <w:color w:val="000000" w:themeColor="text1"/>
                <w:sz w:val="24"/>
                <w14:textFill>
                  <w14:solidFill>
                    <w14:schemeClr w14:val="tx1"/>
                  </w14:solidFill>
                </w14:textFill>
              </w:rPr>
            </w:pPr>
          </w:p>
        </w:tc>
        <w:tc>
          <w:tcPr>
            <w:tcW w:w="2682" w:type="dxa"/>
            <w:shd w:val="clear" w:color="auto" w:fill="auto"/>
            <w:vAlign w:val="center"/>
          </w:tcPr>
          <w:p w14:paraId="0719E1F9">
            <w:pPr>
              <w:widowControl/>
              <w:spacing w:line="360" w:lineRule="auto"/>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会议通知</w:t>
            </w:r>
          </w:p>
        </w:tc>
        <w:tc>
          <w:tcPr>
            <w:tcW w:w="4567" w:type="dxa"/>
            <w:shd w:val="clear" w:color="auto" w:fill="auto"/>
          </w:tcPr>
          <w:p w14:paraId="06FEBEFD">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会议举办信息的发布及管理</w:t>
            </w:r>
          </w:p>
        </w:tc>
      </w:tr>
      <w:tr w14:paraId="0AD1D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7" w:type="dxa"/>
            <w:vMerge w:val="continue"/>
            <w:shd w:val="clear" w:color="auto" w:fill="auto"/>
            <w:vAlign w:val="center"/>
          </w:tcPr>
          <w:p w14:paraId="5274BA5E">
            <w:pPr>
              <w:spacing w:line="360" w:lineRule="auto"/>
              <w:jc w:val="center"/>
              <w:rPr>
                <w:rFonts w:hint="eastAsia" w:ascii="宋体" w:hAnsi="宋体" w:cs="宋体"/>
                <w:color w:val="000000" w:themeColor="text1"/>
                <w:sz w:val="24"/>
                <w14:textFill>
                  <w14:solidFill>
                    <w14:schemeClr w14:val="tx1"/>
                  </w14:solidFill>
                </w14:textFill>
              </w:rPr>
            </w:pPr>
          </w:p>
        </w:tc>
        <w:tc>
          <w:tcPr>
            <w:tcW w:w="696" w:type="dxa"/>
            <w:vMerge w:val="continue"/>
            <w:shd w:val="clear" w:color="auto" w:fill="auto"/>
            <w:vAlign w:val="center"/>
          </w:tcPr>
          <w:p w14:paraId="631E9312">
            <w:pPr>
              <w:spacing w:line="360" w:lineRule="auto"/>
              <w:jc w:val="center"/>
              <w:rPr>
                <w:rFonts w:hint="eastAsia" w:ascii="宋体" w:hAnsi="宋体" w:cs="宋体"/>
                <w:color w:val="000000" w:themeColor="text1"/>
                <w:sz w:val="24"/>
                <w14:textFill>
                  <w14:solidFill>
                    <w14:schemeClr w14:val="tx1"/>
                  </w14:solidFill>
                </w14:textFill>
              </w:rPr>
            </w:pPr>
          </w:p>
        </w:tc>
        <w:tc>
          <w:tcPr>
            <w:tcW w:w="2682" w:type="dxa"/>
            <w:shd w:val="clear" w:color="auto" w:fill="auto"/>
            <w:vAlign w:val="center"/>
          </w:tcPr>
          <w:p w14:paraId="26FCFB19">
            <w:pPr>
              <w:widowControl/>
              <w:spacing w:line="360" w:lineRule="auto"/>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会议归档</w:t>
            </w:r>
          </w:p>
        </w:tc>
        <w:tc>
          <w:tcPr>
            <w:tcW w:w="4567" w:type="dxa"/>
            <w:shd w:val="clear" w:color="auto" w:fill="auto"/>
          </w:tcPr>
          <w:p w14:paraId="5239B497">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历史会议信息归档功能</w:t>
            </w:r>
          </w:p>
        </w:tc>
      </w:tr>
      <w:tr w14:paraId="0899A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7" w:type="dxa"/>
            <w:vMerge w:val="continue"/>
            <w:shd w:val="clear" w:color="auto" w:fill="auto"/>
            <w:vAlign w:val="center"/>
          </w:tcPr>
          <w:p w14:paraId="2FE90962">
            <w:pPr>
              <w:spacing w:line="360" w:lineRule="auto"/>
              <w:jc w:val="center"/>
              <w:rPr>
                <w:rFonts w:hint="eastAsia" w:ascii="宋体" w:hAnsi="宋体" w:cs="宋体"/>
                <w:color w:val="000000" w:themeColor="text1"/>
                <w:sz w:val="24"/>
                <w14:textFill>
                  <w14:solidFill>
                    <w14:schemeClr w14:val="tx1"/>
                  </w14:solidFill>
                </w14:textFill>
              </w:rPr>
            </w:pPr>
          </w:p>
        </w:tc>
        <w:tc>
          <w:tcPr>
            <w:tcW w:w="696" w:type="dxa"/>
            <w:vMerge w:val="continue"/>
            <w:shd w:val="clear" w:color="auto" w:fill="auto"/>
            <w:vAlign w:val="center"/>
          </w:tcPr>
          <w:p w14:paraId="1A19AEE6">
            <w:pPr>
              <w:spacing w:line="360" w:lineRule="auto"/>
              <w:jc w:val="center"/>
              <w:rPr>
                <w:rFonts w:hint="eastAsia" w:ascii="宋体" w:hAnsi="宋体" w:cs="宋体"/>
                <w:color w:val="000000" w:themeColor="text1"/>
                <w:sz w:val="24"/>
                <w14:textFill>
                  <w14:solidFill>
                    <w14:schemeClr w14:val="tx1"/>
                  </w14:solidFill>
                </w14:textFill>
              </w:rPr>
            </w:pPr>
          </w:p>
        </w:tc>
        <w:tc>
          <w:tcPr>
            <w:tcW w:w="2682" w:type="dxa"/>
            <w:shd w:val="clear" w:color="auto" w:fill="auto"/>
            <w:vAlign w:val="center"/>
          </w:tcPr>
          <w:p w14:paraId="66576D2B">
            <w:pPr>
              <w:widowControl/>
              <w:spacing w:line="360" w:lineRule="auto"/>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系统设置</w:t>
            </w:r>
          </w:p>
        </w:tc>
        <w:tc>
          <w:tcPr>
            <w:tcW w:w="4567" w:type="dxa"/>
            <w:shd w:val="clear" w:color="auto" w:fill="auto"/>
          </w:tcPr>
          <w:p w14:paraId="4303ECA1">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系统基础配置</w:t>
            </w:r>
          </w:p>
        </w:tc>
      </w:tr>
      <w:tr w14:paraId="01F8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57" w:type="dxa"/>
            <w:vMerge w:val="continue"/>
            <w:shd w:val="clear" w:color="auto" w:fill="auto"/>
            <w:vAlign w:val="center"/>
          </w:tcPr>
          <w:p w14:paraId="0993219C">
            <w:pPr>
              <w:spacing w:line="360" w:lineRule="auto"/>
              <w:jc w:val="center"/>
              <w:rPr>
                <w:rFonts w:hint="eastAsia" w:ascii="宋体" w:hAnsi="宋体" w:cs="宋体"/>
                <w:color w:val="000000" w:themeColor="text1"/>
                <w:sz w:val="24"/>
                <w14:textFill>
                  <w14:solidFill>
                    <w14:schemeClr w14:val="tx1"/>
                  </w14:solidFill>
                </w14:textFill>
              </w:rPr>
            </w:pPr>
          </w:p>
        </w:tc>
        <w:tc>
          <w:tcPr>
            <w:tcW w:w="696" w:type="dxa"/>
            <w:vMerge w:val="continue"/>
            <w:shd w:val="clear" w:color="auto" w:fill="auto"/>
            <w:vAlign w:val="center"/>
          </w:tcPr>
          <w:p w14:paraId="6C7D0801">
            <w:pPr>
              <w:spacing w:line="360" w:lineRule="auto"/>
              <w:jc w:val="center"/>
              <w:rPr>
                <w:rFonts w:hint="eastAsia" w:ascii="宋体" w:hAnsi="宋体" w:cs="宋体"/>
                <w:color w:val="000000" w:themeColor="text1"/>
                <w:sz w:val="24"/>
                <w14:textFill>
                  <w14:solidFill>
                    <w14:schemeClr w14:val="tx1"/>
                  </w14:solidFill>
                </w14:textFill>
              </w:rPr>
            </w:pPr>
          </w:p>
        </w:tc>
        <w:tc>
          <w:tcPr>
            <w:tcW w:w="2682" w:type="dxa"/>
            <w:shd w:val="clear" w:color="auto" w:fill="auto"/>
            <w:vAlign w:val="center"/>
          </w:tcPr>
          <w:p w14:paraId="13A90042">
            <w:pPr>
              <w:widowControl/>
              <w:spacing w:line="360" w:lineRule="auto"/>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财经综合监督系统</w:t>
            </w:r>
          </w:p>
        </w:tc>
        <w:tc>
          <w:tcPr>
            <w:tcW w:w="4567" w:type="dxa"/>
            <w:shd w:val="clear" w:color="auto" w:fill="auto"/>
          </w:tcPr>
          <w:p w14:paraId="557B9B0C">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提供部门预算、国资监督等数据的归集分析，并进行可视化展示。</w:t>
            </w:r>
          </w:p>
        </w:tc>
      </w:tr>
      <w:tr w14:paraId="6191D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7" w:type="dxa"/>
            <w:vMerge w:val="continue"/>
            <w:shd w:val="clear" w:color="auto" w:fill="auto"/>
            <w:vAlign w:val="center"/>
          </w:tcPr>
          <w:p w14:paraId="236EF5B5">
            <w:pPr>
              <w:spacing w:line="360" w:lineRule="auto"/>
              <w:jc w:val="center"/>
              <w:rPr>
                <w:rFonts w:hint="eastAsia" w:ascii="宋体" w:hAnsi="宋体" w:cs="宋体"/>
                <w:color w:val="000000" w:themeColor="text1"/>
                <w:sz w:val="24"/>
                <w14:textFill>
                  <w14:solidFill>
                    <w14:schemeClr w14:val="tx1"/>
                  </w14:solidFill>
                </w14:textFill>
              </w:rPr>
            </w:pPr>
          </w:p>
        </w:tc>
        <w:tc>
          <w:tcPr>
            <w:tcW w:w="696" w:type="dxa"/>
            <w:vMerge w:val="continue"/>
            <w:shd w:val="clear" w:color="auto" w:fill="auto"/>
            <w:vAlign w:val="center"/>
          </w:tcPr>
          <w:p w14:paraId="72D4DA99">
            <w:pPr>
              <w:spacing w:line="360" w:lineRule="auto"/>
              <w:jc w:val="center"/>
              <w:rPr>
                <w:rFonts w:hint="eastAsia" w:ascii="宋体" w:hAnsi="宋体" w:cs="宋体"/>
                <w:color w:val="000000" w:themeColor="text1"/>
                <w:sz w:val="24"/>
                <w14:textFill>
                  <w14:solidFill>
                    <w14:schemeClr w14:val="tx1"/>
                  </w14:solidFill>
                </w14:textFill>
              </w:rPr>
            </w:pPr>
          </w:p>
        </w:tc>
        <w:tc>
          <w:tcPr>
            <w:tcW w:w="2682" w:type="dxa"/>
            <w:shd w:val="clear" w:color="auto" w:fill="auto"/>
            <w:vAlign w:val="center"/>
          </w:tcPr>
          <w:p w14:paraId="6AD3191D">
            <w:pPr>
              <w:widowControl/>
              <w:spacing w:line="360" w:lineRule="auto"/>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议案建议办理系统</w:t>
            </w:r>
          </w:p>
        </w:tc>
        <w:tc>
          <w:tcPr>
            <w:tcW w:w="4567" w:type="dxa"/>
            <w:shd w:val="clear" w:color="auto" w:fill="auto"/>
          </w:tcPr>
          <w:p w14:paraId="3F775F5A">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提供议案建议相关的查询、搜索功能</w:t>
            </w:r>
          </w:p>
        </w:tc>
      </w:tr>
      <w:tr w14:paraId="7FAD7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57" w:type="dxa"/>
            <w:vMerge w:val="continue"/>
            <w:shd w:val="clear" w:color="auto" w:fill="auto"/>
            <w:vAlign w:val="center"/>
          </w:tcPr>
          <w:p w14:paraId="32D4B422">
            <w:pPr>
              <w:spacing w:line="360" w:lineRule="auto"/>
              <w:jc w:val="center"/>
              <w:rPr>
                <w:rFonts w:hint="eastAsia" w:ascii="宋体" w:hAnsi="宋体" w:cs="宋体"/>
                <w:color w:val="000000" w:themeColor="text1"/>
                <w:sz w:val="24"/>
                <w14:textFill>
                  <w14:solidFill>
                    <w14:schemeClr w14:val="tx1"/>
                  </w14:solidFill>
                </w14:textFill>
              </w:rPr>
            </w:pPr>
          </w:p>
        </w:tc>
        <w:tc>
          <w:tcPr>
            <w:tcW w:w="696" w:type="dxa"/>
            <w:vMerge w:val="continue"/>
            <w:shd w:val="clear" w:color="auto" w:fill="auto"/>
            <w:vAlign w:val="center"/>
          </w:tcPr>
          <w:p w14:paraId="250F4B41">
            <w:pPr>
              <w:spacing w:line="360" w:lineRule="auto"/>
              <w:jc w:val="center"/>
              <w:rPr>
                <w:rFonts w:hint="eastAsia" w:ascii="宋体" w:hAnsi="宋体" w:cs="宋体"/>
                <w:color w:val="000000" w:themeColor="text1"/>
                <w:sz w:val="24"/>
                <w14:textFill>
                  <w14:solidFill>
                    <w14:schemeClr w14:val="tx1"/>
                  </w14:solidFill>
                </w14:textFill>
              </w:rPr>
            </w:pPr>
          </w:p>
        </w:tc>
        <w:tc>
          <w:tcPr>
            <w:tcW w:w="2682" w:type="dxa"/>
            <w:shd w:val="clear" w:color="auto" w:fill="auto"/>
            <w:vAlign w:val="center"/>
          </w:tcPr>
          <w:p w14:paraId="56C6BA5A">
            <w:pPr>
              <w:widowControl/>
              <w:spacing w:line="360" w:lineRule="auto"/>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司法监督系统</w:t>
            </w:r>
          </w:p>
        </w:tc>
        <w:tc>
          <w:tcPr>
            <w:tcW w:w="4567" w:type="dxa"/>
            <w:shd w:val="clear" w:color="auto" w:fill="auto"/>
          </w:tcPr>
          <w:p w14:paraId="20E80250">
            <w:pPr>
              <w:widowControl/>
              <w:spacing w:line="360" w:lineRule="auto"/>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通过数据分析运用和调研监督情况提出意见建议，更好地服务党委决策和司法工作</w:t>
            </w:r>
          </w:p>
        </w:tc>
      </w:tr>
      <w:tr w14:paraId="31C3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57" w:type="dxa"/>
            <w:vMerge w:val="continue"/>
            <w:shd w:val="clear" w:color="auto" w:fill="auto"/>
            <w:vAlign w:val="center"/>
          </w:tcPr>
          <w:p w14:paraId="3C6C8FD4">
            <w:pPr>
              <w:spacing w:line="360" w:lineRule="auto"/>
              <w:jc w:val="center"/>
              <w:rPr>
                <w:rFonts w:hint="eastAsia" w:ascii="宋体" w:hAnsi="宋体" w:cs="宋体"/>
                <w:color w:val="000000" w:themeColor="text1"/>
                <w:sz w:val="24"/>
                <w14:textFill>
                  <w14:solidFill>
                    <w14:schemeClr w14:val="tx1"/>
                  </w14:solidFill>
                </w14:textFill>
              </w:rPr>
            </w:pPr>
          </w:p>
        </w:tc>
        <w:tc>
          <w:tcPr>
            <w:tcW w:w="696" w:type="dxa"/>
            <w:vMerge w:val="continue"/>
            <w:shd w:val="clear" w:color="auto" w:fill="auto"/>
            <w:vAlign w:val="center"/>
          </w:tcPr>
          <w:p w14:paraId="2BD6941B">
            <w:pPr>
              <w:spacing w:line="360" w:lineRule="auto"/>
              <w:jc w:val="center"/>
              <w:rPr>
                <w:rFonts w:hint="eastAsia" w:ascii="宋体" w:hAnsi="宋体" w:cs="宋体"/>
                <w:color w:val="000000" w:themeColor="text1"/>
                <w:sz w:val="24"/>
                <w14:textFill>
                  <w14:solidFill>
                    <w14:schemeClr w14:val="tx1"/>
                  </w14:solidFill>
                </w14:textFill>
              </w:rPr>
            </w:pPr>
          </w:p>
        </w:tc>
        <w:tc>
          <w:tcPr>
            <w:tcW w:w="2682" w:type="dxa"/>
            <w:shd w:val="clear" w:color="auto" w:fill="auto"/>
            <w:vAlign w:val="center"/>
          </w:tcPr>
          <w:p w14:paraId="61FC8C59">
            <w:pPr>
              <w:widowControl/>
              <w:spacing w:line="360" w:lineRule="auto"/>
              <w:jc w:val="left"/>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立法、监督项目征集</w:t>
            </w:r>
          </w:p>
        </w:tc>
        <w:tc>
          <w:tcPr>
            <w:tcW w:w="4567" w:type="dxa"/>
            <w:shd w:val="clear" w:color="auto" w:fill="auto"/>
          </w:tcPr>
          <w:p w14:paraId="30A1298B">
            <w:pPr>
              <w:widowControl/>
              <w:spacing w:line="360" w:lineRule="auto"/>
              <w:jc w:val="left"/>
              <w:textAlignment w:val="top"/>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会议期间为人大代表提供立法、监督项目征集填报服务，后台支持数据统计、导出等功能；</w:t>
            </w:r>
          </w:p>
        </w:tc>
      </w:tr>
      <w:tr w14:paraId="2013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57" w:type="dxa"/>
            <w:vMerge w:val="continue"/>
            <w:shd w:val="clear" w:color="auto" w:fill="auto"/>
            <w:vAlign w:val="center"/>
          </w:tcPr>
          <w:p w14:paraId="36E9BC90">
            <w:pPr>
              <w:spacing w:line="360" w:lineRule="auto"/>
              <w:jc w:val="center"/>
              <w:rPr>
                <w:rFonts w:hint="eastAsia" w:ascii="宋体" w:hAnsi="宋体" w:cs="宋体"/>
                <w:color w:val="000000" w:themeColor="text1"/>
                <w:sz w:val="24"/>
                <w14:textFill>
                  <w14:solidFill>
                    <w14:schemeClr w14:val="tx1"/>
                  </w14:solidFill>
                </w14:textFill>
              </w:rPr>
            </w:pPr>
          </w:p>
        </w:tc>
        <w:tc>
          <w:tcPr>
            <w:tcW w:w="696" w:type="dxa"/>
            <w:vMerge w:val="continue"/>
            <w:shd w:val="clear" w:color="auto" w:fill="auto"/>
            <w:vAlign w:val="center"/>
          </w:tcPr>
          <w:p w14:paraId="3FF3A7F2">
            <w:pPr>
              <w:spacing w:line="360" w:lineRule="auto"/>
              <w:jc w:val="center"/>
              <w:rPr>
                <w:rFonts w:hint="eastAsia" w:ascii="宋体" w:hAnsi="宋体" w:cs="宋体"/>
                <w:color w:val="000000" w:themeColor="text1"/>
                <w:sz w:val="24"/>
                <w14:textFill>
                  <w14:solidFill>
                    <w14:schemeClr w14:val="tx1"/>
                  </w14:solidFill>
                </w14:textFill>
              </w:rPr>
            </w:pPr>
          </w:p>
        </w:tc>
        <w:tc>
          <w:tcPr>
            <w:tcW w:w="2682" w:type="dxa"/>
            <w:shd w:val="clear" w:color="auto" w:fill="auto"/>
            <w:vAlign w:val="center"/>
          </w:tcPr>
          <w:p w14:paraId="017EBB45">
            <w:pPr>
              <w:widowControl/>
              <w:spacing w:line="360" w:lineRule="auto"/>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文件资料系统</w:t>
            </w:r>
          </w:p>
        </w:tc>
        <w:tc>
          <w:tcPr>
            <w:tcW w:w="4567" w:type="dxa"/>
            <w:shd w:val="clear" w:color="auto" w:fill="auto"/>
          </w:tcPr>
          <w:p w14:paraId="75E2FD10">
            <w:pPr>
              <w:widowControl/>
              <w:spacing w:line="360" w:lineRule="auto"/>
              <w:jc w:val="left"/>
              <w:textAlignment w:val="top"/>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对领导讲话、立法工作、监督工作、代表工作、机关工作、制度汇编等数据进行聚合处理，提供统一的内容查看入口</w:t>
            </w:r>
          </w:p>
        </w:tc>
      </w:tr>
      <w:tr w14:paraId="1F270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57" w:type="dxa"/>
            <w:vMerge w:val="restart"/>
            <w:shd w:val="clear" w:color="auto" w:fill="auto"/>
            <w:vAlign w:val="center"/>
          </w:tcPr>
          <w:p w14:paraId="1BE8967D">
            <w:pPr>
              <w:spacing w:line="360" w:lineRule="auto"/>
              <w:jc w:val="center"/>
              <w:rPr>
                <w:rFonts w:hint="eastAsia" w:ascii="宋体" w:hAnsi="宋体" w:cs="宋体"/>
                <w:color w:val="000000" w:themeColor="text1"/>
                <w:sz w:val="24"/>
                <w14:textFill>
                  <w14:solidFill>
                    <w14:schemeClr w14:val="tx1"/>
                  </w14:solidFill>
                </w14:textFill>
              </w:rPr>
            </w:pPr>
          </w:p>
        </w:tc>
        <w:tc>
          <w:tcPr>
            <w:tcW w:w="696" w:type="dxa"/>
            <w:vMerge w:val="continue"/>
            <w:shd w:val="clear" w:color="auto" w:fill="auto"/>
            <w:vAlign w:val="center"/>
          </w:tcPr>
          <w:p w14:paraId="44E1F8CD">
            <w:pPr>
              <w:spacing w:line="360" w:lineRule="auto"/>
              <w:jc w:val="center"/>
              <w:rPr>
                <w:rFonts w:hint="eastAsia" w:ascii="宋体" w:hAnsi="宋体" w:cs="宋体"/>
                <w:color w:val="000000" w:themeColor="text1"/>
                <w:sz w:val="24"/>
                <w14:textFill>
                  <w14:solidFill>
                    <w14:schemeClr w14:val="tx1"/>
                  </w14:solidFill>
                </w14:textFill>
              </w:rPr>
            </w:pPr>
          </w:p>
        </w:tc>
        <w:tc>
          <w:tcPr>
            <w:tcW w:w="2682" w:type="dxa"/>
            <w:shd w:val="clear" w:color="auto" w:fill="auto"/>
            <w:vAlign w:val="center"/>
          </w:tcPr>
          <w:p w14:paraId="2C129D93">
            <w:pPr>
              <w:widowControl/>
              <w:spacing w:line="360" w:lineRule="auto"/>
              <w:jc w:val="left"/>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会议请假系统</w:t>
            </w:r>
          </w:p>
        </w:tc>
        <w:tc>
          <w:tcPr>
            <w:tcW w:w="4567" w:type="dxa"/>
            <w:shd w:val="clear" w:color="auto" w:fill="auto"/>
          </w:tcPr>
          <w:p w14:paraId="6133E6B8">
            <w:pPr>
              <w:widowControl/>
              <w:spacing w:line="360" w:lineRule="auto"/>
              <w:jc w:val="left"/>
              <w:textAlignment w:val="top"/>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人代会期间以及人代会前，参加会议的人大代表或者工作人员的请假审批系统。系统功能包含请假申请、管理员审批、审批单打印等。</w:t>
            </w:r>
          </w:p>
        </w:tc>
      </w:tr>
      <w:tr w14:paraId="599E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57" w:type="dxa"/>
            <w:vMerge w:val="continue"/>
            <w:shd w:val="clear" w:color="auto" w:fill="auto"/>
            <w:vAlign w:val="center"/>
          </w:tcPr>
          <w:p w14:paraId="36DBCCB1">
            <w:pPr>
              <w:spacing w:line="360" w:lineRule="auto"/>
              <w:jc w:val="center"/>
              <w:rPr>
                <w:rFonts w:hint="eastAsia" w:ascii="宋体" w:hAnsi="宋体" w:cs="宋体"/>
                <w:color w:val="000000" w:themeColor="text1"/>
                <w:sz w:val="24"/>
                <w14:textFill>
                  <w14:solidFill>
                    <w14:schemeClr w14:val="tx1"/>
                  </w14:solidFill>
                </w14:textFill>
              </w:rPr>
            </w:pPr>
          </w:p>
        </w:tc>
        <w:tc>
          <w:tcPr>
            <w:tcW w:w="696" w:type="dxa"/>
            <w:vMerge w:val="continue"/>
            <w:shd w:val="clear" w:color="auto" w:fill="auto"/>
            <w:vAlign w:val="center"/>
          </w:tcPr>
          <w:p w14:paraId="29488548">
            <w:pPr>
              <w:spacing w:line="360" w:lineRule="auto"/>
              <w:jc w:val="center"/>
              <w:rPr>
                <w:rFonts w:hint="eastAsia" w:ascii="宋体" w:hAnsi="宋体" w:cs="宋体"/>
                <w:color w:val="000000" w:themeColor="text1"/>
                <w:sz w:val="24"/>
                <w14:textFill>
                  <w14:solidFill>
                    <w14:schemeClr w14:val="tx1"/>
                  </w14:solidFill>
                </w14:textFill>
              </w:rPr>
            </w:pPr>
          </w:p>
        </w:tc>
        <w:tc>
          <w:tcPr>
            <w:tcW w:w="2682" w:type="dxa"/>
            <w:shd w:val="clear" w:color="auto" w:fill="auto"/>
            <w:vAlign w:val="center"/>
          </w:tcPr>
          <w:p w14:paraId="5E2DF2F8">
            <w:pPr>
              <w:widowControl/>
              <w:spacing w:line="360" w:lineRule="auto"/>
              <w:jc w:val="left"/>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会议排座系统</w:t>
            </w:r>
          </w:p>
        </w:tc>
        <w:tc>
          <w:tcPr>
            <w:tcW w:w="4567" w:type="dxa"/>
            <w:shd w:val="clear" w:color="auto" w:fill="auto"/>
          </w:tcPr>
          <w:p w14:paraId="23CF0FCD">
            <w:pPr>
              <w:widowControl/>
              <w:spacing w:line="360" w:lineRule="auto"/>
              <w:jc w:val="left"/>
              <w:textAlignment w:val="top"/>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在人代会期间，根据会议会场座位布局情况以及参会人员名单，自动生成会场内的座位图，同时系统支持导出人员座位数据。</w:t>
            </w:r>
          </w:p>
        </w:tc>
      </w:tr>
      <w:tr w14:paraId="2E28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57" w:type="dxa"/>
            <w:vMerge w:val="continue"/>
            <w:shd w:val="clear" w:color="auto" w:fill="auto"/>
            <w:vAlign w:val="center"/>
          </w:tcPr>
          <w:p w14:paraId="1D9AC71C">
            <w:pPr>
              <w:spacing w:line="360" w:lineRule="auto"/>
              <w:jc w:val="center"/>
              <w:rPr>
                <w:rFonts w:hint="eastAsia" w:ascii="宋体" w:hAnsi="宋体" w:cs="宋体"/>
                <w:color w:val="000000" w:themeColor="text1"/>
                <w:sz w:val="24"/>
                <w14:textFill>
                  <w14:solidFill>
                    <w14:schemeClr w14:val="tx1"/>
                  </w14:solidFill>
                </w14:textFill>
              </w:rPr>
            </w:pPr>
          </w:p>
        </w:tc>
        <w:tc>
          <w:tcPr>
            <w:tcW w:w="696" w:type="dxa"/>
            <w:vMerge w:val="continue"/>
            <w:shd w:val="clear" w:color="auto" w:fill="auto"/>
            <w:vAlign w:val="center"/>
          </w:tcPr>
          <w:p w14:paraId="55D534EB">
            <w:pPr>
              <w:spacing w:line="360" w:lineRule="auto"/>
              <w:jc w:val="center"/>
              <w:rPr>
                <w:rFonts w:hint="eastAsia" w:ascii="宋体" w:hAnsi="宋体" w:cs="宋体"/>
                <w:color w:val="000000" w:themeColor="text1"/>
                <w:sz w:val="24"/>
                <w14:textFill>
                  <w14:solidFill>
                    <w14:schemeClr w14:val="tx1"/>
                  </w14:solidFill>
                </w14:textFill>
              </w:rPr>
            </w:pPr>
          </w:p>
        </w:tc>
        <w:tc>
          <w:tcPr>
            <w:tcW w:w="2682" w:type="dxa"/>
            <w:shd w:val="clear" w:color="auto" w:fill="auto"/>
            <w:vAlign w:val="center"/>
          </w:tcPr>
          <w:p w14:paraId="6F5BFA9A">
            <w:pPr>
              <w:widowControl/>
              <w:spacing w:line="360" w:lineRule="auto"/>
              <w:jc w:val="left"/>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满意度测评系统</w:t>
            </w:r>
          </w:p>
        </w:tc>
        <w:tc>
          <w:tcPr>
            <w:tcW w:w="4567" w:type="dxa"/>
            <w:shd w:val="clear" w:color="auto" w:fill="auto"/>
          </w:tcPr>
          <w:p w14:paraId="36A9E0FA">
            <w:pPr>
              <w:widowControl/>
              <w:spacing w:line="360" w:lineRule="auto"/>
              <w:jc w:val="left"/>
              <w:textAlignment w:val="top"/>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支持人大日常工作中的各种事项测评。系统功能包含用户测评以及结果实时统计两大模块。</w:t>
            </w:r>
          </w:p>
        </w:tc>
      </w:tr>
      <w:tr w14:paraId="5B327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57" w:type="dxa"/>
            <w:shd w:val="clear" w:color="auto" w:fill="auto"/>
            <w:vAlign w:val="center"/>
          </w:tcPr>
          <w:p w14:paraId="6B8983FE">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c>
          <w:tcPr>
            <w:tcW w:w="696" w:type="dxa"/>
            <w:shd w:val="clear" w:color="auto" w:fill="auto"/>
            <w:vAlign w:val="center"/>
          </w:tcPr>
          <w:p w14:paraId="1599A023">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安全服务</w:t>
            </w:r>
          </w:p>
        </w:tc>
        <w:tc>
          <w:tcPr>
            <w:tcW w:w="7249" w:type="dxa"/>
            <w:gridSpan w:val="2"/>
            <w:shd w:val="clear" w:color="auto" w:fill="auto"/>
            <w:vAlign w:val="center"/>
          </w:tcPr>
          <w:p w14:paraId="41A111BE">
            <w:pPr>
              <w:widowControl/>
              <w:spacing w:line="360" w:lineRule="auto"/>
              <w:jc w:val="left"/>
              <w:textAlignment w:val="top"/>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提供信息系统安全管控服务，包括上网行为管理、移动设备合规检测、移动设备资产管理、移动设备外设策略管理、移动设备操作管理、应用管理及数据防泄漏管理等功能。</w:t>
            </w:r>
          </w:p>
        </w:tc>
      </w:tr>
      <w:tr w14:paraId="104E1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57" w:type="dxa"/>
            <w:vMerge w:val="restart"/>
            <w:vAlign w:val="center"/>
          </w:tcPr>
          <w:p w14:paraId="39A28701">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p>
        </w:tc>
        <w:tc>
          <w:tcPr>
            <w:tcW w:w="696" w:type="dxa"/>
            <w:vMerge w:val="restart"/>
            <w:vAlign w:val="center"/>
          </w:tcPr>
          <w:p w14:paraId="2B21FD58">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运维保障服务</w:t>
            </w:r>
          </w:p>
        </w:tc>
        <w:tc>
          <w:tcPr>
            <w:tcW w:w="2682" w:type="dxa"/>
            <w:vAlign w:val="center"/>
          </w:tcPr>
          <w:p w14:paraId="5200D37D">
            <w:pPr>
              <w:widowControl/>
              <w:spacing w:line="360" w:lineRule="auto"/>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云资源</w:t>
            </w:r>
          </w:p>
        </w:tc>
        <w:tc>
          <w:tcPr>
            <w:tcW w:w="4567" w:type="dxa"/>
            <w:vAlign w:val="center"/>
          </w:tcPr>
          <w:p w14:paraId="04BE36EF">
            <w:pPr>
              <w:widowControl/>
              <w:spacing w:line="360" w:lineRule="auto"/>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提供负载均衡服务、灾备服务、云存储OSS服务、云缓存数据库服务、带宽资源不少于300M(重大会议期间要求提供1000M及以上带宽资源)。</w:t>
            </w:r>
          </w:p>
        </w:tc>
      </w:tr>
      <w:tr w14:paraId="5DD99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57" w:type="dxa"/>
            <w:vMerge w:val="continue"/>
          </w:tcPr>
          <w:p w14:paraId="1FE5BCE4">
            <w:pPr>
              <w:spacing w:line="360" w:lineRule="auto"/>
              <w:jc w:val="center"/>
              <w:rPr>
                <w:rFonts w:hint="eastAsia" w:ascii="宋体" w:hAnsi="宋体" w:cs="宋体"/>
                <w:color w:val="000000" w:themeColor="text1"/>
                <w:sz w:val="24"/>
                <w14:textFill>
                  <w14:solidFill>
                    <w14:schemeClr w14:val="tx1"/>
                  </w14:solidFill>
                </w14:textFill>
              </w:rPr>
            </w:pPr>
          </w:p>
        </w:tc>
        <w:tc>
          <w:tcPr>
            <w:tcW w:w="696" w:type="dxa"/>
            <w:vMerge w:val="continue"/>
          </w:tcPr>
          <w:p w14:paraId="4B8C2A74">
            <w:pPr>
              <w:spacing w:line="360" w:lineRule="auto"/>
              <w:jc w:val="center"/>
              <w:rPr>
                <w:rFonts w:hint="eastAsia" w:ascii="宋体" w:hAnsi="宋体" w:cs="宋体"/>
                <w:color w:val="000000" w:themeColor="text1"/>
                <w:sz w:val="24"/>
                <w14:textFill>
                  <w14:solidFill>
                    <w14:schemeClr w14:val="tx1"/>
                  </w14:solidFill>
                </w14:textFill>
              </w:rPr>
            </w:pPr>
          </w:p>
        </w:tc>
        <w:tc>
          <w:tcPr>
            <w:tcW w:w="2682" w:type="dxa"/>
            <w:vAlign w:val="center"/>
          </w:tcPr>
          <w:p w14:paraId="5B4583BF">
            <w:pPr>
              <w:widowControl/>
              <w:spacing w:line="360" w:lineRule="auto"/>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流量</w:t>
            </w:r>
          </w:p>
        </w:tc>
        <w:tc>
          <w:tcPr>
            <w:tcW w:w="4567" w:type="dxa"/>
            <w:vAlign w:val="center"/>
          </w:tcPr>
          <w:p w14:paraId="14DC2DE6">
            <w:pPr>
              <w:widowControl/>
              <w:spacing w:line="360" w:lineRule="auto"/>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在2年服务期间要求为每个客户终端提供不少于12G/月的数据流量。</w:t>
            </w:r>
          </w:p>
        </w:tc>
      </w:tr>
      <w:tr w14:paraId="0E72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57" w:type="dxa"/>
            <w:vMerge w:val="continue"/>
          </w:tcPr>
          <w:p w14:paraId="00C9E91F">
            <w:pPr>
              <w:spacing w:line="360" w:lineRule="auto"/>
              <w:jc w:val="center"/>
              <w:rPr>
                <w:rFonts w:hint="eastAsia" w:ascii="宋体" w:hAnsi="宋体" w:cs="宋体"/>
                <w:color w:val="000000" w:themeColor="text1"/>
                <w:sz w:val="24"/>
                <w14:textFill>
                  <w14:solidFill>
                    <w14:schemeClr w14:val="tx1"/>
                  </w14:solidFill>
                </w14:textFill>
              </w:rPr>
            </w:pPr>
          </w:p>
        </w:tc>
        <w:tc>
          <w:tcPr>
            <w:tcW w:w="696" w:type="dxa"/>
            <w:vMerge w:val="continue"/>
          </w:tcPr>
          <w:p w14:paraId="5D00ED07">
            <w:pPr>
              <w:spacing w:line="360" w:lineRule="auto"/>
              <w:jc w:val="center"/>
              <w:rPr>
                <w:rFonts w:hint="eastAsia" w:ascii="宋体" w:hAnsi="宋体" w:cs="宋体"/>
                <w:color w:val="000000" w:themeColor="text1"/>
                <w:sz w:val="24"/>
                <w14:textFill>
                  <w14:solidFill>
                    <w14:schemeClr w14:val="tx1"/>
                  </w14:solidFill>
                </w14:textFill>
              </w:rPr>
            </w:pPr>
          </w:p>
        </w:tc>
        <w:tc>
          <w:tcPr>
            <w:tcW w:w="2682" w:type="dxa"/>
            <w:vAlign w:val="center"/>
          </w:tcPr>
          <w:p w14:paraId="07920A2D">
            <w:pPr>
              <w:widowControl/>
              <w:spacing w:line="360" w:lineRule="auto"/>
              <w:jc w:val="left"/>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短信服务</w:t>
            </w:r>
          </w:p>
        </w:tc>
        <w:tc>
          <w:tcPr>
            <w:tcW w:w="4567" w:type="dxa"/>
            <w:vAlign w:val="center"/>
          </w:tcPr>
          <w:p w14:paraId="089D1D1E">
            <w:pPr>
              <w:widowControl/>
              <w:spacing w:line="360" w:lineRule="auto"/>
              <w:jc w:val="left"/>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在2年服务期间提供短信服务。</w:t>
            </w:r>
          </w:p>
        </w:tc>
      </w:tr>
      <w:tr w14:paraId="31F1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57" w:type="dxa"/>
            <w:vMerge w:val="continue"/>
          </w:tcPr>
          <w:p w14:paraId="64542EFB">
            <w:pPr>
              <w:spacing w:line="360" w:lineRule="auto"/>
              <w:jc w:val="center"/>
              <w:rPr>
                <w:rFonts w:hint="eastAsia" w:ascii="宋体" w:hAnsi="宋体" w:cs="宋体"/>
                <w:color w:val="000000" w:themeColor="text1"/>
                <w:sz w:val="24"/>
                <w14:textFill>
                  <w14:solidFill>
                    <w14:schemeClr w14:val="tx1"/>
                  </w14:solidFill>
                </w14:textFill>
              </w:rPr>
            </w:pPr>
          </w:p>
        </w:tc>
        <w:tc>
          <w:tcPr>
            <w:tcW w:w="696" w:type="dxa"/>
            <w:vMerge w:val="continue"/>
          </w:tcPr>
          <w:p w14:paraId="0C9B4FDE">
            <w:pPr>
              <w:spacing w:line="360" w:lineRule="auto"/>
              <w:jc w:val="center"/>
              <w:rPr>
                <w:rFonts w:hint="eastAsia" w:ascii="宋体" w:hAnsi="宋体" w:cs="宋体"/>
                <w:color w:val="000000" w:themeColor="text1"/>
                <w:sz w:val="24"/>
                <w14:textFill>
                  <w14:solidFill>
                    <w14:schemeClr w14:val="tx1"/>
                  </w14:solidFill>
                </w14:textFill>
              </w:rPr>
            </w:pPr>
          </w:p>
        </w:tc>
        <w:tc>
          <w:tcPr>
            <w:tcW w:w="2682" w:type="dxa"/>
            <w:vAlign w:val="center"/>
          </w:tcPr>
          <w:p w14:paraId="3D53B4B7">
            <w:pPr>
              <w:widowControl/>
              <w:spacing w:line="360" w:lineRule="auto"/>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日常驻点服务及大会期间保障服务</w:t>
            </w:r>
          </w:p>
        </w:tc>
        <w:tc>
          <w:tcPr>
            <w:tcW w:w="4567" w:type="dxa"/>
            <w:vAlign w:val="center"/>
          </w:tcPr>
          <w:p w14:paraId="4F48ABBE">
            <w:pPr>
              <w:widowControl/>
              <w:spacing w:line="360" w:lineRule="auto"/>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提供至少1个及以上人员现场日常驻点服务，会议服务阅览器维护和听会系统维护服务保障；大会期间，要求投标人提供5人及以上现场驻点保障服务。</w:t>
            </w:r>
          </w:p>
        </w:tc>
      </w:tr>
    </w:tbl>
    <w:p w14:paraId="1808AD2F">
      <w:pPr>
        <w:widowControl/>
        <w:spacing w:line="360" w:lineRule="auto"/>
        <w:jc w:val="left"/>
        <w:rPr>
          <w:rFonts w:hint="eastAsia" w:ascii="宋体" w:hAnsi="宋体" w:cs="宋体"/>
          <w:color w:val="000000" w:themeColor="text1"/>
          <w:sz w:val="24"/>
          <w14:textFill>
            <w14:solidFill>
              <w14:schemeClr w14:val="tx1"/>
            </w14:solidFill>
          </w14:textFill>
        </w:rPr>
      </w:pPr>
    </w:p>
    <w:p w14:paraId="1FE8930E">
      <w:pPr>
        <w:pStyle w:val="4"/>
        <w:rPr>
          <w:rFonts w:hint="eastAsia"/>
          <w:color w:val="000000" w:themeColor="text1"/>
          <w14:textFill>
            <w14:solidFill>
              <w14:schemeClr w14:val="tx1"/>
            </w14:solidFill>
          </w14:textFill>
        </w:rPr>
      </w:pPr>
      <w:bookmarkStart w:id="46" w:name="_Toc82944774"/>
      <w:bookmarkStart w:id="47" w:name="_Toc8975"/>
      <w:r>
        <w:rPr>
          <w:rFonts w:hint="eastAsia" w:cs="宋体"/>
          <w:color w:val="000000" w:themeColor="text1"/>
          <w14:textFill>
            <w14:solidFill>
              <w14:schemeClr w14:val="tx1"/>
            </w14:solidFill>
          </w14:textFill>
        </w:rPr>
        <w:t>四、</w:t>
      </w:r>
      <w:r>
        <w:rPr>
          <w:rFonts w:hint="eastAsia"/>
          <w:color w:val="000000" w:themeColor="text1"/>
          <w14:textFill>
            <w14:solidFill>
              <w14:schemeClr w14:val="tx1"/>
            </w14:solidFill>
          </w14:textFill>
        </w:rPr>
        <w:t>建设内容</w:t>
      </w:r>
      <w:bookmarkEnd w:id="46"/>
      <w:bookmarkEnd w:id="47"/>
    </w:p>
    <w:p w14:paraId="385E55A8">
      <w:pPr>
        <w:spacing w:line="360" w:lineRule="auto"/>
        <w:ind w:left="210" w:leftChars="100"/>
        <w:jc w:val="left"/>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杭州市人大电子阅文服务，包含电子阅文服务、安全服务、运维保障服务。</w:t>
      </w:r>
    </w:p>
    <w:p w14:paraId="1608D225">
      <w:pPr>
        <w:pStyle w:val="26"/>
        <w:spacing w:line="360" w:lineRule="auto"/>
        <w:jc w:val="left"/>
        <w:rPr>
          <w:rFonts w:hint="eastAsia"/>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5941060" cy="5245735"/>
            <wp:effectExtent l="0" t="0" r="2540" b="0"/>
            <wp:docPr id="33940859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408591" name="图片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941060" cy="5245735"/>
                    </a:xfrm>
                    <a:prstGeom prst="rect">
                      <a:avLst/>
                    </a:prstGeom>
                    <a:noFill/>
                    <a:ln>
                      <a:noFill/>
                    </a:ln>
                  </pic:spPr>
                </pic:pic>
              </a:graphicData>
            </a:graphic>
          </wp:inline>
        </w:drawing>
      </w:r>
    </w:p>
    <w:p w14:paraId="6B728D30">
      <w:pPr>
        <w:spacing w:line="360" w:lineRule="auto"/>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网络架构图</w:t>
      </w:r>
    </w:p>
    <w:p w14:paraId="249F49AC">
      <w:pPr>
        <w:spacing w:line="360" w:lineRule="auto"/>
        <w:ind w:firstLine="480" w:firstLineChars="200"/>
        <w:rPr>
          <w:rFonts w:hint="eastAsia"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具体建设内容包括：</w:t>
      </w:r>
    </w:p>
    <w:p w14:paraId="0DDA203B">
      <w:pPr>
        <w:spacing w:line="360" w:lineRule="auto"/>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1、电子阅文服务</w:t>
      </w:r>
    </w:p>
    <w:p w14:paraId="04133B9F">
      <w:pPr>
        <w:spacing w:line="360" w:lineRule="auto"/>
        <w:ind w:firstLine="420"/>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1）会议服务</w:t>
      </w:r>
    </w:p>
    <w:p w14:paraId="70E30179">
      <w:pPr>
        <w:pStyle w:val="24"/>
        <w:spacing w:before="240" w:beforeLines="100" w:after="240" w:afterLines="100"/>
        <w:ind w:left="420" w:firstLine="440"/>
        <w:rPr>
          <w:rFonts w:hint="eastAsia" w:hAnsi="宋体" w:cs="宋体"/>
          <w:color w:val="000000" w:themeColor="text1"/>
          <w:kern w:val="0"/>
          <w:lang w:bidi="ar"/>
          <w14:textFill>
            <w14:solidFill>
              <w14:schemeClr w14:val="tx1"/>
            </w14:solidFill>
          </w14:textFill>
        </w:rPr>
      </w:pPr>
      <w:r>
        <w:rPr>
          <w:rFonts w:hint="eastAsia" w:hAnsi="宋体" w:cs="宋体"/>
          <w:b/>
          <w:bCs/>
          <w:color w:val="000000" w:themeColor="text1"/>
          <w:kern w:val="0"/>
          <w:lang w:bidi="ar"/>
          <w14:textFill>
            <w14:solidFill>
              <w14:schemeClr w14:val="tx1"/>
            </w14:solidFill>
          </w14:textFill>
        </w:rPr>
        <w:t>用户体系管理：</w:t>
      </w:r>
      <w:r>
        <w:rPr>
          <w:rFonts w:hint="eastAsia" w:hAnsi="宋体" w:cs="宋体"/>
          <w:color w:val="000000" w:themeColor="text1"/>
          <w:kern w:val="0"/>
          <w:lang w:bidi="ar"/>
          <w14:textFill>
            <w14:solidFill>
              <w14:schemeClr w14:val="tx1"/>
            </w14:solidFill>
          </w14:textFill>
        </w:rPr>
        <w:t>会议系统用户管理；</w:t>
      </w:r>
    </w:p>
    <w:p w14:paraId="4FBC806F">
      <w:pPr>
        <w:pStyle w:val="25"/>
        <w:spacing w:before="240" w:beforeLines="100" w:after="240" w:afterLines="100"/>
        <w:ind w:left="420"/>
        <w:rPr>
          <w:rFonts w:hint="eastAsia" w:hAnsi="宋体" w:cs="宋体"/>
          <w:color w:val="000000" w:themeColor="text1"/>
          <w:kern w:val="0"/>
          <w:lang w:bidi="ar"/>
          <w14:textFill>
            <w14:solidFill>
              <w14:schemeClr w14:val="tx1"/>
            </w14:solidFill>
          </w14:textFill>
        </w:rPr>
      </w:pPr>
      <w:r>
        <w:rPr>
          <w:rFonts w:hint="eastAsia" w:hAnsi="宋体" w:cs="宋体"/>
          <w:b/>
          <w:bCs/>
          <w:snapToGrid w:val="0"/>
          <w:color w:val="000000" w:themeColor="text1"/>
          <w:kern w:val="0"/>
          <w:szCs w:val="21"/>
          <w:lang w:bidi="ar"/>
          <w14:textFill>
            <w14:solidFill>
              <w14:schemeClr w14:val="tx1"/>
            </w14:solidFill>
          </w14:textFill>
        </w:rPr>
        <w:t>角色权限管理：</w:t>
      </w:r>
      <w:r>
        <w:rPr>
          <w:rFonts w:hint="eastAsia" w:hAnsi="宋体" w:cs="宋体"/>
          <w:color w:val="000000" w:themeColor="text1"/>
          <w:kern w:val="0"/>
          <w:lang w:bidi="ar"/>
          <w14:textFill>
            <w14:solidFill>
              <w14:schemeClr w14:val="tx1"/>
            </w14:solidFill>
          </w14:textFill>
        </w:rPr>
        <w:t>会议系统用户的具体角色管理；</w:t>
      </w:r>
    </w:p>
    <w:p w14:paraId="0D97F75F">
      <w:pPr>
        <w:pStyle w:val="52"/>
        <w:spacing w:before="240" w:beforeLines="100" w:after="240" w:afterLines="100" w:line="360" w:lineRule="auto"/>
        <w:ind w:left="420" w:leftChars="0" w:firstLine="420"/>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b/>
          <w:bCs/>
          <w:snapToGrid w:val="0"/>
          <w:color w:val="000000" w:themeColor="text1"/>
          <w:kern w:val="0"/>
          <w:sz w:val="24"/>
          <w:szCs w:val="21"/>
          <w:lang w:val="zh-CN" w:bidi="ar"/>
          <w14:textFill>
            <w14:solidFill>
              <w14:schemeClr w14:val="tx1"/>
            </w14:solidFill>
          </w14:textFill>
        </w:rPr>
        <w:t>账号密码登录：</w:t>
      </w:r>
      <w:r>
        <w:rPr>
          <w:rFonts w:hint="eastAsia" w:ascii="宋体" w:hAnsi="宋体" w:cs="宋体"/>
          <w:color w:val="000000" w:themeColor="text1"/>
          <w:kern w:val="0"/>
          <w:sz w:val="24"/>
          <w:lang w:bidi="ar"/>
          <w14:textFill>
            <w14:solidFill>
              <w14:schemeClr w14:val="tx1"/>
            </w14:solidFill>
          </w14:textFill>
        </w:rPr>
        <w:t>通过账号密码认证用户，登录进入系统；</w:t>
      </w:r>
    </w:p>
    <w:p w14:paraId="19F9B136">
      <w:pPr>
        <w:spacing w:before="240" w:beforeLines="100" w:after="240" w:afterLines="100" w:line="360" w:lineRule="auto"/>
        <w:ind w:left="420" w:firstLine="420"/>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b/>
          <w:bCs/>
          <w:snapToGrid w:val="0"/>
          <w:color w:val="000000" w:themeColor="text1"/>
          <w:kern w:val="0"/>
          <w:sz w:val="24"/>
          <w:szCs w:val="21"/>
          <w:lang w:val="zh-CN" w:bidi="ar"/>
          <w14:textFill>
            <w14:solidFill>
              <w14:schemeClr w14:val="tx1"/>
            </w14:solidFill>
          </w14:textFill>
        </w:rPr>
        <w:t>列席登录：</w:t>
      </w:r>
      <w:r>
        <w:rPr>
          <w:rFonts w:hint="eastAsia" w:ascii="宋体" w:hAnsi="宋体" w:cs="宋体"/>
          <w:color w:val="000000" w:themeColor="text1"/>
          <w:kern w:val="0"/>
          <w:sz w:val="24"/>
          <w:lang w:bidi="ar"/>
          <w14:textFill>
            <w14:solidFill>
              <w14:schemeClr w14:val="tx1"/>
            </w14:solidFill>
          </w14:textFill>
        </w:rPr>
        <w:t>支持未认证人员查看公开信息；</w:t>
      </w:r>
    </w:p>
    <w:p w14:paraId="1B1012DA">
      <w:pPr>
        <w:pStyle w:val="24"/>
        <w:spacing w:before="240" w:beforeLines="100" w:after="240" w:afterLines="100"/>
        <w:ind w:left="420" w:firstLine="440"/>
        <w:rPr>
          <w:rFonts w:hint="eastAsia" w:hAnsi="宋体" w:cs="宋体"/>
          <w:color w:val="000000" w:themeColor="text1"/>
          <w:kern w:val="0"/>
          <w:lang w:bidi="ar"/>
          <w14:textFill>
            <w14:solidFill>
              <w14:schemeClr w14:val="tx1"/>
            </w14:solidFill>
          </w14:textFill>
        </w:rPr>
      </w:pPr>
      <w:r>
        <w:rPr>
          <w:rFonts w:hint="eastAsia" w:hAnsi="宋体" w:cs="宋体"/>
          <w:b/>
          <w:bCs/>
          <w:color w:val="000000" w:themeColor="text1"/>
          <w:kern w:val="0"/>
          <w:lang w:bidi="ar"/>
          <w14:textFill>
            <w14:solidFill>
              <w14:schemeClr w14:val="tx1"/>
            </w14:solidFill>
          </w14:textFill>
        </w:rPr>
        <w:t>多类型会议：</w:t>
      </w:r>
      <w:r>
        <w:rPr>
          <w:rFonts w:hint="eastAsia" w:hAnsi="宋体" w:cs="宋体"/>
          <w:color w:val="000000" w:themeColor="text1"/>
          <w:kern w:val="0"/>
          <w:lang w:bidi="ar"/>
          <w14:textFill>
            <w14:solidFill>
              <w14:schemeClr w14:val="tx1"/>
            </w14:solidFill>
          </w14:textFill>
        </w:rPr>
        <w:t>支持人代会、常委会、主任会议、党组会等多种模式会议；</w:t>
      </w:r>
    </w:p>
    <w:p w14:paraId="52AFEB71">
      <w:pPr>
        <w:pStyle w:val="25"/>
        <w:spacing w:before="240" w:beforeLines="100" w:after="240" w:afterLines="100"/>
        <w:ind w:left="420"/>
        <w:rPr>
          <w:rFonts w:hint="eastAsia" w:hAnsi="宋体" w:cs="宋体"/>
          <w:color w:val="000000" w:themeColor="text1"/>
          <w:kern w:val="0"/>
          <w:lang w:bidi="ar"/>
          <w14:textFill>
            <w14:solidFill>
              <w14:schemeClr w14:val="tx1"/>
            </w14:solidFill>
          </w14:textFill>
        </w:rPr>
      </w:pPr>
      <w:r>
        <w:rPr>
          <w:rFonts w:hint="eastAsia" w:hAnsi="宋体" w:cs="宋体"/>
          <w:b/>
          <w:bCs/>
          <w:snapToGrid w:val="0"/>
          <w:color w:val="000000" w:themeColor="text1"/>
          <w:kern w:val="0"/>
          <w:szCs w:val="21"/>
          <w:lang w:bidi="ar"/>
          <w14:textFill>
            <w14:solidFill>
              <w14:schemeClr w14:val="tx1"/>
            </w14:solidFill>
          </w14:textFill>
        </w:rPr>
        <w:t>会议查看：</w:t>
      </w:r>
      <w:r>
        <w:rPr>
          <w:rFonts w:hint="eastAsia" w:hAnsi="宋体" w:cs="宋体"/>
          <w:color w:val="000000" w:themeColor="text1"/>
          <w:kern w:val="0"/>
          <w:lang w:bidi="ar"/>
          <w14:textFill>
            <w14:solidFill>
              <w14:schemeClr w14:val="tx1"/>
            </w14:solidFill>
          </w14:textFill>
        </w:rPr>
        <w:t>支持按分类查看会议信息；</w:t>
      </w:r>
    </w:p>
    <w:p w14:paraId="41E83B5F">
      <w:pPr>
        <w:pStyle w:val="52"/>
        <w:spacing w:before="240" w:beforeLines="100" w:after="240" w:afterLines="100" w:line="360" w:lineRule="auto"/>
        <w:ind w:left="420" w:leftChars="0" w:firstLine="420"/>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b/>
          <w:bCs/>
          <w:snapToGrid w:val="0"/>
          <w:color w:val="000000" w:themeColor="text1"/>
          <w:kern w:val="0"/>
          <w:sz w:val="24"/>
          <w:szCs w:val="21"/>
          <w:lang w:val="zh-CN" w:bidi="ar"/>
          <w14:textFill>
            <w14:solidFill>
              <w14:schemeClr w14:val="tx1"/>
            </w14:solidFill>
          </w14:textFill>
        </w:rPr>
        <w:t>会议文件：</w:t>
      </w:r>
      <w:r>
        <w:rPr>
          <w:rFonts w:hint="eastAsia" w:ascii="宋体" w:hAnsi="宋体" w:cs="宋体"/>
          <w:color w:val="000000" w:themeColor="text1"/>
          <w:kern w:val="0"/>
          <w:sz w:val="24"/>
          <w:lang w:bidi="ar"/>
          <w14:textFill>
            <w14:solidFill>
              <w14:schemeClr w14:val="tx1"/>
            </w14:solidFill>
          </w14:textFill>
        </w:rPr>
        <w:t>支持在线预览文件；</w:t>
      </w:r>
    </w:p>
    <w:p w14:paraId="053A85E1">
      <w:pPr>
        <w:spacing w:before="240" w:beforeLines="100" w:after="240" w:afterLines="100" w:line="360" w:lineRule="auto"/>
        <w:ind w:left="420" w:firstLine="420"/>
        <w:rPr>
          <w:rFonts w:hint="eastAsia" w:ascii="宋体" w:hAnsi="宋体" w:cs="宋体"/>
          <w:b/>
          <w:bCs/>
          <w:snapToGrid w:val="0"/>
          <w:color w:val="000000" w:themeColor="text1"/>
          <w:kern w:val="0"/>
          <w:sz w:val="24"/>
          <w:szCs w:val="21"/>
          <w:lang w:val="zh-CN" w:bidi="ar"/>
          <w14:textFill>
            <w14:solidFill>
              <w14:schemeClr w14:val="tx1"/>
            </w14:solidFill>
          </w14:textFill>
        </w:rPr>
      </w:pPr>
      <w:r>
        <w:rPr>
          <w:rFonts w:hint="eastAsia" w:ascii="宋体" w:hAnsi="宋体" w:cs="宋体"/>
          <w:b/>
          <w:bCs/>
          <w:snapToGrid w:val="0"/>
          <w:color w:val="000000" w:themeColor="text1"/>
          <w:kern w:val="0"/>
          <w:sz w:val="24"/>
          <w:szCs w:val="21"/>
          <w:lang w:val="zh-CN" w:bidi="ar"/>
          <w14:textFill>
            <w14:solidFill>
              <w14:schemeClr w14:val="tx1"/>
            </w14:solidFill>
          </w14:textFill>
        </w:rPr>
        <w:t>会议议程：</w:t>
      </w:r>
      <w:r>
        <w:rPr>
          <w:rFonts w:hint="eastAsia" w:ascii="宋体" w:hAnsi="宋体" w:cs="宋体"/>
          <w:snapToGrid w:val="0"/>
          <w:color w:val="000000" w:themeColor="text1"/>
          <w:kern w:val="0"/>
          <w:sz w:val="24"/>
          <w:szCs w:val="21"/>
          <w:lang w:val="zh-CN" w:bidi="ar"/>
          <w14:textFill>
            <w14:solidFill>
              <w14:schemeClr w14:val="tx1"/>
            </w14:solidFill>
          </w14:textFill>
        </w:rPr>
        <w:t>实时查看会议议程信息管理以及查阅；</w:t>
      </w:r>
    </w:p>
    <w:p w14:paraId="312EBE77">
      <w:pPr>
        <w:spacing w:before="240" w:beforeLines="100" w:after="240" w:afterLines="100" w:line="360" w:lineRule="auto"/>
        <w:ind w:left="420" w:firstLine="420"/>
        <w:rPr>
          <w:rFonts w:hint="eastAsia" w:hAnsi="宋体" w:cs="宋体"/>
          <w:color w:val="000000" w:themeColor="text1"/>
          <w:kern w:val="0"/>
          <w:sz w:val="24"/>
          <w:lang w:bidi="ar"/>
          <w14:textFill>
            <w14:solidFill>
              <w14:schemeClr w14:val="tx1"/>
            </w14:solidFill>
          </w14:textFill>
        </w:rPr>
      </w:pPr>
      <w:r>
        <w:rPr>
          <w:rFonts w:hint="eastAsia" w:ascii="宋体" w:hAnsi="宋体" w:cs="宋体"/>
          <w:b/>
          <w:bCs/>
          <w:snapToGrid w:val="0"/>
          <w:color w:val="000000" w:themeColor="text1"/>
          <w:kern w:val="0"/>
          <w:sz w:val="24"/>
          <w:szCs w:val="21"/>
          <w:lang w:val="zh-CN" w:bidi="ar"/>
          <w14:textFill>
            <w14:solidFill>
              <w14:schemeClr w14:val="tx1"/>
            </w14:solidFill>
          </w14:textFill>
        </w:rPr>
        <w:t>会议日程：</w:t>
      </w:r>
      <w:r>
        <w:rPr>
          <w:rFonts w:hint="eastAsia" w:ascii="宋体" w:hAnsi="宋体" w:cs="宋体"/>
          <w:color w:val="000000" w:themeColor="text1"/>
          <w:kern w:val="0"/>
          <w:sz w:val="24"/>
          <w:lang w:bidi="ar"/>
          <w14:textFill>
            <w14:solidFill>
              <w14:schemeClr w14:val="tx1"/>
            </w14:solidFill>
          </w14:textFill>
        </w:rPr>
        <w:t>实时查看会议日程信息管理以及查阅</w:t>
      </w:r>
      <w:r>
        <w:rPr>
          <w:rFonts w:hint="eastAsia" w:hAnsi="宋体" w:cs="宋体"/>
          <w:color w:val="000000" w:themeColor="text1"/>
          <w:kern w:val="0"/>
          <w:sz w:val="24"/>
          <w:lang w:bidi="ar"/>
          <w14:textFill>
            <w14:solidFill>
              <w14:schemeClr w14:val="tx1"/>
            </w14:solidFill>
          </w14:textFill>
        </w:rPr>
        <w:t>；</w:t>
      </w:r>
    </w:p>
    <w:p w14:paraId="694D97C5">
      <w:pPr>
        <w:pStyle w:val="25"/>
        <w:spacing w:before="240" w:beforeLines="100" w:after="240" w:afterLines="100"/>
        <w:ind w:left="420"/>
        <w:rPr>
          <w:rFonts w:hint="eastAsia" w:hAnsi="宋体" w:cs="宋体"/>
          <w:color w:val="000000" w:themeColor="text1"/>
          <w:kern w:val="0"/>
          <w:lang w:bidi="ar"/>
          <w14:textFill>
            <w14:solidFill>
              <w14:schemeClr w14:val="tx1"/>
            </w14:solidFill>
          </w14:textFill>
        </w:rPr>
      </w:pPr>
      <w:r>
        <w:rPr>
          <w:rFonts w:hint="eastAsia" w:hAnsi="宋体" w:cs="宋体"/>
          <w:b/>
          <w:bCs/>
          <w:snapToGrid w:val="0"/>
          <w:color w:val="000000" w:themeColor="text1"/>
          <w:kern w:val="0"/>
          <w:szCs w:val="21"/>
          <w:lang w:bidi="ar"/>
          <w14:textFill>
            <w14:solidFill>
              <w14:schemeClr w14:val="tx1"/>
            </w14:solidFill>
          </w14:textFill>
        </w:rPr>
        <w:t>参阅资料：</w:t>
      </w:r>
      <w:r>
        <w:rPr>
          <w:rFonts w:hint="eastAsia" w:hAnsi="宋体" w:cs="宋体"/>
          <w:color w:val="000000" w:themeColor="text1"/>
          <w:kern w:val="0"/>
          <w:lang w:bidi="ar"/>
          <w14:textFill>
            <w14:solidFill>
              <w14:schemeClr w14:val="tx1"/>
            </w14:solidFill>
          </w14:textFill>
        </w:rPr>
        <w:t>会议相关参阅文件资料管理以及查阅；</w:t>
      </w:r>
    </w:p>
    <w:p w14:paraId="60C457C7">
      <w:pPr>
        <w:pStyle w:val="52"/>
        <w:spacing w:before="240" w:beforeLines="100" w:after="240" w:afterLines="100" w:line="360" w:lineRule="auto"/>
        <w:ind w:left="420" w:leftChars="0" w:firstLine="420"/>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b/>
          <w:bCs/>
          <w:snapToGrid w:val="0"/>
          <w:color w:val="000000" w:themeColor="text1"/>
          <w:kern w:val="0"/>
          <w:sz w:val="24"/>
          <w:szCs w:val="21"/>
          <w:lang w:val="zh-CN" w:bidi="ar"/>
          <w14:textFill>
            <w14:solidFill>
              <w14:schemeClr w14:val="tx1"/>
            </w14:solidFill>
          </w14:textFill>
        </w:rPr>
        <w:t>会议简报：</w:t>
      </w:r>
      <w:r>
        <w:rPr>
          <w:rFonts w:hint="eastAsia" w:ascii="宋体" w:hAnsi="宋体" w:cs="宋体"/>
          <w:color w:val="000000" w:themeColor="text1"/>
          <w:kern w:val="0"/>
          <w:sz w:val="24"/>
          <w:lang w:bidi="ar"/>
          <w14:textFill>
            <w14:solidFill>
              <w14:schemeClr w14:val="tx1"/>
            </w14:solidFill>
          </w14:textFill>
        </w:rPr>
        <w:t>会议简报信息管理以及查阅；</w:t>
      </w:r>
    </w:p>
    <w:p w14:paraId="676846C1">
      <w:pPr>
        <w:spacing w:before="240" w:beforeLines="100" w:after="240" w:afterLines="100" w:line="360" w:lineRule="auto"/>
        <w:ind w:left="420" w:firstLine="420"/>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b/>
          <w:bCs/>
          <w:snapToGrid w:val="0"/>
          <w:color w:val="000000" w:themeColor="text1"/>
          <w:kern w:val="0"/>
          <w:sz w:val="24"/>
          <w:szCs w:val="21"/>
          <w:lang w:val="zh-CN" w:bidi="ar"/>
          <w14:textFill>
            <w14:solidFill>
              <w14:schemeClr w14:val="tx1"/>
            </w14:solidFill>
          </w14:textFill>
        </w:rPr>
        <w:t>会议纪要：</w:t>
      </w:r>
      <w:r>
        <w:rPr>
          <w:rFonts w:hint="eastAsia" w:ascii="宋体" w:hAnsi="宋体" w:cs="宋体"/>
          <w:color w:val="000000" w:themeColor="text1"/>
          <w:kern w:val="0"/>
          <w:sz w:val="24"/>
          <w:lang w:bidi="ar"/>
          <w14:textFill>
            <w14:solidFill>
              <w14:schemeClr w14:val="tx1"/>
            </w14:solidFill>
          </w14:textFill>
        </w:rPr>
        <w:t>会议纪要信息管理以及查阅；</w:t>
      </w:r>
    </w:p>
    <w:p w14:paraId="266F55AC">
      <w:pPr>
        <w:pStyle w:val="24"/>
        <w:spacing w:before="240" w:beforeLines="100" w:after="240" w:afterLines="100"/>
        <w:ind w:left="420" w:firstLine="440"/>
        <w:rPr>
          <w:rFonts w:hint="eastAsia" w:hAnsi="宋体" w:cs="宋体"/>
          <w:color w:val="000000" w:themeColor="text1"/>
          <w:kern w:val="0"/>
          <w:lang w:bidi="ar"/>
          <w14:textFill>
            <w14:solidFill>
              <w14:schemeClr w14:val="tx1"/>
            </w14:solidFill>
          </w14:textFill>
        </w:rPr>
      </w:pPr>
      <w:r>
        <w:rPr>
          <w:rFonts w:hint="eastAsia" w:hAnsi="宋体" w:cs="宋体"/>
          <w:b/>
          <w:bCs/>
          <w:color w:val="000000" w:themeColor="text1"/>
          <w:kern w:val="0"/>
          <w:lang w:bidi="ar"/>
          <w14:textFill>
            <w14:solidFill>
              <w14:schemeClr w14:val="tx1"/>
            </w14:solidFill>
          </w14:textFill>
        </w:rPr>
        <w:t>主席团会议：</w:t>
      </w:r>
      <w:r>
        <w:rPr>
          <w:rFonts w:hint="eastAsia" w:hAnsi="宋体" w:cs="宋体"/>
          <w:color w:val="000000" w:themeColor="text1"/>
          <w:kern w:val="0"/>
          <w:lang w:bidi="ar"/>
          <w14:textFill>
            <w14:solidFill>
              <w14:schemeClr w14:val="tx1"/>
            </w14:solidFill>
          </w14:textFill>
        </w:rPr>
        <w:t>主席团会议信息管理以及查阅；</w:t>
      </w:r>
    </w:p>
    <w:p w14:paraId="18366F1E">
      <w:pPr>
        <w:pStyle w:val="25"/>
        <w:spacing w:before="240" w:beforeLines="100" w:after="240" w:afterLines="100"/>
        <w:ind w:left="420"/>
        <w:rPr>
          <w:rFonts w:hint="eastAsia" w:hAnsi="宋体" w:cs="宋体"/>
          <w:color w:val="000000" w:themeColor="text1"/>
          <w:kern w:val="0"/>
          <w:lang w:bidi="ar"/>
          <w14:textFill>
            <w14:solidFill>
              <w14:schemeClr w14:val="tx1"/>
            </w14:solidFill>
          </w14:textFill>
        </w:rPr>
      </w:pPr>
      <w:r>
        <w:rPr>
          <w:rFonts w:hint="eastAsia" w:hAnsi="宋体" w:cs="宋体"/>
          <w:b/>
          <w:bCs/>
          <w:snapToGrid w:val="0"/>
          <w:color w:val="000000" w:themeColor="text1"/>
          <w:kern w:val="0"/>
          <w:szCs w:val="21"/>
          <w:lang w:bidi="ar"/>
          <w14:textFill>
            <w14:solidFill>
              <w14:schemeClr w14:val="tx1"/>
            </w14:solidFill>
          </w14:textFill>
        </w:rPr>
        <w:t>领导讲话：</w:t>
      </w:r>
      <w:r>
        <w:rPr>
          <w:rFonts w:hint="eastAsia" w:hAnsi="宋体" w:cs="宋体"/>
          <w:color w:val="000000" w:themeColor="text1"/>
          <w:kern w:val="0"/>
          <w:lang w:bidi="ar"/>
          <w14:textFill>
            <w14:solidFill>
              <w14:schemeClr w14:val="tx1"/>
            </w14:solidFill>
          </w14:textFill>
        </w:rPr>
        <w:t>领导讲话信息管理以及查阅；</w:t>
      </w:r>
    </w:p>
    <w:p w14:paraId="7B519E3F">
      <w:pPr>
        <w:pStyle w:val="52"/>
        <w:spacing w:before="240" w:beforeLines="100" w:after="240" w:afterLines="100" w:line="360" w:lineRule="auto"/>
        <w:ind w:left="420" w:leftChars="0" w:firstLine="420"/>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b/>
          <w:bCs/>
          <w:snapToGrid w:val="0"/>
          <w:color w:val="000000" w:themeColor="text1"/>
          <w:kern w:val="0"/>
          <w:sz w:val="24"/>
          <w:szCs w:val="21"/>
          <w:lang w:val="zh-CN" w:bidi="ar"/>
          <w14:textFill>
            <w14:solidFill>
              <w14:schemeClr w14:val="tx1"/>
            </w14:solidFill>
          </w14:textFill>
        </w:rPr>
        <w:t>会议信息管理：</w:t>
      </w:r>
      <w:r>
        <w:rPr>
          <w:rFonts w:hint="eastAsia" w:ascii="宋体" w:hAnsi="宋体" w:cs="宋体"/>
          <w:color w:val="000000" w:themeColor="text1"/>
          <w:kern w:val="0"/>
          <w:sz w:val="24"/>
          <w:lang w:bidi="ar"/>
          <w14:textFill>
            <w14:solidFill>
              <w14:schemeClr w14:val="tx1"/>
            </w14:solidFill>
          </w14:textFill>
        </w:rPr>
        <w:t>会议基础信息管理，包括关键词筛选、按会议状态筛选、参会人员设置、会议创建、会议编辑、会议查看、会议删除等；</w:t>
      </w:r>
    </w:p>
    <w:p w14:paraId="0530DA9D">
      <w:pPr>
        <w:spacing w:before="240" w:beforeLines="100" w:after="240" w:afterLines="100" w:line="360" w:lineRule="auto"/>
        <w:ind w:left="420" w:firstLine="420"/>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b/>
          <w:bCs/>
          <w:snapToGrid w:val="0"/>
          <w:color w:val="000000" w:themeColor="text1"/>
          <w:kern w:val="0"/>
          <w:sz w:val="24"/>
          <w:szCs w:val="21"/>
          <w:lang w:val="zh-CN" w:bidi="ar"/>
          <w14:textFill>
            <w14:solidFill>
              <w14:schemeClr w14:val="tx1"/>
            </w14:solidFill>
          </w14:textFill>
        </w:rPr>
        <w:t>会议分类管理：</w:t>
      </w:r>
      <w:r>
        <w:rPr>
          <w:rFonts w:hint="eastAsia" w:ascii="宋体" w:hAnsi="宋体" w:cs="宋体"/>
          <w:color w:val="000000" w:themeColor="text1"/>
          <w:kern w:val="0"/>
          <w:sz w:val="24"/>
          <w:lang w:bidi="ar"/>
          <w14:textFill>
            <w14:solidFill>
              <w14:schemeClr w14:val="tx1"/>
            </w14:solidFill>
          </w14:textFill>
        </w:rPr>
        <w:t>会议类型的管理，包括创建、修改、删除等；</w:t>
      </w:r>
    </w:p>
    <w:p w14:paraId="3E3F7919">
      <w:pPr>
        <w:pStyle w:val="24"/>
        <w:spacing w:before="240" w:beforeLines="100" w:after="240" w:afterLines="100"/>
        <w:ind w:left="420" w:firstLine="440"/>
        <w:rPr>
          <w:color w:val="000000" w:themeColor="text1"/>
          <w:lang w:val="en-US"/>
          <w14:textFill>
            <w14:solidFill>
              <w14:schemeClr w14:val="tx1"/>
            </w14:solidFill>
          </w14:textFill>
        </w:rPr>
      </w:pPr>
      <w:r>
        <w:rPr>
          <w:rFonts w:hint="eastAsia" w:hAnsi="宋体" w:cs="宋体"/>
          <w:b/>
          <w:bCs/>
          <w:color w:val="000000" w:themeColor="text1"/>
          <w:kern w:val="0"/>
          <w:lang w:bidi="ar"/>
          <w14:textFill>
            <w14:solidFill>
              <w14:schemeClr w14:val="tx1"/>
            </w14:solidFill>
          </w14:textFill>
        </w:rPr>
        <w:t>会议模块管理：</w:t>
      </w:r>
      <w:r>
        <w:rPr>
          <w:rFonts w:hint="eastAsia" w:hAnsi="宋体" w:cs="宋体"/>
          <w:color w:val="000000" w:themeColor="text1"/>
          <w:kern w:val="0"/>
          <w:lang w:bidi="ar"/>
          <w14:textFill>
            <w14:solidFill>
              <w14:schemeClr w14:val="tx1"/>
            </w14:solidFill>
          </w14:textFill>
        </w:rPr>
        <w:t>会议模块的管理，包括创建、修改、删除等，以及会议模块与会议类型的关联设置等</w:t>
      </w:r>
    </w:p>
    <w:p w14:paraId="24159989">
      <w:pPr>
        <w:pStyle w:val="24"/>
        <w:numPr>
          <w:ilvl w:val="0"/>
          <w:numId w:val="1"/>
        </w:numPr>
        <w:spacing w:before="240" w:beforeLines="100"/>
        <w:ind w:firstLine="420"/>
        <w:rPr>
          <w:rFonts w:hint="eastAsia" w:hAnsi="宋体"/>
          <w:b/>
          <w:bCs/>
          <w:color w:val="000000" w:themeColor="text1"/>
          <w:lang w:val="en-US"/>
          <w14:textFill>
            <w14:solidFill>
              <w14:schemeClr w14:val="tx1"/>
            </w14:solidFill>
          </w14:textFill>
        </w:rPr>
      </w:pPr>
      <w:r>
        <w:rPr>
          <w:rFonts w:hint="eastAsia" w:hAnsi="宋体"/>
          <w:b/>
          <w:bCs/>
          <w:color w:val="000000" w:themeColor="text1"/>
          <w:lang w:val="en-US"/>
          <w14:textFill>
            <w14:solidFill>
              <w14:schemeClr w14:val="tx1"/>
            </w14:solidFill>
          </w14:textFill>
        </w:rPr>
        <w:t>会务服务</w:t>
      </w:r>
    </w:p>
    <w:p w14:paraId="6BAFF45C">
      <w:pPr>
        <w:spacing w:before="240" w:beforeLines="100" w:after="240" w:afterLines="100" w:line="360" w:lineRule="auto"/>
        <w:ind w:left="420" w:firstLine="420"/>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电子阅文：</w:t>
      </w:r>
      <w:r>
        <w:rPr>
          <w:rFonts w:hint="eastAsia" w:ascii="宋体" w:hAnsi="宋体" w:cs="宋体"/>
          <w:color w:val="000000" w:themeColor="text1"/>
          <w:kern w:val="0"/>
          <w:sz w:val="24"/>
          <w:lang w:bidi="ar"/>
          <w14:textFill>
            <w14:solidFill>
              <w14:schemeClr w14:val="tx1"/>
            </w14:solidFill>
          </w14:textFill>
        </w:rPr>
        <w:t>支持会议文件在线/离线两种模式预览；</w:t>
      </w:r>
    </w:p>
    <w:p w14:paraId="583E5439">
      <w:pPr>
        <w:pStyle w:val="24"/>
        <w:spacing w:before="240" w:beforeLines="100" w:after="240" w:afterLines="100"/>
        <w:ind w:left="420" w:firstLine="440"/>
        <w:rPr>
          <w:rFonts w:hint="eastAsia" w:hAnsi="宋体" w:cs="宋体"/>
          <w:color w:val="000000" w:themeColor="text1"/>
          <w:kern w:val="0"/>
          <w:lang w:bidi="ar"/>
          <w14:textFill>
            <w14:solidFill>
              <w14:schemeClr w14:val="tx1"/>
            </w14:solidFill>
          </w14:textFill>
        </w:rPr>
      </w:pPr>
      <w:r>
        <w:rPr>
          <w:rFonts w:hint="eastAsia" w:hAnsi="宋体" w:cs="宋体"/>
          <w:b/>
          <w:bCs/>
          <w:snapToGrid/>
          <w:color w:val="000000" w:themeColor="text1"/>
          <w:kern w:val="0"/>
          <w:szCs w:val="24"/>
          <w:lang w:val="en-US" w:bidi="ar"/>
          <w14:textFill>
            <w14:solidFill>
              <w14:schemeClr w14:val="tx1"/>
            </w14:solidFill>
          </w14:textFill>
        </w:rPr>
        <w:t>离线会议：</w:t>
      </w:r>
      <w:r>
        <w:rPr>
          <w:rFonts w:hint="eastAsia" w:hAnsi="宋体" w:cs="宋体"/>
          <w:color w:val="000000" w:themeColor="text1"/>
          <w:kern w:val="0"/>
          <w:lang w:bidi="ar"/>
          <w14:textFill>
            <w14:solidFill>
              <w14:schemeClr w14:val="tx1"/>
            </w14:solidFill>
          </w14:textFill>
        </w:rPr>
        <w:t>支持在无网络环境下正常查阅当前会议内容，大致包含如下功能（1、文件上传校验，包括文件大小、文件格式等；2、文件自动批量下载；3、文件本地化存储管理；4、文件本地化阅览组件；5、本地文件一键清空等）；</w:t>
      </w:r>
    </w:p>
    <w:p w14:paraId="6A31F0A3">
      <w:pPr>
        <w:pStyle w:val="25"/>
        <w:spacing w:before="240" w:beforeLines="100" w:after="240" w:afterLines="100"/>
        <w:ind w:left="420"/>
        <w:rPr>
          <w:rFonts w:hint="eastAsia" w:hAnsi="宋体" w:cs="宋体"/>
          <w:color w:val="000000" w:themeColor="text1"/>
          <w:kern w:val="0"/>
          <w:lang w:bidi="ar"/>
          <w14:textFill>
            <w14:solidFill>
              <w14:schemeClr w14:val="tx1"/>
            </w14:solidFill>
          </w14:textFill>
        </w:rPr>
      </w:pPr>
      <w:r>
        <w:rPr>
          <w:rFonts w:hint="eastAsia" w:hAnsi="宋体" w:cs="宋体"/>
          <w:b/>
          <w:bCs/>
          <w:color w:val="000000" w:themeColor="text1"/>
          <w:kern w:val="0"/>
          <w:szCs w:val="24"/>
          <w:lang w:val="en-US" w:bidi="ar"/>
          <w14:textFill>
            <w14:solidFill>
              <w14:schemeClr w14:val="tx1"/>
            </w14:solidFill>
          </w14:textFill>
        </w:rPr>
        <w:t>多组织一体化：</w:t>
      </w:r>
      <w:r>
        <w:rPr>
          <w:rFonts w:hint="eastAsia" w:hAnsi="宋体" w:cs="宋体"/>
          <w:color w:val="000000" w:themeColor="text1"/>
          <w:kern w:val="0"/>
          <w:lang w:bidi="ar"/>
          <w14:textFill>
            <w14:solidFill>
              <w14:schemeClr w14:val="tx1"/>
            </w14:solidFill>
          </w14:textFill>
        </w:rPr>
        <w:t>支持单用户多组织身份管理，用户组织信息查询，用户组织切换、校验，查看多组织会议相关信息；</w:t>
      </w:r>
    </w:p>
    <w:p w14:paraId="18E98691">
      <w:pPr>
        <w:pStyle w:val="52"/>
        <w:spacing w:before="240" w:beforeLines="100" w:after="240" w:afterLines="100" w:line="360" w:lineRule="auto"/>
        <w:ind w:left="420" w:leftChars="0" w:firstLine="420"/>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多终端适配：</w:t>
      </w:r>
      <w:r>
        <w:rPr>
          <w:rFonts w:hint="eastAsia" w:ascii="宋体" w:hAnsi="宋体" w:cs="宋体"/>
          <w:color w:val="000000" w:themeColor="text1"/>
          <w:kern w:val="0"/>
          <w:sz w:val="24"/>
          <w:lang w:bidi="ar"/>
          <w14:textFill>
            <w14:solidFill>
              <w14:schemeClr w14:val="tx1"/>
            </w14:solidFill>
          </w14:textFill>
        </w:rPr>
        <w:t>支持浙政钉、平板电脑等平台使用；</w:t>
      </w:r>
    </w:p>
    <w:p w14:paraId="51DC2AFD">
      <w:pPr>
        <w:spacing w:before="240" w:beforeLines="100" w:after="240" w:afterLines="100" w:line="360" w:lineRule="auto"/>
        <w:ind w:left="420" w:firstLine="420"/>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文件权限控制：</w:t>
      </w:r>
      <w:r>
        <w:rPr>
          <w:rFonts w:hint="eastAsia" w:ascii="宋体" w:hAnsi="宋体" w:cs="宋体"/>
          <w:color w:val="000000" w:themeColor="text1"/>
          <w:kern w:val="0"/>
          <w:sz w:val="24"/>
          <w:lang w:bidi="ar"/>
          <w14:textFill>
            <w14:solidFill>
              <w14:schemeClr w14:val="tx1"/>
            </w14:solidFill>
          </w14:textFill>
        </w:rPr>
        <w:t>控制某一个文件的可见人员范围；</w:t>
      </w:r>
    </w:p>
    <w:p w14:paraId="0669FC3D">
      <w:pPr>
        <w:pStyle w:val="24"/>
        <w:spacing w:before="240" w:beforeLines="100" w:after="240" w:afterLines="100"/>
        <w:ind w:left="420" w:firstLine="440"/>
        <w:rPr>
          <w:rFonts w:hint="eastAsia" w:hAnsi="宋体" w:cs="宋体"/>
          <w:color w:val="000000" w:themeColor="text1"/>
          <w:kern w:val="0"/>
          <w:lang w:bidi="ar"/>
          <w14:textFill>
            <w14:solidFill>
              <w14:schemeClr w14:val="tx1"/>
            </w14:solidFill>
          </w14:textFill>
        </w:rPr>
      </w:pPr>
      <w:r>
        <w:rPr>
          <w:rFonts w:hint="eastAsia" w:hAnsi="宋体" w:cs="宋体"/>
          <w:b/>
          <w:bCs/>
          <w:snapToGrid/>
          <w:color w:val="000000" w:themeColor="text1"/>
          <w:kern w:val="0"/>
          <w:szCs w:val="24"/>
          <w:lang w:val="en-US" w:bidi="ar"/>
          <w14:textFill>
            <w14:solidFill>
              <w14:schemeClr w14:val="tx1"/>
            </w14:solidFill>
          </w14:textFill>
        </w:rPr>
        <w:t>文件分发：</w:t>
      </w:r>
      <w:r>
        <w:rPr>
          <w:rFonts w:hint="eastAsia" w:hAnsi="宋体" w:cs="宋体"/>
          <w:color w:val="000000" w:themeColor="text1"/>
          <w:kern w:val="0"/>
          <w:lang w:bidi="ar"/>
          <w14:textFill>
            <w14:solidFill>
              <w14:schemeClr w14:val="tx1"/>
            </w14:solidFill>
          </w14:textFill>
        </w:rPr>
        <w:t>根据权限将文件分发到具体参会人；</w:t>
      </w:r>
    </w:p>
    <w:p w14:paraId="2AFE58D9">
      <w:pPr>
        <w:pStyle w:val="25"/>
        <w:spacing w:before="240" w:beforeLines="100" w:after="240" w:afterLines="100"/>
        <w:ind w:left="420"/>
        <w:rPr>
          <w:rFonts w:hint="eastAsia" w:hAnsi="宋体" w:cs="宋体"/>
          <w:color w:val="000000" w:themeColor="text1"/>
          <w:kern w:val="0"/>
          <w:lang w:bidi="ar"/>
          <w14:textFill>
            <w14:solidFill>
              <w14:schemeClr w14:val="tx1"/>
            </w14:solidFill>
          </w14:textFill>
        </w:rPr>
      </w:pPr>
      <w:r>
        <w:rPr>
          <w:rFonts w:hint="eastAsia" w:hAnsi="宋体" w:cs="宋体"/>
          <w:b/>
          <w:bCs/>
          <w:color w:val="000000" w:themeColor="text1"/>
          <w:kern w:val="0"/>
          <w:szCs w:val="24"/>
          <w:lang w:val="en-US" w:bidi="ar"/>
          <w14:textFill>
            <w14:solidFill>
              <w14:schemeClr w14:val="tx1"/>
            </w14:solidFill>
          </w14:textFill>
        </w:rPr>
        <w:t>会议通知：</w:t>
      </w:r>
      <w:r>
        <w:rPr>
          <w:rFonts w:hint="eastAsia" w:hAnsi="宋体" w:cs="宋体"/>
          <w:color w:val="000000" w:themeColor="text1"/>
          <w:kern w:val="0"/>
          <w:lang w:bidi="ar"/>
          <w14:textFill>
            <w14:solidFill>
              <w14:schemeClr w14:val="tx1"/>
            </w14:solidFill>
          </w14:textFill>
        </w:rPr>
        <w:t>会议举办信息的发布及管理；</w:t>
      </w:r>
    </w:p>
    <w:p w14:paraId="7AA34882">
      <w:pPr>
        <w:pStyle w:val="52"/>
        <w:spacing w:before="240" w:beforeLines="100" w:after="240" w:afterLines="100" w:line="360" w:lineRule="auto"/>
        <w:ind w:left="420" w:leftChars="0" w:firstLine="420"/>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会议归档：</w:t>
      </w:r>
      <w:r>
        <w:rPr>
          <w:rFonts w:hint="eastAsia" w:ascii="宋体" w:hAnsi="宋体" w:cs="宋体"/>
          <w:color w:val="000000" w:themeColor="text1"/>
          <w:kern w:val="0"/>
          <w:sz w:val="24"/>
          <w:lang w:bidi="ar"/>
          <w14:textFill>
            <w14:solidFill>
              <w14:schemeClr w14:val="tx1"/>
            </w14:solidFill>
          </w14:textFill>
        </w:rPr>
        <w:t>历史会议信息归档功能；</w:t>
      </w:r>
    </w:p>
    <w:p w14:paraId="65218E99">
      <w:pPr>
        <w:spacing w:before="240" w:beforeLines="100" w:after="240" w:afterLines="100" w:line="360" w:lineRule="auto"/>
        <w:ind w:left="420" w:firstLine="420"/>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系统设置：</w:t>
      </w:r>
      <w:r>
        <w:rPr>
          <w:rFonts w:hint="eastAsia" w:ascii="宋体" w:hAnsi="宋体" w:cs="宋体"/>
          <w:color w:val="000000" w:themeColor="text1"/>
          <w:kern w:val="0"/>
          <w:sz w:val="24"/>
          <w:lang w:bidi="ar"/>
          <w14:textFill>
            <w14:solidFill>
              <w14:schemeClr w14:val="tx1"/>
            </w14:solidFill>
          </w14:textFill>
        </w:rPr>
        <w:t>系统基础配置；</w:t>
      </w:r>
    </w:p>
    <w:p w14:paraId="536868A9">
      <w:pPr>
        <w:pStyle w:val="24"/>
        <w:spacing w:before="240" w:beforeLines="100" w:after="240" w:afterLines="100"/>
        <w:ind w:left="420" w:firstLine="440"/>
        <w:rPr>
          <w:rFonts w:hint="eastAsia" w:hAnsi="宋体" w:cs="宋体"/>
          <w:color w:val="000000" w:themeColor="text1"/>
          <w:kern w:val="0"/>
          <w:lang w:bidi="ar"/>
          <w14:textFill>
            <w14:solidFill>
              <w14:schemeClr w14:val="tx1"/>
            </w14:solidFill>
          </w14:textFill>
        </w:rPr>
      </w:pPr>
      <w:r>
        <w:rPr>
          <w:rFonts w:hint="eastAsia" w:hAnsi="宋体" w:cs="宋体"/>
          <w:b/>
          <w:bCs/>
          <w:snapToGrid/>
          <w:color w:val="000000" w:themeColor="text1"/>
          <w:kern w:val="0"/>
          <w:szCs w:val="24"/>
          <w:lang w:val="en-US" w:bidi="ar"/>
          <w14:textFill>
            <w14:solidFill>
              <w14:schemeClr w14:val="tx1"/>
            </w14:solidFill>
          </w14:textFill>
        </w:rPr>
        <w:t>财经综合监督系统：</w:t>
      </w:r>
      <w:r>
        <w:rPr>
          <w:rFonts w:hint="eastAsia" w:hAnsi="宋体" w:cs="宋体"/>
          <w:color w:val="000000" w:themeColor="text1"/>
          <w:kern w:val="0"/>
          <w:lang w:bidi="ar"/>
          <w14:textFill>
            <w14:solidFill>
              <w14:schemeClr w14:val="tx1"/>
            </w14:solidFill>
          </w14:textFill>
        </w:rPr>
        <w:t>提供部门预算、国资监督等数据的归集分析，并进行可视化展示；</w:t>
      </w:r>
    </w:p>
    <w:p w14:paraId="6783F681">
      <w:pPr>
        <w:pStyle w:val="25"/>
        <w:spacing w:before="240" w:beforeLines="100" w:after="240" w:afterLines="100"/>
        <w:ind w:left="420"/>
        <w:rPr>
          <w:rFonts w:hint="eastAsia" w:hAnsi="宋体" w:cs="宋体"/>
          <w:color w:val="000000" w:themeColor="text1"/>
          <w:kern w:val="0"/>
          <w:lang w:bidi="ar"/>
          <w14:textFill>
            <w14:solidFill>
              <w14:schemeClr w14:val="tx1"/>
            </w14:solidFill>
          </w14:textFill>
        </w:rPr>
      </w:pPr>
      <w:r>
        <w:rPr>
          <w:rFonts w:hint="eastAsia" w:hAnsi="宋体" w:cs="宋体"/>
          <w:b/>
          <w:bCs/>
          <w:color w:val="000000" w:themeColor="text1"/>
          <w:kern w:val="0"/>
          <w:szCs w:val="24"/>
          <w:lang w:val="en-US" w:bidi="ar"/>
          <w14:textFill>
            <w14:solidFill>
              <w14:schemeClr w14:val="tx1"/>
            </w14:solidFill>
          </w14:textFill>
        </w:rPr>
        <w:t>议案建议办理系统：</w:t>
      </w:r>
      <w:r>
        <w:rPr>
          <w:rFonts w:hint="eastAsia" w:hAnsi="宋体" w:cs="宋体"/>
          <w:color w:val="000000" w:themeColor="text1"/>
          <w:kern w:val="0"/>
          <w:lang w:bidi="ar"/>
          <w14:textFill>
            <w14:solidFill>
              <w14:schemeClr w14:val="tx1"/>
            </w14:solidFill>
          </w14:textFill>
        </w:rPr>
        <w:t>提供议案建议相关的查询、搜索功能；</w:t>
      </w:r>
    </w:p>
    <w:p w14:paraId="4C94AE45">
      <w:pPr>
        <w:spacing w:before="240" w:beforeLines="100" w:after="240" w:afterLines="100" w:line="360" w:lineRule="auto"/>
        <w:ind w:left="420" w:firstLine="420"/>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司法监督系统：</w:t>
      </w:r>
      <w:r>
        <w:rPr>
          <w:rFonts w:hint="eastAsia" w:ascii="宋体" w:hAnsi="宋体" w:cs="宋体"/>
          <w:color w:val="000000" w:themeColor="text1"/>
          <w:kern w:val="0"/>
          <w:sz w:val="24"/>
          <w:lang w:bidi="ar"/>
          <w14:textFill>
            <w14:solidFill>
              <w14:schemeClr w14:val="tx1"/>
            </w14:solidFill>
          </w14:textFill>
        </w:rPr>
        <w:t>通过数据分析运用和调研监督情况提出意见建议，更好地服务党委决策和司法工作；</w:t>
      </w:r>
    </w:p>
    <w:p w14:paraId="7EEE6D1F">
      <w:pPr>
        <w:pStyle w:val="24"/>
        <w:spacing w:before="240" w:beforeLines="100" w:after="240" w:afterLines="100"/>
        <w:ind w:left="420" w:firstLine="440"/>
        <w:rPr>
          <w:rFonts w:hint="eastAsia" w:hAnsi="宋体" w:cs="宋体"/>
          <w:color w:val="000000" w:themeColor="text1"/>
          <w:kern w:val="0"/>
          <w:lang w:bidi="ar"/>
          <w14:textFill>
            <w14:solidFill>
              <w14:schemeClr w14:val="tx1"/>
            </w14:solidFill>
          </w14:textFill>
        </w:rPr>
      </w:pPr>
      <w:r>
        <w:rPr>
          <w:rFonts w:hint="eastAsia" w:hAnsi="宋体" w:cs="宋体"/>
          <w:b/>
          <w:bCs/>
          <w:snapToGrid/>
          <w:color w:val="000000" w:themeColor="text1"/>
          <w:kern w:val="0"/>
          <w:szCs w:val="24"/>
          <w:lang w:val="en-US" w:bidi="ar"/>
          <w14:textFill>
            <w14:solidFill>
              <w14:schemeClr w14:val="tx1"/>
            </w14:solidFill>
          </w14:textFill>
        </w:rPr>
        <w:t>立法、监督项目征集：</w:t>
      </w:r>
      <w:r>
        <w:rPr>
          <w:rFonts w:hint="eastAsia" w:hAnsi="宋体" w:cs="宋体"/>
          <w:snapToGrid/>
          <w:color w:val="000000" w:themeColor="text1"/>
          <w:kern w:val="0"/>
          <w:szCs w:val="24"/>
          <w:lang w:val="en-US" w:bidi="ar"/>
          <w14:textFill>
            <w14:solidFill>
              <w14:schemeClr w14:val="tx1"/>
            </w14:solidFill>
          </w14:textFill>
        </w:rPr>
        <w:t>会</w:t>
      </w:r>
      <w:r>
        <w:rPr>
          <w:rFonts w:hint="eastAsia" w:hAnsi="宋体" w:cs="宋体"/>
          <w:color w:val="000000" w:themeColor="text1"/>
          <w:kern w:val="0"/>
          <w:lang w:bidi="ar"/>
          <w14:textFill>
            <w14:solidFill>
              <w14:schemeClr w14:val="tx1"/>
            </w14:solidFill>
          </w14:textFill>
        </w:rPr>
        <w:t>议期间为人大代表提供立法、监督项目征集填报服务，后台支持数据统计、导出等功能；</w:t>
      </w:r>
    </w:p>
    <w:p w14:paraId="1BDD3939">
      <w:pPr>
        <w:pStyle w:val="25"/>
        <w:spacing w:before="240" w:beforeLines="100" w:after="240" w:afterLines="100"/>
        <w:ind w:left="420"/>
        <w:rPr>
          <w:rFonts w:hint="eastAsia" w:hAnsi="宋体" w:cs="宋体"/>
          <w:color w:val="000000" w:themeColor="text1"/>
          <w:kern w:val="0"/>
          <w:lang w:bidi="ar"/>
          <w14:textFill>
            <w14:solidFill>
              <w14:schemeClr w14:val="tx1"/>
            </w14:solidFill>
          </w14:textFill>
        </w:rPr>
      </w:pPr>
      <w:r>
        <w:rPr>
          <w:rFonts w:hint="eastAsia" w:hAnsi="宋体" w:cs="宋体"/>
          <w:b/>
          <w:bCs/>
          <w:color w:val="000000" w:themeColor="text1"/>
          <w:kern w:val="0"/>
          <w:szCs w:val="24"/>
          <w:lang w:val="en-US" w:bidi="ar"/>
          <w14:textFill>
            <w14:solidFill>
              <w14:schemeClr w14:val="tx1"/>
            </w14:solidFill>
          </w14:textFill>
        </w:rPr>
        <w:t>文件资料系统：</w:t>
      </w:r>
      <w:r>
        <w:rPr>
          <w:rFonts w:hint="eastAsia" w:hAnsi="宋体" w:cs="宋体"/>
          <w:color w:val="000000" w:themeColor="text1"/>
          <w:kern w:val="0"/>
          <w:lang w:bidi="ar"/>
          <w14:textFill>
            <w14:solidFill>
              <w14:schemeClr w14:val="tx1"/>
            </w14:solidFill>
          </w14:textFill>
        </w:rPr>
        <w:t>对领导讲话、立法工作、监督工作、代表工作、机关工作、制度汇编等数据进行聚合处理，提供统一的内容查看入口；</w:t>
      </w:r>
    </w:p>
    <w:p w14:paraId="10E8F609">
      <w:pPr>
        <w:pStyle w:val="52"/>
        <w:spacing w:before="240" w:beforeLines="100" w:after="240" w:afterLines="100" w:line="360" w:lineRule="auto"/>
        <w:ind w:left="420" w:leftChars="0" w:firstLine="420"/>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会议请假系统：</w:t>
      </w:r>
      <w:r>
        <w:rPr>
          <w:rFonts w:hint="eastAsia" w:ascii="宋体" w:hAnsi="宋体" w:cs="宋体"/>
          <w:color w:val="000000" w:themeColor="text1"/>
          <w:kern w:val="0"/>
          <w:sz w:val="24"/>
          <w:lang w:bidi="ar"/>
          <w14:textFill>
            <w14:solidFill>
              <w14:schemeClr w14:val="tx1"/>
            </w14:solidFill>
          </w14:textFill>
        </w:rPr>
        <w:t>人代会期间以及人代会前，参加会议的人大代表或者工作人员的请假审批系统。系统功能包含请假申请、管理员审批、审批单打印等；</w:t>
      </w:r>
    </w:p>
    <w:p w14:paraId="54335ED5">
      <w:pPr>
        <w:spacing w:before="240" w:beforeLines="100" w:after="240" w:afterLines="100" w:line="360" w:lineRule="auto"/>
        <w:ind w:left="420" w:firstLine="420"/>
        <w:rPr>
          <w:color w:val="000000" w:themeColor="text1"/>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会议排座系统：</w:t>
      </w:r>
      <w:r>
        <w:rPr>
          <w:rFonts w:hint="eastAsia" w:ascii="宋体" w:hAnsi="宋体" w:cs="宋体"/>
          <w:color w:val="000000" w:themeColor="text1"/>
          <w:kern w:val="0"/>
          <w:sz w:val="24"/>
          <w:lang w:bidi="ar"/>
          <w14:textFill>
            <w14:solidFill>
              <w14:schemeClr w14:val="tx1"/>
            </w14:solidFill>
          </w14:textFill>
        </w:rPr>
        <w:t>在人代会期间，根据会议会场座位布局情况以及参会人员名单，自动生成会场内的座位图，同时系统支持导出人员座位数据；</w:t>
      </w:r>
    </w:p>
    <w:p w14:paraId="51C9E79F">
      <w:pPr>
        <w:pStyle w:val="24"/>
        <w:spacing w:before="240" w:beforeLines="100" w:after="240" w:afterLines="100"/>
        <w:ind w:left="420" w:firstLine="440"/>
        <w:rPr>
          <w:rFonts w:hint="eastAsia" w:hAnsi="宋体" w:cs="宋体"/>
          <w:color w:val="000000" w:themeColor="text1"/>
          <w:kern w:val="0"/>
          <w:lang w:val="en-US" w:bidi="ar"/>
          <w14:textFill>
            <w14:solidFill>
              <w14:schemeClr w14:val="tx1"/>
            </w14:solidFill>
          </w14:textFill>
        </w:rPr>
      </w:pPr>
      <w:r>
        <w:rPr>
          <w:rFonts w:hint="eastAsia" w:hAnsi="宋体" w:cs="宋体"/>
          <w:b/>
          <w:bCs/>
          <w:snapToGrid/>
          <w:color w:val="000000" w:themeColor="text1"/>
          <w:kern w:val="0"/>
          <w:szCs w:val="24"/>
          <w:lang w:val="en-US" w:bidi="ar"/>
          <w14:textFill>
            <w14:solidFill>
              <w14:schemeClr w14:val="tx1"/>
            </w14:solidFill>
          </w14:textFill>
        </w:rPr>
        <w:t>满意度测评系统：</w:t>
      </w:r>
      <w:r>
        <w:rPr>
          <w:rFonts w:hint="eastAsia" w:hAnsi="宋体" w:cs="宋体"/>
          <w:color w:val="000000" w:themeColor="text1"/>
          <w:kern w:val="0"/>
          <w:lang w:val="en-US" w:bidi="ar"/>
          <w14:textFill>
            <w14:solidFill>
              <w14:schemeClr w14:val="tx1"/>
            </w14:solidFill>
          </w14:textFill>
        </w:rPr>
        <w:t>支持人大日常工作中的各种事项测评。系统功能包含用户测评以及结果实时统计两大模块；</w:t>
      </w:r>
    </w:p>
    <w:p w14:paraId="49C79B39">
      <w:pPr>
        <w:spacing w:before="240" w:beforeLines="100" w:line="360" w:lineRule="auto"/>
        <w:ind w:firstLine="420"/>
        <w:rPr>
          <w:rFonts w:hint="eastAsia"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3</w:t>
      </w:r>
      <w:r>
        <w:rPr>
          <w:rFonts w:hint="eastAsia" w:ascii="宋体" w:hAnsi="宋体"/>
          <w:b/>
          <w:bCs/>
          <w:color w:val="000000" w:themeColor="text1"/>
          <w:sz w:val="24"/>
          <w14:textFill>
            <w14:solidFill>
              <w14:schemeClr w14:val="tx1"/>
            </w14:solidFill>
          </w14:textFill>
        </w:rPr>
        <w:t>）</w:t>
      </w:r>
      <w:r>
        <w:rPr>
          <w:rFonts w:ascii="宋体" w:hAnsi="宋体"/>
          <w:b/>
          <w:bCs/>
          <w:color w:val="000000" w:themeColor="text1"/>
          <w:sz w:val="24"/>
          <w14:textFill>
            <w14:solidFill>
              <w14:schemeClr w14:val="tx1"/>
            </w14:solidFill>
          </w14:textFill>
        </w:rPr>
        <w:t>安全服务</w:t>
      </w:r>
    </w:p>
    <w:p w14:paraId="099AB918">
      <w:pPr>
        <w:pStyle w:val="85"/>
        <w:rPr>
          <w:rFonts w:hint="eastAsia"/>
          <w:color w:val="000000" w:themeColor="text1"/>
          <w:kern w:val="2"/>
          <w:szCs w:val="24"/>
          <w14:textFill>
            <w14:solidFill>
              <w14:schemeClr w14:val="tx1"/>
            </w14:solidFill>
          </w14:textFill>
        </w:rPr>
      </w:pPr>
      <w:r>
        <w:rPr>
          <w:rFonts w:hint="eastAsia"/>
          <w:color w:val="000000" w:themeColor="text1"/>
          <w:kern w:val="2"/>
          <w:szCs w:val="24"/>
          <w14:textFill>
            <w14:solidFill>
              <w14:schemeClr w14:val="tx1"/>
            </w14:solidFill>
          </w14:textFill>
        </w:rPr>
        <w:t>提供信息系统安全管控服务，包括上网行为管理、移动设备合规检测、移动设备资产管理、移动设备外设策略管理、移动设备操作管理、应用管理及数据防泄漏管理等功能。</w:t>
      </w:r>
    </w:p>
    <w:p w14:paraId="0FBB89F7">
      <w:pPr>
        <w:spacing w:line="360" w:lineRule="auto"/>
        <w:ind w:firstLine="482" w:firstLineChars="200"/>
        <w:rPr>
          <w:rFonts w:hint="eastAsia" w:ascii="宋体" w:hAnsi="宋体" w:cs="Arial"/>
          <w:bCs/>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（1）</w:t>
      </w:r>
      <w:r>
        <w:rPr>
          <w:rFonts w:ascii="宋体" w:hAnsi="宋体" w:cs="Arial"/>
          <w:b/>
          <w:color w:val="000000" w:themeColor="text1"/>
          <w:sz w:val="24"/>
          <w14:textFill>
            <w14:solidFill>
              <w14:schemeClr w14:val="tx1"/>
            </w14:solidFill>
          </w14:textFill>
        </w:rPr>
        <w:t>设备管理：</w:t>
      </w:r>
      <w:r>
        <w:rPr>
          <w:rFonts w:ascii="宋体" w:hAnsi="宋体" w:cs="Arial"/>
          <w:bCs/>
          <w:color w:val="000000" w:themeColor="text1"/>
          <w:sz w:val="24"/>
          <w14:textFill>
            <w14:solidFill>
              <w14:schemeClr w14:val="tx1"/>
            </w14:solidFill>
          </w14:textFill>
        </w:rPr>
        <w:t>1）支持对终端进行一键锁定、定位、对退伍设备的远程还原、擦除或解绑、机卡绑定等操作，防止手机泄密，同时提供手机唯一标识、最后上线时间、系统版本、手机型号、归属组、手机ROOT状态、手机锁定状态等信息查看。2）支持分级分权管理，支持管理功能下放，提供不同层面的管理员配置能力。数据访问试行三锁联管，设置3把电子密钥，只有3把电子密钥同时插入才能访问数据。3）支持指定业务应用专用桌面，支持</w:t>
      </w:r>
      <w:r>
        <w:rPr>
          <w:rFonts w:hint="eastAsia" w:ascii="宋体" w:hAnsi="宋体" w:cs="Arial"/>
          <w:bCs/>
          <w:color w:val="000000" w:themeColor="text1"/>
          <w:sz w:val="24"/>
          <w14:textFill>
            <w14:solidFill>
              <w14:schemeClr w14:val="tx1"/>
            </w14:solidFill>
          </w14:textFill>
        </w:rPr>
        <w:t>采购人</w:t>
      </w:r>
      <w:r>
        <w:rPr>
          <w:rFonts w:ascii="宋体" w:hAnsi="宋体" w:cs="Arial"/>
          <w:bCs/>
          <w:color w:val="000000" w:themeColor="text1"/>
          <w:sz w:val="24"/>
          <w14:textFill>
            <w14:solidFill>
              <w14:schemeClr w14:val="tx1"/>
            </w14:solidFill>
          </w14:textFill>
        </w:rPr>
        <w:t>方应用专用桌面的切换，且需按照</w:t>
      </w:r>
      <w:r>
        <w:rPr>
          <w:rFonts w:hint="eastAsia" w:ascii="宋体" w:hAnsi="宋体" w:cs="Arial"/>
          <w:bCs/>
          <w:color w:val="000000" w:themeColor="text1"/>
          <w:sz w:val="24"/>
          <w14:textFill>
            <w14:solidFill>
              <w14:schemeClr w14:val="tx1"/>
            </w14:solidFill>
          </w14:textFill>
        </w:rPr>
        <w:t>采购人</w:t>
      </w:r>
      <w:r>
        <w:rPr>
          <w:rFonts w:ascii="宋体" w:hAnsi="宋体" w:cs="Arial"/>
          <w:bCs/>
          <w:color w:val="000000" w:themeColor="text1"/>
          <w:sz w:val="24"/>
          <w14:textFill>
            <w14:solidFill>
              <w14:schemeClr w14:val="tx1"/>
            </w14:solidFill>
          </w14:textFill>
        </w:rPr>
        <w:t>要求进行基于时间策略、空间场景的自动化置顶应用更换。4）支持终端在线状态、系统资源、软件安装、进程、网络使用情况及文件状态监测</w:t>
      </w:r>
      <w:r>
        <w:rPr>
          <w:rFonts w:hint="eastAsia" w:ascii="宋体" w:hAnsi="宋体" w:cs="Arial"/>
          <w:bCs/>
          <w:color w:val="000000" w:themeColor="text1"/>
          <w:sz w:val="24"/>
          <w14:textFill>
            <w14:solidFill>
              <w14:schemeClr w14:val="tx1"/>
            </w14:solidFill>
          </w14:textFill>
        </w:rPr>
        <w:t>（提供封面具有CMA、ilac-MRA、CNAS标志的权威检测机构的检测报告复印件）</w:t>
      </w:r>
      <w:r>
        <w:rPr>
          <w:rFonts w:ascii="宋体" w:hAnsi="宋体" w:cs="Arial"/>
          <w:bCs/>
          <w:color w:val="000000" w:themeColor="text1"/>
          <w:sz w:val="24"/>
          <w14:textFill>
            <w14:solidFill>
              <w14:schemeClr w14:val="tx1"/>
            </w14:solidFill>
          </w14:textFill>
        </w:rPr>
        <w:t>。</w:t>
      </w:r>
    </w:p>
    <w:p w14:paraId="28A87DB5">
      <w:pPr>
        <w:spacing w:line="360" w:lineRule="auto"/>
        <w:ind w:firstLine="482" w:firstLineChars="200"/>
        <w:rPr>
          <w:rFonts w:hint="eastAsia"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（2）</w:t>
      </w:r>
      <w:r>
        <w:rPr>
          <w:rFonts w:ascii="宋体" w:hAnsi="宋体" w:cs="Arial"/>
          <w:b/>
          <w:color w:val="000000" w:themeColor="text1"/>
          <w:sz w:val="24"/>
          <w14:textFill>
            <w14:solidFill>
              <w14:schemeClr w14:val="tx1"/>
            </w14:solidFill>
          </w14:textFill>
        </w:rPr>
        <w:t>安全管理：</w:t>
      </w:r>
      <w:r>
        <w:rPr>
          <w:rFonts w:ascii="宋体" w:hAnsi="宋体" w:cs="Arial"/>
          <w:bCs/>
          <w:color w:val="000000" w:themeColor="text1"/>
          <w:sz w:val="24"/>
          <w14:textFill>
            <w14:solidFill>
              <w14:schemeClr w14:val="tx1"/>
            </w14:solidFill>
          </w14:textFill>
        </w:rPr>
        <w:t>1）支持防卸载、防刷机、防恢复出厂设置三防功能，防止用户通过私自卸载、恢复出厂设置等造成脱管。即使用户通过设备按键进行强制恢复出厂设置，设备将会被管控和锁定，需要重新注册到管理平台才能解除锁定。2）支持系统时间防修改，不允许修改终端设备系统时间，系统时间定时与服务器同步，确保准确性。3）支持系统保障，保护平台下发的应用和策略在不同的设备上可以实现防卸载、防停用，在异常情况（例如客户端被破坏）下可远程删除所有应用和数据，保障用户信息安全。4）为保障系统远程管理安全，系统远程管理加密</w:t>
      </w:r>
      <w:r>
        <w:rPr>
          <w:rFonts w:hint="eastAsia" w:ascii="宋体" w:hAnsi="宋体" w:cs="Arial"/>
          <w:bCs/>
          <w:color w:val="000000" w:themeColor="text1"/>
          <w:sz w:val="24"/>
          <w14:textFill>
            <w14:solidFill>
              <w14:schemeClr w14:val="tx1"/>
            </w14:solidFill>
          </w14:textFill>
        </w:rPr>
        <w:t>（提供封面具有CMA、ilac-MRA、CNAS标志的权威检测机构的检测报告复印件）</w:t>
      </w:r>
      <w:r>
        <w:rPr>
          <w:rFonts w:ascii="宋体" w:hAnsi="宋体" w:cs="Arial"/>
          <w:bCs/>
          <w:color w:val="000000" w:themeColor="text1"/>
          <w:sz w:val="24"/>
          <w14:textFill>
            <w14:solidFill>
              <w14:schemeClr w14:val="tx1"/>
            </w14:solidFill>
          </w14:textFill>
        </w:rPr>
        <w:t>。</w:t>
      </w:r>
    </w:p>
    <w:p w14:paraId="62EB4C56">
      <w:pPr>
        <w:spacing w:line="360" w:lineRule="auto"/>
        <w:ind w:firstLine="482" w:firstLineChars="200"/>
        <w:rPr>
          <w:rFonts w:hint="eastAsia"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（3）</w:t>
      </w:r>
      <w:r>
        <w:rPr>
          <w:rFonts w:ascii="宋体" w:hAnsi="宋体" w:cs="Arial"/>
          <w:b/>
          <w:color w:val="000000" w:themeColor="text1"/>
          <w:sz w:val="24"/>
          <w14:textFill>
            <w14:solidFill>
              <w14:schemeClr w14:val="tx1"/>
            </w14:solidFill>
          </w14:textFill>
        </w:rPr>
        <w:t>加密传输：</w:t>
      </w:r>
      <w:r>
        <w:rPr>
          <w:rFonts w:ascii="宋体" w:hAnsi="宋体" w:cs="Arial"/>
          <w:bCs/>
          <w:color w:val="000000" w:themeColor="text1"/>
          <w:sz w:val="24"/>
          <w14:textFill>
            <w14:solidFill>
              <w14:schemeClr w14:val="tx1"/>
            </w14:solidFill>
          </w14:textFill>
        </w:rPr>
        <w:t>1）客户端和服务端之间通信采用HTTPS协议，按照“一机一密”的方式加密传输数据。2）客户端与服务器之间网络通讯基于HTTPS协议进行数据传输，同时请求报文和响应报文为密钥加密后的密文数据，采用自定义密文协议规则，加密规则基于国密算法实现。3）支持每个接入终端随机生成加密参数，保障“一机一密”的方式进行数据加密传输。4）系统远程传输具有高安全性</w:t>
      </w:r>
      <w:r>
        <w:rPr>
          <w:rFonts w:hint="eastAsia" w:ascii="宋体" w:hAnsi="宋体" w:cs="Arial"/>
          <w:bCs/>
          <w:color w:val="000000" w:themeColor="text1"/>
          <w:sz w:val="24"/>
          <w14:textFill>
            <w14:solidFill>
              <w14:schemeClr w14:val="tx1"/>
            </w14:solidFill>
          </w14:textFill>
        </w:rPr>
        <w:t>（提供封面具有CMA、ilac-MRA、CNAS标志的权威检测机构的检测报告复印件）</w:t>
      </w:r>
      <w:r>
        <w:rPr>
          <w:rFonts w:ascii="宋体" w:hAnsi="宋体" w:cs="Arial"/>
          <w:bCs/>
          <w:color w:val="000000" w:themeColor="text1"/>
          <w:sz w:val="24"/>
          <w14:textFill>
            <w14:solidFill>
              <w14:schemeClr w14:val="tx1"/>
            </w14:solidFill>
          </w14:textFill>
        </w:rPr>
        <w:t>。</w:t>
      </w:r>
    </w:p>
    <w:p w14:paraId="77DC794C">
      <w:pPr>
        <w:spacing w:line="360" w:lineRule="auto"/>
        <w:ind w:firstLine="482" w:firstLineChars="200"/>
        <w:rPr>
          <w:rFonts w:hint="eastAsia" w:ascii="宋体" w:hAnsi="宋体" w:cs="Arial"/>
          <w:bCs/>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（4）</w:t>
      </w:r>
      <w:r>
        <w:rPr>
          <w:rFonts w:ascii="宋体" w:hAnsi="宋体" w:cs="Arial"/>
          <w:b/>
          <w:color w:val="000000" w:themeColor="text1"/>
          <w:sz w:val="24"/>
          <w14:textFill>
            <w14:solidFill>
              <w14:schemeClr w14:val="tx1"/>
            </w14:solidFill>
          </w14:textFill>
        </w:rPr>
        <w:t>系统安全：</w:t>
      </w:r>
      <w:r>
        <w:rPr>
          <w:rFonts w:ascii="宋体" w:hAnsi="宋体" w:cs="Arial"/>
          <w:bCs/>
          <w:color w:val="000000" w:themeColor="text1"/>
          <w:sz w:val="24"/>
          <w14:textFill>
            <w14:solidFill>
              <w14:schemeClr w14:val="tx1"/>
            </w14:solidFill>
          </w14:textFill>
        </w:rPr>
        <w:t>1）编码符合安全编码要求，保障软件无漏洞后门。2）支持提供的管理员权限控制、操作日志记录等功能保证软件本身的安全性，通过用户隔离技术，降低用户间的相互影响，避免各种攻击。3）支持同一账号密码在多处登录触发短息告警，避免账密泄露导致的非法访问，当特定账户遭到破解攻击，管理平台可以实时锁定指定账户，避免破坏性攻击。4）软件系统本身具有高安全性，无高、中风险安全脆弱性问题</w:t>
      </w:r>
      <w:r>
        <w:rPr>
          <w:rFonts w:hint="eastAsia" w:ascii="宋体" w:hAnsi="宋体" w:cs="Arial"/>
          <w:bCs/>
          <w:color w:val="000000" w:themeColor="text1"/>
          <w:sz w:val="24"/>
          <w14:textFill>
            <w14:solidFill>
              <w14:schemeClr w14:val="tx1"/>
            </w14:solidFill>
          </w14:textFill>
        </w:rPr>
        <w:t>(提供封面具有CMA、ilac-MRA、CNAS标志的权威检测机构的检测报告复印件、提供MSTL出具的产品安全测试证书材料)</w:t>
      </w:r>
      <w:r>
        <w:rPr>
          <w:rFonts w:ascii="宋体" w:hAnsi="宋体" w:cs="Arial"/>
          <w:bCs/>
          <w:color w:val="000000" w:themeColor="text1"/>
          <w:sz w:val="24"/>
          <w14:textFill>
            <w14:solidFill>
              <w14:schemeClr w14:val="tx1"/>
            </w14:solidFill>
          </w14:textFill>
        </w:rPr>
        <w:t>。</w:t>
      </w:r>
    </w:p>
    <w:p w14:paraId="602654B0">
      <w:pPr>
        <w:spacing w:line="360" w:lineRule="auto"/>
        <w:ind w:firstLine="482" w:firstLineChars="200"/>
        <w:rPr>
          <w:rFonts w:hint="eastAsia" w:ascii="宋体" w:hAnsi="宋体" w:cs="Arial"/>
          <w:bCs/>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（5）</w:t>
      </w:r>
      <w:r>
        <w:rPr>
          <w:rFonts w:ascii="宋体" w:hAnsi="宋体" w:cs="Arial"/>
          <w:b/>
          <w:color w:val="000000" w:themeColor="text1"/>
          <w:sz w:val="24"/>
          <w14:textFill>
            <w14:solidFill>
              <w14:schemeClr w14:val="tx1"/>
            </w14:solidFill>
          </w14:textFill>
        </w:rPr>
        <w:t>数据安全：</w:t>
      </w:r>
      <w:r>
        <w:rPr>
          <w:rFonts w:ascii="宋体" w:hAnsi="宋体" w:cs="Arial"/>
          <w:bCs/>
          <w:color w:val="000000" w:themeColor="text1"/>
          <w:sz w:val="24"/>
          <w14:textFill>
            <w14:solidFill>
              <w14:schemeClr w14:val="tx1"/>
            </w14:solidFill>
          </w14:textFill>
        </w:rPr>
        <w:t>1）支持对关键数据和敏感信息进行存储加密保护、定时备份。2）支持对PC端管理主机及设备安全管控终端上的脱敏处理。3）数据安全主要包括：采用数据库和缓存的主备方案，对关键数据和敏感信息加密后进行传输存储，定时备份数据库，通过容灾备份等方式保证系统数据的安全性。业务层保障数据安全采用数据脱敏展示。</w:t>
      </w:r>
    </w:p>
    <w:p w14:paraId="398BDC59">
      <w:pPr>
        <w:spacing w:line="360" w:lineRule="auto"/>
        <w:ind w:firstLine="482" w:firstLineChars="200"/>
        <w:rPr>
          <w:rFonts w:hint="eastAsia" w:ascii="宋体" w:hAnsi="宋体" w:cs="Arial"/>
          <w:bCs/>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（6）</w:t>
      </w:r>
      <w:r>
        <w:rPr>
          <w:rFonts w:ascii="宋体" w:hAnsi="宋体" w:cs="Arial"/>
          <w:b/>
          <w:color w:val="000000" w:themeColor="text1"/>
          <w:sz w:val="24"/>
          <w14:textFill>
            <w14:solidFill>
              <w14:schemeClr w14:val="tx1"/>
            </w14:solidFill>
          </w14:textFill>
        </w:rPr>
        <w:t>网络安全：</w:t>
      </w:r>
      <w:r>
        <w:rPr>
          <w:rFonts w:ascii="宋体" w:hAnsi="宋体" w:cs="Arial"/>
          <w:bCs/>
          <w:color w:val="000000" w:themeColor="text1"/>
          <w:sz w:val="24"/>
          <w14:textFill>
            <w14:solidFill>
              <w14:schemeClr w14:val="tx1"/>
            </w14:solidFill>
          </w14:textFill>
        </w:rPr>
        <w:t>提供网站应用防火墙（WAF）功能，能够应对各类Web应用安全风险，具备Web应用攻击防护、网站防篡改、精准访问控制、CC安全防护、数据风控、防敏感信息泄露功能，过滤恶意攻击请求，将正常流量安全地引流到业务服务器。</w:t>
      </w:r>
    </w:p>
    <w:p w14:paraId="45911833">
      <w:pPr>
        <w:spacing w:line="360" w:lineRule="auto"/>
        <w:ind w:firstLine="482" w:firstLineChars="200"/>
        <w:rPr>
          <w:rFonts w:hint="eastAsia" w:ascii="宋体" w:hAnsi="宋体" w:cs="Arial"/>
          <w:bCs/>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（7）</w:t>
      </w:r>
      <w:r>
        <w:rPr>
          <w:rFonts w:ascii="宋体" w:hAnsi="宋体" w:cs="Arial"/>
          <w:b/>
          <w:color w:val="000000" w:themeColor="text1"/>
          <w:sz w:val="24"/>
          <w14:textFill>
            <w14:solidFill>
              <w14:schemeClr w14:val="tx1"/>
            </w14:solidFill>
          </w14:textFill>
        </w:rPr>
        <w:t>管理安全：</w:t>
      </w:r>
      <w:r>
        <w:rPr>
          <w:rFonts w:ascii="宋体" w:hAnsi="宋体" w:cs="Arial"/>
          <w:bCs/>
          <w:color w:val="000000" w:themeColor="text1"/>
          <w:sz w:val="24"/>
          <w14:textFill>
            <w14:solidFill>
              <w14:schemeClr w14:val="tx1"/>
            </w14:solidFill>
          </w14:textFill>
        </w:rPr>
        <w:t>支持通过对后端管控服务器、PC端管理主机上部署检测和扫描工具，定期扫描形成报告，现场加固和漏洞封堵。</w:t>
      </w:r>
    </w:p>
    <w:p w14:paraId="6A5A3C82">
      <w:pPr>
        <w:spacing w:before="240" w:beforeLines="100" w:line="360" w:lineRule="auto"/>
        <w:ind w:firstLine="420"/>
        <w:rPr>
          <w:color w:val="000000" w:themeColor="text1"/>
          <w14:textFill>
            <w14:solidFill>
              <w14:schemeClr w14:val="tx1"/>
            </w14:solidFill>
          </w14:textFill>
        </w:rPr>
      </w:pPr>
      <w:r>
        <w:rPr>
          <w:rFonts w:hint="eastAsia" w:ascii="宋体" w:hAnsi="宋体"/>
          <w:b/>
          <w:bCs/>
          <w:color w:val="000000" w:themeColor="text1"/>
          <w:sz w:val="24"/>
          <w14:textFill>
            <w14:solidFill>
              <w14:schemeClr w14:val="tx1"/>
            </w14:solidFill>
          </w14:textFill>
        </w:rPr>
        <w:t>4）服务器流量短信服务</w:t>
      </w:r>
    </w:p>
    <w:p w14:paraId="22D03B38">
      <w:pPr>
        <w:snapToGrid w:val="0"/>
        <w:spacing w:line="360" w:lineRule="auto"/>
        <w:ind w:firstLine="36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提供负载均衡服务、灾备服务、云存储OSS服务、云缓存数据库服务、带宽资源不少于300M(重大会议期间要求提供1000M及以上带宽资源)。</w:t>
      </w:r>
    </w:p>
    <w:p w14:paraId="297C8DB7">
      <w:pPr>
        <w:spacing w:before="240" w:beforeLines="100" w:line="360" w:lineRule="auto"/>
        <w:ind w:firstLine="42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在2年服务期间要求为每个客户终端提供不少于12G/月的数据流量。</w:t>
      </w:r>
    </w:p>
    <w:p w14:paraId="2A556C11">
      <w:pPr>
        <w:snapToGrid w:val="0"/>
        <w:spacing w:line="360" w:lineRule="auto"/>
        <w:ind w:firstLine="36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在2年服务期间提供短信服务。</w:t>
      </w:r>
    </w:p>
    <w:p w14:paraId="2A1F7FB3">
      <w:pPr>
        <w:pStyle w:val="4"/>
        <w:rPr>
          <w:rFonts w:hint="eastAsia" w:cs="宋体"/>
          <w:color w:val="000000" w:themeColor="text1"/>
          <w14:textFill>
            <w14:solidFill>
              <w14:schemeClr w14:val="tx1"/>
            </w14:solidFill>
          </w14:textFill>
        </w:rPr>
      </w:pPr>
      <w:bookmarkStart w:id="48" w:name="_Toc74148774"/>
      <w:bookmarkEnd w:id="48"/>
      <w:bookmarkStart w:id="49" w:name="_Toc74148773"/>
      <w:bookmarkEnd w:id="49"/>
      <w:bookmarkStart w:id="50" w:name="_Toc11565"/>
      <w:bookmarkStart w:id="51" w:name="_Toc82944776"/>
      <w:r>
        <w:rPr>
          <w:rFonts w:hint="eastAsia" w:cs="宋体"/>
          <w:color w:val="000000" w:themeColor="text1"/>
          <w14:textFill>
            <w14:solidFill>
              <w14:schemeClr w14:val="tx1"/>
            </w14:solidFill>
          </w14:textFill>
        </w:rPr>
        <w:t>五、培训要求</w:t>
      </w:r>
      <w:bookmarkEnd w:id="50"/>
      <w:bookmarkEnd w:id="51"/>
    </w:p>
    <w:p w14:paraId="1572C05C">
      <w:pPr>
        <w:snapToGrid w:val="0"/>
        <w:spacing w:line="360" w:lineRule="auto"/>
        <w:ind w:firstLine="36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中标单位必须为招标人提供系统使用、系统操作和管理维护培训，培训形式包括现场操作培训、上机操作培训、理论基础知识培训等。</w:t>
      </w:r>
    </w:p>
    <w:p w14:paraId="6E4A4417">
      <w:pPr>
        <w:snapToGrid w:val="0"/>
        <w:spacing w:line="360" w:lineRule="auto"/>
        <w:ind w:firstLine="36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投标单位应在投标文件中提供详细的培训计划，包括培训项目、人数、地点、日程、资料、其它等详细内容，为所有被培训人员提供培训用文字资料和讲义等相关用品。</w:t>
      </w:r>
    </w:p>
    <w:p w14:paraId="322308D0">
      <w:pPr>
        <w:snapToGrid w:val="0"/>
        <w:spacing w:line="360" w:lineRule="auto"/>
        <w:ind w:firstLine="36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培训目的：达到使管理方员工在培训后能够独立地使用和操作系统，使管理方系统维护人员能够独立进行系统管理、维护的效果。</w:t>
      </w:r>
    </w:p>
    <w:p w14:paraId="0515E11E">
      <w:pPr>
        <w:snapToGrid w:val="0"/>
        <w:spacing w:line="360" w:lineRule="auto"/>
        <w:ind w:firstLine="36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中标单位培训人员必须是公司的资深工程师,应保证提供有参与系统开发和丰富授课经验的教员。</w:t>
      </w:r>
    </w:p>
    <w:p w14:paraId="3369EF4D">
      <w:pPr>
        <w:snapToGrid w:val="0"/>
        <w:spacing w:line="360" w:lineRule="auto"/>
        <w:ind w:firstLine="36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培训总时间要求：服务可交付后，项目服务培训要求不少于2次。</w:t>
      </w:r>
    </w:p>
    <w:p w14:paraId="020E27AE">
      <w:pPr>
        <w:snapToGrid w:val="0"/>
        <w:spacing w:line="360" w:lineRule="auto"/>
        <w:ind w:firstLine="36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应准备培训教材和培训资料的电子材料和纸质材料，培训教材和培训资料的语言应为简体中文。所有培训费用（含培训教材费），已包括在投标总价中。</w:t>
      </w:r>
    </w:p>
    <w:p w14:paraId="7414F55B">
      <w:pPr>
        <w:snapToGrid w:val="0"/>
        <w:spacing w:line="360" w:lineRule="auto"/>
        <w:ind w:firstLine="36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每次培训需在杭州市范围内举行，如需对培训次数、培训场地等变更，则实际培训时间、人数和地点按中标单位与项目招标人商定的为准。培训人数应满足管理方的实际需要。</w:t>
      </w:r>
    </w:p>
    <w:p w14:paraId="63159846">
      <w:pPr>
        <w:pStyle w:val="4"/>
        <w:ind w:firstLine="355"/>
        <w:rPr>
          <w:rFonts w:hint="eastAsia" w:cs="宋体"/>
          <w:color w:val="000000" w:themeColor="text1"/>
          <w14:textFill>
            <w14:solidFill>
              <w14:schemeClr w14:val="tx1"/>
            </w14:solidFill>
          </w14:textFill>
        </w:rPr>
      </w:pPr>
      <w:r>
        <w:rPr>
          <w:rFonts w:hint="eastAsia" w:cs="宋体"/>
          <w:b w:val="0"/>
          <w:bCs w:val="0"/>
          <w:color w:val="000000" w:themeColor="text1"/>
          <w14:textFill>
            <w14:solidFill>
              <w14:schemeClr w14:val="tx1"/>
            </w14:solidFill>
          </w14:textFill>
        </w:rPr>
        <w:t>六、售后服务要求</w:t>
      </w:r>
    </w:p>
    <w:p w14:paraId="4E7F9BB5">
      <w:pPr>
        <w:pStyle w:val="85"/>
        <w:rPr>
          <w:rFonts w:hint="eastAsia" w:cs="宋体"/>
          <w:color w:val="000000" w:themeColor="text1"/>
          <w:u w:val="single"/>
          <w14:textFill>
            <w14:solidFill>
              <w14:schemeClr w14:val="tx1"/>
            </w14:solidFill>
          </w14:textFill>
        </w:rPr>
      </w:pPr>
      <w:r>
        <w:rPr>
          <w:rFonts w:hint="eastAsia" w:cs="宋体"/>
          <w:color w:val="000000" w:themeColor="text1"/>
          <w:u w:val="single"/>
          <w14:textFill>
            <w14:solidFill>
              <w14:schemeClr w14:val="tx1"/>
            </w14:solidFill>
          </w14:textFill>
        </w:rPr>
        <w:t>质保期要求：提供至少1个及以上人员现场日常驻点服务，</w:t>
      </w:r>
      <w:r>
        <w:rPr>
          <w:rFonts w:hint="eastAsia" w:cs="宋体"/>
          <w:color w:val="000000" w:themeColor="text1"/>
          <w:u w:val="single"/>
          <w:lang w:eastAsia="zh-Hans"/>
          <w14:textFill>
            <w14:solidFill>
              <w14:schemeClr w14:val="tx1"/>
            </w14:solidFill>
          </w14:textFill>
        </w:rPr>
        <w:t>会议服务阅览器维护和听会系统维护服务保障</w:t>
      </w:r>
      <w:r>
        <w:rPr>
          <w:rFonts w:hint="eastAsia" w:cs="宋体"/>
          <w:color w:val="000000" w:themeColor="text1"/>
          <w:u w:val="single"/>
          <w14:textFill>
            <w14:solidFill>
              <w14:schemeClr w14:val="tx1"/>
            </w14:solidFill>
          </w14:textFill>
        </w:rPr>
        <w:t>；</w:t>
      </w:r>
      <w:r>
        <w:rPr>
          <w:rFonts w:hint="eastAsia" w:cs="宋体"/>
          <w:color w:val="000000" w:themeColor="text1"/>
          <w:u w:val="single"/>
          <w:lang w:eastAsia="zh-Hans"/>
          <w14:textFill>
            <w14:solidFill>
              <w14:schemeClr w14:val="tx1"/>
            </w14:solidFill>
          </w14:textFill>
        </w:rPr>
        <w:t>大会</w:t>
      </w:r>
      <w:r>
        <w:rPr>
          <w:rFonts w:hint="eastAsia" w:cs="宋体"/>
          <w:color w:val="000000" w:themeColor="text1"/>
          <w:u w:val="single"/>
          <w14:textFill>
            <w14:solidFill>
              <w14:schemeClr w14:val="tx1"/>
            </w14:solidFill>
          </w14:textFill>
        </w:rPr>
        <w:t>期间，要求投标人提供5人及以上现场驻点保障服务。</w:t>
      </w:r>
    </w:p>
    <w:p w14:paraId="10854646">
      <w:pPr>
        <w:snapToGrid w:val="0"/>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提供</w:t>
      </w:r>
      <w:r>
        <w:rPr>
          <w:rFonts w:ascii="宋体" w:hAnsi="宋体" w:cs="宋体"/>
          <w:color w:val="000000" w:themeColor="text1"/>
          <w:sz w:val="24"/>
          <w:u w:val="single"/>
          <w14:textFill>
            <w14:solidFill>
              <w14:schemeClr w14:val="tx1"/>
            </w14:solidFill>
          </w14:textFill>
        </w:rPr>
        <w:t>7*24小时售后技术服务</w:t>
      </w:r>
      <w:r>
        <w:rPr>
          <w:rFonts w:hint="eastAsia" w:ascii="宋体" w:hAnsi="宋体" w:cs="宋体"/>
          <w:color w:val="000000" w:themeColor="text1"/>
          <w:sz w:val="24"/>
          <w:u w:val="single"/>
          <w14:textFill>
            <w14:solidFill>
              <w14:schemeClr w14:val="tx1"/>
            </w14:solidFill>
          </w14:textFill>
        </w:rPr>
        <w:t>（包括故障排除、性能调优、技术咨询等）</w:t>
      </w:r>
      <w:r>
        <w:rPr>
          <w:rFonts w:ascii="宋体" w:hAnsi="宋体" w:cs="宋体"/>
          <w:color w:val="000000" w:themeColor="text1"/>
          <w:sz w:val="24"/>
          <w:u w:val="single"/>
          <w14:textFill>
            <w14:solidFill>
              <w14:schemeClr w14:val="tx1"/>
            </w14:solidFill>
          </w14:textFill>
        </w:rPr>
        <w:t>，在接到用户故障报告后，半小时内做出明确响应和安排，修复时间不超过8小时</w:t>
      </w:r>
      <w:r>
        <w:rPr>
          <w:rFonts w:hint="eastAsia" w:ascii="宋体" w:hAnsi="宋体" w:cs="宋体"/>
          <w:color w:val="000000" w:themeColor="text1"/>
          <w:sz w:val="24"/>
          <w:u w:val="single"/>
          <w14:textFill>
            <w14:solidFill>
              <w14:schemeClr w14:val="tx1"/>
            </w14:solidFill>
          </w14:textFill>
        </w:rPr>
        <w:t>。</w:t>
      </w:r>
    </w:p>
    <w:p w14:paraId="63E5A4E6">
      <w:pPr>
        <w:pStyle w:val="4"/>
        <w:rPr>
          <w:rFonts w:hint="eastAsia"/>
          <w:color w:val="000000" w:themeColor="text1"/>
          <w14:textFill>
            <w14:solidFill>
              <w14:schemeClr w14:val="tx1"/>
            </w14:solidFill>
          </w14:textFill>
        </w:rPr>
      </w:pPr>
      <w:bookmarkStart w:id="52" w:name="_Toc23916"/>
      <w:bookmarkStart w:id="53" w:name="_Toc82944779"/>
      <w:r>
        <w:rPr>
          <w:rFonts w:hint="eastAsia"/>
          <w:color w:val="000000" w:themeColor="text1"/>
          <w14:textFill>
            <w14:solidFill>
              <w14:schemeClr w14:val="tx1"/>
            </w14:solidFill>
          </w14:textFill>
        </w:rPr>
        <w:t>七、投标人资质及项目组人员要求</w:t>
      </w:r>
      <w:bookmarkEnd w:id="52"/>
      <w:bookmarkEnd w:id="53"/>
      <w:r>
        <w:rPr>
          <w:rFonts w:hint="eastAsia"/>
          <w:color w:val="000000" w:themeColor="text1"/>
          <w14:textFill>
            <w14:solidFill>
              <w14:schemeClr w14:val="tx1"/>
            </w14:solidFill>
          </w14:textFill>
        </w:rPr>
        <w:t>（不具备将被扣分）</w:t>
      </w:r>
    </w:p>
    <w:p w14:paraId="7BF3F19B">
      <w:pPr>
        <w:snapToGrid w:val="0"/>
        <w:spacing w:line="360" w:lineRule="auto"/>
        <w:ind w:firstLine="480" w:firstLineChars="200"/>
        <w:rPr>
          <w:rFonts w:hint="eastAsia" w:ascii="宋体" w:hAnsi="宋体" w:cs="宋体"/>
          <w:color w:val="000000" w:themeColor="text1"/>
          <w:kern w:val="0"/>
          <w:sz w:val="24"/>
          <w:lang w:bidi="ar"/>
          <w14:textFill>
            <w14:solidFill>
              <w14:schemeClr w14:val="tx1"/>
            </w14:solidFill>
          </w14:textFill>
        </w:rPr>
      </w:pPr>
      <w:r>
        <w:rPr>
          <w:rFonts w:ascii="宋体" w:hAnsi="宋体" w:cs="宋体"/>
          <w:color w:val="000000" w:themeColor="text1"/>
          <w:kern w:val="0"/>
          <w:sz w:val="24"/>
          <w:lang w:bidi="ar"/>
          <w14:textFill>
            <w14:solidFill>
              <w14:schemeClr w14:val="tx1"/>
            </w14:solidFill>
          </w14:textFill>
        </w:rPr>
        <w:t>1、投标人认证：</w:t>
      </w:r>
    </w:p>
    <w:p w14:paraId="5888B048">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投标人具有ISO 9001质量管理体系认证证书、ISO 20000信息技术服务管理体系认证证书、ISO 27001信息安全管理体系认证证书、ISO 45001职业健康安全管理体系认证证书。</w:t>
      </w:r>
    </w:p>
    <w:p w14:paraId="0EDFA66E">
      <w:pPr>
        <w:snapToGrid w:val="0"/>
        <w:spacing w:line="360" w:lineRule="auto"/>
        <w:ind w:firstLine="480" w:firstLineChars="200"/>
        <w:rPr>
          <w:rFonts w:hint="eastAsia" w:ascii="宋体" w:hAnsi="宋体" w:cs="宋体"/>
          <w:color w:val="000000" w:themeColor="text1"/>
          <w:sz w:val="24"/>
          <w:lang w:bidi="ar"/>
          <w14:textFill>
            <w14:solidFill>
              <w14:schemeClr w14:val="tx1"/>
            </w14:solidFill>
          </w14:textFill>
        </w:rPr>
      </w:pPr>
      <w:r>
        <w:rPr>
          <w:rFonts w:ascii="宋体" w:hAnsi="宋体" w:cs="宋体"/>
          <w:color w:val="000000" w:themeColor="text1"/>
          <w:kern w:val="0"/>
          <w:sz w:val="24"/>
          <w14:textFill>
            <w14:solidFill>
              <w14:schemeClr w14:val="tx1"/>
            </w14:solidFill>
          </w14:textFill>
        </w:rPr>
        <w:t>项目负责人同时具有信息安全保障人员认证证书</w:t>
      </w:r>
      <w:r>
        <w:rPr>
          <w:rFonts w:hint="eastAsia" w:ascii="宋体" w:hAnsi="宋体" w:cs="宋体"/>
          <w:color w:val="000000" w:themeColor="text1"/>
          <w:kern w:val="0"/>
          <w:sz w:val="24"/>
          <w14:textFill>
            <w14:solidFill>
              <w14:schemeClr w14:val="tx1"/>
            </w14:solidFill>
          </w14:textFill>
        </w:rPr>
        <w:t>、高级信息系统项目管理师</w:t>
      </w:r>
      <w:r>
        <w:rPr>
          <w:rFonts w:ascii="宋体" w:hAnsi="宋体" w:cs="宋体"/>
          <w:color w:val="000000" w:themeColor="text1"/>
          <w:kern w:val="0"/>
          <w:sz w:val="24"/>
          <w14:textFill>
            <w14:solidFill>
              <w14:schemeClr w14:val="tx1"/>
            </w14:solidFill>
          </w14:textFill>
        </w:rPr>
        <w:t>及高级工程师(信息技术专业)</w:t>
      </w:r>
      <w:r>
        <w:rPr>
          <w:rFonts w:hint="eastAsia" w:ascii="宋体" w:hAnsi="宋体" w:cs="宋体"/>
          <w:color w:val="000000" w:themeColor="text1"/>
          <w:kern w:val="0"/>
          <w:sz w:val="24"/>
          <w14:textFill>
            <w14:solidFill>
              <w14:schemeClr w14:val="tx1"/>
            </w14:solidFill>
          </w14:textFill>
        </w:rPr>
        <w:t>职称</w:t>
      </w:r>
      <w:r>
        <w:rPr>
          <w:rFonts w:hint="eastAsia" w:ascii="宋体" w:hAnsi="宋体" w:cs="宋体"/>
          <w:color w:val="000000" w:themeColor="text1"/>
          <w:sz w:val="24"/>
          <w:lang w:bidi="ar"/>
          <w14:textFill>
            <w14:solidFill>
              <w14:schemeClr w14:val="tx1"/>
            </w14:solidFill>
          </w14:textFill>
        </w:rPr>
        <w:t>；</w:t>
      </w:r>
    </w:p>
    <w:p w14:paraId="35008F7F">
      <w:pPr>
        <w:snapToGrid w:val="0"/>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项目安全负责人同时具有高级信息系统项目管理师认证证书、信息安全保障人员认证证书及中级工程师（终端与业务专业）职称；</w:t>
      </w:r>
    </w:p>
    <w:p w14:paraId="718DC430">
      <w:pPr>
        <w:snapToGrid w:val="0"/>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项目技术负责人同时具备注册信息安全专业人员认证证书、高级信息系统项目管理师认证证书；</w:t>
      </w:r>
    </w:p>
    <w:p w14:paraId="66AC6976">
      <w:pPr>
        <w:snapToGrid w:val="0"/>
        <w:spacing w:line="360" w:lineRule="auto"/>
        <w:ind w:firstLine="480" w:firstLineChars="200"/>
        <w:rPr>
          <w:rFonts w:hint="eastAsia"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项目团队人员不得少于</w:t>
      </w:r>
      <w:r>
        <w:rPr>
          <w:rFonts w:ascii="宋体" w:hAnsi="宋体" w:cs="宋体"/>
          <w:color w:val="000000" w:themeColor="text1"/>
          <w:kern w:val="0"/>
          <w:sz w:val="24"/>
          <w14:textFill>
            <w14:solidFill>
              <w14:schemeClr w14:val="tx1"/>
            </w14:solidFill>
          </w14:textFill>
        </w:rPr>
        <w:t>10人，其中团队成员高级工程师</w:t>
      </w:r>
      <w:r>
        <w:rPr>
          <w:rFonts w:hint="eastAsia" w:ascii="宋体" w:hAnsi="宋体" w:cs="宋体"/>
          <w:color w:val="000000" w:themeColor="text1"/>
          <w:kern w:val="0"/>
          <w:sz w:val="24"/>
          <w14:textFill>
            <w14:solidFill>
              <w14:schemeClr w14:val="tx1"/>
            </w14:solidFill>
          </w14:textFill>
        </w:rPr>
        <w:t>不少于3人，中级工程师不少于3人。</w:t>
      </w:r>
    </w:p>
    <w:bookmarkEnd w:id="42"/>
    <w:p w14:paraId="7F56AFCD">
      <w:pPr>
        <w:spacing w:line="360" w:lineRule="auto"/>
        <w:outlineLvl w:val="1"/>
        <w:rPr>
          <w:rFonts w:hint="eastAsia" w:ascii="宋体" w:hAnsi="宋体" w:cs="Arial"/>
          <w:b/>
          <w:bCs/>
          <w:color w:val="000000" w:themeColor="text1"/>
          <w:sz w:val="24"/>
          <w14:textFill>
            <w14:solidFill>
              <w14:schemeClr w14:val="tx1"/>
            </w14:solidFill>
          </w14:textFill>
        </w:rPr>
      </w:pPr>
      <w:bookmarkStart w:id="54" w:name="_Toc29755"/>
      <w:r>
        <w:rPr>
          <w:rFonts w:hint="eastAsia" w:ascii="宋体" w:hAnsi="宋体" w:cs="Arial"/>
          <w:b/>
          <w:bCs/>
          <w:color w:val="000000" w:themeColor="text1"/>
          <w:sz w:val="24"/>
          <w14:textFill>
            <w14:solidFill>
              <w14:schemeClr w14:val="tx1"/>
            </w14:solidFill>
          </w14:textFill>
        </w:rPr>
        <w:t>八、服务标准</w:t>
      </w:r>
      <w:bookmarkEnd w:id="43"/>
      <w:bookmarkEnd w:id="54"/>
    </w:p>
    <w:p w14:paraId="3BA346CE">
      <w:pPr>
        <w:tabs>
          <w:tab w:val="left" w:pos="0"/>
        </w:tabs>
        <w:spacing w:line="360" w:lineRule="auto"/>
        <w:ind w:firstLine="480"/>
        <w:rPr>
          <w:rFonts w:hint="eastAsia" w:ascii="宋体" w:hAnsi="宋体" w:cs="Helvetica"/>
          <w:color w:val="000000" w:themeColor="text1"/>
          <w:kern w:val="0"/>
          <w:sz w:val="24"/>
          <w14:textFill>
            <w14:solidFill>
              <w14:schemeClr w14:val="tx1"/>
            </w14:solidFill>
          </w14:textFill>
        </w:rPr>
      </w:pPr>
      <w:r>
        <w:rPr>
          <w:rFonts w:hint="eastAsia" w:ascii="宋体" w:hAnsi="宋体" w:cs="Helvetica"/>
          <w:color w:val="000000" w:themeColor="text1"/>
          <w:kern w:val="0"/>
          <w:sz w:val="24"/>
          <w14:textFill>
            <w14:solidFill>
              <w14:schemeClr w14:val="tx1"/>
            </w14:solidFill>
          </w14:textFill>
        </w:rPr>
        <w:t>1、本次采购的服务所涉及的服务标准、规范、验收标准、规范，应符合国家有关条例及规范。如有新的标准应采纳新标准；若同一服务同时有几个标准（国际标准、国家标准、行业标准、企业标准等），则按最高层次的标准执行。</w:t>
      </w:r>
    </w:p>
    <w:p w14:paraId="01E02614">
      <w:pPr>
        <w:tabs>
          <w:tab w:val="left" w:pos="0"/>
        </w:tabs>
        <w:spacing w:line="360" w:lineRule="auto"/>
        <w:ind w:firstLine="480"/>
        <w:rPr>
          <w:rFonts w:hint="eastAsia" w:ascii="宋体" w:hAnsi="宋体" w:cs="Helvetica"/>
          <w:color w:val="000000" w:themeColor="text1"/>
          <w:kern w:val="0"/>
          <w:sz w:val="24"/>
          <w14:textFill>
            <w14:solidFill>
              <w14:schemeClr w14:val="tx1"/>
            </w14:solidFill>
          </w14:textFill>
        </w:rPr>
      </w:pPr>
      <w:r>
        <w:rPr>
          <w:rFonts w:hint="eastAsia" w:ascii="宋体" w:hAnsi="宋体" w:cs="Helvetica"/>
          <w:color w:val="000000" w:themeColor="text1"/>
          <w:kern w:val="0"/>
          <w:sz w:val="24"/>
          <w14:textFill>
            <w14:solidFill>
              <w14:schemeClr w14:val="tx1"/>
            </w14:solidFill>
          </w14:textFill>
        </w:rPr>
        <w:t>2、中国国家标准及其它被普遍认可的标准，由采购人认可的其他国家的其他权威标准；原有规范若已被废弃，则以相应的新规范为准。</w:t>
      </w:r>
    </w:p>
    <w:p w14:paraId="0F218D8F">
      <w:pPr>
        <w:tabs>
          <w:tab w:val="left" w:pos="0"/>
        </w:tabs>
        <w:spacing w:line="360" w:lineRule="auto"/>
        <w:ind w:firstLine="480"/>
        <w:rPr>
          <w:rFonts w:hint="eastAsia" w:ascii="宋体" w:hAnsi="宋体" w:cs="Helvetica"/>
          <w:color w:val="000000" w:themeColor="text1"/>
          <w:kern w:val="0"/>
          <w:sz w:val="24"/>
          <w14:textFill>
            <w14:solidFill>
              <w14:schemeClr w14:val="tx1"/>
            </w14:solidFill>
          </w14:textFill>
        </w:rPr>
      </w:pPr>
      <w:r>
        <w:rPr>
          <w:rFonts w:hint="eastAsia" w:ascii="宋体" w:hAnsi="宋体" w:cs="Helvetica"/>
          <w:color w:val="000000" w:themeColor="text1"/>
          <w:kern w:val="0"/>
          <w:sz w:val="24"/>
          <w14:textFill>
            <w14:solidFill>
              <w14:schemeClr w14:val="tx1"/>
            </w14:solidFill>
          </w14:textFill>
        </w:rPr>
        <w:t>3、供应商提供的服务必须满足采购文件中提出的相关技术要求。</w:t>
      </w:r>
    </w:p>
    <w:p w14:paraId="15405496">
      <w:pPr>
        <w:spacing w:line="360" w:lineRule="auto"/>
        <w:ind w:firstLine="480" w:firstLineChars="200"/>
        <w:rPr>
          <w:rFonts w:hint="eastAsia" w:ascii="宋体" w:hAnsi="宋体" w:cs="Helvetica"/>
          <w:color w:val="000000" w:themeColor="text1"/>
          <w:kern w:val="0"/>
          <w:sz w:val="24"/>
          <w14:textFill>
            <w14:solidFill>
              <w14:schemeClr w14:val="tx1"/>
            </w14:solidFill>
          </w14:textFill>
        </w:rPr>
      </w:pPr>
      <w:r>
        <w:rPr>
          <w:rFonts w:hint="eastAsia" w:ascii="宋体" w:hAnsi="宋体" w:cs="Helvetica"/>
          <w:color w:val="000000" w:themeColor="text1"/>
          <w:kern w:val="0"/>
          <w:sz w:val="24"/>
          <w14:textFill>
            <w14:solidFill>
              <w14:schemeClr w14:val="tx1"/>
            </w14:solidFill>
          </w14:textFill>
        </w:rPr>
        <w:t>4、供应商提供的成果应是无任何质量缺陷、技术成熟，符合国家现行规范/标准要求。</w:t>
      </w:r>
    </w:p>
    <w:bookmarkEnd w:id="44"/>
    <w:p w14:paraId="5FF9BA5C">
      <w:pPr>
        <w:keepNext/>
        <w:keepLines/>
        <w:tabs>
          <w:tab w:val="left" w:pos="706"/>
          <w:tab w:val="left" w:pos="1110"/>
        </w:tabs>
        <w:spacing w:line="360" w:lineRule="auto"/>
        <w:outlineLvl w:val="1"/>
        <w:rPr>
          <w:rFonts w:hint="eastAsia"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九、验收</w:t>
      </w:r>
      <w:bookmarkEnd w:id="35"/>
      <w:bookmarkEnd w:id="36"/>
      <w:bookmarkEnd w:id="37"/>
    </w:p>
    <w:p w14:paraId="0A6F3A49">
      <w:pPr>
        <w:pStyle w:val="967"/>
        <w:ind w:firstLine="480"/>
        <w:rPr>
          <w:rFonts w:hint="eastAsia" w:ascii="宋体" w:hAnsi="宋体" w:cs="仿宋"/>
          <w:color w:val="000000" w:themeColor="text1"/>
          <w14:textFill>
            <w14:solidFill>
              <w14:schemeClr w14:val="tx1"/>
            </w14:solidFill>
          </w14:textFill>
        </w:rPr>
      </w:pPr>
      <w:bookmarkStart w:id="55" w:name="_Toc9028"/>
      <w:bookmarkStart w:id="56" w:name="_Hlk102914293"/>
      <w:r>
        <w:rPr>
          <w:rFonts w:ascii="宋体" w:hAnsi="宋体" w:cs="仿宋"/>
          <w:color w:val="000000" w:themeColor="text1"/>
          <w14:textFill>
            <w14:solidFill>
              <w14:schemeClr w14:val="tx1"/>
            </w14:solidFill>
          </w14:textFill>
        </w:rPr>
        <w:t>1</w:t>
      </w:r>
      <w:r>
        <w:rPr>
          <w:rFonts w:hint="eastAsia" w:ascii="宋体" w:hAnsi="宋体" w:cs="仿宋"/>
          <w:color w:val="000000" w:themeColor="text1"/>
          <w14:textFill>
            <w14:solidFill>
              <w14:schemeClr w14:val="tx1"/>
            </w14:solidFill>
          </w14:textFill>
        </w:rPr>
        <w:t>、验收组织和程序</w:t>
      </w:r>
      <w:bookmarkEnd w:id="55"/>
    </w:p>
    <w:p w14:paraId="681BB458">
      <w:pPr>
        <w:pStyle w:val="967"/>
        <w:ind w:firstLine="480"/>
        <w:rPr>
          <w:rFonts w:hint="eastAsia"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w:t>
      </w:r>
      <w:r>
        <w:rPr>
          <w:rFonts w:ascii="宋体" w:hAnsi="宋体" w:cs="仿宋"/>
          <w:color w:val="000000" w:themeColor="text1"/>
          <w14:textFill>
            <w14:solidFill>
              <w14:schemeClr w14:val="tx1"/>
            </w14:solidFill>
          </w14:textFill>
        </w:rPr>
        <w:t>1）根据《中华人民共和国政府采购法》、《中华人民共和国民法典》、《中华</w:t>
      </w:r>
      <w:r>
        <w:rPr>
          <w:rFonts w:hint="eastAsia" w:ascii="宋体" w:hAnsi="宋体" w:cs="仿宋"/>
          <w:color w:val="000000" w:themeColor="text1"/>
          <w14:textFill>
            <w14:solidFill>
              <w14:schemeClr w14:val="tx1"/>
            </w14:solidFill>
          </w14:textFill>
        </w:rPr>
        <w:t>人民共和国政府采购法实施条例》、财政部《财政部关于进一步加强政府采购需求和履约验收管理的指导意见》（财库</w:t>
      </w:r>
      <w:r>
        <w:rPr>
          <w:rFonts w:ascii="宋体" w:hAnsi="宋体" w:cs="仿宋"/>
          <w:color w:val="000000" w:themeColor="text1"/>
          <w14:textFill>
            <w14:solidFill>
              <w14:schemeClr w14:val="tx1"/>
            </w14:solidFill>
          </w14:textFill>
        </w:rPr>
        <w:t>[2016]205号）、杭州市财政局《杭州市政府采购履约验收暂行办法》（</w:t>
      </w:r>
      <w:r>
        <w:rPr>
          <w:rFonts w:hint="eastAsia" w:ascii="宋体" w:hAnsi="宋体" w:cs="仿宋"/>
          <w:color w:val="000000" w:themeColor="text1"/>
          <w14:textFill>
            <w14:solidFill>
              <w14:schemeClr w14:val="tx1"/>
            </w14:solidFill>
          </w14:textFill>
        </w:rPr>
        <w:t>杭财采监</w:t>
      </w:r>
      <w:r>
        <w:rPr>
          <w:rFonts w:ascii="宋体" w:hAnsi="宋体" w:cs="仿宋"/>
          <w:color w:val="000000" w:themeColor="text1"/>
          <w14:textFill>
            <w14:solidFill>
              <w14:schemeClr w14:val="tx1"/>
            </w14:solidFill>
          </w14:textFill>
        </w:rPr>
        <w:t>[2019]10号）等相关法律、法规、规范性文件要求组织验收。</w:t>
      </w:r>
    </w:p>
    <w:p w14:paraId="09E28C28">
      <w:pPr>
        <w:pStyle w:val="967"/>
        <w:ind w:firstLine="480"/>
        <w:rPr>
          <w:rFonts w:hint="eastAsia"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w:t>
      </w:r>
      <w:r>
        <w:rPr>
          <w:rFonts w:ascii="宋体" w:hAnsi="宋体" w:cs="仿宋"/>
          <w:color w:val="000000" w:themeColor="text1"/>
          <w14:textFill>
            <w14:solidFill>
              <w14:schemeClr w14:val="tx1"/>
            </w14:solidFill>
          </w14:textFill>
        </w:rPr>
        <w:t>2）验收方法：验收小组验收。</w:t>
      </w:r>
    </w:p>
    <w:p w14:paraId="53279B7E">
      <w:pPr>
        <w:pStyle w:val="967"/>
        <w:ind w:firstLine="480"/>
        <w:rPr>
          <w:rFonts w:hint="eastAsia"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w:t>
      </w:r>
      <w:r>
        <w:rPr>
          <w:rFonts w:ascii="宋体" w:hAnsi="宋体" w:cs="仿宋"/>
          <w:color w:val="000000" w:themeColor="text1"/>
          <w14:textFill>
            <w14:solidFill>
              <w14:schemeClr w14:val="tx1"/>
            </w14:solidFill>
          </w14:textFill>
        </w:rPr>
        <w:t>3）验收小组组建方式：</w:t>
      </w:r>
      <w:r>
        <w:rPr>
          <w:rFonts w:hint="eastAsia" w:ascii="宋体" w:hAnsi="宋体" w:cs="仿宋"/>
          <w:color w:val="000000" w:themeColor="text1"/>
          <w14:textFill>
            <w14:solidFill>
              <w14:schemeClr w14:val="tx1"/>
            </w14:solidFill>
          </w14:textFill>
        </w:rPr>
        <w:t>项目验收负责人组织</w:t>
      </w:r>
      <w:r>
        <w:rPr>
          <w:rFonts w:ascii="宋体" w:hAnsi="宋体" w:cs="仿宋"/>
          <w:color w:val="000000" w:themeColor="text1"/>
          <w14:textFill>
            <w14:solidFill>
              <w14:schemeClr w14:val="tx1"/>
            </w14:solidFill>
          </w14:textFill>
        </w:rPr>
        <w:t>验收小组，验收小组由</w:t>
      </w:r>
      <w:r>
        <w:rPr>
          <w:rFonts w:hint="eastAsia" w:ascii="宋体" w:hAnsi="宋体" w:cs="仿宋"/>
          <w:color w:val="000000" w:themeColor="text1"/>
          <w14:textFill>
            <w14:solidFill>
              <w14:schemeClr w14:val="tx1"/>
            </w14:solidFill>
          </w14:textFill>
        </w:rPr>
        <w:t>相关</w:t>
      </w:r>
      <w:r>
        <w:rPr>
          <w:rFonts w:ascii="宋体" w:hAnsi="宋体" w:cs="仿宋"/>
          <w:color w:val="000000" w:themeColor="text1"/>
          <w14:textFill>
            <w14:solidFill>
              <w14:schemeClr w14:val="tx1"/>
            </w14:solidFill>
          </w14:textFill>
        </w:rPr>
        <w:t>专家和用户代表</w:t>
      </w:r>
      <w:r>
        <w:rPr>
          <w:rFonts w:hint="eastAsia" w:ascii="宋体" w:hAnsi="宋体" w:cs="仿宋"/>
          <w:color w:val="000000" w:themeColor="text1"/>
          <w14:textFill>
            <w14:solidFill>
              <w14:schemeClr w14:val="tx1"/>
            </w14:solidFill>
          </w14:textFill>
        </w:rPr>
        <w:t>按相关规定</w:t>
      </w:r>
      <w:r>
        <w:rPr>
          <w:rFonts w:ascii="宋体" w:hAnsi="宋体" w:cs="仿宋"/>
          <w:color w:val="000000" w:themeColor="text1"/>
          <w14:textFill>
            <w14:solidFill>
              <w14:schemeClr w14:val="tx1"/>
            </w14:solidFill>
          </w14:textFill>
        </w:rPr>
        <w:t>组成。验收小组负责实施具体的验收活动。采购人可以邀请其他单位的相关专业人员参加验收小组。验收小组推选一名组长，主持验收小组的工作。</w:t>
      </w:r>
      <w:r>
        <w:rPr>
          <w:rFonts w:hint="eastAsia" w:ascii="宋体" w:hAnsi="宋体" w:cs="仿宋"/>
          <w:color w:val="000000" w:themeColor="text1"/>
          <w14:textFill>
            <w14:solidFill>
              <w14:schemeClr w14:val="tx1"/>
            </w14:solidFill>
          </w14:textFill>
        </w:rPr>
        <w:t xml:space="preserve"> </w:t>
      </w:r>
    </w:p>
    <w:p w14:paraId="31851D1F">
      <w:pPr>
        <w:pStyle w:val="967"/>
        <w:ind w:firstLine="480"/>
        <w:rPr>
          <w:rFonts w:hint="eastAsia"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w:t>
      </w:r>
      <w:r>
        <w:rPr>
          <w:rFonts w:ascii="宋体" w:hAnsi="宋体" w:cs="仿宋"/>
          <w:color w:val="000000" w:themeColor="text1"/>
          <w14:textFill>
            <w14:solidFill>
              <w14:schemeClr w14:val="tx1"/>
            </w14:solidFill>
          </w14:textFill>
        </w:rPr>
        <w:t>4）验收流程：</w:t>
      </w:r>
    </w:p>
    <w:p w14:paraId="5ABAFAC3">
      <w:pPr>
        <w:pStyle w:val="967"/>
        <w:ind w:firstLine="480"/>
        <w:rPr>
          <w:rFonts w:hint="eastAsia" w:ascii="宋体" w:hAnsi="宋体" w:cs="仿宋"/>
          <w:color w:val="000000" w:themeColor="text1"/>
          <w14:textFill>
            <w14:solidFill>
              <w14:schemeClr w14:val="tx1"/>
            </w14:solidFill>
          </w14:textFill>
        </w:rPr>
      </w:pPr>
      <w:r>
        <w:rPr>
          <w:rFonts w:ascii="宋体" w:hAnsi="宋体" w:cs="仿宋"/>
          <w:color w:val="000000" w:themeColor="text1"/>
          <w14:textFill>
            <w14:solidFill>
              <w14:schemeClr w14:val="tx1"/>
            </w14:solidFill>
          </w14:textFill>
        </w:rPr>
        <w:t>1）</w:t>
      </w:r>
      <w:r>
        <w:rPr>
          <w:rFonts w:hint="eastAsia" w:ascii="宋体" w:hAnsi="宋体" w:cs="仿宋"/>
          <w:color w:val="000000" w:themeColor="text1"/>
          <w14:textFill>
            <w14:solidFill>
              <w14:schemeClr w14:val="tx1"/>
            </w14:solidFill>
          </w14:textFill>
        </w:rPr>
        <w:t>项目验收负责人</w:t>
      </w:r>
      <w:r>
        <w:rPr>
          <w:rFonts w:ascii="宋体" w:hAnsi="宋体" w:cs="仿宋"/>
          <w:color w:val="000000" w:themeColor="text1"/>
          <w14:textFill>
            <w14:solidFill>
              <w14:schemeClr w14:val="tx1"/>
            </w14:solidFill>
          </w14:textFill>
        </w:rPr>
        <w:t>根据验收方案组织验收小组现场验收，并准备验收材料并通知各验收参与方在指定时间指定地点联合验收，包括采购人、供应商、验收小组、其他验收参与方等。</w:t>
      </w:r>
    </w:p>
    <w:p w14:paraId="5232F623">
      <w:pPr>
        <w:pStyle w:val="967"/>
        <w:ind w:firstLine="480"/>
        <w:rPr>
          <w:rFonts w:hint="eastAsia" w:ascii="宋体" w:hAnsi="宋体" w:cs="仿宋"/>
          <w:color w:val="000000" w:themeColor="text1"/>
          <w14:textFill>
            <w14:solidFill>
              <w14:schemeClr w14:val="tx1"/>
            </w14:solidFill>
          </w14:textFill>
        </w:rPr>
      </w:pPr>
      <w:r>
        <w:rPr>
          <w:rFonts w:ascii="宋体" w:hAnsi="宋体" w:cs="仿宋"/>
          <w:color w:val="000000" w:themeColor="text1"/>
          <w14:textFill>
            <w14:solidFill>
              <w14:schemeClr w14:val="tx1"/>
            </w14:solidFill>
          </w14:textFill>
        </w:rPr>
        <w:t>2）验收小组应当按照验收方案独立开展验收，对供应商提供的服务按照采购文件、投标文件、政府采购合同进行核对、验收，并做好验收记录。在验收过程中，验收小组成员不得擅自公开验收信息。验收小组可以对验收方案进行必要的修改。验收小组对验收方案</w:t>
      </w:r>
      <w:r>
        <w:rPr>
          <w:rFonts w:hint="eastAsia" w:ascii="宋体" w:hAnsi="宋体" w:cs="仿宋"/>
          <w:color w:val="000000" w:themeColor="text1"/>
          <w14:textFill>
            <w14:solidFill>
              <w14:schemeClr w14:val="tx1"/>
            </w14:solidFill>
          </w14:textFill>
        </w:rPr>
        <w:t>作出实质性修改的，应当报经采购人同意。</w:t>
      </w:r>
    </w:p>
    <w:p w14:paraId="08197AC1">
      <w:pPr>
        <w:pStyle w:val="967"/>
        <w:ind w:firstLine="480"/>
        <w:rPr>
          <w:rFonts w:hint="eastAsia" w:ascii="宋体" w:hAnsi="宋体" w:cs="仿宋"/>
          <w:color w:val="000000" w:themeColor="text1"/>
          <w14:textFill>
            <w14:solidFill>
              <w14:schemeClr w14:val="tx1"/>
            </w14:solidFill>
          </w14:textFill>
        </w:rPr>
      </w:pPr>
      <w:r>
        <w:rPr>
          <w:rFonts w:ascii="宋体" w:hAnsi="宋体" w:cs="仿宋"/>
          <w:color w:val="000000" w:themeColor="text1"/>
          <w14:textFill>
            <w14:solidFill>
              <w14:schemeClr w14:val="tx1"/>
            </w14:solidFill>
          </w14:textFill>
        </w:rPr>
        <w:t>3）供应商配合验收工作，并就验收实施过程中的疑问进行解答和澄清。项目验收过程中，供应商不认可验收意见的，按照合同的约定的方式解决，合同未作约定的，按照《中华人民共和国民法典》等相关规定处理。</w:t>
      </w:r>
    </w:p>
    <w:p w14:paraId="5486F004">
      <w:pPr>
        <w:pStyle w:val="967"/>
        <w:ind w:firstLine="480"/>
        <w:rPr>
          <w:rFonts w:hint="eastAsia" w:ascii="宋体" w:hAnsi="宋体" w:cs="仿宋"/>
          <w:color w:val="000000" w:themeColor="text1"/>
          <w14:textFill>
            <w14:solidFill>
              <w14:schemeClr w14:val="tx1"/>
            </w14:solidFill>
          </w14:textFill>
        </w:rPr>
      </w:pPr>
      <w:r>
        <w:rPr>
          <w:rFonts w:ascii="宋体" w:hAnsi="宋体" w:cs="仿宋"/>
          <w:color w:val="000000" w:themeColor="text1"/>
          <w14:textFill>
            <w14:solidFill>
              <w14:schemeClr w14:val="tx1"/>
            </w14:solidFill>
          </w14:textFill>
        </w:rPr>
        <w:t>4）出具验收报告。验收结束后，验收小组应当出具验收报告，报告采购人。验收报告应当根据验收方案制作，以书面形式</w:t>
      </w:r>
      <w:r>
        <w:rPr>
          <w:rFonts w:hint="eastAsia" w:ascii="宋体" w:hAnsi="宋体" w:cs="仿宋"/>
          <w:color w:val="000000" w:themeColor="text1"/>
          <w14:textFill>
            <w14:solidFill>
              <w14:schemeClr w14:val="tx1"/>
            </w14:solidFill>
          </w14:textFill>
        </w:rPr>
        <w:t>作出结论性意见，并经验收小组全体成员签字。验收小组成员对验收报告载明的结论有异议的，应当在验收报告上签署不同意并说明理由，否则视为同意验收结论。</w:t>
      </w:r>
    </w:p>
    <w:p w14:paraId="57B2A23E">
      <w:pPr>
        <w:pStyle w:val="967"/>
        <w:ind w:firstLine="480"/>
        <w:rPr>
          <w:rFonts w:hint="eastAsia" w:ascii="宋体" w:hAnsi="宋体" w:cs="仿宋"/>
          <w:color w:val="000000" w:themeColor="text1"/>
          <w14:textFill>
            <w14:solidFill>
              <w14:schemeClr w14:val="tx1"/>
            </w14:solidFill>
          </w14:textFill>
        </w:rPr>
      </w:pPr>
      <w:r>
        <w:rPr>
          <w:rFonts w:ascii="宋体" w:hAnsi="宋体" w:cs="仿宋"/>
          <w:color w:val="000000" w:themeColor="text1"/>
          <w14:textFill>
            <w14:solidFill>
              <w14:schemeClr w14:val="tx1"/>
            </w14:solidFill>
          </w14:textFill>
        </w:rPr>
        <w:t>5）验收不合格的，采购人应责令供应商采取补救措施，向供应商发出整改通知书，并依法及时处理。整改结束后，由供应商通知采购人或其委托的验收组织机构重新验收。</w:t>
      </w:r>
    </w:p>
    <w:p w14:paraId="7B0707BA">
      <w:pPr>
        <w:pStyle w:val="26"/>
        <w:spacing w:line="360" w:lineRule="auto"/>
        <w:rPr>
          <w:rFonts w:hint="eastAsia" w:cs="宋体"/>
          <w:color w:val="000000" w:themeColor="text1"/>
          <w14:textFill>
            <w14:solidFill>
              <w14:schemeClr w14:val="tx1"/>
            </w14:solidFill>
          </w14:textFill>
        </w:rPr>
      </w:pPr>
      <w:bookmarkStart w:id="57" w:name="_Toc8526"/>
      <w:r>
        <w:rPr>
          <w:rFonts w:hint="eastAsia" w:cs="宋体"/>
          <w:color w:val="000000" w:themeColor="text1"/>
          <w14:textFill>
            <w14:solidFill>
              <w14:schemeClr w14:val="tx1"/>
            </w14:solidFill>
          </w14:textFill>
        </w:rPr>
        <w:t>2、履约验收内容</w:t>
      </w:r>
      <w:bookmarkEnd w:id="57"/>
    </w:p>
    <w:p w14:paraId="57C0574A">
      <w:pPr>
        <w:pStyle w:val="967"/>
        <w:ind w:firstLine="480"/>
        <w:rPr>
          <w:rFonts w:hint="eastAsia" w:ascii="宋体" w:hAnsi="宋体" w:cs="仿宋"/>
          <w:color w:val="000000" w:themeColor="text1"/>
          <w14:textFill>
            <w14:solidFill>
              <w14:schemeClr w14:val="tx1"/>
            </w14:solidFill>
          </w14:textFill>
        </w:rPr>
      </w:pPr>
      <w:bookmarkStart w:id="58" w:name="_Toc354"/>
      <w:r>
        <w:rPr>
          <w:rFonts w:hint="eastAsia" w:ascii="宋体" w:hAnsi="宋体" w:cs="仿宋"/>
          <w:color w:val="000000" w:themeColor="text1"/>
          <w14:textFill>
            <w14:solidFill>
              <w14:schemeClr w14:val="tx1"/>
            </w14:solidFill>
          </w14:textFill>
        </w:rPr>
        <w:t>（1）技术履约内容</w:t>
      </w:r>
    </w:p>
    <w:p w14:paraId="08E1A14E">
      <w:pPr>
        <w:pStyle w:val="26"/>
        <w:spacing w:after="120" w:line="360" w:lineRule="auto"/>
        <w:rPr>
          <w:rFonts w:hint="eastAsia" w:cs="仿宋"/>
          <w:color w:val="000000" w:themeColor="text1"/>
          <w14:textFill>
            <w14:solidFill>
              <w14:schemeClr w14:val="tx1"/>
            </w14:solidFill>
          </w14:textFill>
        </w:rPr>
      </w:pPr>
      <w:r>
        <w:rPr>
          <w:rFonts w:cs="仿宋"/>
          <w:color w:val="000000" w:themeColor="text1"/>
          <w14:textFill>
            <w14:solidFill>
              <w14:schemeClr w14:val="tx1"/>
            </w14:solidFill>
          </w14:textFill>
        </w:rPr>
        <w:t>1</w:t>
      </w:r>
      <w:r>
        <w:rPr>
          <w:rFonts w:hint="eastAsia" w:cs="仿宋"/>
          <w:color w:val="000000" w:themeColor="text1"/>
          <w14:textFill>
            <w14:solidFill>
              <w14:schemeClr w14:val="tx1"/>
            </w14:solidFill>
          </w14:textFill>
        </w:rPr>
        <w:t>）满足所有采购需求及响应文件承诺；</w:t>
      </w:r>
    </w:p>
    <w:p w14:paraId="52F5E4A2">
      <w:pPr>
        <w:pStyle w:val="26"/>
        <w:spacing w:after="120" w:line="360" w:lineRule="auto"/>
        <w:rPr>
          <w:rFonts w:hint="eastAsia"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2）</w:t>
      </w:r>
      <w:r>
        <w:rPr>
          <w:rFonts w:cs="仿宋"/>
          <w:color w:val="000000" w:themeColor="text1"/>
          <w14:textFill>
            <w14:solidFill>
              <w14:schemeClr w14:val="tx1"/>
            </w14:solidFill>
          </w14:textFill>
        </w:rPr>
        <w:t>拟投服务团队人员全部到位，与</w:t>
      </w:r>
      <w:r>
        <w:rPr>
          <w:rFonts w:hint="eastAsia" w:cs="仿宋"/>
          <w:color w:val="000000" w:themeColor="text1"/>
          <w14:textFill>
            <w14:solidFill>
              <w14:schemeClr w14:val="tx1"/>
            </w14:solidFill>
          </w14:textFill>
        </w:rPr>
        <w:t>响应</w:t>
      </w:r>
      <w:r>
        <w:rPr>
          <w:rFonts w:cs="仿宋"/>
          <w:color w:val="000000" w:themeColor="text1"/>
          <w14:textFill>
            <w14:solidFill>
              <w14:schemeClr w14:val="tx1"/>
            </w14:solidFill>
          </w14:textFill>
        </w:rPr>
        <w:t>文件人员信息清单一致</w:t>
      </w:r>
      <w:r>
        <w:rPr>
          <w:rFonts w:hint="eastAsia" w:cs="仿宋"/>
          <w:color w:val="000000" w:themeColor="text1"/>
          <w14:textFill>
            <w14:solidFill>
              <w14:schemeClr w14:val="tx1"/>
            </w14:solidFill>
          </w14:textFill>
        </w:rPr>
        <w:t>（经采购人同意更换的除外）</w:t>
      </w:r>
      <w:r>
        <w:rPr>
          <w:rFonts w:cs="仿宋"/>
          <w:color w:val="000000" w:themeColor="text1"/>
          <w14:textFill>
            <w14:solidFill>
              <w14:schemeClr w14:val="tx1"/>
            </w14:solidFill>
          </w14:textFill>
        </w:rPr>
        <w:t>；</w:t>
      </w:r>
    </w:p>
    <w:p w14:paraId="3E50F6A4">
      <w:pPr>
        <w:pStyle w:val="967"/>
        <w:ind w:firstLine="480"/>
        <w:rPr>
          <w:rFonts w:hint="eastAsia"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（2）商务履约内容</w:t>
      </w:r>
    </w:p>
    <w:p w14:paraId="4312B89C">
      <w:pPr>
        <w:pStyle w:val="969"/>
        <w:spacing w:after="120" w:line="360" w:lineRule="auto"/>
        <w:ind w:firstLine="480"/>
        <w:rPr>
          <w:rFonts w:hint="eastAsia" w:ascii="宋体" w:hAnsi="宋体" w:eastAsia="宋体" w:cs="仿宋"/>
          <w:color w:val="000000" w:themeColor="text1"/>
          <w:sz w:val="24"/>
          <w:szCs w:val="24"/>
          <w14:textFill>
            <w14:solidFill>
              <w14:schemeClr w14:val="tx1"/>
            </w14:solidFill>
          </w14:textFill>
        </w:rPr>
      </w:pPr>
      <w:r>
        <w:rPr>
          <w:rFonts w:ascii="宋体" w:hAnsi="宋体" w:eastAsia="宋体" w:cs="仿宋"/>
          <w:color w:val="000000" w:themeColor="text1"/>
          <w:sz w:val="24"/>
          <w:szCs w:val="24"/>
          <w14:textFill>
            <w14:solidFill>
              <w14:schemeClr w14:val="tx1"/>
            </w14:solidFill>
          </w14:textFill>
        </w:rPr>
        <w:t>1</w:t>
      </w:r>
      <w:r>
        <w:rPr>
          <w:rFonts w:hint="eastAsia" w:ascii="宋体" w:hAnsi="宋体" w:eastAsia="宋体" w:cs="仿宋"/>
          <w:color w:val="000000" w:themeColor="text1"/>
          <w:sz w:val="24"/>
          <w:szCs w:val="24"/>
          <w14:textFill>
            <w14:solidFill>
              <w14:schemeClr w14:val="tx1"/>
            </w14:solidFill>
          </w14:textFill>
        </w:rPr>
        <w:t>）服务周期满足采购要求。</w:t>
      </w:r>
    </w:p>
    <w:p w14:paraId="40411A01">
      <w:pPr>
        <w:pStyle w:val="969"/>
        <w:spacing w:after="120" w:line="360" w:lineRule="auto"/>
        <w:ind w:firstLine="480"/>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（3）验收标准</w:t>
      </w:r>
      <w:bookmarkEnd w:id="58"/>
    </w:p>
    <w:p w14:paraId="1C8F7055">
      <w:pPr>
        <w:pStyle w:val="26"/>
        <w:spacing w:after="120" w:line="360" w:lineRule="auto"/>
        <w:rPr>
          <w:rFonts w:hint="eastAsia" w:cs="仿宋"/>
          <w:color w:val="000000" w:themeColor="text1"/>
          <w14:textFill>
            <w14:solidFill>
              <w14:schemeClr w14:val="tx1"/>
            </w14:solidFill>
          </w14:textFill>
        </w:rPr>
      </w:pPr>
      <w:r>
        <w:rPr>
          <w:rFonts w:cs="仿宋"/>
          <w:color w:val="000000" w:themeColor="text1"/>
          <w14:textFill>
            <w14:solidFill>
              <w14:schemeClr w14:val="tx1"/>
            </w14:solidFill>
          </w14:textFill>
        </w:rPr>
        <w:t>1</w:t>
      </w:r>
      <w:r>
        <w:rPr>
          <w:rFonts w:hint="eastAsia" w:cs="仿宋"/>
          <w:color w:val="000000" w:themeColor="text1"/>
          <w14:textFill>
            <w14:solidFill>
              <w14:schemeClr w14:val="tx1"/>
            </w14:solidFill>
          </w14:textFill>
        </w:rPr>
        <w:t>）满足所有采购需求及响应文件承诺；</w:t>
      </w:r>
    </w:p>
    <w:p w14:paraId="45D529CC">
      <w:pPr>
        <w:pStyle w:val="26"/>
        <w:spacing w:after="120" w:line="360" w:lineRule="auto"/>
        <w:rPr>
          <w:rFonts w:hint="eastAsia"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2）</w:t>
      </w:r>
      <w:r>
        <w:rPr>
          <w:rFonts w:cs="仿宋"/>
          <w:color w:val="000000" w:themeColor="text1"/>
          <w14:textFill>
            <w14:solidFill>
              <w14:schemeClr w14:val="tx1"/>
            </w14:solidFill>
          </w14:textFill>
        </w:rPr>
        <w:t>拟投服务团队人员全部到位，与</w:t>
      </w:r>
      <w:r>
        <w:rPr>
          <w:rFonts w:hint="eastAsia" w:cs="仿宋"/>
          <w:color w:val="000000" w:themeColor="text1"/>
          <w14:textFill>
            <w14:solidFill>
              <w14:schemeClr w14:val="tx1"/>
            </w14:solidFill>
          </w14:textFill>
        </w:rPr>
        <w:t>响应</w:t>
      </w:r>
      <w:r>
        <w:rPr>
          <w:rFonts w:cs="仿宋"/>
          <w:color w:val="000000" w:themeColor="text1"/>
          <w14:textFill>
            <w14:solidFill>
              <w14:schemeClr w14:val="tx1"/>
            </w14:solidFill>
          </w14:textFill>
        </w:rPr>
        <w:t>文件人员信息清单一致</w:t>
      </w:r>
      <w:r>
        <w:rPr>
          <w:rFonts w:hint="eastAsia" w:cs="仿宋"/>
          <w:color w:val="000000" w:themeColor="text1"/>
          <w14:textFill>
            <w14:solidFill>
              <w14:schemeClr w14:val="tx1"/>
            </w14:solidFill>
          </w14:textFill>
        </w:rPr>
        <w:t>（经采购人同意更换的除外）</w:t>
      </w:r>
      <w:r>
        <w:rPr>
          <w:rFonts w:cs="仿宋"/>
          <w:color w:val="000000" w:themeColor="text1"/>
          <w14:textFill>
            <w14:solidFill>
              <w14:schemeClr w14:val="tx1"/>
            </w14:solidFill>
          </w14:textFill>
        </w:rPr>
        <w:t>；</w:t>
      </w:r>
    </w:p>
    <w:p w14:paraId="1DB14470">
      <w:pPr>
        <w:pStyle w:val="26"/>
        <w:spacing w:after="120" w:line="360" w:lineRule="auto"/>
        <w:rPr>
          <w:rFonts w:hint="eastAsia" w:cs="仿宋"/>
          <w:color w:val="000000" w:themeColor="text1"/>
          <w14:textFill>
            <w14:solidFill>
              <w14:schemeClr w14:val="tx1"/>
            </w14:solidFill>
          </w14:textFill>
        </w:rPr>
      </w:pPr>
      <w:r>
        <w:rPr>
          <w:rFonts w:cs="仿宋"/>
          <w:color w:val="000000" w:themeColor="text1"/>
          <w14:textFill>
            <w14:solidFill>
              <w14:schemeClr w14:val="tx1"/>
            </w14:solidFill>
          </w14:textFill>
        </w:rPr>
        <w:t>3</w:t>
      </w:r>
      <w:r>
        <w:rPr>
          <w:rFonts w:hint="eastAsia" w:cs="仿宋"/>
          <w:color w:val="000000" w:themeColor="text1"/>
          <w14:textFill>
            <w14:solidFill>
              <w14:schemeClr w14:val="tx1"/>
            </w14:solidFill>
          </w14:textFill>
        </w:rPr>
        <w:t>）项目验收资料齐全；</w:t>
      </w:r>
    </w:p>
    <w:p w14:paraId="349B418C">
      <w:pPr>
        <w:spacing w:line="360" w:lineRule="auto"/>
        <w:ind w:firstLine="480" w:firstLineChars="200"/>
        <w:jc w:val="left"/>
        <w:rPr>
          <w:rFonts w:hint="eastAsia" w:ascii="宋体" w:hAnsi="宋体" w:cs="仿宋"/>
          <w:color w:val="000000" w:themeColor="text1"/>
          <w:sz w:val="24"/>
          <w14:textFill>
            <w14:solidFill>
              <w14:schemeClr w14:val="tx1"/>
            </w14:solidFill>
          </w14:textFill>
        </w:rPr>
      </w:pPr>
      <w:bookmarkStart w:id="59" w:name="_Toc100838239"/>
      <w:bookmarkStart w:id="60" w:name="_Toc24191"/>
      <w:r>
        <w:rPr>
          <w:rFonts w:ascii="宋体" w:hAnsi="宋体" w:cs="仿宋"/>
          <w:color w:val="000000" w:themeColor="text1"/>
          <w:sz w:val="24"/>
          <w14:textFill>
            <w14:solidFill>
              <w14:schemeClr w14:val="tx1"/>
            </w14:solidFill>
          </w14:textFill>
        </w:rPr>
        <w:t>3</w:t>
      </w:r>
      <w:r>
        <w:rPr>
          <w:rFonts w:hint="eastAsia" w:ascii="宋体" w:hAnsi="宋体" w:cs="仿宋"/>
          <w:color w:val="000000" w:themeColor="text1"/>
          <w:sz w:val="24"/>
          <w14:textFill>
            <w14:solidFill>
              <w14:schemeClr w14:val="tx1"/>
            </w14:solidFill>
          </w14:textFill>
        </w:rPr>
        <w:t>、履约验收其他事项</w:t>
      </w:r>
      <w:bookmarkEnd w:id="59"/>
      <w:bookmarkEnd w:id="60"/>
    </w:p>
    <w:p w14:paraId="432E6EED">
      <w:pPr>
        <w:pStyle w:val="969"/>
        <w:spacing w:after="120" w:line="360" w:lineRule="auto"/>
        <w:ind w:firstLine="480"/>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（1）采购人在供应商提供相关服务的过程中，有权不定期对服务内容和质量进行考核。供应商提供相关服务过程中有违反合同约定、不达约定标准情况的，采购人有权要求供应商限期整改，供应商未按采购人</w:t>
      </w:r>
      <w:r>
        <w:rPr>
          <w:rFonts w:ascii="宋体" w:hAnsi="宋体" w:eastAsia="宋体" w:cs="仿宋"/>
          <w:color w:val="000000" w:themeColor="text1"/>
          <w:sz w:val="24"/>
          <w:szCs w:val="24"/>
          <w14:textFill>
            <w14:solidFill>
              <w14:schemeClr w14:val="tx1"/>
            </w14:solidFill>
          </w14:textFill>
        </w:rPr>
        <w:t>要求整改的，采购人有权拒绝验收，供应商应承担相应的违约责任。</w:t>
      </w:r>
    </w:p>
    <w:p w14:paraId="6762567B">
      <w:pPr>
        <w:pStyle w:val="969"/>
        <w:spacing w:after="120" w:line="360" w:lineRule="auto"/>
        <w:ind w:firstLine="480"/>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（2）</w:t>
      </w:r>
      <w:r>
        <w:rPr>
          <w:rFonts w:ascii="宋体" w:hAnsi="宋体" w:eastAsia="宋体" w:cs="仿宋"/>
          <w:color w:val="000000" w:themeColor="text1"/>
          <w:sz w:val="24"/>
          <w:szCs w:val="24"/>
          <w14:textFill>
            <w14:solidFill>
              <w14:schemeClr w14:val="tx1"/>
            </w14:solidFill>
          </w14:textFill>
        </w:rPr>
        <w:t>供应商服务成果未通过采购人验收，采购人有权要求供应商进行整改，相关费用</w:t>
      </w:r>
      <w:r>
        <w:rPr>
          <w:rFonts w:hint="eastAsia" w:ascii="宋体" w:hAnsi="宋体" w:eastAsia="宋体" w:cs="仿宋"/>
          <w:color w:val="000000" w:themeColor="text1"/>
          <w:sz w:val="24"/>
          <w:szCs w:val="24"/>
          <w14:textFill>
            <w14:solidFill>
              <w14:schemeClr w14:val="tx1"/>
            </w14:solidFill>
          </w14:textFill>
        </w:rPr>
        <w:t>（包括但不限于重新组织验收等费用）</w:t>
      </w:r>
      <w:r>
        <w:rPr>
          <w:rFonts w:ascii="宋体" w:hAnsi="宋体" w:eastAsia="宋体" w:cs="仿宋"/>
          <w:color w:val="000000" w:themeColor="text1"/>
          <w:sz w:val="24"/>
          <w:szCs w:val="24"/>
          <w14:textFill>
            <w14:solidFill>
              <w14:schemeClr w14:val="tx1"/>
            </w14:solidFill>
          </w14:textFill>
        </w:rPr>
        <w:t>由供应商承担；如供应商</w:t>
      </w:r>
      <w:r>
        <w:rPr>
          <w:rFonts w:hint="eastAsia" w:ascii="宋体" w:hAnsi="宋体" w:eastAsia="宋体" w:cs="仿宋"/>
          <w:color w:val="000000" w:themeColor="text1"/>
          <w:sz w:val="24"/>
          <w:szCs w:val="24"/>
          <w14:textFill>
            <w14:solidFill>
              <w14:schemeClr w14:val="tx1"/>
            </w14:solidFill>
          </w14:textFill>
        </w:rPr>
        <w:t>未在采购人要求期限内整改或整改后仍不合格或已经无法整改的，采购人有权要求供应商承担相应的违约责任。</w:t>
      </w:r>
      <w:bookmarkEnd w:id="56"/>
    </w:p>
    <w:p w14:paraId="429CAB76">
      <w:pPr>
        <w:spacing w:before="120" w:beforeLines="50" w:after="120" w:afterLines="50" w:line="360" w:lineRule="auto"/>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十、投标文件中还需提供以下资料：</w:t>
      </w:r>
    </w:p>
    <w:p w14:paraId="0F6AB499">
      <w:pPr>
        <w:pStyle w:val="26"/>
        <w:spacing w:after="120" w:line="360" w:lineRule="auto"/>
        <w:rPr>
          <w:rFonts w:hint="eastAsia"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w:t>
      </w:r>
      <w:r>
        <w:rPr>
          <w:rFonts w:cs="仿宋"/>
          <w:color w:val="000000" w:themeColor="text1"/>
          <w14:textFill>
            <w14:solidFill>
              <w14:schemeClr w14:val="tx1"/>
            </w14:solidFill>
          </w14:textFill>
        </w:rPr>
        <w:t>1）</w:t>
      </w:r>
      <w:r>
        <w:rPr>
          <w:rFonts w:hint="eastAsia" w:cs="仿宋"/>
          <w:color w:val="000000" w:themeColor="text1"/>
          <w14:textFill>
            <w14:solidFill>
              <w14:schemeClr w14:val="tx1"/>
            </w14:solidFill>
          </w14:textFill>
        </w:rPr>
        <w:t>技术组织方案</w:t>
      </w:r>
    </w:p>
    <w:p w14:paraId="0B9F062F">
      <w:pPr>
        <w:pStyle w:val="26"/>
        <w:spacing w:after="120" w:line="360" w:lineRule="auto"/>
        <w:rPr>
          <w:rFonts w:hint="eastAsia" w:cs="仿宋"/>
          <w:color w:val="000000" w:themeColor="text1"/>
          <w14:textFill>
            <w14:solidFill>
              <w14:schemeClr w14:val="tx1"/>
            </w14:solidFill>
          </w14:textFill>
        </w:rPr>
      </w:pPr>
      <w:r>
        <w:rPr>
          <w:rFonts w:hint="eastAsia"/>
          <w:color w:val="000000" w:themeColor="text1"/>
          <w14:textFill>
            <w14:solidFill>
              <w14:schemeClr w14:val="tx1"/>
            </w14:solidFill>
          </w14:textFill>
        </w:rPr>
        <w:t>（2）组织实施方案</w:t>
      </w:r>
      <w:r>
        <w:rPr>
          <w:rFonts w:hint="eastAsia" w:cs="仿宋"/>
          <w:color w:val="000000" w:themeColor="text1"/>
          <w14:textFill>
            <w14:solidFill>
              <w14:schemeClr w14:val="tx1"/>
            </w14:solidFill>
          </w14:textFill>
        </w:rPr>
        <w:t>。</w:t>
      </w:r>
    </w:p>
    <w:p w14:paraId="6EBD002E">
      <w:pPr>
        <w:pStyle w:val="26"/>
        <w:spacing w:after="120" w:line="360" w:lineRule="auto"/>
        <w:rPr>
          <w:rFonts w:hint="eastAsia"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w:t>
      </w:r>
      <w:r>
        <w:rPr>
          <w:rFonts w:cs="仿宋"/>
          <w:color w:val="000000" w:themeColor="text1"/>
          <w14:textFill>
            <w14:solidFill>
              <w14:schemeClr w14:val="tx1"/>
            </w14:solidFill>
          </w14:textFill>
        </w:rPr>
        <w:t>3</w:t>
      </w:r>
      <w:r>
        <w:rPr>
          <w:rFonts w:hint="eastAsia" w:cs="仿宋"/>
          <w:color w:val="000000" w:themeColor="text1"/>
          <w14:textFill>
            <w14:solidFill>
              <w14:schemeClr w14:val="tx1"/>
            </w14:solidFill>
          </w14:textFill>
        </w:rPr>
        <w:t>）售后服务方案。</w:t>
      </w:r>
    </w:p>
    <w:p w14:paraId="63BCCD02">
      <w:pPr>
        <w:pStyle w:val="26"/>
        <w:spacing w:after="120" w:line="360" w:lineRule="auto"/>
        <w:rPr>
          <w:rFonts w:hint="eastAsia"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w:t>
      </w:r>
      <w:r>
        <w:rPr>
          <w:rFonts w:cs="仿宋"/>
          <w:color w:val="000000" w:themeColor="text1"/>
          <w14:textFill>
            <w14:solidFill>
              <w14:schemeClr w14:val="tx1"/>
            </w14:solidFill>
          </w14:textFill>
        </w:rPr>
        <w:t>4</w:t>
      </w:r>
      <w:r>
        <w:rPr>
          <w:rFonts w:hint="eastAsia" w:cs="仿宋"/>
          <w:color w:val="000000" w:themeColor="text1"/>
          <w14:textFill>
            <w14:solidFill>
              <w14:schemeClr w14:val="tx1"/>
            </w14:solidFill>
          </w14:textFill>
        </w:rPr>
        <w:t>）培训方案。</w:t>
      </w:r>
    </w:p>
    <w:p w14:paraId="5D11BFEF">
      <w:pPr>
        <w:pStyle w:val="26"/>
        <w:spacing w:after="120" w:line="360" w:lineRule="auto"/>
        <w:rPr>
          <w:rFonts w:hint="eastAsia"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（5）质量保证措施和服务周期情况。</w:t>
      </w:r>
    </w:p>
    <w:p w14:paraId="0CFD177B">
      <w:pPr>
        <w:pStyle w:val="967"/>
        <w:ind w:left="120" w:firstLine="480"/>
        <w:rPr>
          <w:rFonts w:hint="eastAsia" w:ascii="宋体" w:hAnsi="宋体" w:cs="仿宋"/>
          <w:color w:val="000000" w:themeColor="text1"/>
          <w14:textFill>
            <w14:solidFill>
              <w14:schemeClr w14:val="tx1"/>
            </w14:solidFill>
          </w14:textFill>
        </w:rPr>
      </w:pPr>
    </w:p>
    <w:p w14:paraId="647A937C">
      <w:pPr>
        <w:pStyle w:val="967"/>
        <w:ind w:left="120" w:firstLine="480"/>
        <w:rPr>
          <w:rFonts w:hint="eastAsia" w:ascii="宋体" w:hAnsi="宋体" w:cs="仿宋"/>
          <w:color w:val="000000" w:themeColor="text1"/>
          <w14:textFill>
            <w14:solidFill>
              <w14:schemeClr w14:val="tx1"/>
            </w14:solidFill>
          </w14:textFill>
        </w:rPr>
      </w:pPr>
    </w:p>
    <w:p w14:paraId="4D78F907">
      <w:pPr>
        <w:pStyle w:val="967"/>
        <w:ind w:left="120" w:firstLine="480"/>
        <w:rPr>
          <w:rFonts w:hint="eastAsia" w:ascii="宋体" w:hAnsi="宋体" w:cs="仿宋"/>
          <w:color w:val="000000" w:themeColor="text1"/>
          <w14:textFill>
            <w14:solidFill>
              <w14:schemeClr w14:val="tx1"/>
            </w14:solidFill>
          </w14:textFill>
        </w:rPr>
      </w:pPr>
    </w:p>
    <w:p w14:paraId="34F65A7C">
      <w:pPr>
        <w:pStyle w:val="967"/>
        <w:ind w:left="120" w:firstLine="480"/>
        <w:rPr>
          <w:rFonts w:hint="eastAsia" w:ascii="宋体" w:hAnsi="宋体" w:cs="仿宋"/>
          <w:color w:val="000000" w:themeColor="text1"/>
          <w14:textFill>
            <w14:solidFill>
              <w14:schemeClr w14:val="tx1"/>
            </w14:solidFill>
          </w14:textFill>
        </w:rPr>
      </w:pPr>
    </w:p>
    <w:p w14:paraId="69FA11D3">
      <w:pPr>
        <w:pageBreakBefore/>
        <w:spacing w:line="360" w:lineRule="auto"/>
        <w:ind w:left="119" w:firstLine="23"/>
        <w:jc w:val="center"/>
        <w:outlineLvl w:val="0"/>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第四部分   </w:t>
      </w:r>
      <w:bookmarkStart w:id="61" w:name="_Toc184314428"/>
      <w:bookmarkEnd w:id="61"/>
      <w:bookmarkStart w:id="62" w:name="_Toc184313272"/>
      <w:bookmarkEnd w:id="62"/>
      <w:bookmarkStart w:id="63" w:name="_Toc184312122"/>
      <w:bookmarkEnd w:id="63"/>
      <w:bookmarkStart w:id="64" w:name="_Toc184310327"/>
      <w:bookmarkEnd w:id="64"/>
      <w:bookmarkStart w:id="65" w:name="_Toc184310333"/>
      <w:bookmarkEnd w:id="65"/>
      <w:bookmarkStart w:id="66" w:name="_Toc184314472"/>
      <w:bookmarkEnd w:id="66"/>
      <w:bookmarkStart w:id="67" w:name="_Toc184308088"/>
      <w:bookmarkEnd w:id="67"/>
      <w:bookmarkStart w:id="68" w:name="_Toc184314463"/>
      <w:bookmarkEnd w:id="68"/>
      <w:bookmarkStart w:id="69" w:name="_Toc184313291"/>
      <w:bookmarkEnd w:id="69"/>
      <w:bookmarkStart w:id="70" w:name="_Toc184313252"/>
      <w:bookmarkEnd w:id="70"/>
      <w:bookmarkStart w:id="71" w:name="_Toc184314438"/>
      <w:bookmarkEnd w:id="71"/>
      <w:bookmarkStart w:id="72" w:name="_Toc184314457"/>
      <w:bookmarkEnd w:id="72"/>
      <w:bookmarkStart w:id="73" w:name="_Toc184310294"/>
      <w:bookmarkEnd w:id="73"/>
      <w:bookmarkStart w:id="74" w:name="_Toc184308099"/>
      <w:bookmarkEnd w:id="74"/>
      <w:bookmarkStart w:id="75" w:name="_Toc184308077"/>
      <w:bookmarkEnd w:id="75"/>
      <w:bookmarkStart w:id="76" w:name="_Toc184313295"/>
      <w:bookmarkEnd w:id="76"/>
      <w:bookmarkStart w:id="77" w:name="_Toc184310288"/>
      <w:bookmarkEnd w:id="77"/>
      <w:bookmarkStart w:id="78" w:name="_Toc184308076"/>
      <w:bookmarkEnd w:id="78"/>
      <w:bookmarkStart w:id="79" w:name="_Toc184313285"/>
      <w:bookmarkEnd w:id="79"/>
      <w:bookmarkStart w:id="80" w:name="_Toc184310290"/>
      <w:bookmarkEnd w:id="80"/>
      <w:bookmarkStart w:id="81" w:name="_Toc184313271"/>
      <w:bookmarkEnd w:id="81"/>
      <w:bookmarkStart w:id="82" w:name="_Toc184312124"/>
      <w:bookmarkEnd w:id="82"/>
      <w:bookmarkStart w:id="83" w:name="_Toc184314465"/>
      <w:bookmarkEnd w:id="83"/>
      <w:bookmarkStart w:id="84" w:name="_Toc184313250"/>
      <w:bookmarkEnd w:id="84"/>
      <w:bookmarkStart w:id="85" w:name="_Toc184310311"/>
      <w:bookmarkEnd w:id="85"/>
      <w:bookmarkStart w:id="86" w:name="_Toc184312104"/>
      <w:bookmarkEnd w:id="86"/>
      <w:bookmarkStart w:id="87" w:name="_Toc184314473"/>
      <w:bookmarkEnd w:id="87"/>
      <w:bookmarkStart w:id="88" w:name="_Toc184310279"/>
      <w:bookmarkEnd w:id="88"/>
      <w:bookmarkStart w:id="89" w:name="_Toc184310312"/>
      <w:bookmarkEnd w:id="89"/>
      <w:bookmarkStart w:id="90" w:name="_Toc184308087"/>
      <w:bookmarkEnd w:id="90"/>
      <w:bookmarkStart w:id="91" w:name="_Toc184313242"/>
      <w:bookmarkEnd w:id="91"/>
      <w:bookmarkStart w:id="92" w:name="_Toc184312070"/>
      <w:bookmarkEnd w:id="92"/>
      <w:bookmarkStart w:id="93" w:name="_Toc184308067"/>
      <w:bookmarkEnd w:id="93"/>
      <w:bookmarkStart w:id="94" w:name="_Toc184313266"/>
      <w:bookmarkEnd w:id="94"/>
      <w:bookmarkStart w:id="95" w:name="_Toc184310298"/>
      <w:bookmarkEnd w:id="95"/>
      <w:bookmarkStart w:id="96" w:name="_Toc184314445"/>
      <w:bookmarkEnd w:id="96"/>
      <w:bookmarkStart w:id="97" w:name="_Toc184312074"/>
      <w:bookmarkEnd w:id="97"/>
      <w:bookmarkStart w:id="98" w:name="_Toc184308066"/>
      <w:bookmarkEnd w:id="98"/>
      <w:bookmarkStart w:id="99" w:name="_Toc184310322"/>
      <w:bookmarkEnd w:id="99"/>
      <w:bookmarkStart w:id="100" w:name="_Toc184314433"/>
      <w:bookmarkEnd w:id="100"/>
      <w:bookmarkStart w:id="101" w:name="_Toc184308055"/>
      <w:bookmarkEnd w:id="101"/>
      <w:bookmarkStart w:id="102" w:name="_Toc184308041"/>
      <w:bookmarkEnd w:id="102"/>
      <w:bookmarkStart w:id="103" w:name="_Toc184314416"/>
      <w:bookmarkEnd w:id="103"/>
      <w:bookmarkStart w:id="104" w:name="_Toc184312139"/>
      <w:bookmarkEnd w:id="104"/>
      <w:bookmarkStart w:id="105" w:name="_Toc184310307"/>
      <w:bookmarkEnd w:id="105"/>
      <w:bookmarkStart w:id="106" w:name="_Toc184312077"/>
      <w:bookmarkEnd w:id="106"/>
      <w:bookmarkStart w:id="107" w:name="_Toc184312135"/>
      <w:bookmarkEnd w:id="107"/>
      <w:bookmarkStart w:id="108" w:name="_Toc184310325"/>
      <w:bookmarkEnd w:id="108"/>
      <w:bookmarkStart w:id="109" w:name="_Toc184312134"/>
      <w:bookmarkEnd w:id="109"/>
      <w:bookmarkStart w:id="110" w:name="_Toc184308043"/>
      <w:bookmarkEnd w:id="110"/>
      <w:bookmarkStart w:id="111" w:name="_Toc184313274"/>
      <w:bookmarkEnd w:id="111"/>
      <w:bookmarkStart w:id="112" w:name="_Toc184313268"/>
      <w:bookmarkEnd w:id="112"/>
      <w:bookmarkStart w:id="113" w:name="_Toc184314479"/>
      <w:bookmarkEnd w:id="113"/>
      <w:bookmarkStart w:id="114" w:name="_Toc184313257"/>
      <w:bookmarkEnd w:id="114"/>
      <w:bookmarkStart w:id="115" w:name="_Toc184313286"/>
      <w:bookmarkEnd w:id="115"/>
      <w:bookmarkStart w:id="116" w:name="_Toc184314475"/>
      <w:bookmarkEnd w:id="116"/>
      <w:bookmarkStart w:id="117" w:name="_Toc184314436"/>
      <w:bookmarkEnd w:id="117"/>
      <w:bookmarkStart w:id="118" w:name="_Toc184312128"/>
      <w:bookmarkEnd w:id="118"/>
      <w:bookmarkStart w:id="119" w:name="_Toc184310340"/>
      <w:bookmarkEnd w:id="119"/>
      <w:bookmarkStart w:id="120" w:name="_Toc184312091"/>
      <w:bookmarkEnd w:id="120"/>
      <w:bookmarkStart w:id="121" w:name="_Toc184313258"/>
      <w:bookmarkEnd w:id="121"/>
      <w:bookmarkStart w:id="122" w:name="_Toc184312078"/>
      <w:bookmarkEnd w:id="122"/>
      <w:bookmarkStart w:id="123" w:name="_Toc184314424"/>
      <w:bookmarkEnd w:id="123"/>
      <w:bookmarkStart w:id="124" w:name="_Toc184313276"/>
      <w:bookmarkEnd w:id="124"/>
      <w:bookmarkStart w:id="125" w:name="_Toc184310285"/>
      <w:bookmarkEnd w:id="125"/>
      <w:bookmarkStart w:id="126" w:name="_Toc184308038"/>
      <w:bookmarkEnd w:id="126"/>
      <w:bookmarkStart w:id="127" w:name="_Toc184308037"/>
      <w:bookmarkEnd w:id="127"/>
      <w:bookmarkStart w:id="128" w:name="_Toc184310304"/>
      <w:bookmarkEnd w:id="128"/>
      <w:bookmarkStart w:id="129" w:name="_Toc184313264"/>
      <w:bookmarkEnd w:id="129"/>
      <w:bookmarkStart w:id="130" w:name="_Toc184310336"/>
      <w:bookmarkEnd w:id="130"/>
      <w:bookmarkStart w:id="131" w:name="_Toc184313308"/>
      <w:bookmarkEnd w:id="131"/>
      <w:bookmarkStart w:id="132" w:name="_Toc184313300"/>
      <w:bookmarkEnd w:id="132"/>
      <w:bookmarkStart w:id="133" w:name="_Toc184314450"/>
      <w:bookmarkEnd w:id="133"/>
      <w:bookmarkStart w:id="134" w:name="_Toc184313248"/>
      <w:bookmarkEnd w:id="134"/>
      <w:bookmarkStart w:id="135" w:name="_Toc184310305"/>
      <w:bookmarkEnd w:id="135"/>
      <w:bookmarkStart w:id="136" w:name="_Toc184310302"/>
      <w:bookmarkEnd w:id="136"/>
      <w:bookmarkStart w:id="137" w:name="_Toc184310278"/>
      <w:bookmarkEnd w:id="137"/>
      <w:bookmarkStart w:id="138" w:name="_Toc184308071"/>
      <w:bookmarkEnd w:id="138"/>
      <w:bookmarkStart w:id="139" w:name="_Toc184313238"/>
      <w:bookmarkEnd w:id="139"/>
      <w:bookmarkStart w:id="140" w:name="_Toc184308080"/>
      <w:bookmarkEnd w:id="140"/>
      <w:bookmarkStart w:id="141" w:name="_Toc184312082"/>
      <w:bookmarkEnd w:id="141"/>
      <w:bookmarkStart w:id="142" w:name="_Toc184310291"/>
      <w:bookmarkEnd w:id="142"/>
      <w:bookmarkStart w:id="143" w:name="_Toc184313263"/>
      <w:bookmarkEnd w:id="143"/>
      <w:bookmarkStart w:id="144" w:name="_Toc184314417"/>
      <w:bookmarkEnd w:id="144"/>
      <w:bookmarkStart w:id="145" w:name="_Toc184314442"/>
      <w:bookmarkEnd w:id="145"/>
      <w:bookmarkStart w:id="146" w:name="_Toc184313265"/>
      <w:bookmarkEnd w:id="146"/>
      <w:bookmarkStart w:id="147" w:name="_Toc184312111"/>
      <w:bookmarkEnd w:id="147"/>
      <w:bookmarkStart w:id="148" w:name="_Toc184310315"/>
      <w:bookmarkEnd w:id="148"/>
      <w:bookmarkStart w:id="149" w:name="_Toc184314466"/>
      <w:bookmarkEnd w:id="149"/>
      <w:bookmarkStart w:id="150" w:name="_Toc184310332"/>
      <w:bookmarkEnd w:id="150"/>
      <w:bookmarkStart w:id="151" w:name="_Toc184308058"/>
      <w:bookmarkEnd w:id="151"/>
      <w:bookmarkStart w:id="152" w:name="_Toc184310289"/>
      <w:bookmarkEnd w:id="152"/>
      <w:bookmarkStart w:id="153" w:name="_Toc184308053"/>
      <w:bookmarkEnd w:id="153"/>
      <w:bookmarkStart w:id="154" w:name="_Toc184314429"/>
      <w:bookmarkEnd w:id="154"/>
      <w:bookmarkStart w:id="155" w:name="_Toc184310281"/>
      <w:bookmarkEnd w:id="155"/>
      <w:bookmarkStart w:id="156" w:name="_Toc184308051"/>
      <w:bookmarkEnd w:id="156"/>
      <w:bookmarkStart w:id="157" w:name="_Toc184312096"/>
      <w:bookmarkEnd w:id="157"/>
      <w:bookmarkStart w:id="158" w:name="_Toc184313301"/>
      <w:bookmarkEnd w:id="158"/>
      <w:bookmarkStart w:id="159" w:name="_Toc184310324"/>
      <w:bookmarkEnd w:id="159"/>
      <w:bookmarkStart w:id="160" w:name="_Toc184310273"/>
      <w:bookmarkEnd w:id="160"/>
      <w:bookmarkStart w:id="161" w:name="_Toc184313302"/>
      <w:bookmarkEnd w:id="161"/>
      <w:bookmarkStart w:id="162" w:name="_Toc184308045"/>
      <w:bookmarkEnd w:id="162"/>
      <w:bookmarkStart w:id="163" w:name="_Toc184314451"/>
      <w:bookmarkEnd w:id="163"/>
      <w:bookmarkStart w:id="164" w:name="_Toc184308085"/>
      <w:bookmarkEnd w:id="164"/>
      <w:bookmarkStart w:id="165" w:name="_Toc184312075"/>
      <w:bookmarkEnd w:id="165"/>
      <w:bookmarkStart w:id="166" w:name="_Toc184313273"/>
      <w:bookmarkEnd w:id="166"/>
      <w:bookmarkStart w:id="167" w:name="_Toc184310339"/>
      <w:bookmarkEnd w:id="167"/>
      <w:bookmarkStart w:id="168" w:name="_Toc184312073"/>
      <w:bookmarkEnd w:id="168"/>
      <w:bookmarkStart w:id="169" w:name="_Toc184312101"/>
      <w:bookmarkEnd w:id="169"/>
      <w:bookmarkStart w:id="170" w:name="_Toc184312068"/>
      <w:bookmarkEnd w:id="170"/>
      <w:bookmarkStart w:id="171" w:name="_Toc184312099"/>
      <w:bookmarkEnd w:id="171"/>
      <w:bookmarkStart w:id="172" w:name="_Toc184314441"/>
      <w:bookmarkEnd w:id="172"/>
      <w:bookmarkStart w:id="173" w:name="_Toc184314435"/>
      <w:bookmarkEnd w:id="173"/>
      <w:bookmarkStart w:id="174" w:name="_Toc184312120"/>
      <w:bookmarkEnd w:id="174"/>
      <w:bookmarkStart w:id="175" w:name="_Toc184313303"/>
      <w:bookmarkEnd w:id="175"/>
      <w:bookmarkStart w:id="176" w:name="_Toc184313259"/>
      <w:bookmarkEnd w:id="176"/>
      <w:bookmarkStart w:id="177" w:name="_Toc184310301"/>
      <w:bookmarkEnd w:id="177"/>
      <w:bookmarkStart w:id="178" w:name="_Toc184314461"/>
      <w:bookmarkEnd w:id="178"/>
      <w:bookmarkStart w:id="179" w:name="_Toc184310274"/>
      <w:bookmarkEnd w:id="179"/>
      <w:bookmarkStart w:id="180" w:name="_Toc184312138"/>
      <w:bookmarkEnd w:id="180"/>
      <w:bookmarkStart w:id="181" w:name="_Toc184313284"/>
      <w:bookmarkEnd w:id="181"/>
      <w:bookmarkStart w:id="182" w:name="_Toc184310310"/>
      <w:bookmarkEnd w:id="182"/>
      <w:bookmarkStart w:id="183" w:name="_Toc184310329"/>
      <w:bookmarkEnd w:id="183"/>
      <w:bookmarkStart w:id="184" w:name="_Toc184308107"/>
      <w:bookmarkEnd w:id="184"/>
      <w:bookmarkStart w:id="185" w:name="_Toc184312069"/>
      <w:bookmarkEnd w:id="185"/>
      <w:bookmarkStart w:id="186" w:name="_Toc184308068"/>
      <w:bookmarkEnd w:id="186"/>
      <w:bookmarkStart w:id="187" w:name="_Toc184313310"/>
      <w:bookmarkEnd w:id="187"/>
      <w:bookmarkStart w:id="188" w:name="_Toc184312092"/>
      <w:bookmarkEnd w:id="188"/>
      <w:bookmarkStart w:id="189" w:name="_Toc184312129"/>
      <w:bookmarkEnd w:id="189"/>
      <w:bookmarkStart w:id="190" w:name="_Toc184310276"/>
      <w:bookmarkEnd w:id="190"/>
      <w:bookmarkStart w:id="191" w:name="_Toc184312117"/>
      <w:bookmarkEnd w:id="191"/>
      <w:bookmarkStart w:id="192" w:name="_Toc184313241"/>
      <w:bookmarkEnd w:id="192"/>
      <w:bookmarkStart w:id="193" w:name="_Toc184313278"/>
      <w:bookmarkEnd w:id="193"/>
      <w:bookmarkStart w:id="194" w:name="_Toc184314420"/>
      <w:bookmarkEnd w:id="194"/>
      <w:bookmarkStart w:id="195" w:name="_Toc184313306"/>
      <w:bookmarkEnd w:id="195"/>
      <w:bookmarkStart w:id="196" w:name="_Toc184310303"/>
      <w:bookmarkEnd w:id="196"/>
      <w:bookmarkStart w:id="197" w:name="_Toc184310331"/>
      <w:bookmarkEnd w:id="197"/>
      <w:bookmarkStart w:id="198" w:name="_Toc184313249"/>
      <w:bookmarkEnd w:id="198"/>
      <w:bookmarkStart w:id="199" w:name="_Toc184313307"/>
      <w:bookmarkEnd w:id="199"/>
      <w:bookmarkStart w:id="200" w:name="_Toc184312090"/>
      <w:bookmarkEnd w:id="200"/>
      <w:bookmarkStart w:id="201" w:name="_Toc184310321"/>
      <w:bookmarkEnd w:id="201"/>
      <w:bookmarkStart w:id="202" w:name="_Toc184312100"/>
      <w:bookmarkEnd w:id="202"/>
      <w:bookmarkStart w:id="203" w:name="_Toc184313293"/>
      <w:bookmarkEnd w:id="203"/>
      <w:bookmarkStart w:id="204" w:name="_Toc184314423"/>
      <w:bookmarkEnd w:id="204"/>
      <w:bookmarkStart w:id="205" w:name="_Toc184313282"/>
      <w:bookmarkEnd w:id="205"/>
      <w:bookmarkStart w:id="206" w:name="_Toc184313247"/>
      <w:bookmarkEnd w:id="206"/>
      <w:bookmarkStart w:id="207" w:name="_Toc184308072"/>
      <w:bookmarkEnd w:id="207"/>
      <w:bookmarkStart w:id="208" w:name="_Toc184312088"/>
      <w:bookmarkEnd w:id="208"/>
      <w:bookmarkStart w:id="209" w:name="_Toc184308086"/>
      <w:bookmarkEnd w:id="209"/>
      <w:bookmarkStart w:id="210" w:name="_Toc184310328"/>
      <w:bookmarkEnd w:id="210"/>
      <w:bookmarkStart w:id="211" w:name="_Toc184308049"/>
      <w:bookmarkEnd w:id="211"/>
      <w:bookmarkStart w:id="212" w:name="_Toc184314470"/>
      <w:bookmarkEnd w:id="212"/>
      <w:bookmarkStart w:id="213" w:name="_Toc184312136"/>
      <w:bookmarkEnd w:id="213"/>
      <w:bookmarkStart w:id="214" w:name="_Toc184313296"/>
      <w:bookmarkEnd w:id="214"/>
      <w:bookmarkStart w:id="215" w:name="_Toc184314447"/>
      <w:bookmarkEnd w:id="215"/>
      <w:bookmarkStart w:id="216" w:name="_Toc184313287"/>
      <w:bookmarkEnd w:id="216"/>
      <w:bookmarkStart w:id="217" w:name="_Toc184308096"/>
      <w:bookmarkEnd w:id="217"/>
      <w:bookmarkStart w:id="218" w:name="_Toc184310293"/>
      <w:bookmarkEnd w:id="218"/>
      <w:bookmarkStart w:id="219" w:name="_Toc184310334"/>
      <w:bookmarkEnd w:id="219"/>
      <w:bookmarkStart w:id="220" w:name="_Toc184310317"/>
      <w:bookmarkEnd w:id="220"/>
      <w:bookmarkStart w:id="221" w:name="_Toc184312137"/>
      <w:bookmarkEnd w:id="221"/>
      <w:bookmarkStart w:id="222" w:name="_Toc184312105"/>
      <w:bookmarkEnd w:id="222"/>
      <w:bookmarkStart w:id="223" w:name="_Toc184314458"/>
      <w:bookmarkEnd w:id="223"/>
      <w:bookmarkStart w:id="224" w:name="_Toc184314443"/>
      <w:bookmarkEnd w:id="224"/>
      <w:bookmarkStart w:id="225" w:name="_Toc184314430"/>
      <w:bookmarkEnd w:id="225"/>
      <w:bookmarkStart w:id="226" w:name="_Toc184314422"/>
      <w:bookmarkEnd w:id="226"/>
      <w:bookmarkStart w:id="227" w:name="_Toc184310314"/>
      <w:bookmarkEnd w:id="227"/>
      <w:bookmarkStart w:id="228" w:name="_Toc184308042"/>
      <w:bookmarkEnd w:id="228"/>
      <w:bookmarkStart w:id="229" w:name="_Toc184310295"/>
      <w:bookmarkEnd w:id="229"/>
      <w:bookmarkStart w:id="230" w:name="_Toc184308101"/>
      <w:bookmarkEnd w:id="230"/>
      <w:bookmarkStart w:id="231" w:name="_Toc184312127"/>
      <w:bookmarkEnd w:id="231"/>
      <w:bookmarkStart w:id="232" w:name="_Toc184313261"/>
      <w:bookmarkEnd w:id="232"/>
      <w:bookmarkStart w:id="233" w:name="_Toc184310275"/>
      <w:bookmarkEnd w:id="233"/>
      <w:bookmarkStart w:id="234" w:name="_Toc184313297"/>
      <w:bookmarkEnd w:id="234"/>
      <w:bookmarkStart w:id="235" w:name="_Toc184312110"/>
      <w:bookmarkEnd w:id="235"/>
      <w:bookmarkStart w:id="236" w:name="_Toc184313270"/>
      <w:bookmarkEnd w:id="236"/>
      <w:bookmarkStart w:id="237" w:name="_Toc184313253"/>
      <w:bookmarkEnd w:id="237"/>
      <w:bookmarkStart w:id="238" w:name="_Toc184312094"/>
      <w:bookmarkEnd w:id="238"/>
      <w:bookmarkStart w:id="239" w:name="_Toc184310296"/>
      <w:bookmarkEnd w:id="239"/>
      <w:bookmarkStart w:id="240" w:name="_Toc184308090"/>
      <w:bookmarkEnd w:id="240"/>
      <w:bookmarkStart w:id="241" w:name="_Toc184308050"/>
      <w:bookmarkEnd w:id="241"/>
      <w:bookmarkStart w:id="242" w:name="_Toc184310297"/>
      <w:bookmarkEnd w:id="242"/>
      <w:bookmarkStart w:id="243" w:name="_Toc184308075"/>
      <w:bookmarkEnd w:id="243"/>
      <w:bookmarkStart w:id="244" w:name="_Toc184308047"/>
      <w:bookmarkEnd w:id="244"/>
      <w:bookmarkStart w:id="245" w:name="_Toc184308074"/>
      <w:bookmarkEnd w:id="245"/>
      <w:bookmarkStart w:id="246" w:name="_Toc184312106"/>
      <w:bookmarkEnd w:id="246"/>
      <w:bookmarkStart w:id="247" w:name="_Toc184312130"/>
      <w:bookmarkEnd w:id="247"/>
      <w:bookmarkStart w:id="248" w:name="_Toc184312080"/>
      <w:bookmarkEnd w:id="248"/>
      <w:bookmarkStart w:id="249" w:name="_Toc184308105"/>
      <w:bookmarkEnd w:id="249"/>
      <w:bookmarkStart w:id="250" w:name="_Toc184313277"/>
      <w:bookmarkEnd w:id="250"/>
      <w:bookmarkStart w:id="251" w:name="_Toc184312089"/>
      <w:bookmarkEnd w:id="251"/>
      <w:bookmarkStart w:id="252" w:name="_Toc184314482"/>
      <w:bookmarkEnd w:id="252"/>
      <w:bookmarkStart w:id="253" w:name="_Toc184310287"/>
      <w:bookmarkEnd w:id="253"/>
      <w:bookmarkStart w:id="254" w:name="_Toc184308059"/>
      <w:bookmarkEnd w:id="254"/>
      <w:bookmarkStart w:id="255" w:name="_Toc184308052"/>
      <w:bookmarkEnd w:id="255"/>
      <w:bookmarkStart w:id="256" w:name="_Toc184314418"/>
      <w:bookmarkEnd w:id="256"/>
      <w:bookmarkStart w:id="257" w:name="_Toc184308084"/>
      <w:bookmarkEnd w:id="257"/>
      <w:bookmarkStart w:id="258" w:name="_Toc184312072"/>
      <w:bookmarkEnd w:id="258"/>
      <w:bookmarkStart w:id="259" w:name="_Toc184314432"/>
      <w:bookmarkEnd w:id="259"/>
      <w:bookmarkStart w:id="260" w:name="_Toc184314477"/>
      <w:bookmarkEnd w:id="260"/>
      <w:bookmarkStart w:id="261" w:name="_Toc184310282"/>
      <w:bookmarkEnd w:id="261"/>
      <w:bookmarkStart w:id="262" w:name="_Toc184308083"/>
      <w:bookmarkEnd w:id="262"/>
      <w:bookmarkStart w:id="263" w:name="_Toc184312085"/>
      <w:bookmarkEnd w:id="263"/>
      <w:bookmarkStart w:id="264" w:name="_Toc184314462"/>
      <w:bookmarkEnd w:id="264"/>
      <w:bookmarkStart w:id="265" w:name="_Toc184308103"/>
      <w:bookmarkEnd w:id="265"/>
      <w:bookmarkStart w:id="266" w:name="_Toc184310280"/>
      <w:bookmarkEnd w:id="266"/>
      <w:bookmarkStart w:id="267" w:name="_Toc184310306"/>
      <w:bookmarkEnd w:id="267"/>
      <w:bookmarkStart w:id="268" w:name="_Toc184313260"/>
      <w:bookmarkEnd w:id="268"/>
      <w:bookmarkStart w:id="269" w:name="_Toc184314481"/>
      <w:bookmarkEnd w:id="269"/>
      <w:bookmarkStart w:id="270" w:name="_Toc184310272"/>
      <w:bookmarkEnd w:id="270"/>
      <w:bookmarkStart w:id="271" w:name="_Toc184312098"/>
      <w:bookmarkEnd w:id="271"/>
      <w:bookmarkStart w:id="272" w:name="_Toc184312118"/>
      <w:bookmarkEnd w:id="272"/>
      <w:bookmarkStart w:id="273" w:name="_Toc184308092"/>
      <w:bookmarkEnd w:id="273"/>
      <w:bookmarkStart w:id="274" w:name="_Toc184308094"/>
      <w:bookmarkEnd w:id="274"/>
      <w:bookmarkStart w:id="275" w:name="_Toc184310316"/>
      <w:bookmarkEnd w:id="275"/>
      <w:bookmarkStart w:id="276" w:name="_Toc184308044"/>
      <w:bookmarkEnd w:id="276"/>
      <w:bookmarkStart w:id="277" w:name="_Toc184308036"/>
      <w:bookmarkEnd w:id="277"/>
      <w:bookmarkStart w:id="278" w:name="_Toc184314453"/>
      <w:bookmarkEnd w:id="278"/>
      <w:bookmarkStart w:id="279" w:name="_Toc184312071"/>
      <w:bookmarkEnd w:id="279"/>
      <w:bookmarkStart w:id="280" w:name="_Toc184312114"/>
      <w:bookmarkEnd w:id="280"/>
      <w:bookmarkStart w:id="281" w:name="_Toc184308046"/>
      <w:bookmarkEnd w:id="281"/>
      <w:bookmarkStart w:id="282" w:name="_Toc184313304"/>
      <w:bookmarkEnd w:id="282"/>
      <w:bookmarkStart w:id="283" w:name="_Toc184314469"/>
      <w:bookmarkEnd w:id="283"/>
      <w:bookmarkStart w:id="284" w:name="_Toc184313305"/>
      <w:bookmarkEnd w:id="284"/>
      <w:bookmarkStart w:id="285" w:name="_Toc184310320"/>
      <w:bookmarkEnd w:id="285"/>
      <w:bookmarkStart w:id="286" w:name="_Toc184312095"/>
      <w:bookmarkEnd w:id="286"/>
      <w:bookmarkStart w:id="287" w:name="_Toc184308039"/>
      <w:bookmarkEnd w:id="287"/>
      <w:bookmarkStart w:id="288" w:name="_Toc184308073"/>
      <w:bookmarkEnd w:id="288"/>
      <w:bookmarkStart w:id="289" w:name="_Toc184313292"/>
      <w:bookmarkEnd w:id="289"/>
      <w:bookmarkStart w:id="290" w:name="_Toc184308069"/>
      <w:bookmarkEnd w:id="290"/>
      <w:bookmarkStart w:id="291" w:name="_Toc184313288"/>
      <w:bookmarkEnd w:id="291"/>
      <w:bookmarkStart w:id="292" w:name="_Toc184308056"/>
      <w:bookmarkEnd w:id="292"/>
      <w:bookmarkStart w:id="293" w:name="_Toc184312103"/>
      <w:bookmarkEnd w:id="293"/>
      <w:bookmarkStart w:id="294" w:name="_Toc184308102"/>
      <w:bookmarkEnd w:id="294"/>
      <w:bookmarkStart w:id="295" w:name="_Toc184310300"/>
      <w:bookmarkEnd w:id="295"/>
      <w:bookmarkStart w:id="296" w:name="_Toc184314427"/>
      <w:bookmarkEnd w:id="296"/>
      <w:bookmarkStart w:id="297" w:name="_Toc184314411"/>
      <w:bookmarkEnd w:id="297"/>
      <w:bookmarkStart w:id="298" w:name="_Toc184314467"/>
      <w:bookmarkEnd w:id="298"/>
      <w:bookmarkStart w:id="299" w:name="_Toc184312113"/>
      <w:bookmarkEnd w:id="299"/>
      <w:bookmarkStart w:id="300" w:name="_Toc184312132"/>
      <w:bookmarkEnd w:id="300"/>
      <w:bookmarkStart w:id="301" w:name="_Toc184313256"/>
      <w:bookmarkEnd w:id="301"/>
      <w:bookmarkStart w:id="302" w:name="_Toc184312121"/>
      <w:bookmarkEnd w:id="302"/>
      <w:bookmarkStart w:id="303" w:name="_Toc184312108"/>
      <w:bookmarkEnd w:id="303"/>
      <w:bookmarkStart w:id="304" w:name="_Toc184314459"/>
      <w:bookmarkEnd w:id="304"/>
      <w:bookmarkStart w:id="305" w:name="_Toc184313255"/>
      <w:bookmarkEnd w:id="305"/>
      <w:bookmarkStart w:id="306" w:name="_Toc184308048"/>
      <w:bookmarkEnd w:id="306"/>
      <w:bookmarkStart w:id="307" w:name="_Toc184310330"/>
      <w:bookmarkEnd w:id="307"/>
      <w:bookmarkStart w:id="308" w:name="_Toc184314464"/>
      <w:bookmarkEnd w:id="308"/>
      <w:bookmarkStart w:id="309" w:name="_Toc184314419"/>
      <w:bookmarkEnd w:id="309"/>
      <w:bookmarkStart w:id="310" w:name="_Toc184308093"/>
      <w:bookmarkEnd w:id="310"/>
      <w:bookmarkStart w:id="311" w:name="_Toc184314439"/>
      <w:bookmarkEnd w:id="311"/>
      <w:bookmarkStart w:id="312" w:name="_Toc184314410"/>
      <w:bookmarkEnd w:id="312"/>
      <w:bookmarkStart w:id="313" w:name="_Toc184314454"/>
      <w:bookmarkEnd w:id="313"/>
      <w:bookmarkStart w:id="314" w:name="_Toc184314455"/>
      <w:bookmarkEnd w:id="314"/>
      <w:bookmarkStart w:id="315" w:name="_Toc184308065"/>
      <w:bookmarkEnd w:id="315"/>
      <w:bookmarkStart w:id="316" w:name="_Toc184312081"/>
      <w:bookmarkEnd w:id="316"/>
      <w:bookmarkStart w:id="317" w:name="_Toc184314456"/>
      <w:bookmarkEnd w:id="317"/>
      <w:bookmarkStart w:id="318" w:name="_Toc184312093"/>
      <w:bookmarkEnd w:id="318"/>
      <w:bookmarkStart w:id="319" w:name="_Toc184308062"/>
      <w:bookmarkEnd w:id="319"/>
      <w:bookmarkStart w:id="320" w:name="_Toc184312067"/>
      <w:bookmarkEnd w:id="320"/>
      <w:bookmarkStart w:id="321" w:name="_Toc184314471"/>
      <w:bookmarkEnd w:id="321"/>
      <w:bookmarkStart w:id="322" w:name="_Toc184312084"/>
      <w:bookmarkEnd w:id="322"/>
      <w:bookmarkStart w:id="323" w:name="_Toc184313243"/>
      <w:bookmarkEnd w:id="323"/>
      <w:bookmarkStart w:id="324" w:name="_Toc184313279"/>
      <w:bookmarkEnd w:id="324"/>
      <w:bookmarkStart w:id="325" w:name="_Toc184310286"/>
      <w:bookmarkEnd w:id="325"/>
      <w:bookmarkStart w:id="326" w:name="_Toc184308089"/>
      <w:bookmarkEnd w:id="326"/>
      <w:bookmarkStart w:id="327" w:name="_Toc184314480"/>
      <w:bookmarkEnd w:id="327"/>
      <w:bookmarkStart w:id="328" w:name="_Toc184308079"/>
      <w:bookmarkEnd w:id="328"/>
      <w:bookmarkStart w:id="329" w:name="_Toc184310338"/>
      <w:bookmarkEnd w:id="329"/>
      <w:bookmarkStart w:id="330" w:name="_Toc184310277"/>
      <w:bookmarkEnd w:id="330"/>
      <w:bookmarkStart w:id="331" w:name="_Toc184314414"/>
      <w:bookmarkEnd w:id="331"/>
      <w:bookmarkStart w:id="332" w:name="_Toc184310284"/>
      <w:bookmarkEnd w:id="332"/>
      <w:bookmarkStart w:id="333" w:name="_Toc184312076"/>
      <w:bookmarkEnd w:id="333"/>
      <w:bookmarkStart w:id="334" w:name="_Toc184313262"/>
      <w:bookmarkEnd w:id="334"/>
      <w:bookmarkStart w:id="335" w:name="_Toc184308100"/>
      <w:bookmarkEnd w:id="335"/>
      <w:bookmarkStart w:id="336" w:name="_Toc184308095"/>
      <w:bookmarkEnd w:id="336"/>
      <w:bookmarkStart w:id="337" w:name="_Toc184312131"/>
      <w:bookmarkEnd w:id="337"/>
      <w:bookmarkStart w:id="338" w:name="_Toc184310292"/>
      <w:bookmarkEnd w:id="338"/>
      <w:bookmarkStart w:id="339" w:name="_Toc184313290"/>
      <w:bookmarkEnd w:id="339"/>
      <w:bookmarkStart w:id="340" w:name="_Toc184313244"/>
      <w:bookmarkEnd w:id="340"/>
      <w:bookmarkStart w:id="341" w:name="_Toc184313275"/>
      <w:bookmarkEnd w:id="341"/>
      <w:bookmarkStart w:id="342" w:name="_Toc184314452"/>
      <w:bookmarkEnd w:id="342"/>
      <w:bookmarkStart w:id="343" w:name="_Toc184314431"/>
      <w:bookmarkEnd w:id="343"/>
      <w:bookmarkStart w:id="344" w:name="_Toc184310319"/>
      <w:bookmarkEnd w:id="344"/>
      <w:bookmarkStart w:id="345" w:name="_Toc184308104"/>
      <w:bookmarkEnd w:id="345"/>
      <w:bookmarkStart w:id="346" w:name="_Toc184313281"/>
      <w:bookmarkEnd w:id="346"/>
      <w:bookmarkStart w:id="347" w:name="_Toc184308060"/>
      <w:bookmarkEnd w:id="347"/>
      <w:bookmarkStart w:id="348" w:name="_Toc184308078"/>
      <w:bookmarkEnd w:id="348"/>
      <w:bookmarkStart w:id="349" w:name="_Toc184312079"/>
      <w:bookmarkEnd w:id="349"/>
      <w:bookmarkStart w:id="350" w:name="_Toc184308061"/>
      <w:bookmarkEnd w:id="350"/>
      <w:bookmarkStart w:id="351" w:name="_Toc184313283"/>
      <w:bookmarkEnd w:id="351"/>
      <w:bookmarkStart w:id="352" w:name="_Toc184312123"/>
      <w:bookmarkEnd w:id="352"/>
      <w:bookmarkStart w:id="353" w:name="_Toc184313280"/>
      <w:bookmarkEnd w:id="353"/>
      <w:bookmarkStart w:id="354" w:name="_Toc184312112"/>
      <w:bookmarkEnd w:id="354"/>
      <w:bookmarkStart w:id="355" w:name="_Toc184313245"/>
      <w:bookmarkEnd w:id="355"/>
      <w:bookmarkStart w:id="356" w:name="_Toc184314468"/>
      <w:bookmarkEnd w:id="356"/>
      <w:bookmarkStart w:id="357" w:name="_Toc184308064"/>
      <w:bookmarkEnd w:id="357"/>
      <w:bookmarkStart w:id="358" w:name="_Toc184313239"/>
      <w:bookmarkEnd w:id="358"/>
      <w:bookmarkStart w:id="359" w:name="_Toc184308098"/>
      <w:bookmarkEnd w:id="359"/>
      <w:bookmarkStart w:id="360" w:name="_Toc184312125"/>
      <w:bookmarkEnd w:id="360"/>
      <w:bookmarkStart w:id="361" w:name="_Toc184314448"/>
      <w:bookmarkEnd w:id="361"/>
      <w:bookmarkStart w:id="362" w:name="_Toc184313267"/>
      <w:bookmarkEnd w:id="362"/>
      <w:bookmarkStart w:id="363" w:name="_Toc184310326"/>
      <w:bookmarkEnd w:id="363"/>
      <w:bookmarkStart w:id="364" w:name="_Toc184312107"/>
      <w:bookmarkEnd w:id="364"/>
      <w:bookmarkStart w:id="365" w:name="_Toc184310283"/>
      <w:bookmarkEnd w:id="365"/>
      <w:bookmarkStart w:id="366" w:name="_Toc184313251"/>
      <w:bookmarkEnd w:id="366"/>
      <w:bookmarkStart w:id="367" w:name="_Toc184308097"/>
      <w:bookmarkEnd w:id="367"/>
      <w:bookmarkStart w:id="368" w:name="_Toc184314440"/>
      <w:bookmarkEnd w:id="368"/>
      <w:bookmarkStart w:id="369" w:name="_Toc184310337"/>
      <w:bookmarkEnd w:id="369"/>
      <w:bookmarkStart w:id="370" w:name="_Toc184314437"/>
      <w:bookmarkEnd w:id="370"/>
      <w:bookmarkStart w:id="371" w:name="_Toc184312116"/>
      <w:bookmarkEnd w:id="371"/>
      <w:bookmarkStart w:id="372" w:name="_Toc184313269"/>
      <w:bookmarkEnd w:id="372"/>
      <w:bookmarkStart w:id="373" w:name="_Toc184313294"/>
      <w:bookmarkEnd w:id="373"/>
      <w:bookmarkStart w:id="374" w:name="_Toc184310308"/>
      <w:bookmarkEnd w:id="374"/>
      <w:bookmarkStart w:id="375" w:name="_Toc184314478"/>
      <w:bookmarkEnd w:id="375"/>
      <w:bookmarkStart w:id="376" w:name="_Toc184310342"/>
      <w:bookmarkEnd w:id="376"/>
      <w:bookmarkStart w:id="377" w:name="_Toc184310299"/>
      <w:bookmarkEnd w:id="377"/>
      <w:bookmarkStart w:id="378" w:name="_Toc184310313"/>
      <w:bookmarkEnd w:id="378"/>
      <w:bookmarkStart w:id="379" w:name="_Toc184314474"/>
      <w:bookmarkEnd w:id="379"/>
      <w:bookmarkStart w:id="380" w:name="_Toc184314413"/>
      <w:bookmarkEnd w:id="380"/>
      <w:bookmarkStart w:id="381" w:name="_Toc184313298"/>
      <w:bookmarkEnd w:id="381"/>
      <w:bookmarkStart w:id="382" w:name="_Toc184312083"/>
      <w:bookmarkEnd w:id="382"/>
      <w:bookmarkStart w:id="383" w:name="_Toc184308106"/>
      <w:bookmarkEnd w:id="383"/>
      <w:bookmarkStart w:id="384" w:name="_Toc184308063"/>
      <w:bookmarkEnd w:id="384"/>
      <w:bookmarkStart w:id="385" w:name="_Toc184312097"/>
      <w:bookmarkEnd w:id="385"/>
      <w:bookmarkStart w:id="386" w:name="_Toc184314446"/>
      <w:bookmarkEnd w:id="386"/>
      <w:bookmarkStart w:id="387" w:name="_Toc184312102"/>
      <w:bookmarkEnd w:id="387"/>
      <w:bookmarkStart w:id="388" w:name="_Toc184310309"/>
      <w:bookmarkEnd w:id="388"/>
      <w:bookmarkStart w:id="389" w:name="_Toc184308070"/>
      <w:bookmarkEnd w:id="389"/>
      <w:bookmarkStart w:id="390" w:name="_Toc184313240"/>
      <w:bookmarkEnd w:id="390"/>
      <w:bookmarkStart w:id="391" w:name="_Toc184314426"/>
      <w:bookmarkEnd w:id="391"/>
      <w:bookmarkStart w:id="392" w:name="_Toc184314421"/>
      <w:bookmarkEnd w:id="392"/>
      <w:bookmarkStart w:id="393" w:name="_Toc184314476"/>
      <w:bookmarkEnd w:id="393"/>
      <w:bookmarkStart w:id="394" w:name="_Toc184308057"/>
      <w:bookmarkEnd w:id="394"/>
      <w:bookmarkStart w:id="395" w:name="_Toc184312126"/>
      <w:bookmarkEnd w:id="395"/>
      <w:bookmarkStart w:id="396" w:name="_Toc184312133"/>
      <w:bookmarkEnd w:id="396"/>
      <w:bookmarkStart w:id="397" w:name="_Toc184310341"/>
      <w:bookmarkEnd w:id="397"/>
      <w:bookmarkStart w:id="398" w:name="_Toc184312087"/>
      <w:bookmarkEnd w:id="398"/>
      <w:bookmarkStart w:id="399" w:name="_Toc184308082"/>
      <w:bookmarkEnd w:id="399"/>
      <w:bookmarkStart w:id="400" w:name="_Toc184313309"/>
      <w:bookmarkEnd w:id="400"/>
      <w:bookmarkStart w:id="401" w:name="_Toc184310323"/>
      <w:bookmarkEnd w:id="401"/>
      <w:bookmarkStart w:id="402" w:name="_Toc184313299"/>
      <w:bookmarkEnd w:id="402"/>
      <w:bookmarkStart w:id="403" w:name="_Toc184310343"/>
      <w:bookmarkEnd w:id="403"/>
      <w:bookmarkStart w:id="404" w:name="_Toc184313246"/>
      <w:bookmarkEnd w:id="404"/>
      <w:bookmarkStart w:id="405" w:name="_Toc184314434"/>
      <w:bookmarkEnd w:id="405"/>
      <w:bookmarkStart w:id="406" w:name="_Toc184314444"/>
      <w:bookmarkEnd w:id="406"/>
      <w:bookmarkStart w:id="407" w:name="_Toc184308040"/>
      <w:bookmarkEnd w:id="407"/>
      <w:bookmarkStart w:id="408" w:name="_Toc184310318"/>
      <w:bookmarkEnd w:id="408"/>
      <w:bookmarkStart w:id="409" w:name="_Toc184313289"/>
      <w:bookmarkEnd w:id="409"/>
      <w:bookmarkStart w:id="410" w:name="_Toc184312115"/>
      <w:bookmarkEnd w:id="410"/>
      <w:bookmarkStart w:id="411" w:name="_Toc184313254"/>
      <w:bookmarkEnd w:id="411"/>
      <w:bookmarkStart w:id="412" w:name="_Toc184308108"/>
      <w:bookmarkEnd w:id="412"/>
      <w:bookmarkStart w:id="413" w:name="_Toc184308054"/>
      <w:bookmarkEnd w:id="413"/>
      <w:bookmarkStart w:id="414" w:name="_Toc184308091"/>
      <w:bookmarkEnd w:id="414"/>
      <w:bookmarkStart w:id="415" w:name="_Toc184310344"/>
      <w:bookmarkEnd w:id="415"/>
      <w:bookmarkStart w:id="416" w:name="_Toc184314412"/>
      <w:bookmarkEnd w:id="416"/>
      <w:bookmarkStart w:id="417" w:name="_Toc184312109"/>
      <w:bookmarkEnd w:id="417"/>
      <w:bookmarkStart w:id="418" w:name="_Toc184314425"/>
      <w:bookmarkEnd w:id="418"/>
      <w:bookmarkStart w:id="419" w:name="_Toc184314449"/>
      <w:bookmarkEnd w:id="419"/>
      <w:bookmarkStart w:id="420" w:name="_Toc184312119"/>
      <w:bookmarkEnd w:id="420"/>
      <w:bookmarkStart w:id="421" w:name="_Toc184310335"/>
      <w:bookmarkEnd w:id="421"/>
      <w:bookmarkStart w:id="422" w:name="_Toc184314460"/>
      <w:bookmarkEnd w:id="422"/>
      <w:bookmarkStart w:id="423" w:name="_Toc184314415"/>
      <w:bookmarkEnd w:id="423"/>
      <w:bookmarkStart w:id="424" w:name="_Toc184308081"/>
      <w:bookmarkEnd w:id="424"/>
      <w:bookmarkStart w:id="425" w:name="_Toc184312086"/>
      <w:bookmarkEnd w:id="425"/>
      <w:r>
        <w:rPr>
          <w:rFonts w:hint="eastAsia" w:ascii="宋体" w:hAnsi="宋体" w:cs="宋体"/>
          <w:b/>
          <w:color w:val="000000" w:themeColor="text1"/>
          <w:sz w:val="36"/>
          <w:szCs w:val="36"/>
          <w14:textFill>
            <w14:solidFill>
              <w14:schemeClr w14:val="tx1"/>
            </w14:solidFill>
          </w14:textFill>
        </w:rPr>
        <w:t>评标办法</w:t>
      </w:r>
    </w:p>
    <w:p w14:paraId="398AB022">
      <w:pPr>
        <w:snapToGrid w:val="0"/>
        <w:spacing w:line="360" w:lineRule="auto"/>
        <w:ind w:left="120" w:firstLine="22"/>
        <w:jc w:val="center"/>
        <w:outlineLvl w:val="1"/>
        <w:rPr>
          <w:rFonts w:hint="eastAsia"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评标办法前附表</w:t>
      </w:r>
    </w:p>
    <w:tbl>
      <w:tblPr>
        <w:tblStyle w:val="63"/>
        <w:tblW w:w="909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4990"/>
        <w:gridCol w:w="800"/>
        <w:gridCol w:w="961"/>
        <w:gridCol w:w="1216"/>
      </w:tblGrid>
      <w:tr w14:paraId="7558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1129" w:type="dxa"/>
            <w:shd w:val="clear" w:color="auto" w:fill="auto"/>
            <w:vAlign w:val="center"/>
          </w:tcPr>
          <w:p w14:paraId="1893D215">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w:t>
            </w:r>
          </w:p>
        </w:tc>
        <w:tc>
          <w:tcPr>
            <w:tcW w:w="4990" w:type="dxa"/>
            <w:shd w:val="clear" w:color="auto" w:fill="auto"/>
            <w:vAlign w:val="center"/>
          </w:tcPr>
          <w:p w14:paraId="79EF3F46">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评分标准</w:t>
            </w:r>
          </w:p>
        </w:tc>
        <w:tc>
          <w:tcPr>
            <w:tcW w:w="800" w:type="dxa"/>
            <w:shd w:val="clear" w:color="auto" w:fill="auto"/>
            <w:vAlign w:val="center"/>
          </w:tcPr>
          <w:p w14:paraId="6A5B63DA">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权值</w:t>
            </w:r>
          </w:p>
        </w:tc>
        <w:tc>
          <w:tcPr>
            <w:tcW w:w="961" w:type="dxa"/>
            <w:shd w:val="clear" w:color="auto" w:fill="auto"/>
            <w:vAlign w:val="center"/>
          </w:tcPr>
          <w:p w14:paraId="4F12931D">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仿宋_GB2312"/>
                <w:bCs/>
                <w:color w:val="000000" w:themeColor="text1"/>
                <w:sz w:val="24"/>
                <w14:textFill>
                  <w14:solidFill>
                    <w14:schemeClr w14:val="tx1"/>
                  </w14:solidFill>
                </w14:textFill>
              </w:rPr>
              <w:t>主观分/客观分属性</w:t>
            </w:r>
          </w:p>
        </w:tc>
        <w:tc>
          <w:tcPr>
            <w:tcW w:w="1216" w:type="dxa"/>
            <w:shd w:val="clear" w:color="auto" w:fill="auto"/>
            <w:vAlign w:val="center"/>
          </w:tcPr>
          <w:p w14:paraId="16A28F1D">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仿宋_GB2312"/>
                <w:bCs/>
                <w:color w:val="000000" w:themeColor="text1"/>
                <w:sz w:val="24"/>
                <w14:textFill>
                  <w14:solidFill>
                    <w14:schemeClr w14:val="tx1"/>
                  </w14:solidFill>
                </w14:textFill>
              </w:rPr>
              <w:t>投标文件中评标标准相应的商务技术资料目录</w:t>
            </w:r>
            <w:r>
              <w:rPr>
                <w:rFonts w:ascii="宋体" w:hAnsi="宋体" w:cs="Calibri"/>
                <w:bCs/>
                <w:color w:val="000000" w:themeColor="text1"/>
                <w:sz w:val="24"/>
                <w14:textFill>
                  <w14:solidFill>
                    <w14:schemeClr w14:val="tx1"/>
                  </w14:solidFill>
                </w14:textFill>
              </w:rPr>
              <w:t> </w:t>
            </w:r>
            <w:r>
              <w:rPr>
                <w:rFonts w:ascii="宋体" w:hAnsi="宋体" w:cs="仿宋_GB2312"/>
                <w:bCs/>
                <w:color w:val="000000" w:themeColor="text1"/>
                <w:sz w:val="24"/>
                <w14:textFill>
                  <w14:solidFill>
                    <w14:schemeClr w14:val="tx1"/>
                  </w14:solidFill>
                </w14:textFill>
              </w:rPr>
              <w:t>*</w:t>
            </w:r>
          </w:p>
        </w:tc>
      </w:tr>
      <w:tr w14:paraId="76EAB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29" w:type="dxa"/>
            <w:shd w:val="clear" w:color="auto" w:fill="auto"/>
            <w:vAlign w:val="center"/>
          </w:tcPr>
          <w:p w14:paraId="71AC2E3A">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1、投标报价（1</w:t>
            </w:r>
            <w:r>
              <w:rPr>
                <w:rFonts w:ascii="宋体" w:hAnsi="宋体" w:cs="宋体"/>
                <w:color w:val="000000" w:themeColor="text1"/>
                <w:kern w:val="0"/>
                <w:sz w:val="24"/>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分）</w:t>
            </w:r>
          </w:p>
        </w:tc>
        <w:tc>
          <w:tcPr>
            <w:tcW w:w="4990" w:type="dxa"/>
            <w:shd w:val="clear" w:color="auto" w:fill="auto"/>
            <w:vAlign w:val="center"/>
          </w:tcPr>
          <w:p w14:paraId="75764EB1">
            <w:pPr>
              <w:spacing w:line="360" w:lineRule="auto"/>
              <w:outlineLvl w:val="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有效投标报价的最低价作为评标基准价，其最低报价为满分；按［投标报价得分</w:t>
            </w:r>
            <w:r>
              <w:rPr>
                <w:rFonts w:ascii="宋体" w:hAnsi="宋体" w:cs="仿宋_GB2312"/>
                <w:color w:val="000000" w:themeColor="text1"/>
                <w:sz w:val="24"/>
                <w14:textFill>
                  <w14:solidFill>
                    <w14:schemeClr w14:val="tx1"/>
                  </w14:solidFill>
                </w14:textFill>
              </w:rPr>
              <w:t>=（评标基准价/投标报价）*</w:t>
            </w:r>
            <w:r>
              <w:rPr>
                <w:rFonts w:hint="eastAsia" w:ascii="宋体" w:hAnsi="宋体" w:cs="仿宋_GB2312"/>
                <w:color w:val="000000" w:themeColor="text1"/>
                <w:sz w:val="24"/>
                <w14:textFill>
                  <w14:solidFill>
                    <w14:schemeClr w14:val="tx1"/>
                  </w14:solidFill>
                </w14:textFill>
              </w:rPr>
              <w:t>1</w:t>
            </w:r>
            <w:r>
              <w:rPr>
                <w:rFonts w:ascii="宋体" w:hAnsi="宋体" w:cs="仿宋_GB2312"/>
                <w:color w:val="000000" w:themeColor="text1"/>
                <w:sz w:val="24"/>
                <w14:textFill>
                  <w14:solidFill>
                    <w14:schemeClr w14:val="tx1"/>
                  </w14:solidFill>
                </w14:textFill>
              </w:rPr>
              <w:t>5］的计算公式计算。</w:t>
            </w:r>
          </w:p>
          <w:p w14:paraId="56B5E498">
            <w:pPr>
              <w:widowControl/>
              <w:shd w:val="clear" w:color="auto" w:fill="FFFFFF"/>
              <w:adjustRightInd/>
              <w:spacing w:after="225" w:line="360" w:lineRule="auto"/>
              <w:rPr>
                <w:rFonts w:hint="eastAsia" w:ascii="宋体" w:hAns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评标过程中，不得去掉报价中的最高报价和最低报价。</w:t>
            </w:r>
          </w:p>
          <w:p w14:paraId="1B0F84A5">
            <w:pPr>
              <w:widowControl/>
              <w:spacing w:line="360" w:lineRule="auto"/>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对于未预留份额专门面向中小企业的政府采购服务项目，以及预留份额政府采购服务项目中的非预留部分标项，对小型和微型企业的投标报价给予</w:t>
            </w:r>
            <w:r>
              <w:rPr>
                <w:rFonts w:ascii="宋体" w:hAnsi="宋体" w:cs="仿宋_GB2312"/>
                <w:color w:val="000000" w:themeColor="text1"/>
                <w:sz w:val="24"/>
                <w14:textFill>
                  <w14:solidFill>
                    <w14:schemeClr w14:val="tx1"/>
                  </w14:solidFill>
                </w14:textFill>
              </w:rPr>
              <w:t>10</w:t>
            </w:r>
            <w:r>
              <w:rPr>
                <w:rFonts w:hint="eastAsia" w:ascii="宋体" w:hAnsi="宋体" w:cs="仿宋_GB2312"/>
                <w:color w:val="000000" w:themeColor="text1"/>
                <w:sz w:val="24"/>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仿宋_GB2312"/>
                <w:color w:val="000000" w:themeColor="text1"/>
                <w:sz w:val="24"/>
                <w14:textFill>
                  <w14:solidFill>
                    <w14:schemeClr w14:val="tx1"/>
                  </w14:solidFill>
                </w14:textFill>
              </w:rPr>
              <w:t>4</w:t>
            </w:r>
            <w:r>
              <w:rPr>
                <w:rFonts w:hint="eastAsia" w:ascii="宋体" w:hAnsi="宋体" w:cs="仿宋_GB2312"/>
                <w:color w:val="000000" w:themeColor="text1"/>
                <w:sz w:val="24"/>
                <w14:textFill>
                  <w14:solidFill>
                    <w14:schemeClr w14:val="tx1"/>
                  </w14:solidFill>
                </w14:textFill>
              </w:rPr>
              <w:t>%的扣除，</w:t>
            </w:r>
          </w:p>
          <w:p w14:paraId="3D607739">
            <w:pPr>
              <w:widowControl/>
              <w:spacing w:line="360" w:lineRule="auto"/>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用扣除后的价格参加评审</w:t>
            </w:r>
            <w:r>
              <w:rPr>
                <w:rFonts w:ascii="宋体" w:hAnsi="宋体" w:cs="仿宋_GB2312"/>
                <w:color w:val="000000" w:themeColor="text1"/>
                <w:sz w:val="24"/>
                <w14:textFill>
                  <w14:solidFill>
                    <w14:schemeClr w14:val="tx1"/>
                  </w14:solidFill>
                </w14:textFill>
              </w:rPr>
              <w:t>。</w:t>
            </w:r>
          </w:p>
        </w:tc>
        <w:tc>
          <w:tcPr>
            <w:tcW w:w="800" w:type="dxa"/>
            <w:shd w:val="clear" w:color="auto" w:fill="auto"/>
            <w:vAlign w:val="center"/>
          </w:tcPr>
          <w:p w14:paraId="38CA91E9">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ascii="宋体" w:hAnsi="宋体" w:cs="宋体"/>
                <w:color w:val="000000" w:themeColor="text1"/>
                <w:kern w:val="0"/>
                <w:sz w:val="24"/>
                <w14:textFill>
                  <w14:solidFill>
                    <w14:schemeClr w14:val="tx1"/>
                  </w14:solidFill>
                </w14:textFill>
              </w:rPr>
              <w:t>5</w:t>
            </w:r>
          </w:p>
        </w:tc>
        <w:tc>
          <w:tcPr>
            <w:tcW w:w="961" w:type="dxa"/>
            <w:shd w:val="clear" w:color="auto" w:fill="auto"/>
            <w:vAlign w:val="center"/>
          </w:tcPr>
          <w:p w14:paraId="4E4C6711">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1216" w:type="dxa"/>
            <w:shd w:val="clear" w:color="auto" w:fill="auto"/>
            <w:vAlign w:val="center"/>
          </w:tcPr>
          <w:p w14:paraId="641AE5B1">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r>
      <w:tr w14:paraId="702A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29" w:type="dxa"/>
            <w:vMerge w:val="restart"/>
            <w:shd w:val="clear" w:color="auto" w:fill="auto"/>
            <w:vAlign w:val="center"/>
          </w:tcPr>
          <w:p w14:paraId="2518C6D7">
            <w:pPr>
              <w:widowControl/>
              <w:spacing w:line="360" w:lineRule="auto"/>
              <w:jc w:val="center"/>
              <w:rPr>
                <w:rFonts w:hint="eastAsia" w:ascii="宋体" w:hAnsi="宋体" w:cs="宋体"/>
                <w:bCs/>
                <w:color w:val="000000" w:themeColor="text1"/>
                <w:kern w:val="0"/>
                <w:sz w:val="24"/>
                <w14:textFill>
                  <w14:solidFill>
                    <w14:schemeClr w14:val="tx1"/>
                  </w14:solidFill>
                </w14:textFill>
              </w:rPr>
            </w:pPr>
            <w:bookmarkStart w:id="426" w:name="_Hlk93871465"/>
            <w:r>
              <w:rPr>
                <w:rFonts w:hint="eastAsia" w:ascii="宋体" w:hAnsi="宋体"/>
                <w:bCs/>
                <w:color w:val="000000" w:themeColor="text1"/>
                <w:sz w:val="24"/>
                <w14:textFill>
                  <w14:solidFill>
                    <w14:schemeClr w14:val="tx1"/>
                  </w14:solidFill>
                </w14:textFill>
              </w:rPr>
              <w:t>2、技术组织方案</w:t>
            </w:r>
            <w:bookmarkEnd w:id="426"/>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14</w:t>
            </w:r>
            <w:r>
              <w:rPr>
                <w:rFonts w:hint="eastAsia" w:ascii="宋体" w:hAnsi="宋体"/>
                <w:bCs/>
                <w:color w:val="000000" w:themeColor="text1"/>
                <w:sz w:val="24"/>
                <w14:textFill>
                  <w14:solidFill>
                    <w14:schemeClr w14:val="tx1"/>
                  </w14:solidFill>
                </w14:textFill>
              </w:rPr>
              <w:t>分）</w:t>
            </w:r>
          </w:p>
        </w:tc>
        <w:tc>
          <w:tcPr>
            <w:tcW w:w="4990" w:type="dxa"/>
            <w:shd w:val="clear" w:color="auto" w:fill="auto"/>
            <w:vAlign w:val="center"/>
          </w:tcPr>
          <w:p w14:paraId="4290E8B8">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服务方案：投标人提供会议系统服务方案，包括但不限于服务内容、系统架构、功能模块设计、关键服务技术等，提供具体方案，根据方案的完整性、针对性进行打分。（得分：5、4、3、2、1、0）</w:t>
            </w:r>
          </w:p>
        </w:tc>
        <w:tc>
          <w:tcPr>
            <w:tcW w:w="800" w:type="dxa"/>
            <w:shd w:val="clear" w:color="auto" w:fill="auto"/>
            <w:vAlign w:val="center"/>
          </w:tcPr>
          <w:p w14:paraId="4C3CA0AD">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5</w:t>
            </w:r>
          </w:p>
        </w:tc>
        <w:tc>
          <w:tcPr>
            <w:tcW w:w="961" w:type="dxa"/>
            <w:shd w:val="clear" w:color="auto" w:fill="auto"/>
            <w:vAlign w:val="center"/>
          </w:tcPr>
          <w:p w14:paraId="4CECF1C7">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主观分</w:t>
            </w:r>
          </w:p>
        </w:tc>
        <w:tc>
          <w:tcPr>
            <w:tcW w:w="1216" w:type="dxa"/>
            <w:shd w:val="clear" w:color="auto" w:fill="auto"/>
          </w:tcPr>
          <w:p w14:paraId="39042C78">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r>
      <w:tr w14:paraId="4A913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1" w:hRule="atLeast"/>
        </w:trPr>
        <w:tc>
          <w:tcPr>
            <w:tcW w:w="1129" w:type="dxa"/>
            <w:vMerge w:val="continue"/>
            <w:shd w:val="clear" w:color="auto" w:fill="auto"/>
            <w:vAlign w:val="center"/>
          </w:tcPr>
          <w:p w14:paraId="36359B0C">
            <w:pPr>
              <w:widowControl/>
              <w:spacing w:line="360" w:lineRule="auto"/>
              <w:jc w:val="center"/>
              <w:rPr>
                <w:rFonts w:hint="eastAsia" w:ascii="宋体" w:hAnsi="宋体"/>
                <w:bCs/>
                <w:color w:val="000000" w:themeColor="text1"/>
                <w:sz w:val="24"/>
                <w14:textFill>
                  <w14:solidFill>
                    <w14:schemeClr w14:val="tx1"/>
                  </w14:solidFill>
                </w14:textFill>
              </w:rPr>
            </w:pPr>
          </w:p>
        </w:tc>
        <w:tc>
          <w:tcPr>
            <w:tcW w:w="4990" w:type="dxa"/>
            <w:shd w:val="clear" w:color="auto" w:fill="auto"/>
            <w:vAlign w:val="center"/>
          </w:tcPr>
          <w:p w14:paraId="4189F6FF">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状与需求分析：投标人需提供项目现状及需求情况的详细阐述与分析，包括但不限于现有阅文系统部署情况、运行情况、项目建设需求分析，提供具体分析，根据分析的符合性、针对性进行打分。（得分：5、4、3、2、1、0）</w:t>
            </w:r>
          </w:p>
        </w:tc>
        <w:tc>
          <w:tcPr>
            <w:tcW w:w="800" w:type="dxa"/>
            <w:shd w:val="clear" w:color="auto" w:fill="auto"/>
            <w:vAlign w:val="center"/>
          </w:tcPr>
          <w:p w14:paraId="64D57418">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5</w:t>
            </w:r>
          </w:p>
        </w:tc>
        <w:tc>
          <w:tcPr>
            <w:tcW w:w="961" w:type="dxa"/>
            <w:shd w:val="clear" w:color="auto" w:fill="auto"/>
            <w:vAlign w:val="center"/>
          </w:tcPr>
          <w:p w14:paraId="6BD3A64A">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主观分</w:t>
            </w:r>
          </w:p>
        </w:tc>
        <w:tc>
          <w:tcPr>
            <w:tcW w:w="1216" w:type="dxa"/>
            <w:shd w:val="clear" w:color="auto" w:fill="auto"/>
          </w:tcPr>
          <w:p w14:paraId="319F6277">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r>
      <w:tr w14:paraId="6A109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29" w:type="dxa"/>
            <w:vMerge w:val="continue"/>
            <w:shd w:val="clear" w:color="auto" w:fill="auto"/>
            <w:vAlign w:val="center"/>
          </w:tcPr>
          <w:p w14:paraId="3F65AEF9">
            <w:pPr>
              <w:widowControl/>
              <w:spacing w:line="360" w:lineRule="auto"/>
              <w:jc w:val="left"/>
              <w:rPr>
                <w:rFonts w:hint="eastAsia" w:ascii="宋体" w:hAnsi="宋体" w:cs="宋体"/>
                <w:color w:val="000000" w:themeColor="text1"/>
                <w:kern w:val="0"/>
                <w:sz w:val="24"/>
                <w14:textFill>
                  <w14:solidFill>
                    <w14:schemeClr w14:val="tx1"/>
                  </w14:solidFill>
                </w14:textFill>
              </w:rPr>
            </w:pPr>
          </w:p>
        </w:tc>
        <w:tc>
          <w:tcPr>
            <w:tcW w:w="4990" w:type="dxa"/>
            <w:shd w:val="clear" w:color="auto" w:fill="auto"/>
            <w:vAlign w:val="center"/>
          </w:tcPr>
          <w:p w14:paraId="3AF66DEF">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运维服务方案：投标人提供满足招标文件要求的运维服务方案，包括：运维计划、实施步骤等，根据方案的完整性、针对性进行打分。（得分：4、3、2、1、0）</w:t>
            </w:r>
          </w:p>
        </w:tc>
        <w:tc>
          <w:tcPr>
            <w:tcW w:w="800" w:type="dxa"/>
            <w:shd w:val="clear" w:color="auto" w:fill="auto"/>
            <w:vAlign w:val="center"/>
          </w:tcPr>
          <w:p w14:paraId="1AE43DBF">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4</w:t>
            </w:r>
          </w:p>
        </w:tc>
        <w:tc>
          <w:tcPr>
            <w:tcW w:w="961" w:type="dxa"/>
            <w:shd w:val="clear" w:color="auto" w:fill="auto"/>
            <w:vAlign w:val="center"/>
          </w:tcPr>
          <w:p w14:paraId="41218CA6">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主观分</w:t>
            </w:r>
          </w:p>
        </w:tc>
        <w:tc>
          <w:tcPr>
            <w:tcW w:w="1216" w:type="dxa"/>
            <w:shd w:val="clear" w:color="auto" w:fill="auto"/>
          </w:tcPr>
          <w:p w14:paraId="3F1D81FD">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r>
      <w:tr w14:paraId="48BA3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1129" w:type="dxa"/>
            <w:vMerge w:val="restart"/>
            <w:shd w:val="clear" w:color="auto" w:fill="auto"/>
            <w:vAlign w:val="center"/>
          </w:tcPr>
          <w:p w14:paraId="1A867C57">
            <w:pPr>
              <w:widowControl/>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3、投标方案中提供主要设备及软件符合情况(</w:t>
            </w:r>
            <w:r>
              <w:rPr>
                <w:rFonts w:ascii="宋体" w:hAnsi="宋体" w:cs="宋体"/>
                <w:color w:val="000000" w:themeColor="text1"/>
                <w:kern w:val="0"/>
                <w:sz w:val="24"/>
                <w14:textFill>
                  <w14:solidFill>
                    <w14:schemeClr w14:val="tx1"/>
                  </w14:solidFill>
                </w14:textFill>
              </w:rPr>
              <w:t>19</w:t>
            </w:r>
            <w:r>
              <w:rPr>
                <w:rFonts w:hint="eastAsia" w:ascii="宋体" w:hAnsi="宋体" w:cs="宋体"/>
                <w:color w:val="000000" w:themeColor="text1"/>
                <w:kern w:val="0"/>
                <w:sz w:val="24"/>
                <w14:textFill>
                  <w14:solidFill>
                    <w14:schemeClr w14:val="tx1"/>
                  </w14:solidFill>
                </w14:textFill>
              </w:rPr>
              <w:t>分</w:t>
            </w:r>
            <w:r>
              <w:rPr>
                <w:rFonts w:ascii="宋体" w:hAnsi="宋体" w:cs="宋体"/>
                <w:color w:val="000000" w:themeColor="text1"/>
                <w:kern w:val="0"/>
                <w:sz w:val="24"/>
                <w14:textFill>
                  <w14:solidFill>
                    <w14:schemeClr w14:val="tx1"/>
                  </w14:solidFill>
                </w14:textFill>
              </w:rPr>
              <w:t>)</w:t>
            </w:r>
          </w:p>
        </w:tc>
        <w:tc>
          <w:tcPr>
            <w:tcW w:w="4990" w:type="dxa"/>
            <w:shd w:val="clear" w:color="auto" w:fill="auto"/>
            <w:vAlign w:val="center"/>
          </w:tcPr>
          <w:p w14:paraId="345CCBC8">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会议管理软件技术指标及功能符合招标需求，完全满足招标要求的得</w:t>
            </w:r>
            <w:r>
              <w:rPr>
                <w:rFonts w:ascii="宋体" w:hAnsi="宋体" w:cs="宋体"/>
                <w:color w:val="000000" w:themeColor="text1"/>
                <w:kern w:val="0"/>
                <w:sz w:val="24"/>
                <w14:textFill>
                  <w14:solidFill>
                    <w14:schemeClr w14:val="tx1"/>
                  </w14:solidFill>
                </w14:textFill>
              </w:rPr>
              <w:t>8分，如技术指标出现负偏离情况，每出现一项扣1分，扣完为止</w:t>
            </w:r>
            <w:r>
              <w:rPr>
                <w:rFonts w:hint="eastAsia" w:ascii="宋体" w:hAnsi="宋体" w:cs="宋体"/>
                <w:color w:val="000000" w:themeColor="text1"/>
                <w:kern w:val="0"/>
                <w:sz w:val="24"/>
                <w14:textFill>
                  <w14:solidFill>
                    <w14:schemeClr w14:val="tx1"/>
                  </w14:solidFill>
                </w14:textFill>
              </w:rPr>
              <w:t>。</w:t>
            </w:r>
          </w:p>
        </w:tc>
        <w:tc>
          <w:tcPr>
            <w:tcW w:w="800" w:type="dxa"/>
            <w:shd w:val="clear" w:color="auto" w:fill="auto"/>
            <w:vAlign w:val="center"/>
          </w:tcPr>
          <w:p w14:paraId="670277A5">
            <w:pPr>
              <w:spacing w:line="360" w:lineRule="auto"/>
              <w:jc w:val="center"/>
              <w:rPr>
                <w:rFonts w:hint="eastAsia"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8</w:t>
            </w:r>
          </w:p>
        </w:tc>
        <w:tc>
          <w:tcPr>
            <w:tcW w:w="961" w:type="dxa"/>
            <w:shd w:val="clear" w:color="auto" w:fill="auto"/>
            <w:vAlign w:val="center"/>
          </w:tcPr>
          <w:p w14:paraId="64B4D36D">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客观分</w:t>
            </w:r>
          </w:p>
        </w:tc>
        <w:tc>
          <w:tcPr>
            <w:tcW w:w="1216" w:type="dxa"/>
            <w:shd w:val="clear" w:color="auto" w:fill="auto"/>
          </w:tcPr>
          <w:p w14:paraId="081FD850">
            <w:pPr>
              <w:spacing w:line="360" w:lineRule="auto"/>
              <w:jc w:val="center"/>
              <w:rPr>
                <w:rFonts w:hint="eastAsia" w:ascii="宋体" w:hAnsi="宋体" w:cs="宋体"/>
                <w:color w:val="000000" w:themeColor="text1"/>
                <w:kern w:val="0"/>
                <w:sz w:val="24"/>
                <w14:textFill>
                  <w14:solidFill>
                    <w14:schemeClr w14:val="tx1"/>
                  </w14:solidFill>
                </w14:textFill>
              </w:rPr>
            </w:pPr>
          </w:p>
        </w:tc>
      </w:tr>
      <w:tr w14:paraId="54413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129" w:type="dxa"/>
            <w:vMerge w:val="continue"/>
            <w:shd w:val="clear" w:color="auto" w:fill="auto"/>
            <w:vAlign w:val="center"/>
          </w:tcPr>
          <w:p w14:paraId="2A94F214">
            <w:pPr>
              <w:widowControl/>
              <w:spacing w:line="360" w:lineRule="auto"/>
              <w:jc w:val="left"/>
              <w:rPr>
                <w:rFonts w:hint="eastAsia" w:ascii="宋体" w:hAnsi="宋体" w:cs="宋体"/>
                <w:color w:val="000000" w:themeColor="text1"/>
                <w:kern w:val="0"/>
                <w:sz w:val="24"/>
                <w14:textFill>
                  <w14:solidFill>
                    <w14:schemeClr w14:val="tx1"/>
                  </w14:solidFill>
                </w14:textFill>
              </w:rPr>
            </w:pPr>
          </w:p>
        </w:tc>
        <w:tc>
          <w:tcPr>
            <w:tcW w:w="4990" w:type="dxa"/>
            <w:shd w:val="clear" w:color="auto" w:fill="auto"/>
            <w:vAlign w:val="center"/>
          </w:tcPr>
          <w:p w14:paraId="2F17C0DC">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安全产品技术指标及功能符合招标需求，完全满足招标要求的得</w:t>
            </w:r>
            <w:r>
              <w:rPr>
                <w:rFonts w:ascii="宋体" w:hAnsi="宋体" w:cs="宋体"/>
                <w:color w:val="000000" w:themeColor="text1"/>
                <w:kern w:val="0"/>
                <w:sz w:val="24"/>
                <w14:textFill>
                  <w14:solidFill>
                    <w14:schemeClr w14:val="tx1"/>
                  </w14:solidFill>
                </w14:textFill>
              </w:rPr>
              <w:t>8分，如技术指标出现负偏离情况，每出现一项扣2分，扣完为止</w:t>
            </w:r>
            <w:r>
              <w:rPr>
                <w:rFonts w:hint="eastAsia" w:ascii="宋体" w:hAnsi="宋体" w:cs="宋体"/>
                <w:color w:val="000000" w:themeColor="text1"/>
                <w:kern w:val="0"/>
                <w:sz w:val="24"/>
                <w14:textFill>
                  <w14:solidFill>
                    <w14:schemeClr w14:val="tx1"/>
                  </w14:solidFill>
                </w14:textFill>
              </w:rPr>
              <w:t>。</w:t>
            </w:r>
          </w:p>
        </w:tc>
        <w:tc>
          <w:tcPr>
            <w:tcW w:w="800" w:type="dxa"/>
            <w:shd w:val="clear" w:color="auto" w:fill="auto"/>
            <w:vAlign w:val="center"/>
          </w:tcPr>
          <w:p w14:paraId="3D4E785C">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8</w:t>
            </w:r>
          </w:p>
        </w:tc>
        <w:tc>
          <w:tcPr>
            <w:tcW w:w="961" w:type="dxa"/>
            <w:shd w:val="clear" w:color="auto" w:fill="auto"/>
            <w:vAlign w:val="center"/>
          </w:tcPr>
          <w:p w14:paraId="066C435B">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客观分</w:t>
            </w:r>
          </w:p>
        </w:tc>
        <w:tc>
          <w:tcPr>
            <w:tcW w:w="1216" w:type="dxa"/>
            <w:shd w:val="clear" w:color="auto" w:fill="auto"/>
          </w:tcPr>
          <w:p w14:paraId="0260BD0C">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r>
      <w:tr w14:paraId="3B7AC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129" w:type="dxa"/>
            <w:vMerge w:val="continue"/>
            <w:shd w:val="clear" w:color="auto" w:fill="auto"/>
            <w:vAlign w:val="center"/>
          </w:tcPr>
          <w:p w14:paraId="650191CF">
            <w:pPr>
              <w:widowControl/>
              <w:spacing w:line="360" w:lineRule="auto"/>
              <w:jc w:val="left"/>
              <w:rPr>
                <w:rFonts w:hint="eastAsia" w:ascii="宋体" w:hAnsi="宋体" w:cs="宋体"/>
                <w:color w:val="000000" w:themeColor="text1"/>
                <w:kern w:val="0"/>
                <w:sz w:val="24"/>
                <w14:textFill>
                  <w14:solidFill>
                    <w14:schemeClr w14:val="tx1"/>
                  </w14:solidFill>
                </w14:textFill>
              </w:rPr>
            </w:pPr>
          </w:p>
        </w:tc>
        <w:tc>
          <w:tcPr>
            <w:tcW w:w="4990" w:type="dxa"/>
            <w:shd w:val="clear" w:color="auto" w:fill="auto"/>
            <w:vAlign w:val="center"/>
          </w:tcPr>
          <w:p w14:paraId="08439841">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云资源及流量指标及功能符合招标需求，完全满足招标要求的得</w:t>
            </w:r>
            <w:r>
              <w:rPr>
                <w:rFonts w:ascii="宋体" w:hAnsi="宋体" w:cs="宋体"/>
                <w:color w:val="000000" w:themeColor="text1"/>
                <w:kern w:val="0"/>
                <w:sz w:val="24"/>
                <w14:textFill>
                  <w14:solidFill>
                    <w14:schemeClr w14:val="tx1"/>
                  </w14:solidFill>
                </w14:textFill>
              </w:rPr>
              <w:t>3分，如技术指标出现负偏离情况，每出现一项扣1分，扣完为止</w:t>
            </w:r>
            <w:r>
              <w:rPr>
                <w:rFonts w:hint="eastAsia" w:ascii="宋体" w:hAnsi="宋体" w:cs="宋体"/>
                <w:color w:val="000000" w:themeColor="text1"/>
                <w:kern w:val="0"/>
                <w:sz w:val="24"/>
                <w14:textFill>
                  <w14:solidFill>
                    <w14:schemeClr w14:val="tx1"/>
                  </w14:solidFill>
                </w14:textFill>
              </w:rPr>
              <w:t>。</w:t>
            </w:r>
          </w:p>
        </w:tc>
        <w:tc>
          <w:tcPr>
            <w:tcW w:w="800" w:type="dxa"/>
            <w:shd w:val="clear" w:color="auto" w:fill="auto"/>
            <w:vAlign w:val="center"/>
          </w:tcPr>
          <w:p w14:paraId="2434B83A">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3</w:t>
            </w:r>
          </w:p>
        </w:tc>
        <w:tc>
          <w:tcPr>
            <w:tcW w:w="961" w:type="dxa"/>
            <w:shd w:val="clear" w:color="auto" w:fill="auto"/>
            <w:vAlign w:val="center"/>
          </w:tcPr>
          <w:p w14:paraId="158C4EE8">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客观分</w:t>
            </w:r>
          </w:p>
        </w:tc>
        <w:tc>
          <w:tcPr>
            <w:tcW w:w="1216" w:type="dxa"/>
            <w:shd w:val="clear" w:color="auto" w:fill="auto"/>
          </w:tcPr>
          <w:p w14:paraId="42BBD8D9">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r>
      <w:tr w14:paraId="7B360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129" w:type="dxa"/>
            <w:vMerge w:val="restart"/>
            <w:shd w:val="clear" w:color="auto" w:fill="auto"/>
            <w:vAlign w:val="center"/>
          </w:tcPr>
          <w:p w14:paraId="70A48C02">
            <w:pPr>
              <w:widowControl/>
              <w:spacing w:line="360" w:lineRule="auto"/>
              <w:jc w:val="left"/>
              <w:rPr>
                <w:rFonts w:hint="eastAsia" w:ascii="宋体" w:hAnsi="宋体" w:cs="宋体"/>
                <w:color w:val="000000" w:themeColor="text1"/>
                <w:kern w:val="0"/>
                <w:sz w:val="24"/>
                <w14:textFill>
                  <w14:solidFill>
                    <w14:schemeClr w14:val="tx1"/>
                  </w14:solidFill>
                </w14:textFill>
              </w:rPr>
            </w:pPr>
            <w:bookmarkStart w:id="427" w:name="_Hlk93871618"/>
            <w:bookmarkStart w:id="428" w:name="RANGE!A4"/>
            <w:r>
              <w:rPr>
                <w:rFonts w:hint="eastAsia" w:ascii="宋体" w:hAnsi="宋体" w:cs="宋体"/>
                <w:color w:val="000000" w:themeColor="text1"/>
                <w:kern w:val="0"/>
                <w:sz w:val="24"/>
                <w14:textFill>
                  <w14:solidFill>
                    <w14:schemeClr w14:val="tx1"/>
                  </w14:solidFill>
                </w14:textFill>
              </w:rPr>
              <w:t>4、实施组织方案</w:t>
            </w:r>
            <w:bookmarkEnd w:id="427"/>
          </w:p>
          <w:p w14:paraId="739C2E65">
            <w:pPr>
              <w:widowControl/>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8</w:t>
            </w:r>
            <w:r>
              <w:rPr>
                <w:rFonts w:hint="eastAsia" w:ascii="宋体" w:hAnsi="宋体" w:cs="宋体"/>
                <w:color w:val="000000" w:themeColor="text1"/>
                <w:kern w:val="0"/>
                <w:sz w:val="24"/>
                <w14:textFill>
                  <w14:solidFill>
                    <w14:schemeClr w14:val="tx1"/>
                  </w14:solidFill>
                </w14:textFill>
              </w:rPr>
              <w:t>分）</w:t>
            </w:r>
            <w:bookmarkEnd w:id="428"/>
          </w:p>
        </w:tc>
        <w:tc>
          <w:tcPr>
            <w:tcW w:w="4990" w:type="dxa"/>
            <w:shd w:val="clear" w:color="auto" w:fill="auto"/>
            <w:vAlign w:val="center"/>
          </w:tcPr>
          <w:p w14:paraId="49ACDAB1">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项目组织实施方案的科学性、合理性、规范性和可操作性，包括①组织机构、②工作时间进度表、③管理和协调方法、④关键步骤的思路和要点、⑤试运行方案、⑥验收方案。根据提供的方案内容进行评分。（得分： 3、2、1、0）</w:t>
            </w:r>
          </w:p>
        </w:tc>
        <w:tc>
          <w:tcPr>
            <w:tcW w:w="800" w:type="dxa"/>
            <w:shd w:val="clear" w:color="auto" w:fill="auto"/>
            <w:vAlign w:val="center"/>
          </w:tcPr>
          <w:p w14:paraId="074E97D7">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3</w:t>
            </w:r>
          </w:p>
        </w:tc>
        <w:tc>
          <w:tcPr>
            <w:tcW w:w="961" w:type="dxa"/>
            <w:shd w:val="clear" w:color="auto" w:fill="auto"/>
            <w:vAlign w:val="center"/>
          </w:tcPr>
          <w:p w14:paraId="6D23B6EB">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主观分</w:t>
            </w:r>
          </w:p>
        </w:tc>
        <w:tc>
          <w:tcPr>
            <w:tcW w:w="1216" w:type="dxa"/>
            <w:shd w:val="clear" w:color="auto" w:fill="auto"/>
          </w:tcPr>
          <w:p w14:paraId="0E2D4ED5">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r>
      <w:tr w14:paraId="6D228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129" w:type="dxa"/>
            <w:vMerge w:val="continue"/>
            <w:shd w:val="clear" w:color="auto" w:fill="auto"/>
            <w:vAlign w:val="center"/>
          </w:tcPr>
          <w:p w14:paraId="6288EA00">
            <w:pPr>
              <w:widowControl/>
              <w:spacing w:line="360" w:lineRule="auto"/>
              <w:jc w:val="left"/>
              <w:rPr>
                <w:rFonts w:hint="eastAsia" w:ascii="宋体" w:hAnsi="宋体" w:cs="宋体"/>
                <w:color w:val="000000" w:themeColor="text1"/>
                <w:kern w:val="0"/>
                <w:sz w:val="24"/>
                <w14:textFill>
                  <w14:solidFill>
                    <w14:schemeClr w14:val="tx1"/>
                  </w14:solidFill>
                </w14:textFill>
              </w:rPr>
            </w:pPr>
          </w:p>
        </w:tc>
        <w:tc>
          <w:tcPr>
            <w:tcW w:w="4990" w:type="dxa"/>
            <w:shd w:val="clear" w:color="auto" w:fill="auto"/>
            <w:vAlign w:val="center"/>
          </w:tcPr>
          <w:p w14:paraId="3985F71D">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提供数据及硬件Pad对接方案和可行性：投标人需提供与人大现有系统的数据无缝</w:t>
            </w:r>
            <w:r>
              <w:rPr>
                <w:rFonts w:hint="eastAsia" w:ascii="宋体" w:hAnsi="宋体" w:cs="宋体"/>
                <w:color w:val="000000" w:themeColor="text1"/>
                <w:kern w:val="0"/>
                <w:sz w:val="24"/>
                <w:lang w:eastAsia="zh-Hans"/>
                <w14:textFill>
                  <w14:solidFill>
                    <w14:schemeClr w14:val="tx1"/>
                  </w14:solidFill>
                </w14:textFill>
              </w:rPr>
              <w:t>对接及会议平板</w:t>
            </w:r>
            <w:r>
              <w:rPr>
                <w:rFonts w:hint="eastAsia" w:ascii="宋体" w:hAnsi="宋体" w:cs="宋体"/>
                <w:color w:val="000000" w:themeColor="text1"/>
                <w:kern w:val="0"/>
                <w:sz w:val="24"/>
                <w14:textFill>
                  <w14:solidFill>
                    <w14:schemeClr w14:val="tx1"/>
                  </w14:solidFill>
                </w14:textFill>
              </w:rPr>
              <w:t>Pad</w:t>
            </w:r>
            <w:r>
              <w:rPr>
                <w:rFonts w:hint="eastAsia" w:ascii="宋体" w:hAnsi="宋体" w:cs="宋体"/>
                <w:color w:val="000000" w:themeColor="text1"/>
                <w:kern w:val="0"/>
                <w:sz w:val="24"/>
                <w:lang w:eastAsia="zh-Hans"/>
                <w14:textFill>
                  <w14:solidFill>
                    <w14:schemeClr w14:val="tx1"/>
                  </w14:solidFill>
                </w14:textFill>
              </w:rPr>
              <w:t>硬件设备对接方案</w:t>
            </w:r>
            <w:r>
              <w:rPr>
                <w:rFonts w:hint="eastAsia" w:ascii="宋体" w:hAnsi="宋体" w:cs="宋体"/>
                <w:color w:val="000000" w:themeColor="text1"/>
                <w:kern w:val="0"/>
                <w:sz w:val="24"/>
                <w14:textFill>
                  <w14:solidFill>
                    <w14:schemeClr w14:val="tx1"/>
                  </w14:solidFill>
                </w14:textFill>
              </w:rPr>
              <w:t>，为确保项目满足服务及工期要求，投标人需提供无缝</w:t>
            </w:r>
            <w:r>
              <w:rPr>
                <w:rFonts w:hint="eastAsia" w:ascii="宋体" w:hAnsi="宋体" w:cs="宋体"/>
                <w:color w:val="000000" w:themeColor="text1"/>
                <w:kern w:val="0"/>
                <w:sz w:val="24"/>
                <w:lang w:eastAsia="zh-Hans"/>
                <w14:textFill>
                  <w14:solidFill>
                    <w14:schemeClr w14:val="tx1"/>
                  </w14:solidFill>
                </w14:textFill>
              </w:rPr>
              <w:t>对接</w:t>
            </w:r>
            <w:r>
              <w:rPr>
                <w:rFonts w:hint="eastAsia" w:ascii="宋体" w:hAnsi="宋体" w:cs="宋体"/>
                <w:color w:val="000000" w:themeColor="text1"/>
                <w:kern w:val="0"/>
                <w:sz w:val="24"/>
                <w14:textFill>
                  <w14:solidFill>
                    <w14:schemeClr w14:val="tx1"/>
                  </w14:solidFill>
                </w14:textFill>
              </w:rPr>
              <w:t>方案，根据方案的完整性、针对性进行打分。（得分：5、4、3、2、1、0）</w:t>
            </w:r>
          </w:p>
        </w:tc>
        <w:tc>
          <w:tcPr>
            <w:tcW w:w="800" w:type="dxa"/>
            <w:shd w:val="clear" w:color="auto" w:fill="auto"/>
            <w:vAlign w:val="center"/>
          </w:tcPr>
          <w:p w14:paraId="6365E9B3">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5</w:t>
            </w:r>
          </w:p>
        </w:tc>
        <w:tc>
          <w:tcPr>
            <w:tcW w:w="961" w:type="dxa"/>
            <w:shd w:val="clear" w:color="auto" w:fill="auto"/>
            <w:vAlign w:val="center"/>
          </w:tcPr>
          <w:p w14:paraId="57C373E2">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主观分</w:t>
            </w:r>
          </w:p>
        </w:tc>
        <w:tc>
          <w:tcPr>
            <w:tcW w:w="1216" w:type="dxa"/>
            <w:shd w:val="clear" w:color="auto" w:fill="auto"/>
          </w:tcPr>
          <w:p w14:paraId="0041889C">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r>
      <w:tr w14:paraId="72867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29" w:type="dxa"/>
            <w:vMerge w:val="restart"/>
            <w:shd w:val="clear" w:color="auto" w:fill="auto"/>
            <w:vAlign w:val="center"/>
          </w:tcPr>
          <w:p w14:paraId="604380FE">
            <w:pPr>
              <w:widowControl/>
              <w:spacing w:line="360" w:lineRule="auto"/>
              <w:jc w:val="center"/>
              <w:rPr>
                <w:rFonts w:hint="eastAsia" w:ascii="宋体" w:hAnsi="宋体" w:cs="宋体"/>
                <w:color w:val="000000" w:themeColor="text1"/>
                <w:kern w:val="0"/>
                <w:sz w:val="24"/>
                <w14:textFill>
                  <w14:solidFill>
                    <w14:schemeClr w14:val="tx1"/>
                  </w14:solidFill>
                </w14:textFill>
              </w:rPr>
            </w:pPr>
            <w:bookmarkStart w:id="429" w:name="_Hlk93871643"/>
            <w:r>
              <w:rPr>
                <w:rFonts w:hint="eastAsia" w:ascii="宋体" w:hAnsi="宋体" w:cs="宋体"/>
                <w:color w:val="000000" w:themeColor="text1"/>
                <w:kern w:val="0"/>
                <w:sz w:val="24"/>
                <w14:textFill>
                  <w14:solidFill>
                    <w14:schemeClr w14:val="tx1"/>
                  </w14:solidFill>
                </w14:textFill>
              </w:rPr>
              <w:t>5、售后服务方案</w:t>
            </w:r>
            <w:bookmarkEnd w:id="429"/>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分）</w:t>
            </w:r>
          </w:p>
        </w:tc>
        <w:tc>
          <w:tcPr>
            <w:tcW w:w="4990" w:type="dxa"/>
            <w:shd w:val="clear" w:color="auto" w:fill="auto"/>
            <w:vAlign w:val="center"/>
          </w:tcPr>
          <w:p w14:paraId="18B876DA">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对采购人提出的服务要求应在30分钟内予以响应，在1小时内到达采购人指定地点，需提供书面承诺函，满足要求得2分，不满足要求不得分，需提供书面承诺函。</w:t>
            </w:r>
          </w:p>
        </w:tc>
        <w:tc>
          <w:tcPr>
            <w:tcW w:w="800" w:type="dxa"/>
            <w:shd w:val="clear" w:color="auto" w:fill="auto"/>
            <w:vAlign w:val="center"/>
          </w:tcPr>
          <w:p w14:paraId="77B45638">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w:t>
            </w:r>
          </w:p>
        </w:tc>
        <w:tc>
          <w:tcPr>
            <w:tcW w:w="961" w:type="dxa"/>
            <w:shd w:val="clear" w:color="auto" w:fill="auto"/>
            <w:vAlign w:val="center"/>
          </w:tcPr>
          <w:p w14:paraId="5C5C980E">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客观分</w:t>
            </w:r>
          </w:p>
        </w:tc>
        <w:tc>
          <w:tcPr>
            <w:tcW w:w="1216" w:type="dxa"/>
            <w:shd w:val="clear" w:color="auto" w:fill="auto"/>
          </w:tcPr>
          <w:p w14:paraId="674238B6">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r>
      <w:tr w14:paraId="2301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1129" w:type="dxa"/>
            <w:vMerge w:val="continue"/>
            <w:shd w:val="clear" w:color="auto" w:fill="auto"/>
            <w:vAlign w:val="center"/>
          </w:tcPr>
          <w:p w14:paraId="2CE855D7">
            <w:pPr>
              <w:widowControl/>
              <w:spacing w:line="360" w:lineRule="auto"/>
              <w:jc w:val="left"/>
              <w:rPr>
                <w:rFonts w:hint="eastAsia" w:ascii="宋体" w:hAnsi="宋体" w:cs="宋体"/>
                <w:color w:val="000000" w:themeColor="text1"/>
                <w:kern w:val="0"/>
                <w:sz w:val="24"/>
                <w14:textFill>
                  <w14:solidFill>
                    <w14:schemeClr w14:val="tx1"/>
                  </w14:solidFill>
                </w14:textFill>
              </w:rPr>
            </w:pPr>
          </w:p>
        </w:tc>
        <w:tc>
          <w:tcPr>
            <w:tcW w:w="4990" w:type="dxa"/>
            <w:shd w:val="clear" w:color="auto" w:fill="auto"/>
            <w:vAlign w:val="center"/>
          </w:tcPr>
          <w:p w14:paraId="6831DF9C">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投标人售后服务组织方案包括但不限于</w:t>
            </w:r>
            <w:r>
              <w:rPr>
                <w:rFonts w:hint="eastAsia" w:ascii="宋体" w:hAnsi="宋体" w:cs="宋体"/>
                <w:color w:val="000000" w:themeColor="text1"/>
                <w:sz w:val="24"/>
                <w14:textFill>
                  <w14:solidFill>
                    <w14:schemeClr w14:val="tx1"/>
                  </w14:solidFill>
                </w14:textFill>
              </w:rPr>
              <w:t>售后服务流程及规章制度、应急预案等内容，</w:t>
            </w:r>
            <w:r>
              <w:rPr>
                <w:rFonts w:hint="eastAsia" w:ascii="宋体" w:hAnsi="宋体" w:cs="宋体"/>
                <w:color w:val="000000" w:themeColor="text1"/>
                <w:kern w:val="0"/>
                <w:sz w:val="24"/>
                <w14:textFill>
                  <w14:solidFill>
                    <w14:schemeClr w14:val="tx1"/>
                  </w14:solidFill>
                </w14:textFill>
              </w:rPr>
              <w:t>内容完整、措施有效、符合采购人实际（得分：2、1、0）</w:t>
            </w:r>
          </w:p>
        </w:tc>
        <w:tc>
          <w:tcPr>
            <w:tcW w:w="800" w:type="dxa"/>
            <w:shd w:val="clear" w:color="auto" w:fill="auto"/>
            <w:vAlign w:val="center"/>
          </w:tcPr>
          <w:p w14:paraId="5C5C60F3">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w:t>
            </w:r>
          </w:p>
        </w:tc>
        <w:tc>
          <w:tcPr>
            <w:tcW w:w="961" w:type="dxa"/>
            <w:shd w:val="clear" w:color="auto" w:fill="auto"/>
            <w:vAlign w:val="center"/>
          </w:tcPr>
          <w:p w14:paraId="5F003F17">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主观分</w:t>
            </w:r>
          </w:p>
        </w:tc>
        <w:tc>
          <w:tcPr>
            <w:tcW w:w="1216" w:type="dxa"/>
            <w:shd w:val="clear" w:color="auto" w:fill="auto"/>
          </w:tcPr>
          <w:p w14:paraId="27813604">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r>
      <w:tr w14:paraId="6C1B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129" w:type="dxa"/>
            <w:vMerge w:val="restart"/>
            <w:shd w:val="clear" w:color="auto" w:fill="auto"/>
            <w:vAlign w:val="center"/>
          </w:tcPr>
          <w:p w14:paraId="1D70292F">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6、项目组人员情况（</w:t>
            </w:r>
            <w:r>
              <w:rPr>
                <w:rFonts w:ascii="宋体" w:hAnsi="宋体" w:cs="宋体"/>
                <w:color w:val="000000" w:themeColor="text1"/>
                <w:kern w:val="0"/>
                <w:sz w:val="24"/>
                <w14:textFill>
                  <w14:solidFill>
                    <w14:schemeClr w14:val="tx1"/>
                  </w14:solidFill>
                </w14:textFill>
              </w:rPr>
              <w:t>20</w:t>
            </w:r>
            <w:r>
              <w:rPr>
                <w:rFonts w:hint="eastAsia" w:ascii="宋体" w:hAnsi="宋体" w:cs="宋体"/>
                <w:color w:val="000000" w:themeColor="text1"/>
                <w:kern w:val="0"/>
                <w:sz w:val="24"/>
                <w14:textFill>
                  <w14:solidFill>
                    <w14:schemeClr w14:val="tx1"/>
                  </w14:solidFill>
                </w14:textFill>
              </w:rPr>
              <w:t>分）</w:t>
            </w:r>
          </w:p>
        </w:tc>
        <w:tc>
          <w:tcPr>
            <w:tcW w:w="4990" w:type="dxa"/>
            <w:shd w:val="clear" w:color="auto" w:fill="auto"/>
            <w:vAlign w:val="center"/>
          </w:tcPr>
          <w:p w14:paraId="72E8BA07">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项目实施团队人员满足以下要求：</w:t>
            </w:r>
          </w:p>
          <w:p w14:paraId="65358318">
            <w:pPr>
              <w:widowControl/>
              <w:adjustRightInd/>
              <w:spacing w:line="360" w:lineRule="auto"/>
              <w:rPr>
                <w:rFonts w:hint="eastAsia" w:ascii="宋体" w:hAnsi="宋体" w:cs="宋体"/>
                <w:color w:val="000000" w:themeColor="text1"/>
                <w:kern w:val="0"/>
                <w:sz w:val="24"/>
                <w14:textFill>
                  <w14:solidFill>
                    <w14:schemeClr w14:val="tx1"/>
                  </w14:solidFill>
                </w14:textFill>
              </w:rPr>
            </w:pPr>
            <w:bookmarkStart w:id="430" w:name="_Hlk93871226"/>
            <w:r>
              <w:rPr>
                <w:rFonts w:hint="eastAsia" w:ascii="宋体" w:hAnsi="宋体" w:cs="宋体"/>
                <w:color w:val="000000" w:themeColor="text1"/>
                <w:kern w:val="0"/>
                <w:sz w:val="24"/>
                <w14:textFill>
                  <w14:solidFill>
                    <w14:schemeClr w14:val="tx1"/>
                  </w14:solidFill>
                </w14:textFill>
              </w:rPr>
              <w:t>项目团队人员不少于</w:t>
            </w:r>
            <w:r>
              <w:rPr>
                <w:rFonts w:ascii="宋体" w:hAnsi="宋体" w:cs="宋体"/>
                <w:color w:val="000000" w:themeColor="text1"/>
                <w:kern w:val="0"/>
                <w:sz w:val="24"/>
                <w14:textFill>
                  <w14:solidFill>
                    <w14:schemeClr w14:val="tx1"/>
                  </w14:solidFill>
                </w14:textFill>
              </w:rPr>
              <w:t>10人，团队成员</w:t>
            </w:r>
            <w:r>
              <w:rPr>
                <w:rFonts w:hint="eastAsia" w:ascii="宋体" w:hAnsi="宋体" w:cs="宋体"/>
                <w:color w:val="000000" w:themeColor="text1"/>
                <w:kern w:val="0"/>
                <w:sz w:val="24"/>
                <w14:textFill>
                  <w14:solidFill>
                    <w14:schemeClr w14:val="tx1"/>
                  </w14:solidFill>
                </w14:textFill>
              </w:rPr>
              <w:t>中</w:t>
            </w:r>
            <w:r>
              <w:rPr>
                <w:rFonts w:ascii="宋体" w:hAnsi="宋体" w:cs="宋体"/>
                <w:color w:val="000000" w:themeColor="text1"/>
                <w:kern w:val="0"/>
                <w:sz w:val="24"/>
                <w14:textFill>
                  <w14:solidFill>
                    <w14:schemeClr w14:val="tx1"/>
                  </w14:solidFill>
                </w14:textFill>
              </w:rPr>
              <w:t>高级工程师</w:t>
            </w:r>
            <w:r>
              <w:rPr>
                <w:rFonts w:hint="eastAsia" w:ascii="宋体" w:hAnsi="宋体" w:cs="宋体"/>
                <w:color w:val="000000" w:themeColor="text1"/>
                <w:kern w:val="0"/>
                <w:sz w:val="24"/>
                <w14:textFill>
                  <w14:solidFill>
                    <w14:schemeClr w14:val="tx1"/>
                  </w14:solidFill>
                </w14:textFill>
              </w:rPr>
              <w:t>不少于3人，</w:t>
            </w:r>
            <w:r>
              <w:rPr>
                <w:rFonts w:ascii="宋体" w:hAnsi="宋体" w:cs="宋体"/>
                <w:color w:val="000000" w:themeColor="text1"/>
                <w:kern w:val="0"/>
                <w:sz w:val="24"/>
                <w14:textFill>
                  <w14:solidFill>
                    <w14:schemeClr w14:val="tx1"/>
                  </w14:solidFill>
                </w14:textFill>
              </w:rPr>
              <w:t>中级工程师</w:t>
            </w:r>
            <w:r>
              <w:rPr>
                <w:rFonts w:hint="eastAsia" w:ascii="宋体" w:hAnsi="宋体" w:cs="宋体"/>
                <w:color w:val="000000" w:themeColor="text1"/>
                <w:kern w:val="0"/>
                <w:sz w:val="24"/>
                <w14:textFill>
                  <w14:solidFill>
                    <w14:schemeClr w14:val="tx1"/>
                  </w14:solidFill>
                </w14:textFill>
              </w:rPr>
              <w:t>不少于3人，得</w:t>
            </w:r>
            <w:r>
              <w:rPr>
                <w:rFonts w:ascii="宋体" w:hAnsi="宋体" w:cs="宋体"/>
                <w:color w:val="000000" w:themeColor="text1"/>
                <w:kern w:val="0"/>
                <w:sz w:val="24"/>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分，不符合不得分，提供证书扫描件，并提供缴纳最近3个月内任意1个月的社会保险的凭据（社会保险缴纳清单复印件加盖公章，近1个月内新成立的公司提供说明）</w:t>
            </w:r>
            <w:bookmarkEnd w:id="430"/>
            <w:r>
              <w:rPr>
                <w:rFonts w:hint="eastAsia" w:ascii="宋体" w:hAnsi="宋体" w:cs="宋体"/>
                <w:color w:val="000000" w:themeColor="text1"/>
                <w:kern w:val="0"/>
                <w:sz w:val="24"/>
                <w14:textFill>
                  <w14:solidFill>
                    <w14:schemeClr w14:val="tx1"/>
                  </w14:solidFill>
                </w14:textFill>
              </w:rPr>
              <w:t>。</w:t>
            </w:r>
          </w:p>
        </w:tc>
        <w:tc>
          <w:tcPr>
            <w:tcW w:w="800" w:type="dxa"/>
            <w:shd w:val="clear" w:color="auto" w:fill="auto"/>
            <w:vAlign w:val="center"/>
          </w:tcPr>
          <w:p w14:paraId="50F326EE">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5</w:t>
            </w:r>
          </w:p>
        </w:tc>
        <w:tc>
          <w:tcPr>
            <w:tcW w:w="961" w:type="dxa"/>
            <w:shd w:val="clear" w:color="auto" w:fill="auto"/>
            <w:vAlign w:val="center"/>
          </w:tcPr>
          <w:p w14:paraId="1B2951EE">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客观分</w:t>
            </w:r>
          </w:p>
        </w:tc>
        <w:tc>
          <w:tcPr>
            <w:tcW w:w="1216" w:type="dxa"/>
            <w:shd w:val="clear" w:color="auto" w:fill="auto"/>
          </w:tcPr>
          <w:p w14:paraId="1B38C64B">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r>
      <w:tr w14:paraId="399D8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129" w:type="dxa"/>
            <w:vMerge w:val="continue"/>
            <w:shd w:val="clear" w:color="auto" w:fill="auto"/>
            <w:vAlign w:val="center"/>
          </w:tcPr>
          <w:p w14:paraId="07416E18">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c>
          <w:tcPr>
            <w:tcW w:w="4990" w:type="dxa"/>
            <w:shd w:val="clear" w:color="auto" w:fill="auto"/>
            <w:vAlign w:val="center"/>
          </w:tcPr>
          <w:p w14:paraId="742945CA">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拟担任项目负责人同时具备信息安全保障人员认证证书、高级信息系统项目管理师及高级工程师(信息技术专业)职称。(符合得</w:t>
            </w:r>
            <w:r>
              <w:rPr>
                <w:rFonts w:ascii="宋体" w:hAnsi="宋体" w:cs="宋体"/>
                <w:color w:val="000000" w:themeColor="text1"/>
                <w:kern w:val="0"/>
                <w:sz w:val="24"/>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分，不符合不得分</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 xml:space="preserve"> 提供证书扫描件，并提供缴纳最近3个月内任意1个月的社会保险的凭据（社会保险缴纳清单复印件加盖公章，近1个月内新成立的公司提供说明）。</w:t>
            </w:r>
          </w:p>
        </w:tc>
        <w:tc>
          <w:tcPr>
            <w:tcW w:w="800" w:type="dxa"/>
            <w:shd w:val="clear" w:color="auto" w:fill="auto"/>
            <w:vAlign w:val="center"/>
          </w:tcPr>
          <w:p w14:paraId="6E6743A0">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4</w:t>
            </w:r>
          </w:p>
        </w:tc>
        <w:tc>
          <w:tcPr>
            <w:tcW w:w="961" w:type="dxa"/>
            <w:shd w:val="clear" w:color="auto" w:fill="auto"/>
            <w:vAlign w:val="center"/>
          </w:tcPr>
          <w:p w14:paraId="0A9A4B09">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客观分</w:t>
            </w:r>
          </w:p>
        </w:tc>
        <w:tc>
          <w:tcPr>
            <w:tcW w:w="1216" w:type="dxa"/>
            <w:shd w:val="clear" w:color="auto" w:fill="auto"/>
          </w:tcPr>
          <w:p w14:paraId="5C3D6020">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r>
      <w:tr w14:paraId="0C7F1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129" w:type="dxa"/>
            <w:vMerge w:val="continue"/>
            <w:shd w:val="clear" w:color="auto" w:fill="auto"/>
            <w:vAlign w:val="center"/>
          </w:tcPr>
          <w:p w14:paraId="6C328B19">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c>
          <w:tcPr>
            <w:tcW w:w="4990" w:type="dxa"/>
            <w:shd w:val="clear" w:color="auto" w:fill="auto"/>
            <w:vAlign w:val="center"/>
          </w:tcPr>
          <w:p w14:paraId="6A0F257B">
            <w:pPr>
              <w:widowControl/>
              <w:spacing w:line="360" w:lineRule="auto"/>
              <w:rPr>
                <w:rFonts w:hint="eastAsia" w:ascii="宋体" w:hAnsi="宋体" w:cs="宋体"/>
                <w:color w:val="000000" w:themeColor="text1"/>
                <w:kern w:val="0"/>
                <w:sz w:val="24"/>
                <w:lang w:eastAsia="zh-Hans"/>
                <w14:textFill>
                  <w14:solidFill>
                    <w14:schemeClr w14:val="tx1"/>
                  </w14:solidFill>
                </w14:textFill>
              </w:rPr>
            </w:pPr>
            <w:r>
              <w:rPr>
                <w:rFonts w:hint="eastAsia" w:ascii="宋体" w:hAnsi="宋体" w:cs="宋体"/>
                <w:color w:val="000000" w:themeColor="text1"/>
                <w:kern w:val="0"/>
                <w:sz w:val="24"/>
                <w:lang w:eastAsia="zh-Hans"/>
                <w14:textFill>
                  <w14:solidFill>
                    <w14:schemeClr w14:val="tx1"/>
                  </w14:solidFill>
                </w14:textFill>
              </w:rPr>
              <w:t>拟担任项目安全负责人同时具有高级信息系统项目管理师认证证书、信息安全保障人员认证证书及中级工程师（终端与业务专业）职称</w:t>
            </w:r>
            <w:r>
              <w:rPr>
                <w:rFonts w:ascii="宋体" w:hAnsi="宋体" w:cs="宋体"/>
                <w:color w:val="000000" w:themeColor="text1"/>
                <w:kern w:val="0"/>
                <w:sz w:val="24"/>
                <w:lang w:eastAsia="zh-Hans"/>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(符合得</w:t>
            </w:r>
            <w:r>
              <w:rPr>
                <w:rFonts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分，不符合不得分</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 xml:space="preserve"> 提供证书扫描件，并提供缴纳最近3个月内任意1个月的社会保险的凭据（社会保险缴纳清单复印件加盖公章，近1个月内新成立的公司提供说明）；</w:t>
            </w:r>
          </w:p>
        </w:tc>
        <w:tc>
          <w:tcPr>
            <w:tcW w:w="800" w:type="dxa"/>
            <w:shd w:val="clear" w:color="auto" w:fill="auto"/>
            <w:vAlign w:val="center"/>
          </w:tcPr>
          <w:p w14:paraId="621DD2FF">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961" w:type="dxa"/>
            <w:shd w:val="clear" w:color="auto" w:fill="auto"/>
            <w:vAlign w:val="center"/>
          </w:tcPr>
          <w:p w14:paraId="2D346F62">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客观分</w:t>
            </w:r>
          </w:p>
        </w:tc>
        <w:tc>
          <w:tcPr>
            <w:tcW w:w="1216" w:type="dxa"/>
            <w:shd w:val="clear" w:color="auto" w:fill="auto"/>
          </w:tcPr>
          <w:p w14:paraId="4FA1C7E9">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r>
      <w:tr w14:paraId="380C5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129" w:type="dxa"/>
            <w:vMerge w:val="continue"/>
            <w:shd w:val="clear" w:color="auto" w:fill="auto"/>
            <w:vAlign w:val="center"/>
          </w:tcPr>
          <w:p w14:paraId="019BB88F">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c>
          <w:tcPr>
            <w:tcW w:w="4990" w:type="dxa"/>
            <w:shd w:val="clear" w:color="auto" w:fill="auto"/>
            <w:vAlign w:val="center"/>
          </w:tcPr>
          <w:p w14:paraId="4E03FA40">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Hans"/>
                <w14:textFill>
                  <w14:solidFill>
                    <w14:schemeClr w14:val="tx1"/>
                  </w14:solidFill>
                </w14:textFill>
              </w:rPr>
              <w:t>拟担任</w:t>
            </w:r>
            <w:r>
              <w:rPr>
                <w:rFonts w:hint="eastAsia" w:ascii="宋体" w:hAnsi="宋体" w:cs="宋体"/>
                <w:color w:val="000000" w:themeColor="text1"/>
                <w:kern w:val="0"/>
                <w:sz w:val="24"/>
                <w14:textFill>
                  <w14:solidFill>
                    <w14:schemeClr w14:val="tx1"/>
                  </w14:solidFill>
                </w14:textFill>
              </w:rPr>
              <w:t>项目技术负责人同时具备注册信息安全专业人员认证证书、高级信息系统项目管理师认证证书(符合得</w:t>
            </w:r>
            <w:r>
              <w:rPr>
                <w:rFonts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分，不符合不得分</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 xml:space="preserve"> 提供证书扫描件，并提供缴纳最近3个月内任意1个月的社会保险的凭据（社会保险缴纳清单复印件加盖公章，近1个月内新成立的公司提供说明）；</w:t>
            </w:r>
          </w:p>
        </w:tc>
        <w:tc>
          <w:tcPr>
            <w:tcW w:w="800" w:type="dxa"/>
            <w:shd w:val="clear" w:color="auto" w:fill="auto"/>
            <w:vAlign w:val="center"/>
          </w:tcPr>
          <w:p w14:paraId="09A43ADA">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961" w:type="dxa"/>
            <w:shd w:val="clear" w:color="auto" w:fill="auto"/>
            <w:vAlign w:val="center"/>
          </w:tcPr>
          <w:p w14:paraId="7C7274B7">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客观分</w:t>
            </w:r>
          </w:p>
        </w:tc>
        <w:tc>
          <w:tcPr>
            <w:tcW w:w="1216" w:type="dxa"/>
            <w:shd w:val="clear" w:color="auto" w:fill="auto"/>
          </w:tcPr>
          <w:p w14:paraId="4DF4812C">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r>
      <w:tr w14:paraId="64793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129" w:type="dxa"/>
            <w:vMerge w:val="continue"/>
            <w:shd w:val="clear" w:color="auto" w:fill="auto"/>
            <w:vAlign w:val="center"/>
          </w:tcPr>
          <w:p w14:paraId="4C4CB9E9">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c>
          <w:tcPr>
            <w:tcW w:w="4990" w:type="dxa"/>
            <w:shd w:val="clear" w:color="auto" w:fill="auto"/>
            <w:vAlign w:val="center"/>
          </w:tcPr>
          <w:p w14:paraId="3684ED0C">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人代会期间提供5人及以上驻点服务，得</w:t>
            </w:r>
            <w:r>
              <w:rPr>
                <w:rFonts w:ascii="宋体" w:hAnsi="宋体" w:cs="宋体"/>
                <w:color w:val="000000" w:themeColor="text1"/>
                <w:kern w:val="0"/>
                <w:sz w:val="24"/>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分，不符合不得分。</w:t>
            </w:r>
          </w:p>
        </w:tc>
        <w:tc>
          <w:tcPr>
            <w:tcW w:w="800" w:type="dxa"/>
            <w:shd w:val="clear" w:color="auto" w:fill="auto"/>
            <w:vAlign w:val="center"/>
          </w:tcPr>
          <w:p w14:paraId="2486B130">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5</w:t>
            </w:r>
          </w:p>
        </w:tc>
        <w:tc>
          <w:tcPr>
            <w:tcW w:w="961" w:type="dxa"/>
            <w:shd w:val="clear" w:color="auto" w:fill="auto"/>
            <w:vAlign w:val="center"/>
          </w:tcPr>
          <w:p w14:paraId="5E485162">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客观分</w:t>
            </w:r>
          </w:p>
        </w:tc>
        <w:tc>
          <w:tcPr>
            <w:tcW w:w="1216" w:type="dxa"/>
            <w:shd w:val="clear" w:color="auto" w:fill="auto"/>
          </w:tcPr>
          <w:p w14:paraId="1766F95E">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r>
      <w:tr w14:paraId="4C529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129" w:type="dxa"/>
            <w:shd w:val="clear" w:color="auto" w:fill="auto"/>
            <w:vAlign w:val="center"/>
          </w:tcPr>
          <w:p w14:paraId="19A69A56">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7、培训方案（</w:t>
            </w:r>
            <w:r>
              <w:rPr>
                <w:rFonts w:ascii="宋体" w:hAnsi="宋体" w:cs="宋体"/>
                <w:color w:val="000000" w:themeColor="text1"/>
                <w:kern w:val="0"/>
                <w:sz w:val="24"/>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分）</w:t>
            </w:r>
          </w:p>
        </w:tc>
        <w:tc>
          <w:tcPr>
            <w:tcW w:w="4990" w:type="dxa"/>
            <w:shd w:val="clear" w:color="auto" w:fill="auto"/>
            <w:vAlign w:val="center"/>
          </w:tcPr>
          <w:p w14:paraId="277B8BB8">
            <w:pPr>
              <w:pStyle w:val="4"/>
              <w:snapToGrid w:val="0"/>
              <w:ind w:left="0" w:leftChars="0" w:firstLine="0" w:firstLineChars="0"/>
              <w:rPr>
                <w:rFonts w:hint="eastAsia" w:cs="宋体"/>
                <w:color w:val="000000" w:themeColor="text1"/>
                <w14:textFill>
                  <w14:solidFill>
                    <w14:schemeClr w14:val="tx1"/>
                  </w14:solidFill>
                </w14:textFill>
              </w:rPr>
            </w:pPr>
            <w:r>
              <w:rPr>
                <w:rFonts w:hint="eastAsia" w:cs="宋体"/>
                <w:b w:val="0"/>
                <w:bCs w:val="0"/>
                <w:color w:val="000000" w:themeColor="text1"/>
                <w:kern w:val="0"/>
                <w14:textFill>
                  <w14:solidFill>
                    <w14:schemeClr w14:val="tx1"/>
                  </w14:solidFill>
                </w14:textFill>
              </w:rPr>
              <w:t>投标人提出培训方案，包括但不限于培训师资安排、培训计划、培训质量保障等，提供具体方案，根据方案内容的完整性、措施有效性进行打分。（得分：4、3、2、1、0）</w:t>
            </w:r>
          </w:p>
        </w:tc>
        <w:tc>
          <w:tcPr>
            <w:tcW w:w="800" w:type="dxa"/>
            <w:shd w:val="clear" w:color="auto" w:fill="auto"/>
            <w:vAlign w:val="center"/>
          </w:tcPr>
          <w:p w14:paraId="49ABC758">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4</w:t>
            </w:r>
          </w:p>
        </w:tc>
        <w:tc>
          <w:tcPr>
            <w:tcW w:w="961" w:type="dxa"/>
            <w:shd w:val="clear" w:color="auto" w:fill="auto"/>
            <w:vAlign w:val="center"/>
          </w:tcPr>
          <w:p w14:paraId="5E0B48F8">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主观分</w:t>
            </w:r>
          </w:p>
        </w:tc>
        <w:tc>
          <w:tcPr>
            <w:tcW w:w="1216" w:type="dxa"/>
            <w:shd w:val="clear" w:color="auto" w:fill="auto"/>
          </w:tcPr>
          <w:p w14:paraId="71FB2F4D">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r>
      <w:tr w14:paraId="6EC1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129" w:type="dxa"/>
            <w:shd w:val="clear" w:color="auto" w:fill="auto"/>
            <w:vAlign w:val="center"/>
          </w:tcPr>
          <w:p w14:paraId="182B1BAF">
            <w:pPr>
              <w:widowControl/>
              <w:spacing w:line="360" w:lineRule="auto"/>
              <w:jc w:val="center"/>
              <w:rPr>
                <w:rFonts w:hint="eastAsia" w:ascii="宋体" w:hAnsi="宋体" w:cs="宋体"/>
                <w:color w:val="000000" w:themeColor="text1"/>
                <w:kern w:val="0"/>
                <w:sz w:val="24"/>
                <w14:textFill>
                  <w14:solidFill>
                    <w14:schemeClr w14:val="tx1"/>
                  </w14:solidFill>
                </w14:textFill>
              </w:rPr>
            </w:pPr>
            <w:bookmarkStart w:id="431" w:name="_Hlk93871662"/>
            <w:r>
              <w:rPr>
                <w:rFonts w:hint="eastAsia" w:ascii="宋体" w:hAnsi="宋体" w:cs="宋体"/>
                <w:color w:val="000000" w:themeColor="text1"/>
                <w:kern w:val="0"/>
                <w:sz w:val="24"/>
                <w14:textFill>
                  <w14:solidFill>
                    <w14:schemeClr w14:val="tx1"/>
                  </w14:solidFill>
                </w14:textFill>
              </w:rPr>
              <w:t>8、质量保证措施和服务周期情况</w:t>
            </w:r>
            <w:bookmarkEnd w:id="431"/>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分）</w:t>
            </w:r>
          </w:p>
        </w:tc>
        <w:tc>
          <w:tcPr>
            <w:tcW w:w="4990" w:type="dxa"/>
            <w:shd w:val="clear" w:color="auto" w:fill="auto"/>
            <w:vAlign w:val="center"/>
          </w:tcPr>
          <w:p w14:paraId="48D1C843">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投标人提供的方案，包括但不限于服务质量目标、质量保证措施、服务周期保证措施等，提供具体方案，方案内容完整、措施有效、符合采购人实际。（得分：5、4、3、2、1、0）</w:t>
            </w:r>
          </w:p>
        </w:tc>
        <w:tc>
          <w:tcPr>
            <w:tcW w:w="800" w:type="dxa"/>
            <w:shd w:val="clear" w:color="auto" w:fill="auto"/>
            <w:vAlign w:val="center"/>
          </w:tcPr>
          <w:p w14:paraId="32FC9B51">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5</w:t>
            </w:r>
          </w:p>
        </w:tc>
        <w:tc>
          <w:tcPr>
            <w:tcW w:w="961" w:type="dxa"/>
            <w:shd w:val="clear" w:color="auto" w:fill="auto"/>
            <w:vAlign w:val="center"/>
          </w:tcPr>
          <w:p w14:paraId="1FDF3843">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主观分</w:t>
            </w:r>
          </w:p>
        </w:tc>
        <w:tc>
          <w:tcPr>
            <w:tcW w:w="1216" w:type="dxa"/>
            <w:shd w:val="clear" w:color="auto" w:fill="auto"/>
          </w:tcPr>
          <w:p w14:paraId="517E20E7">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r>
      <w:tr w14:paraId="41C9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1129" w:type="dxa"/>
            <w:vMerge w:val="restart"/>
            <w:shd w:val="clear" w:color="auto" w:fill="auto"/>
            <w:vAlign w:val="center"/>
          </w:tcPr>
          <w:p w14:paraId="049332CB">
            <w:pPr>
              <w:widowControl/>
              <w:spacing w:line="360" w:lineRule="auto"/>
              <w:jc w:val="center"/>
              <w:rPr>
                <w:rFonts w:hint="eastAsia" w:ascii="宋体" w:hAnsi="宋体" w:cs="宋体"/>
                <w:color w:val="000000" w:themeColor="text1"/>
                <w:kern w:val="0"/>
                <w:sz w:val="24"/>
                <w14:textFill>
                  <w14:solidFill>
                    <w14:schemeClr w14:val="tx1"/>
                  </w14:solidFill>
                </w14:textFill>
              </w:rPr>
            </w:pPr>
            <w:bookmarkStart w:id="432" w:name="_Hlk93871713"/>
            <w:r>
              <w:rPr>
                <w:rFonts w:hint="eastAsia" w:ascii="宋体" w:hAnsi="宋体" w:cs="宋体"/>
                <w:color w:val="000000" w:themeColor="text1"/>
                <w:kern w:val="0"/>
                <w:sz w:val="24"/>
                <w14:textFill>
                  <w14:solidFill>
                    <w14:schemeClr w14:val="tx1"/>
                  </w14:solidFill>
                </w14:textFill>
              </w:rPr>
              <w:t>9、企业资质认证</w:t>
            </w:r>
            <w:bookmarkEnd w:id="432"/>
            <w:r>
              <w:rPr>
                <w:rFonts w:hint="eastAsia" w:ascii="宋体" w:hAnsi="宋体" w:cs="宋体"/>
                <w:color w:val="000000" w:themeColor="text1"/>
                <w:kern w:val="0"/>
                <w:sz w:val="24"/>
                <w14:textFill>
                  <w14:solidFill>
                    <w14:schemeClr w14:val="tx1"/>
                  </w14:solidFill>
                </w14:textFill>
              </w:rPr>
              <w:t>及业绩证明</w:t>
            </w:r>
          </w:p>
          <w:p w14:paraId="1E104EC5">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分）</w:t>
            </w:r>
          </w:p>
        </w:tc>
        <w:tc>
          <w:tcPr>
            <w:tcW w:w="4990" w:type="dxa"/>
            <w:shd w:val="clear" w:color="auto" w:fill="auto"/>
            <w:vAlign w:val="center"/>
          </w:tcPr>
          <w:p w14:paraId="72AA97CE">
            <w:pPr>
              <w:widowControl/>
              <w:spacing w:line="360" w:lineRule="auto"/>
              <w:rPr>
                <w:rFonts w:hint="eastAsia"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、服务能力认证：</w:t>
            </w:r>
            <w:bookmarkStart w:id="433" w:name="_Hlk93871732"/>
            <w:r>
              <w:rPr>
                <w:rFonts w:hint="eastAsia" w:ascii="宋体" w:hAnsi="宋体" w:cs="宋体"/>
                <w:color w:val="000000" w:themeColor="text1"/>
                <w:kern w:val="0"/>
                <w:sz w:val="24"/>
                <w14:textFill>
                  <w14:solidFill>
                    <w14:schemeClr w14:val="tx1"/>
                  </w14:solidFill>
                </w14:textFill>
              </w:rPr>
              <w:t>投标人具有ISO 9001质量管理体系认证证书、ISO 20000信息技术服务管理体系认证证书、ISO 27001信息安全管理体系认证证书、ISO 45001职业健康安全管理体系认证证书。</w:t>
            </w:r>
            <w:bookmarkEnd w:id="433"/>
            <w:r>
              <w:rPr>
                <w:rFonts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每具备一个</w:t>
            </w:r>
            <w:r>
              <w:rPr>
                <w:rFonts w:ascii="宋体" w:hAnsi="宋体" w:cs="宋体"/>
                <w:color w:val="000000" w:themeColor="text1"/>
                <w:kern w:val="0"/>
                <w:sz w:val="24"/>
                <w14:textFill>
                  <w14:solidFill>
                    <w14:schemeClr w14:val="tx1"/>
                  </w14:solidFill>
                </w14:textFill>
              </w:rPr>
              <w:t>得</w:t>
            </w:r>
            <w:r>
              <w:rPr>
                <w:rFonts w:hint="eastAsia" w:ascii="宋体" w:hAnsi="宋体" w:cs="宋体"/>
                <w:color w:val="000000" w:themeColor="text1"/>
                <w:kern w:val="0"/>
                <w:sz w:val="24"/>
                <w14:textFill>
                  <w14:solidFill>
                    <w14:schemeClr w14:val="tx1"/>
                  </w14:solidFill>
                </w14:textFill>
              </w:rPr>
              <w:t>0.5</w:t>
            </w:r>
            <w:r>
              <w:rPr>
                <w:rFonts w:ascii="宋体" w:hAnsi="宋体" w:cs="宋体"/>
                <w:color w:val="000000" w:themeColor="text1"/>
                <w:kern w:val="0"/>
                <w:sz w:val="24"/>
                <w14:textFill>
                  <w14:solidFill>
                    <w14:schemeClr w14:val="tx1"/>
                  </w14:solidFill>
                </w14:textFill>
              </w:rPr>
              <w:t>分，不符合不得分，共2分)</w:t>
            </w:r>
          </w:p>
        </w:tc>
        <w:tc>
          <w:tcPr>
            <w:tcW w:w="800" w:type="dxa"/>
            <w:shd w:val="clear" w:color="auto" w:fill="auto"/>
            <w:vAlign w:val="center"/>
          </w:tcPr>
          <w:p w14:paraId="158EBB8A">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w:t>
            </w:r>
          </w:p>
        </w:tc>
        <w:tc>
          <w:tcPr>
            <w:tcW w:w="961" w:type="dxa"/>
            <w:shd w:val="clear" w:color="auto" w:fill="auto"/>
            <w:vAlign w:val="center"/>
          </w:tcPr>
          <w:p w14:paraId="1FBD60CC">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客观分</w:t>
            </w:r>
          </w:p>
        </w:tc>
        <w:tc>
          <w:tcPr>
            <w:tcW w:w="1216" w:type="dxa"/>
            <w:shd w:val="clear" w:color="auto" w:fill="auto"/>
          </w:tcPr>
          <w:p w14:paraId="3F372669">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r>
      <w:tr w14:paraId="18BBF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129" w:type="dxa"/>
            <w:vMerge w:val="continue"/>
            <w:shd w:val="clear" w:color="auto" w:fill="auto"/>
            <w:vAlign w:val="center"/>
          </w:tcPr>
          <w:p w14:paraId="64D15A71">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c>
          <w:tcPr>
            <w:tcW w:w="4990" w:type="dxa"/>
            <w:shd w:val="clear" w:color="auto" w:fill="auto"/>
            <w:vAlign w:val="center"/>
          </w:tcPr>
          <w:p w14:paraId="4E8799C2">
            <w:pPr>
              <w:widowControl/>
              <w:spacing w:line="360" w:lineRule="auto"/>
              <w:rPr>
                <w:rFonts w:hint="eastAsia"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、投标人自20</w:t>
            </w:r>
            <w:r>
              <w:rPr>
                <w:rFonts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2年</w:t>
            </w: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月1日以来（以合同签订时间为准）</w:t>
            </w:r>
            <w:r>
              <w:rPr>
                <w:rFonts w:ascii="宋体" w:hAnsi="宋体" w:cs="宋体"/>
                <w:color w:val="000000" w:themeColor="text1"/>
                <w:kern w:val="0"/>
                <w:sz w:val="24"/>
                <w14:textFill>
                  <w14:solidFill>
                    <w14:schemeClr w14:val="tx1"/>
                  </w14:solidFill>
                </w14:textFill>
              </w:rPr>
              <w:t>具有</w:t>
            </w:r>
            <w:r>
              <w:rPr>
                <w:rFonts w:hint="eastAsia" w:ascii="宋体" w:hAnsi="宋体" w:cs="宋体"/>
                <w:color w:val="000000" w:themeColor="text1"/>
                <w:kern w:val="0"/>
                <w:sz w:val="24"/>
                <w14:textFill>
                  <w14:solidFill>
                    <w14:schemeClr w14:val="tx1"/>
                  </w14:solidFill>
                </w14:textFill>
              </w:rPr>
              <w:t>无纸化办公、电子阅文服务项目</w:t>
            </w:r>
            <w:r>
              <w:rPr>
                <w:rFonts w:ascii="宋体" w:hAnsi="宋体" w:cs="宋体"/>
                <w:color w:val="000000" w:themeColor="text1"/>
                <w:kern w:val="0"/>
                <w:sz w:val="24"/>
                <w14:textFill>
                  <w14:solidFill>
                    <w14:schemeClr w14:val="tx1"/>
                  </w14:solidFill>
                </w14:textFill>
              </w:rPr>
              <w:t>案例</w:t>
            </w: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每符合一个得0.5分，不符合不得分，共1.5分)</w:t>
            </w:r>
            <w:r>
              <w:rPr>
                <w:rFonts w:hint="eastAsia" w:ascii="宋体" w:hAnsi="宋体" w:cs="宋体"/>
                <w:color w:val="000000" w:themeColor="text1"/>
                <w:kern w:val="0"/>
                <w:sz w:val="24"/>
                <w14:textFill>
                  <w14:solidFill>
                    <w14:schemeClr w14:val="tx1"/>
                  </w14:solidFill>
                </w14:textFill>
              </w:rPr>
              <w:t>同一项目不重复计分，提供合同扫描件，否则不得分。</w:t>
            </w:r>
          </w:p>
        </w:tc>
        <w:tc>
          <w:tcPr>
            <w:tcW w:w="800" w:type="dxa"/>
            <w:shd w:val="clear" w:color="auto" w:fill="auto"/>
            <w:vAlign w:val="center"/>
          </w:tcPr>
          <w:p w14:paraId="43229938">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1.5</w:t>
            </w:r>
          </w:p>
        </w:tc>
        <w:tc>
          <w:tcPr>
            <w:tcW w:w="961" w:type="dxa"/>
            <w:shd w:val="clear" w:color="auto" w:fill="auto"/>
            <w:vAlign w:val="center"/>
          </w:tcPr>
          <w:p w14:paraId="215CC8D8">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客观分</w:t>
            </w:r>
          </w:p>
        </w:tc>
        <w:tc>
          <w:tcPr>
            <w:tcW w:w="1216" w:type="dxa"/>
            <w:shd w:val="clear" w:color="auto" w:fill="auto"/>
          </w:tcPr>
          <w:p w14:paraId="7F91D597">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r>
      <w:tr w14:paraId="2F075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129" w:type="dxa"/>
            <w:vMerge w:val="restart"/>
            <w:shd w:val="clear" w:color="auto" w:fill="auto"/>
            <w:vAlign w:val="center"/>
          </w:tcPr>
          <w:p w14:paraId="7E93D79C">
            <w:pPr>
              <w:spacing w:line="360" w:lineRule="auto"/>
              <w:jc w:val="center"/>
              <w:rPr>
                <w:rFonts w:hint="eastAsia" w:ascii="宋体" w:hAnsi="宋体" w:cs="宋体"/>
                <w:color w:val="000000" w:themeColor="text1"/>
                <w:kern w:val="0"/>
                <w:sz w:val="24"/>
                <w14:textFill>
                  <w14:solidFill>
                    <w14:schemeClr w14:val="tx1"/>
                  </w14:solidFill>
                </w14:textFill>
              </w:rPr>
            </w:pPr>
          </w:p>
          <w:p w14:paraId="08C36806">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10、投标演示（</w:t>
            </w:r>
            <w:r>
              <w:rPr>
                <w:rFonts w:ascii="宋体" w:hAnsi="宋体" w:cs="宋体"/>
                <w:color w:val="000000" w:themeColor="text1"/>
                <w:kern w:val="0"/>
                <w:sz w:val="24"/>
                <w14:textFill>
                  <w14:solidFill>
                    <w14:schemeClr w14:val="tx1"/>
                  </w14:solidFill>
                </w14:textFill>
              </w:rPr>
              <w:t>7.5</w:t>
            </w:r>
            <w:r>
              <w:rPr>
                <w:rFonts w:hint="eastAsia" w:ascii="宋体" w:hAnsi="宋体" w:cs="宋体"/>
                <w:color w:val="000000" w:themeColor="text1"/>
                <w:kern w:val="0"/>
                <w:sz w:val="24"/>
                <w14:textFill>
                  <w14:solidFill>
                    <w14:schemeClr w14:val="tx1"/>
                  </w14:solidFill>
                </w14:textFill>
              </w:rPr>
              <w:t>分）</w:t>
            </w:r>
          </w:p>
        </w:tc>
        <w:tc>
          <w:tcPr>
            <w:tcW w:w="7967" w:type="dxa"/>
            <w:gridSpan w:val="4"/>
            <w:shd w:val="clear" w:color="auto" w:fill="auto"/>
          </w:tcPr>
          <w:p w14:paraId="4B7A5478">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提供现场演示，时间不超过</w:t>
            </w:r>
            <w:r>
              <w:rPr>
                <w:rFonts w:ascii="宋体" w:hAnsi="宋体" w:cs="宋体"/>
                <w:color w:val="000000" w:themeColor="text1"/>
                <w:kern w:val="0"/>
                <w:sz w:val="24"/>
                <w14:textFill>
                  <w14:solidFill>
                    <w14:schemeClr w14:val="tx1"/>
                  </w14:solidFill>
                </w14:textFill>
              </w:rPr>
              <w:t>20</w:t>
            </w:r>
            <w:r>
              <w:rPr>
                <w:rFonts w:hint="eastAsia" w:ascii="宋体" w:hAnsi="宋体" w:cs="宋体"/>
                <w:color w:val="000000" w:themeColor="text1"/>
                <w:kern w:val="0"/>
                <w:sz w:val="24"/>
                <w14:textFill>
                  <w14:solidFill>
                    <w14:schemeClr w14:val="tx1"/>
                  </w14:solidFill>
                </w14:textFill>
              </w:rPr>
              <w:t xml:space="preserve">分钟，具体演示功能点如下： </w:t>
            </w:r>
          </w:p>
        </w:tc>
      </w:tr>
      <w:tr w14:paraId="63F7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29" w:type="dxa"/>
            <w:vMerge w:val="continue"/>
            <w:shd w:val="clear" w:color="auto" w:fill="auto"/>
            <w:vAlign w:val="center"/>
          </w:tcPr>
          <w:p w14:paraId="46F37506">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c>
          <w:tcPr>
            <w:tcW w:w="4990" w:type="dxa"/>
            <w:shd w:val="clear" w:color="auto" w:fill="auto"/>
            <w:vAlign w:val="center"/>
          </w:tcPr>
          <w:p w14:paraId="04DD4033">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会议服务演示要点：</w:t>
            </w:r>
          </w:p>
          <w:p w14:paraId="36F48FE9">
            <w:pPr>
              <w:pStyle w:val="258"/>
              <w:numPr>
                <w:ilvl w:val="0"/>
                <w:numId w:val="2"/>
              </w:numPr>
              <w:ind w:left="0" w:firstLine="0" w:firstLineChars="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会议文件：1）能进入十四届人大第一次会议专题页面，用户点击“会议文件”查看“各类报告”“各类文件”“参阅文件”等，点击具体文件调用本地预览组件快速查看文件信息；进入管理后台“会议文件模块”，查看所有会议文件，文件列表中可以对文件信息进行编辑、删除、排序等操作，点击添加文件上传文件。2）在添加文件时，设置文件的可见范围，调用系统选人插件，选择指定的用户范围；在添加文件时，设置文件的显示时间，系统根据设置的时间信息定时分发文件给客户端。</w:t>
            </w:r>
          </w:p>
          <w:p w14:paraId="5F41BE00">
            <w:pPr>
              <w:pStyle w:val="258"/>
              <w:numPr>
                <w:ilvl w:val="255"/>
                <w:numId w:val="0"/>
              </w:numPr>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全部满足得</w:t>
            </w:r>
            <w:r>
              <w:rPr>
                <w:rFonts w:ascii="宋体" w:hAnsi="宋体" w:eastAsia="宋体" w:cs="宋体"/>
                <w:color w:val="000000" w:themeColor="text1"/>
                <w:kern w:val="0"/>
                <w14:textFill>
                  <w14:solidFill>
                    <w14:schemeClr w14:val="tx1"/>
                  </w14:solidFill>
                </w14:textFill>
              </w:rPr>
              <w:t>2</w:t>
            </w:r>
            <w:r>
              <w:rPr>
                <w:rFonts w:hint="eastAsia" w:ascii="宋体" w:hAnsi="宋体" w:eastAsia="宋体" w:cs="宋体"/>
                <w:color w:val="000000" w:themeColor="text1"/>
                <w:kern w:val="0"/>
                <w14:textFill>
                  <w14:solidFill>
                    <w14:schemeClr w14:val="tx1"/>
                  </w14:solidFill>
                </w14:textFill>
              </w:rPr>
              <w:t>分，每偏离一项扣</w:t>
            </w:r>
            <w:r>
              <w:rPr>
                <w:rFonts w:ascii="宋体" w:hAnsi="宋体" w:eastAsia="宋体" w:cs="宋体"/>
                <w:color w:val="000000" w:themeColor="text1"/>
                <w:kern w:val="0"/>
                <w14:textFill>
                  <w14:solidFill>
                    <w14:schemeClr w14:val="tx1"/>
                  </w14:solidFill>
                </w14:textFill>
              </w:rPr>
              <w:t>1</w:t>
            </w:r>
            <w:r>
              <w:rPr>
                <w:rFonts w:hint="eastAsia" w:ascii="宋体" w:hAnsi="宋体" w:eastAsia="宋体" w:cs="宋体"/>
                <w:color w:val="000000" w:themeColor="text1"/>
                <w:kern w:val="0"/>
                <w14:textFill>
                  <w14:solidFill>
                    <w14:schemeClr w14:val="tx1"/>
                  </w14:solidFill>
                </w14:textFill>
              </w:rPr>
              <w:t>分，扣完为止。</w:t>
            </w:r>
          </w:p>
        </w:tc>
        <w:tc>
          <w:tcPr>
            <w:tcW w:w="800" w:type="dxa"/>
            <w:shd w:val="clear" w:color="auto" w:fill="auto"/>
            <w:vAlign w:val="center"/>
          </w:tcPr>
          <w:p w14:paraId="7822F677">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w:t>
            </w:r>
          </w:p>
        </w:tc>
        <w:tc>
          <w:tcPr>
            <w:tcW w:w="961" w:type="dxa"/>
            <w:shd w:val="clear" w:color="auto" w:fill="auto"/>
            <w:vAlign w:val="center"/>
          </w:tcPr>
          <w:p w14:paraId="705625B8">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客观分</w:t>
            </w:r>
          </w:p>
        </w:tc>
        <w:tc>
          <w:tcPr>
            <w:tcW w:w="1216" w:type="dxa"/>
            <w:shd w:val="clear" w:color="auto" w:fill="auto"/>
          </w:tcPr>
          <w:p w14:paraId="33F1F2AA">
            <w:pPr>
              <w:widowControl/>
              <w:spacing w:line="360" w:lineRule="auto"/>
              <w:rPr>
                <w:rFonts w:hint="eastAsia" w:ascii="宋体" w:hAnsi="宋体" w:cs="宋体"/>
                <w:color w:val="000000" w:themeColor="text1"/>
                <w:kern w:val="0"/>
                <w:sz w:val="24"/>
                <w14:textFill>
                  <w14:solidFill>
                    <w14:schemeClr w14:val="tx1"/>
                  </w14:solidFill>
                </w14:textFill>
              </w:rPr>
            </w:pPr>
          </w:p>
        </w:tc>
      </w:tr>
      <w:tr w14:paraId="05792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1129" w:type="dxa"/>
            <w:vMerge w:val="continue"/>
            <w:shd w:val="clear" w:color="auto" w:fill="auto"/>
            <w:vAlign w:val="center"/>
          </w:tcPr>
          <w:p w14:paraId="1CFD7F89">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c>
          <w:tcPr>
            <w:tcW w:w="4990" w:type="dxa"/>
            <w:shd w:val="clear" w:color="auto" w:fill="auto"/>
            <w:vAlign w:val="center"/>
          </w:tcPr>
          <w:p w14:paraId="44126AAF">
            <w:pPr>
              <w:widowControl/>
              <w:spacing w:line="360" w:lineRule="auto"/>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会务服务演示要点</w:t>
            </w:r>
            <w:r>
              <w:rPr>
                <w:rFonts w:hint="eastAsia" w:ascii="宋体" w:hAnsi="宋体" w:cs="宋体"/>
                <w:color w:val="000000" w:themeColor="text1"/>
                <w:kern w:val="0"/>
                <w:sz w:val="24"/>
                <w:lang w:eastAsia="zh-CN"/>
                <w14:textFill>
                  <w14:solidFill>
                    <w14:schemeClr w14:val="tx1"/>
                  </w14:solidFill>
                </w14:textFill>
              </w:rPr>
              <w:t>：</w:t>
            </w:r>
          </w:p>
          <w:p w14:paraId="11939318">
            <w:pPr>
              <w:widowControl/>
              <w:numPr>
                <w:ilvl w:val="0"/>
                <w:numId w:val="3"/>
              </w:numPr>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离线会议功能(</w:t>
            </w: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分)：</w:t>
            </w:r>
          </w:p>
          <w:p w14:paraId="657EB930">
            <w:pPr>
              <w:widowControl/>
              <w:numPr>
                <w:ilvl w:val="0"/>
                <w:numId w:val="4"/>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网络状态正常时：用户首次登录当前会议专题页，系统将本次会议相关基本信息离线保存在客户端。</w:t>
            </w:r>
          </w:p>
          <w:p w14:paraId="49934C7D">
            <w:pPr>
              <w:widowControl/>
              <w:numPr>
                <w:ilvl w:val="0"/>
                <w:numId w:val="4"/>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网络状态异常时：用户登录会议专题页面，系统显示网络异常状态，读取本地缓存数据并正常显示。</w:t>
            </w:r>
          </w:p>
          <w:p w14:paraId="32EA4063">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全部满足得</w:t>
            </w: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分，每偏离一项扣</w:t>
            </w:r>
            <w:r>
              <w:rPr>
                <w:rFonts w:ascii="宋体" w:hAnsi="宋体" w:cs="宋体"/>
                <w:color w:val="000000" w:themeColor="text1"/>
                <w:kern w:val="0"/>
                <w:sz w:val="24"/>
                <w14:textFill>
                  <w14:solidFill>
                    <w14:schemeClr w14:val="tx1"/>
                  </w14:solidFill>
                </w14:textFill>
              </w:rPr>
              <w:t>0.5</w:t>
            </w:r>
            <w:r>
              <w:rPr>
                <w:rFonts w:hint="eastAsia" w:ascii="宋体" w:hAnsi="宋体" w:cs="宋体"/>
                <w:color w:val="000000" w:themeColor="text1"/>
                <w:kern w:val="0"/>
                <w:sz w:val="24"/>
                <w14:textFill>
                  <w14:solidFill>
                    <w14:schemeClr w14:val="tx1"/>
                  </w14:solidFill>
                </w14:textFill>
              </w:rPr>
              <w:t>分，扣完为止。</w:t>
            </w:r>
          </w:p>
          <w:p w14:paraId="5FB4DBCC">
            <w:pPr>
              <w:widowControl/>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2、立法、监督项目征集模块(</w:t>
            </w: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分)：</w:t>
            </w:r>
          </w:p>
          <w:p w14:paraId="3861060A">
            <w:pPr>
              <w:widowControl/>
              <w:numPr>
                <w:ilvl w:val="0"/>
                <w:numId w:val="5"/>
              </w:numPr>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用户填报: 用户进入项目征集页面，根据需要选择感兴趣的项目，同时需输入个人基本信息，提交后系统自动保存提交信息。</w:t>
            </w:r>
          </w:p>
          <w:p w14:paraId="7D317ACE">
            <w:pPr>
              <w:widowControl/>
              <w:numPr>
                <w:ilvl w:val="0"/>
                <w:numId w:val="5"/>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汇总统计: 汇总结果支持列筛选。汇总结果支持数据导出，一键将查询结果导出成Excel文件，支持直接打印。</w:t>
            </w:r>
          </w:p>
          <w:p w14:paraId="6E41347C">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全部满足得</w:t>
            </w: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分，每偏离一项扣</w:t>
            </w:r>
            <w:r>
              <w:rPr>
                <w:rFonts w:ascii="宋体" w:hAnsi="宋体" w:cs="宋体"/>
                <w:color w:val="000000" w:themeColor="text1"/>
                <w:kern w:val="0"/>
                <w:sz w:val="24"/>
                <w14:textFill>
                  <w14:solidFill>
                    <w14:schemeClr w14:val="tx1"/>
                  </w14:solidFill>
                </w14:textFill>
              </w:rPr>
              <w:t>0.5</w:t>
            </w:r>
            <w:r>
              <w:rPr>
                <w:rFonts w:hint="eastAsia" w:ascii="宋体" w:hAnsi="宋体" w:cs="宋体"/>
                <w:color w:val="000000" w:themeColor="text1"/>
                <w:kern w:val="0"/>
                <w:sz w:val="24"/>
                <w14:textFill>
                  <w14:solidFill>
                    <w14:schemeClr w14:val="tx1"/>
                  </w14:solidFill>
                </w14:textFill>
              </w:rPr>
              <w:t>分，扣完为止。</w:t>
            </w:r>
          </w:p>
          <w:p w14:paraId="5687586E">
            <w:pPr>
              <w:widowControl/>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3、预算审查模块(</w:t>
            </w: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分)：</w:t>
            </w:r>
          </w:p>
          <w:p w14:paraId="215856A5">
            <w:pPr>
              <w:widowControl/>
              <w:numPr>
                <w:ilvl w:val="0"/>
                <w:numId w:val="6"/>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四本预算: 支持对预算收支总况、各类事项总预算及专项分析数据查看，并对预算的编制、执行、调整、管理、决算、政府债务中重要指标进行预警。</w:t>
            </w:r>
          </w:p>
          <w:p w14:paraId="5500B3E2">
            <w:pPr>
              <w:widowControl/>
              <w:numPr>
                <w:ilvl w:val="0"/>
                <w:numId w:val="6"/>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部门预算: 支持代表在线对各部门预算进行查询。</w:t>
            </w:r>
          </w:p>
          <w:p w14:paraId="1701CAEF">
            <w:pPr>
              <w:widowControl/>
              <w:numPr>
                <w:ilvl w:val="0"/>
                <w:numId w:val="6"/>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会前审查 ：支持代表在线审查。</w:t>
            </w:r>
          </w:p>
          <w:p w14:paraId="3AD2E088">
            <w:pPr>
              <w:widowControl/>
              <w:numPr>
                <w:ilvl w:val="0"/>
                <w:numId w:val="6"/>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重大项目: 支持项目的审议、建设、资产管理等阶段分析并预警，可通过系统自动预警，实现进展异常监测提示。</w:t>
            </w:r>
          </w:p>
          <w:p w14:paraId="46FC939A">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全部满足得</w:t>
            </w: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分，每偏离一项扣</w:t>
            </w:r>
            <w:r>
              <w:rPr>
                <w:rFonts w:ascii="宋体" w:hAnsi="宋体" w:cs="宋体"/>
                <w:color w:val="000000" w:themeColor="text1"/>
                <w:kern w:val="0"/>
                <w:sz w:val="24"/>
                <w14:textFill>
                  <w14:solidFill>
                    <w14:schemeClr w14:val="tx1"/>
                  </w14:solidFill>
                </w14:textFill>
              </w:rPr>
              <w:t>0.25</w:t>
            </w:r>
            <w:r>
              <w:rPr>
                <w:rFonts w:hint="eastAsia" w:ascii="宋体" w:hAnsi="宋体" w:cs="宋体"/>
                <w:color w:val="000000" w:themeColor="text1"/>
                <w:kern w:val="0"/>
                <w:sz w:val="24"/>
                <w14:textFill>
                  <w14:solidFill>
                    <w14:schemeClr w14:val="tx1"/>
                  </w14:solidFill>
                </w14:textFill>
              </w:rPr>
              <w:t>分，扣完为止。</w:t>
            </w:r>
          </w:p>
          <w:p w14:paraId="62B75EBF">
            <w:pPr>
              <w:widowControl/>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4、议案建议(</w:t>
            </w: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分)：</w:t>
            </w:r>
          </w:p>
          <w:p w14:paraId="2FBAC37E">
            <w:pPr>
              <w:widowControl/>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议案库：进入系统，默认查看所有议案信息。同时可以根据标题、编号、领衔人等搜索议案信息。支持快捷查询，包含届次、代表团、分类等。支持查看议案详情，包含议案基本信息、议案承办情况、议案评价结果。</w:t>
            </w:r>
          </w:p>
          <w:p w14:paraId="2AEA8726">
            <w:pPr>
              <w:widowControl/>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建议库：进入系统，默认查看所有建议信息，包含名称、编号、领衔人、分类、主办单位等字段。同时可以根据标题、编号、领衔人等搜索建议信息。支持快捷查询，查询条件包含届次、代表团、分类等。支持查看建议详情，包含建议基本信息、建议承办情况、建议评价结果。</w:t>
            </w:r>
          </w:p>
          <w:p w14:paraId="024F967F">
            <w:pPr>
              <w:widowControl/>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全部满足得</w:t>
            </w: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分，每偏离一项扣</w:t>
            </w:r>
            <w:r>
              <w:rPr>
                <w:rFonts w:ascii="宋体" w:hAnsi="宋体" w:cs="宋体"/>
                <w:color w:val="000000" w:themeColor="text1"/>
                <w:kern w:val="0"/>
                <w:sz w:val="24"/>
                <w14:textFill>
                  <w14:solidFill>
                    <w14:schemeClr w14:val="tx1"/>
                  </w14:solidFill>
                </w14:textFill>
              </w:rPr>
              <w:t>0.5</w:t>
            </w:r>
            <w:r>
              <w:rPr>
                <w:rFonts w:hint="eastAsia" w:ascii="宋体" w:hAnsi="宋体" w:cs="宋体"/>
                <w:color w:val="000000" w:themeColor="text1"/>
                <w:kern w:val="0"/>
                <w:sz w:val="24"/>
                <w14:textFill>
                  <w14:solidFill>
                    <w14:schemeClr w14:val="tx1"/>
                  </w14:solidFill>
                </w14:textFill>
              </w:rPr>
              <w:t>分，扣完为止。</w:t>
            </w:r>
          </w:p>
          <w:p w14:paraId="424D49DF">
            <w:pPr>
              <w:widowControl/>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5、会议排座模块（</w:t>
            </w: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.5分）：</w:t>
            </w:r>
          </w:p>
          <w:p w14:paraId="2A17D1A6">
            <w:pPr>
              <w:widowControl/>
              <w:numPr>
                <w:ilvl w:val="0"/>
                <w:numId w:val="7"/>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根据会议会场座位布局情况以及参会人员名单，自动生成会场内的座位图。（满足得0.5分，不满足不得分）</w:t>
            </w:r>
          </w:p>
          <w:p w14:paraId="6ED28B6B">
            <w:pPr>
              <w:widowControl/>
              <w:numPr>
                <w:ilvl w:val="0"/>
                <w:numId w:val="7"/>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支持导出人员座位数据。</w:t>
            </w:r>
            <w:r>
              <w:rPr>
                <w:rFonts w:hint="eastAsia" w:ascii="宋体" w:hAnsi="宋体" w:cs="宋体"/>
                <w:color w:val="000000" w:themeColor="text1"/>
                <w:kern w:val="0"/>
                <w:sz w:val="24"/>
                <w14:textFill>
                  <w14:solidFill>
                    <w14:schemeClr w14:val="tx1"/>
                  </w14:solidFill>
                </w14:textFill>
              </w:rPr>
              <w:t>（满足得0.5分，不满足不得分）</w:t>
            </w:r>
          </w:p>
          <w:p w14:paraId="1E3B77F7">
            <w:pPr>
              <w:spacing w:line="360" w:lineRule="auto"/>
              <w:rPr>
                <w:rFonts w:hint="eastAsia"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3）座位号在每个参会人的PAD终端实时显示。（满足得0.5分，不满足不得分）</w:t>
            </w:r>
          </w:p>
        </w:tc>
        <w:tc>
          <w:tcPr>
            <w:tcW w:w="800" w:type="dxa"/>
            <w:shd w:val="clear" w:color="auto" w:fill="auto"/>
            <w:vAlign w:val="center"/>
          </w:tcPr>
          <w:p w14:paraId="6A760E61">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5.5</w:t>
            </w:r>
          </w:p>
        </w:tc>
        <w:tc>
          <w:tcPr>
            <w:tcW w:w="961" w:type="dxa"/>
            <w:shd w:val="clear" w:color="auto" w:fill="auto"/>
            <w:vAlign w:val="center"/>
          </w:tcPr>
          <w:p w14:paraId="4E127C4C">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客观分</w:t>
            </w:r>
          </w:p>
        </w:tc>
        <w:tc>
          <w:tcPr>
            <w:tcW w:w="1216" w:type="dxa"/>
            <w:shd w:val="clear" w:color="auto" w:fill="auto"/>
          </w:tcPr>
          <w:p w14:paraId="36376061">
            <w:pPr>
              <w:widowControl/>
              <w:spacing w:line="360" w:lineRule="auto"/>
              <w:rPr>
                <w:rFonts w:hint="eastAsia" w:ascii="宋体" w:hAnsi="宋体" w:cs="宋体"/>
                <w:color w:val="000000" w:themeColor="text1"/>
                <w:kern w:val="0"/>
                <w:sz w:val="24"/>
                <w14:textFill>
                  <w14:solidFill>
                    <w14:schemeClr w14:val="tx1"/>
                  </w14:solidFill>
                </w14:textFill>
              </w:rPr>
            </w:pPr>
          </w:p>
        </w:tc>
      </w:tr>
    </w:tbl>
    <w:p w14:paraId="146EB1B6">
      <w:pPr>
        <w:spacing w:line="360" w:lineRule="auto"/>
        <w:ind w:left="120" w:firstLine="22"/>
        <w:rPr>
          <w:rFonts w:hint="eastAsia" w:ascii="宋体" w:hAnsi="宋体" w:cs="宋体"/>
          <w:color w:val="000000" w:themeColor="text1"/>
          <w14:textFill>
            <w14:solidFill>
              <w14:schemeClr w14:val="tx1"/>
            </w14:solidFill>
          </w14:textFill>
        </w:rPr>
      </w:pPr>
    </w:p>
    <w:p w14:paraId="75A460E4">
      <w:pPr>
        <w:snapToGrid w:val="0"/>
        <w:spacing w:line="360" w:lineRule="auto"/>
        <w:ind w:left="120" w:firstLine="22"/>
        <w:rPr>
          <w:rFonts w:hint="eastAsia" w:ascii="宋体" w:hAnsi="宋体" w:cs="宋体"/>
          <w:b/>
          <w:color w:val="000000" w:themeColor="text1"/>
          <w:sz w:val="32"/>
          <w14:textFill>
            <w14:solidFill>
              <w14:schemeClr w14:val="tx1"/>
            </w14:solidFill>
          </w14:textFill>
        </w:rPr>
      </w:pPr>
      <w:r>
        <w:rPr>
          <w:rFonts w:hint="eastAsia" w:ascii="宋体" w:hAnsi="宋体" w:cs="宋体"/>
          <w:color w:val="000000" w:themeColor="text1"/>
          <w:sz w:val="20"/>
          <w:szCs w:val="20"/>
          <w:shd w:val="clear" w:color="auto" w:fill="FFFFFF"/>
          <w14:textFill>
            <w14:solidFill>
              <w14:schemeClr w14:val="tx1"/>
            </w14:solidFill>
          </w14:textFill>
        </w:rPr>
        <w:t> *</w:t>
      </w:r>
      <w:r>
        <w:rPr>
          <w:rFonts w:hint="eastAsia" w:ascii="宋体" w:hAnsi="宋体" w:cs="宋体"/>
          <w:b/>
          <w:color w:val="000000" w:themeColor="text1"/>
          <w:sz w:val="24"/>
          <w14:textFill>
            <w14:solidFill>
              <w14:schemeClr w14:val="tx1"/>
            </w14:solidFill>
          </w14:textFill>
        </w:rPr>
        <w:t>备注：</w:t>
      </w:r>
      <w:r>
        <w:rPr>
          <w:rFonts w:hint="eastAsia" w:ascii="宋体" w:hAnsi="宋体" w:cs="宋体"/>
          <w:color w:val="000000" w:themeColor="text1"/>
          <w:sz w:val="24"/>
          <w14:textFill>
            <w14:solidFill>
              <w14:schemeClr w14:val="tx1"/>
            </w14:solidFill>
          </w14:textFill>
        </w:rPr>
        <w:t>投标人编制投标文件（商务技术文件部分）时，建议按此目录（序号和内容）提供评标标准相应的商务技术资料。 </w:t>
      </w:r>
    </w:p>
    <w:p w14:paraId="3E25F97F">
      <w:pPr>
        <w:adjustRightInd/>
        <w:spacing w:line="360" w:lineRule="auto"/>
        <w:ind w:left="120" w:firstLine="22"/>
        <w:outlineLvl w:val="1"/>
        <w:rPr>
          <w:rFonts w:hint="eastAsia"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一、评标方法</w:t>
      </w:r>
    </w:p>
    <w:p w14:paraId="51E161EA">
      <w:pPr>
        <w:adjustRightInd/>
        <w:spacing w:line="360" w:lineRule="auto"/>
        <w:ind w:left="120" w:firstLine="472" w:firstLineChars="196"/>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本项目采用综合评分法。</w:t>
      </w:r>
      <w:r>
        <w:rPr>
          <w:rFonts w:hint="eastAsia" w:ascii="宋体" w:hAnsi="宋体" w:cs="宋体"/>
          <w:color w:val="000000" w:themeColor="text1"/>
          <w:kern w:val="0"/>
          <w:sz w:val="24"/>
          <w14:textFill>
            <w14:solidFill>
              <w14:schemeClr w14:val="tx1"/>
            </w14:solidFill>
          </w14:textFill>
        </w:rPr>
        <w:t>综合评分法，是指投标文件满足采购文件全部实质性要求，且按照评审因素的量化指标评审得分最高的投标人为中标候选人的评标方法。</w:t>
      </w:r>
    </w:p>
    <w:p w14:paraId="4E76339C">
      <w:pPr>
        <w:adjustRightInd/>
        <w:spacing w:line="360" w:lineRule="auto"/>
        <w:ind w:left="120" w:firstLine="22"/>
        <w:outlineLvl w:val="1"/>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二、评标标准</w:t>
      </w:r>
    </w:p>
    <w:p w14:paraId="27A6CD34">
      <w:pPr>
        <w:spacing w:line="360" w:lineRule="auto"/>
        <w:ind w:left="120" w:firstLine="472" w:firstLineChars="196"/>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评标标准：</w:t>
      </w:r>
      <w:r>
        <w:rPr>
          <w:rFonts w:hint="eastAsia" w:ascii="宋体" w:hAnsi="宋体" w:cs="宋体"/>
          <w:color w:val="000000" w:themeColor="text1"/>
          <w:kern w:val="0"/>
          <w:sz w:val="24"/>
          <w14:textFill>
            <w14:solidFill>
              <w14:schemeClr w14:val="tx1"/>
            </w14:solidFill>
          </w14:textFill>
        </w:rPr>
        <w:t>见评标办法前附表。</w:t>
      </w:r>
    </w:p>
    <w:p w14:paraId="451AFC16">
      <w:pPr>
        <w:spacing w:line="360" w:lineRule="auto"/>
        <w:ind w:left="120" w:firstLine="22"/>
        <w:outlineLvl w:val="1"/>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三、评标程序</w:t>
      </w:r>
    </w:p>
    <w:p w14:paraId="3745BAAC">
      <w:pPr>
        <w:spacing w:line="360" w:lineRule="auto"/>
        <w:ind w:left="120" w:firstLine="472" w:firstLineChars="196"/>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3.1符合性审查。</w:t>
      </w:r>
      <w:r>
        <w:rPr>
          <w:rFonts w:hint="eastAsia" w:ascii="宋体" w:hAnsi="宋体" w:cs="宋体"/>
          <w:color w:val="000000" w:themeColor="text1"/>
          <w:kern w:val="0"/>
          <w:sz w:val="24"/>
          <w14:textFill>
            <w14:solidFill>
              <w14:schemeClr w14:val="tx1"/>
            </w14:solidFill>
          </w14:textFill>
        </w:rPr>
        <w:t>评标委员会应当对符合资格的投标人的投标文件进行符合性审查，以确定其是否满足采购文件的实质性要求。不满足采购文件的实质性要求的，投标无效。</w:t>
      </w:r>
    </w:p>
    <w:p w14:paraId="09173ACB">
      <w:pPr>
        <w:spacing w:line="360" w:lineRule="auto"/>
        <w:ind w:left="120" w:firstLine="472" w:firstLineChars="196"/>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3.2 比较与评价。</w:t>
      </w:r>
      <w:r>
        <w:rPr>
          <w:rFonts w:hint="eastAsia" w:ascii="宋体" w:hAnsi="宋体" w:cs="宋体"/>
          <w:color w:val="000000" w:themeColor="text1"/>
          <w:kern w:val="0"/>
          <w:sz w:val="24"/>
          <w14:textFill>
            <w14:solidFill>
              <w14:schemeClr w14:val="tx1"/>
            </w14:solidFill>
          </w14:textFill>
        </w:rPr>
        <w:t>评标委员会应当按照采购文件中规定的评标方法和标准，对符合性审查合格的投标文件进行商务和技术评估，综合比较与评价。</w:t>
      </w:r>
    </w:p>
    <w:p w14:paraId="5B373D36">
      <w:pPr>
        <w:spacing w:line="360" w:lineRule="auto"/>
        <w:ind w:left="120" w:firstLine="472" w:firstLineChars="196"/>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3.3汇总商务技术得分。</w:t>
      </w:r>
      <w:r>
        <w:rPr>
          <w:rFonts w:hint="eastAsia" w:ascii="宋体" w:hAnsi="宋体" w:cs="宋体"/>
          <w:color w:val="000000" w:themeColor="text1"/>
          <w:kern w:val="0"/>
          <w:sz w:val="24"/>
          <w14:textFill>
            <w14:solidFill>
              <w14:schemeClr w14:val="tx1"/>
            </w14:solidFill>
          </w14:textFill>
        </w:rPr>
        <w:t>评标委员会各成员应当独立对每个投标人的商务和技术文件进行评价，并汇总商务技术得分情况。</w:t>
      </w:r>
    </w:p>
    <w:p w14:paraId="713414AF">
      <w:pPr>
        <w:spacing w:line="360" w:lineRule="auto"/>
        <w:ind w:left="120" w:firstLine="472" w:firstLineChars="196"/>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3.4报价评审。</w:t>
      </w:r>
    </w:p>
    <w:p w14:paraId="760A7622">
      <w:pPr>
        <w:pStyle w:val="131"/>
        <w:spacing w:before="0"/>
        <w:ind w:left="120" w:firstLine="508" w:firstLineChars="212"/>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3.4.1投标文件报价出现前后不一致的，按照下列规定修正：</w:t>
      </w:r>
    </w:p>
    <w:p w14:paraId="0A62DA3C">
      <w:pPr>
        <w:pStyle w:val="131"/>
        <w:spacing w:before="0"/>
        <w:ind w:left="120"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3.4.1.1投标文件中开标一览表(报价表)内容与投标文件中相应内容不一致的，以开标一览表(报价表)为准;</w:t>
      </w:r>
    </w:p>
    <w:p w14:paraId="0D5AE839">
      <w:pPr>
        <w:pStyle w:val="131"/>
        <w:spacing w:before="0"/>
        <w:ind w:left="120"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3.4.1.2大写金额和小写金额不一致的，以大写金额为准;</w:t>
      </w:r>
    </w:p>
    <w:p w14:paraId="738B7D90">
      <w:pPr>
        <w:pStyle w:val="131"/>
        <w:spacing w:before="0"/>
        <w:ind w:left="120"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3.4.1.3单价金额小数点或者百分比有明显错位的，以开标一览表的总价为准，并修改单价;</w:t>
      </w:r>
    </w:p>
    <w:p w14:paraId="495CF99E">
      <w:pPr>
        <w:pStyle w:val="131"/>
        <w:spacing w:before="0"/>
        <w:ind w:left="120"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3.4.1.4总价金额与按单价汇总金额不一致的，以单价金额计算结果为准。</w:t>
      </w:r>
    </w:p>
    <w:p w14:paraId="0EE1096E">
      <w:pPr>
        <w:pStyle w:val="131"/>
        <w:spacing w:before="0"/>
        <w:ind w:left="120"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6A336B12">
      <w:pPr>
        <w:snapToGrid w:val="0"/>
        <w:spacing w:line="360" w:lineRule="auto"/>
        <w:ind w:left="120"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3.4.2投标文件出现不是唯一的、有选择性投标报价的，投标无效。</w:t>
      </w:r>
    </w:p>
    <w:p w14:paraId="519F6E86">
      <w:pPr>
        <w:snapToGrid w:val="0"/>
        <w:spacing w:line="360" w:lineRule="auto"/>
        <w:ind w:left="120"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3.4.3投标报价超过采购文件中规定的预算金额或者最高限价的，投标无效。</w:t>
      </w:r>
    </w:p>
    <w:p w14:paraId="6C5FF47A">
      <w:pPr>
        <w:pStyle w:val="131"/>
        <w:spacing w:before="0"/>
        <w:ind w:left="120"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832D871">
      <w:pPr>
        <w:pStyle w:val="131"/>
        <w:spacing w:before="0"/>
        <w:ind w:left="120"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3.4.5对于未预留份额专门面向中小企业的政府采购服务项目，以及预留份额政府采购服务项目中的非预留部分标项，对小型和微型企业的投标报价给予10%-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kern w:val="0"/>
          <w:szCs w:val="24"/>
          <w14:textFill>
            <w14:solidFill>
              <w14:schemeClr w14:val="tx1"/>
            </w14:solidFill>
          </w14:textFill>
        </w:rPr>
        <w:t>20</w:t>
      </w:r>
      <w:r>
        <w:rPr>
          <w:rFonts w:hint="eastAsia" w:ascii="宋体" w:hAnsi="宋体" w:cs="宋体"/>
          <w:color w:val="000000" w:themeColor="text1"/>
          <w:kern w:val="0"/>
          <w:szCs w:val="24"/>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14:textFill>
            <w14:solidFill>
              <w14:schemeClr w14:val="tx1"/>
            </w14:solidFill>
          </w14:textFill>
        </w:rPr>
        <w:t>6</w:t>
      </w:r>
      <w:r>
        <w:rPr>
          <w:rFonts w:hint="eastAsia" w:ascii="宋体" w:hAnsi="宋体" w:cs="宋体"/>
          <w:color w:val="000000" w:themeColor="text1"/>
          <w:kern w:val="0"/>
          <w:szCs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11A64517">
      <w:pPr>
        <w:spacing w:line="360" w:lineRule="auto"/>
        <w:ind w:left="120" w:firstLine="48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3.5排序与推荐。</w:t>
      </w:r>
      <w:r>
        <w:rPr>
          <w:rFonts w:hint="eastAsia" w:ascii="宋体" w:hAnsi="宋体" w:cs="宋体"/>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000000" w:themeColor="text1"/>
          <w:kern w:val="0"/>
          <w:sz w:val="24"/>
          <w:lang w:val="en"/>
          <w14:textFill>
            <w14:solidFill>
              <w14:schemeClr w14:val="tx1"/>
            </w14:solidFill>
          </w14:textFill>
        </w:rPr>
        <w:t>本项目推荐的中标候选人数量：</w:t>
      </w:r>
      <w:r>
        <w:rPr>
          <w:rFonts w:hint="eastAsia" w:ascii="宋体" w:hAnsi="宋体" w:cs="宋体"/>
          <w:color w:val="000000" w:themeColor="text1"/>
          <w:kern w:val="0"/>
          <w:sz w:val="24"/>
          <w:u w:val="single"/>
          <w14:textFill>
            <w14:solidFill>
              <w14:schemeClr w14:val="tx1"/>
            </w14:solidFill>
          </w14:textFill>
        </w:rPr>
        <w:t xml:space="preserve"> 1名</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en"/>
          <w14:textFill>
            <w14:solidFill>
              <w14:schemeClr w14:val="tx1"/>
            </w14:solidFill>
          </w14:textFill>
        </w:rPr>
        <w:t>。</w:t>
      </w:r>
    </w:p>
    <w:p w14:paraId="32B53542">
      <w:pPr>
        <w:spacing w:line="360" w:lineRule="auto"/>
        <w:ind w:left="120" w:firstLine="480" w:firstLineChars="200"/>
        <w:rPr>
          <w:rFonts w:hint="eastAsia"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CC8FDC4">
      <w:pPr>
        <w:spacing w:line="360" w:lineRule="auto"/>
        <w:ind w:left="120" w:firstLine="472" w:firstLineChars="196"/>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3.6编写评标报告。</w:t>
      </w:r>
      <w:r>
        <w:rPr>
          <w:rFonts w:hint="eastAsia" w:ascii="宋体" w:hAnsi="宋体" w:cs="宋体"/>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5BC2B68">
      <w:pPr>
        <w:widowControl/>
        <w:shd w:val="clear" w:color="auto" w:fill="FFFFFF"/>
        <w:adjustRightInd/>
        <w:spacing w:after="225" w:line="360" w:lineRule="auto"/>
        <w:ind w:left="120" w:firstLine="22"/>
        <w:jc w:val="left"/>
        <w:outlineLvl w:val="1"/>
        <w:rPr>
          <w:rFonts w:hint="eastAsia"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四、评标中的其他事项</w:t>
      </w:r>
    </w:p>
    <w:p w14:paraId="4EDA2180">
      <w:pPr>
        <w:pStyle w:val="131"/>
        <w:spacing w:before="0"/>
        <w:ind w:left="120" w:firstLine="472" w:firstLineChars="196"/>
        <w:rPr>
          <w:rFonts w:hint="eastAsia" w:ascii="宋体" w:hAnsi="宋体" w:cs="宋体"/>
          <w:color w:val="000000" w:themeColor="text1"/>
          <w:kern w:val="0"/>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4.1投标人澄清、说明或者补正。</w:t>
      </w:r>
      <w:r>
        <w:rPr>
          <w:rFonts w:hint="eastAsia" w:ascii="宋体" w:hAnsi="宋体" w:cs="宋体"/>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1441AEC">
      <w:pPr>
        <w:pStyle w:val="26"/>
        <w:snapToGrid w:val="0"/>
        <w:spacing w:line="360" w:lineRule="auto"/>
        <w:ind w:left="120" w:firstLine="472" w:firstLineChars="196"/>
        <w:rPr>
          <w:rFonts w:hint="eastAsia"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4.2投标无效。</w:t>
      </w:r>
      <w:r>
        <w:rPr>
          <w:rFonts w:hint="eastAsia" w:cs="宋体"/>
          <w:color w:val="000000" w:themeColor="text1"/>
          <w14:textFill>
            <w14:solidFill>
              <w14:schemeClr w14:val="tx1"/>
            </w14:solidFill>
          </w14:textFill>
        </w:rPr>
        <w:t>有下列情形之一的，投标无效：</w:t>
      </w:r>
    </w:p>
    <w:p w14:paraId="4CC98708">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14:paraId="6A4E19B1">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4.2.2投标文件未按照招标文件要求签署、盖章的；</w:t>
      </w:r>
    </w:p>
    <w:p w14:paraId="513C88B2">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1A54F600">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4.2.4投标文件含有采购人不能接受的附加条件的；</w:t>
      </w:r>
    </w:p>
    <w:p w14:paraId="486E0F9A">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4.2.5投标文件中承诺的投标有效期少于招标文件中载明的投标有效期的；</w:t>
      </w:r>
    </w:p>
    <w:p w14:paraId="41596A3A">
      <w:pPr>
        <w:snapToGrid w:val="0"/>
        <w:spacing w:line="360" w:lineRule="auto"/>
        <w:ind w:firstLine="120" w:firstLineChars="5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4.2.6投标文件出现不是唯一的、有选择性投标报价的;</w:t>
      </w:r>
    </w:p>
    <w:p w14:paraId="1E4D0066">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4.2.7投标报价超过招标文件中规定的预算金额或者最高限价的;</w:t>
      </w:r>
    </w:p>
    <w:p w14:paraId="0B150DEB">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4.2.8投标人对根据修正原则修正后的报价不确认的；</w:t>
      </w:r>
    </w:p>
    <w:p w14:paraId="41C3A113">
      <w:pPr>
        <w:spacing w:line="360" w:lineRule="auto"/>
        <w:ind w:firstLine="480" w:firstLineChars="200"/>
        <w:rPr>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4.2.9投标人提供虚假材料投标的；</w:t>
      </w:r>
    </w:p>
    <w:p w14:paraId="0907324B">
      <w:pPr>
        <w:spacing w:line="360" w:lineRule="auto"/>
        <w:ind w:firstLine="240" w:firstLineChars="1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4.2.10投标人有恶意串通、妨碍其他投标人的竞争行为、损害采购人或者其他投标人的合法权益情形的；</w:t>
      </w:r>
    </w:p>
    <w:p w14:paraId="7421194C">
      <w:pPr>
        <w:spacing w:line="360" w:lineRule="auto"/>
        <w:ind w:firstLine="480" w:firstLineChars="200"/>
        <w:rPr>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4D45F56">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4.2.12投标人仅提交备份投标文件，未在电子交易平台传输递交投标文件的，投标无效；</w:t>
      </w:r>
    </w:p>
    <w:p w14:paraId="525A4147">
      <w:pPr>
        <w:pStyle w:val="4"/>
        <w:ind w:left="430" w:leftChars="204" w:hanging="2" w:hangingChars="1"/>
        <w:rPr>
          <w:rFonts w:hint="eastAsia" w:cs="宋体"/>
          <w:b w:val="0"/>
          <w:bCs w:val="0"/>
          <w:color w:val="000000" w:themeColor="text1"/>
          <w:kern w:val="0"/>
          <w:lang w:val="en-US"/>
          <w14:textFill>
            <w14:solidFill>
              <w14:schemeClr w14:val="tx1"/>
            </w14:solidFill>
          </w14:textFill>
        </w:rPr>
      </w:pPr>
      <w:r>
        <w:rPr>
          <w:rFonts w:hint="eastAsia" w:cs="宋体"/>
          <w:b w:val="0"/>
          <w:bCs w:val="0"/>
          <w:color w:val="000000" w:themeColor="text1"/>
          <w:kern w:val="0"/>
          <w:lang w:val="en-US"/>
          <w14:textFill>
            <w14:solidFill>
              <w14:schemeClr w14:val="tx1"/>
            </w14:solidFill>
          </w14:textFill>
        </w:rPr>
        <w:t>4.2.13 投标文件不满足招标文件的其它实质性要求的；</w:t>
      </w:r>
    </w:p>
    <w:p w14:paraId="6B87353B">
      <w:pPr>
        <w:spacing w:line="360" w:lineRule="auto"/>
        <w:ind w:firstLine="424" w:firstLineChars="177"/>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4.2.14法律、法规、规章（适用本市的）及省级以上规范性文件（适用本市的）规定的其他无效情形。</w:t>
      </w:r>
    </w:p>
    <w:p w14:paraId="3D11FC9D">
      <w:pPr>
        <w:pStyle w:val="26"/>
        <w:snapToGrid w:val="0"/>
        <w:spacing w:line="360" w:lineRule="auto"/>
        <w:ind w:left="120" w:firstLine="472" w:firstLineChars="196"/>
        <w:rPr>
          <w:rFonts w:hint="eastAsia"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5.废标。</w:t>
      </w:r>
      <w:r>
        <w:rPr>
          <w:rFonts w:hint="eastAsia" w:cs="宋体"/>
          <w:color w:val="000000" w:themeColor="text1"/>
          <w14:textFill>
            <w14:solidFill>
              <w14:schemeClr w14:val="tx1"/>
            </w14:solidFill>
          </w14:textFill>
        </w:rPr>
        <w:t>根据《中华人民共和国政府采购法》第三十六条之规定，在采购中，出现下列情形之一的，应予废标：</w:t>
      </w:r>
    </w:p>
    <w:p w14:paraId="7614E754">
      <w:pPr>
        <w:pStyle w:val="26"/>
        <w:snapToGrid w:val="0"/>
        <w:spacing w:line="360" w:lineRule="auto"/>
        <w:ind w:left="120"/>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5.1符合专业条件的供应商或者对采购文件作实质响应的供应商不足3家的；</w:t>
      </w:r>
    </w:p>
    <w:p w14:paraId="1AFB689F">
      <w:pPr>
        <w:pStyle w:val="26"/>
        <w:snapToGrid w:val="0"/>
        <w:spacing w:line="360" w:lineRule="auto"/>
        <w:ind w:left="120"/>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14:paraId="39E94CD7">
      <w:pPr>
        <w:pStyle w:val="26"/>
        <w:snapToGrid w:val="0"/>
        <w:spacing w:line="360" w:lineRule="auto"/>
        <w:ind w:left="120"/>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5.3投标人的报价均超过了采购预算，采购人不能支付的；</w:t>
      </w:r>
    </w:p>
    <w:p w14:paraId="4635ACF8">
      <w:pPr>
        <w:pStyle w:val="26"/>
        <w:snapToGrid w:val="0"/>
        <w:spacing w:line="360" w:lineRule="auto"/>
        <w:ind w:left="120"/>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5.4因重大变故，采购任务取消的。</w:t>
      </w:r>
    </w:p>
    <w:p w14:paraId="14399045">
      <w:pPr>
        <w:pStyle w:val="26"/>
        <w:snapToGrid w:val="0"/>
        <w:spacing w:line="360" w:lineRule="auto"/>
        <w:ind w:left="120"/>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废标后，采购代理机构应当将废标理由通知所有投标人。</w:t>
      </w:r>
    </w:p>
    <w:p w14:paraId="7F60694D">
      <w:pPr>
        <w:pStyle w:val="26"/>
        <w:snapToGrid w:val="0"/>
        <w:spacing w:line="360" w:lineRule="auto"/>
        <w:ind w:left="120" w:firstLine="590" w:firstLineChars="245"/>
        <w:rPr>
          <w:rFonts w:hint="eastAsia"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6.修改采购文件，重新组织采购活动。</w:t>
      </w:r>
      <w:r>
        <w:rPr>
          <w:rFonts w:hint="eastAsia" w:cs="宋体"/>
          <w:color w:val="000000" w:themeColor="text1"/>
          <w14:textFill>
            <w14:solidFill>
              <w14:schemeClr w14:val="tx1"/>
            </w14:solidFill>
          </w14:textFill>
        </w:rPr>
        <w:t>评标委员会发现采购文件存在歧义、重大缺陷导致评标工作无法进行，或者采购文件内容违反国家有关强制性规定的，将停止评标工作，并与采购人、采购代理机构沟通并作书面记录。采购人、采购代理机构确认后，将修改采购文件，重新组织采购活动。</w:t>
      </w:r>
    </w:p>
    <w:p w14:paraId="30B49EB1">
      <w:pPr>
        <w:pStyle w:val="26"/>
        <w:snapToGrid w:val="0"/>
        <w:spacing w:line="360" w:lineRule="auto"/>
        <w:ind w:left="120" w:firstLine="482"/>
        <w:rPr>
          <w:rFonts w:hint="eastAsia"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7.重新开展采购。</w:t>
      </w:r>
      <w:r>
        <w:rPr>
          <w:rFonts w:hint="eastAsia" w:cs="宋体"/>
          <w:color w:val="000000" w:themeColor="text1"/>
          <w14:textFill>
            <w14:solidFill>
              <w14:schemeClr w14:val="tx1"/>
            </w14:solidFill>
          </w14:textFill>
        </w:rPr>
        <w:t>有政府采购法第七十一条、第七十二条规定的违法行为之一，影响或者可能影响中标结果的，依照下列规定处理：</w:t>
      </w:r>
    </w:p>
    <w:p w14:paraId="1C38BF8C">
      <w:pPr>
        <w:pStyle w:val="26"/>
        <w:snapToGrid w:val="0"/>
        <w:spacing w:line="360" w:lineRule="auto"/>
        <w:ind w:left="120"/>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7.1未确定中标供应商的，终止本次政府采购活动，重新开展政府采购活动。</w:t>
      </w:r>
    </w:p>
    <w:p w14:paraId="48193021">
      <w:pPr>
        <w:pStyle w:val="26"/>
        <w:snapToGrid w:val="0"/>
        <w:spacing w:line="360" w:lineRule="auto"/>
        <w:ind w:left="120"/>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09584CC4">
      <w:pPr>
        <w:pStyle w:val="26"/>
        <w:snapToGrid w:val="0"/>
        <w:spacing w:line="360" w:lineRule="auto"/>
        <w:ind w:left="120"/>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1B85A876">
      <w:pPr>
        <w:pStyle w:val="26"/>
        <w:snapToGrid w:val="0"/>
        <w:spacing w:line="360" w:lineRule="auto"/>
        <w:ind w:left="120"/>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7.4政府采购合同已经履行，给采购人、供应商造成损失的，由责任人承担赔偿责任。</w:t>
      </w:r>
    </w:p>
    <w:p w14:paraId="719C859D">
      <w:pPr>
        <w:pStyle w:val="26"/>
        <w:snapToGrid w:val="0"/>
        <w:spacing w:line="360" w:lineRule="auto"/>
        <w:ind w:left="120"/>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28"/>
    <w:p w14:paraId="1CBED492">
      <w:pPr>
        <w:widowControl/>
        <w:numPr>
          <w:ilvl w:val="255"/>
          <w:numId w:val="0"/>
        </w:numPr>
        <w:adjustRightInd/>
        <w:spacing w:line="360" w:lineRule="auto"/>
        <w:ind w:firstLine="22"/>
        <w:jc w:val="center"/>
        <w:outlineLvl w:val="9"/>
        <w:rPr>
          <w:rFonts w:hint="eastAsia" w:ascii="宋体" w:hAnsi="宋体" w:cs="宋体"/>
          <w:b/>
          <w:color w:val="000000" w:themeColor="text1"/>
          <w:sz w:val="36"/>
          <w:szCs w:val="36"/>
          <w14:textFill>
            <w14:solidFill>
              <w14:schemeClr w14:val="tx1"/>
            </w14:solidFill>
          </w14:textFill>
        </w:rPr>
      </w:pPr>
      <w:bookmarkStart w:id="434" w:name="第五部分"/>
      <w:bookmarkStart w:id="435" w:name="_Toc86217003"/>
    </w:p>
    <w:p w14:paraId="5FED9451">
      <w:pPr>
        <w:widowControl/>
        <w:numPr>
          <w:ilvl w:val="255"/>
          <w:numId w:val="0"/>
        </w:numPr>
        <w:adjustRightInd/>
        <w:spacing w:line="360" w:lineRule="auto"/>
        <w:ind w:firstLine="22"/>
        <w:jc w:val="center"/>
        <w:outlineLvl w:val="9"/>
        <w:rPr>
          <w:rFonts w:hint="eastAsia" w:ascii="宋体" w:hAnsi="宋体" w:cs="宋体"/>
          <w:b/>
          <w:color w:val="000000" w:themeColor="text1"/>
          <w:sz w:val="36"/>
          <w:szCs w:val="36"/>
          <w14:textFill>
            <w14:solidFill>
              <w14:schemeClr w14:val="tx1"/>
            </w14:solidFill>
          </w14:textFill>
        </w:rPr>
      </w:pPr>
    </w:p>
    <w:p w14:paraId="385FD8DE">
      <w:pPr>
        <w:pStyle w:val="2"/>
        <w:rPr>
          <w:rFonts w:hint="eastAsia"/>
          <w:color w:val="000000" w:themeColor="text1"/>
          <w14:textFill>
            <w14:solidFill>
              <w14:schemeClr w14:val="tx1"/>
            </w14:solidFill>
          </w14:textFill>
        </w:rPr>
      </w:pPr>
    </w:p>
    <w:p w14:paraId="500F96A3">
      <w:pPr>
        <w:pStyle w:val="2"/>
        <w:rPr>
          <w:rFonts w:hint="eastAsia"/>
          <w:color w:val="000000" w:themeColor="text1"/>
          <w14:textFill>
            <w14:solidFill>
              <w14:schemeClr w14:val="tx1"/>
            </w14:solidFill>
          </w14:textFill>
        </w:rPr>
      </w:pPr>
    </w:p>
    <w:p w14:paraId="0112CAD4">
      <w:pPr>
        <w:pStyle w:val="2"/>
        <w:rPr>
          <w:rFonts w:hint="eastAsia"/>
          <w:color w:val="000000" w:themeColor="text1"/>
          <w14:textFill>
            <w14:solidFill>
              <w14:schemeClr w14:val="tx1"/>
            </w14:solidFill>
          </w14:textFill>
        </w:rPr>
      </w:pPr>
    </w:p>
    <w:p w14:paraId="48FBD1CD">
      <w:pPr>
        <w:pStyle w:val="2"/>
        <w:rPr>
          <w:rFonts w:hint="eastAsia"/>
          <w:color w:val="000000" w:themeColor="text1"/>
          <w14:textFill>
            <w14:solidFill>
              <w14:schemeClr w14:val="tx1"/>
            </w14:solidFill>
          </w14:textFill>
        </w:rPr>
      </w:pPr>
    </w:p>
    <w:p w14:paraId="7FAC7472">
      <w:pPr>
        <w:pStyle w:val="2"/>
        <w:rPr>
          <w:rFonts w:hint="eastAsia"/>
          <w:color w:val="000000" w:themeColor="text1"/>
          <w14:textFill>
            <w14:solidFill>
              <w14:schemeClr w14:val="tx1"/>
            </w14:solidFill>
          </w14:textFill>
        </w:rPr>
      </w:pPr>
    </w:p>
    <w:p w14:paraId="15FC2FF4">
      <w:pPr>
        <w:pStyle w:val="2"/>
        <w:rPr>
          <w:rFonts w:hint="eastAsia"/>
          <w:color w:val="000000" w:themeColor="text1"/>
          <w14:textFill>
            <w14:solidFill>
              <w14:schemeClr w14:val="tx1"/>
            </w14:solidFill>
          </w14:textFill>
        </w:rPr>
      </w:pPr>
    </w:p>
    <w:p w14:paraId="06C864E8">
      <w:pPr>
        <w:pStyle w:val="2"/>
        <w:rPr>
          <w:rFonts w:hint="eastAsia"/>
          <w:color w:val="000000" w:themeColor="text1"/>
          <w14:textFill>
            <w14:solidFill>
              <w14:schemeClr w14:val="tx1"/>
            </w14:solidFill>
          </w14:textFill>
        </w:rPr>
      </w:pPr>
    </w:p>
    <w:p w14:paraId="50D3D3C6">
      <w:pPr>
        <w:widowControl/>
        <w:numPr>
          <w:ilvl w:val="255"/>
          <w:numId w:val="0"/>
        </w:numPr>
        <w:adjustRightInd/>
        <w:spacing w:line="240" w:lineRule="auto"/>
        <w:jc w:val="center"/>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第五部分 拟签订的合同文本</w:t>
      </w:r>
    </w:p>
    <w:p w14:paraId="6970354F">
      <w:pPr>
        <w:widowControl/>
        <w:numPr>
          <w:ilvl w:val="255"/>
          <w:numId w:val="0"/>
        </w:numPr>
        <w:adjustRightInd/>
        <w:spacing w:line="360" w:lineRule="auto"/>
        <w:ind w:firstLine="22"/>
        <w:jc w:val="left"/>
        <w:rPr>
          <w:rFonts w:hint="eastAsia" w:ascii="宋体" w:hAnsi="宋体" w:cs="宋体"/>
          <w:b/>
          <w:color w:val="000000" w:themeColor="text1"/>
          <w:sz w:val="36"/>
          <w:szCs w:val="36"/>
          <w14:textFill>
            <w14:solidFill>
              <w14:schemeClr w14:val="tx1"/>
            </w14:solidFill>
          </w14:textFill>
        </w:rPr>
      </w:pPr>
    </w:p>
    <w:p w14:paraId="10BA0480">
      <w:pPr>
        <w:spacing w:line="360" w:lineRule="auto"/>
        <w:ind w:left="120" w:firstLine="2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合同编号：</w:t>
      </w:r>
      <w:r>
        <w:rPr>
          <w:rFonts w:hint="eastAsia" w:ascii="宋体" w:hAnsi="宋体" w:cs="宋体"/>
          <w:color w:val="000000" w:themeColor="text1"/>
          <w:sz w:val="24"/>
          <w:u w:val="single"/>
          <w14:textFill>
            <w14:solidFill>
              <w14:schemeClr w14:val="tx1"/>
            </w14:solidFill>
          </w14:textFill>
        </w:rPr>
        <w:t xml:space="preserve">           </w:t>
      </w:r>
    </w:p>
    <w:p w14:paraId="4B4B4C16">
      <w:pPr>
        <w:spacing w:line="360" w:lineRule="auto"/>
        <w:ind w:left="120" w:firstLine="22"/>
        <w:jc w:val="center"/>
        <w:rPr>
          <w:rFonts w:hint="eastAsia" w:ascii="宋体" w:hAnsi="宋体" w:cs="宋体"/>
          <w:b/>
          <w:color w:val="000000" w:themeColor="text1"/>
          <w:sz w:val="24"/>
          <w14:textFill>
            <w14:solidFill>
              <w14:schemeClr w14:val="tx1"/>
            </w14:solidFill>
          </w14:textFill>
        </w:rPr>
      </w:pPr>
    </w:p>
    <w:p w14:paraId="22B2BA91">
      <w:pPr>
        <w:spacing w:line="360" w:lineRule="auto"/>
        <w:ind w:left="120" w:firstLine="22"/>
        <w:jc w:val="center"/>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政府采购合同参考范本</w:t>
      </w:r>
    </w:p>
    <w:p w14:paraId="3DAC0699">
      <w:pPr>
        <w:spacing w:line="360" w:lineRule="auto"/>
        <w:ind w:left="120" w:firstLine="22"/>
        <w:jc w:val="center"/>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（服务类）</w:t>
      </w:r>
    </w:p>
    <w:p w14:paraId="0B85DEB9">
      <w:pPr>
        <w:pStyle w:val="701"/>
        <w:ind w:firstLine="2843" w:firstLineChars="1180"/>
        <w:outlineLvl w:val="1"/>
        <w:rPr>
          <w:rFonts w:hint="eastAsia"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第一部分 合同书</w:t>
      </w:r>
    </w:p>
    <w:p w14:paraId="29BE0918">
      <w:pPr>
        <w:spacing w:before="120" w:line="360" w:lineRule="auto"/>
        <w:ind w:left="120" w:firstLine="22"/>
        <w:rPr>
          <w:rFonts w:hint="eastAsia" w:ascii="宋体" w:hAnsi="宋体" w:cs="宋体"/>
          <w:color w:val="000000" w:themeColor="text1"/>
          <w:sz w:val="24"/>
          <w14:textFill>
            <w14:solidFill>
              <w14:schemeClr w14:val="tx1"/>
            </w14:solidFill>
          </w14:textFill>
        </w:rPr>
      </w:pPr>
    </w:p>
    <w:p w14:paraId="7A6FA5CC">
      <w:pPr>
        <w:spacing w:line="360" w:lineRule="auto"/>
        <w:ind w:left="120" w:firstLine="22"/>
        <w:rPr>
          <w:rFonts w:hint="eastAsia" w:ascii="宋体" w:hAnsi="宋体" w:cs="宋体"/>
          <w:color w:val="000000" w:themeColor="text1"/>
          <w14:textFill>
            <w14:solidFill>
              <w14:schemeClr w14:val="tx1"/>
            </w14:solidFill>
          </w14:textFill>
        </w:rPr>
      </w:pPr>
    </w:p>
    <w:p w14:paraId="28387946">
      <w:pPr>
        <w:spacing w:before="120"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 xml:space="preserve">                                   </w:t>
      </w:r>
    </w:p>
    <w:p w14:paraId="19913724">
      <w:pPr>
        <w:pStyle w:val="598"/>
        <w:spacing w:before="120"/>
        <w:ind w:left="120" w:firstLine="22"/>
        <w:rPr>
          <w:rFonts w:hint="eastAsia" w:ascii="宋体" w:hAnsi="宋体" w:eastAsia="宋体" w:cs="宋体"/>
          <w:color w:val="000000" w:themeColor="text1"/>
          <w:szCs w:val="24"/>
          <w14:textFill>
            <w14:solidFill>
              <w14:schemeClr w14:val="tx1"/>
            </w14:solidFill>
          </w14:textFill>
        </w:rPr>
      </w:pPr>
    </w:p>
    <w:p w14:paraId="72FD2935">
      <w:pPr>
        <w:pStyle w:val="598"/>
        <w:spacing w:before="120"/>
        <w:ind w:left="120" w:firstLine="22"/>
        <w:rPr>
          <w:rFonts w:hint="eastAsia" w:ascii="宋体" w:hAnsi="宋体" w:eastAsia="宋体" w:cs="宋体"/>
          <w:color w:val="000000" w:themeColor="text1"/>
          <w:szCs w:val="24"/>
          <w14:textFill>
            <w14:solidFill>
              <w14:schemeClr w14:val="tx1"/>
            </w14:solidFill>
          </w14:textFill>
        </w:rPr>
      </w:pPr>
    </w:p>
    <w:p w14:paraId="7522BAE1">
      <w:pPr>
        <w:spacing w:line="360" w:lineRule="auto"/>
        <w:ind w:left="120" w:firstLine="22"/>
        <w:rPr>
          <w:rFonts w:hint="eastAsia" w:ascii="宋体" w:hAnsi="宋体" w:cs="宋体"/>
          <w:color w:val="000000" w:themeColor="text1"/>
          <w:sz w:val="24"/>
          <w14:textFill>
            <w14:solidFill>
              <w14:schemeClr w14:val="tx1"/>
            </w14:solidFill>
          </w14:textFill>
        </w:rPr>
      </w:pPr>
    </w:p>
    <w:p w14:paraId="506847D8">
      <w:pPr>
        <w:spacing w:before="120" w:line="360" w:lineRule="auto"/>
        <w:ind w:left="120" w:firstLine="2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w:t>
      </w:r>
      <w:r>
        <w:rPr>
          <w:rFonts w:hint="eastAsia" w:ascii="宋体" w:hAnsi="宋体" w:cs="宋体"/>
          <w:color w:val="000000" w:themeColor="text1"/>
          <w:sz w:val="24"/>
          <w:u w:val="single"/>
          <w14:textFill>
            <w14:solidFill>
              <w14:schemeClr w14:val="tx1"/>
            </w14:solidFill>
          </w14:textFill>
        </w:rPr>
        <w:t xml:space="preserve">                                       </w:t>
      </w:r>
    </w:p>
    <w:p w14:paraId="4B98F7EB">
      <w:pPr>
        <w:spacing w:before="120" w:line="360" w:lineRule="auto"/>
        <w:ind w:left="120" w:firstLine="22"/>
        <w:rPr>
          <w:rFonts w:hint="eastAsia" w:ascii="宋体" w:hAnsi="宋体" w:cs="宋体"/>
          <w:color w:val="000000" w:themeColor="text1"/>
          <w:sz w:val="24"/>
          <w14:textFill>
            <w14:solidFill>
              <w14:schemeClr w14:val="tx1"/>
            </w14:solidFill>
          </w14:textFill>
        </w:rPr>
      </w:pPr>
    </w:p>
    <w:p w14:paraId="466BD307">
      <w:pPr>
        <w:spacing w:before="120" w:line="360" w:lineRule="auto"/>
        <w:ind w:left="120" w:firstLine="2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w:t>
      </w:r>
      <w:r>
        <w:rPr>
          <w:rFonts w:hint="eastAsia" w:ascii="宋体" w:hAnsi="宋体" w:cs="宋体"/>
          <w:color w:val="000000" w:themeColor="text1"/>
          <w:sz w:val="24"/>
          <w:u w:val="single"/>
          <w14:textFill>
            <w14:solidFill>
              <w14:schemeClr w14:val="tx1"/>
            </w14:solidFill>
          </w14:textFill>
        </w:rPr>
        <w:t xml:space="preserve">                                       </w:t>
      </w:r>
    </w:p>
    <w:p w14:paraId="318B9986">
      <w:pPr>
        <w:spacing w:before="120" w:line="360" w:lineRule="auto"/>
        <w:ind w:left="120" w:firstLine="22"/>
        <w:rPr>
          <w:rFonts w:hint="eastAsia" w:ascii="宋体" w:hAnsi="宋体" w:cs="宋体"/>
          <w:color w:val="000000" w:themeColor="text1"/>
          <w:sz w:val="24"/>
          <w14:textFill>
            <w14:solidFill>
              <w14:schemeClr w14:val="tx1"/>
            </w14:solidFill>
          </w14:textFill>
        </w:rPr>
      </w:pPr>
    </w:p>
    <w:p w14:paraId="538D6552">
      <w:pPr>
        <w:spacing w:before="120" w:line="360" w:lineRule="auto"/>
        <w:ind w:left="120" w:firstLine="960" w:firstLineChars="4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签订地：</w:t>
      </w:r>
      <w:r>
        <w:rPr>
          <w:rFonts w:hint="eastAsia" w:ascii="宋体" w:hAnsi="宋体" w:cs="宋体"/>
          <w:color w:val="000000" w:themeColor="text1"/>
          <w:sz w:val="24"/>
          <w:u w:val="single"/>
          <w14:textFill>
            <w14:solidFill>
              <w14:schemeClr w14:val="tx1"/>
            </w14:solidFill>
          </w14:textFill>
        </w:rPr>
        <w:t xml:space="preserve">                                     </w:t>
      </w:r>
    </w:p>
    <w:p w14:paraId="7274EB1B">
      <w:pPr>
        <w:spacing w:before="120" w:line="360" w:lineRule="auto"/>
        <w:ind w:left="120" w:firstLine="22"/>
        <w:rPr>
          <w:rFonts w:hint="eastAsia" w:ascii="宋体" w:hAnsi="宋体" w:cs="宋体"/>
          <w:color w:val="000000" w:themeColor="text1"/>
          <w:sz w:val="24"/>
          <w14:textFill>
            <w14:solidFill>
              <w14:schemeClr w14:val="tx1"/>
            </w14:solidFill>
          </w14:textFill>
        </w:rPr>
      </w:pPr>
    </w:p>
    <w:p w14:paraId="0A6C4F5E">
      <w:pPr>
        <w:spacing w:before="120" w:line="360" w:lineRule="auto"/>
        <w:ind w:left="120" w:firstLine="960" w:firstLineChars="4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签订日期：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782D73A1">
      <w:pPr>
        <w:widowControl/>
        <w:spacing w:line="360" w:lineRule="auto"/>
        <w:ind w:left="120" w:firstLine="22"/>
        <w:jc w:val="left"/>
        <w:rPr>
          <w:rFonts w:hint="eastAsia" w:ascii="宋体" w:hAnsi="宋体" w:cs="宋体"/>
          <w:color w:val="000000" w:themeColor="text1"/>
          <w:kern w:val="0"/>
          <w:sz w:val="24"/>
          <w14:textFill>
            <w14:solidFill>
              <w14:schemeClr w14:val="tx1"/>
            </w14:solidFill>
          </w14:textFill>
        </w:rPr>
        <w:sectPr>
          <w:pgSz w:w="11907" w:h="16840"/>
          <w:pgMar w:top="680" w:right="1134" w:bottom="471" w:left="1417" w:header="851" w:footer="851" w:gutter="0"/>
          <w:cols w:space="720" w:num="1"/>
        </w:sectPr>
      </w:pPr>
    </w:p>
    <w:p w14:paraId="02B9E752">
      <w:pPr>
        <w:spacing w:line="360" w:lineRule="auto"/>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年</w:t>
      </w: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月</w:t>
      </w: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日</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杭州市人民代表大会常务委员会办公厅</w:t>
      </w:r>
      <w:r>
        <w:rPr>
          <w:rFonts w:hint="eastAsia" w:ascii="宋体" w:hAnsi="宋体"/>
          <w:color w:val="000000" w:themeColor="text1"/>
          <w:sz w:val="24"/>
          <w14:textFill>
            <w14:solidFill>
              <w14:schemeClr w14:val="tx1"/>
            </w14:solidFill>
          </w14:textFill>
        </w:rPr>
        <w:t>以</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公开招标方式</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对</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2025至2026年电子阅文服务项目</w:t>
      </w:r>
      <w:r>
        <w:rPr>
          <w:rFonts w:hint="eastAsia" w:ascii="宋体" w:hAnsi="宋体"/>
          <w:color w:val="000000" w:themeColor="text1"/>
          <w:sz w:val="24"/>
          <w14:textFill>
            <w14:solidFill>
              <w14:schemeClr w14:val="tx1"/>
            </w14:solidFill>
          </w14:textFill>
        </w:rPr>
        <w:t>进行了采购。经评定，</w:t>
      </w:r>
      <w:r>
        <w:rPr>
          <w:rFonts w:ascii="宋体" w:hAnsi="宋体"/>
          <w:color w:val="000000" w:themeColor="text1"/>
          <w:sz w:val="24"/>
          <w:u w:val="single"/>
          <w14:textFill>
            <w14:solidFill>
              <w14:schemeClr w14:val="tx1"/>
            </w14:solidFill>
          </w14:textFill>
        </w:rPr>
        <w:t xml:space="preserve">   （中标供应商名称） </w:t>
      </w:r>
      <w:r>
        <w:rPr>
          <w:rFonts w:hint="eastAsia" w:ascii="宋体" w:hAnsi="宋体"/>
          <w:color w:val="000000" w:themeColor="text1"/>
          <w:sz w:val="24"/>
          <w14:textFill>
            <w14:solidFill>
              <w14:schemeClr w14:val="tx1"/>
            </w14:solidFill>
          </w14:textFill>
        </w:rPr>
        <w:t>为该项目中标供应商。现于中标通知书发出之日起10个工作日内，按照采购文件确定的事项签订本合同。</w:t>
      </w:r>
    </w:p>
    <w:p w14:paraId="30EBE3C5">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宋体" w:hAnsi="宋体" w:cs="宋体"/>
          <w:color w:val="000000" w:themeColor="text1"/>
          <w:sz w:val="24"/>
          <w:u w:val="single"/>
          <w14:textFill>
            <w14:solidFill>
              <w14:schemeClr w14:val="tx1"/>
            </w14:solidFill>
          </w14:textFill>
        </w:rPr>
        <w:t>杭州市人民代表大会常务委员会办公厅</w:t>
      </w:r>
      <w:r>
        <w:rPr>
          <w:rFonts w:ascii="宋体" w:hAnsi="宋体"/>
          <w:color w:val="000000" w:themeColor="text1"/>
          <w:sz w:val="24"/>
          <w:lang w:val="zh-CN"/>
          <w14:textFill>
            <w14:solidFill>
              <w14:schemeClr w14:val="tx1"/>
            </w14:solidFill>
          </w14:textFill>
        </w:rPr>
        <w:t>(以下简称：甲方)和</w:t>
      </w:r>
      <w:r>
        <w:rPr>
          <w:rFonts w:ascii="宋体" w:hAnsi="宋体"/>
          <w:color w:val="000000" w:themeColor="text1"/>
          <w:sz w:val="24"/>
          <w:u w:val="single"/>
          <w14:textFill>
            <w14:solidFill>
              <w14:schemeClr w14:val="tx1"/>
            </w14:solidFill>
          </w14:textFill>
        </w:rPr>
        <w:t xml:space="preserve">   （中标供应商名称）   </w:t>
      </w:r>
      <w:r>
        <w:rPr>
          <w:rFonts w:ascii="宋体" w:hAnsi="宋体"/>
          <w:color w:val="000000" w:themeColor="text1"/>
          <w:sz w:val="24"/>
          <w:lang w:val="zh-CN"/>
          <w14:textFill>
            <w14:solidFill>
              <w14:schemeClr w14:val="tx1"/>
            </w14:solidFill>
          </w14:textFill>
        </w:rPr>
        <w:t>(以下简称：乙方)协商一致，约定以下合同</w:t>
      </w:r>
      <w:r>
        <w:rPr>
          <w:rFonts w:hint="eastAsia" w:ascii="宋体" w:hAnsi="宋体"/>
          <w:color w:val="000000" w:themeColor="text1"/>
          <w:sz w:val="24"/>
          <w14:textFill>
            <w14:solidFill>
              <w14:schemeClr w14:val="tx1"/>
            </w14:solidFill>
          </w14:textFill>
        </w:rPr>
        <w:t>条款，以兹共同遵守、全面履行。</w:t>
      </w:r>
    </w:p>
    <w:p w14:paraId="648DD223">
      <w:pPr>
        <w:pStyle w:val="26"/>
        <w:spacing w:line="360" w:lineRule="auto"/>
        <w:rPr>
          <w:rFonts w:hint="eastAsia" w:cs="仿宋"/>
          <w:color w:val="000000" w:themeColor="text1"/>
          <w14:textFill>
            <w14:solidFill>
              <w14:schemeClr w14:val="tx1"/>
            </w14:solidFill>
          </w14:textFill>
        </w:rPr>
      </w:pPr>
    </w:p>
    <w:p w14:paraId="2FC363D4">
      <w:pPr>
        <w:snapToGrid w:val="0"/>
        <w:spacing w:line="360" w:lineRule="auto"/>
        <w:ind w:firstLine="482" w:firstLineChars="200"/>
        <w:outlineLvl w:val="0"/>
        <w:rPr>
          <w:rFonts w:hint="eastAsia" w:ascii="宋体" w:hAnsi="宋体" w:cs="仿宋"/>
          <w:b/>
          <w:color w:val="000000" w:themeColor="text1"/>
          <w:sz w:val="24"/>
          <w14:textFill>
            <w14:solidFill>
              <w14:schemeClr w14:val="tx1"/>
            </w14:solidFill>
          </w14:textFill>
        </w:rPr>
      </w:pPr>
      <w:bookmarkStart w:id="436" w:name="_Toc24059"/>
      <w:bookmarkStart w:id="437" w:name="_Toc2232"/>
      <w:bookmarkStart w:id="438" w:name="_Toc3029"/>
      <w:r>
        <w:rPr>
          <w:rFonts w:hint="eastAsia" w:ascii="宋体" w:hAnsi="宋体" w:cs="仿宋"/>
          <w:b/>
          <w:color w:val="000000" w:themeColor="text1"/>
          <w:sz w:val="24"/>
          <w14:textFill>
            <w14:solidFill>
              <w14:schemeClr w14:val="tx1"/>
            </w14:solidFill>
          </w14:textFill>
        </w:rPr>
        <w:t>1.1 合同组成部分</w:t>
      </w:r>
      <w:bookmarkEnd w:id="436"/>
      <w:bookmarkEnd w:id="437"/>
      <w:bookmarkEnd w:id="438"/>
    </w:p>
    <w:p w14:paraId="75D9910E">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69ECC82">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1.1.1 本合同及其补充合同、变更协议；</w:t>
      </w:r>
    </w:p>
    <w:p w14:paraId="05186BF9">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1.1.2 中标通知书；</w:t>
      </w:r>
    </w:p>
    <w:p w14:paraId="14F2F3A5">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1.1.3 投标文件（含澄清或者说明文件）；</w:t>
      </w:r>
    </w:p>
    <w:p w14:paraId="4779BFA8">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1.1.4 招标文件（含澄清或者修改文件）；</w:t>
      </w:r>
    </w:p>
    <w:p w14:paraId="24BA6B25">
      <w:pPr>
        <w:snapToGrid w:val="0"/>
        <w:spacing w:line="360" w:lineRule="auto"/>
        <w:ind w:firstLine="480" w:firstLineChars="200"/>
        <w:rPr>
          <w:rFonts w:hint="eastAsia" w:ascii="宋体" w:hAnsi="宋体" w:cs="仿宋"/>
          <w:b/>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1.1.5 其他相关采购文件。</w:t>
      </w:r>
      <w:bookmarkStart w:id="439" w:name="_Toc24300"/>
      <w:bookmarkStart w:id="440" w:name="_Toc27126"/>
      <w:bookmarkStart w:id="441" w:name="_Toc21295"/>
    </w:p>
    <w:p w14:paraId="1EAD3F7D">
      <w:pPr>
        <w:snapToGrid w:val="0"/>
        <w:spacing w:line="360" w:lineRule="auto"/>
        <w:ind w:firstLine="482" w:firstLineChars="200"/>
        <w:outlineLvl w:val="0"/>
        <w:rPr>
          <w:rFonts w:hint="eastAsia" w:ascii="宋体" w:hAnsi="宋体" w:cs="仿宋"/>
          <w:b/>
          <w:color w:val="000000" w:themeColor="text1"/>
          <w:sz w:val="24"/>
          <w14:textFill>
            <w14:solidFill>
              <w14:schemeClr w14:val="tx1"/>
            </w14:solidFill>
          </w14:textFill>
        </w:rPr>
      </w:pPr>
      <w:r>
        <w:rPr>
          <w:rFonts w:hint="eastAsia" w:ascii="宋体" w:hAnsi="宋体" w:cs="仿宋"/>
          <w:b/>
          <w:color w:val="000000" w:themeColor="text1"/>
          <w:sz w:val="24"/>
          <w14:textFill>
            <w14:solidFill>
              <w14:schemeClr w14:val="tx1"/>
            </w14:solidFill>
          </w14:textFill>
        </w:rPr>
        <w:t xml:space="preserve">1.2 </w:t>
      </w:r>
      <w:bookmarkEnd w:id="439"/>
      <w:bookmarkEnd w:id="440"/>
      <w:bookmarkEnd w:id="441"/>
      <w:r>
        <w:rPr>
          <w:rFonts w:hint="eastAsia" w:ascii="宋体" w:hAnsi="宋体" w:cs="仿宋"/>
          <w:b/>
          <w:color w:val="000000" w:themeColor="text1"/>
          <w:sz w:val="24"/>
          <w14:textFill>
            <w14:solidFill>
              <w14:schemeClr w14:val="tx1"/>
            </w14:solidFill>
          </w14:textFill>
        </w:rPr>
        <w:t>服务要求</w:t>
      </w:r>
    </w:p>
    <w:p w14:paraId="7769581A">
      <w:pPr>
        <w:snapToGrid w:val="0"/>
        <w:spacing w:line="360" w:lineRule="auto"/>
        <w:ind w:firstLine="480" w:firstLineChars="200"/>
        <w:rPr>
          <w:rFonts w:hint="eastAsia" w:ascii="宋体" w:hAnsi="宋体" w:cs="仿宋"/>
          <w:color w:val="000000" w:themeColor="text1"/>
          <w:sz w:val="24"/>
          <w:u w:val="single"/>
          <w14:textFill>
            <w14:solidFill>
              <w14:schemeClr w14:val="tx1"/>
            </w14:solidFill>
          </w14:textFill>
        </w:rPr>
      </w:pPr>
      <w:r>
        <w:rPr>
          <w:rFonts w:hint="eastAsia" w:ascii="宋体" w:hAnsi="宋体" w:cs="仿宋"/>
          <w:color w:val="000000" w:themeColor="text1"/>
          <w:sz w:val="24"/>
          <w14:textFill>
            <w14:solidFill>
              <w14:schemeClr w14:val="tx1"/>
            </w14:solidFill>
          </w14:textFill>
        </w:rPr>
        <w:t>1.2.1 服务内容：</w:t>
      </w:r>
      <w:r>
        <w:rPr>
          <w:rFonts w:hint="eastAsia" w:ascii="宋体" w:hAnsi="宋体" w:cs="仿宋"/>
          <w:color w:val="000000" w:themeColor="text1"/>
          <w:sz w:val="24"/>
          <w:u w:val="single"/>
          <w14:textFill>
            <w14:solidFill>
              <w14:schemeClr w14:val="tx1"/>
            </w14:solidFill>
          </w14:textFill>
        </w:rPr>
        <w:t>为杭州市第十四届人民代表大会提供859套电子阅文服务，含：会议服务、会务服务、安全服务、运维服务、云资源及流量短信服务、日常驻点服务、大会期间保障服务；提供满足等保二级的安全服务；</w:t>
      </w:r>
    </w:p>
    <w:p w14:paraId="1F65D868">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1.2.2 乙方提供服务期限为2025年  月  日至2027年  月  日。</w:t>
      </w:r>
    </w:p>
    <w:p w14:paraId="212BC41B">
      <w:pPr>
        <w:snapToGrid w:val="0"/>
        <w:spacing w:line="360" w:lineRule="auto"/>
        <w:ind w:firstLine="482" w:firstLineChars="200"/>
        <w:outlineLvl w:val="0"/>
        <w:rPr>
          <w:rFonts w:hint="eastAsia" w:ascii="宋体" w:hAnsi="宋体" w:cs="仿宋"/>
          <w:b/>
          <w:color w:val="000000" w:themeColor="text1"/>
          <w:sz w:val="24"/>
          <w14:textFill>
            <w14:solidFill>
              <w14:schemeClr w14:val="tx1"/>
            </w14:solidFill>
          </w14:textFill>
        </w:rPr>
      </w:pPr>
      <w:bookmarkStart w:id="442" w:name="_Toc23292"/>
      <w:bookmarkStart w:id="443" w:name="_Toc21631"/>
      <w:bookmarkStart w:id="444" w:name="_Toc21551"/>
      <w:r>
        <w:rPr>
          <w:rFonts w:hint="eastAsia" w:ascii="宋体" w:hAnsi="宋体" w:cs="仿宋"/>
          <w:b/>
          <w:color w:val="000000" w:themeColor="text1"/>
          <w:sz w:val="24"/>
          <w14:textFill>
            <w14:solidFill>
              <w14:schemeClr w14:val="tx1"/>
            </w14:solidFill>
          </w14:textFill>
        </w:rPr>
        <w:t>1.3 价款</w:t>
      </w:r>
      <w:bookmarkEnd w:id="442"/>
      <w:bookmarkEnd w:id="443"/>
      <w:bookmarkEnd w:id="444"/>
    </w:p>
    <w:p w14:paraId="270F0DBC">
      <w:pPr>
        <w:snapToGrid w:val="0"/>
        <w:spacing w:line="360" w:lineRule="auto"/>
        <w:ind w:firstLine="480" w:firstLineChars="200"/>
        <w:outlineLvl w:val="0"/>
        <w:rPr>
          <w:rFonts w:hint="eastAsia" w:ascii="宋体" w:hAnsi="宋体" w:cs="仿宋"/>
          <w:b/>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本项目合同总价为：     元（大写：    元人民币）：包含电子阅文服务费、云资源服务费、流量服务费、运维服务费。</w:t>
      </w:r>
      <w:bookmarkStart w:id="445" w:name="_Toc22618"/>
      <w:bookmarkStart w:id="446" w:name="_Toc10340"/>
      <w:bookmarkStart w:id="447" w:name="_Toc1814"/>
    </w:p>
    <w:p w14:paraId="078EBB8B">
      <w:pPr>
        <w:snapToGrid w:val="0"/>
        <w:spacing w:line="360" w:lineRule="auto"/>
        <w:ind w:firstLine="482" w:firstLineChars="200"/>
        <w:outlineLvl w:val="0"/>
        <w:rPr>
          <w:rFonts w:hint="eastAsia" w:ascii="宋体" w:hAnsi="宋体" w:cs="仿宋"/>
          <w:b/>
          <w:color w:val="000000" w:themeColor="text1"/>
          <w:sz w:val="24"/>
          <w14:textFill>
            <w14:solidFill>
              <w14:schemeClr w14:val="tx1"/>
            </w14:solidFill>
          </w14:textFill>
        </w:rPr>
      </w:pPr>
      <w:r>
        <w:rPr>
          <w:rFonts w:hint="eastAsia" w:ascii="宋体" w:hAnsi="宋体" w:cs="仿宋"/>
          <w:b/>
          <w:color w:val="000000" w:themeColor="text1"/>
          <w:sz w:val="24"/>
          <w14:textFill>
            <w14:solidFill>
              <w14:schemeClr w14:val="tx1"/>
            </w14:solidFill>
          </w14:textFill>
        </w:rPr>
        <w:t xml:space="preserve">1.4 </w:t>
      </w:r>
      <w:bookmarkEnd w:id="445"/>
      <w:bookmarkEnd w:id="446"/>
      <w:bookmarkEnd w:id="447"/>
      <w:r>
        <w:rPr>
          <w:rFonts w:hint="eastAsia" w:ascii="宋体" w:hAnsi="宋体" w:cs="仿宋"/>
          <w:b/>
          <w:color w:val="000000" w:themeColor="text1"/>
          <w:sz w:val="24"/>
          <w14:textFill>
            <w14:solidFill>
              <w14:schemeClr w14:val="tx1"/>
            </w14:solidFill>
          </w14:textFill>
        </w:rPr>
        <w:t>资金支付</w:t>
      </w:r>
    </w:p>
    <w:p w14:paraId="09BD7999">
      <w:pPr>
        <w:pStyle w:val="959"/>
        <w:spacing w:before="0" w:beforeAutospacing="0" w:after="0" w:afterAutospacing="0" w:line="360" w:lineRule="auto"/>
        <w:ind w:left="120" w:firstLine="501" w:firstLineChars="209"/>
        <w:rPr>
          <w:rFonts w:hint="eastAsia"/>
          <w:color w:val="000000" w:themeColor="text1"/>
          <w14:textFill>
            <w14:solidFill>
              <w14:schemeClr w14:val="tx1"/>
            </w14:solidFill>
          </w14:textFill>
        </w:rPr>
      </w:pPr>
      <w:r>
        <w:rPr>
          <w:rFonts w:hint="eastAsia" w:cs="仿宋"/>
          <w:color w:val="000000" w:themeColor="text1"/>
          <w14:textFill>
            <w14:solidFill>
              <w14:schemeClr w14:val="tx1"/>
            </w14:solidFill>
          </w14:textFill>
        </w:rPr>
        <w:t>1.4.1</w:t>
      </w:r>
      <w:r>
        <w:rPr>
          <w:rFonts w:hint="eastAsia"/>
          <w:color w:val="000000" w:themeColor="text1"/>
          <w14:textFill>
            <w14:solidFill>
              <w14:schemeClr w14:val="tx1"/>
            </w14:solidFill>
          </w14:textFill>
        </w:rPr>
        <w:t>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4EE9B9A">
      <w:pPr>
        <w:snapToGrid w:val="0"/>
        <w:spacing w:line="360" w:lineRule="auto"/>
        <w:ind w:firstLine="480" w:firstLineChars="200"/>
        <w:outlineLvl w:val="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1.4.2资金支付的方式、时间和条件详见</w:t>
      </w:r>
      <w:r>
        <w:rPr>
          <w:rFonts w:hint="eastAsia" w:ascii="宋体" w:hAnsi="宋体" w:cs="仿宋"/>
          <w:b/>
          <w:i/>
          <w:color w:val="000000" w:themeColor="text1"/>
          <w:sz w:val="24"/>
          <w:u w:val="single"/>
          <w14:textFill>
            <w14:solidFill>
              <w14:schemeClr w14:val="tx1"/>
            </w14:solidFill>
          </w14:textFill>
        </w:rPr>
        <w:t>合同专用条款</w:t>
      </w:r>
      <w:r>
        <w:rPr>
          <w:rFonts w:hint="eastAsia" w:ascii="宋体" w:hAnsi="宋体" w:cs="仿宋"/>
          <w:color w:val="000000" w:themeColor="text1"/>
          <w:sz w:val="24"/>
          <w14:textFill>
            <w14:solidFill>
              <w14:schemeClr w14:val="tx1"/>
            </w14:solidFill>
          </w14:textFill>
        </w:rPr>
        <w:t>。</w:t>
      </w:r>
    </w:p>
    <w:p w14:paraId="10D4458E">
      <w:pPr>
        <w:snapToGrid w:val="0"/>
        <w:spacing w:line="360" w:lineRule="auto"/>
        <w:ind w:firstLine="482" w:firstLineChars="200"/>
        <w:outlineLvl w:val="0"/>
        <w:rPr>
          <w:rFonts w:hint="eastAsia" w:ascii="宋体" w:hAnsi="宋体" w:cs="仿宋"/>
          <w:b/>
          <w:color w:val="000000" w:themeColor="text1"/>
          <w:sz w:val="24"/>
          <w14:textFill>
            <w14:solidFill>
              <w14:schemeClr w14:val="tx1"/>
            </w14:solidFill>
          </w14:textFill>
        </w:rPr>
      </w:pPr>
      <w:bookmarkStart w:id="448" w:name="_Toc19304"/>
      <w:bookmarkStart w:id="449" w:name="_Toc32071"/>
      <w:bookmarkStart w:id="450" w:name="_Toc2846"/>
      <w:r>
        <w:rPr>
          <w:rFonts w:hint="eastAsia" w:ascii="宋体" w:hAnsi="宋体" w:cs="仿宋"/>
          <w:b/>
          <w:color w:val="000000" w:themeColor="text1"/>
          <w:sz w:val="24"/>
          <w14:textFill>
            <w14:solidFill>
              <w14:schemeClr w14:val="tx1"/>
            </w14:solidFill>
          </w14:textFill>
        </w:rPr>
        <w:t>1.5 服务交付期限、地点和方式</w:t>
      </w:r>
      <w:bookmarkEnd w:id="448"/>
      <w:bookmarkEnd w:id="449"/>
      <w:bookmarkEnd w:id="450"/>
    </w:p>
    <w:p w14:paraId="3A7D0D90">
      <w:pPr>
        <w:snapToGrid w:val="0"/>
        <w:spacing w:line="360" w:lineRule="auto"/>
        <w:ind w:firstLine="480" w:firstLineChars="200"/>
        <w:rPr>
          <w:rFonts w:hint="eastAsia" w:ascii="宋体" w:hAnsi="宋体" w:cs="仿宋"/>
          <w:color w:val="000000" w:themeColor="text1"/>
          <w:sz w:val="24"/>
          <w:u w:val="single"/>
          <w14:textFill>
            <w14:solidFill>
              <w14:schemeClr w14:val="tx1"/>
            </w14:solidFill>
          </w14:textFill>
        </w:rPr>
      </w:pPr>
      <w:r>
        <w:rPr>
          <w:rFonts w:hint="eastAsia" w:ascii="宋体" w:hAnsi="宋体" w:cs="仿宋"/>
          <w:color w:val="000000" w:themeColor="text1"/>
          <w:sz w:val="24"/>
          <w14:textFill>
            <w14:solidFill>
              <w14:schemeClr w14:val="tx1"/>
            </w14:solidFill>
          </w14:textFill>
        </w:rPr>
        <w:t>1.5.1 交付期限：详见</w:t>
      </w:r>
      <w:r>
        <w:rPr>
          <w:rFonts w:hint="eastAsia" w:ascii="宋体" w:hAnsi="宋体" w:cs="仿宋"/>
          <w:b/>
          <w:i/>
          <w:color w:val="000000" w:themeColor="text1"/>
          <w:sz w:val="24"/>
          <w:u w:val="single"/>
          <w14:textFill>
            <w14:solidFill>
              <w14:schemeClr w14:val="tx1"/>
            </w14:solidFill>
          </w14:textFill>
        </w:rPr>
        <w:t>合同专用条款</w:t>
      </w:r>
      <w:r>
        <w:rPr>
          <w:rFonts w:hint="eastAsia" w:ascii="宋体" w:hAnsi="宋体" w:cs="仿宋"/>
          <w:color w:val="000000" w:themeColor="text1"/>
          <w:sz w:val="24"/>
          <w14:textFill>
            <w14:solidFill>
              <w14:schemeClr w14:val="tx1"/>
            </w14:solidFill>
          </w14:textFill>
        </w:rPr>
        <w:t>；</w:t>
      </w:r>
    </w:p>
    <w:p w14:paraId="6A7E10E5">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1.5.2 交付地点：</w:t>
      </w:r>
      <w:r>
        <w:rPr>
          <w:rFonts w:hint="eastAsia" w:ascii="宋体" w:hAnsi="宋体" w:cs="仿宋"/>
          <w:b/>
          <w:i/>
          <w:color w:val="000000" w:themeColor="text1"/>
          <w:sz w:val="24"/>
          <w:u w:val="single"/>
          <w14:textFill>
            <w14:solidFill>
              <w14:schemeClr w14:val="tx1"/>
            </w14:solidFill>
          </w14:textFill>
        </w:rPr>
        <w:t>合同专用条款</w:t>
      </w:r>
      <w:r>
        <w:rPr>
          <w:rFonts w:hint="eastAsia" w:ascii="宋体" w:hAnsi="宋体" w:cs="仿宋"/>
          <w:color w:val="000000" w:themeColor="text1"/>
          <w:sz w:val="24"/>
          <w14:textFill>
            <w14:solidFill>
              <w14:schemeClr w14:val="tx1"/>
            </w14:solidFill>
          </w14:textFill>
        </w:rPr>
        <w:t>；</w:t>
      </w:r>
    </w:p>
    <w:p w14:paraId="015B1B41">
      <w:pPr>
        <w:snapToGrid w:val="0"/>
        <w:spacing w:line="360" w:lineRule="auto"/>
        <w:ind w:firstLine="480" w:firstLineChars="200"/>
        <w:rPr>
          <w:rFonts w:hint="eastAsia" w:ascii="宋体" w:hAnsi="宋体" w:cs="仿宋"/>
          <w:b/>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1.5.3 交付方式：</w:t>
      </w:r>
      <w:r>
        <w:rPr>
          <w:rFonts w:hint="eastAsia" w:ascii="宋体" w:hAnsi="宋体" w:cs="仿宋"/>
          <w:b/>
          <w:i/>
          <w:color w:val="000000" w:themeColor="text1"/>
          <w:sz w:val="24"/>
          <w:u w:val="single"/>
          <w14:textFill>
            <w14:solidFill>
              <w14:schemeClr w14:val="tx1"/>
            </w14:solidFill>
          </w14:textFill>
        </w:rPr>
        <w:t>合同专用条款</w:t>
      </w:r>
      <w:r>
        <w:rPr>
          <w:rFonts w:hint="eastAsia" w:ascii="宋体" w:hAnsi="宋体" w:cs="仿宋"/>
          <w:color w:val="000000" w:themeColor="text1"/>
          <w:sz w:val="24"/>
          <w14:textFill>
            <w14:solidFill>
              <w14:schemeClr w14:val="tx1"/>
            </w14:solidFill>
          </w14:textFill>
        </w:rPr>
        <w:t>。</w:t>
      </w:r>
    </w:p>
    <w:p w14:paraId="1F313BF8">
      <w:pPr>
        <w:snapToGrid w:val="0"/>
        <w:spacing w:line="360" w:lineRule="auto"/>
        <w:ind w:firstLine="482" w:firstLineChars="200"/>
        <w:jc w:val="left"/>
        <w:outlineLvl w:val="0"/>
        <w:rPr>
          <w:rFonts w:hint="eastAsia" w:ascii="宋体" w:hAnsi="宋体" w:cs="仿宋"/>
          <w:b/>
          <w:color w:val="000000" w:themeColor="text1"/>
          <w:sz w:val="24"/>
          <w14:textFill>
            <w14:solidFill>
              <w14:schemeClr w14:val="tx1"/>
            </w14:solidFill>
          </w14:textFill>
        </w:rPr>
      </w:pPr>
      <w:r>
        <w:rPr>
          <w:rFonts w:hint="eastAsia" w:ascii="宋体" w:hAnsi="宋体" w:cs="仿宋"/>
          <w:b/>
          <w:color w:val="000000" w:themeColor="text1"/>
          <w:sz w:val="24"/>
          <w14:textFill>
            <w14:solidFill>
              <w14:schemeClr w14:val="tx1"/>
            </w14:solidFill>
          </w14:textFill>
        </w:rPr>
        <w:t>1.6售后服务</w:t>
      </w:r>
    </w:p>
    <w:p w14:paraId="3ED66B24">
      <w:pPr>
        <w:pStyle w:val="26"/>
        <w:spacing w:line="360" w:lineRule="auto"/>
        <w:jc w:val="left"/>
        <w:rPr>
          <w:rFonts w:hint="eastAsia"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1.6.1 提供1名人员现场日常驻点服务;</w:t>
      </w:r>
    </w:p>
    <w:p w14:paraId="42D92573">
      <w:pPr>
        <w:spacing w:line="360" w:lineRule="auto"/>
        <w:ind w:firstLine="480" w:firstLineChars="200"/>
        <w:jc w:val="lef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1.6.2 大会期间，提供5人及以上现场驻点保障服务;</w:t>
      </w:r>
    </w:p>
    <w:p w14:paraId="1F7E7503">
      <w:pPr>
        <w:pStyle w:val="26"/>
        <w:spacing w:line="360" w:lineRule="auto"/>
        <w:jc w:val="left"/>
        <w:rPr>
          <w:rFonts w:hint="eastAsia"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1.6.3 提供7*24小时售后技术服务，在接到用产故障报告后，15分钟内做出明确相应和安排，修复时同不超过2小时，不能修复的提供备品备件替换。</w:t>
      </w:r>
    </w:p>
    <w:p w14:paraId="515BAB76">
      <w:pPr>
        <w:snapToGrid w:val="0"/>
        <w:spacing w:before="120" w:beforeLines="50" w:line="360" w:lineRule="auto"/>
        <w:ind w:firstLine="482" w:firstLineChars="200"/>
        <w:jc w:val="left"/>
        <w:outlineLvl w:val="0"/>
        <w:rPr>
          <w:rFonts w:hint="eastAsia" w:ascii="宋体" w:hAnsi="宋体" w:cs="仿宋"/>
          <w:b/>
          <w:color w:val="000000" w:themeColor="text1"/>
          <w:sz w:val="24"/>
          <w14:textFill>
            <w14:solidFill>
              <w14:schemeClr w14:val="tx1"/>
            </w14:solidFill>
          </w14:textFill>
        </w:rPr>
      </w:pPr>
      <w:r>
        <w:rPr>
          <w:rFonts w:hint="eastAsia" w:ascii="宋体" w:hAnsi="宋体" w:cs="仿宋"/>
          <w:b/>
          <w:color w:val="000000" w:themeColor="text1"/>
          <w:sz w:val="24"/>
          <w14:textFill>
            <w14:solidFill>
              <w14:schemeClr w14:val="tx1"/>
            </w14:solidFill>
          </w14:textFill>
        </w:rPr>
        <w:t>1.7安全保障</w:t>
      </w:r>
    </w:p>
    <w:p w14:paraId="44CDB09F">
      <w:pPr>
        <w:snapToGrid w:val="0"/>
        <w:spacing w:line="360" w:lineRule="auto"/>
        <w:ind w:firstLine="480" w:firstLineChars="200"/>
        <w:jc w:val="left"/>
        <w:outlineLvl w:val="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1.7.1数据保护和隐私：乙方应确保项目数据的保密性和完整性；乙方不得收集、使用或披露甲方的身份信息（PII）或其他敏感信息，除非获得甲方的明确授权。</w:t>
      </w:r>
    </w:p>
    <w:p w14:paraId="21FDAD0A">
      <w:pPr>
        <w:snapToGrid w:val="0"/>
        <w:spacing w:line="360" w:lineRule="auto"/>
        <w:ind w:firstLine="480" w:firstLineChars="200"/>
        <w:jc w:val="left"/>
        <w:outlineLvl w:val="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1.7.2访问控制：乙方应实施适当的访问控制措施，以确保只有经授权的人员可以访问项目系统和数据。</w:t>
      </w:r>
    </w:p>
    <w:p w14:paraId="1BE413FB">
      <w:pPr>
        <w:snapToGrid w:val="0"/>
        <w:spacing w:line="360" w:lineRule="auto"/>
        <w:ind w:firstLine="480" w:firstLineChars="200"/>
        <w:jc w:val="left"/>
        <w:outlineLvl w:val="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1.7.3安全漏洞管理：乙方应建立和维护漏洞管理机制，及时发现并纠正系统中的安全漏洞;对已知漏洞应及时修复，并在修复前采取临时措施减轻风险。</w:t>
      </w:r>
    </w:p>
    <w:p w14:paraId="17DF3244">
      <w:pPr>
        <w:snapToGrid w:val="0"/>
        <w:spacing w:line="360" w:lineRule="auto"/>
        <w:ind w:firstLine="480" w:firstLineChars="200"/>
        <w:jc w:val="left"/>
        <w:outlineLvl w:val="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1.7.4监控和检测：乙方应实施监控和检测机制，派遣人员进行网络安全巡检保障以及时发现和应对安全隐患或事件。</w:t>
      </w:r>
    </w:p>
    <w:p w14:paraId="68982960">
      <w:pPr>
        <w:snapToGrid w:val="0"/>
        <w:spacing w:line="360" w:lineRule="auto"/>
        <w:ind w:firstLine="480" w:firstLineChars="200"/>
        <w:jc w:val="left"/>
        <w:outlineLvl w:val="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1.7.5数据备份和恢复：乙方应制定和执行数据备份和恢复计划，确保在数据丢失或损坏时能够快速恢复。</w:t>
      </w:r>
    </w:p>
    <w:p w14:paraId="30783D70">
      <w:pPr>
        <w:snapToGrid w:val="0"/>
        <w:spacing w:line="360" w:lineRule="auto"/>
        <w:ind w:firstLine="480" w:firstLineChars="200"/>
        <w:jc w:val="left"/>
        <w:outlineLvl w:val="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1.7.6合规性和法律责任：乙方应遵守相关法律法规和行业标准，包括但不限于数据安全法、保密法、网络安全法等国家法律法规及标准规范。</w:t>
      </w:r>
    </w:p>
    <w:p w14:paraId="0FD9CB4E">
      <w:pPr>
        <w:snapToGrid w:val="0"/>
        <w:spacing w:line="360" w:lineRule="auto"/>
        <w:ind w:firstLine="480" w:firstLineChars="200"/>
        <w:jc w:val="left"/>
        <w:outlineLvl w:val="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1.7.7通知义务：在发生安全事件或数据泄露时，乙方有义务第一时间通知甲方，并提供详细的事故报告。</w:t>
      </w:r>
    </w:p>
    <w:p w14:paraId="31592C1B">
      <w:pPr>
        <w:snapToGrid w:val="0"/>
        <w:spacing w:line="360" w:lineRule="auto"/>
        <w:ind w:firstLine="480" w:firstLineChars="200"/>
        <w:jc w:val="left"/>
        <w:outlineLvl w:val="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1.7.8网络安全巡检：乙方应安排人员每周进行不低于一次的网络安全巡检，并出具网络安全巡检报告。</w:t>
      </w:r>
    </w:p>
    <w:p w14:paraId="44FDC733">
      <w:pPr>
        <w:snapToGrid w:val="0"/>
        <w:spacing w:line="360" w:lineRule="auto"/>
        <w:ind w:firstLine="480" w:firstLineChars="200"/>
        <w:jc w:val="left"/>
        <w:outlineLvl w:val="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1.7.9合同终止条件：规定在乙方违反网络安全条款或无法满足安全要求的情况下，甲方有权终止合同并采取法律行动。</w:t>
      </w:r>
    </w:p>
    <w:p w14:paraId="56CFBCA1">
      <w:pPr>
        <w:snapToGrid w:val="0"/>
        <w:spacing w:line="360" w:lineRule="auto"/>
        <w:ind w:firstLine="482"/>
        <w:outlineLvl w:val="0"/>
        <w:rPr>
          <w:rFonts w:hint="eastAsia" w:ascii="宋体" w:hAnsi="宋体" w:cs="仿宋"/>
          <w:b/>
          <w:color w:val="000000" w:themeColor="text1"/>
          <w:sz w:val="24"/>
          <w14:textFill>
            <w14:solidFill>
              <w14:schemeClr w14:val="tx1"/>
            </w14:solidFill>
          </w14:textFill>
        </w:rPr>
      </w:pPr>
      <w:r>
        <w:rPr>
          <w:rFonts w:hint="eastAsia" w:ascii="宋体" w:hAnsi="宋体" w:cs="仿宋"/>
          <w:b/>
          <w:color w:val="000000" w:themeColor="text1"/>
          <w:sz w:val="24"/>
          <w14:textFill>
            <w14:solidFill>
              <w14:schemeClr w14:val="tx1"/>
            </w14:solidFill>
          </w14:textFill>
        </w:rPr>
        <w:t>1.8乙方的责任与义务</w:t>
      </w:r>
    </w:p>
    <w:p w14:paraId="7A8442CD">
      <w:pPr>
        <w:pStyle w:val="26"/>
        <w:spacing w:line="360" w:lineRule="auto"/>
        <w:rPr>
          <w:rFonts w:hint="eastAsia"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1.8.1根据响应文件的承诺向甲方委派项目组人员。</w:t>
      </w:r>
    </w:p>
    <w:p w14:paraId="3F03BC44">
      <w:pPr>
        <w:pStyle w:val="26"/>
        <w:spacing w:line="360" w:lineRule="auto"/>
        <w:rPr>
          <w:rFonts w:hint="eastAsia"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1.8.2在技术服务过程中，乙方必须遵守甲方的所有安全管理规定。</w:t>
      </w:r>
    </w:p>
    <w:p w14:paraId="0D5A580B">
      <w:pPr>
        <w:pStyle w:val="26"/>
        <w:spacing w:line="360" w:lineRule="auto"/>
        <w:rPr>
          <w:rFonts w:hint="eastAsia"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1.8.3在履行本合同义务的期间，应运用合理的技能，认真、勤奋的工作。</w:t>
      </w:r>
    </w:p>
    <w:p w14:paraId="5DF06194">
      <w:pPr>
        <w:pStyle w:val="26"/>
        <w:spacing w:line="360" w:lineRule="auto"/>
        <w:rPr>
          <w:rFonts w:hint="eastAsia"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1.8.4在本合同期内，未征得甲方同意，不得泄露与本项目、本合同有关的技术、资料等，不得以任何形式侵害甲方的知识产权。</w:t>
      </w:r>
    </w:p>
    <w:p w14:paraId="69DC64D2">
      <w:pPr>
        <w:pStyle w:val="26"/>
        <w:spacing w:line="360" w:lineRule="auto"/>
        <w:rPr>
          <w:rFonts w:hint="eastAsia"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1.8.5负责处理好与相关项目实施单位的协调工作。</w:t>
      </w:r>
    </w:p>
    <w:p w14:paraId="4714C85F">
      <w:pPr>
        <w:snapToGrid w:val="0"/>
        <w:spacing w:line="360" w:lineRule="auto"/>
        <w:ind w:firstLine="482"/>
        <w:outlineLvl w:val="0"/>
        <w:rPr>
          <w:rFonts w:hint="eastAsia" w:ascii="宋体" w:hAnsi="宋体" w:cs="仿宋"/>
          <w:b/>
          <w:color w:val="000000" w:themeColor="text1"/>
          <w:sz w:val="24"/>
          <w14:textFill>
            <w14:solidFill>
              <w14:schemeClr w14:val="tx1"/>
            </w14:solidFill>
          </w14:textFill>
        </w:rPr>
      </w:pPr>
      <w:r>
        <w:rPr>
          <w:rFonts w:hint="eastAsia" w:ascii="宋体" w:hAnsi="宋体" w:cs="仿宋"/>
          <w:b/>
          <w:color w:val="000000" w:themeColor="text1"/>
          <w:sz w:val="24"/>
          <w14:textFill>
            <w14:solidFill>
              <w14:schemeClr w14:val="tx1"/>
            </w14:solidFill>
          </w14:textFill>
        </w:rPr>
        <w:t>1.9甲方的责任与义务</w:t>
      </w:r>
    </w:p>
    <w:p w14:paraId="0357B690">
      <w:pPr>
        <w:pStyle w:val="26"/>
        <w:spacing w:line="360" w:lineRule="auto"/>
        <w:rPr>
          <w:rFonts w:hint="eastAsia"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1.9.1 甲方应当负责项目的主要外部关系的联系与协调，为乙方工作提供良好的外部条件。</w:t>
      </w:r>
    </w:p>
    <w:p w14:paraId="570361D1">
      <w:pPr>
        <w:pStyle w:val="26"/>
        <w:spacing w:line="360" w:lineRule="auto"/>
        <w:rPr>
          <w:rFonts w:hint="eastAsia"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1.9.2甲方应当按双方约定的内容和时间，向乙方提供与项目有关的资料。</w:t>
      </w:r>
    </w:p>
    <w:p w14:paraId="37CC6EE9">
      <w:pPr>
        <w:pStyle w:val="26"/>
        <w:spacing w:line="360" w:lineRule="auto"/>
        <w:rPr>
          <w:rFonts w:hint="eastAsia"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1.9.3甲方应授权一名熟悉本项目情况、能迅速做出决定的项目代表，负责与乙方联系。更换代表，要提前通知乙方。</w:t>
      </w:r>
    </w:p>
    <w:p w14:paraId="38C7AE45">
      <w:pPr>
        <w:pStyle w:val="26"/>
        <w:spacing w:line="360" w:lineRule="auto"/>
        <w:rPr>
          <w:rFonts w:hint="eastAsia" w:cs="仿宋"/>
          <w:b/>
          <w:color w:val="000000" w:themeColor="text1"/>
          <w14:textFill>
            <w14:solidFill>
              <w14:schemeClr w14:val="tx1"/>
            </w14:solidFill>
          </w14:textFill>
        </w:rPr>
      </w:pPr>
      <w:r>
        <w:rPr>
          <w:rFonts w:hint="eastAsia" w:cs="仿宋"/>
          <w:color w:val="000000" w:themeColor="text1"/>
          <w14:textFill>
            <w14:solidFill>
              <w14:schemeClr w14:val="tx1"/>
            </w14:solidFill>
          </w14:textFill>
        </w:rPr>
        <w:t>1.9.4甲方有与乙方订立补充合同的签订权。</w:t>
      </w:r>
      <w:bookmarkStart w:id="451" w:name="_Toc21423"/>
      <w:bookmarkStart w:id="452" w:name="_Toc19554"/>
      <w:bookmarkStart w:id="453" w:name="_Toc27250"/>
    </w:p>
    <w:p w14:paraId="5F756DCC">
      <w:pPr>
        <w:snapToGrid w:val="0"/>
        <w:spacing w:before="120" w:beforeLines="50" w:line="360" w:lineRule="auto"/>
        <w:ind w:firstLine="482" w:firstLineChars="200"/>
        <w:outlineLvl w:val="0"/>
        <w:rPr>
          <w:rFonts w:hint="eastAsia" w:ascii="宋体" w:hAnsi="宋体" w:cs="仿宋"/>
          <w:b/>
          <w:color w:val="000000" w:themeColor="text1"/>
          <w:sz w:val="24"/>
          <w14:textFill>
            <w14:solidFill>
              <w14:schemeClr w14:val="tx1"/>
            </w14:solidFill>
          </w14:textFill>
        </w:rPr>
      </w:pPr>
      <w:r>
        <w:rPr>
          <w:rFonts w:hint="eastAsia" w:ascii="宋体" w:hAnsi="宋体" w:cs="仿宋"/>
          <w:b/>
          <w:color w:val="000000" w:themeColor="text1"/>
          <w:sz w:val="24"/>
          <w14:textFill>
            <w14:solidFill>
              <w14:schemeClr w14:val="tx1"/>
            </w14:solidFill>
          </w14:textFill>
        </w:rPr>
        <w:t>1.10 违约责任</w:t>
      </w:r>
      <w:bookmarkEnd w:id="451"/>
      <w:bookmarkEnd w:id="452"/>
      <w:bookmarkEnd w:id="453"/>
    </w:p>
    <w:p w14:paraId="3702180E">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1.10.1 除不可抗力外，如果乙方没有按照本合同约定的期限、地点和方式交付服务，那么甲方可要求乙方支付违约金，违约金按每迟延交付服务一日的应交付而未交付服务价格的</w:t>
      </w:r>
      <w:r>
        <w:rPr>
          <w:rFonts w:hint="eastAsia" w:ascii="宋体" w:hAnsi="宋体" w:cs="仿宋"/>
          <w:color w:val="000000" w:themeColor="text1"/>
          <w:sz w:val="24"/>
          <w:u w:val="single"/>
          <w14:textFill>
            <w14:solidFill>
              <w14:schemeClr w14:val="tx1"/>
            </w14:solidFill>
          </w14:textFill>
        </w:rPr>
        <w:t xml:space="preserve">  0.05  </w:t>
      </w:r>
      <w:r>
        <w:rPr>
          <w:rFonts w:hint="eastAsia" w:ascii="宋体" w:hAnsi="宋体" w:cs="仿宋"/>
          <w:color w:val="000000" w:themeColor="text1"/>
          <w:sz w:val="24"/>
          <w14:textFill>
            <w14:solidFill>
              <w14:schemeClr w14:val="tx1"/>
            </w14:solidFill>
          </w14:textFill>
        </w:rPr>
        <w:t>%计算，最高限额为本合同总价的</w:t>
      </w:r>
      <w:r>
        <w:rPr>
          <w:rFonts w:hint="eastAsia" w:ascii="宋体" w:hAnsi="宋体" w:cs="仿宋"/>
          <w:color w:val="000000" w:themeColor="text1"/>
          <w:sz w:val="24"/>
          <w:u w:val="single"/>
          <w14:textFill>
            <w14:solidFill>
              <w14:schemeClr w14:val="tx1"/>
            </w14:solidFill>
          </w14:textFill>
        </w:rPr>
        <w:t xml:space="preserve"> 20  </w:t>
      </w:r>
      <w:r>
        <w:rPr>
          <w:rFonts w:hint="eastAsia" w:ascii="宋体" w:hAnsi="宋体" w:cs="仿宋"/>
          <w:color w:val="000000" w:themeColor="text1"/>
          <w:sz w:val="24"/>
          <w14:textFill>
            <w14:solidFill>
              <w14:schemeClr w14:val="tx1"/>
            </w14:solidFill>
          </w14:textFill>
        </w:rPr>
        <w:t>%；迟延交付服务的违约金计算数额达到前述最高限额之日起，甲方有权在要求乙方支付违约金的同时，书面通知乙方解除本合同；</w:t>
      </w:r>
    </w:p>
    <w:p w14:paraId="6661AEF8">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1.10.2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C8250C9">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1.10.3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E62100D">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1.10.4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30EA52D">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1.10.5 如果出现政府采购监督管理部门在处理投诉事项期间，书面通知甲方暂停采购活动的情形，或者询问或质疑事项可能影响中标结果的，导致甲方中止履行合同的情形，均不视为甲方违约。</w:t>
      </w:r>
    </w:p>
    <w:p w14:paraId="73E3A31C">
      <w:pPr>
        <w:snapToGrid w:val="0"/>
        <w:spacing w:line="360" w:lineRule="auto"/>
        <w:ind w:right="-420" w:rightChars="-200" w:firstLine="480"/>
        <w:rPr>
          <w:rFonts w:hint="eastAsia" w:ascii="宋体" w:hAnsi="宋体"/>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1.10.6 违约责任</w:t>
      </w:r>
      <w:r>
        <w:rPr>
          <w:rFonts w:hint="eastAsia" w:ascii="宋体" w:hAnsi="宋体" w:cs="仿宋"/>
          <w:b/>
          <w:i/>
          <w:color w:val="000000" w:themeColor="text1"/>
          <w:sz w:val="24"/>
          <w:u w:val="single"/>
          <w14:textFill>
            <w14:solidFill>
              <w14:schemeClr w14:val="tx1"/>
            </w14:solidFill>
          </w14:textFill>
        </w:rPr>
        <w:t>合同专用条款</w:t>
      </w:r>
      <w:r>
        <w:rPr>
          <w:rFonts w:hint="eastAsia" w:ascii="宋体" w:hAnsi="宋体" w:cs="仿宋"/>
          <w:color w:val="000000" w:themeColor="text1"/>
          <w:sz w:val="24"/>
          <w14:textFill>
            <w14:solidFill>
              <w14:schemeClr w14:val="tx1"/>
            </w14:solidFill>
          </w14:textFill>
        </w:rPr>
        <w:t>另有约定的，从其约定。</w:t>
      </w:r>
      <w:bookmarkStart w:id="454" w:name="_Toc28375"/>
      <w:bookmarkStart w:id="455" w:name="_Toc15583"/>
      <w:bookmarkStart w:id="456" w:name="_Toc16021"/>
    </w:p>
    <w:p w14:paraId="7EF55B5C">
      <w:pPr>
        <w:snapToGrid w:val="0"/>
        <w:spacing w:line="360" w:lineRule="auto"/>
        <w:ind w:firstLine="482" w:firstLineChars="200"/>
        <w:outlineLvl w:val="0"/>
        <w:rPr>
          <w:rFonts w:hint="eastAsia" w:ascii="宋体" w:hAnsi="宋体" w:cs="仿宋"/>
          <w:b/>
          <w:color w:val="000000" w:themeColor="text1"/>
          <w:sz w:val="24"/>
          <w14:textFill>
            <w14:solidFill>
              <w14:schemeClr w14:val="tx1"/>
            </w14:solidFill>
          </w14:textFill>
        </w:rPr>
      </w:pPr>
      <w:r>
        <w:rPr>
          <w:rFonts w:hint="eastAsia" w:ascii="宋体" w:hAnsi="宋体" w:cs="仿宋"/>
          <w:b/>
          <w:color w:val="000000" w:themeColor="text1"/>
          <w:sz w:val="24"/>
          <w14:textFill>
            <w14:solidFill>
              <w14:schemeClr w14:val="tx1"/>
            </w14:solidFill>
          </w14:textFill>
        </w:rPr>
        <w:t>1.11 合同争议的解决</w:t>
      </w:r>
      <w:bookmarkEnd w:id="454"/>
      <w:bookmarkEnd w:id="455"/>
      <w:bookmarkEnd w:id="456"/>
    </w:p>
    <w:p w14:paraId="25BED1BC">
      <w:pPr>
        <w:snapToGrid w:val="0"/>
        <w:spacing w:line="360" w:lineRule="auto"/>
        <w:ind w:left="-61" w:leftChars="-29" w:right="-420" w:rightChars="-200" w:firstLine="240" w:firstLineChars="1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仿宋"/>
          <w:b/>
          <w:i/>
          <w:color w:val="000000" w:themeColor="text1"/>
          <w:sz w:val="24"/>
          <w:u w:val="single"/>
          <w14:textFill>
            <w14:solidFill>
              <w14:schemeClr w14:val="tx1"/>
            </w14:solidFill>
          </w14:textFill>
        </w:rPr>
        <w:t xml:space="preserve"> 合同专用条款  </w:t>
      </w:r>
      <w:r>
        <w:rPr>
          <w:rFonts w:hint="eastAsia" w:ascii="宋体" w:hAnsi="宋体" w:cs="仿宋"/>
          <w:color w:val="000000" w:themeColor="text1"/>
          <w:sz w:val="24"/>
          <w14:textFill>
            <w14:solidFill>
              <w14:schemeClr w14:val="tx1"/>
            </w14:solidFill>
          </w14:textFill>
        </w:rPr>
        <w:t>条款规定的方式解决：</w:t>
      </w:r>
    </w:p>
    <w:p w14:paraId="2480CFC6">
      <w:pPr>
        <w:snapToGrid w:val="0"/>
        <w:spacing w:line="360" w:lineRule="auto"/>
        <w:ind w:left="-420" w:leftChars="-200" w:right="-420" w:rightChars="-200" w:firstLine="600" w:firstLineChars="25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 xml:space="preserve">   1.11.1 将争议提交</w:t>
      </w:r>
      <w:r>
        <w:rPr>
          <w:rFonts w:hint="eastAsia" w:ascii="宋体" w:hAnsi="宋体" w:cs="仿宋"/>
          <w:b/>
          <w:i/>
          <w:color w:val="000000" w:themeColor="text1"/>
          <w:sz w:val="24"/>
          <w:u w:val="single"/>
          <w14:textFill>
            <w14:solidFill>
              <w14:schemeClr w14:val="tx1"/>
            </w14:solidFill>
          </w14:textFill>
        </w:rPr>
        <w:t>合同专用条款</w:t>
      </w:r>
      <w:r>
        <w:rPr>
          <w:rFonts w:hint="eastAsia" w:ascii="宋体" w:hAnsi="宋体" w:cs="仿宋"/>
          <w:color w:val="000000" w:themeColor="text1"/>
          <w:sz w:val="24"/>
          <w14:textFill>
            <w14:solidFill>
              <w14:schemeClr w14:val="tx1"/>
            </w14:solidFill>
          </w14:textFill>
        </w:rPr>
        <w:t>仲裁委员会依申请仲裁时其现行有效的仲裁规则裁决；</w:t>
      </w:r>
    </w:p>
    <w:p w14:paraId="7CAF946D">
      <w:pPr>
        <w:snapToGrid w:val="0"/>
        <w:spacing w:line="360" w:lineRule="auto"/>
        <w:ind w:left="-420" w:leftChars="-200" w:right="-420" w:rightChars="-200" w:firstLine="600" w:firstLineChars="250"/>
        <w:rPr>
          <w:rFonts w:hint="eastAsia" w:ascii="宋体" w:hAnsi="宋体" w:cs="仿宋"/>
          <w:b/>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 xml:space="preserve">   1.11.2 向</w:t>
      </w:r>
      <w:r>
        <w:rPr>
          <w:rFonts w:hint="eastAsia" w:ascii="宋体" w:hAnsi="宋体" w:cs="仿宋"/>
          <w:b/>
          <w:i/>
          <w:color w:val="000000" w:themeColor="text1"/>
          <w:sz w:val="24"/>
          <w:u w:val="single"/>
          <w14:textFill>
            <w14:solidFill>
              <w14:schemeClr w14:val="tx1"/>
            </w14:solidFill>
          </w14:textFill>
        </w:rPr>
        <w:t>合同专用条款</w:t>
      </w:r>
      <w:r>
        <w:rPr>
          <w:rFonts w:hint="eastAsia" w:ascii="宋体" w:hAnsi="宋体" w:cs="仿宋"/>
          <w:color w:val="000000" w:themeColor="text1"/>
          <w:sz w:val="24"/>
          <w14:textFill>
            <w14:solidFill>
              <w14:schemeClr w14:val="tx1"/>
            </w14:solidFill>
          </w14:textFill>
        </w:rPr>
        <w:t>人民法院起诉。</w:t>
      </w:r>
      <w:bookmarkStart w:id="457" w:name="_Toc11173"/>
      <w:bookmarkStart w:id="458" w:name="_Toc7245"/>
      <w:bookmarkStart w:id="459" w:name="_Toc15322"/>
    </w:p>
    <w:p w14:paraId="76DE0DF5">
      <w:pPr>
        <w:snapToGrid w:val="0"/>
        <w:spacing w:line="360" w:lineRule="auto"/>
        <w:outlineLvl w:val="0"/>
        <w:rPr>
          <w:rFonts w:hint="eastAsia" w:ascii="宋体" w:hAnsi="宋体" w:cs="仿宋"/>
          <w:b/>
          <w:color w:val="000000" w:themeColor="text1"/>
          <w:sz w:val="24"/>
          <w14:textFill>
            <w14:solidFill>
              <w14:schemeClr w14:val="tx1"/>
            </w14:solidFill>
          </w14:textFill>
        </w:rPr>
      </w:pPr>
      <w:r>
        <w:rPr>
          <w:rFonts w:hint="eastAsia" w:ascii="宋体" w:hAnsi="宋体" w:cs="仿宋"/>
          <w:b/>
          <w:color w:val="000000" w:themeColor="text1"/>
          <w:sz w:val="24"/>
          <w14:textFill>
            <w14:solidFill>
              <w14:schemeClr w14:val="tx1"/>
            </w14:solidFill>
          </w14:textFill>
        </w:rPr>
        <w:t xml:space="preserve">    1.12 合同生效</w:t>
      </w:r>
      <w:bookmarkEnd w:id="457"/>
      <w:bookmarkEnd w:id="458"/>
      <w:bookmarkEnd w:id="459"/>
    </w:p>
    <w:p w14:paraId="3FCA73A7">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本合同自双方当事人盖章或者签字时生效。</w:t>
      </w:r>
    </w:p>
    <w:p w14:paraId="54C3AD0D">
      <w:pPr>
        <w:spacing w:line="360" w:lineRule="auto"/>
        <w:rPr>
          <w:rFonts w:hint="eastAsia" w:ascii="宋体" w:hAnsi="宋体" w:cs="仿宋"/>
          <w:color w:val="000000" w:themeColor="text1"/>
          <w:sz w:val="24"/>
          <w14:textFill>
            <w14:solidFill>
              <w14:schemeClr w14:val="tx1"/>
            </w14:solidFill>
          </w14:textFill>
        </w:rPr>
      </w:pPr>
    </w:p>
    <w:p w14:paraId="71D2AE53">
      <w:pPr>
        <w:autoSpaceDE w:val="0"/>
        <w:autoSpaceDN w:val="0"/>
        <w:snapToGrid w:val="0"/>
        <w:spacing w:line="360" w:lineRule="auto"/>
        <w:rPr>
          <w:rFonts w:hint="eastAsia" w:ascii="宋体" w:hAnsi="宋体" w:cs="仿宋"/>
          <w:color w:val="000000" w:themeColor="text1"/>
          <w:sz w:val="24"/>
          <w:lang w:val="zh-CN"/>
          <w14:textFill>
            <w14:solidFill>
              <w14:schemeClr w14:val="tx1"/>
            </w14:solidFill>
          </w14:textFill>
        </w:rPr>
      </w:pPr>
      <w:r>
        <w:rPr>
          <w:rFonts w:hint="eastAsia" w:ascii="宋体" w:hAnsi="宋体" w:cs="仿宋"/>
          <w:b/>
          <w:color w:val="000000" w:themeColor="text1"/>
          <w:sz w:val="24"/>
          <w:lang w:val="zh-CN"/>
          <w14:textFill>
            <w14:solidFill>
              <w14:schemeClr w14:val="tx1"/>
            </w14:solidFill>
          </w14:textFill>
        </w:rPr>
        <w:t>甲方（盖章）</w:t>
      </w:r>
      <w:r>
        <w:rPr>
          <w:rFonts w:hint="eastAsia" w:ascii="宋体" w:hAnsi="宋体" w:cs="仿宋"/>
          <w:color w:val="000000" w:themeColor="text1"/>
          <w:sz w:val="24"/>
          <w:lang w:val="zh-CN"/>
          <w14:textFill>
            <w14:solidFill>
              <w14:schemeClr w14:val="tx1"/>
            </w14:solidFill>
          </w14:textFill>
        </w:rPr>
        <w:t xml:space="preserve">：                            </w:t>
      </w:r>
      <w:r>
        <w:rPr>
          <w:rFonts w:hint="eastAsia" w:ascii="宋体" w:hAnsi="宋体" w:cs="仿宋"/>
          <w:b/>
          <w:color w:val="000000" w:themeColor="text1"/>
          <w:sz w:val="24"/>
          <w:lang w:val="zh-CN"/>
          <w14:textFill>
            <w14:solidFill>
              <w14:schemeClr w14:val="tx1"/>
            </w14:solidFill>
          </w14:textFill>
        </w:rPr>
        <w:t>乙方（盖章）</w:t>
      </w:r>
      <w:r>
        <w:rPr>
          <w:rFonts w:hint="eastAsia" w:ascii="宋体" w:hAnsi="宋体" w:cs="仿宋"/>
          <w:color w:val="000000" w:themeColor="text1"/>
          <w:sz w:val="24"/>
          <w:lang w:val="zh-CN"/>
          <w14:textFill>
            <w14:solidFill>
              <w14:schemeClr w14:val="tx1"/>
            </w14:solidFill>
          </w14:textFill>
        </w:rPr>
        <w:t>：</w:t>
      </w:r>
    </w:p>
    <w:p w14:paraId="3A76A7DB">
      <w:pPr>
        <w:autoSpaceDE w:val="0"/>
        <w:autoSpaceDN w:val="0"/>
        <w:snapToGrid w:val="0"/>
        <w:spacing w:line="360" w:lineRule="auto"/>
        <w:rPr>
          <w:rFonts w:hint="eastAsia" w:ascii="宋体" w:hAnsi="宋体" w:cs="仿宋"/>
          <w:color w:val="000000" w:themeColor="text1"/>
          <w:sz w:val="24"/>
          <w:lang w:val="zh-CN"/>
          <w14:textFill>
            <w14:solidFill>
              <w14:schemeClr w14:val="tx1"/>
            </w14:solidFill>
          </w14:textFill>
        </w:rPr>
      </w:pPr>
      <w:r>
        <w:rPr>
          <w:rFonts w:hint="eastAsia" w:ascii="宋体" w:hAnsi="宋体" w:cs="仿宋"/>
          <w:color w:val="000000" w:themeColor="text1"/>
          <w:sz w:val="24"/>
          <w:lang w:val="zh-CN"/>
          <w14:textFill>
            <w14:solidFill>
              <w14:schemeClr w14:val="tx1"/>
            </w14:solidFill>
          </w14:textFill>
        </w:rPr>
        <w:t xml:space="preserve">法定代表人或                          </w:t>
      </w:r>
      <w:r>
        <w:rPr>
          <w:rFonts w:hint="eastAsia" w:ascii="宋体" w:hAnsi="宋体" w:cs="仿宋"/>
          <w:color w:val="000000" w:themeColor="text1"/>
          <w:sz w:val="24"/>
          <w14:textFill>
            <w14:solidFill>
              <w14:schemeClr w14:val="tx1"/>
            </w14:solidFill>
          </w14:textFill>
        </w:rPr>
        <w:t xml:space="preserve">   </w:t>
      </w:r>
      <w:r>
        <w:rPr>
          <w:rFonts w:hint="eastAsia" w:ascii="宋体" w:hAnsi="宋体" w:cs="仿宋"/>
          <w:color w:val="000000" w:themeColor="text1"/>
          <w:sz w:val="24"/>
          <w:lang w:val="zh-CN"/>
          <w14:textFill>
            <w14:solidFill>
              <w14:schemeClr w14:val="tx1"/>
            </w14:solidFill>
          </w14:textFill>
        </w:rPr>
        <w:t>法定代表人或</w:t>
      </w:r>
    </w:p>
    <w:p w14:paraId="75124037">
      <w:pPr>
        <w:autoSpaceDE w:val="0"/>
        <w:autoSpaceDN w:val="0"/>
        <w:snapToGrid w:val="0"/>
        <w:spacing w:line="360" w:lineRule="auto"/>
        <w:rPr>
          <w:rFonts w:hint="eastAsia" w:ascii="宋体" w:hAnsi="宋体" w:cs="仿宋"/>
          <w:color w:val="000000" w:themeColor="text1"/>
          <w:sz w:val="24"/>
          <w:lang w:val="zh-CN"/>
          <w14:textFill>
            <w14:solidFill>
              <w14:schemeClr w14:val="tx1"/>
            </w14:solidFill>
          </w14:textFill>
        </w:rPr>
      </w:pPr>
      <w:r>
        <w:rPr>
          <w:rFonts w:hint="eastAsia" w:ascii="宋体" w:hAnsi="宋体" w:cs="仿宋"/>
          <w:color w:val="000000" w:themeColor="text1"/>
          <w:sz w:val="24"/>
          <w:lang w:val="zh-CN"/>
          <w14:textFill>
            <w14:solidFill>
              <w14:schemeClr w14:val="tx1"/>
            </w14:solidFill>
          </w14:textFill>
        </w:rPr>
        <w:t xml:space="preserve">授权代表（签字）：                     </w:t>
      </w:r>
      <w:r>
        <w:rPr>
          <w:rFonts w:hint="eastAsia" w:ascii="宋体" w:hAnsi="宋体" w:cs="仿宋"/>
          <w:color w:val="000000" w:themeColor="text1"/>
          <w:sz w:val="24"/>
          <w14:textFill>
            <w14:solidFill>
              <w14:schemeClr w14:val="tx1"/>
            </w14:solidFill>
          </w14:textFill>
        </w:rPr>
        <w:t xml:space="preserve">  </w:t>
      </w:r>
      <w:r>
        <w:rPr>
          <w:rFonts w:hint="eastAsia" w:ascii="宋体" w:hAnsi="宋体" w:cs="仿宋"/>
          <w:color w:val="000000" w:themeColor="text1"/>
          <w:sz w:val="24"/>
          <w:lang w:val="zh-CN"/>
          <w14:textFill>
            <w14:solidFill>
              <w14:schemeClr w14:val="tx1"/>
            </w14:solidFill>
          </w14:textFill>
        </w:rPr>
        <w:t xml:space="preserve">授权代表（签字）: </w:t>
      </w:r>
    </w:p>
    <w:p w14:paraId="58367F01">
      <w:pPr>
        <w:autoSpaceDE w:val="0"/>
        <w:autoSpaceDN w:val="0"/>
        <w:snapToGrid w:val="0"/>
        <w:spacing w:line="360" w:lineRule="auto"/>
        <w:rPr>
          <w:rFonts w:hint="eastAsia" w:ascii="宋体" w:hAnsi="宋体" w:cs="仿宋"/>
          <w:color w:val="000000" w:themeColor="text1"/>
          <w:sz w:val="24"/>
          <w:lang w:val="zh-CN"/>
          <w14:textFill>
            <w14:solidFill>
              <w14:schemeClr w14:val="tx1"/>
            </w14:solidFill>
          </w14:textFill>
        </w:rPr>
      </w:pPr>
      <w:r>
        <w:rPr>
          <w:rFonts w:hint="eastAsia" w:ascii="宋体" w:hAnsi="宋体" w:cs="仿宋"/>
          <w:color w:val="000000" w:themeColor="text1"/>
          <w:sz w:val="24"/>
          <w:lang w:val="zh-CN"/>
          <w14:textFill>
            <w14:solidFill>
              <w14:schemeClr w14:val="tx1"/>
            </w14:solidFill>
          </w14:textFill>
        </w:rPr>
        <w:t xml:space="preserve">联系人：                            </w:t>
      </w:r>
      <w:r>
        <w:rPr>
          <w:rFonts w:hint="eastAsia" w:ascii="宋体" w:hAnsi="宋体" w:cs="仿宋"/>
          <w:color w:val="000000" w:themeColor="text1"/>
          <w:sz w:val="24"/>
          <w14:textFill>
            <w14:solidFill>
              <w14:schemeClr w14:val="tx1"/>
            </w14:solidFill>
          </w14:textFill>
        </w:rPr>
        <w:t xml:space="preserve">    </w:t>
      </w:r>
      <w:r>
        <w:rPr>
          <w:rFonts w:hint="eastAsia" w:ascii="宋体" w:hAnsi="宋体" w:cs="仿宋"/>
          <w:color w:val="000000" w:themeColor="text1"/>
          <w:sz w:val="24"/>
          <w:lang w:val="zh-CN"/>
          <w14:textFill>
            <w14:solidFill>
              <w14:schemeClr w14:val="tx1"/>
            </w14:solidFill>
          </w14:textFill>
        </w:rPr>
        <w:t xml:space="preserve"> 联系人：</w:t>
      </w:r>
    </w:p>
    <w:p w14:paraId="3DB34179">
      <w:pPr>
        <w:pStyle w:val="26"/>
        <w:spacing w:line="360" w:lineRule="auto"/>
        <w:ind w:firstLine="0" w:firstLineChars="0"/>
        <w:rPr>
          <w:rFonts w:hint="eastAsia"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地址：                                   地址：</w:t>
      </w:r>
    </w:p>
    <w:p w14:paraId="20E39F51">
      <w:pPr>
        <w:autoSpaceDE w:val="0"/>
        <w:autoSpaceDN w:val="0"/>
        <w:snapToGrid w:val="0"/>
        <w:spacing w:line="360" w:lineRule="auto"/>
        <w:ind w:left="6000" w:hanging="6000" w:hangingChars="25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开户银行：                               开户银行：</w:t>
      </w:r>
    </w:p>
    <w:p w14:paraId="5763B087">
      <w:pPr>
        <w:autoSpaceDE w:val="0"/>
        <w:autoSpaceDN w:val="0"/>
        <w:snapToGrid w:val="0"/>
        <w:spacing w:line="360" w:lineRule="auto"/>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开户名称：                               开户名称：</w:t>
      </w:r>
    </w:p>
    <w:p w14:paraId="26781D89">
      <w:pPr>
        <w:autoSpaceDE w:val="0"/>
        <w:autoSpaceDN w:val="0"/>
        <w:snapToGrid w:val="0"/>
        <w:spacing w:line="360" w:lineRule="auto"/>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开户账号：</w:t>
      </w:r>
      <w:r>
        <w:rPr>
          <w:rFonts w:hint="eastAsia" w:ascii="宋体" w:hAnsi="宋体" w:cs="仿宋"/>
          <w:color w:val="000000" w:themeColor="text1"/>
          <w:sz w:val="24"/>
          <w:lang w:val="zh-CN"/>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 xml:space="preserve"> 开户账号：</w:t>
      </w:r>
    </w:p>
    <w:p w14:paraId="6911D939">
      <w:pPr>
        <w:spacing w:line="360" w:lineRule="auto"/>
        <w:rPr>
          <w:rFonts w:hint="eastAsia" w:ascii="宋体" w:hAnsi="宋体" w:cs="仿宋"/>
          <w:b/>
          <w:color w:val="000000" w:themeColor="text1"/>
          <w:sz w:val="24"/>
          <w14:textFill>
            <w14:solidFill>
              <w14:schemeClr w14:val="tx1"/>
            </w14:solidFill>
          </w14:textFill>
        </w:rPr>
      </w:pPr>
      <w:r>
        <w:rPr>
          <w:rFonts w:hint="eastAsia" w:ascii="宋体" w:hAnsi="宋体" w:cs="仿宋"/>
          <w:b/>
          <w:color w:val="000000" w:themeColor="text1"/>
          <w:sz w:val="24"/>
          <w14:textFill>
            <w14:solidFill>
              <w14:schemeClr w14:val="tx1"/>
            </w14:solidFill>
          </w14:textFill>
        </w:rPr>
        <w:br w:type="page"/>
      </w:r>
    </w:p>
    <w:p w14:paraId="6CC75258">
      <w:pPr>
        <w:pStyle w:val="701"/>
        <w:ind w:firstLine="482"/>
        <w:jc w:val="center"/>
        <w:outlineLvl w:val="0"/>
        <w:rPr>
          <w:rFonts w:hint="eastAsia" w:ascii="宋体" w:hAnsi="宋体" w:cs="仿宋"/>
          <w:b/>
          <w:color w:val="000000" w:themeColor="text1"/>
          <w:szCs w:val="24"/>
          <w14:textFill>
            <w14:solidFill>
              <w14:schemeClr w14:val="tx1"/>
            </w14:solidFill>
          </w14:textFill>
        </w:rPr>
      </w:pPr>
      <w:r>
        <w:rPr>
          <w:rFonts w:hint="eastAsia" w:ascii="宋体" w:hAnsi="宋体" w:cs="仿宋"/>
          <w:b/>
          <w:color w:val="000000" w:themeColor="text1"/>
          <w:szCs w:val="24"/>
          <w14:textFill>
            <w14:solidFill>
              <w14:schemeClr w14:val="tx1"/>
            </w14:solidFill>
          </w14:textFill>
        </w:rPr>
        <w:t>第二部分 合同一般条款</w:t>
      </w:r>
    </w:p>
    <w:p w14:paraId="35AEF6BA">
      <w:pPr>
        <w:snapToGrid w:val="0"/>
        <w:spacing w:line="360" w:lineRule="auto"/>
        <w:ind w:firstLine="482" w:firstLineChars="200"/>
        <w:outlineLvl w:val="0"/>
        <w:rPr>
          <w:rFonts w:hint="eastAsia" w:ascii="宋体" w:hAnsi="宋体" w:cs="仿宋"/>
          <w:b/>
          <w:color w:val="000000" w:themeColor="text1"/>
          <w:sz w:val="24"/>
          <w14:textFill>
            <w14:solidFill>
              <w14:schemeClr w14:val="tx1"/>
            </w14:solidFill>
          </w14:textFill>
        </w:rPr>
      </w:pPr>
      <w:bookmarkStart w:id="460" w:name="_Ref467379101"/>
      <w:bookmarkStart w:id="461" w:name="_Toc28763"/>
      <w:bookmarkStart w:id="462" w:name="_Ref467379109"/>
      <w:bookmarkStart w:id="463" w:name="_Ref467378404"/>
      <w:bookmarkStart w:id="464" w:name="_Ref467379195"/>
      <w:bookmarkStart w:id="465" w:name="_Toc259093669"/>
      <w:bookmarkStart w:id="466" w:name="_Toc279701240"/>
      <w:bookmarkStart w:id="467" w:name="_Ref467379225"/>
      <w:bookmarkStart w:id="468" w:name="_Toc19614"/>
      <w:bookmarkStart w:id="469" w:name="_Toc16917"/>
      <w:bookmarkStart w:id="470" w:name="_Ref467379205"/>
      <w:bookmarkStart w:id="471" w:name="_Ref467378499"/>
      <w:bookmarkStart w:id="472" w:name="_Toc487900349"/>
      <w:bookmarkStart w:id="473" w:name="_Ref467378463"/>
      <w:bookmarkStart w:id="474" w:name="_Ref467379214"/>
      <w:bookmarkStart w:id="475" w:name="_Ref467379094"/>
      <w:r>
        <w:rPr>
          <w:rFonts w:hint="eastAsia" w:ascii="宋体" w:hAnsi="宋体" w:cs="仿宋"/>
          <w:b/>
          <w:color w:val="000000" w:themeColor="text1"/>
          <w:sz w:val="24"/>
          <w14:textFill>
            <w14:solidFill>
              <w14:schemeClr w14:val="tx1"/>
            </w14:solidFill>
          </w14:textFill>
        </w:rPr>
        <w:t>2.1 定义</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14:paraId="143C01AF">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本合同中的下列词语应按以下内容进行解释：</w:t>
      </w:r>
    </w:p>
    <w:p w14:paraId="5D194E52">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2.1.1 “合同”系指采购人和中标供应商签订的载明双方当事人所达成的协议，并包括所有的附件、附录和构成合同的其他文件。</w:t>
      </w:r>
    </w:p>
    <w:p w14:paraId="2EDE7F06">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2.1.2 “合同价”系指根据合同约定，中标供应商在完全履行合同义务后，采购人应支付给中标供应商的价格。</w:t>
      </w:r>
    </w:p>
    <w:p w14:paraId="28BBDDDA">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2.1.3 “货物”系指中标供应商根据合同约定应向采购人交付的一切各种形态和种类的物品，包括原材料、燃料、设备、机械、仪表、备件、计算机软件、产品等，并包括工具、手册等其他相关资料。</w:t>
      </w:r>
    </w:p>
    <w:p w14:paraId="4A3AB169">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bookmarkStart w:id="476" w:name="_Ref467378840"/>
      <w:r>
        <w:rPr>
          <w:rFonts w:hint="eastAsia" w:ascii="宋体" w:hAnsi="宋体" w:cs="仿宋"/>
          <w:color w:val="000000" w:themeColor="text1"/>
          <w:sz w:val="24"/>
          <w14:textFill>
            <w14:solidFill>
              <w14:schemeClr w14:val="tx1"/>
            </w14:solidFill>
          </w14:textFill>
        </w:rPr>
        <w:t>2.1.4 “甲方”系指与中标供应商签署合同的采购人</w:t>
      </w:r>
      <w:bookmarkEnd w:id="476"/>
      <w:r>
        <w:rPr>
          <w:rFonts w:hint="eastAsia" w:ascii="宋体" w:hAnsi="宋体" w:cs="仿宋"/>
          <w:color w:val="000000" w:themeColor="text1"/>
          <w:sz w:val="24"/>
          <w14:textFill>
            <w14:solidFill>
              <w14:schemeClr w14:val="tx1"/>
            </w14:solidFill>
          </w14:textFill>
        </w:rPr>
        <w:t>；采购人委托采购代理机构代表其与乙方签订合同的，采购人的授权委托书作为合同附件。</w:t>
      </w:r>
    </w:p>
    <w:p w14:paraId="48B4F258">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bookmarkStart w:id="477" w:name="_Ref467379400"/>
      <w:r>
        <w:rPr>
          <w:rFonts w:hint="eastAsia" w:ascii="宋体" w:hAnsi="宋体" w:cs="仿宋"/>
          <w:color w:val="000000" w:themeColor="text1"/>
          <w:sz w:val="24"/>
          <w14:textFill>
            <w14:solidFill>
              <w14:schemeClr w14:val="tx1"/>
            </w14:solidFill>
          </w14:textFill>
        </w:rPr>
        <w:t>2.1.5 “乙方”系指根据合同约定交付服务的中标供应商</w:t>
      </w:r>
      <w:bookmarkEnd w:id="477"/>
      <w:r>
        <w:rPr>
          <w:rFonts w:hint="eastAsia" w:ascii="宋体" w:hAnsi="宋体" w:cs="仿宋"/>
          <w:color w:val="000000" w:themeColor="text1"/>
          <w:sz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0C1F4B5">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bookmarkStart w:id="478" w:name="_Ref467379436"/>
      <w:r>
        <w:rPr>
          <w:rFonts w:hint="eastAsia" w:ascii="宋体" w:hAnsi="宋体" w:cs="仿宋"/>
          <w:color w:val="000000" w:themeColor="text1"/>
          <w:sz w:val="24"/>
          <w14:textFill>
            <w14:solidFill>
              <w14:schemeClr w14:val="tx1"/>
            </w14:solidFill>
          </w14:textFill>
        </w:rPr>
        <w:t>2.1.6 “现场”系指合同约定服务的地点。</w:t>
      </w:r>
      <w:bookmarkEnd w:id="478"/>
    </w:p>
    <w:p w14:paraId="0BD59C53">
      <w:pPr>
        <w:snapToGrid w:val="0"/>
        <w:spacing w:line="360" w:lineRule="auto"/>
        <w:ind w:firstLine="482" w:firstLineChars="200"/>
        <w:outlineLvl w:val="0"/>
        <w:rPr>
          <w:rFonts w:hint="eastAsia" w:ascii="宋体" w:hAnsi="宋体" w:cs="仿宋"/>
          <w:b/>
          <w:color w:val="000000" w:themeColor="text1"/>
          <w:sz w:val="24"/>
          <w14:textFill>
            <w14:solidFill>
              <w14:schemeClr w14:val="tx1"/>
            </w14:solidFill>
          </w14:textFill>
        </w:rPr>
      </w:pPr>
      <w:bookmarkStart w:id="479" w:name="_Toc487900350"/>
      <w:bookmarkStart w:id="480" w:name="_Toc259093670"/>
      <w:bookmarkStart w:id="481" w:name="_Toc279701241"/>
      <w:bookmarkStart w:id="482" w:name="_Toc32504"/>
      <w:bookmarkStart w:id="483" w:name="_Toc13336"/>
      <w:bookmarkStart w:id="484" w:name="_Toc27635"/>
      <w:r>
        <w:rPr>
          <w:rFonts w:hint="eastAsia" w:ascii="宋体" w:hAnsi="宋体" w:cs="仿宋"/>
          <w:b/>
          <w:color w:val="000000" w:themeColor="text1"/>
          <w:sz w:val="24"/>
          <w14:textFill>
            <w14:solidFill>
              <w14:schemeClr w14:val="tx1"/>
            </w14:solidFill>
          </w14:textFill>
        </w:rPr>
        <w:t>2.2 技术规范</w:t>
      </w:r>
      <w:bookmarkEnd w:id="479"/>
      <w:bookmarkEnd w:id="480"/>
      <w:bookmarkEnd w:id="481"/>
      <w:bookmarkEnd w:id="482"/>
      <w:bookmarkEnd w:id="483"/>
      <w:bookmarkEnd w:id="484"/>
    </w:p>
    <w:p w14:paraId="1CDAC417">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FA17914">
      <w:pPr>
        <w:snapToGrid w:val="0"/>
        <w:spacing w:line="360" w:lineRule="auto"/>
        <w:ind w:firstLine="482" w:firstLineChars="200"/>
        <w:outlineLvl w:val="0"/>
        <w:rPr>
          <w:rFonts w:hint="eastAsia" w:ascii="宋体" w:hAnsi="宋体" w:cs="仿宋"/>
          <w:b/>
          <w:color w:val="000000" w:themeColor="text1"/>
          <w:sz w:val="24"/>
          <w14:textFill>
            <w14:solidFill>
              <w14:schemeClr w14:val="tx1"/>
            </w14:solidFill>
          </w14:textFill>
        </w:rPr>
      </w:pPr>
      <w:bookmarkStart w:id="485" w:name="_Toc487900351"/>
      <w:bookmarkStart w:id="486" w:name="_Toc31634"/>
      <w:bookmarkStart w:id="487" w:name="_Toc279701242"/>
      <w:bookmarkStart w:id="488" w:name="_Toc9829"/>
      <w:bookmarkStart w:id="489" w:name="_Toc27853"/>
      <w:bookmarkStart w:id="490" w:name="_Toc259093671"/>
      <w:r>
        <w:rPr>
          <w:rFonts w:hint="eastAsia" w:ascii="宋体" w:hAnsi="宋体" w:cs="仿宋"/>
          <w:b/>
          <w:color w:val="000000" w:themeColor="text1"/>
          <w:sz w:val="24"/>
          <w14:textFill>
            <w14:solidFill>
              <w14:schemeClr w14:val="tx1"/>
            </w14:solidFill>
          </w14:textFill>
        </w:rPr>
        <w:t>2.3 知识产权</w:t>
      </w:r>
      <w:bookmarkEnd w:id="485"/>
      <w:bookmarkEnd w:id="486"/>
      <w:bookmarkEnd w:id="487"/>
      <w:bookmarkEnd w:id="488"/>
      <w:bookmarkEnd w:id="489"/>
      <w:bookmarkEnd w:id="490"/>
    </w:p>
    <w:p w14:paraId="40AEBC1F">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0A73D286">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2.3.2具有知识产权的计算机软件等货物的知识产权归属，详见</w:t>
      </w:r>
      <w:r>
        <w:rPr>
          <w:rFonts w:hint="eastAsia" w:ascii="宋体" w:hAnsi="宋体" w:cs="仿宋"/>
          <w:b/>
          <w:i/>
          <w:color w:val="000000" w:themeColor="text1"/>
          <w:sz w:val="24"/>
          <w:u w:val="single"/>
          <w14:textFill>
            <w14:solidFill>
              <w14:schemeClr w14:val="tx1"/>
            </w14:solidFill>
          </w14:textFill>
        </w:rPr>
        <w:t>合同专用条款</w:t>
      </w:r>
      <w:r>
        <w:rPr>
          <w:rFonts w:hint="eastAsia" w:ascii="宋体" w:hAnsi="宋体" w:cs="仿宋"/>
          <w:color w:val="000000" w:themeColor="text1"/>
          <w:sz w:val="24"/>
          <w14:textFill>
            <w14:solidFill>
              <w14:schemeClr w14:val="tx1"/>
            </w14:solidFill>
          </w14:textFill>
        </w:rPr>
        <w:t>。</w:t>
      </w:r>
    </w:p>
    <w:p w14:paraId="18600951">
      <w:pPr>
        <w:snapToGrid w:val="0"/>
        <w:spacing w:line="360" w:lineRule="auto"/>
        <w:ind w:firstLine="482" w:firstLineChars="200"/>
        <w:outlineLvl w:val="0"/>
        <w:rPr>
          <w:rFonts w:hint="eastAsia" w:ascii="宋体" w:hAnsi="宋体" w:cs="仿宋"/>
          <w:b/>
          <w:color w:val="000000" w:themeColor="text1"/>
          <w:sz w:val="24"/>
          <w14:textFill>
            <w14:solidFill>
              <w14:schemeClr w14:val="tx1"/>
            </w14:solidFill>
          </w14:textFill>
        </w:rPr>
      </w:pPr>
      <w:bookmarkStart w:id="491" w:name="_Toc29149"/>
      <w:bookmarkStart w:id="492" w:name="_Toc4194"/>
      <w:bookmarkStart w:id="493" w:name="_Toc11932"/>
      <w:r>
        <w:rPr>
          <w:rFonts w:hint="eastAsia" w:ascii="宋体" w:hAnsi="宋体" w:cs="仿宋"/>
          <w:b/>
          <w:color w:val="000000" w:themeColor="text1"/>
          <w:sz w:val="24"/>
          <w14:textFill>
            <w14:solidFill>
              <w14:schemeClr w14:val="tx1"/>
            </w14:solidFill>
          </w14:textFill>
        </w:rPr>
        <w:t>2.4 包装和装运</w:t>
      </w:r>
      <w:bookmarkEnd w:id="491"/>
      <w:bookmarkEnd w:id="492"/>
      <w:bookmarkEnd w:id="493"/>
    </w:p>
    <w:p w14:paraId="37522977">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2.4.1除</w:t>
      </w:r>
      <w:r>
        <w:rPr>
          <w:rFonts w:hint="eastAsia" w:ascii="宋体" w:hAnsi="宋体" w:cs="仿宋"/>
          <w:b/>
          <w:i/>
          <w:color w:val="000000" w:themeColor="text1"/>
          <w:sz w:val="24"/>
          <w:u w:val="single"/>
          <w14:textFill>
            <w14:solidFill>
              <w14:schemeClr w14:val="tx1"/>
            </w14:solidFill>
          </w14:textFill>
        </w:rPr>
        <w:t>合同专用条款</w:t>
      </w:r>
      <w:r>
        <w:rPr>
          <w:rFonts w:hint="eastAsia" w:ascii="宋体" w:hAnsi="宋体" w:cs="仿宋"/>
          <w:color w:val="000000" w:themeColor="text1"/>
          <w:sz w:val="24"/>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60D872E">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 xml:space="preserve">2.4.2乙方提供产品及相关服务的具体包装要求应符合相关标准，并作为履约验收的内容，必要时甲方可以要求乙方在履约验收环节出具检测报告。 </w:t>
      </w:r>
    </w:p>
    <w:p w14:paraId="3007DE75">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2.4.3 装运货物的要求和通知，详见</w:t>
      </w:r>
      <w:r>
        <w:rPr>
          <w:rFonts w:hint="eastAsia" w:ascii="宋体" w:hAnsi="宋体" w:cs="仿宋"/>
          <w:b/>
          <w:i/>
          <w:color w:val="000000" w:themeColor="text1"/>
          <w:sz w:val="24"/>
          <w:u w:val="single"/>
          <w14:textFill>
            <w14:solidFill>
              <w14:schemeClr w14:val="tx1"/>
            </w14:solidFill>
          </w14:textFill>
        </w:rPr>
        <w:t>合同专用条款</w:t>
      </w:r>
      <w:r>
        <w:rPr>
          <w:rFonts w:hint="eastAsia" w:ascii="宋体" w:hAnsi="宋体" w:cs="仿宋"/>
          <w:color w:val="000000" w:themeColor="text1"/>
          <w:sz w:val="24"/>
          <w14:textFill>
            <w14:solidFill>
              <w14:schemeClr w14:val="tx1"/>
            </w14:solidFill>
          </w14:textFill>
        </w:rPr>
        <w:t>。</w:t>
      </w:r>
    </w:p>
    <w:p w14:paraId="38EDF3D0">
      <w:pPr>
        <w:snapToGrid w:val="0"/>
        <w:spacing w:line="360" w:lineRule="auto"/>
        <w:ind w:firstLine="482" w:firstLineChars="200"/>
        <w:outlineLvl w:val="0"/>
        <w:rPr>
          <w:rFonts w:hint="eastAsia" w:ascii="宋体" w:hAnsi="宋体" w:cs="仿宋"/>
          <w:b/>
          <w:color w:val="000000" w:themeColor="text1"/>
          <w:sz w:val="24"/>
          <w14:textFill>
            <w14:solidFill>
              <w14:schemeClr w14:val="tx1"/>
            </w14:solidFill>
          </w14:textFill>
        </w:rPr>
      </w:pPr>
      <w:bookmarkStart w:id="494" w:name="_Ref467378541"/>
      <w:bookmarkStart w:id="495" w:name="_Toc259093674"/>
      <w:bookmarkStart w:id="496" w:name="_Ref467378591"/>
      <w:bookmarkStart w:id="497" w:name="_Ref467379542"/>
      <w:bookmarkStart w:id="498" w:name="_Toc487900354"/>
      <w:bookmarkStart w:id="499" w:name="_Ref467379527"/>
      <w:bookmarkStart w:id="500" w:name="_Ref467379536"/>
      <w:bookmarkStart w:id="501" w:name="_Toc279701245"/>
      <w:bookmarkStart w:id="502" w:name="_Toc30272"/>
      <w:bookmarkStart w:id="503" w:name="_Toc26182"/>
      <w:bookmarkStart w:id="504" w:name="_Toc19074"/>
      <w:r>
        <w:rPr>
          <w:rFonts w:hint="eastAsia" w:ascii="宋体" w:hAnsi="宋体" w:cs="仿宋"/>
          <w:b/>
          <w:color w:val="000000" w:themeColor="text1"/>
          <w:sz w:val="24"/>
          <w14:textFill>
            <w14:solidFill>
              <w14:schemeClr w14:val="tx1"/>
            </w14:solidFill>
          </w14:textFill>
        </w:rPr>
        <w:t>2.</w:t>
      </w:r>
      <w:bookmarkEnd w:id="494"/>
      <w:bookmarkEnd w:id="495"/>
      <w:bookmarkEnd w:id="496"/>
      <w:bookmarkEnd w:id="497"/>
      <w:bookmarkEnd w:id="498"/>
      <w:bookmarkEnd w:id="499"/>
      <w:bookmarkEnd w:id="500"/>
      <w:bookmarkEnd w:id="501"/>
      <w:r>
        <w:rPr>
          <w:rFonts w:hint="eastAsia" w:ascii="宋体" w:hAnsi="宋体" w:cs="仿宋"/>
          <w:b/>
          <w:color w:val="000000" w:themeColor="text1"/>
          <w:sz w:val="24"/>
          <w14:textFill>
            <w14:solidFill>
              <w14:schemeClr w14:val="tx1"/>
            </w14:solidFill>
          </w14:textFill>
        </w:rPr>
        <w:t>5 履约检查和问题反馈</w:t>
      </w:r>
      <w:bookmarkEnd w:id="502"/>
      <w:bookmarkEnd w:id="503"/>
      <w:bookmarkEnd w:id="504"/>
    </w:p>
    <w:p w14:paraId="1BAF4D14">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bookmarkStart w:id="505" w:name="_Ref467379657"/>
      <w:r>
        <w:rPr>
          <w:rFonts w:hint="eastAsia" w:ascii="宋体" w:hAnsi="宋体" w:cs="仿宋"/>
          <w:color w:val="000000" w:themeColor="text1"/>
          <w:sz w:val="24"/>
          <w14:textFill>
            <w14:solidFill>
              <w14:schemeClr w14:val="tx1"/>
            </w14:solidFill>
          </w14:textFill>
        </w:rPr>
        <w:t>2.5.1</w:t>
      </w:r>
      <w:bookmarkEnd w:id="505"/>
      <w:bookmarkStart w:id="506" w:name="_Toc186431854"/>
      <w:bookmarkStart w:id="507" w:name="_Ref467379793"/>
      <w:bookmarkStart w:id="508" w:name="_Toc259093676"/>
      <w:bookmarkStart w:id="509" w:name="_Toc487900357"/>
      <w:bookmarkStart w:id="510" w:name="_Ref467379807"/>
      <w:bookmarkStart w:id="511" w:name="_Toc279701247"/>
      <w:r>
        <w:rPr>
          <w:rFonts w:hint="eastAsia" w:ascii="宋体" w:hAnsi="宋体" w:cs="仿宋"/>
          <w:color w:val="000000" w:themeColor="text1"/>
          <w:sz w:val="24"/>
          <w14:textFill>
            <w14:solidFill>
              <w14:schemeClr w14:val="tx1"/>
            </w14:solidFill>
          </w14:textFill>
        </w:rPr>
        <w:t>甲方有权在其认为必要时，对乙方是否能够按照合同约定交付服务进行履约检查，以确保乙方所交付的服务能够依约满足甲方之项目需求，但不得因履约检查妨碍乙方的正常工作，乙方应予积极配合；</w:t>
      </w:r>
    </w:p>
    <w:p w14:paraId="2F2CBBED">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2.5.2 合同履行期间，甲方有权将履行过程中出现的问题反馈给乙方，双方当事人应以书面形式约定需要完善和改进的内容</w:t>
      </w:r>
      <w:bookmarkEnd w:id="506"/>
      <w:bookmarkStart w:id="512" w:name="_Toc186431855"/>
      <w:r>
        <w:rPr>
          <w:rFonts w:hint="eastAsia" w:ascii="宋体" w:hAnsi="宋体" w:cs="仿宋"/>
          <w:color w:val="000000" w:themeColor="text1"/>
          <w:sz w:val="24"/>
          <w14:textFill>
            <w14:solidFill>
              <w14:schemeClr w14:val="tx1"/>
            </w14:solidFill>
          </w14:textFill>
        </w:rPr>
        <w:t>。</w:t>
      </w:r>
    </w:p>
    <w:bookmarkEnd w:id="507"/>
    <w:bookmarkEnd w:id="508"/>
    <w:bookmarkEnd w:id="509"/>
    <w:bookmarkEnd w:id="510"/>
    <w:bookmarkEnd w:id="511"/>
    <w:bookmarkEnd w:id="512"/>
    <w:p w14:paraId="62324DC2">
      <w:pPr>
        <w:snapToGrid w:val="0"/>
        <w:spacing w:line="360" w:lineRule="auto"/>
        <w:ind w:firstLine="482" w:firstLineChars="200"/>
        <w:outlineLvl w:val="0"/>
        <w:rPr>
          <w:rFonts w:hint="eastAsia" w:ascii="宋体" w:hAnsi="宋体" w:cs="仿宋"/>
          <w:b/>
          <w:color w:val="000000" w:themeColor="text1"/>
          <w:sz w:val="24"/>
          <w14:textFill>
            <w14:solidFill>
              <w14:schemeClr w14:val="tx1"/>
            </w14:solidFill>
          </w14:textFill>
        </w:rPr>
      </w:pPr>
      <w:bookmarkStart w:id="513" w:name="_Toc487900358"/>
      <w:bookmarkStart w:id="514" w:name="_Ref467379863"/>
      <w:bookmarkStart w:id="515" w:name="_Ref467379852"/>
      <w:bookmarkStart w:id="516" w:name="_Toc259093677"/>
      <w:bookmarkStart w:id="517" w:name="_Ref467379923"/>
      <w:bookmarkStart w:id="518" w:name="_Toc279701248"/>
      <w:bookmarkStart w:id="519" w:name="_Toc774"/>
      <w:bookmarkStart w:id="520" w:name="_Toc3225"/>
      <w:bookmarkStart w:id="521" w:name="_Toc16110"/>
      <w:r>
        <w:rPr>
          <w:rFonts w:hint="eastAsia" w:ascii="宋体" w:hAnsi="宋体" w:cs="仿宋"/>
          <w:b/>
          <w:color w:val="000000" w:themeColor="text1"/>
          <w:sz w:val="24"/>
          <w14:textFill>
            <w14:solidFill>
              <w14:schemeClr w14:val="tx1"/>
            </w14:solidFill>
          </w14:textFill>
        </w:rPr>
        <w:t>2.6 技术资料</w:t>
      </w:r>
      <w:bookmarkEnd w:id="513"/>
      <w:bookmarkEnd w:id="514"/>
      <w:bookmarkEnd w:id="515"/>
      <w:bookmarkEnd w:id="516"/>
      <w:bookmarkEnd w:id="517"/>
      <w:bookmarkEnd w:id="518"/>
      <w:r>
        <w:rPr>
          <w:rFonts w:hint="eastAsia" w:ascii="宋体" w:hAnsi="宋体" w:cs="仿宋"/>
          <w:b/>
          <w:color w:val="000000" w:themeColor="text1"/>
          <w:sz w:val="24"/>
          <w14:textFill>
            <w14:solidFill>
              <w14:schemeClr w14:val="tx1"/>
            </w14:solidFill>
          </w14:textFill>
        </w:rPr>
        <w:t>和保密义务</w:t>
      </w:r>
      <w:bookmarkEnd w:id="519"/>
      <w:bookmarkEnd w:id="520"/>
      <w:bookmarkEnd w:id="521"/>
    </w:p>
    <w:p w14:paraId="3EDE0370">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2.6.1 乙方有权依据合同约定和项目需要，向甲方了解有关情况，调阅有关资料等，甲方应予积极配合；</w:t>
      </w:r>
    </w:p>
    <w:p w14:paraId="6636B21B">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2.6.2 乙方有义务妥善保管和保护由甲方提供的前款信息和资料等；</w:t>
      </w:r>
    </w:p>
    <w:p w14:paraId="5B5BAE84">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742EFB1">
      <w:pPr>
        <w:snapToGrid w:val="0"/>
        <w:spacing w:line="360" w:lineRule="auto"/>
        <w:ind w:firstLine="482" w:firstLineChars="200"/>
        <w:outlineLvl w:val="0"/>
        <w:rPr>
          <w:rFonts w:hint="eastAsia" w:ascii="宋体" w:hAnsi="宋体" w:cs="仿宋"/>
          <w:b/>
          <w:color w:val="000000" w:themeColor="text1"/>
          <w:sz w:val="24"/>
          <w14:textFill>
            <w14:solidFill>
              <w14:schemeClr w14:val="tx1"/>
            </w14:solidFill>
          </w14:textFill>
        </w:rPr>
      </w:pPr>
      <w:bookmarkStart w:id="522" w:name="_Toc7860"/>
      <w:r>
        <w:rPr>
          <w:rFonts w:hint="eastAsia" w:ascii="宋体" w:hAnsi="宋体" w:cs="仿宋"/>
          <w:b/>
          <w:color w:val="000000" w:themeColor="text1"/>
          <w:sz w:val="24"/>
          <w14:textFill>
            <w14:solidFill>
              <w14:schemeClr w14:val="tx1"/>
            </w14:solidFill>
          </w14:textFill>
        </w:rPr>
        <w:t>2.7 质量保证</w:t>
      </w:r>
      <w:bookmarkEnd w:id="522"/>
    </w:p>
    <w:p w14:paraId="0DF24F2B">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2.7.1 乙方应建立和完善履行合同的内部质量保证体系，并提供相关内部规章制度给甲方，以便甲方进行监督检查；</w:t>
      </w:r>
    </w:p>
    <w:p w14:paraId="23D3CD62">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2.7.2 乙方应保证履行合同的人员数量和素质、所提供服务的质量、场地、环境和设施等满足全面履行合同的要求，并应接受甲方的监督检查。</w:t>
      </w:r>
    </w:p>
    <w:p w14:paraId="0F7AFB40">
      <w:pPr>
        <w:snapToGrid w:val="0"/>
        <w:spacing w:line="360" w:lineRule="auto"/>
        <w:ind w:firstLine="482" w:firstLineChars="200"/>
        <w:outlineLvl w:val="0"/>
        <w:rPr>
          <w:rFonts w:hint="eastAsia" w:ascii="宋体" w:hAnsi="宋体" w:cs="仿宋"/>
          <w:b/>
          <w:color w:val="000000" w:themeColor="text1"/>
          <w:sz w:val="24"/>
          <w14:textFill>
            <w14:solidFill>
              <w14:schemeClr w14:val="tx1"/>
            </w14:solidFill>
          </w14:textFill>
        </w:rPr>
      </w:pPr>
      <w:bookmarkStart w:id="523" w:name="_Toc17244"/>
      <w:bookmarkStart w:id="524" w:name="_Toc279701252"/>
      <w:bookmarkStart w:id="525" w:name="_Toc487900362"/>
      <w:bookmarkStart w:id="526" w:name="_Toc259093681"/>
      <w:r>
        <w:rPr>
          <w:rFonts w:hint="eastAsia" w:ascii="宋体" w:hAnsi="宋体" w:cs="仿宋"/>
          <w:b/>
          <w:color w:val="000000" w:themeColor="text1"/>
          <w:sz w:val="24"/>
          <w14:textFill>
            <w14:solidFill>
              <w14:schemeClr w14:val="tx1"/>
            </w14:solidFill>
          </w14:textFill>
        </w:rPr>
        <w:t>2.8 货物的风险负担</w:t>
      </w:r>
      <w:bookmarkEnd w:id="523"/>
    </w:p>
    <w:p w14:paraId="7C058722">
      <w:pPr>
        <w:snapToGrid w:val="0"/>
        <w:spacing w:line="360" w:lineRule="auto"/>
        <w:ind w:firstLine="480" w:firstLineChars="200"/>
        <w:rPr>
          <w:rFonts w:hint="eastAsia" w:ascii="宋体" w:hAnsi="宋体" w:cs="仿宋"/>
          <w:b/>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货物或者在途货物或者交付给第一承运人后的货物毁损、灭失的风险负担详见</w:t>
      </w:r>
      <w:r>
        <w:rPr>
          <w:rFonts w:hint="eastAsia" w:ascii="宋体" w:hAnsi="宋体" w:cs="仿宋"/>
          <w:b/>
          <w:i/>
          <w:color w:val="000000" w:themeColor="text1"/>
          <w:sz w:val="24"/>
          <w:u w:val="single"/>
          <w14:textFill>
            <w14:solidFill>
              <w14:schemeClr w14:val="tx1"/>
            </w14:solidFill>
          </w14:textFill>
        </w:rPr>
        <w:t>合同专用条款</w:t>
      </w:r>
      <w:r>
        <w:rPr>
          <w:rFonts w:hint="eastAsia" w:ascii="宋体" w:hAnsi="宋体" w:cs="仿宋"/>
          <w:color w:val="000000" w:themeColor="text1"/>
          <w:sz w:val="24"/>
          <w14:textFill>
            <w14:solidFill>
              <w14:schemeClr w14:val="tx1"/>
            </w14:solidFill>
          </w14:textFill>
        </w:rPr>
        <w:t>。</w:t>
      </w:r>
    </w:p>
    <w:p w14:paraId="7B1E2F17">
      <w:pPr>
        <w:snapToGrid w:val="0"/>
        <w:spacing w:line="360" w:lineRule="auto"/>
        <w:ind w:firstLine="482" w:firstLineChars="200"/>
        <w:outlineLvl w:val="0"/>
        <w:rPr>
          <w:rFonts w:hint="eastAsia" w:ascii="宋体" w:hAnsi="宋体" w:cs="仿宋"/>
          <w:b/>
          <w:color w:val="000000" w:themeColor="text1"/>
          <w:sz w:val="24"/>
          <w14:textFill>
            <w14:solidFill>
              <w14:schemeClr w14:val="tx1"/>
            </w14:solidFill>
          </w14:textFill>
        </w:rPr>
      </w:pPr>
      <w:bookmarkStart w:id="527" w:name="_Toc14055"/>
      <w:r>
        <w:rPr>
          <w:rFonts w:hint="eastAsia" w:ascii="宋体" w:hAnsi="宋体" w:cs="仿宋"/>
          <w:b/>
          <w:color w:val="000000" w:themeColor="text1"/>
          <w:sz w:val="24"/>
          <w14:textFill>
            <w14:solidFill>
              <w14:schemeClr w14:val="tx1"/>
            </w14:solidFill>
          </w14:textFill>
        </w:rPr>
        <w:t>2.9 延迟</w:t>
      </w:r>
      <w:bookmarkEnd w:id="524"/>
      <w:bookmarkEnd w:id="525"/>
      <w:bookmarkEnd w:id="526"/>
      <w:bookmarkEnd w:id="527"/>
      <w:r>
        <w:rPr>
          <w:rFonts w:hint="eastAsia" w:ascii="宋体" w:hAnsi="宋体" w:cs="仿宋"/>
          <w:b/>
          <w:color w:val="000000" w:themeColor="text1"/>
          <w:sz w:val="24"/>
          <w14:textFill>
            <w14:solidFill>
              <w14:schemeClr w14:val="tx1"/>
            </w14:solidFill>
          </w14:textFill>
        </w:rPr>
        <w:t>服务</w:t>
      </w:r>
    </w:p>
    <w:p w14:paraId="50017C6A">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在合同履行过程中，如果乙方遇到不能按时交付服务的情况，应及时以书面形式将不能按时交付服务的理由、预期延误时间通知甲方；甲方收到乙方通知后，认为其理由正当的，可以书面形式酌情同意乙方可以延长交货的具体时间。</w:t>
      </w:r>
    </w:p>
    <w:p w14:paraId="640EE079">
      <w:pPr>
        <w:snapToGrid w:val="0"/>
        <w:spacing w:line="360" w:lineRule="auto"/>
        <w:ind w:firstLine="482" w:firstLineChars="200"/>
        <w:outlineLvl w:val="0"/>
        <w:rPr>
          <w:rFonts w:hint="eastAsia" w:ascii="宋体" w:hAnsi="宋体" w:cs="仿宋"/>
          <w:b/>
          <w:color w:val="000000" w:themeColor="text1"/>
          <w:sz w:val="24"/>
          <w14:textFill>
            <w14:solidFill>
              <w14:schemeClr w14:val="tx1"/>
            </w14:solidFill>
          </w14:textFill>
        </w:rPr>
      </w:pPr>
      <w:bookmarkStart w:id="528" w:name="_Toc7502"/>
      <w:bookmarkStart w:id="529" w:name="_Toc279701254"/>
      <w:bookmarkStart w:id="530" w:name="_Toc259093683"/>
      <w:bookmarkStart w:id="531" w:name="_Toc487900364"/>
      <w:bookmarkStart w:id="532" w:name="_Ref467378121"/>
      <w:r>
        <w:rPr>
          <w:rFonts w:hint="eastAsia" w:ascii="宋体" w:hAnsi="宋体" w:cs="仿宋"/>
          <w:b/>
          <w:color w:val="000000" w:themeColor="text1"/>
          <w:sz w:val="24"/>
          <w14:textFill>
            <w14:solidFill>
              <w14:schemeClr w14:val="tx1"/>
            </w14:solidFill>
          </w14:textFill>
        </w:rPr>
        <w:t>2.10 合同变更</w:t>
      </w:r>
      <w:bookmarkEnd w:id="528"/>
    </w:p>
    <w:p w14:paraId="29C6665D">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533" w:name="_Toc259093688"/>
      <w:bookmarkStart w:id="534" w:name="_Toc487900369"/>
      <w:bookmarkStart w:id="535" w:name="_Toc279701259"/>
    </w:p>
    <w:p w14:paraId="3B51C08C">
      <w:pPr>
        <w:snapToGrid w:val="0"/>
        <w:spacing w:line="360" w:lineRule="auto"/>
        <w:ind w:firstLine="482" w:firstLineChars="200"/>
        <w:outlineLvl w:val="0"/>
        <w:rPr>
          <w:rFonts w:hint="eastAsia" w:ascii="宋体" w:hAnsi="宋体" w:cs="仿宋"/>
          <w:b/>
          <w:color w:val="000000" w:themeColor="text1"/>
          <w:sz w:val="24"/>
          <w14:textFill>
            <w14:solidFill>
              <w14:schemeClr w14:val="tx1"/>
            </w14:solidFill>
          </w14:textFill>
        </w:rPr>
      </w:pPr>
      <w:bookmarkStart w:id="536" w:name="_Toc15237"/>
      <w:bookmarkStart w:id="537" w:name="_Toc10366"/>
      <w:bookmarkStart w:id="538" w:name="_Toc22955"/>
      <w:r>
        <w:rPr>
          <w:rFonts w:hint="eastAsia" w:ascii="宋体" w:hAnsi="宋体" w:cs="仿宋"/>
          <w:b/>
          <w:color w:val="000000" w:themeColor="text1"/>
          <w:sz w:val="24"/>
          <w14:textFill>
            <w14:solidFill>
              <w14:schemeClr w14:val="tx1"/>
            </w14:solidFill>
          </w14:textFill>
        </w:rPr>
        <w:t>2.11 合同转让</w:t>
      </w:r>
      <w:bookmarkEnd w:id="533"/>
      <w:bookmarkEnd w:id="534"/>
      <w:bookmarkEnd w:id="535"/>
      <w:r>
        <w:rPr>
          <w:rFonts w:hint="eastAsia" w:ascii="宋体" w:hAnsi="宋体" w:cs="仿宋"/>
          <w:b/>
          <w:color w:val="000000" w:themeColor="text1"/>
          <w:sz w:val="24"/>
          <w14:textFill>
            <w14:solidFill>
              <w14:schemeClr w14:val="tx1"/>
            </w14:solidFill>
          </w14:textFill>
        </w:rPr>
        <w:t>和分包</w:t>
      </w:r>
      <w:bookmarkEnd w:id="536"/>
      <w:bookmarkEnd w:id="537"/>
      <w:bookmarkEnd w:id="538"/>
    </w:p>
    <w:p w14:paraId="4A548EA1">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2.11.1经甲方书面同意后，乙方可以依法采取分包方式履行合同，即：依法可以将合同项下的部分非主体、非关键性的人代会期间驻点工作分包给他人完成，接受分包的人应当具备相应的所必需的设备和专业技术能力，并不得再次分包，且乙方应就分包项目向甲方负责，并与分包供应商就分包项目向甲方承担连带责任。</w:t>
      </w:r>
    </w:p>
    <w:p w14:paraId="28F0932D">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2.11.2乙方采取分包方式履行合同的，甲方可直接向分包供应商支付款项。</w:t>
      </w:r>
    </w:p>
    <w:p w14:paraId="304AF346">
      <w:pPr>
        <w:snapToGrid w:val="0"/>
        <w:spacing w:line="360" w:lineRule="auto"/>
        <w:ind w:firstLine="482" w:firstLineChars="200"/>
        <w:outlineLvl w:val="0"/>
        <w:rPr>
          <w:rFonts w:hint="eastAsia" w:ascii="宋体" w:hAnsi="宋体" w:cs="仿宋"/>
          <w:b/>
          <w:color w:val="000000" w:themeColor="text1"/>
          <w:sz w:val="24"/>
          <w14:textFill>
            <w14:solidFill>
              <w14:schemeClr w14:val="tx1"/>
            </w14:solidFill>
          </w14:textFill>
        </w:rPr>
      </w:pPr>
      <w:bookmarkStart w:id="539" w:name="_Toc14066"/>
      <w:bookmarkStart w:id="540" w:name="_Toc13566"/>
      <w:bookmarkStart w:id="541" w:name="_Toc16508"/>
      <w:r>
        <w:rPr>
          <w:rFonts w:hint="eastAsia" w:ascii="宋体" w:hAnsi="宋体" w:cs="仿宋"/>
          <w:b/>
          <w:color w:val="000000" w:themeColor="text1"/>
          <w:sz w:val="24"/>
          <w14:textFill>
            <w14:solidFill>
              <w14:schemeClr w14:val="tx1"/>
            </w14:solidFill>
          </w14:textFill>
        </w:rPr>
        <w:t>2.12 不可抗力</w:t>
      </w:r>
      <w:bookmarkEnd w:id="539"/>
      <w:bookmarkEnd w:id="540"/>
      <w:bookmarkEnd w:id="541"/>
    </w:p>
    <w:p w14:paraId="46639AAC">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2.12.1如果任何一方遭遇法律规定的不可抗力，致使合同履行受阻时，履行合同的期限应予延长，延长的期限应相当于不可抗力所影响的时间；</w:t>
      </w:r>
    </w:p>
    <w:p w14:paraId="763194F1">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2.12.2 因不可抗力致使不能实现合同目的的，当事人可以解除合同；</w:t>
      </w:r>
    </w:p>
    <w:p w14:paraId="672BE74C">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2.12.3 因不可抗力致使合同有变更必要的，双方当事人应在</w:t>
      </w:r>
      <w:r>
        <w:rPr>
          <w:rFonts w:hint="eastAsia" w:ascii="宋体" w:hAnsi="宋体" w:cs="仿宋"/>
          <w:b/>
          <w:i/>
          <w:color w:val="000000" w:themeColor="text1"/>
          <w:sz w:val="24"/>
          <w:u w:val="single"/>
          <w14:textFill>
            <w14:solidFill>
              <w14:schemeClr w14:val="tx1"/>
            </w14:solidFill>
          </w14:textFill>
        </w:rPr>
        <w:t>合同专用条款</w:t>
      </w:r>
      <w:r>
        <w:rPr>
          <w:rFonts w:hint="eastAsia" w:ascii="宋体" w:hAnsi="宋体" w:cs="仿宋"/>
          <w:color w:val="000000" w:themeColor="text1"/>
          <w:sz w:val="24"/>
          <w14:textFill>
            <w14:solidFill>
              <w14:schemeClr w14:val="tx1"/>
            </w14:solidFill>
          </w14:textFill>
        </w:rPr>
        <w:t>约定时间内以书面形式变更合同；</w:t>
      </w:r>
    </w:p>
    <w:p w14:paraId="1A55314B">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2.12.4受不可抗力影响的一方在不可抗力发生后，应在</w:t>
      </w:r>
      <w:r>
        <w:rPr>
          <w:rFonts w:hint="eastAsia" w:ascii="宋体" w:hAnsi="宋体" w:cs="仿宋"/>
          <w:b/>
          <w:i/>
          <w:color w:val="000000" w:themeColor="text1"/>
          <w:sz w:val="24"/>
          <w:u w:val="single"/>
          <w14:textFill>
            <w14:solidFill>
              <w14:schemeClr w14:val="tx1"/>
            </w14:solidFill>
          </w14:textFill>
        </w:rPr>
        <w:t>合同专用条款</w:t>
      </w:r>
      <w:r>
        <w:rPr>
          <w:rFonts w:hint="eastAsia" w:ascii="宋体" w:hAnsi="宋体" w:cs="仿宋"/>
          <w:color w:val="000000" w:themeColor="text1"/>
          <w:sz w:val="24"/>
          <w14:textFill>
            <w14:solidFill>
              <w14:schemeClr w14:val="tx1"/>
            </w14:solidFill>
          </w14:textFill>
        </w:rPr>
        <w:t>约定时间内以书面形式通知对方当事人，并在</w:t>
      </w:r>
      <w:r>
        <w:rPr>
          <w:rFonts w:hint="eastAsia" w:ascii="宋体" w:hAnsi="宋体" w:cs="仿宋"/>
          <w:b/>
          <w:i/>
          <w:color w:val="000000" w:themeColor="text1"/>
          <w:sz w:val="24"/>
          <w:u w:val="single"/>
          <w14:textFill>
            <w14:solidFill>
              <w14:schemeClr w14:val="tx1"/>
            </w14:solidFill>
          </w14:textFill>
        </w:rPr>
        <w:t>合同专用条款</w:t>
      </w:r>
      <w:r>
        <w:rPr>
          <w:rFonts w:hint="eastAsia" w:ascii="宋体" w:hAnsi="宋体" w:cs="仿宋"/>
          <w:color w:val="000000" w:themeColor="text1"/>
          <w:sz w:val="24"/>
          <w14:textFill>
            <w14:solidFill>
              <w14:schemeClr w14:val="tx1"/>
            </w14:solidFill>
          </w14:textFill>
        </w:rPr>
        <w:t>约定时间内，将有关部门出具的证明文件送达对方当事人。</w:t>
      </w:r>
    </w:p>
    <w:p w14:paraId="5150C630">
      <w:pPr>
        <w:snapToGrid w:val="0"/>
        <w:spacing w:line="360" w:lineRule="auto"/>
        <w:ind w:firstLine="482" w:firstLineChars="200"/>
        <w:outlineLvl w:val="0"/>
        <w:rPr>
          <w:rFonts w:hint="eastAsia" w:ascii="宋体" w:hAnsi="宋体" w:cs="仿宋"/>
          <w:b/>
          <w:color w:val="000000" w:themeColor="text1"/>
          <w:sz w:val="24"/>
          <w14:textFill>
            <w14:solidFill>
              <w14:schemeClr w14:val="tx1"/>
            </w14:solidFill>
          </w14:textFill>
        </w:rPr>
      </w:pPr>
      <w:bookmarkStart w:id="542" w:name="_Toc487900365"/>
      <w:bookmarkStart w:id="543" w:name="_Toc30676"/>
      <w:bookmarkStart w:id="544" w:name="_Toc6969"/>
      <w:bookmarkStart w:id="545" w:name="_Toc279701255"/>
      <w:bookmarkStart w:id="546" w:name="_Toc259093684"/>
      <w:bookmarkStart w:id="547" w:name="_Toc689"/>
      <w:r>
        <w:rPr>
          <w:rFonts w:hint="eastAsia" w:ascii="宋体" w:hAnsi="宋体" w:cs="仿宋"/>
          <w:b/>
          <w:color w:val="000000" w:themeColor="text1"/>
          <w:sz w:val="24"/>
          <w14:textFill>
            <w14:solidFill>
              <w14:schemeClr w14:val="tx1"/>
            </w14:solidFill>
          </w14:textFill>
        </w:rPr>
        <w:t>2.13 税费</w:t>
      </w:r>
      <w:bookmarkEnd w:id="542"/>
      <w:bookmarkEnd w:id="543"/>
      <w:bookmarkEnd w:id="544"/>
      <w:bookmarkEnd w:id="545"/>
      <w:bookmarkEnd w:id="546"/>
      <w:bookmarkEnd w:id="547"/>
    </w:p>
    <w:p w14:paraId="22D00544">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与合同有关的一切税费，均按照中华人民共和国法律的相关规定。</w:t>
      </w:r>
    </w:p>
    <w:p w14:paraId="2166D5C6">
      <w:pPr>
        <w:snapToGrid w:val="0"/>
        <w:spacing w:line="360" w:lineRule="auto"/>
        <w:ind w:firstLine="482" w:firstLineChars="200"/>
        <w:outlineLvl w:val="0"/>
        <w:rPr>
          <w:rFonts w:hint="eastAsia" w:ascii="宋体" w:hAnsi="宋体" w:cs="仿宋"/>
          <w:b/>
          <w:color w:val="000000" w:themeColor="text1"/>
          <w:sz w:val="24"/>
          <w14:textFill>
            <w14:solidFill>
              <w14:schemeClr w14:val="tx1"/>
            </w14:solidFill>
          </w14:textFill>
        </w:rPr>
      </w:pPr>
      <w:bookmarkStart w:id="548" w:name="_Toc16959"/>
      <w:bookmarkStart w:id="549" w:name="_Toc487900368"/>
      <w:bookmarkStart w:id="550" w:name="_Toc7102"/>
      <w:bookmarkStart w:id="551" w:name="_Toc8298"/>
      <w:bookmarkStart w:id="552" w:name="_Toc259093687"/>
      <w:bookmarkStart w:id="553" w:name="_Toc279701258"/>
      <w:r>
        <w:rPr>
          <w:rFonts w:hint="eastAsia" w:ascii="宋体" w:hAnsi="宋体" w:cs="仿宋"/>
          <w:b/>
          <w:color w:val="000000" w:themeColor="text1"/>
          <w:sz w:val="24"/>
          <w14:textFill>
            <w14:solidFill>
              <w14:schemeClr w14:val="tx1"/>
            </w14:solidFill>
          </w14:textFill>
        </w:rPr>
        <w:t>2.14乙方破产</w:t>
      </w:r>
      <w:bookmarkEnd w:id="548"/>
      <w:bookmarkEnd w:id="549"/>
      <w:bookmarkEnd w:id="550"/>
      <w:bookmarkEnd w:id="551"/>
      <w:bookmarkEnd w:id="552"/>
      <w:bookmarkEnd w:id="553"/>
    </w:p>
    <w:p w14:paraId="0123DF21">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833B26E">
      <w:pPr>
        <w:snapToGrid w:val="0"/>
        <w:spacing w:line="360" w:lineRule="auto"/>
        <w:ind w:firstLine="482" w:firstLineChars="200"/>
        <w:outlineLvl w:val="0"/>
        <w:rPr>
          <w:rFonts w:hint="eastAsia" w:ascii="宋体" w:hAnsi="宋体" w:cs="仿宋"/>
          <w:b/>
          <w:color w:val="000000" w:themeColor="text1"/>
          <w:sz w:val="24"/>
          <w14:textFill>
            <w14:solidFill>
              <w14:schemeClr w14:val="tx1"/>
            </w14:solidFill>
          </w14:textFill>
        </w:rPr>
      </w:pPr>
      <w:bookmarkStart w:id="554" w:name="_Toc15387"/>
      <w:bookmarkStart w:id="555" w:name="_Toc6134"/>
      <w:bookmarkStart w:id="556" w:name="_Toc29333"/>
      <w:r>
        <w:rPr>
          <w:rFonts w:hint="eastAsia" w:ascii="宋体" w:hAnsi="宋体" w:cs="仿宋"/>
          <w:b/>
          <w:color w:val="000000" w:themeColor="text1"/>
          <w:sz w:val="24"/>
          <w14:textFill>
            <w14:solidFill>
              <w14:schemeClr w14:val="tx1"/>
            </w14:solidFill>
          </w14:textFill>
        </w:rPr>
        <w:t>2.15 合同中止、终止</w:t>
      </w:r>
      <w:bookmarkEnd w:id="554"/>
      <w:bookmarkEnd w:id="555"/>
      <w:bookmarkEnd w:id="556"/>
    </w:p>
    <w:p w14:paraId="5250FDB4">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2.15.1 双方当事人不得擅自中止或者终止合同；</w:t>
      </w:r>
    </w:p>
    <w:p w14:paraId="0821BC3C">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14:paraId="113EF51C">
      <w:pPr>
        <w:snapToGrid w:val="0"/>
        <w:spacing w:line="360" w:lineRule="auto"/>
        <w:ind w:firstLine="482" w:firstLineChars="200"/>
        <w:outlineLvl w:val="0"/>
        <w:rPr>
          <w:rFonts w:hint="eastAsia" w:ascii="宋体" w:hAnsi="宋体" w:cs="仿宋"/>
          <w:b/>
          <w:color w:val="000000" w:themeColor="text1"/>
          <w:sz w:val="24"/>
          <w14:textFill>
            <w14:solidFill>
              <w14:schemeClr w14:val="tx1"/>
            </w14:solidFill>
          </w14:textFill>
        </w:rPr>
      </w:pPr>
      <w:bookmarkStart w:id="557" w:name="_Toc14563"/>
      <w:bookmarkStart w:id="558" w:name="_Toc1125"/>
      <w:bookmarkStart w:id="559" w:name="_Toc6596"/>
      <w:r>
        <w:rPr>
          <w:rFonts w:hint="eastAsia" w:ascii="宋体" w:hAnsi="宋体" w:cs="仿宋"/>
          <w:b/>
          <w:color w:val="000000" w:themeColor="text1"/>
          <w:sz w:val="24"/>
          <w14:textFill>
            <w14:solidFill>
              <w14:schemeClr w14:val="tx1"/>
            </w14:solidFill>
          </w14:textFill>
        </w:rPr>
        <w:t>2.16检验和验收</w:t>
      </w:r>
      <w:bookmarkEnd w:id="557"/>
      <w:bookmarkEnd w:id="558"/>
      <w:bookmarkEnd w:id="559"/>
    </w:p>
    <w:p w14:paraId="374DE633">
      <w:pPr>
        <w:tabs>
          <w:tab w:val="left" w:pos="360"/>
          <w:tab w:val="left" w:pos="540"/>
          <w:tab w:val="left" w:pos="1080"/>
        </w:tabs>
        <w:snapToGrid w:val="0"/>
        <w:spacing w:line="360" w:lineRule="auto"/>
        <w:ind w:firstLine="480" w:firstLineChars="200"/>
        <w:rPr>
          <w:rFonts w:hint="eastAsia"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2.16.1</w:t>
      </w:r>
      <w:r>
        <w:rPr>
          <w:rFonts w:hint="eastAsia" w:ascii="宋体" w:hAnsi="宋体" w:cs="仿宋"/>
          <w:color w:val="000000" w:themeColor="text1"/>
          <w:kern w:val="0"/>
          <w:sz w:val="24"/>
          <w14:textFill>
            <w14:solidFill>
              <w14:schemeClr w14:val="tx1"/>
            </w14:solidFill>
          </w14:textFill>
        </w:rPr>
        <w:t>该项目采用一次性验收方式。</w:t>
      </w:r>
    </w:p>
    <w:p w14:paraId="428500C1">
      <w:pPr>
        <w:tabs>
          <w:tab w:val="left" w:pos="360"/>
          <w:tab w:val="left" w:pos="540"/>
          <w:tab w:val="left" w:pos="1080"/>
        </w:tabs>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37AB7DF">
      <w:pPr>
        <w:tabs>
          <w:tab w:val="left" w:pos="360"/>
          <w:tab w:val="left" w:pos="540"/>
          <w:tab w:val="left" w:pos="1080"/>
        </w:tabs>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2.16.3 检验和验收标准、程序等具体内容以及前述验收书的效力详见</w:t>
      </w:r>
      <w:r>
        <w:rPr>
          <w:rFonts w:hint="eastAsia" w:ascii="宋体" w:hAnsi="宋体" w:cs="仿宋"/>
          <w:b/>
          <w:i/>
          <w:color w:val="000000" w:themeColor="text1"/>
          <w:sz w:val="24"/>
          <w:u w:val="single"/>
          <w14:textFill>
            <w14:solidFill>
              <w14:schemeClr w14:val="tx1"/>
            </w14:solidFill>
          </w14:textFill>
        </w:rPr>
        <w:t>合同专用条款</w:t>
      </w:r>
      <w:r>
        <w:rPr>
          <w:rFonts w:hint="eastAsia" w:ascii="宋体" w:hAnsi="宋体" w:cs="仿宋"/>
          <w:i/>
          <w:color w:val="000000" w:themeColor="text1"/>
          <w:sz w:val="24"/>
          <w14:textFill>
            <w14:solidFill>
              <w14:schemeClr w14:val="tx1"/>
            </w14:solidFill>
          </w14:textFill>
        </w:rPr>
        <w:t>。</w:t>
      </w:r>
    </w:p>
    <w:bookmarkEnd w:id="529"/>
    <w:bookmarkEnd w:id="530"/>
    <w:bookmarkEnd w:id="531"/>
    <w:bookmarkEnd w:id="532"/>
    <w:p w14:paraId="15EC8BA1">
      <w:pPr>
        <w:snapToGrid w:val="0"/>
        <w:spacing w:line="360" w:lineRule="auto"/>
        <w:ind w:firstLine="482" w:firstLineChars="200"/>
        <w:outlineLvl w:val="0"/>
        <w:rPr>
          <w:rFonts w:hint="eastAsia" w:ascii="宋体" w:hAnsi="宋体" w:cs="仿宋"/>
          <w:b/>
          <w:color w:val="000000" w:themeColor="text1"/>
          <w:sz w:val="24"/>
          <w14:textFill>
            <w14:solidFill>
              <w14:schemeClr w14:val="tx1"/>
            </w14:solidFill>
          </w14:textFill>
        </w:rPr>
      </w:pPr>
      <w:bookmarkStart w:id="560" w:name="_Toc279701261"/>
      <w:bookmarkStart w:id="561" w:name="_Toc259093690"/>
      <w:bookmarkStart w:id="562" w:name="_Toc487900371"/>
      <w:bookmarkStart w:id="563" w:name="_Toc19604"/>
      <w:bookmarkStart w:id="564" w:name="_Toc11284"/>
      <w:bookmarkStart w:id="565" w:name="_Toc25182"/>
      <w:r>
        <w:rPr>
          <w:rFonts w:hint="eastAsia" w:ascii="宋体" w:hAnsi="宋体" w:cs="仿宋"/>
          <w:b/>
          <w:color w:val="000000" w:themeColor="text1"/>
          <w:sz w:val="24"/>
          <w14:textFill>
            <w14:solidFill>
              <w14:schemeClr w14:val="tx1"/>
            </w14:solidFill>
          </w14:textFill>
        </w:rPr>
        <w:t>2.17 通知</w:t>
      </w:r>
      <w:bookmarkEnd w:id="560"/>
      <w:bookmarkEnd w:id="561"/>
      <w:bookmarkEnd w:id="562"/>
      <w:r>
        <w:rPr>
          <w:rFonts w:hint="eastAsia" w:ascii="宋体" w:hAnsi="宋体" w:cs="仿宋"/>
          <w:b/>
          <w:color w:val="000000" w:themeColor="text1"/>
          <w:sz w:val="24"/>
          <w14:textFill>
            <w14:solidFill>
              <w14:schemeClr w14:val="tx1"/>
            </w14:solidFill>
          </w14:textFill>
        </w:rPr>
        <w:t>和送达</w:t>
      </w:r>
      <w:bookmarkEnd w:id="563"/>
      <w:bookmarkEnd w:id="564"/>
      <w:bookmarkEnd w:id="565"/>
    </w:p>
    <w:p w14:paraId="2EB55A02">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bookmarkStart w:id="566" w:name="_Toc6698"/>
      <w:bookmarkStart w:id="567" w:name="_Toc3135"/>
      <w:bookmarkStart w:id="568" w:name="_Toc279701262"/>
      <w:bookmarkStart w:id="569" w:name="_Toc487900372"/>
      <w:bookmarkStart w:id="570" w:name="_Toc259093691"/>
      <w:r>
        <w:rPr>
          <w:rFonts w:hint="eastAsia" w:ascii="宋体" w:hAnsi="宋体" w:cs="仿宋"/>
          <w:color w:val="000000" w:themeColor="text1"/>
          <w:sz w:val="24"/>
          <w14:textFill>
            <w14:solidFill>
              <w14:schemeClr w14:val="tx1"/>
            </w14:solidFill>
          </w14:textFill>
        </w:rPr>
        <w:t>2.17.1任何一方因履行合同而以合同第一部分尾部所列明的地址</w:t>
      </w:r>
      <w:r>
        <w:rPr>
          <w:rFonts w:hint="eastAsia" w:ascii="宋体" w:hAnsi="宋体" w:cs="仿宋"/>
          <w:color w:val="000000" w:themeColor="text1"/>
          <w:sz w:val="24"/>
          <w:u w:val="single"/>
          <w14:textFill>
            <w14:solidFill>
              <w14:schemeClr w14:val="tx1"/>
            </w14:solidFill>
          </w14:textFill>
        </w:rPr>
        <w:t xml:space="preserve">   /   </w:t>
      </w:r>
      <w:r>
        <w:rPr>
          <w:rFonts w:hint="eastAsia" w:ascii="宋体" w:hAnsi="宋体" w:cs="仿宋"/>
          <w:color w:val="000000" w:themeColor="text1"/>
          <w:sz w:val="24"/>
          <w14:textFill>
            <w14:solidFill>
              <w14:schemeClr w14:val="tx1"/>
            </w14:solidFill>
          </w14:textFill>
        </w:rPr>
        <w:t>发出的所有通知、文件、材料，均视为已向对方当事人送达；任何一方变更上述送达方式或者地址的，应于</w:t>
      </w:r>
      <w:r>
        <w:rPr>
          <w:rFonts w:hint="eastAsia" w:ascii="宋体" w:hAnsi="宋体" w:cs="仿宋"/>
          <w:color w:val="000000" w:themeColor="text1"/>
          <w:sz w:val="24"/>
          <w:u w:val="single"/>
          <w14:textFill>
            <w14:solidFill>
              <w14:schemeClr w14:val="tx1"/>
            </w14:solidFill>
          </w14:textFill>
        </w:rPr>
        <w:t>3</w:t>
      </w:r>
      <w:r>
        <w:rPr>
          <w:rFonts w:hint="eastAsia" w:ascii="宋体" w:hAnsi="宋体" w:cs="仿宋"/>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bookmarkEnd w:id="566"/>
      <w:bookmarkEnd w:id="567"/>
    </w:p>
    <w:p w14:paraId="7E4AD33E">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bookmarkStart w:id="571" w:name="_Toc23294"/>
      <w:bookmarkStart w:id="572" w:name="_Toc23128"/>
      <w:r>
        <w:rPr>
          <w:rFonts w:hint="eastAsia" w:ascii="宋体" w:hAnsi="宋体" w:cs="仿宋"/>
          <w:color w:val="000000" w:themeColor="text1"/>
          <w:sz w:val="24"/>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71"/>
      <w:bookmarkEnd w:id="572"/>
    </w:p>
    <w:p w14:paraId="1796ED88">
      <w:pPr>
        <w:snapToGrid w:val="0"/>
        <w:spacing w:line="360" w:lineRule="auto"/>
        <w:ind w:firstLine="482" w:firstLineChars="200"/>
        <w:outlineLvl w:val="0"/>
        <w:rPr>
          <w:rFonts w:hint="eastAsia" w:ascii="宋体" w:hAnsi="宋体" w:cs="仿宋"/>
          <w:b/>
          <w:color w:val="000000" w:themeColor="text1"/>
          <w:sz w:val="24"/>
          <w14:textFill>
            <w14:solidFill>
              <w14:schemeClr w14:val="tx1"/>
            </w14:solidFill>
          </w14:textFill>
        </w:rPr>
      </w:pPr>
      <w:bookmarkStart w:id="573" w:name="_Toc18540"/>
      <w:bookmarkStart w:id="574" w:name="_Toc4355"/>
      <w:bookmarkStart w:id="575" w:name="_Toc30599"/>
      <w:r>
        <w:rPr>
          <w:rFonts w:hint="eastAsia" w:ascii="宋体" w:hAnsi="宋体" w:cs="仿宋"/>
          <w:b/>
          <w:color w:val="000000" w:themeColor="text1"/>
          <w:sz w:val="24"/>
          <w14:textFill>
            <w14:solidFill>
              <w14:schemeClr w14:val="tx1"/>
            </w14:solidFill>
          </w14:textFill>
        </w:rPr>
        <w:t>2.18 计量单位</w:t>
      </w:r>
      <w:bookmarkEnd w:id="568"/>
      <w:bookmarkEnd w:id="569"/>
      <w:bookmarkEnd w:id="570"/>
      <w:bookmarkEnd w:id="573"/>
      <w:bookmarkEnd w:id="574"/>
      <w:bookmarkEnd w:id="575"/>
    </w:p>
    <w:p w14:paraId="14234590">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除技术规范中另有规定外,合同的计量单位均使用国家法定计量单位。</w:t>
      </w:r>
    </w:p>
    <w:p w14:paraId="28305FE9">
      <w:pPr>
        <w:snapToGrid w:val="0"/>
        <w:spacing w:line="360" w:lineRule="auto"/>
        <w:ind w:firstLine="482" w:firstLineChars="200"/>
        <w:outlineLvl w:val="0"/>
        <w:rPr>
          <w:rFonts w:hint="eastAsia" w:ascii="宋体" w:hAnsi="宋体" w:cs="仿宋"/>
          <w:b/>
          <w:color w:val="000000" w:themeColor="text1"/>
          <w:sz w:val="24"/>
          <w14:textFill>
            <w14:solidFill>
              <w14:schemeClr w14:val="tx1"/>
            </w14:solidFill>
          </w14:textFill>
        </w:rPr>
      </w:pPr>
      <w:bookmarkStart w:id="576" w:name="_Toc10330"/>
      <w:bookmarkStart w:id="577" w:name="_Toc18567"/>
      <w:bookmarkStart w:id="578" w:name="_Toc12773"/>
      <w:bookmarkStart w:id="579" w:name="_Toc279701263"/>
      <w:bookmarkStart w:id="580" w:name="_Toc259093692"/>
      <w:bookmarkStart w:id="581" w:name="_Toc487900373"/>
      <w:r>
        <w:rPr>
          <w:rFonts w:hint="eastAsia" w:ascii="宋体" w:hAnsi="宋体" w:cs="仿宋"/>
          <w:b/>
          <w:color w:val="000000" w:themeColor="text1"/>
          <w:sz w:val="24"/>
          <w14:textFill>
            <w14:solidFill>
              <w14:schemeClr w14:val="tx1"/>
            </w14:solidFill>
          </w14:textFill>
        </w:rPr>
        <w:t>2.19 合同使用的文字和适用的法律</w:t>
      </w:r>
      <w:bookmarkEnd w:id="576"/>
      <w:bookmarkEnd w:id="577"/>
      <w:bookmarkEnd w:id="578"/>
      <w:bookmarkEnd w:id="579"/>
      <w:bookmarkEnd w:id="580"/>
      <w:bookmarkEnd w:id="581"/>
    </w:p>
    <w:p w14:paraId="62DC22C4">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2.19.1 合同使用汉语书就、变更和解释；</w:t>
      </w:r>
    </w:p>
    <w:p w14:paraId="322EB117">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2.19.2 合同适用中华人民共和国法律。</w:t>
      </w:r>
    </w:p>
    <w:p w14:paraId="444C8ACF">
      <w:pPr>
        <w:snapToGrid w:val="0"/>
        <w:spacing w:line="360" w:lineRule="auto"/>
        <w:ind w:firstLine="482" w:firstLineChars="200"/>
        <w:outlineLvl w:val="0"/>
        <w:rPr>
          <w:rFonts w:hint="eastAsia" w:ascii="宋体" w:hAnsi="宋体" w:cs="仿宋"/>
          <w:b/>
          <w:color w:val="000000" w:themeColor="text1"/>
          <w:sz w:val="24"/>
          <w14:textFill>
            <w14:solidFill>
              <w14:schemeClr w14:val="tx1"/>
            </w14:solidFill>
          </w14:textFill>
        </w:rPr>
      </w:pPr>
      <w:r>
        <w:rPr>
          <w:rFonts w:hint="eastAsia" w:ascii="宋体" w:hAnsi="宋体" w:cs="仿宋"/>
          <w:b/>
          <w:color w:val="000000" w:themeColor="text1"/>
          <w:sz w:val="24"/>
          <w14:textFill>
            <w14:solidFill>
              <w14:schemeClr w14:val="tx1"/>
            </w14:solidFill>
          </w14:textFill>
        </w:rPr>
        <w:t>2.20合同份数</w:t>
      </w:r>
    </w:p>
    <w:p w14:paraId="4775FDAB">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合同份数按</w:t>
      </w:r>
      <w:r>
        <w:rPr>
          <w:rFonts w:hint="eastAsia" w:ascii="宋体" w:hAnsi="宋体" w:cs="仿宋"/>
          <w:b/>
          <w:i/>
          <w:color w:val="000000" w:themeColor="text1"/>
          <w:sz w:val="24"/>
          <w:u w:val="single"/>
          <w14:textFill>
            <w14:solidFill>
              <w14:schemeClr w14:val="tx1"/>
            </w14:solidFill>
          </w14:textFill>
        </w:rPr>
        <w:t>合同专用条款</w:t>
      </w:r>
      <w:r>
        <w:rPr>
          <w:rFonts w:hint="eastAsia" w:ascii="宋体" w:hAnsi="宋体" w:cs="仿宋"/>
          <w:color w:val="000000" w:themeColor="text1"/>
          <w:sz w:val="24"/>
          <w14:textFill>
            <w14:solidFill>
              <w14:schemeClr w14:val="tx1"/>
            </w14:solidFill>
          </w14:textFill>
        </w:rPr>
        <w:t>规定，每份均具有同等法律效力。</w:t>
      </w:r>
    </w:p>
    <w:p w14:paraId="14915421">
      <w:pPr>
        <w:jc w:val="center"/>
        <w:outlineLvl w:val="9"/>
        <w:rPr>
          <w:rFonts w:hint="eastAsia" w:ascii="宋体" w:hAnsi="宋体" w:cs="仿宋"/>
          <w:b/>
          <w:color w:val="000000" w:themeColor="text1"/>
          <w14:textFill>
            <w14:solidFill>
              <w14:schemeClr w14:val="tx1"/>
            </w14:solidFill>
          </w14:textFill>
        </w:rPr>
      </w:pPr>
      <w:r>
        <w:rPr>
          <w:rFonts w:hint="eastAsia" w:ascii="宋体" w:hAnsi="宋体" w:cs="仿宋"/>
          <w:b/>
          <w:color w:val="000000" w:themeColor="text1"/>
          <w14:textFill>
            <w14:solidFill>
              <w14:schemeClr w14:val="tx1"/>
            </w14:solidFill>
          </w14:textFill>
        </w:rPr>
        <w:br w:type="page"/>
      </w:r>
    </w:p>
    <w:p w14:paraId="265522A6">
      <w:pPr>
        <w:pStyle w:val="701"/>
        <w:ind w:firstLine="482"/>
        <w:jc w:val="center"/>
        <w:outlineLvl w:val="0"/>
        <w:rPr>
          <w:rFonts w:hint="eastAsia" w:ascii="宋体" w:hAnsi="宋体" w:cs="仿宋"/>
          <w:b/>
          <w:color w:val="000000" w:themeColor="text1"/>
          <w:szCs w:val="24"/>
          <w14:textFill>
            <w14:solidFill>
              <w14:schemeClr w14:val="tx1"/>
            </w14:solidFill>
          </w14:textFill>
        </w:rPr>
      </w:pPr>
      <w:r>
        <w:rPr>
          <w:rFonts w:hint="eastAsia" w:ascii="宋体" w:hAnsi="宋体" w:cs="仿宋"/>
          <w:b/>
          <w:color w:val="000000" w:themeColor="text1"/>
          <w:szCs w:val="24"/>
          <w14:textFill>
            <w14:solidFill>
              <w14:schemeClr w14:val="tx1"/>
            </w14:solidFill>
          </w14:textFill>
        </w:rPr>
        <w:t>第三部分  合同专用条款</w:t>
      </w:r>
    </w:p>
    <w:p w14:paraId="2B1EF7AC">
      <w:pPr>
        <w:snapToGrid w:val="0"/>
        <w:spacing w:line="360" w:lineRule="auto"/>
        <w:ind w:left="-420" w:leftChars="-200" w:right="-420" w:rightChars="-200" w:firstLine="480" w:firstLineChars="200"/>
        <w:rPr>
          <w:rFonts w:hint="eastAsia" w:ascii="宋体" w:hAnsi="宋体"/>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66BD7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465" w:type="pct"/>
            <w:tcBorders>
              <w:left w:val="single" w:color="auto" w:sz="4" w:space="0"/>
            </w:tcBorders>
            <w:vAlign w:val="center"/>
          </w:tcPr>
          <w:p w14:paraId="5E105241">
            <w:pPr>
              <w:spacing w:line="360" w:lineRule="auto"/>
              <w:jc w:val="center"/>
              <w:rPr>
                <w:rFonts w:hint="eastAsia" w:ascii="宋体" w:hAnsi="宋体" w:cs="仿宋"/>
                <w:b/>
                <w:color w:val="000000" w:themeColor="text1"/>
                <w:sz w:val="24"/>
                <w14:textFill>
                  <w14:solidFill>
                    <w14:schemeClr w14:val="tx1"/>
                  </w14:solidFill>
                </w14:textFill>
              </w:rPr>
            </w:pPr>
            <w:r>
              <w:rPr>
                <w:rFonts w:hint="eastAsia" w:ascii="宋体" w:hAnsi="宋体" w:cs="仿宋"/>
                <w:b/>
                <w:color w:val="000000" w:themeColor="text1"/>
                <w:sz w:val="24"/>
                <w14:textFill>
                  <w14:solidFill>
                    <w14:schemeClr w14:val="tx1"/>
                  </w14:solidFill>
                </w14:textFill>
              </w:rPr>
              <w:t>条款号</w:t>
            </w:r>
          </w:p>
        </w:tc>
        <w:tc>
          <w:tcPr>
            <w:tcW w:w="4534" w:type="pct"/>
            <w:vAlign w:val="center"/>
          </w:tcPr>
          <w:p w14:paraId="33308079">
            <w:pPr>
              <w:spacing w:line="360" w:lineRule="auto"/>
              <w:jc w:val="center"/>
              <w:rPr>
                <w:rFonts w:hint="eastAsia" w:ascii="宋体" w:hAnsi="宋体" w:cs="仿宋"/>
                <w:b/>
                <w:color w:val="000000" w:themeColor="text1"/>
                <w:sz w:val="24"/>
                <w14:textFill>
                  <w14:solidFill>
                    <w14:schemeClr w14:val="tx1"/>
                  </w14:solidFill>
                </w14:textFill>
              </w:rPr>
            </w:pPr>
            <w:r>
              <w:rPr>
                <w:rFonts w:hint="eastAsia" w:ascii="宋体" w:hAnsi="宋体" w:cs="仿宋"/>
                <w:b/>
                <w:color w:val="000000" w:themeColor="text1"/>
                <w:sz w:val="24"/>
                <w14:textFill>
                  <w14:solidFill>
                    <w14:schemeClr w14:val="tx1"/>
                  </w14:solidFill>
                </w14:textFill>
              </w:rPr>
              <w:t>约定内容</w:t>
            </w:r>
          </w:p>
        </w:tc>
      </w:tr>
      <w:tr w14:paraId="178D8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4" w:hRule="atLeast"/>
        </w:trPr>
        <w:tc>
          <w:tcPr>
            <w:tcW w:w="465" w:type="pct"/>
            <w:tcBorders>
              <w:left w:val="single" w:color="auto" w:sz="4" w:space="0"/>
            </w:tcBorders>
            <w:vAlign w:val="center"/>
          </w:tcPr>
          <w:p w14:paraId="0E2EF3B1">
            <w:pPr>
              <w:spacing w:line="360" w:lineRule="auto"/>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1.4.2</w:t>
            </w:r>
          </w:p>
        </w:tc>
        <w:tc>
          <w:tcPr>
            <w:tcW w:w="4534" w:type="pct"/>
            <w:vAlign w:val="center"/>
          </w:tcPr>
          <w:p w14:paraId="3A4776D0">
            <w:pPr>
              <w:pStyle w:val="131"/>
              <w:snapToGrid w:val="0"/>
              <w:ind w:firstLine="0" w:firstLineChars="0"/>
              <w:rPr>
                <w:rFonts w:hint="eastAsia" w:ascii="宋体" w:hAnsi="宋体" w:cs="仿宋"/>
                <w:color w:val="000000" w:themeColor="text1"/>
                <w:szCs w:val="24"/>
                <w14:textFill>
                  <w14:solidFill>
                    <w14:schemeClr w14:val="tx1"/>
                  </w14:solidFill>
                </w14:textFill>
              </w:rPr>
            </w:pPr>
            <w:r>
              <w:rPr>
                <w:rFonts w:hint="eastAsia" w:ascii="宋体" w:hAnsi="宋体" w:cs="仿宋"/>
                <w:color w:val="000000" w:themeColor="text1"/>
                <w14:textFill>
                  <w14:solidFill>
                    <w14:schemeClr w14:val="tx1"/>
                  </w14:solidFill>
                </w14:textFill>
              </w:rPr>
              <w:t>本次项目合同金额为大写人民币      （￥      元）。包含：电子阅文服务费￥      元（大写：      元人民币）；云资源服务费￥      元（大写：      元人民币）；流量服务费￥      元人民币（大写：      元人民币）；运维服务费￥      元（大写：      元人民币）。</w:t>
            </w:r>
          </w:p>
          <w:p w14:paraId="62A5D52A">
            <w:pPr>
              <w:pStyle w:val="131"/>
              <w:snapToGrid w:val="0"/>
              <w:ind w:firstLine="0" w:firstLineChars="0"/>
              <w:rPr>
                <w:rFonts w:hint="eastAsia" w:ascii="宋体" w:hAnsi="宋体" w:cs="仿宋"/>
                <w:color w:val="000000" w:themeColor="text1"/>
                <w:szCs w:val="24"/>
                <w14:textFill>
                  <w14:solidFill>
                    <w14:schemeClr w14:val="tx1"/>
                  </w14:solidFill>
                </w14:textFill>
              </w:rPr>
            </w:pPr>
            <w:r>
              <w:rPr>
                <w:rFonts w:hint="eastAsia" w:ascii="宋体" w:hAnsi="宋体" w:cs="仿宋"/>
                <w:color w:val="000000" w:themeColor="text1"/>
                <w:szCs w:val="24"/>
                <w14:textFill>
                  <w14:solidFill>
                    <w14:schemeClr w14:val="tx1"/>
                  </w14:solidFill>
                </w14:textFill>
              </w:rPr>
              <w:t>付款方式具体如下：</w:t>
            </w:r>
          </w:p>
          <w:p w14:paraId="0EEF90AA">
            <w:pPr>
              <w:pStyle w:val="131"/>
              <w:snapToGrid w:val="0"/>
              <w:ind w:firstLine="0" w:firstLineChars="0"/>
              <w:rPr>
                <w:rFonts w:hint="eastAsia" w:ascii="宋体" w:hAnsi="宋体" w:cs="仿宋"/>
                <w:color w:val="000000" w:themeColor="text1"/>
                <w:szCs w:val="24"/>
                <w14:textFill>
                  <w14:solidFill>
                    <w14:schemeClr w14:val="tx1"/>
                  </w14:solidFill>
                </w14:textFill>
              </w:rPr>
            </w:pPr>
            <w:r>
              <w:rPr>
                <w:rFonts w:hint="eastAsia" w:ascii="宋体" w:hAnsi="宋体" w:cs="仿宋"/>
                <w:color w:val="000000" w:themeColor="text1"/>
                <w:szCs w:val="24"/>
                <w14:textFill>
                  <w14:solidFill>
                    <w14:schemeClr w14:val="tx1"/>
                  </w14:solidFill>
                </w14:textFill>
              </w:rPr>
              <w:t>签订合同并具备实施条件后，5个工作日内甲方向乙方支付合同金额的45%；合同期第2年财政预算下达后甲方向乙方支付合同金额的50%；服务提供完成，验收通过并经甲方认可后，5个工作日内，甲方支付合同总金额的5%，如果乙方未能按合同约定全面履行义务，那么甲方有权从本尾款中取得补偿或赔偿。</w:t>
            </w:r>
          </w:p>
        </w:tc>
      </w:tr>
      <w:tr w14:paraId="7F0B7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C549E16">
            <w:pPr>
              <w:spacing w:line="360" w:lineRule="auto"/>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 xml:space="preserve">1.5.1 </w:t>
            </w:r>
          </w:p>
        </w:tc>
        <w:tc>
          <w:tcPr>
            <w:tcW w:w="4534" w:type="pct"/>
            <w:vAlign w:val="center"/>
          </w:tcPr>
          <w:p w14:paraId="45418EAE">
            <w:pPr>
              <w:spacing w:line="360" w:lineRule="auto"/>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服务期为2025年  月  日至2027年  月  日。如不能按时提供服务，甲方有权解除合同，拒绝支付合同款项，并追究供应商违约责任。</w:t>
            </w:r>
          </w:p>
        </w:tc>
      </w:tr>
      <w:tr w14:paraId="631D0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5E64FF4">
            <w:pPr>
              <w:spacing w:line="360" w:lineRule="auto"/>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1.5.2</w:t>
            </w:r>
          </w:p>
        </w:tc>
        <w:tc>
          <w:tcPr>
            <w:tcW w:w="4534" w:type="pct"/>
            <w:vAlign w:val="center"/>
          </w:tcPr>
          <w:p w14:paraId="1F96468B">
            <w:pPr>
              <w:spacing w:line="360" w:lineRule="auto"/>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交付地点：甲方指定地点</w:t>
            </w:r>
          </w:p>
        </w:tc>
      </w:tr>
      <w:tr w14:paraId="78383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AF80D66">
            <w:pPr>
              <w:spacing w:line="360" w:lineRule="auto"/>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 xml:space="preserve">1.5.3 </w:t>
            </w:r>
          </w:p>
        </w:tc>
        <w:tc>
          <w:tcPr>
            <w:tcW w:w="4534" w:type="pct"/>
            <w:vAlign w:val="center"/>
          </w:tcPr>
          <w:p w14:paraId="49270002">
            <w:pPr>
              <w:spacing w:line="360" w:lineRule="auto"/>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不适用</w:t>
            </w:r>
          </w:p>
        </w:tc>
      </w:tr>
      <w:tr w14:paraId="10999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F2083D9">
            <w:pPr>
              <w:spacing w:line="360" w:lineRule="auto"/>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1.10.6</w:t>
            </w:r>
          </w:p>
        </w:tc>
        <w:tc>
          <w:tcPr>
            <w:tcW w:w="4534" w:type="pct"/>
            <w:vAlign w:val="center"/>
          </w:tcPr>
          <w:p w14:paraId="3D6EDAB3">
            <w:pPr>
              <w:spacing w:line="360" w:lineRule="auto"/>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违约责任约定：</w:t>
            </w:r>
          </w:p>
          <w:p w14:paraId="60C8C7B6">
            <w:pPr>
              <w:widowControl/>
              <w:numPr>
                <w:ilvl w:val="0"/>
                <w:numId w:val="8"/>
              </w:numPr>
              <w:adjustRightInd/>
              <w:spacing w:line="360" w:lineRule="auto"/>
              <w:ind w:firstLine="480" w:firstLineChars="200"/>
              <w:jc w:val="left"/>
              <w:rPr>
                <w:rFonts w:hint="eastAsia" w:ascii="宋体" w:hAnsi="宋体" w:cs="仿宋"/>
                <w:color w:val="000000" w:themeColor="text1"/>
                <w:sz w:val="24"/>
                <w14:textFill>
                  <w14:solidFill>
                    <w14:schemeClr w14:val="tx1"/>
                  </w14:solidFill>
                </w14:textFill>
              </w:rPr>
            </w:pPr>
            <w:bookmarkStart w:id="582" w:name="_Hlk9797280"/>
            <w:bookmarkStart w:id="583" w:name="_Hlk9793083"/>
            <w:r>
              <w:rPr>
                <w:rFonts w:hint="eastAsia" w:ascii="宋体" w:hAnsi="宋体" w:cs="仿宋"/>
                <w:color w:val="000000" w:themeColor="text1"/>
                <w:sz w:val="24"/>
                <w14:textFill>
                  <w14:solidFill>
                    <w14:schemeClr w14:val="tx1"/>
                  </w14:solidFill>
                </w14:textFill>
              </w:rPr>
              <w:t>本合同签订后，任何一方不履行或不完全履行本合同约定条款的，即构成违约。任何一方违约时，守约方有权要求违约方继续履行本合同，同时有权要求违约方支付违约金。</w:t>
            </w:r>
          </w:p>
          <w:p w14:paraId="11A28449">
            <w:pPr>
              <w:widowControl/>
              <w:numPr>
                <w:ilvl w:val="0"/>
                <w:numId w:val="8"/>
              </w:numPr>
              <w:adjustRightInd/>
              <w:spacing w:line="360" w:lineRule="auto"/>
              <w:ind w:firstLine="480" w:firstLineChars="200"/>
              <w:jc w:val="lef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如果一方未能按照本合同约定履行义务或无正当理由擅自解除本合同，非违约方有权要求其承担合同总金额百分之二十（20%）的违约金。</w:t>
            </w:r>
          </w:p>
          <w:bookmarkEnd w:id="582"/>
          <w:p w14:paraId="22B99EF7">
            <w:pPr>
              <w:widowControl/>
              <w:spacing w:line="360" w:lineRule="auto"/>
              <w:ind w:firstLine="480" w:firstLineChars="200"/>
              <w:jc w:val="lef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3.乙方服务经甲方验收不合格的，甲方有权要求乙方限期整改，乙方未在甲方要求期限内整改完成或整改后仍不合格或已不能整改的，甲方有权拒绝支付未履行或不合格部分款项并解除合同，同时可要求乙方退还已收取未履行或不合格部分款项并承担合同总金额百分之二十（20%）的违约金。</w:t>
            </w:r>
          </w:p>
          <w:p w14:paraId="46143748">
            <w:pPr>
              <w:widowControl/>
              <w:spacing w:line="360" w:lineRule="auto"/>
              <w:ind w:firstLine="480" w:firstLineChars="200"/>
              <w:jc w:val="left"/>
              <w:rPr>
                <w:rFonts w:hint="eastAsia" w:ascii="宋体" w:hAnsi="宋体" w:cs="仿宋"/>
                <w:color w:val="000000" w:themeColor="text1"/>
                <w:sz w:val="24"/>
                <w14:textFill>
                  <w14:solidFill>
                    <w14:schemeClr w14:val="tx1"/>
                  </w14:solidFill>
                </w14:textFill>
              </w:rPr>
            </w:pPr>
            <w:bookmarkStart w:id="584" w:name="_Hlk9793595"/>
            <w:r>
              <w:rPr>
                <w:rFonts w:hint="eastAsia" w:ascii="宋体" w:hAnsi="宋体" w:cs="仿宋"/>
                <w:color w:val="000000" w:themeColor="text1"/>
                <w:sz w:val="24"/>
                <w14:textFill>
                  <w14:solidFill>
                    <w14:schemeClr w14:val="tx1"/>
                  </w14:solidFill>
                </w14:textFill>
              </w:rPr>
              <w:t>4.因一方违约行为给另一方造成损失的，如果违约金不足以弥补对方经济损失，违约方应当赔偿对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bookmarkEnd w:id="584"/>
            <w:r>
              <w:rPr>
                <w:rFonts w:hint="eastAsia" w:ascii="宋体" w:hAnsi="宋体" w:cs="仿宋"/>
                <w:color w:val="000000" w:themeColor="text1"/>
                <w:sz w:val="24"/>
                <w14:textFill>
                  <w14:solidFill>
                    <w14:schemeClr w14:val="tx1"/>
                  </w14:solidFill>
                </w14:textFill>
              </w:rPr>
              <w:t>。</w:t>
            </w:r>
            <w:bookmarkEnd w:id="583"/>
          </w:p>
        </w:tc>
      </w:tr>
      <w:tr w14:paraId="2A453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0728E6F">
            <w:pPr>
              <w:spacing w:line="360" w:lineRule="auto"/>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1.11</w:t>
            </w:r>
          </w:p>
        </w:tc>
        <w:tc>
          <w:tcPr>
            <w:tcW w:w="4534" w:type="pct"/>
            <w:vAlign w:val="center"/>
          </w:tcPr>
          <w:p w14:paraId="75CF3C32">
            <w:pPr>
              <w:snapToGrid w:val="0"/>
              <w:spacing w:line="360" w:lineRule="auto"/>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本合同履行过程中发生的任何争议，双方当事人均可通过和解或者调解解决；不愿和解、调解或者和解、调解不成的，可以选择以下</w:t>
            </w:r>
            <w:r>
              <w:rPr>
                <w:rFonts w:hint="eastAsia" w:ascii="宋体" w:hAnsi="宋体" w:cs="仿宋"/>
                <w:color w:val="000000" w:themeColor="text1"/>
                <w:sz w:val="24"/>
                <w:u w:val="single"/>
                <w14:textFill>
                  <w14:solidFill>
                    <w14:schemeClr w14:val="tx1"/>
                  </w14:solidFill>
                </w14:textFill>
              </w:rPr>
              <w:t>第 1.11.2条款</w:t>
            </w:r>
            <w:r>
              <w:rPr>
                <w:rFonts w:hint="eastAsia" w:ascii="宋体" w:hAnsi="宋体" w:cs="仿宋"/>
                <w:color w:val="000000" w:themeColor="text1"/>
                <w:sz w:val="24"/>
                <w14:textFill>
                  <w14:solidFill>
                    <w14:schemeClr w14:val="tx1"/>
                  </w14:solidFill>
                </w14:textFill>
              </w:rPr>
              <w:t xml:space="preserve">  条款规定的方式解决：</w:t>
            </w:r>
          </w:p>
        </w:tc>
      </w:tr>
      <w:tr w14:paraId="5DAF6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D76DE96">
            <w:pPr>
              <w:spacing w:line="360" w:lineRule="auto"/>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1.11.1</w:t>
            </w:r>
          </w:p>
        </w:tc>
        <w:tc>
          <w:tcPr>
            <w:tcW w:w="4534" w:type="pct"/>
            <w:vAlign w:val="center"/>
          </w:tcPr>
          <w:p w14:paraId="1446080C">
            <w:pPr>
              <w:spacing w:line="360" w:lineRule="auto"/>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将争议提交杭州市仲裁委员会依申请仲裁时其现行有效的仲裁规则裁决；</w:t>
            </w:r>
          </w:p>
        </w:tc>
      </w:tr>
      <w:tr w14:paraId="7F47D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D578C9B">
            <w:pPr>
              <w:spacing w:line="360" w:lineRule="auto"/>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1.11.2</w:t>
            </w:r>
          </w:p>
        </w:tc>
        <w:tc>
          <w:tcPr>
            <w:tcW w:w="4534" w:type="pct"/>
            <w:vAlign w:val="center"/>
          </w:tcPr>
          <w:p w14:paraId="12B9DC5F">
            <w:pPr>
              <w:spacing w:line="360" w:lineRule="auto"/>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向甲方所在地法院起诉。</w:t>
            </w:r>
          </w:p>
        </w:tc>
      </w:tr>
      <w:tr w14:paraId="0BA56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1DAF594">
            <w:pPr>
              <w:spacing w:line="360" w:lineRule="auto"/>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2.3.2</w:t>
            </w:r>
          </w:p>
        </w:tc>
        <w:tc>
          <w:tcPr>
            <w:tcW w:w="4534" w:type="pct"/>
            <w:vAlign w:val="center"/>
          </w:tcPr>
          <w:p w14:paraId="480BE6E3">
            <w:pPr>
              <w:spacing w:line="360" w:lineRule="auto"/>
              <w:ind w:left="-420" w:leftChars="-200" w:right="-420" w:rightChars="-200"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不适用</w:t>
            </w:r>
          </w:p>
        </w:tc>
      </w:tr>
      <w:tr w14:paraId="4A341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480B1C7">
            <w:pPr>
              <w:spacing w:line="360" w:lineRule="auto"/>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2.4.1</w:t>
            </w:r>
          </w:p>
        </w:tc>
        <w:tc>
          <w:tcPr>
            <w:tcW w:w="4534" w:type="pct"/>
            <w:vAlign w:val="center"/>
          </w:tcPr>
          <w:p w14:paraId="3830FBAE">
            <w:pPr>
              <w:spacing w:line="360" w:lineRule="auto"/>
              <w:ind w:left="-420" w:leftChars="-200" w:right="-420" w:rightChars="-200"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不适用</w:t>
            </w:r>
          </w:p>
        </w:tc>
      </w:tr>
      <w:tr w14:paraId="7B28F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BEE52DA">
            <w:pPr>
              <w:spacing w:line="360" w:lineRule="auto"/>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2.4.2</w:t>
            </w:r>
          </w:p>
        </w:tc>
        <w:tc>
          <w:tcPr>
            <w:tcW w:w="4534" w:type="pct"/>
            <w:vAlign w:val="center"/>
          </w:tcPr>
          <w:p w14:paraId="10ED5029">
            <w:pPr>
              <w:spacing w:line="360" w:lineRule="auto"/>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不适用</w:t>
            </w:r>
          </w:p>
        </w:tc>
      </w:tr>
      <w:tr w14:paraId="0DEB1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6E58744C">
            <w:pPr>
              <w:spacing w:line="360" w:lineRule="auto"/>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 xml:space="preserve">2.8 </w:t>
            </w:r>
          </w:p>
        </w:tc>
        <w:tc>
          <w:tcPr>
            <w:tcW w:w="4534" w:type="pct"/>
          </w:tcPr>
          <w:p w14:paraId="527281D1">
            <w:pPr>
              <w:spacing w:line="360" w:lineRule="auto"/>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不适用</w:t>
            </w:r>
          </w:p>
        </w:tc>
      </w:tr>
      <w:tr w14:paraId="5782E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16" w:hRule="atLeast"/>
        </w:trPr>
        <w:tc>
          <w:tcPr>
            <w:tcW w:w="465" w:type="pct"/>
            <w:tcBorders>
              <w:left w:val="single" w:color="auto" w:sz="4" w:space="0"/>
            </w:tcBorders>
            <w:vAlign w:val="center"/>
          </w:tcPr>
          <w:p w14:paraId="0E3787CF">
            <w:pPr>
              <w:spacing w:line="360" w:lineRule="auto"/>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2.12.3</w:t>
            </w:r>
          </w:p>
        </w:tc>
        <w:tc>
          <w:tcPr>
            <w:tcW w:w="4534" w:type="pct"/>
            <w:vAlign w:val="center"/>
          </w:tcPr>
          <w:p w14:paraId="0361BC56">
            <w:pPr>
              <w:spacing w:line="360" w:lineRule="auto"/>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因不可抗力致使合同有变更必要的，双方当事人应在</w:t>
            </w:r>
            <w:r>
              <w:rPr>
                <w:rFonts w:hint="eastAsia" w:ascii="宋体" w:hAnsi="宋体" w:cs="仿宋"/>
                <w:color w:val="000000" w:themeColor="text1"/>
                <w:sz w:val="24"/>
                <w:u w:val="single"/>
                <w14:textFill>
                  <w14:solidFill>
                    <w14:schemeClr w14:val="tx1"/>
                  </w14:solidFill>
                </w14:textFill>
              </w:rPr>
              <w:t xml:space="preserve">30日 </w:t>
            </w:r>
            <w:r>
              <w:rPr>
                <w:rFonts w:hint="eastAsia" w:ascii="宋体" w:hAnsi="宋体" w:cs="仿宋"/>
                <w:color w:val="000000" w:themeColor="text1"/>
                <w:sz w:val="24"/>
                <w14:textFill>
                  <w14:solidFill>
                    <w14:schemeClr w14:val="tx1"/>
                  </w14:solidFill>
                </w14:textFill>
              </w:rPr>
              <w:t>内以书面形式变更合同</w:t>
            </w:r>
          </w:p>
        </w:tc>
      </w:tr>
      <w:tr w14:paraId="336D3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32C5F6C">
            <w:pPr>
              <w:spacing w:line="360" w:lineRule="auto"/>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2.12.4</w:t>
            </w:r>
          </w:p>
        </w:tc>
        <w:tc>
          <w:tcPr>
            <w:tcW w:w="4534" w:type="pct"/>
            <w:vAlign w:val="center"/>
          </w:tcPr>
          <w:p w14:paraId="6855821B">
            <w:pPr>
              <w:snapToGrid w:val="0"/>
              <w:spacing w:line="360" w:lineRule="auto"/>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受不可抗力影响的一方在不可抗力发生后，应在</w:t>
            </w:r>
            <w:r>
              <w:rPr>
                <w:rFonts w:hint="eastAsia" w:ascii="宋体" w:hAnsi="宋体" w:cs="仿宋"/>
                <w:color w:val="000000" w:themeColor="text1"/>
                <w:sz w:val="24"/>
                <w:u w:val="single"/>
                <w14:textFill>
                  <w14:solidFill>
                    <w14:schemeClr w14:val="tx1"/>
                  </w14:solidFill>
                </w14:textFill>
              </w:rPr>
              <w:t xml:space="preserve"> 30日  </w:t>
            </w:r>
            <w:r>
              <w:rPr>
                <w:rFonts w:hint="eastAsia" w:ascii="宋体" w:hAnsi="宋体" w:cs="仿宋"/>
                <w:color w:val="000000" w:themeColor="text1"/>
                <w:sz w:val="24"/>
                <w14:textFill>
                  <w14:solidFill>
                    <w14:schemeClr w14:val="tx1"/>
                  </w14:solidFill>
                </w14:textFill>
              </w:rPr>
              <w:t>内以书面形式通知对方当事人，并在</w:t>
            </w:r>
            <w:r>
              <w:rPr>
                <w:rFonts w:hint="eastAsia" w:ascii="宋体" w:hAnsi="宋体" w:cs="仿宋"/>
                <w:color w:val="000000" w:themeColor="text1"/>
                <w:sz w:val="24"/>
                <w:u w:val="single"/>
                <w14:textFill>
                  <w14:solidFill>
                    <w14:schemeClr w14:val="tx1"/>
                  </w14:solidFill>
                </w14:textFill>
              </w:rPr>
              <w:t xml:space="preserve"> 30日 </w:t>
            </w:r>
            <w:r>
              <w:rPr>
                <w:rFonts w:hint="eastAsia" w:ascii="宋体" w:hAnsi="宋体" w:cs="仿宋"/>
                <w:b/>
                <w:i/>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内，将有关部门出具的证明文件送达对方当事人。</w:t>
            </w:r>
          </w:p>
        </w:tc>
      </w:tr>
      <w:tr w14:paraId="3235E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0018B56">
            <w:pPr>
              <w:spacing w:line="360" w:lineRule="auto"/>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2.16.1</w:t>
            </w:r>
          </w:p>
        </w:tc>
        <w:tc>
          <w:tcPr>
            <w:tcW w:w="4534" w:type="pct"/>
            <w:vAlign w:val="center"/>
          </w:tcPr>
          <w:p w14:paraId="564B2501">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1）采用本行业通用标准；满足所有采购需求及投标文件承诺；项目验收资料齐全。</w:t>
            </w:r>
          </w:p>
          <w:p w14:paraId="1BD76B23">
            <w:pPr>
              <w:pStyle w:val="62"/>
              <w:spacing w:line="360" w:lineRule="auto"/>
              <w:ind w:left="0" w:leftChars="0" w:firstLine="22" w:firstLineChars="0"/>
              <w:rPr>
                <w:rFonts w:hint="eastAsia" w:cs="仿宋"/>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2）履约验收产生的费用，属于首次验收过程中产生的，由采购人承担；属于首次验收不合格，重新验收过程中产生的，如采购合同有约定按照约定执行，如无约定，由采购人承担。</w:t>
            </w:r>
          </w:p>
        </w:tc>
      </w:tr>
      <w:tr w14:paraId="52F27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582819A2">
            <w:pPr>
              <w:snapToGrid w:val="0"/>
              <w:spacing w:line="360" w:lineRule="auto"/>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2.16.3</w:t>
            </w:r>
          </w:p>
        </w:tc>
        <w:tc>
          <w:tcPr>
            <w:tcW w:w="4534" w:type="pct"/>
            <w:vAlign w:val="center"/>
          </w:tcPr>
          <w:p w14:paraId="156C36F8">
            <w:pPr>
              <w:pStyle w:val="26"/>
              <w:spacing w:line="360" w:lineRule="auto"/>
              <w:rPr>
                <w:rFonts w:hint="eastAsia"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检验和验收标准、程序等具体内容以及前述验收书的效力：</w:t>
            </w:r>
          </w:p>
          <w:p w14:paraId="738576C5">
            <w:pPr>
              <w:pStyle w:val="26"/>
              <w:spacing w:line="360" w:lineRule="auto"/>
              <w:rPr>
                <w:rFonts w:hint="eastAsia"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1．本次采购的产品所涉及的产品标准、规范、验收标准、规范，应符合国家有关条例及规范。如有新的标准应采纳新标准；若同一产品同时有几个标准（国际标准、国家标准、行业标准、企业标准等），则按最高层次的标准执行。</w:t>
            </w:r>
          </w:p>
          <w:p w14:paraId="622A69FC">
            <w:pPr>
              <w:pStyle w:val="26"/>
              <w:spacing w:line="360" w:lineRule="auto"/>
              <w:rPr>
                <w:rFonts w:hint="eastAsia"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2．中国国家标准及其它被普遍认可的标准，由采购人认可的其他国家的其他权威标准；原有规范若已被废弃，则以相应的新规范为准。</w:t>
            </w:r>
          </w:p>
          <w:p w14:paraId="1030E3A8">
            <w:pPr>
              <w:pStyle w:val="26"/>
              <w:spacing w:line="360" w:lineRule="auto"/>
              <w:rPr>
                <w:rFonts w:hint="eastAsia"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3．供应商提供的产品必须满足采购文件中提出的相关技术要求。</w:t>
            </w:r>
          </w:p>
          <w:p w14:paraId="3E9A6837">
            <w:pPr>
              <w:pStyle w:val="26"/>
              <w:spacing w:line="360" w:lineRule="auto"/>
              <w:rPr>
                <w:rFonts w:hint="eastAsia"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4．供应商提供的成果应是无任何质量缺陷、技术成熟，符合国家现行规范/标准要求。</w:t>
            </w:r>
          </w:p>
          <w:p w14:paraId="449CEB0F">
            <w:pPr>
              <w:pStyle w:val="26"/>
              <w:spacing w:line="360" w:lineRule="auto"/>
              <w:rPr>
                <w:rFonts w:hint="eastAsia"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5.服务期结束后30个工作日内由乙方提出验收申请，甲方最迟应在收到乙方验收申请后30个工作日完成验收，逾期未验收的视为验收已通过。</w:t>
            </w:r>
          </w:p>
        </w:tc>
      </w:tr>
      <w:tr w14:paraId="37F2B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3B2E5E5B">
            <w:pPr>
              <w:spacing w:line="360" w:lineRule="auto"/>
              <w:ind w:left="-420" w:leftChars="-200" w:right="-420" w:rightChars="-200" w:firstLine="480" w:firstLineChars="200"/>
              <w:outlineLvl w:val="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2.20</w:t>
            </w:r>
          </w:p>
        </w:tc>
        <w:tc>
          <w:tcPr>
            <w:tcW w:w="4534" w:type="pct"/>
            <w:vAlign w:val="center"/>
          </w:tcPr>
          <w:p w14:paraId="7CE6A91D">
            <w:pPr>
              <w:snapToGrid w:val="0"/>
              <w:spacing w:line="360" w:lineRule="auto"/>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合同份数一式四份，双方各执两份，每份均具有同等法律效力。</w:t>
            </w:r>
          </w:p>
        </w:tc>
      </w:tr>
    </w:tbl>
    <w:p w14:paraId="759C9675">
      <w:pPr>
        <w:spacing w:line="360" w:lineRule="auto"/>
        <w:ind w:left="-420" w:leftChars="-200" w:right="-420" w:rightChars="-200" w:firstLine="480" w:firstLineChars="200"/>
        <w:jc w:val="center"/>
        <w:rPr>
          <w:rFonts w:hint="eastAsia" w:ascii="宋体" w:hAnsi="宋体" w:cs="宋体"/>
          <w:color w:val="000000" w:themeColor="text1"/>
          <w:sz w:val="24"/>
          <w14:textFill>
            <w14:solidFill>
              <w14:schemeClr w14:val="tx1"/>
            </w14:solidFill>
          </w14:textFill>
        </w:rPr>
      </w:pPr>
    </w:p>
    <w:p w14:paraId="1344FACC">
      <w:pPr>
        <w:widowControl/>
        <w:adjustRightInd/>
        <w:spacing w:line="240" w:lineRule="auto"/>
        <w:jc w:val="center"/>
        <w:rPr>
          <w:rFonts w:hint="eastAsia"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br w:type="page"/>
      </w:r>
      <w:r>
        <w:rPr>
          <w:rFonts w:hint="eastAsia" w:ascii="宋体" w:hAnsi="宋体" w:cs="宋体"/>
          <w:b/>
          <w:color w:val="000000" w:themeColor="text1"/>
          <w:sz w:val="36"/>
          <w:szCs w:val="20"/>
          <w14:textFill>
            <w14:solidFill>
              <w14:schemeClr w14:val="tx1"/>
            </w14:solidFill>
          </w14:textFill>
        </w:rPr>
        <w:t>第六部分</w:t>
      </w:r>
      <w:bookmarkEnd w:id="434"/>
      <w:r>
        <w:rPr>
          <w:rFonts w:hint="eastAsia" w:ascii="宋体" w:hAnsi="宋体" w:cs="宋体"/>
          <w:b/>
          <w:color w:val="000000" w:themeColor="text1"/>
          <w:sz w:val="36"/>
          <w:szCs w:val="20"/>
          <w14:textFill>
            <w14:solidFill>
              <w14:schemeClr w14:val="tx1"/>
            </w14:solidFill>
          </w14:textFill>
        </w:rPr>
        <w:t xml:space="preserve"> </w:t>
      </w:r>
      <w:bookmarkEnd w:id="435"/>
      <w:r>
        <w:rPr>
          <w:rFonts w:hint="eastAsia" w:ascii="宋体" w:hAnsi="宋体" w:cs="宋体"/>
          <w:b/>
          <w:color w:val="000000" w:themeColor="text1"/>
          <w:sz w:val="36"/>
          <w:szCs w:val="20"/>
          <w14:textFill>
            <w14:solidFill>
              <w14:schemeClr w14:val="tx1"/>
            </w14:solidFill>
          </w14:textFill>
        </w:rPr>
        <w:t>应提交的有关格式范例</w:t>
      </w:r>
    </w:p>
    <w:p w14:paraId="585613FD">
      <w:pPr>
        <w:spacing w:line="360" w:lineRule="auto"/>
        <w:ind w:left="120" w:firstLine="22"/>
        <w:jc w:val="center"/>
        <w:rPr>
          <w:rFonts w:hint="eastAsia" w:ascii="宋体" w:hAnsi="宋体" w:cs="宋体"/>
          <w:b/>
          <w:color w:val="000000" w:themeColor="text1"/>
          <w:kern w:val="0"/>
          <w:sz w:val="36"/>
          <w:szCs w:val="36"/>
          <w14:textFill>
            <w14:solidFill>
              <w14:schemeClr w14:val="tx1"/>
            </w14:solidFill>
          </w14:textFill>
        </w:rPr>
      </w:pPr>
    </w:p>
    <w:p w14:paraId="7949AD5E">
      <w:pPr>
        <w:spacing w:line="360" w:lineRule="auto"/>
        <w:ind w:left="120" w:firstLine="22"/>
        <w:jc w:val="center"/>
        <w:outlineLvl w:val="1"/>
        <w:rPr>
          <w:rFonts w:hint="eastAsia"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资格文件部分</w:t>
      </w:r>
    </w:p>
    <w:p w14:paraId="1A8CF4E6">
      <w:pPr>
        <w:spacing w:line="360" w:lineRule="auto"/>
        <w:ind w:left="120" w:firstLine="22"/>
        <w:jc w:val="center"/>
        <w:rPr>
          <w:rFonts w:hint="eastAsia"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2C9BD7E0">
      <w:pPr>
        <w:spacing w:line="360" w:lineRule="auto"/>
        <w:ind w:left="120" w:firstLine="22"/>
        <w:jc w:val="center"/>
        <w:rPr>
          <w:rFonts w:hint="eastAsia" w:ascii="宋体" w:hAnsi="宋体" w:cs="宋体"/>
          <w:b/>
          <w:color w:val="000000" w:themeColor="text1"/>
          <w:kern w:val="0"/>
          <w:sz w:val="36"/>
          <w:szCs w:val="36"/>
          <w14:textFill>
            <w14:solidFill>
              <w14:schemeClr w14:val="tx1"/>
            </w14:solidFill>
          </w14:textFill>
        </w:rPr>
      </w:pPr>
    </w:p>
    <w:p w14:paraId="71B56851">
      <w:pPr>
        <w:snapToGrid w:val="0"/>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（1）符合参加政府采购活动应当具备的一般条件的承诺函……………（页码）</w:t>
      </w:r>
    </w:p>
    <w:p w14:paraId="576FD141">
      <w:pPr>
        <w:snapToGrid w:val="0"/>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（2）联合协议</w:t>
      </w:r>
      <w:r>
        <w:rPr>
          <w:rFonts w:hint="eastAsia" w:ascii="宋体" w:hAnsi="宋体" w:cs="宋体"/>
          <w:color w:val="000000" w:themeColor="text1"/>
          <w:sz w:val="24"/>
          <w14:textFill>
            <w14:solidFill>
              <w14:schemeClr w14:val="tx1"/>
            </w14:solidFill>
          </w14:textFill>
        </w:rPr>
        <w:t>………………………………………………………………（页码）</w:t>
      </w:r>
    </w:p>
    <w:p w14:paraId="77BB7EC1">
      <w:pPr>
        <w:snapToGrid w:val="0"/>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）落实政府采购政策需满足的资格要求………………………………（页码）</w:t>
      </w:r>
    </w:p>
    <w:p w14:paraId="6EFAB1A4">
      <w:pPr>
        <w:snapToGrid w:val="0"/>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）本项目的特定资格要求………………………………………………（页码）</w:t>
      </w:r>
    </w:p>
    <w:p w14:paraId="227DC06A">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p>
    <w:p w14:paraId="4D4B6245">
      <w:pPr>
        <w:spacing w:line="360" w:lineRule="auto"/>
        <w:ind w:left="120" w:firstLine="480" w:firstLineChars="200"/>
        <w:rPr>
          <w:rFonts w:hint="eastAsia" w:ascii="宋体" w:hAnsi="宋体" w:cs="宋体"/>
          <w:color w:val="000000" w:themeColor="text1"/>
          <w:sz w:val="24"/>
          <w14:textFill>
            <w14:solidFill>
              <w14:schemeClr w14:val="tx1"/>
            </w14:solidFill>
          </w14:textFill>
        </w:rPr>
      </w:pPr>
    </w:p>
    <w:p w14:paraId="6005E102">
      <w:pPr>
        <w:snapToGrid w:val="0"/>
        <w:spacing w:line="360" w:lineRule="auto"/>
        <w:ind w:left="120" w:right="480" w:firstLine="22"/>
        <w:jc w:val="center"/>
        <w:outlineLvl w:val="2"/>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br w:type="page"/>
      </w:r>
      <w:r>
        <w:rPr>
          <w:rFonts w:hint="eastAsia" w:ascii="宋体" w:hAnsi="宋体" w:cs="宋体"/>
          <w:b/>
          <w:color w:val="000000" w:themeColor="text1"/>
          <w:kern w:val="0"/>
          <w:sz w:val="32"/>
          <w:szCs w:val="32"/>
          <w14:textFill>
            <w14:solidFill>
              <w14:schemeClr w14:val="tx1"/>
            </w14:solidFill>
          </w14:textFill>
        </w:rPr>
        <w:t>一、 符合参加政府采购活动应当具备的一般条件的承诺函</w:t>
      </w:r>
    </w:p>
    <w:p w14:paraId="5C95F1CD">
      <w:pPr>
        <w:snapToGrid w:val="0"/>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杭州市人民代表大会常务委员会办公厅、浙江省成套招标代理有限公司：</w:t>
      </w:r>
    </w:p>
    <w:p w14:paraId="7F6A2AC6">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我方参与2025至2026年电子阅文服务项目【招标编号：CTZB-2025030519】政府采购活动，郑重承诺：</w:t>
      </w:r>
    </w:p>
    <w:p w14:paraId="26F7DDF3">
      <w:pPr>
        <w:snapToGrid w:val="0"/>
        <w:spacing w:line="360" w:lineRule="auto"/>
        <w:ind w:left="120"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14:paraId="0E0A7C09">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14:paraId="4345270F">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14:paraId="4EF8305B">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14:paraId="2263FEF5">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14:paraId="7138C60E">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14:paraId="2A130B1C">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6、具有法律、行政法规规定的其他条件。</w:t>
      </w:r>
    </w:p>
    <w:p w14:paraId="379E0D1C">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4569C024">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（三）不存在以下情况：</w:t>
      </w:r>
    </w:p>
    <w:p w14:paraId="04FCFE2C">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14:paraId="78AF9055">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02410F7C">
      <w:pPr>
        <w:snapToGrid w:val="0"/>
        <w:spacing w:line="360" w:lineRule="auto"/>
        <w:ind w:left="120" w:firstLine="5520" w:firstLineChars="23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投标人名称(电子签名)：</w:t>
      </w:r>
    </w:p>
    <w:p w14:paraId="14FBAC3D">
      <w:pPr>
        <w:snapToGrid w:val="0"/>
        <w:spacing w:line="360" w:lineRule="auto"/>
        <w:ind w:left="120" w:firstLine="22"/>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14:paraId="160B6FBD">
      <w:pPr>
        <w:snapToGrid w:val="0"/>
        <w:spacing w:line="360" w:lineRule="auto"/>
        <w:ind w:left="120" w:right="480" w:firstLine="22"/>
        <w:jc w:val="center"/>
        <w:rPr>
          <w:rFonts w:hint="eastAsia" w:ascii="宋体" w:hAnsi="宋体" w:cs="宋体"/>
          <w:b/>
          <w:color w:val="000000" w:themeColor="text1"/>
          <w:kern w:val="0"/>
          <w:sz w:val="32"/>
          <w:szCs w:val="32"/>
          <w14:textFill>
            <w14:solidFill>
              <w14:schemeClr w14:val="tx1"/>
            </w14:solidFill>
          </w14:textFill>
        </w:rPr>
      </w:pPr>
    </w:p>
    <w:p w14:paraId="4FCA6C64">
      <w:pPr>
        <w:widowControl/>
        <w:spacing w:line="360" w:lineRule="auto"/>
        <w:ind w:left="120" w:firstLine="643" w:firstLineChars="200"/>
        <w:jc w:val="center"/>
        <w:outlineLvl w:val="2"/>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二、联合协议（如果有）</w:t>
      </w:r>
    </w:p>
    <w:p w14:paraId="23AD2427">
      <w:pPr>
        <w:widowControl/>
        <w:spacing w:line="360" w:lineRule="auto"/>
        <w:ind w:left="120" w:firstLine="2168" w:firstLineChars="900"/>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以联合体形式投标的，提供联合协议（附件5）</w:t>
      </w:r>
    </w:p>
    <w:p w14:paraId="4450AE41">
      <w:pPr>
        <w:widowControl/>
        <w:spacing w:line="360" w:lineRule="auto"/>
        <w:ind w:left="120" w:firstLine="482" w:firstLineChars="200"/>
        <w:jc w:val="left"/>
        <w:rPr>
          <w:rFonts w:hint="eastAsia" w:ascii="宋体" w:hAnsi="宋体" w:cs="宋体"/>
          <w:b/>
          <w:color w:val="000000" w:themeColor="text1"/>
          <w:sz w:val="24"/>
          <w14:textFill>
            <w14:solidFill>
              <w14:schemeClr w14:val="tx1"/>
            </w14:solidFill>
          </w14:textFill>
        </w:rPr>
      </w:pPr>
    </w:p>
    <w:p w14:paraId="6639D565">
      <w:pPr>
        <w:spacing w:line="360" w:lineRule="auto"/>
        <w:ind w:left="120" w:firstLine="22"/>
        <w:jc w:val="center"/>
        <w:rPr>
          <w:rFonts w:hint="eastAsia"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 xml:space="preserve">      </w:t>
      </w:r>
    </w:p>
    <w:p w14:paraId="53BC5F1A">
      <w:pPr>
        <w:spacing w:line="360" w:lineRule="auto"/>
        <w:ind w:left="120" w:firstLine="22"/>
        <w:jc w:val="cente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 xml:space="preserve"> </w:t>
      </w:r>
      <w:r>
        <w:rPr>
          <w:rFonts w:hint="eastAsia" w:ascii="宋体" w:hAnsi="宋体" w:cs="宋体"/>
          <w:b/>
          <w:color w:val="000000" w:themeColor="text1"/>
          <w:kern w:val="0"/>
          <w:sz w:val="32"/>
          <w:szCs w:val="32"/>
          <w:lang w:val="zh-CN"/>
          <w14:textFill>
            <w14:solidFill>
              <w14:schemeClr w14:val="tx1"/>
            </w14:solidFill>
          </w14:textFill>
        </w:rPr>
        <w:t>授权委托书（适用于联合体投标）</w:t>
      </w:r>
    </w:p>
    <w:p w14:paraId="7C99595C">
      <w:pPr>
        <w:snapToGrid w:val="0"/>
        <w:spacing w:line="360" w:lineRule="auto"/>
        <w:ind w:left="120" w:firstLine="22"/>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杭州市人民代表大会常务委员会办公厅、浙江省成套招标代理有限公司</w:t>
      </w:r>
      <w:r>
        <w:rPr>
          <w:rFonts w:hint="eastAsia" w:ascii="宋体" w:hAnsi="宋体" w:cs="宋体"/>
          <w:color w:val="000000" w:themeColor="text1"/>
          <w:kern w:val="0"/>
          <w:sz w:val="24"/>
          <w:lang w:val="zh-CN"/>
          <w14:textFill>
            <w14:solidFill>
              <w14:schemeClr w14:val="tx1"/>
            </w14:solidFill>
          </w14:textFill>
        </w:rPr>
        <w:t>：</w:t>
      </w:r>
    </w:p>
    <w:p w14:paraId="2206145C">
      <w:pPr>
        <w:snapToGrid w:val="0"/>
        <w:spacing w:line="360" w:lineRule="auto"/>
        <w:ind w:left="120" w:firstLine="22"/>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，所在单位：</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2025至2026年电子阅文服务项目【招标编号：CTZB-2025030519】</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5E47E3AA">
      <w:pPr>
        <w:snapToGrid w:val="0"/>
        <w:spacing w:line="360" w:lineRule="auto"/>
        <w:ind w:left="120" w:firstLine="22"/>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06F5CD39">
      <w:pPr>
        <w:snapToGrid w:val="0"/>
        <w:spacing w:line="360" w:lineRule="auto"/>
        <w:ind w:left="120" w:firstLine="22"/>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1ECEBCBB">
      <w:pPr>
        <w:snapToGrid w:val="0"/>
        <w:spacing w:line="360" w:lineRule="auto"/>
        <w:ind w:left="120" w:firstLine="5040" w:firstLineChars="21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7C2B0E2C">
      <w:pPr>
        <w:snapToGrid w:val="0"/>
        <w:spacing w:line="360" w:lineRule="auto"/>
        <w:ind w:left="120" w:firstLine="5040" w:firstLineChars="21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1ACBAFB0">
      <w:pPr>
        <w:snapToGrid w:val="0"/>
        <w:spacing w:line="360" w:lineRule="auto"/>
        <w:ind w:left="120" w:firstLine="5760" w:firstLineChars="24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131FB69A">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42ACE63F">
      <w:pPr>
        <w:snapToGrid w:val="0"/>
        <w:spacing w:line="360" w:lineRule="auto"/>
        <w:ind w:left="120" w:right="480" w:firstLine="22"/>
        <w:jc w:val="center"/>
        <w:rPr>
          <w:rFonts w:hint="eastAsia" w:ascii="宋体" w:hAnsi="宋体" w:cs="宋体"/>
          <w:b/>
          <w:color w:val="000000" w:themeColor="text1"/>
          <w:kern w:val="0"/>
          <w:sz w:val="32"/>
          <w:szCs w:val="32"/>
          <w14:textFill>
            <w14:solidFill>
              <w14:schemeClr w14:val="tx1"/>
            </w14:solidFill>
          </w14:textFill>
        </w:rPr>
      </w:pPr>
    </w:p>
    <w:p w14:paraId="7E09D07B">
      <w:pPr>
        <w:snapToGrid w:val="0"/>
        <w:spacing w:line="360" w:lineRule="auto"/>
        <w:ind w:left="120" w:right="480" w:firstLine="22"/>
        <w:jc w:val="center"/>
        <w:outlineLvl w:val="2"/>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三、落实政府采购政策需满足的资格要求</w:t>
      </w:r>
    </w:p>
    <w:p w14:paraId="598FF777">
      <w:pPr>
        <w:spacing w:line="360" w:lineRule="auto"/>
        <w:ind w:left="120" w:right="420" w:firstLine="4560" w:firstLineChars="19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w:t>
      </w:r>
    </w:p>
    <w:p w14:paraId="031588F2">
      <w:pPr>
        <w:widowControl/>
        <w:spacing w:line="360" w:lineRule="auto"/>
        <w:ind w:left="120" w:firstLine="22"/>
        <w:jc w:val="center"/>
        <w:outlineLvl w:val="2"/>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四、本项目的特定资格要求</w:t>
      </w:r>
    </w:p>
    <w:p w14:paraId="6C3350ED">
      <w:pPr>
        <w:spacing w:line="360" w:lineRule="auto"/>
        <w:ind w:left="120"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w:t>
      </w:r>
    </w:p>
    <w:p w14:paraId="07B489F7">
      <w:pPr>
        <w:widowControl/>
        <w:adjustRightInd/>
        <w:spacing w:line="360" w:lineRule="auto"/>
        <w:jc w:val="center"/>
        <w:rPr>
          <w:rFonts w:hint="eastAsia"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br w:type="page"/>
      </w:r>
      <w:r>
        <w:rPr>
          <w:rFonts w:hint="eastAsia" w:ascii="宋体" w:hAnsi="宋体" w:cs="宋体"/>
          <w:b/>
          <w:color w:val="000000" w:themeColor="text1"/>
          <w:kern w:val="0"/>
          <w:sz w:val="36"/>
          <w:szCs w:val="36"/>
          <w14:textFill>
            <w14:solidFill>
              <w14:schemeClr w14:val="tx1"/>
            </w14:solidFill>
          </w14:textFill>
        </w:rPr>
        <w:t>商务技术文件部分</w:t>
      </w:r>
    </w:p>
    <w:p w14:paraId="341D887F">
      <w:pPr>
        <w:spacing w:line="360" w:lineRule="auto"/>
        <w:ind w:left="120" w:firstLine="22"/>
        <w:jc w:val="center"/>
        <w:rPr>
          <w:rFonts w:hint="eastAsia" w:ascii="宋体" w:hAnsi="宋体" w:cs="宋体"/>
          <w:b/>
          <w:color w:val="000000" w:themeColor="text1"/>
          <w:kern w:val="0"/>
          <w:sz w:val="24"/>
          <w14:textFill>
            <w14:solidFill>
              <w14:schemeClr w14:val="tx1"/>
            </w14:solidFill>
          </w14:textFill>
        </w:rPr>
      </w:pPr>
    </w:p>
    <w:p w14:paraId="6C0A39B7">
      <w:pPr>
        <w:spacing w:line="360" w:lineRule="auto"/>
        <w:ind w:left="120" w:firstLine="22"/>
        <w:jc w:val="center"/>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 xml:space="preserve">    目录</w:t>
      </w:r>
    </w:p>
    <w:p w14:paraId="5F55098E">
      <w:pPr>
        <w:snapToGrid w:val="0"/>
        <w:spacing w:line="360" w:lineRule="auto"/>
        <w:ind w:left="479" w:leftChars="228" w:firstLine="2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（1）投标函</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（2）授权委托书或法定代表人（单位负责人、自然人本人）身份证明</w:t>
      </w:r>
      <w:r>
        <w:rPr>
          <w:rFonts w:hint="eastAsia" w:ascii="宋体" w:hAnsi="宋体" w:cs="宋体"/>
          <w:color w:val="000000" w:themeColor="text1"/>
          <w14:textFill>
            <w14:solidFill>
              <w14:schemeClr w14:val="tx1"/>
            </w14:solidFill>
          </w14:textFill>
        </w:rPr>
        <w:t>………（页码）</w:t>
      </w:r>
    </w:p>
    <w:p w14:paraId="5C5C71F6">
      <w:pPr>
        <w:snapToGrid w:val="0"/>
        <w:spacing w:line="360" w:lineRule="auto"/>
        <w:ind w:left="479" w:leftChars="228" w:firstLine="2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color w:val="000000" w:themeColor="text1"/>
          <w14:textFill>
            <w14:solidFill>
              <w14:schemeClr w14:val="tx1"/>
            </w14:solidFill>
          </w14:textFill>
        </w:rPr>
        <w:t>…………………………………………………………………………（页码）</w:t>
      </w:r>
    </w:p>
    <w:p w14:paraId="618CE15A">
      <w:pPr>
        <w:snapToGrid w:val="0"/>
        <w:spacing w:line="360" w:lineRule="auto"/>
        <w:ind w:left="479" w:leftChars="228" w:firstLine="22"/>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w:t>
      </w:r>
    </w:p>
    <w:p w14:paraId="74AE249D">
      <w:pPr>
        <w:snapToGrid w:val="0"/>
        <w:spacing w:line="360" w:lineRule="auto"/>
        <w:ind w:left="479" w:leftChars="228" w:firstLine="2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r>
        <w:rPr>
          <w:rFonts w:hint="eastAsia" w:ascii="宋体" w:hAnsi="宋体" w:cs="宋体"/>
          <w:color w:val="000000" w:themeColor="text1"/>
          <w14:textFill>
            <w14:solidFill>
              <w14:schemeClr w14:val="tx1"/>
            </w14:solidFill>
          </w14:textFill>
        </w:rPr>
        <w:t>………………………………………………………………………（页码）</w:t>
      </w:r>
    </w:p>
    <w:p w14:paraId="57BFA2F4">
      <w:pPr>
        <w:snapToGrid w:val="0"/>
        <w:spacing w:line="360" w:lineRule="auto"/>
        <w:ind w:left="479" w:leftChars="228" w:firstLine="2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r>
        <w:rPr>
          <w:rFonts w:hint="eastAsia" w:ascii="宋体" w:hAnsi="宋体" w:cs="宋体"/>
          <w:color w:val="000000" w:themeColor="text1"/>
          <w14:textFill>
            <w14:solidFill>
              <w14:schemeClr w14:val="tx1"/>
            </w14:solidFill>
          </w14:textFill>
        </w:rPr>
        <w:t>…………………………………………………（页码）</w:t>
      </w:r>
    </w:p>
    <w:p w14:paraId="6DDB57A9">
      <w:pPr>
        <w:snapToGrid w:val="0"/>
        <w:spacing w:line="360" w:lineRule="auto"/>
        <w:ind w:left="120" w:firstLine="22"/>
        <w:jc w:val="center"/>
        <w:rPr>
          <w:rFonts w:hint="eastAsia" w:ascii="宋体" w:hAnsi="宋体" w:cs="宋体"/>
          <w:b/>
          <w:color w:val="000000" w:themeColor="text1"/>
          <w:kern w:val="0"/>
          <w:sz w:val="32"/>
          <w:szCs w:val="32"/>
          <w:lang w:val="zh-CN"/>
          <w14:textFill>
            <w14:solidFill>
              <w14:schemeClr w14:val="tx1"/>
            </w14:solidFill>
          </w14:textFill>
        </w:rPr>
      </w:pPr>
    </w:p>
    <w:p w14:paraId="12BED340">
      <w:pPr>
        <w:snapToGrid w:val="0"/>
        <w:spacing w:line="360" w:lineRule="auto"/>
        <w:ind w:left="120" w:firstLine="22"/>
        <w:jc w:val="center"/>
        <w:rPr>
          <w:rFonts w:hint="eastAsia" w:ascii="宋体" w:hAnsi="宋体" w:cs="宋体"/>
          <w:b/>
          <w:color w:val="000000" w:themeColor="text1"/>
          <w:kern w:val="0"/>
          <w:sz w:val="32"/>
          <w:szCs w:val="32"/>
          <w:lang w:val="zh-CN"/>
          <w14:textFill>
            <w14:solidFill>
              <w14:schemeClr w14:val="tx1"/>
            </w14:solidFill>
          </w14:textFill>
        </w:rPr>
      </w:pPr>
    </w:p>
    <w:p w14:paraId="3DBB049C">
      <w:pPr>
        <w:snapToGrid w:val="0"/>
        <w:spacing w:line="360" w:lineRule="auto"/>
        <w:ind w:left="120" w:firstLine="22"/>
        <w:jc w:val="center"/>
        <w:rPr>
          <w:rFonts w:hint="eastAsia" w:ascii="宋体" w:hAnsi="宋体" w:cs="宋体"/>
          <w:b/>
          <w:color w:val="000000" w:themeColor="text1"/>
          <w:kern w:val="0"/>
          <w:sz w:val="32"/>
          <w:szCs w:val="32"/>
          <w:lang w:val="zh-CN"/>
          <w14:textFill>
            <w14:solidFill>
              <w14:schemeClr w14:val="tx1"/>
            </w14:solidFill>
          </w14:textFill>
        </w:rPr>
      </w:pPr>
    </w:p>
    <w:p w14:paraId="4AAC9DA7">
      <w:pPr>
        <w:snapToGrid w:val="0"/>
        <w:spacing w:line="360" w:lineRule="auto"/>
        <w:ind w:left="120" w:firstLine="22"/>
        <w:jc w:val="center"/>
        <w:rPr>
          <w:rFonts w:hint="eastAsia" w:ascii="宋体" w:hAnsi="宋体" w:cs="宋体"/>
          <w:b/>
          <w:color w:val="000000" w:themeColor="text1"/>
          <w:kern w:val="0"/>
          <w:sz w:val="32"/>
          <w:szCs w:val="32"/>
          <w:lang w:val="zh-CN"/>
          <w14:textFill>
            <w14:solidFill>
              <w14:schemeClr w14:val="tx1"/>
            </w14:solidFill>
          </w14:textFill>
        </w:rPr>
      </w:pPr>
    </w:p>
    <w:p w14:paraId="5B28E65C">
      <w:pPr>
        <w:snapToGrid w:val="0"/>
        <w:spacing w:line="360" w:lineRule="auto"/>
        <w:ind w:left="120" w:firstLine="22"/>
        <w:jc w:val="center"/>
        <w:rPr>
          <w:rFonts w:hint="eastAsia" w:ascii="宋体" w:hAnsi="宋体" w:cs="宋体"/>
          <w:b/>
          <w:color w:val="000000" w:themeColor="text1"/>
          <w:kern w:val="0"/>
          <w:sz w:val="32"/>
          <w:szCs w:val="32"/>
          <w:lang w:val="zh-CN"/>
          <w14:textFill>
            <w14:solidFill>
              <w14:schemeClr w14:val="tx1"/>
            </w14:solidFill>
          </w14:textFill>
        </w:rPr>
      </w:pPr>
    </w:p>
    <w:p w14:paraId="4B1A3754">
      <w:pPr>
        <w:snapToGrid w:val="0"/>
        <w:spacing w:line="360" w:lineRule="auto"/>
        <w:ind w:left="120" w:firstLine="22"/>
        <w:jc w:val="center"/>
        <w:rPr>
          <w:rFonts w:hint="eastAsia" w:ascii="宋体" w:hAnsi="宋体" w:cs="宋体"/>
          <w:b/>
          <w:color w:val="000000" w:themeColor="text1"/>
          <w:kern w:val="0"/>
          <w:sz w:val="32"/>
          <w:szCs w:val="32"/>
          <w:lang w:val="zh-CN"/>
          <w14:textFill>
            <w14:solidFill>
              <w14:schemeClr w14:val="tx1"/>
            </w14:solidFill>
          </w14:textFill>
        </w:rPr>
      </w:pPr>
    </w:p>
    <w:p w14:paraId="47C97E89">
      <w:pPr>
        <w:snapToGrid w:val="0"/>
        <w:spacing w:line="360" w:lineRule="auto"/>
        <w:ind w:left="120" w:firstLine="22"/>
        <w:jc w:val="center"/>
        <w:rPr>
          <w:rFonts w:hint="eastAsia" w:ascii="宋体" w:hAnsi="宋体" w:cs="宋体"/>
          <w:b/>
          <w:color w:val="000000" w:themeColor="text1"/>
          <w:kern w:val="0"/>
          <w:sz w:val="32"/>
          <w:szCs w:val="32"/>
          <w:lang w:val="zh-CN"/>
          <w14:textFill>
            <w14:solidFill>
              <w14:schemeClr w14:val="tx1"/>
            </w14:solidFill>
          </w14:textFill>
        </w:rPr>
      </w:pPr>
    </w:p>
    <w:p w14:paraId="180832A0">
      <w:pPr>
        <w:snapToGrid w:val="0"/>
        <w:spacing w:line="360" w:lineRule="auto"/>
        <w:ind w:left="120" w:firstLine="22"/>
        <w:jc w:val="center"/>
        <w:rPr>
          <w:rFonts w:hint="eastAsia" w:ascii="宋体" w:hAnsi="宋体" w:cs="宋体"/>
          <w:b/>
          <w:color w:val="000000" w:themeColor="text1"/>
          <w:kern w:val="0"/>
          <w:sz w:val="32"/>
          <w:szCs w:val="32"/>
          <w:lang w:val="zh-CN"/>
          <w14:textFill>
            <w14:solidFill>
              <w14:schemeClr w14:val="tx1"/>
            </w14:solidFill>
          </w14:textFill>
        </w:rPr>
      </w:pPr>
    </w:p>
    <w:p w14:paraId="0D8AEA56">
      <w:pPr>
        <w:spacing w:line="360" w:lineRule="auto"/>
        <w:ind w:left="120" w:firstLine="22"/>
        <w:jc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一、投标</w:t>
      </w:r>
      <w:r>
        <w:rPr>
          <w:rFonts w:hint="eastAsia" w:ascii="宋体" w:hAnsi="宋体" w:cs="宋体"/>
          <w:b/>
          <w:color w:val="000000" w:themeColor="text1"/>
          <w:sz w:val="32"/>
          <w:szCs w:val="32"/>
          <w14:textFill>
            <w14:solidFill>
              <w14:schemeClr w14:val="tx1"/>
            </w14:solidFill>
          </w14:textFill>
        </w:rPr>
        <w:t>函</w:t>
      </w:r>
    </w:p>
    <w:p w14:paraId="254CA04A">
      <w:pPr>
        <w:snapToGrid w:val="0"/>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杭州市人民代表大会常务委员会办公厅、浙江省成套招标代理有限公司：</w:t>
      </w:r>
    </w:p>
    <w:p w14:paraId="07ADEF75">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我方参加你方组织的2025至2026年电子阅文服务项目【招标编号：CTZB-2025030519】招标的有关活动，并对此项目进行投标。为此：</w:t>
      </w:r>
    </w:p>
    <w:p w14:paraId="36C8144D">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1、我方承诺投标有效期从提交投标文件的截止之日起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天（不少于90天）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本投标文件在投标有效期满之前均具有约束力。</w:t>
      </w:r>
    </w:p>
    <w:p w14:paraId="34BF9BAD">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2、我方的投标文件包括以下内容：</w:t>
      </w:r>
    </w:p>
    <w:p w14:paraId="35C3FD30">
      <w:pPr>
        <w:snapToGrid w:val="0"/>
        <w:spacing w:line="360" w:lineRule="auto"/>
        <w:ind w:left="210" w:leftChars="1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2.1资格文件：</w:t>
      </w:r>
    </w:p>
    <w:p w14:paraId="3AD4DCE6">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2.1.1承诺函；</w:t>
      </w:r>
    </w:p>
    <w:p w14:paraId="132B41D1">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w:t>
      </w:r>
      <w:r>
        <w:rPr>
          <w:rFonts w:hint="eastAsia" w:ascii="宋体" w:hAnsi="宋体" w:cs="宋体"/>
          <w:snapToGrid w:val="0"/>
          <w:color w:val="000000" w:themeColor="text1"/>
          <w:kern w:val="28"/>
          <w:sz w:val="24"/>
          <w:szCs w:val="20"/>
          <w14:textFill>
            <w14:solidFill>
              <w14:schemeClr w14:val="tx1"/>
            </w14:solidFill>
          </w14:textFill>
        </w:rPr>
        <w:t>联合协议</w:t>
      </w:r>
      <w:bookmarkStart w:id="585" w:name="_Hlk101257010"/>
      <w:r>
        <w:rPr>
          <w:rFonts w:hint="eastAsia" w:ascii="宋体" w:hAnsi="宋体" w:cs="宋体"/>
          <w:color w:val="000000" w:themeColor="text1"/>
          <w:sz w:val="24"/>
          <w14:textFill>
            <w14:solidFill>
              <w14:schemeClr w14:val="tx1"/>
            </w14:solidFill>
          </w14:textFill>
        </w:rPr>
        <w:t>（如果有)</w:t>
      </w:r>
      <w:bookmarkEnd w:id="585"/>
      <w:r>
        <w:rPr>
          <w:rFonts w:hint="eastAsia" w:ascii="宋体" w:hAnsi="宋体" w:cs="宋体"/>
          <w:snapToGrid w:val="0"/>
          <w:color w:val="000000" w:themeColor="text1"/>
          <w:kern w:val="28"/>
          <w:sz w:val="24"/>
          <w:szCs w:val="20"/>
          <w14:textFill>
            <w14:solidFill>
              <w14:schemeClr w14:val="tx1"/>
            </w14:solidFill>
          </w14:textFill>
        </w:rPr>
        <w:t>；</w:t>
      </w:r>
    </w:p>
    <w:p w14:paraId="7D88B5BB">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落实政府采购政策需满足的资格要求（如果有）；</w:t>
      </w:r>
    </w:p>
    <w:p w14:paraId="00B0B9BA">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本项目的特定资格要求（如果有)。</w:t>
      </w:r>
    </w:p>
    <w:p w14:paraId="16D1D28A">
      <w:pPr>
        <w:snapToGrid w:val="0"/>
        <w:spacing w:line="360" w:lineRule="auto"/>
        <w:ind w:left="210" w:leftChars="100"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14:paraId="0A86B3EE">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2.2.1投标函；</w:t>
      </w:r>
      <w:r>
        <w:rPr>
          <w:rFonts w:hint="eastAsia" w:ascii="宋体" w:hAnsi="宋体" w:cs="宋体"/>
          <w:color w:val="000000" w:themeColor="text1"/>
          <w:sz w:val="24"/>
          <w:lang w:val="zh-CN"/>
          <w14:textFill>
            <w14:solidFill>
              <w14:schemeClr w14:val="tx1"/>
            </w14:solidFill>
          </w14:textFill>
        </w:rPr>
        <w:t xml:space="preserve"> </w:t>
      </w:r>
    </w:p>
    <w:p w14:paraId="6CB16E7D">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2.2.2授权委托书或法定代表人（单位负责人）身份证明；</w:t>
      </w:r>
    </w:p>
    <w:p w14:paraId="6DE89C5E">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分包意向协议（如果有)；</w:t>
      </w:r>
    </w:p>
    <w:p w14:paraId="0FC3BA69">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14:paraId="62D31626">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p>
    <w:p w14:paraId="57059EFF">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14:paraId="0DB18BC2">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14:paraId="6F4B5343">
      <w:pPr>
        <w:snapToGrid w:val="0"/>
        <w:spacing w:line="360" w:lineRule="auto"/>
        <w:ind w:left="420" w:leftChars="200"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14:paraId="37C61D9D">
      <w:pPr>
        <w:snapToGrid w:val="0"/>
        <w:spacing w:line="360" w:lineRule="auto"/>
        <w:ind w:left="210" w:leftChars="1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3报价文件</w:t>
      </w:r>
    </w:p>
    <w:p w14:paraId="466AD5A5">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2.3.1开标一览表（报价表）；</w:t>
      </w:r>
    </w:p>
    <w:p w14:paraId="0B92EAF8">
      <w:pPr>
        <w:pStyle w:val="2"/>
        <w:ind w:firstLine="960" w:firstLineChars="40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2.3.2 中小企业声明函。</w:t>
      </w:r>
    </w:p>
    <w:p w14:paraId="1E4CDF46">
      <w:pPr>
        <w:numPr>
          <w:ilvl w:val="255"/>
          <w:numId w:val="0"/>
        </w:numPr>
        <w:snapToGrid w:val="0"/>
        <w:spacing w:line="360" w:lineRule="auto"/>
        <w:ind w:firstLine="720" w:firstLineChars="3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ascii="宋体" w:hAnsi="宋体" w:cs="宋体"/>
          <w:color w:val="000000" w:themeColor="text1"/>
          <w:sz w:val="24"/>
          <w14:textFill>
            <w14:solidFill>
              <w14:schemeClr w14:val="tx1"/>
            </w14:solidFill>
          </w14:textFill>
        </w:rPr>
        <w:t>我方承诺除商务技术偏离表列出的偏离外，我方响应招标文件的全部要求。对投标文件中材料的真实性、合法性负责，积极配合采购人、采购代理机构复核投标文件中的资料</w:t>
      </w:r>
      <w:r>
        <w:rPr>
          <w:rFonts w:hint="eastAsia" w:ascii="宋体" w:hAnsi="宋体" w:cs="宋体"/>
          <w:color w:val="000000" w:themeColor="text1"/>
          <w:sz w:val="24"/>
          <w14:textFill>
            <w14:solidFill>
              <w14:schemeClr w14:val="tx1"/>
            </w14:solidFill>
          </w14:textFill>
        </w:rPr>
        <w:t>。</w:t>
      </w:r>
    </w:p>
    <w:p w14:paraId="061E363B">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4、如我方中标，我方承诺：</w:t>
      </w:r>
    </w:p>
    <w:p w14:paraId="501338F1">
      <w:pPr>
        <w:snapToGrid w:val="0"/>
        <w:spacing w:line="360" w:lineRule="auto"/>
        <w:ind w:left="210" w:leftChars="1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4.1在收到中标通知书后，在中标通知书规定的期限内与你方签订合同； </w:t>
      </w:r>
    </w:p>
    <w:p w14:paraId="0C7C68A5">
      <w:pPr>
        <w:snapToGrid w:val="0"/>
        <w:spacing w:line="360" w:lineRule="auto"/>
        <w:ind w:left="210" w:leftChars="1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4.2在签订合同时不向你方提出附加条件； </w:t>
      </w:r>
    </w:p>
    <w:p w14:paraId="1BC7356B">
      <w:pPr>
        <w:snapToGrid w:val="0"/>
        <w:spacing w:line="360" w:lineRule="auto"/>
        <w:ind w:left="210" w:leftChars="1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4.3按照采购文件要求提交履约保证金； </w:t>
      </w:r>
    </w:p>
    <w:p w14:paraId="44591B8B">
      <w:pPr>
        <w:snapToGrid w:val="0"/>
        <w:spacing w:line="360" w:lineRule="auto"/>
        <w:ind w:left="210" w:leftChars="1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4.4在合同约定的期限内完成合同规定的全部义务。 </w:t>
      </w:r>
    </w:p>
    <w:p w14:paraId="29827CE3">
      <w:pPr>
        <w:spacing w:line="360" w:lineRule="auto"/>
        <w:ind w:firstLine="480" w:firstLineChars="200"/>
        <w:rPr>
          <w:rFonts w:hint="eastAsia" w:ascii="宋体" w:hAnsi="宋体" w:cs="宋体"/>
          <w:color w:val="000000" w:themeColor="text1"/>
          <w:sz w:val="24"/>
          <w:shd w:val="clear" w:color="auto" w:fill="FFFFFF"/>
          <w14:textFill>
            <w14:solidFill>
              <w14:schemeClr w14:val="tx1"/>
            </w14:solidFill>
          </w14:textFill>
        </w:rPr>
      </w:pPr>
      <w:r>
        <w:rPr>
          <w:rFonts w:hint="eastAsia" w:ascii="宋体" w:hAnsi="宋体" w:cs="宋体"/>
          <w:color w:val="000000" w:themeColor="text1"/>
          <w:sz w:val="24"/>
          <w14:textFill>
            <w14:solidFill>
              <w14:schemeClr w14:val="tx1"/>
            </w14:solidFill>
          </w14:textFill>
        </w:rPr>
        <w:t>5、对</w:t>
      </w:r>
      <w:r>
        <w:rPr>
          <w:rFonts w:hint="eastAsia" w:ascii="宋体" w:hAnsi="宋体" w:cs="宋体"/>
          <w:color w:val="000000" w:themeColor="text1"/>
          <w:sz w:val="24"/>
          <w:shd w:val="clear" w:color="auto" w:fill="FFFFFF"/>
          <w14:textFill>
            <w14:solidFill>
              <w14:schemeClr w14:val="tx1"/>
            </w14:solidFill>
          </w14:textFill>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DFDDEB2">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6、其他补充说明: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5F54F80D">
      <w:pPr>
        <w:spacing w:line="360" w:lineRule="auto"/>
        <w:ind w:left="120" w:firstLine="3600" w:firstLineChars="15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投标人名称（电子签名）：                          </w:t>
      </w:r>
    </w:p>
    <w:p w14:paraId="59BCFD10">
      <w:pPr>
        <w:spacing w:line="360" w:lineRule="auto"/>
        <w:ind w:left="120"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42452FB2">
      <w:pPr>
        <w:snapToGrid w:val="0"/>
        <w:spacing w:line="360" w:lineRule="auto"/>
        <w:ind w:left="420" w:leftChars="200" w:firstLine="4200" w:firstLineChars="1750"/>
        <w:rPr>
          <w:rFonts w:hint="eastAsia" w:ascii="宋体" w:hAnsi="宋体" w:cs="宋体"/>
          <w:color w:val="000000" w:themeColor="text1"/>
          <w:kern w:val="0"/>
          <w:sz w:val="24"/>
          <w:u w:val="single"/>
          <w14:textFill>
            <w14:solidFill>
              <w14:schemeClr w14:val="tx1"/>
            </w14:solidFill>
          </w14:textFill>
        </w:rPr>
      </w:pPr>
    </w:p>
    <w:p w14:paraId="7343942E">
      <w:pPr>
        <w:spacing w:line="360" w:lineRule="auto"/>
        <w:ind w:left="120" w:right="4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0298A4B9">
      <w:pPr>
        <w:snapToGrid w:val="0"/>
        <w:spacing w:line="360" w:lineRule="auto"/>
        <w:ind w:left="120" w:firstLine="22"/>
        <w:jc w:val="center"/>
        <w:rPr>
          <w:rFonts w:hint="eastAsia" w:ascii="宋体" w:hAnsi="宋体" w:cs="宋体"/>
          <w:b/>
          <w:color w:val="000000" w:themeColor="text1"/>
          <w:kern w:val="0"/>
          <w:sz w:val="32"/>
          <w:szCs w:val="32"/>
          <w14:textFill>
            <w14:solidFill>
              <w14:schemeClr w14:val="tx1"/>
            </w14:solidFill>
          </w14:textFill>
        </w:rPr>
      </w:pPr>
    </w:p>
    <w:p w14:paraId="34F3F1FF">
      <w:pPr>
        <w:snapToGrid w:val="0"/>
        <w:spacing w:line="360" w:lineRule="auto"/>
        <w:ind w:left="120" w:firstLine="22"/>
        <w:rPr>
          <w:rFonts w:hint="eastAsia" w:ascii="宋体" w:hAnsi="宋体" w:cs="宋体"/>
          <w:color w:val="000000" w:themeColor="text1"/>
          <w:sz w:val="24"/>
          <w14:textFill>
            <w14:solidFill>
              <w14:schemeClr w14:val="tx1"/>
            </w14:solidFill>
          </w14:textFill>
        </w:rPr>
      </w:pPr>
    </w:p>
    <w:p w14:paraId="0D97A49A">
      <w:pPr>
        <w:spacing w:line="360" w:lineRule="auto"/>
        <w:ind w:left="120" w:firstLine="22"/>
        <w:jc w:val="center"/>
        <w:rPr>
          <w:rFonts w:hint="eastAsia" w:ascii="宋体" w:hAnsi="宋体" w:cs="宋体"/>
          <w:b/>
          <w:color w:val="000000" w:themeColor="text1"/>
          <w:kern w:val="0"/>
          <w:sz w:val="32"/>
          <w:szCs w:val="32"/>
          <w14:textFill>
            <w14:solidFill>
              <w14:schemeClr w14:val="tx1"/>
            </w14:solidFill>
          </w14:textFill>
        </w:rPr>
      </w:pPr>
    </w:p>
    <w:p w14:paraId="0D924DB6">
      <w:pPr>
        <w:spacing w:line="360" w:lineRule="auto"/>
        <w:ind w:left="120" w:firstLine="22"/>
        <w:jc w:val="center"/>
        <w:outlineLvl w:val="2"/>
        <w:rPr>
          <w:rFonts w:hint="eastAsia"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二、授权委托书或法定代表人（单位负责人、自然人本人）身份证明</w:t>
      </w:r>
    </w:p>
    <w:p w14:paraId="40BC0793">
      <w:pPr>
        <w:snapToGrid w:val="0"/>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087B5EAF">
      <w:pPr>
        <w:snapToGrid w:val="0"/>
        <w:spacing w:line="360" w:lineRule="auto"/>
        <w:jc w:val="center"/>
        <w:rPr>
          <w:rFonts w:hint="eastAsia"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授权委托书（适用于非联合体投标）</w:t>
      </w:r>
    </w:p>
    <w:p w14:paraId="7FEC0F9A">
      <w:pPr>
        <w:snapToGrid w:val="0"/>
        <w:spacing w:line="360" w:lineRule="auto"/>
        <w:ind w:left="120" w:firstLine="22"/>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杭州市人民代表大会常务委员会办公厅、浙江省成套招标代理有限公司</w:t>
      </w:r>
      <w:r>
        <w:rPr>
          <w:rFonts w:hint="eastAsia" w:ascii="宋体" w:hAnsi="宋体" w:cs="宋体"/>
          <w:color w:val="000000" w:themeColor="text1"/>
          <w:kern w:val="0"/>
          <w:sz w:val="24"/>
          <w:lang w:val="zh-CN"/>
          <w14:textFill>
            <w14:solidFill>
              <w14:schemeClr w14:val="tx1"/>
            </w14:solidFill>
          </w14:textFill>
        </w:rPr>
        <w:t>：</w:t>
      </w:r>
    </w:p>
    <w:p w14:paraId="1E1F7159">
      <w:pPr>
        <w:snapToGrid w:val="0"/>
        <w:spacing w:line="360" w:lineRule="auto"/>
        <w:ind w:left="120" w:firstLine="22"/>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，所在单位：</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2025至2026年电子阅文服务项目【招标编号：CTZB-2025030519】</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374C141C">
      <w:pPr>
        <w:snapToGrid w:val="0"/>
        <w:spacing w:line="360" w:lineRule="auto"/>
        <w:ind w:left="120" w:firstLine="22"/>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7CAC5986">
      <w:pPr>
        <w:snapToGrid w:val="0"/>
        <w:spacing w:line="360" w:lineRule="auto"/>
        <w:ind w:left="120" w:firstLine="22"/>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7AF36456">
      <w:pPr>
        <w:snapToGrid w:val="0"/>
        <w:spacing w:line="360" w:lineRule="auto"/>
        <w:ind w:left="120" w:firstLine="22"/>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w:t>
      </w:r>
    </w:p>
    <w:p w14:paraId="665D1E6B">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14:paraId="1D64CD5C">
      <w:pPr>
        <w:snapToGrid w:val="0"/>
        <w:spacing w:line="360" w:lineRule="auto"/>
        <w:ind w:left="120" w:firstLine="22"/>
        <w:rPr>
          <w:rFonts w:hint="eastAsia" w:ascii="宋体" w:hAnsi="宋体" w:cs="宋体"/>
          <w:color w:val="000000" w:themeColor="text1"/>
          <w:sz w:val="24"/>
          <w14:textFill>
            <w14:solidFill>
              <w14:schemeClr w14:val="tx1"/>
            </w14:solidFill>
          </w14:textFill>
        </w:rPr>
      </w:pPr>
    </w:p>
    <w:p w14:paraId="3F26F7C5">
      <w:pPr>
        <w:spacing w:line="360" w:lineRule="auto"/>
        <w:ind w:left="120" w:firstLine="22"/>
        <w:jc w:val="cente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 xml:space="preserve">      </w:t>
      </w:r>
      <w:r>
        <w:rPr>
          <w:rFonts w:hint="eastAsia" w:ascii="宋体" w:hAnsi="宋体" w:cs="宋体"/>
          <w:b/>
          <w:color w:val="000000" w:themeColor="text1"/>
          <w:kern w:val="0"/>
          <w:sz w:val="32"/>
          <w:szCs w:val="32"/>
          <w14:textFill>
            <w14:solidFill>
              <w14:schemeClr w14:val="tx1"/>
            </w14:solidFill>
          </w14:textFill>
        </w:rPr>
        <w:t xml:space="preserve"> </w:t>
      </w:r>
      <w:r>
        <w:rPr>
          <w:rFonts w:hint="eastAsia" w:ascii="宋体" w:hAnsi="宋体" w:cs="宋体"/>
          <w:b/>
          <w:color w:val="000000" w:themeColor="text1"/>
          <w:kern w:val="0"/>
          <w:sz w:val="32"/>
          <w:szCs w:val="32"/>
          <w:lang w:val="zh-CN"/>
          <w14:textFill>
            <w14:solidFill>
              <w14:schemeClr w14:val="tx1"/>
            </w14:solidFill>
          </w14:textFill>
        </w:rPr>
        <w:t>授权委托书（适用于联合体投标）</w:t>
      </w:r>
    </w:p>
    <w:p w14:paraId="54FC26FE">
      <w:pPr>
        <w:snapToGrid w:val="0"/>
        <w:spacing w:line="360" w:lineRule="auto"/>
        <w:ind w:left="120" w:firstLine="22"/>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杭州市人民代表大会常务委员会办公厅、浙江省成套招标代理有限公司</w:t>
      </w:r>
      <w:r>
        <w:rPr>
          <w:rFonts w:hint="eastAsia" w:ascii="宋体" w:hAnsi="宋体" w:cs="宋体"/>
          <w:color w:val="000000" w:themeColor="text1"/>
          <w:kern w:val="0"/>
          <w:sz w:val="24"/>
          <w:lang w:val="zh-CN"/>
          <w14:textFill>
            <w14:solidFill>
              <w14:schemeClr w14:val="tx1"/>
            </w14:solidFill>
          </w14:textFill>
        </w:rPr>
        <w:t>：</w:t>
      </w:r>
    </w:p>
    <w:p w14:paraId="6870C3B9">
      <w:pPr>
        <w:snapToGrid w:val="0"/>
        <w:spacing w:line="360" w:lineRule="auto"/>
        <w:ind w:left="120" w:firstLine="22"/>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，所在单位：</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2025至2026年电子阅文服务项目【招标编号：CTZB-2025030519】</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49118E29">
      <w:pPr>
        <w:snapToGrid w:val="0"/>
        <w:spacing w:line="360" w:lineRule="auto"/>
        <w:ind w:left="120" w:firstLine="22"/>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4187A1B2">
      <w:pPr>
        <w:snapToGrid w:val="0"/>
        <w:spacing w:line="360" w:lineRule="auto"/>
        <w:ind w:left="120" w:firstLine="22"/>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0B530B99">
      <w:pPr>
        <w:spacing w:line="360" w:lineRule="auto"/>
        <w:ind w:left="120" w:firstLine="22"/>
        <w:jc w:val="center"/>
        <w:rPr>
          <w:rFonts w:hint="eastAsia" w:ascii="宋体" w:hAnsi="宋体" w:cs="宋体"/>
          <w:b/>
          <w:color w:val="000000" w:themeColor="text1"/>
          <w:kern w:val="0"/>
          <w:sz w:val="32"/>
          <w:szCs w:val="32"/>
          <w14:textFill>
            <w14:solidFill>
              <w14:schemeClr w14:val="tx1"/>
            </w14:solidFill>
          </w14:textFill>
        </w:rPr>
      </w:pPr>
    </w:p>
    <w:p w14:paraId="0BF0AF92">
      <w:pPr>
        <w:spacing w:line="360" w:lineRule="auto"/>
        <w:ind w:left="120" w:firstLine="22"/>
        <w:rPr>
          <w:rFonts w:hint="eastAsia" w:ascii="宋体" w:hAnsi="宋体" w:cs="宋体"/>
          <w:color w:val="000000" w:themeColor="text1"/>
          <w14:textFill>
            <w14:solidFill>
              <w14:schemeClr w14:val="tx1"/>
            </w14:solidFill>
          </w14:textFill>
        </w:rPr>
      </w:pPr>
    </w:p>
    <w:p w14:paraId="2B8C365A">
      <w:pPr>
        <w:snapToGrid w:val="0"/>
        <w:spacing w:line="360" w:lineRule="auto"/>
        <w:ind w:left="120" w:firstLine="5040" w:firstLineChars="21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3D0DEB05">
      <w:pPr>
        <w:snapToGrid w:val="0"/>
        <w:spacing w:line="360" w:lineRule="auto"/>
        <w:ind w:left="120" w:firstLine="5040" w:firstLineChars="21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59FDEDDD">
      <w:pPr>
        <w:snapToGrid w:val="0"/>
        <w:spacing w:line="360" w:lineRule="auto"/>
        <w:ind w:left="120" w:firstLine="5760" w:firstLineChars="24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7D9B2953">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448D4086">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cs="宋体"/>
          <w:b/>
          <w:color w:val="000000" w:themeColor="text1"/>
          <w:sz w:val="30"/>
          <w:szCs w:val="30"/>
          <w14:textFill>
            <w14:solidFill>
              <w14:schemeClr w14:val="tx1"/>
            </w14:solidFill>
          </w14:textFill>
        </w:rPr>
        <w:t>的身份证明（适用于法定代表人、单位负责人或者自然人本人代表投标人参加投标）</w:t>
      </w:r>
    </w:p>
    <w:p w14:paraId="79F139C1">
      <w:pPr>
        <w:pStyle w:val="149"/>
        <w:spacing w:line="360" w:lineRule="auto"/>
        <w:ind w:firstLine="22"/>
        <w:rPr>
          <w:rFonts w:hint="eastAsia"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691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641A297">
            <w:pPr>
              <w:pStyle w:val="149"/>
              <w:adjustRightInd w:val="0"/>
              <w:spacing w:line="360" w:lineRule="auto"/>
              <w:ind w:firstLine="22"/>
              <w:rPr>
                <w:rFonts w:hint="eastAsia"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正面：                                 反面：</w:t>
            </w:r>
          </w:p>
          <w:p w14:paraId="0F074FE7">
            <w:pPr>
              <w:pStyle w:val="149"/>
              <w:adjustRightInd w:val="0"/>
              <w:spacing w:line="360" w:lineRule="auto"/>
              <w:ind w:firstLine="22"/>
              <w:rPr>
                <w:rFonts w:hint="eastAsia" w:hAnsi="宋体" w:cs="宋体"/>
                <w:bCs/>
                <w:color w:val="000000" w:themeColor="text1"/>
                <w:sz w:val="24"/>
                <w14:textFill>
                  <w14:solidFill>
                    <w14:schemeClr w14:val="tx1"/>
                  </w14:solidFill>
                </w14:textFill>
              </w:rPr>
            </w:pPr>
          </w:p>
        </w:tc>
      </w:tr>
    </w:tbl>
    <w:p w14:paraId="2550FDA2">
      <w:pPr>
        <w:snapToGrid w:val="0"/>
        <w:spacing w:line="360" w:lineRule="auto"/>
        <w:ind w:left="120" w:firstLine="22"/>
        <w:jc w:val="center"/>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2F1EE61A">
      <w:pPr>
        <w:snapToGrid w:val="0"/>
        <w:spacing w:line="360" w:lineRule="auto"/>
        <w:ind w:left="120" w:firstLine="22"/>
        <w:jc w:val="center"/>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                              </w:t>
      </w:r>
    </w:p>
    <w:p w14:paraId="4F6E3A67">
      <w:pPr>
        <w:spacing w:line="360" w:lineRule="auto"/>
        <w:ind w:left="120" w:firstLine="22"/>
        <w:jc w:val="center"/>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52C35BC8">
      <w:pPr>
        <w:spacing w:line="360" w:lineRule="auto"/>
        <w:ind w:left="120" w:firstLine="22"/>
        <w:jc w:val="center"/>
        <w:rPr>
          <w:rFonts w:hint="eastAsia" w:ascii="宋体" w:hAnsi="宋体" w:cs="宋体"/>
          <w:b/>
          <w:color w:val="000000" w:themeColor="text1"/>
          <w:kern w:val="0"/>
          <w:sz w:val="32"/>
          <w:szCs w:val="32"/>
          <w14:textFill>
            <w14:solidFill>
              <w14:schemeClr w14:val="tx1"/>
            </w14:solidFill>
          </w14:textFill>
        </w:rPr>
      </w:pPr>
    </w:p>
    <w:p w14:paraId="2BA4E3BF">
      <w:pPr>
        <w:snapToGrid w:val="0"/>
        <w:spacing w:line="360" w:lineRule="auto"/>
        <w:ind w:left="120" w:right="480" w:firstLine="22"/>
        <w:rPr>
          <w:rFonts w:hint="eastAsia" w:ascii="宋体" w:hAnsi="宋体" w:cs="宋体"/>
          <w:b/>
          <w:color w:val="000000" w:themeColor="text1"/>
          <w:kern w:val="0"/>
          <w:sz w:val="32"/>
          <w:szCs w:val="32"/>
          <w14:textFill>
            <w14:solidFill>
              <w14:schemeClr w14:val="tx1"/>
            </w14:solidFill>
          </w14:textFill>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6FC1D2ED">
      <w:pPr>
        <w:snapToGrid w:val="0"/>
        <w:spacing w:line="360" w:lineRule="auto"/>
        <w:ind w:left="120" w:firstLine="22"/>
        <w:jc w:val="center"/>
        <w:outlineLvl w:val="2"/>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三、分包意向协议（如果有）</w:t>
      </w:r>
    </w:p>
    <w:p w14:paraId="79C5C54E">
      <w:pPr>
        <w:widowControl/>
        <w:spacing w:line="360" w:lineRule="auto"/>
        <w:ind w:left="120" w:firstLine="120" w:firstLineChars="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中标后以分包方式履行合同的，提供分包意向协议(附件6</w:t>
      </w:r>
      <w:r>
        <w:rPr>
          <w:rFonts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14:paraId="332F413D">
      <w:pPr>
        <w:snapToGrid w:val="0"/>
        <w:spacing w:line="360" w:lineRule="auto"/>
        <w:ind w:left="120" w:firstLine="22"/>
        <w:rPr>
          <w:rFonts w:hint="eastAsia" w:ascii="宋体" w:hAnsi="宋体" w:cs="宋体"/>
          <w:color w:val="000000" w:themeColor="text1"/>
          <w:kern w:val="0"/>
          <w:sz w:val="24"/>
          <w14:textFill>
            <w14:solidFill>
              <w14:schemeClr w14:val="tx1"/>
            </w14:solidFill>
          </w14:textFill>
        </w:rPr>
      </w:pPr>
    </w:p>
    <w:p w14:paraId="36E69D66">
      <w:pPr>
        <w:spacing w:line="360" w:lineRule="auto"/>
        <w:ind w:left="120" w:firstLine="22"/>
        <w:jc w:val="center"/>
        <w:outlineLvl w:val="2"/>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四、符合性审查资料</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FE03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8311C89">
            <w:pPr>
              <w:snapToGrid w:val="0"/>
              <w:spacing w:line="240" w:lineRule="atLeast"/>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4991" w:type="dxa"/>
            <w:vAlign w:val="center"/>
          </w:tcPr>
          <w:p w14:paraId="1F207C61">
            <w:pPr>
              <w:snapToGrid w:val="0"/>
              <w:spacing w:line="240" w:lineRule="atLeast"/>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实质性要求</w:t>
            </w:r>
          </w:p>
        </w:tc>
        <w:tc>
          <w:tcPr>
            <w:tcW w:w="2551" w:type="dxa"/>
            <w:vAlign w:val="center"/>
          </w:tcPr>
          <w:p w14:paraId="3C504917">
            <w:pPr>
              <w:snapToGrid w:val="0"/>
              <w:spacing w:line="240" w:lineRule="atLeast"/>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需要提供的符合性审查资料</w:t>
            </w:r>
          </w:p>
        </w:tc>
        <w:tc>
          <w:tcPr>
            <w:tcW w:w="1418" w:type="dxa"/>
            <w:vAlign w:val="center"/>
          </w:tcPr>
          <w:p w14:paraId="6F10C581">
            <w:pPr>
              <w:snapToGrid w:val="0"/>
              <w:spacing w:line="240" w:lineRule="atLeast"/>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投标文件中的</w:t>
            </w:r>
          </w:p>
          <w:p w14:paraId="7175D102">
            <w:pPr>
              <w:snapToGrid w:val="0"/>
              <w:spacing w:line="240" w:lineRule="atLeast"/>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页码位置</w:t>
            </w:r>
          </w:p>
        </w:tc>
      </w:tr>
      <w:tr w14:paraId="2173A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AB41C2">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4991" w:type="dxa"/>
          </w:tcPr>
          <w:p w14:paraId="5306AC9B">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投标文件按照招标文件要求签署、盖章。</w:t>
            </w:r>
          </w:p>
        </w:tc>
        <w:tc>
          <w:tcPr>
            <w:tcW w:w="2551" w:type="dxa"/>
            <w:vAlign w:val="center"/>
          </w:tcPr>
          <w:p w14:paraId="42189D2F">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需要使用电子签名或者签字盖章的投标文件的组成部分</w:t>
            </w:r>
          </w:p>
        </w:tc>
        <w:tc>
          <w:tcPr>
            <w:tcW w:w="1418" w:type="dxa"/>
          </w:tcPr>
          <w:p w14:paraId="4552FCF9">
            <w:pPr>
              <w:rPr>
                <w:rFonts w:hint="eastAsia" w:ascii="宋体" w:hAnsi="宋体" w:cs="宋体"/>
                <w:color w:val="000000" w:themeColor="text1"/>
                <w:sz w:val="24"/>
                <w14:textFill>
                  <w14:solidFill>
                    <w14:schemeClr w14:val="tx1"/>
                  </w14:solidFill>
                </w14:textFill>
              </w:rPr>
            </w:pPr>
          </w:p>
          <w:p w14:paraId="1BBFC1B0">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w:t>
            </w:r>
          </w:p>
          <w:p w14:paraId="26763FA0">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1B80A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4AC9E7">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4991" w:type="dxa"/>
          </w:tcPr>
          <w:p w14:paraId="693096D4">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14:paraId="08174339">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tc>
        <w:tc>
          <w:tcPr>
            <w:tcW w:w="1418" w:type="dxa"/>
          </w:tcPr>
          <w:p w14:paraId="7F7A8D03">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4C37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4D4BC5">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4991" w:type="dxa"/>
          </w:tcPr>
          <w:p w14:paraId="5A609749">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其他实质性要求1：</w:t>
            </w:r>
          </w:p>
        </w:tc>
        <w:tc>
          <w:tcPr>
            <w:tcW w:w="2551" w:type="dxa"/>
            <w:vMerge w:val="restart"/>
            <w:vAlign w:val="center"/>
          </w:tcPr>
          <w:p w14:paraId="4698B9BD">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招标文件其它实质性要求相应的材料（“▲” 系指实质性要求条款，招标文件无其它实质性要求的，无需提供）</w:t>
            </w:r>
          </w:p>
        </w:tc>
        <w:tc>
          <w:tcPr>
            <w:tcW w:w="1418" w:type="dxa"/>
          </w:tcPr>
          <w:p w14:paraId="6C1A68EA">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70C5B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418DA1">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4991" w:type="dxa"/>
          </w:tcPr>
          <w:p w14:paraId="31E3070C">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其他实质性要求2：</w:t>
            </w:r>
          </w:p>
        </w:tc>
        <w:tc>
          <w:tcPr>
            <w:tcW w:w="2551" w:type="dxa"/>
            <w:vMerge w:val="continue"/>
            <w:vAlign w:val="center"/>
          </w:tcPr>
          <w:p w14:paraId="6D921B9E">
            <w:pPr>
              <w:rPr>
                <w:rFonts w:hint="eastAsia" w:ascii="宋体" w:hAnsi="宋体" w:cs="宋体"/>
                <w:color w:val="000000" w:themeColor="text1"/>
                <w:sz w:val="24"/>
                <w14:textFill>
                  <w14:solidFill>
                    <w14:schemeClr w14:val="tx1"/>
                  </w14:solidFill>
                </w14:textFill>
              </w:rPr>
            </w:pPr>
          </w:p>
        </w:tc>
        <w:tc>
          <w:tcPr>
            <w:tcW w:w="1418" w:type="dxa"/>
          </w:tcPr>
          <w:p w14:paraId="193A6873">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4CA5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BAC8EF0">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4991" w:type="dxa"/>
          </w:tcPr>
          <w:p w14:paraId="55F487FE">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其他实质性要求</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snapToGrid w:val="0"/>
                <w:color w:val="000000" w:themeColor="text1"/>
                <w:sz w:val="24"/>
                <w14:textFill>
                  <w14:solidFill>
                    <w14:schemeClr w14:val="tx1"/>
                  </w14:solidFill>
                </w14:textFill>
              </w:rPr>
              <w:t>：</w:t>
            </w:r>
          </w:p>
        </w:tc>
        <w:tc>
          <w:tcPr>
            <w:tcW w:w="2551" w:type="dxa"/>
            <w:vMerge w:val="continue"/>
            <w:vAlign w:val="center"/>
          </w:tcPr>
          <w:p w14:paraId="21121063">
            <w:pPr>
              <w:rPr>
                <w:rFonts w:hint="eastAsia" w:ascii="宋体" w:hAnsi="宋体" w:cs="宋体"/>
                <w:color w:val="000000" w:themeColor="text1"/>
                <w:sz w:val="24"/>
                <w14:textFill>
                  <w14:solidFill>
                    <w14:schemeClr w14:val="tx1"/>
                  </w14:solidFill>
                </w14:textFill>
              </w:rPr>
            </w:pPr>
          </w:p>
        </w:tc>
        <w:tc>
          <w:tcPr>
            <w:tcW w:w="1418" w:type="dxa"/>
          </w:tcPr>
          <w:p w14:paraId="4D0B7C22">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bl>
    <w:p w14:paraId="166EB6FA">
      <w:pPr>
        <w:spacing w:line="360" w:lineRule="auto"/>
        <w:ind w:righ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注：1.按本格式和要求提供。</w:t>
      </w:r>
    </w:p>
    <w:p w14:paraId="306E50B0">
      <w:pPr>
        <w:spacing w:line="360" w:lineRule="auto"/>
        <w:ind w:righ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2、招标文件中实质性要求必须明确响应。</w:t>
      </w:r>
    </w:p>
    <w:p w14:paraId="131A4ECD">
      <w:pPr>
        <w:spacing w:line="360" w:lineRule="auto"/>
        <w:ind w:left="120" w:firstLine="22"/>
        <w:jc w:val="center"/>
        <w:rPr>
          <w:rFonts w:hint="eastAsia" w:ascii="宋体" w:hAnsi="宋体" w:cs="宋体"/>
          <w:b/>
          <w:color w:val="000000" w:themeColor="text1"/>
          <w:kern w:val="0"/>
          <w:sz w:val="32"/>
          <w:szCs w:val="32"/>
          <w14:textFill>
            <w14:solidFill>
              <w14:schemeClr w14:val="tx1"/>
            </w14:solidFill>
          </w14:textFill>
        </w:rPr>
      </w:pPr>
    </w:p>
    <w:p w14:paraId="734DC04C">
      <w:pPr>
        <w:pageBreakBefore/>
        <w:spacing w:line="360" w:lineRule="auto"/>
        <w:ind w:left="119" w:firstLine="23"/>
        <w:jc w:val="center"/>
        <w:outlineLvl w:val="2"/>
        <w:rPr>
          <w:rFonts w:hint="eastAsia"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五、评标标准相应的商务技术资料</w:t>
      </w:r>
    </w:p>
    <w:p w14:paraId="08D71BCC">
      <w:pPr>
        <w:snapToGrid w:val="0"/>
        <w:spacing w:line="360" w:lineRule="auto"/>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427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F522213">
            <w:pPr>
              <w:snapToGrid w:val="0"/>
              <w:spacing w:line="360" w:lineRule="auto"/>
              <w:jc w:val="center"/>
              <w:rPr>
                <w:rFonts w:hint="eastAsia"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序号</w:t>
            </w:r>
          </w:p>
        </w:tc>
        <w:tc>
          <w:tcPr>
            <w:tcW w:w="5465" w:type="dxa"/>
          </w:tcPr>
          <w:p w14:paraId="4CF1F8E3">
            <w:pPr>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投标文件中评标标准相应的商务技术资料目录*</w:t>
            </w:r>
          </w:p>
        </w:tc>
        <w:tc>
          <w:tcPr>
            <w:tcW w:w="3046" w:type="dxa"/>
          </w:tcPr>
          <w:p w14:paraId="79E5E8F7">
            <w:pPr>
              <w:snapToGrid w:val="0"/>
              <w:spacing w:line="240" w:lineRule="atLeast"/>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投标文件中的页码位置</w:t>
            </w:r>
          </w:p>
        </w:tc>
      </w:tr>
      <w:tr w14:paraId="78117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F76E593">
            <w:pPr>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5465" w:type="dxa"/>
          </w:tcPr>
          <w:p w14:paraId="3F523708">
            <w:pPr>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XXX（预先填写）</w:t>
            </w:r>
          </w:p>
        </w:tc>
        <w:tc>
          <w:tcPr>
            <w:tcW w:w="3046" w:type="dxa"/>
          </w:tcPr>
          <w:p w14:paraId="501606D8">
            <w:pPr>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见投标文件第</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页</w:t>
            </w:r>
          </w:p>
        </w:tc>
      </w:tr>
      <w:tr w14:paraId="7BBEA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20CAE26">
            <w:pPr>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p>
        </w:tc>
        <w:tc>
          <w:tcPr>
            <w:tcW w:w="5465" w:type="dxa"/>
          </w:tcPr>
          <w:p w14:paraId="4B81D7F9">
            <w:pPr>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XXX</w:t>
            </w:r>
          </w:p>
        </w:tc>
        <w:tc>
          <w:tcPr>
            <w:tcW w:w="3046" w:type="dxa"/>
          </w:tcPr>
          <w:p w14:paraId="4F474213">
            <w:pPr>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见投标文件第</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页</w:t>
            </w:r>
          </w:p>
        </w:tc>
      </w:tr>
      <w:tr w14:paraId="3242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CD3483F">
            <w:pPr>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5465" w:type="dxa"/>
          </w:tcPr>
          <w:p w14:paraId="30877D84">
            <w:pPr>
              <w:snapToGrid w:val="0"/>
              <w:spacing w:line="360" w:lineRule="auto"/>
              <w:jc w:val="center"/>
              <w:rPr>
                <w:rFonts w:hint="eastAsia" w:ascii="宋体" w:hAnsi="宋体" w:cs="宋体"/>
                <w:bCs/>
                <w:color w:val="000000" w:themeColor="text1"/>
                <w:sz w:val="24"/>
                <w14:textFill>
                  <w14:solidFill>
                    <w14:schemeClr w14:val="tx1"/>
                  </w14:solidFill>
                </w14:textFill>
              </w:rPr>
            </w:pPr>
          </w:p>
        </w:tc>
        <w:tc>
          <w:tcPr>
            <w:tcW w:w="3046" w:type="dxa"/>
          </w:tcPr>
          <w:p w14:paraId="58E7089E">
            <w:pPr>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见投标文件第</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页</w:t>
            </w:r>
          </w:p>
        </w:tc>
      </w:tr>
    </w:tbl>
    <w:p w14:paraId="3CAEE66F">
      <w:pPr>
        <w:spacing w:line="360" w:lineRule="auto"/>
        <w:ind w:left="120" w:firstLine="22"/>
        <w:jc w:val="center"/>
        <w:rPr>
          <w:rFonts w:hint="eastAsia" w:ascii="宋体" w:hAnsi="宋体" w:cs="宋体"/>
          <w:b/>
          <w:color w:val="000000" w:themeColor="text1"/>
          <w:kern w:val="0"/>
          <w:sz w:val="32"/>
          <w:szCs w:val="32"/>
          <w14:textFill>
            <w14:solidFill>
              <w14:schemeClr w14:val="tx1"/>
            </w14:solidFill>
          </w14:textFill>
        </w:rPr>
      </w:pPr>
    </w:p>
    <w:p w14:paraId="1CCAF3B0">
      <w:pPr>
        <w:spacing w:line="360" w:lineRule="auto"/>
        <w:ind w:left="120" w:firstLine="2891" w:firstLineChars="900"/>
        <w:outlineLvl w:val="2"/>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六、投标标的清单</w:t>
      </w:r>
    </w:p>
    <w:tbl>
      <w:tblPr>
        <w:tblStyle w:val="63"/>
        <w:tblW w:w="8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3558"/>
        <w:gridCol w:w="1555"/>
        <w:gridCol w:w="1290"/>
        <w:gridCol w:w="1137"/>
      </w:tblGrid>
      <w:tr w14:paraId="776A0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30F365BB">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3558" w:type="dxa"/>
            <w:tcBorders>
              <w:top w:val="single" w:color="auto" w:sz="4" w:space="0"/>
              <w:left w:val="single" w:color="auto" w:sz="4" w:space="0"/>
              <w:bottom w:val="single" w:color="auto" w:sz="4" w:space="0"/>
              <w:right w:val="single" w:color="auto" w:sz="4" w:space="0"/>
            </w:tcBorders>
            <w:vAlign w:val="center"/>
          </w:tcPr>
          <w:p w14:paraId="049272A8">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1555" w:type="dxa"/>
            <w:tcBorders>
              <w:top w:val="single" w:color="auto" w:sz="4" w:space="0"/>
              <w:left w:val="single" w:color="auto" w:sz="4" w:space="0"/>
              <w:bottom w:val="single" w:color="auto" w:sz="4" w:space="0"/>
              <w:right w:val="single" w:color="auto" w:sz="4" w:space="0"/>
            </w:tcBorders>
            <w:vAlign w:val="center"/>
          </w:tcPr>
          <w:p w14:paraId="01454198">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服务内容</w:t>
            </w:r>
          </w:p>
        </w:tc>
        <w:tc>
          <w:tcPr>
            <w:tcW w:w="1290" w:type="dxa"/>
            <w:tcBorders>
              <w:top w:val="single" w:color="auto" w:sz="4" w:space="0"/>
              <w:left w:val="single" w:color="auto" w:sz="4" w:space="0"/>
              <w:bottom w:val="single" w:color="auto" w:sz="4" w:space="0"/>
              <w:right w:val="single" w:color="auto" w:sz="4" w:space="0"/>
            </w:tcBorders>
            <w:vAlign w:val="center"/>
          </w:tcPr>
          <w:p w14:paraId="58F21E49">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数量</w:t>
            </w:r>
          </w:p>
        </w:tc>
        <w:tc>
          <w:tcPr>
            <w:tcW w:w="1137" w:type="dxa"/>
            <w:tcBorders>
              <w:top w:val="single" w:color="auto" w:sz="4" w:space="0"/>
              <w:left w:val="single" w:color="auto" w:sz="4" w:space="0"/>
              <w:bottom w:val="single" w:color="auto" w:sz="4" w:space="0"/>
              <w:right w:val="single" w:color="auto" w:sz="4" w:space="0"/>
            </w:tcBorders>
            <w:vAlign w:val="center"/>
          </w:tcPr>
          <w:p w14:paraId="5B80CDF4">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tc>
      </w:tr>
      <w:tr w14:paraId="6322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39142022">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3558" w:type="dxa"/>
            <w:tcBorders>
              <w:top w:val="single" w:color="auto" w:sz="4" w:space="0"/>
              <w:left w:val="single" w:color="auto" w:sz="4" w:space="0"/>
              <w:bottom w:val="single" w:color="auto" w:sz="4" w:space="0"/>
              <w:right w:val="single" w:color="auto" w:sz="4" w:space="0"/>
            </w:tcBorders>
            <w:vAlign w:val="center"/>
          </w:tcPr>
          <w:p w14:paraId="542196D6">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1555" w:type="dxa"/>
            <w:tcBorders>
              <w:top w:val="single" w:color="auto" w:sz="4" w:space="0"/>
              <w:left w:val="single" w:color="auto" w:sz="4" w:space="0"/>
              <w:bottom w:val="single" w:color="auto" w:sz="4" w:space="0"/>
              <w:right w:val="single" w:color="auto" w:sz="4" w:space="0"/>
            </w:tcBorders>
            <w:vAlign w:val="center"/>
          </w:tcPr>
          <w:p w14:paraId="27A46B75">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1290" w:type="dxa"/>
            <w:tcBorders>
              <w:top w:val="single" w:color="auto" w:sz="4" w:space="0"/>
              <w:left w:val="single" w:color="auto" w:sz="4" w:space="0"/>
              <w:bottom w:val="single" w:color="auto" w:sz="4" w:space="0"/>
              <w:right w:val="single" w:color="auto" w:sz="4" w:space="0"/>
            </w:tcBorders>
            <w:vAlign w:val="center"/>
          </w:tcPr>
          <w:p w14:paraId="69BB2791">
            <w:pPr>
              <w:spacing w:line="360" w:lineRule="auto"/>
              <w:jc w:val="center"/>
              <w:rPr>
                <w:rFonts w:hint="eastAsia" w:ascii="宋体" w:hAnsi="宋体" w:cs="宋体"/>
                <w:color w:val="000000" w:themeColor="text1"/>
                <w:sz w:val="24"/>
                <w14:textFill>
                  <w14:solidFill>
                    <w14:schemeClr w14:val="tx1"/>
                  </w14:solidFill>
                </w14:textFill>
              </w:rPr>
            </w:pPr>
          </w:p>
        </w:tc>
        <w:tc>
          <w:tcPr>
            <w:tcW w:w="1137" w:type="dxa"/>
            <w:tcBorders>
              <w:top w:val="single" w:color="auto" w:sz="4" w:space="0"/>
              <w:left w:val="single" w:color="auto" w:sz="4" w:space="0"/>
              <w:bottom w:val="single" w:color="auto" w:sz="4" w:space="0"/>
              <w:right w:val="single" w:color="auto" w:sz="4" w:space="0"/>
            </w:tcBorders>
            <w:vAlign w:val="center"/>
          </w:tcPr>
          <w:p w14:paraId="4BE9CB21">
            <w:pPr>
              <w:spacing w:line="360" w:lineRule="auto"/>
              <w:jc w:val="center"/>
              <w:rPr>
                <w:rFonts w:hint="eastAsia" w:ascii="宋体" w:hAnsi="宋体" w:cs="宋体"/>
                <w:color w:val="000000" w:themeColor="text1"/>
                <w:sz w:val="24"/>
                <w14:textFill>
                  <w14:solidFill>
                    <w14:schemeClr w14:val="tx1"/>
                  </w14:solidFill>
                </w14:textFill>
              </w:rPr>
            </w:pPr>
          </w:p>
        </w:tc>
      </w:tr>
      <w:tr w14:paraId="6B412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3EDE7C91">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3558" w:type="dxa"/>
            <w:tcBorders>
              <w:top w:val="single" w:color="auto" w:sz="4" w:space="0"/>
              <w:left w:val="single" w:color="auto" w:sz="4" w:space="0"/>
              <w:bottom w:val="single" w:color="auto" w:sz="4" w:space="0"/>
              <w:right w:val="single" w:color="auto" w:sz="4" w:space="0"/>
            </w:tcBorders>
            <w:vAlign w:val="center"/>
          </w:tcPr>
          <w:p w14:paraId="785DA89B">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1555" w:type="dxa"/>
            <w:tcBorders>
              <w:top w:val="single" w:color="auto" w:sz="4" w:space="0"/>
              <w:left w:val="single" w:color="auto" w:sz="4" w:space="0"/>
              <w:bottom w:val="single" w:color="auto" w:sz="4" w:space="0"/>
              <w:right w:val="single" w:color="auto" w:sz="4" w:space="0"/>
            </w:tcBorders>
            <w:vAlign w:val="center"/>
          </w:tcPr>
          <w:p w14:paraId="3C1A2BA9">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1290" w:type="dxa"/>
            <w:tcBorders>
              <w:top w:val="single" w:color="auto" w:sz="4" w:space="0"/>
              <w:left w:val="single" w:color="auto" w:sz="4" w:space="0"/>
              <w:bottom w:val="single" w:color="auto" w:sz="4" w:space="0"/>
              <w:right w:val="single" w:color="auto" w:sz="4" w:space="0"/>
            </w:tcBorders>
            <w:vAlign w:val="center"/>
          </w:tcPr>
          <w:p w14:paraId="5309B4DB">
            <w:pPr>
              <w:spacing w:line="360" w:lineRule="auto"/>
              <w:jc w:val="center"/>
              <w:rPr>
                <w:rFonts w:hint="eastAsia" w:ascii="宋体" w:hAnsi="宋体" w:cs="宋体"/>
                <w:color w:val="000000" w:themeColor="text1"/>
                <w:sz w:val="24"/>
                <w14:textFill>
                  <w14:solidFill>
                    <w14:schemeClr w14:val="tx1"/>
                  </w14:solidFill>
                </w14:textFill>
              </w:rPr>
            </w:pPr>
          </w:p>
        </w:tc>
        <w:tc>
          <w:tcPr>
            <w:tcW w:w="1137" w:type="dxa"/>
            <w:tcBorders>
              <w:top w:val="single" w:color="auto" w:sz="4" w:space="0"/>
              <w:left w:val="single" w:color="auto" w:sz="4" w:space="0"/>
              <w:bottom w:val="single" w:color="auto" w:sz="4" w:space="0"/>
              <w:right w:val="single" w:color="auto" w:sz="4" w:space="0"/>
            </w:tcBorders>
            <w:vAlign w:val="center"/>
          </w:tcPr>
          <w:p w14:paraId="366C13D2">
            <w:pPr>
              <w:spacing w:line="360" w:lineRule="auto"/>
              <w:jc w:val="center"/>
              <w:rPr>
                <w:rFonts w:hint="eastAsia" w:ascii="宋体" w:hAnsi="宋体" w:cs="宋体"/>
                <w:color w:val="000000" w:themeColor="text1"/>
                <w:sz w:val="24"/>
                <w14:textFill>
                  <w14:solidFill>
                    <w14:schemeClr w14:val="tx1"/>
                  </w14:solidFill>
                </w14:textFill>
              </w:rPr>
            </w:pPr>
          </w:p>
        </w:tc>
      </w:tr>
      <w:tr w14:paraId="7F2AC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3D5F5982">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3558" w:type="dxa"/>
            <w:tcBorders>
              <w:top w:val="single" w:color="auto" w:sz="4" w:space="0"/>
              <w:left w:val="single" w:color="auto" w:sz="4" w:space="0"/>
              <w:bottom w:val="single" w:color="auto" w:sz="4" w:space="0"/>
              <w:right w:val="single" w:color="auto" w:sz="4" w:space="0"/>
            </w:tcBorders>
            <w:vAlign w:val="center"/>
          </w:tcPr>
          <w:p w14:paraId="0DF9B48F">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1555" w:type="dxa"/>
            <w:tcBorders>
              <w:top w:val="single" w:color="auto" w:sz="4" w:space="0"/>
              <w:left w:val="single" w:color="auto" w:sz="4" w:space="0"/>
              <w:bottom w:val="single" w:color="auto" w:sz="4" w:space="0"/>
              <w:right w:val="single" w:color="auto" w:sz="4" w:space="0"/>
            </w:tcBorders>
            <w:vAlign w:val="center"/>
          </w:tcPr>
          <w:p w14:paraId="3F908DBE">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1290" w:type="dxa"/>
            <w:tcBorders>
              <w:top w:val="single" w:color="auto" w:sz="4" w:space="0"/>
              <w:left w:val="single" w:color="auto" w:sz="4" w:space="0"/>
              <w:bottom w:val="single" w:color="auto" w:sz="4" w:space="0"/>
              <w:right w:val="single" w:color="auto" w:sz="4" w:space="0"/>
            </w:tcBorders>
            <w:vAlign w:val="center"/>
          </w:tcPr>
          <w:p w14:paraId="279A89EB">
            <w:pPr>
              <w:spacing w:line="360" w:lineRule="auto"/>
              <w:jc w:val="center"/>
              <w:rPr>
                <w:rFonts w:hint="eastAsia" w:ascii="宋体" w:hAnsi="宋体" w:cs="宋体"/>
                <w:color w:val="000000" w:themeColor="text1"/>
                <w:sz w:val="24"/>
                <w14:textFill>
                  <w14:solidFill>
                    <w14:schemeClr w14:val="tx1"/>
                  </w14:solidFill>
                </w14:textFill>
              </w:rPr>
            </w:pPr>
          </w:p>
        </w:tc>
        <w:tc>
          <w:tcPr>
            <w:tcW w:w="1137" w:type="dxa"/>
            <w:tcBorders>
              <w:top w:val="single" w:color="auto" w:sz="4" w:space="0"/>
              <w:left w:val="single" w:color="auto" w:sz="4" w:space="0"/>
              <w:bottom w:val="single" w:color="auto" w:sz="4" w:space="0"/>
              <w:right w:val="single" w:color="auto" w:sz="4" w:space="0"/>
            </w:tcBorders>
            <w:vAlign w:val="center"/>
          </w:tcPr>
          <w:p w14:paraId="6EA9B251">
            <w:pPr>
              <w:spacing w:line="360" w:lineRule="auto"/>
              <w:jc w:val="center"/>
              <w:rPr>
                <w:rFonts w:hint="eastAsia" w:ascii="宋体" w:hAnsi="宋体" w:cs="宋体"/>
                <w:color w:val="000000" w:themeColor="text1"/>
                <w:sz w:val="24"/>
                <w14:textFill>
                  <w14:solidFill>
                    <w14:schemeClr w14:val="tx1"/>
                  </w14:solidFill>
                </w14:textFill>
              </w:rPr>
            </w:pPr>
          </w:p>
        </w:tc>
      </w:tr>
    </w:tbl>
    <w:p w14:paraId="26DD79B9">
      <w:pPr>
        <w:spacing w:line="360" w:lineRule="auto"/>
        <w:ind w:righ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1993697A">
      <w:pPr>
        <w:spacing w:line="360" w:lineRule="auto"/>
        <w:ind w:left="120" w:firstLine="22"/>
        <w:jc w:val="center"/>
        <w:rPr>
          <w:rFonts w:hint="eastAsia" w:ascii="宋体" w:hAnsi="宋体" w:cs="宋体"/>
          <w:b/>
          <w:color w:val="000000" w:themeColor="text1"/>
          <w:kern w:val="0"/>
          <w:sz w:val="32"/>
          <w:szCs w:val="32"/>
          <w14:textFill>
            <w14:solidFill>
              <w14:schemeClr w14:val="tx1"/>
            </w14:solidFill>
          </w14:textFill>
        </w:rPr>
      </w:pPr>
    </w:p>
    <w:p w14:paraId="47423ACC">
      <w:pPr>
        <w:pageBreakBefore/>
        <w:spacing w:line="360" w:lineRule="auto"/>
        <w:ind w:left="119" w:firstLine="23"/>
        <w:jc w:val="center"/>
        <w:outlineLvl w:val="2"/>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250"/>
        <w:gridCol w:w="3129"/>
        <w:gridCol w:w="1126"/>
        <w:gridCol w:w="1112"/>
      </w:tblGrid>
      <w:tr w14:paraId="4B10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2D676E8">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180" w:type="dxa"/>
          </w:tcPr>
          <w:p w14:paraId="089C711C">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招标文件章节及具体内容</w:t>
            </w:r>
          </w:p>
        </w:tc>
        <w:tc>
          <w:tcPr>
            <w:tcW w:w="3062" w:type="dxa"/>
          </w:tcPr>
          <w:p w14:paraId="74ABF5F1">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投标文件章节及具体内容</w:t>
            </w:r>
          </w:p>
        </w:tc>
        <w:tc>
          <w:tcPr>
            <w:tcW w:w="1102" w:type="dxa"/>
          </w:tcPr>
          <w:p w14:paraId="0407164A">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c>
          <w:tcPr>
            <w:tcW w:w="1088" w:type="dxa"/>
          </w:tcPr>
          <w:p w14:paraId="1EEED28D">
            <w:pPr>
              <w:jc w:val="center"/>
              <w:rPr>
                <w:rFonts w:hint="eastAsia" w:ascii="宋体" w:hAnsi="宋体" w:cs="宋体"/>
                <w:b/>
                <w:bCs/>
                <w:color w:val="000000" w:themeColor="text1"/>
                <w:sz w:val="24"/>
                <w14:textFill>
                  <w14:solidFill>
                    <w14:schemeClr w14:val="tx1"/>
                  </w14:solidFill>
                </w14:textFill>
              </w:rPr>
            </w:pPr>
          </w:p>
        </w:tc>
      </w:tr>
      <w:tr w14:paraId="5DAED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7480A3D">
            <w:pPr>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180" w:type="dxa"/>
          </w:tcPr>
          <w:p w14:paraId="31BDA0F9">
            <w:pPr>
              <w:jc w:val="center"/>
              <w:rPr>
                <w:rFonts w:hint="eastAsia" w:ascii="宋体" w:hAnsi="宋体" w:cs="宋体"/>
                <w:b/>
                <w:color w:val="000000" w:themeColor="text1"/>
                <w:kern w:val="0"/>
                <w:sz w:val="32"/>
                <w:szCs w:val="32"/>
                <w14:textFill>
                  <w14:solidFill>
                    <w14:schemeClr w14:val="tx1"/>
                  </w14:solidFill>
                </w14:textFill>
              </w:rPr>
            </w:pPr>
          </w:p>
        </w:tc>
        <w:tc>
          <w:tcPr>
            <w:tcW w:w="3062" w:type="dxa"/>
          </w:tcPr>
          <w:p w14:paraId="52D54FFD">
            <w:pPr>
              <w:jc w:val="center"/>
              <w:rPr>
                <w:rFonts w:hint="eastAsia" w:ascii="宋体" w:hAnsi="宋体" w:cs="宋体"/>
                <w:b/>
                <w:color w:val="000000" w:themeColor="text1"/>
                <w:kern w:val="0"/>
                <w:sz w:val="32"/>
                <w:szCs w:val="32"/>
                <w14:textFill>
                  <w14:solidFill>
                    <w14:schemeClr w14:val="tx1"/>
                  </w14:solidFill>
                </w14:textFill>
              </w:rPr>
            </w:pPr>
          </w:p>
        </w:tc>
        <w:tc>
          <w:tcPr>
            <w:tcW w:w="1102" w:type="dxa"/>
          </w:tcPr>
          <w:p w14:paraId="5C6A8D73">
            <w:pPr>
              <w:jc w:val="center"/>
              <w:rPr>
                <w:rFonts w:hint="eastAsia" w:ascii="宋体" w:hAnsi="宋体" w:cs="宋体"/>
                <w:b/>
                <w:color w:val="000000" w:themeColor="text1"/>
                <w:kern w:val="0"/>
                <w:sz w:val="32"/>
                <w:szCs w:val="32"/>
                <w14:textFill>
                  <w14:solidFill>
                    <w14:schemeClr w14:val="tx1"/>
                  </w14:solidFill>
                </w14:textFill>
              </w:rPr>
            </w:pPr>
          </w:p>
        </w:tc>
        <w:tc>
          <w:tcPr>
            <w:tcW w:w="1088" w:type="dxa"/>
          </w:tcPr>
          <w:p w14:paraId="7EC16E3C">
            <w:pPr>
              <w:jc w:val="center"/>
              <w:rPr>
                <w:rFonts w:hint="eastAsia" w:ascii="宋体" w:hAnsi="宋体" w:cs="宋体"/>
                <w:b/>
                <w:color w:val="000000" w:themeColor="text1"/>
                <w:kern w:val="0"/>
                <w:sz w:val="32"/>
                <w:szCs w:val="32"/>
                <w14:textFill>
                  <w14:solidFill>
                    <w14:schemeClr w14:val="tx1"/>
                  </w14:solidFill>
                </w14:textFill>
              </w:rPr>
            </w:pPr>
          </w:p>
        </w:tc>
      </w:tr>
      <w:tr w14:paraId="2E2B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89A7ACB">
            <w:pPr>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180" w:type="dxa"/>
          </w:tcPr>
          <w:p w14:paraId="79656A40">
            <w:pPr>
              <w:jc w:val="center"/>
              <w:rPr>
                <w:rFonts w:hint="eastAsia" w:ascii="宋体" w:hAnsi="宋体" w:cs="宋体"/>
                <w:b/>
                <w:color w:val="000000" w:themeColor="text1"/>
                <w:kern w:val="0"/>
                <w:sz w:val="32"/>
                <w:szCs w:val="32"/>
                <w14:textFill>
                  <w14:solidFill>
                    <w14:schemeClr w14:val="tx1"/>
                  </w14:solidFill>
                </w14:textFill>
              </w:rPr>
            </w:pPr>
          </w:p>
        </w:tc>
        <w:tc>
          <w:tcPr>
            <w:tcW w:w="3062" w:type="dxa"/>
          </w:tcPr>
          <w:p w14:paraId="42AA1568">
            <w:pPr>
              <w:jc w:val="center"/>
              <w:rPr>
                <w:rFonts w:hint="eastAsia" w:ascii="宋体" w:hAnsi="宋体" w:cs="宋体"/>
                <w:b/>
                <w:color w:val="000000" w:themeColor="text1"/>
                <w:kern w:val="0"/>
                <w:sz w:val="32"/>
                <w:szCs w:val="32"/>
                <w14:textFill>
                  <w14:solidFill>
                    <w14:schemeClr w14:val="tx1"/>
                  </w14:solidFill>
                </w14:textFill>
              </w:rPr>
            </w:pPr>
          </w:p>
        </w:tc>
        <w:tc>
          <w:tcPr>
            <w:tcW w:w="1102" w:type="dxa"/>
          </w:tcPr>
          <w:p w14:paraId="12040FE0">
            <w:pPr>
              <w:jc w:val="center"/>
              <w:rPr>
                <w:rFonts w:hint="eastAsia" w:ascii="宋体" w:hAnsi="宋体" w:cs="宋体"/>
                <w:b/>
                <w:color w:val="000000" w:themeColor="text1"/>
                <w:kern w:val="0"/>
                <w:sz w:val="32"/>
                <w:szCs w:val="32"/>
                <w14:textFill>
                  <w14:solidFill>
                    <w14:schemeClr w14:val="tx1"/>
                  </w14:solidFill>
                </w14:textFill>
              </w:rPr>
            </w:pPr>
          </w:p>
        </w:tc>
        <w:tc>
          <w:tcPr>
            <w:tcW w:w="1088" w:type="dxa"/>
          </w:tcPr>
          <w:p w14:paraId="40E1B6BA">
            <w:pPr>
              <w:jc w:val="center"/>
              <w:rPr>
                <w:rFonts w:hint="eastAsia" w:ascii="宋体" w:hAnsi="宋体" w:cs="宋体"/>
                <w:b/>
                <w:color w:val="000000" w:themeColor="text1"/>
                <w:kern w:val="0"/>
                <w:sz w:val="32"/>
                <w:szCs w:val="32"/>
                <w14:textFill>
                  <w14:solidFill>
                    <w14:schemeClr w14:val="tx1"/>
                  </w14:solidFill>
                </w14:textFill>
              </w:rPr>
            </w:pPr>
          </w:p>
        </w:tc>
      </w:tr>
      <w:tr w14:paraId="46FD3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34FA4AD">
            <w:pPr>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180" w:type="dxa"/>
          </w:tcPr>
          <w:p w14:paraId="016D6FD2">
            <w:pPr>
              <w:jc w:val="center"/>
              <w:rPr>
                <w:rFonts w:hint="eastAsia" w:ascii="宋体" w:hAnsi="宋体" w:cs="宋体"/>
                <w:b/>
                <w:color w:val="000000" w:themeColor="text1"/>
                <w:kern w:val="0"/>
                <w:sz w:val="32"/>
                <w:szCs w:val="32"/>
                <w14:textFill>
                  <w14:solidFill>
                    <w14:schemeClr w14:val="tx1"/>
                  </w14:solidFill>
                </w14:textFill>
              </w:rPr>
            </w:pPr>
          </w:p>
        </w:tc>
        <w:tc>
          <w:tcPr>
            <w:tcW w:w="3062" w:type="dxa"/>
          </w:tcPr>
          <w:p w14:paraId="5E677F23">
            <w:pPr>
              <w:jc w:val="center"/>
              <w:rPr>
                <w:rFonts w:hint="eastAsia" w:ascii="宋体" w:hAnsi="宋体" w:cs="宋体"/>
                <w:b/>
                <w:color w:val="000000" w:themeColor="text1"/>
                <w:kern w:val="0"/>
                <w:sz w:val="32"/>
                <w:szCs w:val="32"/>
                <w14:textFill>
                  <w14:solidFill>
                    <w14:schemeClr w14:val="tx1"/>
                  </w14:solidFill>
                </w14:textFill>
              </w:rPr>
            </w:pPr>
          </w:p>
        </w:tc>
        <w:tc>
          <w:tcPr>
            <w:tcW w:w="1102" w:type="dxa"/>
          </w:tcPr>
          <w:p w14:paraId="4385563B">
            <w:pPr>
              <w:jc w:val="center"/>
              <w:rPr>
                <w:rFonts w:hint="eastAsia" w:ascii="宋体" w:hAnsi="宋体" w:cs="宋体"/>
                <w:b/>
                <w:color w:val="000000" w:themeColor="text1"/>
                <w:kern w:val="0"/>
                <w:sz w:val="32"/>
                <w:szCs w:val="32"/>
                <w14:textFill>
                  <w14:solidFill>
                    <w14:schemeClr w14:val="tx1"/>
                  </w14:solidFill>
                </w14:textFill>
              </w:rPr>
            </w:pPr>
          </w:p>
        </w:tc>
        <w:tc>
          <w:tcPr>
            <w:tcW w:w="1088" w:type="dxa"/>
          </w:tcPr>
          <w:p w14:paraId="6D49E5AE">
            <w:pPr>
              <w:jc w:val="center"/>
              <w:rPr>
                <w:rFonts w:hint="eastAsia" w:ascii="宋体" w:hAnsi="宋体" w:cs="宋体"/>
                <w:b/>
                <w:color w:val="000000" w:themeColor="text1"/>
                <w:kern w:val="0"/>
                <w:sz w:val="32"/>
                <w:szCs w:val="32"/>
                <w14:textFill>
                  <w14:solidFill>
                    <w14:schemeClr w14:val="tx1"/>
                  </w14:solidFill>
                </w14:textFill>
              </w:rPr>
            </w:pPr>
          </w:p>
        </w:tc>
      </w:tr>
    </w:tbl>
    <w:p w14:paraId="7A8D26FA">
      <w:pPr>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投标人保证：除商务技术偏离表列出的偏离外，投标人响应招标文件的全部要求</w:t>
      </w:r>
    </w:p>
    <w:p w14:paraId="141D3DC2">
      <w:pPr>
        <w:ind w:firstLine="643" w:firstLineChars="200"/>
        <w:jc w:val="center"/>
        <w:rPr>
          <w:rFonts w:hint="eastAsia" w:ascii="宋体" w:hAnsi="宋体" w:cs="宋体"/>
          <w:b/>
          <w:color w:val="000000" w:themeColor="text1"/>
          <w:kern w:val="0"/>
          <w:sz w:val="32"/>
          <w:szCs w:val="32"/>
          <w14:textFill>
            <w14:solidFill>
              <w14:schemeClr w14:val="tx1"/>
            </w14:solidFill>
          </w14:textFill>
        </w:rPr>
      </w:pPr>
    </w:p>
    <w:p w14:paraId="40D6F58C">
      <w:pPr>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注：1.按本格式和要求提供。</w:t>
      </w:r>
    </w:p>
    <w:p w14:paraId="1196CCEF">
      <w:pPr>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2.本表格所反映的偏离情况与“符合性审查资料”、“评标标准相应的商务技术资料”不一致的，以“符合性审查资料”、“评标标准相应的商务技术资料”为准。</w:t>
      </w:r>
    </w:p>
    <w:p w14:paraId="6140B4D4">
      <w:pPr>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3.投标人须保证：除商务技术偏离表列出的偏离外，投标人响应招标文件的全部非实质性要求。</w:t>
      </w:r>
    </w:p>
    <w:p w14:paraId="0A661836">
      <w:pPr>
        <w:spacing w:line="360" w:lineRule="auto"/>
        <w:jc w:val="left"/>
        <w:rPr>
          <w:rFonts w:hint="eastAsia" w:ascii="宋体" w:hAnsi="宋体" w:cs="宋体"/>
          <w:color w:val="000000" w:themeColor="text1"/>
          <w:kern w:val="0"/>
          <w:sz w:val="24"/>
          <w14:textFill>
            <w14:solidFill>
              <w14:schemeClr w14:val="tx1"/>
            </w14:solidFill>
          </w14:textFill>
        </w:rPr>
      </w:pPr>
    </w:p>
    <w:p w14:paraId="09BB9860">
      <w:pPr>
        <w:spacing w:line="360" w:lineRule="auto"/>
        <w:ind w:left="120" w:firstLine="1911" w:firstLineChars="595"/>
        <w:rPr>
          <w:rFonts w:hint="eastAsia" w:ascii="宋体" w:hAnsi="宋体" w:cs="宋体"/>
          <w:b/>
          <w:bCs/>
          <w:color w:val="000000" w:themeColor="text1"/>
          <w:sz w:val="32"/>
          <w:szCs w:val="32"/>
          <w14:textFill>
            <w14:solidFill>
              <w14:schemeClr w14:val="tx1"/>
            </w14:solidFill>
          </w14:textFill>
        </w:rPr>
      </w:pPr>
    </w:p>
    <w:p w14:paraId="7CD15CA9">
      <w:pPr>
        <w:widowControl/>
        <w:adjustRightInd/>
        <w:spacing w:line="360" w:lineRule="auto"/>
        <w:ind w:left="120" w:firstLine="22"/>
        <w:jc w:val="center"/>
        <w:rPr>
          <w:rFonts w:hint="eastAsia" w:ascii="宋体" w:hAnsi="宋体" w:cs="宋体"/>
          <w:b/>
          <w:color w:val="000000" w:themeColor="text1"/>
          <w:kern w:val="0"/>
          <w:sz w:val="32"/>
          <w:szCs w:val="32"/>
          <w14:textFill>
            <w14:solidFill>
              <w14:schemeClr w14:val="tx1"/>
            </w14:solidFill>
          </w14:textFill>
        </w:rPr>
      </w:pPr>
      <w:r>
        <w:rPr>
          <w:rFonts w:ascii="宋体" w:hAnsi="宋体" w:cs="宋体"/>
          <w:b/>
          <w:bCs/>
          <w:color w:val="000000" w:themeColor="text1"/>
          <w:sz w:val="32"/>
          <w:szCs w:val="32"/>
          <w14:textFill>
            <w14:solidFill>
              <w14:schemeClr w14:val="tx1"/>
            </w14:solidFill>
          </w14:textFill>
        </w:rPr>
        <w:br w:type="page"/>
      </w:r>
      <w:r>
        <w:rPr>
          <w:rFonts w:hint="eastAsia" w:ascii="宋体" w:hAnsi="宋体" w:cs="宋体"/>
          <w:b/>
          <w:bCs/>
          <w:color w:val="000000" w:themeColor="text1"/>
          <w:sz w:val="32"/>
          <w:szCs w:val="32"/>
          <w14:textFill>
            <w14:solidFill>
              <w14:schemeClr w14:val="tx1"/>
            </w14:solidFill>
          </w14:textFill>
        </w:rPr>
        <w:t>八</w:t>
      </w:r>
      <w:r>
        <w:rPr>
          <w:rFonts w:hint="eastAsia" w:ascii="宋体" w:hAnsi="宋体" w:cs="宋体"/>
          <w:b/>
          <w:color w:val="000000" w:themeColor="text1"/>
          <w:kern w:val="0"/>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政府采购供应商廉洁自律承诺书</w:t>
      </w:r>
    </w:p>
    <w:p w14:paraId="06DCABAB">
      <w:pPr>
        <w:snapToGrid w:val="0"/>
        <w:spacing w:line="360" w:lineRule="auto"/>
        <w:ind w:left="120" w:firstLine="22"/>
        <w:rPr>
          <w:rFonts w:hint="eastAsia" w:ascii="宋体" w:hAnsi="宋体" w:cs="宋体"/>
          <w:color w:val="000000" w:themeColor="text1"/>
          <w:sz w:val="24"/>
          <w14:textFill>
            <w14:solidFill>
              <w14:schemeClr w14:val="tx1"/>
            </w14:solidFill>
          </w14:textFill>
        </w:rPr>
      </w:pPr>
    </w:p>
    <w:p w14:paraId="5AB284BA">
      <w:pPr>
        <w:snapToGrid w:val="0"/>
        <w:spacing w:line="360" w:lineRule="auto"/>
        <w:ind w:left="120" w:firstLine="22"/>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杭州市人民代表大会常务委员会办公厅、浙江省成套招标代理有限公司</w:t>
      </w:r>
      <w:r>
        <w:rPr>
          <w:rFonts w:hint="eastAsia" w:ascii="宋体" w:hAnsi="宋体" w:cs="宋体"/>
          <w:color w:val="000000" w:themeColor="text1"/>
          <w:kern w:val="0"/>
          <w:sz w:val="24"/>
          <w:lang w:val="zh-CN"/>
          <w14:textFill>
            <w14:solidFill>
              <w14:schemeClr w14:val="tx1"/>
            </w14:solidFill>
          </w14:textFill>
        </w:rPr>
        <w:t>：</w:t>
      </w:r>
    </w:p>
    <w:p w14:paraId="0D9AC9F6">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0642958C">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436FD1A8">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14:paraId="33CB03E8">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0E61A803">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14:paraId="53772E91">
      <w:pPr>
        <w:autoSpaceDE w:val="0"/>
        <w:autoSpaceDN w:val="0"/>
        <w:spacing w:line="360" w:lineRule="auto"/>
        <w:ind w:left="481" w:leftChars="229" w:firstLine="22"/>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w:t>
      </w:r>
    </w:p>
    <w:p w14:paraId="1E42425A">
      <w:pPr>
        <w:autoSpaceDE w:val="0"/>
        <w:autoSpaceDN w:val="0"/>
        <w:spacing w:line="360" w:lineRule="auto"/>
        <w:ind w:left="120" w:firstLine="22"/>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好处；</w:t>
      </w:r>
    </w:p>
    <w:p w14:paraId="6EF829B8">
      <w:pPr>
        <w:autoSpaceDE w:val="0"/>
        <w:autoSpaceDN w:val="0"/>
        <w:spacing w:line="360" w:lineRule="auto"/>
        <w:ind w:left="481" w:leftChars="229" w:firstLine="22"/>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六、严格遵守《</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政府采购法》《</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招标投标</w:t>
      </w:r>
    </w:p>
    <w:p w14:paraId="41656C6F">
      <w:pPr>
        <w:autoSpaceDE w:val="0"/>
        <w:autoSpaceDN w:val="0"/>
        <w:spacing w:line="360" w:lineRule="auto"/>
        <w:ind w:left="120" w:firstLine="22"/>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法》</w:t>
      </w:r>
      <w:r>
        <w:rPr>
          <w:rFonts w:hint="eastAsia" w:ascii="宋体" w:hAnsi="宋体" w:cs="宋体"/>
          <w:color w:val="000000" w:themeColor="text1"/>
          <w:sz w:val="24"/>
          <w:lang w:val="zh-CN"/>
          <w14:textFill>
            <w14:solidFill>
              <w14:schemeClr w14:val="tx1"/>
            </w14:solidFill>
          </w14:textFill>
        </w:rPr>
        <w:t>《中华人民共和国民法典》</w:t>
      </w:r>
      <w:r>
        <w:rPr>
          <w:rFonts w:hint="eastAsia" w:ascii="宋体" w:hAnsi="宋体" w:cs="宋体"/>
          <w:color w:val="000000" w:themeColor="text1"/>
          <w:kern w:val="0"/>
          <w:sz w:val="24"/>
          <w:lang w:val="zh-CN"/>
          <w14:textFill>
            <w14:solidFill>
              <w14:schemeClr w14:val="tx1"/>
            </w14:solidFill>
          </w14:textFill>
        </w:rPr>
        <w:t xml:space="preserve">等法律法规，诚实守信，合法经营，坚决抵制各种违法违纪行为。 </w:t>
      </w:r>
    </w:p>
    <w:p w14:paraId="6AFDAA13">
      <w:pPr>
        <w:autoSpaceDE w:val="0"/>
        <w:autoSpaceDN w:val="0"/>
        <w:spacing w:line="360" w:lineRule="auto"/>
        <w:ind w:left="120"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20728D3F">
      <w:pPr>
        <w:autoSpaceDE w:val="0"/>
        <w:autoSpaceDN w:val="0"/>
        <w:spacing w:line="360" w:lineRule="auto"/>
        <w:ind w:left="2" w:leftChars="1" w:right="1120" w:firstLine="4560" w:firstLineChars="19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sz w:val="24"/>
          <w14:textFill>
            <w14:solidFill>
              <w14:schemeClr w14:val="tx1"/>
            </w14:solidFill>
          </w14:textFill>
        </w:rPr>
        <w:t>电子签名</w:t>
      </w:r>
      <w:r>
        <w:rPr>
          <w:rFonts w:hint="eastAsia" w:ascii="宋体" w:hAnsi="宋体" w:cs="宋体"/>
          <w:color w:val="000000" w:themeColor="text1"/>
          <w:kern w:val="0"/>
          <w:sz w:val="24"/>
          <w:lang w:val="zh-CN"/>
          <w14:textFill>
            <w14:solidFill>
              <w14:schemeClr w14:val="tx1"/>
            </w14:solidFill>
          </w14:textFill>
        </w:rPr>
        <w:t xml:space="preserve">）：                                                                                                                                                                                                               </w:t>
      </w:r>
    </w:p>
    <w:p w14:paraId="65A1648E">
      <w:pPr>
        <w:spacing w:line="360" w:lineRule="auto"/>
        <w:ind w:left="4620" w:leftChars="220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14:paraId="7B9B7E0A">
      <w:pPr>
        <w:spacing w:line="360" w:lineRule="auto"/>
        <w:ind w:left="120" w:firstLine="22"/>
        <w:jc w:val="center"/>
        <w:rPr>
          <w:rFonts w:hint="eastAsia" w:ascii="宋体" w:hAnsi="宋体" w:cs="宋体"/>
          <w:b/>
          <w:bCs/>
          <w:color w:val="000000" w:themeColor="text1"/>
          <w:sz w:val="24"/>
          <w14:textFill>
            <w14:solidFill>
              <w14:schemeClr w14:val="tx1"/>
            </w14:solidFill>
          </w14:textFill>
        </w:rPr>
      </w:pPr>
    </w:p>
    <w:p w14:paraId="173F3966">
      <w:pPr>
        <w:spacing w:line="360" w:lineRule="auto"/>
        <w:ind w:left="120" w:right="4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6F89C9F4">
      <w:pPr>
        <w:spacing w:line="360" w:lineRule="auto"/>
        <w:ind w:left="120" w:firstLine="22"/>
        <w:jc w:val="center"/>
        <w:rPr>
          <w:rFonts w:hint="eastAsia" w:ascii="宋体" w:hAnsi="宋体" w:cs="宋体"/>
          <w:b/>
          <w:bCs/>
          <w:color w:val="000000" w:themeColor="text1"/>
          <w:sz w:val="24"/>
          <w14:textFill>
            <w14:solidFill>
              <w14:schemeClr w14:val="tx1"/>
            </w14:solidFill>
          </w14:textFill>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141595EC">
      <w:pPr>
        <w:spacing w:line="360" w:lineRule="auto"/>
        <w:ind w:left="120" w:firstLine="22"/>
        <w:jc w:val="center"/>
        <w:outlineLvl w:val="1"/>
        <w:rPr>
          <w:rFonts w:hint="eastAsia"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报价文件部分</w:t>
      </w:r>
    </w:p>
    <w:p w14:paraId="1B253104">
      <w:pPr>
        <w:spacing w:line="360" w:lineRule="auto"/>
        <w:ind w:left="120" w:firstLine="22"/>
        <w:jc w:val="center"/>
        <w:rPr>
          <w:rFonts w:hint="eastAsia"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7CD6155B">
      <w:pPr>
        <w:spacing w:line="360" w:lineRule="auto"/>
        <w:ind w:left="120" w:firstLine="22"/>
        <w:jc w:val="center"/>
        <w:rPr>
          <w:rFonts w:hint="eastAsia" w:ascii="宋体" w:hAnsi="宋体" w:cs="宋体"/>
          <w:b/>
          <w:color w:val="000000" w:themeColor="text1"/>
          <w:kern w:val="0"/>
          <w:sz w:val="36"/>
          <w:szCs w:val="36"/>
          <w14:textFill>
            <w14:solidFill>
              <w14:schemeClr w14:val="tx1"/>
            </w14:solidFill>
          </w14:textFill>
        </w:rPr>
      </w:pPr>
    </w:p>
    <w:p w14:paraId="3BFE3906">
      <w:pPr>
        <w:snapToGrid w:val="0"/>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（1）开标一览表（报价表）………………………………………………………（页码）</w:t>
      </w:r>
    </w:p>
    <w:p w14:paraId="22DE637D">
      <w:pPr>
        <w:snapToGrid w:val="0"/>
        <w:spacing w:line="360" w:lineRule="auto"/>
        <w:ind w:firstLine="141" w:firstLineChars="59"/>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（2</w:t>
      </w:r>
      <w:r>
        <w:rPr>
          <w:rFonts w:ascii="宋体" w:hAnsi="宋体" w:cs="仿宋_GB2312"/>
          <w:color w:val="000000" w:themeColor="text1"/>
          <w:sz w:val="24"/>
          <w14:textFill>
            <w14:solidFill>
              <w14:schemeClr w14:val="tx1"/>
            </w14:solidFill>
          </w14:textFill>
        </w:rPr>
        <w:t>）中小企业声明函……</w:t>
      </w:r>
      <w:r>
        <w:rPr>
          <w:rFonts w:hint="eastAsia" w:ascii="宋体" w:hAnsi="宋体" w:cs="仿宋_GB2312"/>
          <w:color w:val="000000" w:themeColor="text1"/>
          <w:sz w:val="24"/>
          <w14:textFill>
            <w14:solidFill>
              <w14:schemeClr w14:val="tx1"/>
            </w14:solidFill>
          </w14:textFill>
        </w:rPr>
        <w:t>……………………………………………………………（页码）</w:t>
      </w:r>
    </w:p>
    <w:p w14:paraId="489B70C0">
      <w:pPr>
        <w:snapToGrid w:val="0"/>
        <w:spacing w:line="360" w:lineRule="auto"/>
        <w:ind w:left="120" w:right="480" w:firstLine="22"/>
        <w:jc w:val="center"/>
        <w:rPr>
          <w:rFonts w:hint="eastAsia" w:ascii="宋体" w:hAnsi="宋体" w:cs="宋体"/>
          <w:b/>
          <w:color w:val="000000" w:themeColor="text1"/>
          <w:kern w:val="0"/>
          <w:sz w:val="32"/>
          <w:szCs w:val="32"/>
          <w14:textFill>
            <w14:solidFill>
              <w14:schemeClr w14:val="tx1"/>
            </w14:solidFill>
          </w14:textFill>
        </w:rPr>
      </w:pPr>
    </w:p>
    <w:p w14:paraId="0E415463">
      <w:pPr>
        <w:snapToGrid w:val="0"/>
        <w:spacing w:line="360" w:lineRule="auto"/>
        <w:ind w:left="120" w:right="480" w:firstLine="22"/>
        <w:jc w:val="center"/>
        <w:rPr>
          <w:rFonts w:hint="eastAsia" w:ascii="宋体" w:hAnsi="宋体" w:cs="宋体"/>
          <w:b/>
          <w:color w:val="000000" w:themeColor="text1"/>
          <w:kern w:val="0"/>
          <w:sz w:val="32"/>
          <w:szCs w:val="32"/>
          <w14:textFill>
            <w14:solidFill>
              <w14:schemeClr w14:val="tx1"/>
            </w14:solidFill>
          </w14:textFill>
        </w:rPr>
      </w:pPr>
    </w:p>
    <w:p w14:paraId="7B4F1D3F">
      <w:pPr>
        <w:snapToGrid w:val="0"/>
        <w:spacing w:line="360" w:lineRule="auto"/>
        <w:ind w:left="120" w:right="480" w:firstLine="22"/>
        <w:jc w:val="center"/>
        <w:rPr>
          <w:rFonts w:hint="eastAsia" w:ascii="宋体" w:hAnsi="宋体" w:cs="宋体"/>
          <w:b/>
          <w:color w:val="000000" w:themeColor="text1"/>
          <w:kern w:val="0"/>
          <w:sz w:val="32"/>
          <w:szCs w:val="32"/>
          <w14:textFill>
            <w14:solidFill>
              <w14:schemeClr w14:val="tx1"/>
            </w14:solidFill>
          </w14:textFill>
        </w:rPr>
      </w:pPr>
    </w:p>
    <w:p w14:paraId="2521FE70">
      <w:pPr>
        <w:snapToGrid w:val="0"/>
        <w:spacing w:line="360" w:lineRule="auto"/>
        <w:ind w:left="120" w:right="480" w:firstLine="22"/>
        <w:jc w:val="center"/>
        <w:rPr>
          <w:rFonts w:hint="eastAsia" w:ascii="宋体" w:hAnsi="宋体" w:cs="宋体"/>
          <w:b/>
          <w:color w:val="000000" w:themeColor="text1"/>
          <w:kern w:val="0"/>
          <w:sz w:val="32"/>
          <w:szCs w:val="32"/>
          <w14:textFill>
            <w14:solidFill>
              <w14:schemeClr w14:val="tx1"/>
            </w14:solidFill>
          </w14:textFill>
        </w:rPr>
      </w:pPr>
    </w:p>
    <w:p w14:paraId="242ACE9A">
      <w:pPr>
        <w:snapToGrid w:val="0"/>
        <w:spacing w:line="360" w:lineRule="auto"/>
        <w:ind w:left="120" w:right="480" w:firstLine="22"/>
        <w:jc w:val="center"/>
        <w:rPr>
          <w:rFonts w:hint="eastAsia" w:ascii="宋体" w:hAnsi="宋体" w:cs="宋体"/>
          <w:b/>
          <w:color w:val="000000" w:themeColor="text1"/>
          <w:kern w:val="0"/>
          <w:sz w:val="32"/>
          <w:szCs w:val="32"/>
          <w14:textFill>
            <w14:solidFill>
              <w14:schemeClr w14:val="tx1"/>
            </w14:solidFill>
          </w14:textFill>
        </w:rPr>
      </w:pPr>
    </w:p>
    <w:p w14:paraId="1944C177">
      <w:pPr>
        <w:snapToGrid w:val="0"/>
        <w:spacing w:line="360" w:lineRule="auto"/>
        <w:ind w:left="120" w:right="480" w:firstLine="22"/>
        <w:jc w:val="center"/>
        <w:rPr>
          <w:rFonts w:hint="eastAsia" w:ascii="宋体" w:hAnsi="宋体" w:cs="宋体"/>
          <w:b/>
          <w:color w:val="000000" w:themeColor="text1"/>
          <w:kern w:val="0"/>
          <w:sz w:val="32"/>
          <w:szCs w:val="32"/>
          <w14:textFill>
            <w14:solidFill>
              <w14:schemeClr w14:val="tx1"/>
            </w14:solidFill>
          </w14:textFill>
        </w:rPr>
      </w:pPr>
    </w:p>
    <w:p w14:paraId="7DBEABB2">
      <w:pPr>
        <w:snapToGrid w:val="0"/>
        <w:spacing w:line="360" w:lineRule="auto"/>
        <w:ind w:left="120" w:right="480" w:firstLine="22"/>
        <w:jc w:val="center"/>
        <w:rPr>
          <w:rFonts w:hint="eastAsia" w:ascii="宋体" w:hAnsi="宋体" w:cs="宋体"/>
          <w:b/>
          <w:color w:val="000000" w:themeColor="text1"/>
          <w:kern w:val="0"/>
          <w:sz w:val="32"/>
          <w:szCs w:val="32"/>
          <w14:textFill>
            <w14:solidFill>
              <w14:schemeClr w14:val="tx1"/>
            </w14:solidFill>
          </w14:textFill>
        </w:rPr>
      </w:pPr>
    </w:p>
    <w:p w14:paraId="16CDD815">
      <w:pPr>
        <w:snapToGrid w:val="0"/>
        <w:spacing w:line="360" w:lineRule="auto"/>
        <w:ind w:left="120" w:right="480" w:firstLine="22"/>
        <w:jc w:val="center"/>
        <w:rPr>
          <w:rFonts w:hint="eastAsia" w:ascii="宋体" w:hAnsi="宋体" w:cs="宋体"/>
          <w:b/>
          <w:color w:val="000000" w:themeColor="text1"/>
          <w:kern w:val="0"/>
          <w:sz w:val="32"/>
          <w:szCs w:val="32"/>
          <w14:textFill>
            <w14:solidFill>
              <w14:schemeClr w14:val="tx1"/>
            </w14:solidFill>
          </w14:textFill>
        </w:rPr>
      </w:pPr>
    </w:p>
    <w:p w14:paraId="71E76063">
      <w:pPr>
        <w:snapToGrid w:val="0"/>
        <w:spacing w:line="360" w:lineRule="auto"/>
        <w:ind w:left="120" w:right="480" w:firstLine="22"/>
        <w:jc w:val="center"/>
        <w:rPr>
          <w:rFonts w:hint="eastAsia" w:ascii="宋体" w:hAnsi="宋体" w:cs="宋体"/>
          <w:b/>
          <w:color w:val="000000" w:themeColor="text1"/>
          <w:kern w:val="0"/>
          <w:sz w:val="32"/>
          <w:szCs w:val="32"/>
          <w14:textFill>
            <w14:solidFill>
              <w14:schemeClr w14:val="tx1"/>
            </w14:solidFill>
          </w14:textFill>
        </w:rPr>
      </w:pPr>
    </w:p>
    <w:p w14:paraId="5469B019">
      <w:pPr>
        <w:snapToGrid w:val="0"/>
        <w:spacing w:line="360" w:lineRule="auto"/>
        <w:ind w:left="120" w:right="480" w:firstLine="22"/>
        <w:jc w:val="center"/>
        <w:rPr>
          <w:rFonts w:hint="eastAsia" w:ascii="宋体" w:hAnsi="宋体" w:cs="宋体"/>
          <w:b/>
          <w:color w:val="000000" w:themeColor="text1"/>
          <w:kern w:val="0"/>
          <w:sz w:val="32"/>
          <w:szCs w:val="32"/>
          <w14:textFill>
            <w14:solidFill>
              <w14:schemeClr w14:val="tx1"/>
            </w14:solidFill>
          </w14:textFill>
        </w:rPr>
      </w:pPr>
    </w:p>
    <w:p w14:paraId="75958BEA">
      <w:pPr>
        <w:snapToGrid w:val="0"/>
        <w:spacing w:line="360" w:lineRule="auto"/>
        <w:ind w:left="120" w:right="480" w:firstLine="22"/>
        <w:jc w:val="center"/>
        <w:rPr>
          <w:rFonts w:hint="eastAsia" w:ascii="宋体" w:hAnsi="宋体" w:cs="宋体"/>
          <w:b/>
          <w:color w:val="000000" w:themeColor="text1"/>
          <w:kern w:val="0"/>
          <w:sz w:val="32"/>
          <w:szCs w:val="32"/>
          <w14:textFill>
            <w14:solidFill>
              <w14:schemeClr w14:val="tx1"/>
            </w14:solidFill>
          </w14:textFill>
        </w:rPr>
      </w:pPr>
    </w:p>
    <w:p w14:paraId="0525923D">
      <w:pPr>
        <w:snapToGrid w:val="0"/>
        <w:spacing w:line="360" w:lineRule="auto"/>
        <w:ind w:left="120" w:right="480" w:firstLine="22"/>
        <w:jc w:val="center"/>
        <w:rPr>
          <w:rFonts w:hint="eastAsia" w:ascii="宋体" w:hAnsi="宋体" w:cs="宋体"/>
          <w:b/>
          <w:color w:val="000000" w:themeColor="text1"/>
          <w:kern w:val="0"/>
          <w:sz w:val="32"/>
          <w:szCs w:val="32"/>
          <w14:textFill>
            <w14:solidFill>
              <w14:schemeClr w14:val="tx1"/>
            </w14:solidFill>
          </w14:textFill>
        </w:rPr>
      </w:pPr>
    </w:p>
    <w:p w14:paraId="0D67D5F3">
      <w:pPr>
        <w:pStyle w:val="692"/>
        <w:keepNext w:val="0"/>
        <w:pageBreakBefore w:val="0"/>
        <w:tabs>
          <w:tab w:val="clear" w:pos="720"/>
        </w:tabs>
        <w:snapToGrid w:val="0"/>
        <w:spacing w:before="120" w:after="120"/>
        <w:ind w:left="120" w:firstLine="22"/>
        <w:outlineLvl w:val="9"/>
        <w:rPr>
          <w:rFonts w:hint="eastAsia" w:ascii="宋体" w:hAnsi="宋体" w:eastAsia="宋体" w:cs="宋体"/>
          <w:color w:val="000000" w:themeColor="text1"/>
          <w:kern w:val="2"/>
          <w:sz w:val="32"/>
          <w:szCs w:val="32"/>
          <w14:textFill>
            <w14:solidFill>
              <w14:schemeClr w14:val="tx1"/>
            </w14:solidFill>
          </w14:textFill>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6387900F">
      <w:pPr>
        <w:pStyle w:val="692"/>
        <w:keepNext w:val="0"/>
        <w:pageBreakBefore w:val="0"/>
        <w:tabs>
          <w:tab w:val="clear" w:pos="720"/>
        </w:tabs>
        <w:snapToGrid w:val="0"/>
        <w:spacing w:before="120" w:after="120"/>
        <w:ind w:left="120" w:firstLine="22"/>
        <w:outlineLvl w:val="2"/>
        <w:rPr>
          <w:rFonts w:hint="eastAsia"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一、开标一览表（报价表）</w:t>
      </w:r>
    </w:p>
    <w:p w14:paraId="62AE85E9">
      <w:pPr>
        <w:snapToGrid w:val="0"/>
        <w:spacing w:line="360" w:lineRule="auto"/>
        <w:ind w:left="120" w:firstLine="22"/>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杭州市人民代表大会常务委员会办公厅、浙江省成套招标代理有限公司</w:t>
      </w:r>
      <w:r>
        <w:rPr>
          <w:rFonts w:hint="eastAsia" w:ascii="宋体" w:hAnsi="宋体" w:cs="宋体"/>
          <w:color w:val="000000" w:themeColor="text1"/>
          <w:kern w:val="0"/>
          <w:sz w:val="24"/>
          <w:lang w:val="zh-CN"/>
          <w14:textFill>
            <w14:solidFill>
              <w14:schemeClr w14:val="tx1"/>
            </w14:solidFill>
          </w14:textFill>
        </w:rPr>
        <w:t>：</w:t>
      </w:r>
    </w:p>
    <w:p w14:paraId="5C541C27">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按你方采购文件要求，我们，本投标文件签字方，谨此向你方发出要约如下：如你方接受本投标，我方承诺按照如下开标一览表（报价表）的价格完成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14:textFill>
            <w14:solidFill>
              <w14:schemeClr w14:val="tx1"/>
            </w14:solidFill>
          </w14:textFill>
        </w:rPr>
        <w:t>2025至2026年电子阅文服务项目</w:t>
      </w:r>
      <w:r>
        <w:rPr>
          <w:rFonts w:hint="eastAsia" w:ascii="宋体" w:hAnsi="宋体" w:cs="宋体"/>
          <w:color w:val="000000" w:themeColor="text1"/>
          <w:kern w:val="0"/>
          <w:sz w:val="24"/>
          <w:lang w:val="zh-CN"/>
          <w14:textFill>
            <w14:solidFill>
              <w14:schemeClr w14:val="tx1"/>
            </w14:solidFill>
          </w14:textFill>
        </w:rPr>
        <w:t>【招标编号：</w:t>
      </w:r>
      <w:r>
        <w:rPr>
          <w:rFonts w:hint="eastAsia" w:ascii="宋体" w:hAnsi="宋体" w:cs="宋体"/>
          <w:color w:val="000000" w:themeColor="text1"/>
          <w:sz w:val="24"/>
          <w14:textFill>
            <w14:solidFill>
              <w14:schemeClr w14:val="tx1"/>
            </w14:solidFill>
          </w14:textFill>
        </w:rPr>
        <w:t>CTZB-2025030519】的实施</w:t>
      </w:r>
      <w:r>
        <w:rPr>
          <w:rFonts w:hint="eastAsia" w:ascii="宋体" w:hAnsi="宋体" w:cs="宋体"/>
          <w:color w:val="000000" w:themeColor="text1"/>
          <w:kern w:val="0"/>
          <w:sz w:val="24"/>
          <w:lang w:val="zh-CN"/>
          <w14:textFill>
            <w14:solidFill>
              <w14:schemeClr w14:val="tx1"/>
            </w14:solidFill>
          </w14:textFill>
        </w:rPr>
        <w:t>。</w:t>
      </w:r>
    </w:p>
    <w:p w14:paraId="21C8DC36">
      <w:pPr>
        <w:spacing w:line="360" w:lineRule="auto"/>
        <w:ind w:left="120" w:firstLine="22"/>
        <w:jc w:val="center"/>
        <w:rPr>
          <w:rFonts w:hint="eastAsia"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开标一览表（报价表）(单位均为人民币元)</w:t>
      </w:r>
    </w:p>
    <w:tbl>
      <w:tblPr>
        <w:tblStyle w:val="63"/>
        <w:tblW w:w="14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1740"/>
        <w:gridCol w:w="1449"/>
        <w:gridCol w:w="1064"/>
        <w:gridCol w:w="1198"/>
      </w:tblGrid>
      <w:tr w14:paraId="6C647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tc>
          <w:tcPr>
            <w:tcW w:w="817" w:type="dxa"/>
            <w:vAlign w:val="center"/>
          </w:tcPr>
          <w:p w14:paraId="31B4C781">
            <w:pPr>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992" w:type="dxa"/>
            <w:vAlign w:val="center"/>
          </w:tcPr>
          <w:p w14:paraId="7F566911">
            <w:pPr>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2268" w:type="dxa"/>
            <w:vAlign w:val="center"/>
          </w:tcPr>
          <w:p w14:paraId="58D02B79">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服务范围</w:t>
            </w:r>
          </w:p>
        </w:tc>
        <w:tc>
          <w:tcPr>
            <w:tcW w:w="2410" w:type="dxa"/>
            <w:vAlign w:val="center"/>
          </w:tcPr>
          <w:p w14:paraId="4520AF1A">
            <w:pPr>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服务要求</w:t>
            </w:r>
          </w:p>
        </w:tc>
        <w:tc>
          <w:tcPr>
            <w:tcW w:w="2268" w:type="dxa"/>
            <w:vAlign w:val="center"/>
          </w:tcPr>
          <w:p w14:paraId="11EA52BD">
            <w:pPr>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服务时间</w:t>
            </w:r>
          </w:p>
        </w:tc>
        <w:tc>
          <w:tcPr>
            <w:tcW w:w="1740" w:type="dxa"/>
            <w:vAlign w:val="center"/>
          </w:tcPr>
          <w:p w14:paraId="6574CB6A">
            <w:pPr>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服务标准</w:t>
            </w:r>
          </w:p>
        </w:tc>
        <w:tc>
          <w:tcPr>
            <w:tcW w:w="1449" w:type="dxa"/>
            <w:vAlign w:val="center"/>
          </w:tcPr>
          <w:p w14:paraId="11FEC03F">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服务人数</w:t>
            </w:r>
          </w:p>
        </w:tc>
        <w:tc>
          <w:tcPr>
            <w:tcW w:w="1064" w:type="dxa"/>
            <w:vAlign w:val="center"/>
          </w:tcPr>
          <w:p w14:paraId="7521E782">
            <w:pPr>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w:t>
            </w:r>
          </w:p>
        </w:tc>
        <w:tc>
          <w:tcPr>
            <w:tcW w:w="1198" w:type="dxa"/>
            <w:vAlign w:val="center"/>
          </w:tcPr>
          <w:p w14:paraId="30BB5007">
            <w:pPr>
              <w:spacing w:line="360" w:lineRule="auto"/>
              <w:ind w:left="120" w:firstLine="22"/>
              <w:jc w:val="center"/>
              <w:rPr>
                <w:rFonts w:hint="eastAsia" w:ascii="宋体" w:hAnsi="宋体" w:cs="宋体"/>
                <w:b/>
                <w:color w:val="000000" w:themeColor="text1"/>
                <w:sz w:val="24"/>
                <w14:textFill>
                  <w14:solidFill>
                    <w14:schemeClr w14:val="tx1"/>
                  </w14:solidFill>
                </w14:textFill>
              </w:rPr>
            </w:pPr>
          </w:p>
          <w:p w14:paraId="1CF9E24E">
            <w:pPr>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备注（如果有）</w:t>
            </w:r>
          </w:p>
          <w:p w14:paraId="396B81EF">
            <w:pPr>
              <w:spacing w:line="360" w:lineRule="auto"/>
              <w:ind w:left="120" w:firstLine="22"/>
              <w:jc w:val="center"/>
              <w:rPr>
                <w:rFonts w:hint="eastAsia" w:ascii="宋体" w:hAnsi="宋体" w:cs="宋体"/>
                <w:b/>
                <w:color w:val="000000" w:themeColor="text1"/>
                <w:sz w:val="24"/>
                <w14:textFill>
                  <w14:solidFill>
                    <w14:schemeClr w14:val="tx1"/>
                  </w14:solidFill>
                </w14:textFill>
              </w:rPr>
            </w:pPr>
          </w:p>
        </w:tc>
      </w:tr>
      <w:tr w14:paraId="5CB7A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66DA52C">
            <w:pPr>
              <w:spacing w:line="360" w:lineRule="auto"/>
              <w:ind w:left="120"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992" w:type="dxa"/>
            <w:vAlign w:val="center"/>
          </w:tcPr>
          <w:p w14:paraId="17666BD1">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w:t>
            </w:r>
            <w:r>
              <w:rPr>
                <w:rFonts w:ascii="宋体" w:hAnsi="宋体" w:cs="宋体"/>
                <w:color w:val="000000" w:themeColor="text1"/>
                <w:sz w:val="24"/>
                <w14:textFill>
                  <w14:solidFill>
                    <w14:schemeClr w14:val="tx1"/>
                  </w14:solidFill>
                </w14:textFill>
              </w:rPr>
              <w:t>X</w:t>
            </w:r>
          </w:p>
        </w:tc>
        <w:tc>
          <w:tcPr>
            <w:tcW w:w="2268" w:type="dxa"/>
            <w:vAlign w:val="center"/>
          </w:tcPr>
          <w:p w14:paraId="4F42FACE">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410" w:type="dxa"/>
            <w:vAlign w:val="center"/>
          </w:tcPr>
          <w:p w14:paraId="579C8E6C">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268" w:type="dxa"/>
            <w:vAlign w:val="center"/>
          </w:tcPr>
          <w:p w14:paraId="2C109A0E">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740" w:type="dxa"/>
            <w:vAlign w:val="center"/>
          </w:tcPr>
          <w:p w14:paraId="13F2D63E">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449" w:type="dxa"/>
          </w:tcPr>
          <w:p w14:paraId="6611C31E">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064" w:type="dxa"/>
          </w:tcPr>
          <w:p w14:paraId="52773163">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198" w:type="dxa"/>
            <w:vAlign w:val="center"/>
          </w:tcPr>
          <w:p w14:paraId="41AE747D">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r>
      <w:tr w14:paraId="11E5F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D22B6C1">
            <w:pPr>
              <w:spacing w:line="360" w:lineRule="auto"/>
              <w:ind w:left="120"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992" w:type="dxa"/>
            <w:vAlign w:val="center"/>
          </w:tcPr>
          <w:p w14:paraId="07C9D51F">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w:t>
            </w:r>
            <w:r>
              <w:rPr>
                <w:rFonts w:ascii="宋体" w:hAnsi="宋体" w:cs="宋体"/>
                <w:color w:val="000000" w:themeColor="text1"/>
                <w:sz w:val="24"/>
                <w14:textFill>
                  <w14:solidFill>
                    <w14:schemeClr w14:val="tx1"/>
                  </w14:solidFill>
                </w14:textFill>
              </w:rPr>
              <w:t>X</w:t>
            </w:r>
          </w:p>
        </w:tc>
        <w:tc>
          <w:tcPr>
            <w:tcW w:w="2268" w:type="dxa"/>
            <w:vAlign w:val="center"/>
          </w:tcPr>
          <w:p w14:paraId="6501B2EB">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410" w:type="dxa"/>
            <w:vAlign w:val="center"/>
          </w:tcPr>
          <w:p w14:paraId="0D39C51B">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268" w:type="dxa"/>
            <w:vAlign w:val="center"/>
          </w:tcPr>
          <w:p w14:paraId="7C4B4737">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740" w:type="dxa"/>
            <w:vAlign w:val="center"/>
          </w:tcPr>
          <w:p w14:paraId="6EF801D6">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449" w:type="dxa"/>
          </w:tcPr>
          <w:p w14:paraId="3B6B6E7F">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064" w:type="dxa"/>
          </w:tcPr>
          <w:p w14:paraId="237ACC70">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198" w:type="dxa"/>
            <w:vAlign w:val="center"/>
          </w:tcPr>
          <w:p w14:paraId="3901B769">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r>
      <w:tr w14:paraId="0F9C0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F748442">
            <w:pPr>
              <w:spacing w:line="360" w:lineRule="auto"/>
              <w:ind w:left="120"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992" w:type="dxa"/>
            <w:vAlign w:val="center"/>
          </w:tcPr>
          <w:p w14:paraId="7402A8F9">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268" w:type="dxa"/>
            <w:vAlign w:val="center"/>
          </w:tcPr>
          <w:p w14:paraId="25193FDC">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410" w:type="dxa"/>
            <w:vAlign w:val="center"/>
          </w:tcPr>
          <w:p w14:paraId="54B3A7DF">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268" w:type="dxa"/>
            <w:vAlign w:val="center"/>
          </w:tcPr>
          <w:p w14:paraId="0B3C04C2">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740" w:type="dxa"/>
            <w:vAlign w:val="center"/>
          </w:tcPr>
          <w:p w14:paraId="188F4BCA">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449" w:type="dxa"/>
          </w:tcPr>
          <w:p w14:paraId="4C5B3888">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064" w:type="dxa"/>
          </w:tcPr>
          <w:p w14:paraId="6294A36E">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198" w:type="dxa"/>
            <w:vAlign w:val="center"/>
          </w:tcPr>
          <w:p w14:paraId="7B4E8D9F">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r>
      <w:tr w14:paraId="61AD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F6DFFB3">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992" w:type="dxa"/>
            <w:vAlign w:val="center"/>
          </w:tcPr>
          <w:p w14:paraId="69F775B4">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268" w:type="dxa"/>
            <w:vAlign w:val="center"/>
          </w:tcPr>
          <w:p w14:paraId="556B6802">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410" w:type="dxa"/>
            <w:vAlign w:val="center"/>
          </w:tcPr>
          <w:p w14:paraId="14820AF7">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268" w:type="dxa"/>
            <w:vAlign w:val="center"/>
          </w:tcPr>
          <w:p w14:paraId="5BEB7155">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740" w:type="dxa"/>
            <w:vAlign w:val="center"/>
          </w:tcPr>
          <w:p w14:paraId="7267AE48">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449" w:type="dxa"/>
          </w:tcPr>
          <w:p w14:paraId="0E95E949">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064" w:type="dxa"/>
          </w:tcPr>
          <w:p w14:paraId="28234301">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198" w:type="dxa"/>
            <w:vAlign w:val="center"/>
          </w:tcPr>
          <w:p w14:paraId="6BCE3AA7">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r>
      <w:tr w14:paraId="5182B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638D06F">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992" w:type="dxa"/>
            <w:vAlign w:val="center"/>
          </w:tcPr>
          <w:p w14:paraId="0CA1123C">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268" w:type="dxa"/>
            <w:vAlign w:val="center"/>
          </w:tcPr>
          <w:p w14:paraId="1A454E75">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410" w:type="dxa"/>
            <w:vAlign w:val="center"/>
          </w:tcPr>
          <w:p w14:paraId="6FDF9CFE">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268" w:type="dxa"/>
            <w:vAlign w:val="center"/>
          </w:tcPr>
          <w:p w14:paraId="7096A8D8">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740" w:type="dxa"/>
            <w:vAlign w:val="center"/>
          </w:tcPr>
          <w:p w14:paraId="5ED847F3">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449" w:type="dxa"/>
          </w:tcPr>
          <w:p w14:paraId="2A4D1B42">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064" w:type="dxa"/>
          </w:tcPr>
          <w:p w14:paraId="6B1B6E9E">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198" w:type="dxa"/>
            <w:vAlign w:val="center"/>
          </w:tcPr>
          <w:p w14:paraId="166F93B8">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r>
      <w:tr w14:paraId="12A5C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EDDE1D7">
            <w:pPr>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投标报价（小写）</w:t>
            </w:r>
          </w:p>
        </w:tc>
        <w:tc>
          <w:tcPr>
            <w:tcW w:w="7719" w:type="dxa"/>
            <w:gridSpan w:val="5"/>
          </w:tcPr>
          <w:p w14:paraId="412DBC83">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r>
      <w:tr w14:paraId="6DAEA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D78F1C6">
            <w:pPr>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投标报价（大写）</w:t>
            </w:r>
          </w:p>
        </w:tc>
        <w:tc>
          <w:tcPr>
            <w:tcW w:w="7719" w:type="dxa"/>
            <w:gridSpan w:val="5"/>
          </w:tcPr>
          <w:p w14:paraId="23E04473">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r>
    </w:tbl>
    <w:p w14:paraId="60FBB7CD">
      <w:pPr>
        <w:snapToGrid w:val="0"/>
        <w:spacing w:line="360" w:lineRule="auto"/>
        <w:ind w:left="480"/>
        <w:rPr>
          <w:rFonts w:hint="eastAsia"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注：</w:t>
      </w:r>
    </w:p>
    <w:p w14:paraId="33C70BD0">
      <w:pPr>
        <w:spacing w:line="360" w:lineRule="auto"/>
        <w:ind w:left="-2" w:leftChars="-1"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1、投标人需按本表格式填写</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p>
    <w:p w14:paraId="761D0A51">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2、有关本项目实施所涉及的一切费用均计入报价。</w:t>
      </w:r>
      <w:r>
        <w:rPr>
          <w:rFonts w:hint="eastAsia" w:ascii="宋体" w:hAnsi="宋体" w:cs="宋体"/>
          <w:color w:val="000000" w:themeColor="text1"/>
          <w:kern w:val="0"/>
          <w:sz w:val="24"/>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000000" w:themeColor="text1"/>
          <w:kern w:val="0"/>
          <w:sz w:val="24"/>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14:textFill>
            <w14:solidFill>
              <w14:schemeClr w14:val="tx1"/>
            </w14:solidFill>
          </w14:textFill>
        </w:rPr>
        <w:t>视为</w:t>
      </w:r>
      <w:r>
        <w:rPr>
          <w:rFonts w:hint="eastAsia" w:ascii="宋体" w:hAnsi="宋体" w:cs="宋体"/>
          <w:b/>
          <w:color w:val="000000" w:themeColor="text1"/>
          <w:sz w:val="24"/>
          <w14:textFill>
            <w14:solidFill>
              <w14:schemeClr w14:val="tx1"/>
            </w14:solidFill>
          </w14:textFill>
        </w:rPr>
        <w:t>投标文件含有采购人不能接受的附加条件的，投标无效。</w:t>
      </w:r>
    </w:p>
    <w:p w14:paraId="5321CADF">
      <w:pPr>
        <w:snapToGrid w:val="0"/>
        <w:spacing w:line="360" w:lineRule="auto"/>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5270BA2E">
      <w:pPr>
        <w:pStyle w:val="692"/>
        <w:keepNext w:val="0"/>
        <w:tabs>
          <w:tab w:val="clear" w:pos="720"/>
        </w:tabs>
        <w:snapToGrid w:val="0"/>
        <w:spacing w:before="120" w:after="120"/>
        <w:ind w:firstLine="641"/>
        <w:outlineLvl w:val="2"/>
        <w:rPr>
          <w:rFonts w:hint="eastAsia" w:ascii="宋体" w:hAnsi="宋体" w:eastAsia="宋体"/>
          <w:color w:val="000000" w:themeColor="text1"/>
          <w:sz w:val="32"/>
          <w:szCs w:val="32"/>
          <w14:textFill>
            <w14:solidFill>
              <w14:schemeClr w14:val="tx1"/>
            </w14:solidFill>
          </w14:textFill>
        </w:rPr>
      </w:pPr>
      <w:r>
        <w:rPr>
          <w:rFonts w:hint="eastAsia" w:ascii="宋体" w:hAnsi="宋体" w:eastAsia="宋体" w:cs="仿宋_GB2312"/>
          <w:color w:val="000000" w:themeColor="text1"/>
          <w:kern w:val="2"/>
          <w:sz w:val="32"/>
          <w:szCs w:val="32"/>
          <w14:textFill>
            <w14:solidFill>
              <w14:schemeClr w14:val="tx1"/>
            </w14:solidFill>
          </w14:textFill>
        </w:rPr>
        <w:t>二、</w:t>
      </w:r>
      <w:r>
        <w:rPr>
          <w:rFonts w:hint="eastAsia" w:ascii="宋体" w:hAnsi="宋体" w:eastAsia="宋体"/>
          <w:color w:val="000000" w:themeColor="text1"/>
          <w:sz w:val="32"/>
          <w:szCs w:val="32"/>
          <w14:textFill>
            <w14:solidFill>
              <w14:schemeClr w14:val="tx1"/>
            </w14:solidFill>
          </w14:textFill>
        </w:rPr>
        <w:t>中小企业声明函</w:t>
      </w:r>
    </w:p>
    <w:p w14:paraId="49A36980">
      <w:pPr>
        <w:widowControl/>
        <w:spacing w:line="360" w:lineRule="auto"/>
        <w:ind w:firstLine="120" w:firstLineChars="50"/>
        <w:jc w:val="left"/>
        <w:rPr>
          <w:rFonts w:hint="eastAsia" w:ascii="宋体" w:hAnsi="宋体" w:cs="仿宋_GB2312"/>
          <w:b/>
          <w:color w:val="000000" w:themeColor="text1"/>
          <w:sz w:val="24"/>
          <w14:textFill>
            <w14:solidFill>
              <w14:schemeClr w14:val="tx1"/>
            </w14:solidFill>
          </w14:textFill>
        </w:rPr>
      </w:pPr>
      <w:r>
        <w:rPr>
          <w:rFonts w:hint="eastAsia" w:ascii="宋体" w:hAnsi="宋体" w:cs="仿宋_GB2312"/>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r>
        <w:rPr>
          <w:rFonts w:ascii="宋体" w:hAnsi="宋体" w:cs="仿宋_GB2312"/>
          <w:b/>
          <w:color w:val="000000" w:themeColor="text1"/>
          <w:sz w:val="24"/>
          <w14:textFill>
            <w14:solidFill>
              <w14:schemeClr w14:val="tx1"/>
            </w14:solidFill>
          </w14:textFill>
        </w:rPr>
        <w:t>）。</w:t>
      </w:r>
      <w:r>
        <w:rPr>
          <w:rFonts w:hint="eastAsia" w:ascii="宋体" w:hAnsi="宋体" w:cs="仿宋_GB2312"/>
          <w:b/>
          <w:color w:val="000000" w:themeColor="text1"/>
          <w:sz w:val="24"/>
          <w14:textFill>
            <w14:solidFill>
              <w14:schemeClr w14:val="tx1"/>
            </w14:solidFill>
          </w14:textFill>
        </w:rPr>
        <w:t>]</w:t>
      </w:r>
    </w:p>
    <w:p w14:paraId="1D1337D5">
      <w:pPr>
        <w:pStyle w:val="2"/>
        <w:rPr>
          <w:rFonts w:hint="eastAsia"/>
          <w:color w:val="000000" w:themeColor="text1"/>
          <w:lang w:val="zh-CN"/>
          <w14:textFill>
            <w14:solidFill>
              <w14:schemeClr w14:val="tx1"/>
            </w14:solidFill>
          </w14:textFill>
        </w:rPr>
      </w:pPr>
    </w:p>
    <w:p w14:paraId="0551A22D">
      <w:pPr>
        <w:rPr>
          <w:color w:val="000000" w:themeColor="text1"/>
          <w14:textFill>
            <w14:solidFill>
              <w14:schemeClr w14:val="tx1"/>
            </w14:solidFill>
          </w14:textFill>
        </w:rPr>
        <w:sectPr>
          <w:headerReference r:id="rId23" w:type="first"/>
          <w:footerReference r:id="rId25" w:type="first"/>
          <w:headerReference r:id="rId22" w:type="default"/>
          <w:footerReference r:id="rId24" w:type="default"/>
          <w:pgSz w:w="16838" w:h="11906" w:orient="landscape"/>
          <w:pgMar w:top="1417" w:right="1276" w:bottom="1417" w:left="1247" w:header="851" w:footer="992" w:gutter="0"/>
          <w:cols w:space="0" w:num="1"/>
          <w:titlePg/>
          <w:docGrid w:linePitch="312" w:charSpace="0"/>
        </w:sectPr>
      </w:pPr>
    </w:p>
    <w:p w14:paraId="27C749E1">
      <w:pPr>
        <w:pStyle w:val="3"/>
        <w:keepNext w:val="0"/>
        <w:keepLines w:val="0"/>
        <w:pageBreakBefore/>
        <w:widowControl/>
        <w:spacing w:before="100" w:beforeAutospacing="1" w:after="100" w:afterAutospacing="1" w:line="360" w:lineRule="auto"/>
        <w:ind w:left="120" w:firstLine="22"/>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附件</w:t>
      </w:r>
    </w:p>
    <w:p w14:paraId="2369F2B0">
      <w:pPr>
        <w:spacing w:line="360" w:lineRule="auto"/>
        <w:ind w:left="120" w:firstLine="22"/>
        <w:outlineLvl w:val="1"/>
        <w:rPr>
          <w:rFonts w:hint="eastAsia"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w:t>
      </w:r>
    </w:p>
    <w:p w14:paraId="32901B63">
      <w:pPr>
        <w:spacing w:line="360" w:lineRule="auto"/>
        <w:ind w:left="120" w:firstLine="22"/>
        <w:jc w:val="center"/>
        <w:outlineLvl w:val="1"/>
        <w:rPr>
          <w:rFonts w:hint="eastAsia" w:ascii="宋体" w:hAnsi="宋体" w:cs="宋体"/>
          <w:b/>
          <w:color w:val="000000" w:themeColor="text1"/>
          <w:spacing w:val="6"/>
          <w:sz w:val="32"/>
          <w:szCs w:val="32"/>
          <w14:textFill>
            <w14:solidFill>
              <w14:schemeClr w14:val="tx1"/>
            </w14:solidFill>
          </w14:textFill>
        </w:rPr>
      </w:pPr>
      <w:bookmarkStart w:id="586" w:name="OLE_LINK13"/>
      <w:bookmarkStart w:id="587" w:name="OLE_LINK14"/>
      <w:r>
        <w:rPr>
          <w:rFonts w:hint="eastAsia" w:ascii="宋体" w:hAnsi="宋体" w:cs="宋体"/>
          <w:b/>
          <w:color w:val="000000" w:themeColor="text1"/>
          <w:spacing w:val="6"/>
          <w:sz w:val="32"/>
          <w:szCs w:val="32"/>
          <w14:textFill>
            <w14:solidFill>
              <w14:schemeClr w14:val="tx1"/>
            </w14:solidFill>
          </w14:textFill>
        </w:rPr>
        <w:t>残疾人福利性单位声明函</w:t>
      </w:r>
    </w:p>
    <w:bookmarkEnd w:id="586"/>
    <w:bookmarkEnd w:id="587"/>
    <w:p w14:paraId="5D776973">
      <w:pPr>
        <w:spacing w:line="360" w:lineRule="auto"/>
        <w:ind w:left="120" w:firstLine="22"/>
        <w:rPr>
          <w:rFonts w:hint="eastAsia" w:ascii="宋体" w:hAnsi="宋体" w:cs="宋体"/>
          <w:b/>
          <w:color w:val="000000" w:themeColor="text1"/>
          <w:spacing w:val="6"/>
          <w:sz w:val="30"/>
          <w:szCs w:val="30"/>
          <w14:textFill>
            <w14:solidFill>
              <w14:schemeClr w14:val="tx1"/>
            </w14:solidFill>
          </w14:textFill>
        </w:rPr>
      </w:pPr>
    </w:p>
    <w:p w14:paraId="49153B5E">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u w:val="single"/>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_单位的_</w:t>
      </w:r>
      <w:r>
        <w:rPr>
          <w:rFonts w:hint="eastAsia" w:ascii="宋体" w:hAnsi="宋体" w:cs="宋体"/>
          <w:color w:val="000000" w:themeColor="text1"/>
          <w:sz w:val="24"/>
          <w:u w:val="single"/>
          <w14:textFill>
            <w14:solidFill>
              <w14:schemeClr w14:val="tx1"/>
            </w14:solidFill>
          </w14:textFill>
        </w:rPr>
        <w:t>2025至2026年电子阅文服务</w:t>
      </w:r>
      <w:r>
        <w:rPr>
          <w:rFonts w:hint="eastAsia" w:ascii="宋体" w:hAnsi="宋体" w:cs="宋体"/>
          <w:color w:val="000000" w:themeColor="text1"/>
          <w:sz w:val="24"/>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4E934FC7">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14:paraId="04685BD7">
      <w:pPr>
        <w:spacing w:line="360" w:lineRule="auto"/>
        <w:ind w:left="120" w:firstLine="480" w:firstLineChars="200"/>
        <w:rPr>
          <w:rFonts w:hint="eastAsia" w:ascii="宋体" w:hAnsi="宋体" w:cs="宋体"/>
          <w:color w:val="000000" w:themeColor="text1"/>
          <w:sz w:val="24"/>
          <w14:textFill>
            <w14:solidFill>
              <w14:schemeClr w14:val="tx1"/>
            </w14:solidFill>
          </w14:textFill>
        </w:rPr>
      </w:pPr>
    </w:p>
    <w:p w14:paraId="3297F2B7">
      <w:pPr>
        <w:spacing w:line="360" w:lineRule="auto"/>
        <w:ind w:left="120" w:firstLine="480" w:firstLineChars="200"/>
        <w:rPr>
          <w:rFonts w:hint="eastAsia" w:ascii="宋体" w:hAnsi="宋体" w:cs="宋体"/>
          <w:color w:val="000000" w:themeColor="text1"/>
          <w:sz w:val="24"/>
          <w14:textFill>
            <w14:solidFill>
              <w14:schemeClr w14:val="tx1"/>
            </w14:solidFill>
          </w14:textFill>
        </w:rPr>
      </w:pPr>
    </w:p>
    <w:p w14:paraId="0A472562">
      <w:pPr>
        <w:tabs>
          <w:tab w:val="left" w:pos="4860"/>
        </w:tabs>
        <w:spacing w:line="360" w:lineRule="auto"/>
        <w:ind w:left="120" w:right="1560" w:firstLine="480" w:firstLineChars="2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投标人名称（电子签名）</w:t>
      </w:r>
      <w:r>
        <w:rPr>
          <w:rFonts w:hint="eastAsia" w:ascii="宋体" w:hAnsi="宋体" w:cs="宋体"/>
          <w:color w:val="000000" w:themeColor="text1"/>
          <w:sz w:val="24"/>
          <w14:textFill>
            <w14:solidFill>
              <w14:schemeClr w14:val="tx1"/>
            </w14:solidFill>
          </w14:textFill>
        </w:rPr>
        <w:t>：</w:t>
      </w:r>
    </w:p>
    <w:p w14:paraId="6671DE57">
      <w:pPr>
        <w:tabs>
          <w:tab w:val="left" w:pos="4860"/>
        </w:tabs>
        <w:spacing w:line="360" w:lineRule="auto"/>
        <w:ind w:left="120" w:right="1560" w:firstLine="480" w:firstLineChars="2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p>
    <w:p w14:paraId="396BA338">
      <w:pPr>
        <w:spacing w:line="360" w:lineRule="auto"/>
        <w:ind w:left="120" w:firstLine="480" w:firstLineChars="200"/>
        <w:rPr>
          <w:rFonts w:hint="eastAsia" w:ascii="宋体" w:hAnsi="宋体" w:cs="宋体"/>
          <w:color w:val="000000" w:themeColor="text1"/>
          <w:sz w:val="24"/>
          <w14:textFill>
            <w14:solidFill>
              <w14:schemeClr w14:val="tx1"/>
            </w14:solidFill>
          </w14:textFill>
        </w:rPr>
      </w:pPr>
    </w:p>
    <w:p w14:paraId="71617F98">
      <w:pPr>
        <w:spacing w:line="360" w:lineRule="auto"/>
        <w:ind w:left="120" w:firstLine="420" w:firstLineChars="200"/>
        <w:rPr>
          <w:rFonts w:hint="eastAsia" w:ascii="宋体" w:hAnsi="宋体" w:cs="宋体"/>
          <w:color w:val="000000" w:themeColor="text1"/>
          <w14:textFill>
            <w14:solidFill>
              <w14:schemeClr w14:val="tx1"/>
            </w14:solidFill>
          </w14:textFill>
        </w:rPr>
      </w:pPr>
    </w:p>
    <w:p w14:paraId="4468EBC5">
      <w:pPr>
        <w:spacing w:line="360" w:lineRule="auto"/>
        <w:ind w:left="120" w:firstLine="420" w:firstLineChars="200"/>
        <w:rPr>
          <w:rFonts w:hint="eastAsia" w:ascii="宋体" w:hAnsi="宋体" w:cs="宋体"/>
          <w:color w:val="000000" w:themeColor="text1"/>
          <w14:textFill>
            <w14:solidFill>
              <w14:schemeClr w14:val="tx1"/>
            </w14:solidFill>
          </w14:textFill>
        </w:rPr>
      </w:pPr>
    </w:p>
    <w:p w14:paraId="0829C0A8">
      <w:pPr>
        <w:spacing w:line="360" w:lineRule="auto"/>
        <w:ind w:left="120" w:firstLine="420" w:firstLineChars="200"/>
        <w:rPr>
          <w:rFonts w:hint="eastAsia" w:ascii="宋体" w:hAnsi="宋体" w:cs="宋体"/>
          <w:color w:val="000000" w:themeColor="text1"/>
          <w14:textFill>
            <w14:solidFill>
              <w14:schemeClr w14:val="tx1"/>
            </w14:solidFill>
          </w14:textFill>
        </w:rPr>
      </w:pPr>
    </w:p>
    <w:p w14:paraId="44D0A993">
      <w:pPr>
        <w:spacing w:line="360" w:lineRule="auto"/>
        <w:ind w:left="120" w:firstLine="420" w:firstLineChars="200"/>
        <w:rPr>
          <w:rFonts w:hint="eastAsia" w:ascii="宋体" w:hAnsi="宋体" w:cs="宋体"/>
          <w:color w:val="000000" w:themeColor="text1"/>
          <w14:textFill>
            <w14:solidFill>
              <w14:schemeClr w14:val="tx1"/>
            </w14:solidFill>
          </w14:textFill>
        </w:rPr>
      </w:pPr>
    </w:p>
    <w:p w14:paraId="14063D41">
      <w:pPr>
        <w:spacing w:line="360" w:lineRule="auto"/>
        <w:ind w:left="120" w:firstLine="22"/>
        <w:rPr>
          <w:rFonts w:hint="eastAsia" w:ascii="宋体" w:hAnsi="宋体" w:cs="宋体"/>
          <w:b/>
          <w:color w:val="000000" w:themeColor="text1"/>
          <w:sz w:val="24"/>
          <w14:textFill>
            <w14:solidFill>
              <w14:schemeClr w14:val="tx1"/>
            </w14:solidFill>
          </w14:textFill>
        </w:rPr>
      </w:pPr>
    </w:p>
    <w:p w14:paraId="4E6899B7">
      <w:pPr>
        <w:spacing w:line="360" w:lineRule="auto"/>
        <w:ind w:left="120" w:firstLine="22"/>
        <w:rPr>
          <w:rFonts w:hint="eastAsia" w:ascii="宋体" w:hAnsi="宋体" w:cs="宋体"/>
          <w:b/>
          <w:color w:val="000000" w:themeColor="text1"/>
          <w:sz w:val="24"/>
          <w14:textFill>
            <w14:solidFill>
              <w14:schemeClr w14:val="tx1"/>
            </w14:solidFill>
          </w14:textFill>
        </w:rPr>
      </w:pPr>
    </w:p>
    <w:p w14:paraId="4BC803B8">
      <w:pPr>
        <w:spacing w:line="360" w:lineRule="auto"/>
        <w:rPr>
          <w:rFonts w:hint="eastAsia" w:ascii="宋体" w:hAnsi="宋体" w:cs="宋体"/>
          <w:b/>
          <w:color w:val="000000" w:themeColor="text1"/>
          <w:sz w:val="24"/>
          <w14:textFill>
            <w14:solidFill>
              <w14:schemeClr w14:val="tx1"/>
            </w14:solidFill>
          </w14:textFill>
        </w:rPr>
      </w:pPr>
    </w:p>
    <w:p w14:paraId="534389AD">
      <w:pPr>
        <w:spacing w:line="360" w:lineRule="auto"/>
        <w:ind w:left="120" w:firstLine="22"/>
        <w:jc w:val="center"/>
        <w:rPr>
          <w:rFonts w:hint="eastAsia" w:ascii="宋体" w:hAnsi="宋体" w:cs="宋体"/>
          <w:b/>
          <w:color w:val="000000" w:themeColor="text1"/>
          <w:sz w:val="24"/>
          <w14:textFill>
            <w14:solidFill>
              <w14:schemeClr w14:val="tx1"/>
            </w14:solidFill>
          </w14:textFill>
        </w:rPr>
      </w:pPr>
    </w:p>
    <w:p w14:paraId="610597E6">
      <w:pPr>
        <w:spacing w:line="360" w:lineRule="auto"/>
        <w:ind w:left="120" w:firstLine="1666" w:firstLineChars="500"/>
        <w:jc w:val="left"/>
        <w:outlineLvl w:val="1"/>
        <w:rPr>
          <w:rFonts w:hint="eastAsia"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附件2：质疑函范本及制作说明</w:t>
      </w:r>
    </w:p>
    <w:p w14:paraId="2EA13B88">
      <w:pPr>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质疑函范本</w:t>
      </w:r>
    </w:p>
    <w:p w14:paraId="7A75963C">
      <w:pPr>
        <w:snapToGrid w:val="0"/>
        <w:spacing w:before="240" w:beforeLines="100" w:line="360" w:lineRule="auto"/>
        <w:ind w:left="120" w:firstLine="22"/>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一、质疑供应商基本信息</w:t>
      </w:r>
    </w:p>
    <w:p w14:paraId="0C118718">
      <w:pPr>
        <w:snapToGrid w:val="0"/>
        <w:spacing w:line="360" w:lineRule="auto"/>
        <w:ind w:left="120" w:firstLine="22"/>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质疑供应商：</w:t>
      </w:r>
      <w:r>
        <w:rPr>
          <w:rFonts w:hint="eastAsia" w:ascii="宋体" w:hAnsi="宋体" w:cs="宋体"/>
          <w:color w:val="000000" w:themeColor="text1"/>
          <w:sz w:val="24"/>
          <w:u w:val="dotted"/>
          <w14:textFill>
            <w14:solidFill>
              <w14:schemeClr w14:val="tx1"/>
            </w14:solidFill>
          </w14:textFill>
        </w:rPr>
        <w:t xml:space="preserve">                                        </w:t>
      </w:r>
    </w:p>
    <w:p w14:paraId="17784A9C">
      <w:pPr>
        <w:snapToGrid w:val="0"/>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7CD3008F">
      <w:pPr>
        <w:snapToGrid w:val="0"/>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45C96F80">
      <w:pPr>
        <w:snapToGrid w:val="0"/>
        <w:spacing w:line="360" w:lineRule="auto"/>
        <w:ind w:left="120" w:firstLine="22"/>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p>
    <w:p w14:paraId="5BC75D96">
      <w:pPr>
        <w:snapToGrid w:val="0"/>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0A5E2667">
      <w:pPr>
        <w:snapToGrid w:val="0"/>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地址： </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58F3E7E7">
      <w:pPr>
        <w:snapToGrid w:val="0"/>
        <w:spacing w:line="360" w:lineRule="auto"/>
        <w:ind w:left="120" w:firstLine="22"/>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二、质疑项目基本情况</w:t>
      </w:r>
    </w:p>
    <w:p w14:paraId="20146262">
      <w:pPr>
        <w:snapToGrid w:val="0"/>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质疑项目的名称：</w:t>
      </w:r>
      <w:r>
        <w:rPr>
          <w:rFonts w:hint="eastAsia" w:ascii="宋体" w:hAnsi="宋体" w:cs="宋体"/>
          <w:color w:val="000000" w:themeColor="text1"/>
          <w:sz w:val="24"/>
          <w:u w:val="dotted"/>
          <w14:textFill>
            <w14:solidFill>
              <w14:schemeClr w14:val="tx1"/>
            </w14:solidFill>
          </w14:textFill>
        </w:rPr>
        <w:t xml:space="preserve">                                      </w:t>
      </w:r>
    </w:p>
    <w:p w14:paraId="490F1ECB">
      <w:pPr>
        <w:snapToGrid w:val="0"/>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641D3FBD">
      <w:pPr>
        <w:snapToGrid w:val="0"/>
        <w:spacing w:line="360" w:lineRule="auto"/>
        <w:ind w:left="120" w:firstLine="22"/>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p>
    <w:p w14:paraId="51232860">
      <w:pPr>
        <w:snapToGrid w:val="0"/>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采购文件获取日期：</w:t>
      </w:r>
      <w:r>
        <w:rPr>
          <w:rFonts w:hint="eastAsia" w:ascii="宋体" w:hAnsi="宋体" w:cs="宋体"/>
          <w:color w:val="000000" w:themeColor="text1"/>
          <w:sz w:val="24"/>
          <w:u w:val="dotted"/>
          <w14:textFill>
            <w14:solidFill>
              <w14:schemeClr w14:val="tx1"/>
            </w14:solidFill>
          </w14:textFill>
        </w:rPr>
        <w:t xml:space="preserve">                                           </w:t>
      </w:r>
    </w:p>
    <w:p w14:paraId="4CD0C83C">
      <w:pPr>
        <w:snapToGrid w:val="0"/>
        <w:spacing w:line="360" w:lineRule="auto"/>
        <w:ind w:left="120" w:firstLine="22"/>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三、质疑事项具体内容</w:t>
      </w:r>
    </w:p>
    <w:p w14:paraId="009E8C14">
      <w:pPr>
        <w:snapToGrid w:val="0"/>
        <w:spacing w:line="360" w:lineRule="auto"/>
        <w:ind w:left="120" w:firstLine="22"/>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质疑事项1：</w:t>
      </w:r>
      <w:r>
        <w:rPr>
          <w:rFonts w:hint="eastAsia" w:ascii="宋体" w:hAnsi="宋体" w:cs="宋体"/>
          <w:color w:val="000000" w:themeColor="text1"/>
          <w:sz w:val="24"/>
          <w:u w:val="dotted"/>
          <w14:textFill>
            <w14:solidFill>
              <w14:schemeClr w14:val="tx1"/>
            </w14:solidFill>
          </w14:textFill>
        </w:rPr>
        <w:t xml:space="preserve">                                         </w:t>
      </w:r>
    </w:p>
    <w:p w14:paraId="5D708C6B">
      <w:pPr>
        <w:snapToGrid w:val="0"/>
        <w:spacing w:line="360" w:lineRule="auto"/>
        <w:ind w:left="120" w:firstLine="22"/>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41C7C4B5">
      <w:pPr>
        <w:snapToGrid w:val="0"/>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27D21EE9">
      <w:pPr>
        <w:snapToGrid w:val="0"/>
        <w:spacing w:line="360" w:lineRule="auto"/>
        <w:ind w:left="120" w:firstLine="22"/>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42F88B3D">
      <w:pPr>
        <w:snapToGrid w:val="0"/>
        <w:spacing w:line="360" w:lineRule="auto"/>
        <w:ind w:left="120" w:firstLine="22"/>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54027EA6">
      <w:pPr>
        <w:snapToGrid w:val="0"/>
        <w:spacing w:line="360" w:lineRule="auto"/>
        <w:ind w:left="120" w:firstLine="22"/>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质疑事项2</w:t>
      </w:r>
    </w:p>
    <w:p w14:paraId="7EC177D3">
      <w:pPr>
        <w:snapToGrid w:val="0"/>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5F1ECB78">
      <w:pPr>
        <w:snapToGrid w:val="0"/>
        <w:spacing w:line="360" w:lineRule="auto"/>
        <w:ind w:left="120" w:firstLine="22"/>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四、与质疑事项相关的质疑请求</w:t>
      </w:r>
    </w:p>
    <w:p w14:paraId="3B709123">
      <w:pPr>
        <w:snapToGrid w:val="0"/>
        <w:spacing w:line="360" w:lineRule="auto"/>
        <w:ind w:left="120" w:firstLine="22"/>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p>
    <w:p w14:paraId="687CBDAF">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1485D7D7">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6DB610D8">
      <w:pPr>
        <w:spacing w:line="360" w:lineRule="auto"/>
        <w:ind w:left="120" w:firstLine="22"/>
        <w:jc w:val="center"/>
        <w:rPr>
          <w:rFonts w:hint="eastAsia" w:ascii="宋体" w:hAnsi="宋体" w:cs="宋体"/>
          <w:b/>
          <w:bCs/>
          <w:color w:val="000000" w:themeColor="text1"/>
          <w:sz w:val="24"/>
          <w14:textFill>
            <w14:solidFill>
              <w14:schemeClr w14:val="tx1"/>
            </w14:solidFill>
          </w14:textFill>
        </w:rPr>
      </w:pPr>
    </w:p>
    <w:p w14:paraId="7CB12214">
      <w:pPr>
        <w:spacing w:line="360" w:lineRule="auto"/>
        <w:ind w:left="120" w:firstLine="22"/>
        <w:rPr>
          <w:rFonts w:hint="eastAsia" w:ascii="宋体" w:hAnsi="宋体" w:cs="宋体"/>
          <w:b/>
          <w:color w:val="000000" w:themeColor="text1"/>
          <w:sz w:val="24"/>
          <w14:textFill>
            <w14:solidFill>
              <w14:schemeClr w14:val="tx1"/>
            </w14:solidFill>
          </w14:textFill>
        </w:rPr>
      </w:pPr>
    </w:p>
    <w:p w14:paraId="327563F6">
      <w:pPr>
        <w:spacing w:line="360" w:lineRule="auto"/>
        <w:ind w:left="120" w:firstLine="22"/>
        <w:rPr>
          <w:rFonts w:hint="eastAsia" w:ascii="宋体" w:hAnsi="宋体" w:cs="宋体"/>
          <w:b/>
          <w:color w:val="000000" w:themeColor="text1"/>
          <w:sz w:val="24"/>
          <w14:textFill>
            <w14:solidFill>
              <w14:schemeClr w14:val="tx1"/>
            </w14:solidFill>
          </w14:textFill>
        </w:rPr>
      </w:pPr>
    </w:p>
    <w:p w14:paraId="5C88903C">
      <w:pPr>
        <w:keepNext w:val="0"/>
        <w:keepLines w:val="0"/>
        <w:pageBreakBefore/>
        <w:widowControl w:val="0"/>
        <w:kinsoku/>
        <w:wordWrap/>
        <w:overflowPunct/>
        <w:topLinePunct w:val="0"/>
        <w:autoSpaceDE/>
        <w:autoSpaceDN/>
        <w:bidi w:val="0"/>
        <w:adjustRightInd w:val="0"/>
        <w:snapToGrid/>
        <w:spacing w:line="360" w:lineRule="auto"/>
        <w:ind w:left="119" w:firstLine="23"/>
        <w:textAlignment w:val="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质疑函制作说明：</w:t>
      </w:r>
    </w:p>
    <w:p w14:paraId="7E122CA7">
      <w:pPr>
        <w:widowControl/>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1.供应商提出质疑时，应提交质疑函和必要的证明材料。</w:t>
      </w:r>
    </w:p>
    <w:p w14:paraId="1A480139">
      <w:pPr>
        <w:widowControl/>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5763B99A">
      <w:pPr>
        <w:widowControl/>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3.质疑供应商若对项目的某一分包进行质疑，质疑函中应列明具体分包号。</w:t>
      </w:r>
    </w:p>
    <w:p w14:paraId="27D4373E">
      <w:pPr>
        <w:widowControl/>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4.质疑函的质疑事项应具体、明确，并有必要的事实依据和法律依据。</w:t>
      </w:r>
    </w:p>
    <w:p w14:paraId="13580763">
      <w:pPr>
        <w:widowControl/>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5.质疑函的质疑请求应与质疑事项相关。</w:t>
      </w:r>
    </w:p>
    <w:p w14:paraId="33202DD8">
      <w:pPr>
        <w:widowControl/>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748B78E1">
      <w:pPr>
        <w:widowControl/>
        <w:spacing w:line="360" w:lineRule="auto"/>
        <w:ind w:left="120" w:firstLine="600" w:firstLineChars="200"/>
        <w:jc w:val="left"/>
        <w:rPr>
          <w:rFonts w:hint="eastAsia" w:ascii="宋体" w:hAnsi="宋体" w:cs="宋体"/>
          <w:color w:val="000000" w:themeColor="text1"/>
          <w:sz w:val="30"/>
          <w:szCs w:val="30"/>
          <w14:textFill>
            <w14:solidFill>
              <w14:schemeClr w14:val="tx1"/>
            </w14:solidFill>
          </w14:textFill>
        </w:rPr>
      </w:pPr>
    </w:p>
    <w:p w14:paraId="25A93F89">
      <w:pPr>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68F71E8B">
      <w:pPr>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6B5BA80A">
      <w:pPr>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364A76E7">
      <w:pPr>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61C04BB7">
      <w:pPr>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2925967B">
      <w:pPr>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220AAED9">
      <w:pPr>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0EE27D39">
      <w:pPr>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21EAA4A3">
      <w:pPr>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09BC5CB3">
      <w:pPr>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附件3：投诉书范本及制作说明</w:t>
      </w:r>
    </w:p>
    <w:p w14:paraId="1A3D0696">
      <w:pPr>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投诉书范本</w:t>
      </w:r>
    </w:p>
    <w:p w14:paraId="32326DE1">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一、投诉相关主体基本情况</w:t>
      </w:r>
    </w:p>
    <w:p w14:paraId="53AE0BDB">
      <w:pPr>
        <w:spacing w:line="360" w:lineRule="auto"/>
        <w:ind w:left="120" w:firstLine="22"/>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w:t>
      </w:r>
      <w:r>
        <w:rPr>
          <w:rFonts w:hint="eastAsia" w:ascii="宋体" w:hAnsi="宋体" w:cs="宋体"/>
          <w:color w:val="000000" w:themeColor="text1"/>
          <w:sz w:val="24"/>
          <w:u w:val="dotted"/>
          <w14:textFill>
            <w14:solidFill>
              <w14:schemeClr w14:val="tx1"/>
            </w14:solidFill>
          </w14:textFill>
        </w:rPr>
        <w:t xml:space="preserve">                                               </w:t>
      </w:r>
    </w:p>
    <w:p w14:paraId="5709B676">
      <w:pPr>
        <w:spacing w:line="360" w:lineRule="auto"/>
        <w:ind w:left="120" w:firstLine="2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2AA9A7E8">
      <w:pPr>
        <w:tabs>
          <w:tab w:val="left" w:pos="6510"/>
        </w:tabs>
        <w:spacing w:line="360" w:lineRule="auto"/>
        <w:ind w:left="120" w:firstLine="22"/>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法定代表人/主要负责人：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499B3D5B">
      <w:pPr>
        <w:tabs>
          <w:tab w:val="left" w:pos="6510"/>
        </w:tabs>
        <w:spacing w:line="360" w:lineRule="auto"/>
        <w:ind w:left="120" w:firstLine="22"/>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638DB03C">
      <w:pPr>
        <w:spacing w:line="360" w:lineRule="auto"/>
        <w:ind w:left="120" w:firstLine="22"/>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4DAEE861">
      <w:pPr>
        <w:spacing w:line="360" w:lineRule="auto"/>
        <w:ind w:left="120" w:firstLine="22"/>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dotted"/>
          <w14:textFill>
            <w14:solidFill>
              <w14:schemeClr w14:val="tx1"/>
            </w14:solidFill>
          </w14:textFill>
        </w:rPr>
        <w:t xml:space="preserve">                   </w:t>
      </w:r>
    </w:p>
    <w:p w14:paraId="4A15B15F">
      <w:pPr>
        <w:spacing w:line="360" w:lineRule="auto"/>
        <w:ind w:left="120" w:firstLine="2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被投诉人1：</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3D426513">
      <w:pPr>
        <w:spacing w:line="360" w:lineRule="auto"/>
        <w:ind w:left="120" w:firstLine="2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372C6265">
      <w:pPr>
        <w:spacing w:line="360" w:lineRule="auto"/>
        <w:ind w:left="120" w:firstLine="2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3CC78406">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被投诉人2</w:t>
      </w:r>
    </w:p>
    <w:p w14:paraId="4D20B105">
      <w:pPr>
        <w:spacing w:line="360" w:lineRule="auto"/>
        <w:ind w:left="120" w:firstLine="22"/>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7A33FAA8">
      <w:pPr>
        <w:spacing w:line="360" w:lineRule="auto"/>
        <w:ind w:left="120" w:firstLine="2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相关供应商：</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37240A2D">
      <w:pPr>
        <w:spacing w:line="360" w:lineRule="auto"/>
        <w:ind w:left="120" w:firstLine="2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7CA71FA9">
      <w:pPr>
        <w:spacing w:line="360" w:lineRule="auto"/>
        <w:ind w:left="120" w:firstLine="2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327682E4">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二、投诉项目基本情况</w:t>
      </w:r>
    </w:p>
    <w:p w14:paraId="07883F45">
      <w:pPr>
        <w:spacing w:line="360" w:lineRule="auto"/>
        <w:ind w:left="120" w:firstLine="22"/>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采购项目名称：</w:t>
      </w:r>
      <w:r>
        <w:rPr>
          <w:rFonts w:hint="eastAsia" w:ascii="宋体" w:hAnsi="宋体" w:cs="宋体"/>
          <w:color w:val="000000" w:themeColor="text1"/>
          <w:sz w:val="24"/>
          <w:u w:val="dotted"/>
          <w14:textFill>
            <w14:solidFill>
              <w14:schemeClr w14:val="tx1"/>
            </w14:solidFill>
          </w14:textFill>
        </w:rPr>
        <w:t xml:space="preserve">                                        </w:t>
      </w:r>
    </w:p>
    <w:p w14:paraId="10EFF6C3">
      <w:pPr>
        <w:spacing w:line="360" w:lineRule="auto"/>
        <w:ind w:left="120" w:firstLine="2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60DA4F42">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321F8E90">
      <w:pPr>
        <w:spacing w:line="360" w:lineRule="auto"/>
        <w:ind w:left="120" w:firstLine="2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代理机构名称：</w:t>
      </w:r>
      <w:r>
        <w:rPr>
          <w:rFonts w:hint="eastAsia" w:ascii="宋体" w:hAnsi="宋体" w:cs="宋体"/>
          <w:color w:val="000000" w:themeColor="text1"/>
          <w:sz w:val="24"/>
          <w:u w:val="dotted"/>
          <w14:textFill>
            <w14:solidFill>
              <w14:schemeClr w14:val="tx1"/>
            </w14:solidFill>
          </w14:textFill>
        </w:rPr>
        <w:t xml:space="preserve">                                         </w:t>
      </w:r>
    </w:p>
    <w:p w14:paraId="7FAD0040">
      <w:pPr>
        <w:spacing w:line="360" w:lineRule="auto"/>
        <w:ind w:left="120" w:firstLine="22"/>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2AEFA491">
      <w:pPr>
        <w:spacing w:line="360" w:lineRule="auto"/>
        <w:ind w:left="120" w:firstLine="2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采购结果公告: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46891855">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三、质疑基本情况</w:t>
      </w:r>
    </w:p>
    <w:p w14:paraId="14773D90">
      <w:pPr>
        <w:spacing w:line="360" w:lineRule="auto"/>
        <w:ind w:left="120" w:firstLine="480" w:firstLineChars="200"/>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日,向</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提出质疑，质疑事项为：</w:t>
      </w:r>
      <w:r>
        <w:rPr>
          <w:rFonts w:hint="eastAsia" w:ascii="宋体" w:hAnsi="宋体" w:cs="宋体"/>
          <w:color w:val="000000" w:themeColor="text1"/>
          <w:sz w:val="24"/>
          <w:u w:val="dotted"/>
          <w14:textFill>
            <w14:solidFill>
              <w14:schemeClr w14:val="tx1"/>
            </w14:solidFill>
          </w14:textFill>
        </w:rPr>
        <w:t xml:space="preserve">                                </w:t>
      </w:r>
    </w:p>
    <w:p w14:paraId="3D817822">
      <w:pPr>
        <w:spacing w:line="360" w:lineRule="auto"/>
        <w:ind w:left="120" w:firstLine="22"/>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2AEA7A62">
      <w:pPr>
        <w:spacing w:line="360" w:lineRule="auto"/>
        <w:ind w:left="120"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采购人/代理机构</w:t>
      </w:r>
      <w:r>
        <w:rPr>
          <w:rFonts w:hint="eastAsia" w:ascii="宋体" w:hAnsi="宋体" w:cs="宋体"/>
          <w:color w:val="000000" w:themeColor="text1"/>
          <w:sz w:val="24"/>
          <w14:textFill>
            <w14:solidFill>
              <w14:schemeClr w14:val="tx1"/>
            </w14:solidFill>
          </w14:textFill>
        </w:rPr>
        <w:t>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日,就质疑事项作出了答复/没有在法定期限内作出答复。</w:t>
      </w:r>
    </w:p>
    <w:p w14:paraId="0065C6C4">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四、投诉事项具体内容</w:t>
      </w:r>
    </w:p>
    <w:p w14:paraId="5B86F36A">
      <w:pPr>
        <w:spacing w:line="360" w:lineRule="auto"/>
        <w:ind w:left="120" w:firstLine="2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 1：</w:t>
      </w:r>
      <w:r>
        <w:rPr>
          <w:rFonts w:hint="eastAsia" w:ascii="宋体" w:hAnsi="宋体" w:cs="宋体"/>
          <w:color w:val="000000" w:themeColor="text1"/>
          <w:sz w:val="24"/>
          <w:u w:val="dotted"/>
          <w14:textFill>
            <w14:solidFill>
              <w14:schemeClr w14:val="tx1"/>
            </w14:solidFill>
          </w14:textFill>
        </w:rPr>
        <w:t xml:space="preserve">                                       </w:t>
      </w:r>
    </w:p>
    <w:p w14:paraId="63351BC6">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0777633C">
      <w:pPr>
        <w:spacing w:line="360" w:lineRule="auto"/>
        <w:ind w:left="120" w:firstLine="22"/>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0A26A248">
      <w:pPr>
        <w:spacing w:line="360" w:lineRule="auto"/>
        <w:ind w:left="120" w:firstLine="2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072C6174">
      <w:pPr>
        <w:spacing w:line="360" w:lineRule="auto"/>
        <w:ind w:left="120" w:firstLine="22"/>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4CA34295">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投诉事项2</w:t>
      </w:r>
    </w:p>
    <w:p w14:paraId="2E3E24BF">
      <w:pPr>
        <w:spacing w:line="360" w:lineRule="auto"/>
        <w:ind w:left="120" w:firstLine="22"/>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21148C54">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五、与投诉事项相关的投诉请求</w:t>
      </w:r>
    </w:p>
    <w:p w14:paraId="2C583D4C">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50344AB9">
      <w:pPr>
        <w:spacing w:line="360" w:lineRule="auto"/>
        <w:ind w:left="120" w:firstLine="2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01238B4E">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4BA3D89F">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67BA28D2">
      <w:pPr>
        <w:spacing w:line="360" w:lineRule="auto"/>
        <w:ind w:left="120" w:firstLine="22"/>
        <w:rPr>
          <w:rFonts w:hint="eastAsia" w:ascii="宋体" w:hAnsi="宋体" w:cs="宋体"/>
          <w:b/>
          <w:color w:val="000000" w:themeColor="text1"/>
          <w:sz w:val="24"/>
          <w14:textFill>
            <w14:solidFill>
              <w14:schemeClr w14:val="tx1"/>
            </w14:solidFill>
          </w14:textFill>
        </w:rPr>
      </w:pPr>
    </w:p>
    <w:p w14:paraId="6BBCFC85">
      <w:pPr>
        <w:spacing w:line="360" w:lineRule="auto"/>
        <w:ind w:left="120" w:firstLine="22"/>
        <w:rPr>
          <w:rFonts w:hint="eastAsia" w:ascii="宋体" w:hAnsi="宋体" w:cs="宋体"/>
          <w:b/>
          <w:color w:val="000000" w:themeColor="text1"/>
          <w:sz w:val="24"/>
          <w14:textFill>
            <w14:solidFill>
              <w14:schemeClr w14:val="tx1"/>
            </w14:solidFill>
          </w14:textFill>
        </w:rPr>
      </w:pPr>
    </w:p>
    <w:p w14:paraId="4C305A4D">
      <w:pPr>
        <w:pageBreakBefore/>
        <w:spacing w:line="360" w:lineRule="auto"/>
        <w:ind w:left="119" w:firstLine="23"/>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投诉书制作说明：</w:t>
      </w:r>
    </w:p>
    <w:p w14:paraId="760509AC">
      <w:pPr>
        <w:widowControl/>
        <w:spacing w:line="360" w:lineRule="auto"/>
        <w:ind w:left="120"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14:paraId="3A50F330">
      <w:pPr>
        <w:widowControl/>
        <w:spacing w:line="360" w:lineRule="auto"/>
        <w:ind w:left="120"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4E8E3AE6">
      <w:pPr>
        <w:widowControl/>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3.投诉人若对项目的某一分包进行投诉，投诉书应列明具体分包号。</w:t>
      </w:r>
    </w:p>
    <w:p w14:paraId="417667D1">
      <w:pPr>
        <w:widowControl/>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4.投诉书应简要列明质疑事项，质疑函、质疑答复等作为附件材料提供。</w:t>
      </w:r>
    </w:p>
    <w:p w14:paraId="767983BB">
      <w:pPr>
        <w:widowControl/>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5.投诉书的投诉事项应具体、明确，并有必要的事实依据和法律依据。</w:t>
      </w:r>
    </w:p>
    <w:p w14:paraId="2EBF8FBA">
      <w:pPr>
        <w:widowControl/>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6.投诉书的投诉请求应与投诉事项相关。</w:t>
      </w:r>
    </w:p>
    <w:p w14:paraId="05F9908A">
      <w:pPr>
        <w:widowControl/>
        <w:spacing w:line="360" w:lineRule="auto"/>
        <w:ind w:left="120"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522AB9ED">
      <w:pPr>
        <w:spacing w:line="360" w:lineRule="auto"/>
        <w:ind w:left="120" w:firstLine="22"/>
        <w:rPr>
          <w:rFonts w:hint="eastAsia" w:ascii="宋体" w:hAnsi="宋体" w:cs="宋体"/>
          <w:b/>
          <w:color w:val="000000" w:themeColor="text1"/>
          <w:sz w:val="24"/>
          <w14:textFill>
            <w14:solidFill>
              <w14:schemeClr w14:val="tx1"/>
            </w14:solidFill>
          </w14:textFill>
        </w:rPr>
      </w:pPr>
    </w:p>
    <w:p w14:paraId="4C2B90FD">
      <w:pPr>
        <w:autoSpaceDE w:val="0"/>
        <w:autoSpaceDN w:val="0"/>
        <w:spacing w:line="360" w:lineRule="auto"/>
        <w:ind w:left="120" w:firstLine="22"/>
        <w:rPr>
          <w:rFonts w:hint="eastAsia" w:ascii="宋体" w:hAnsi="宋体" w:cs="宋体"/>
          <w:b/>
          <w:color w:val="000000" w:themeColor="text1"/>
          <w:spacing w:val="6"/>
          <w:sz w:val="32"/>
          <w:szCs w:val="32"/>
          <w14:textFill>
            <w14:solidFill>
              <w14:schemeClr w14:val="tx1"/>
            </w14:solidFill>
          </w14:textFill>
        </w:rPr>
      </w:pPr>
    </w:p>
    <w:p w14:paraId="3E661639">
      <w:pPr>
        <w:spacing w:line="360" w:lineRule="auto"/>
        <w:jc w:val="left"/>
        <w:rPr>
          <w:rFonts w:hint="eastAsia"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br w:type="page"/>
      </w:r>
    </w:p>
    <w:p w14:paraId="6D6F5A27">
      <w:pPr>
        <w:autoSpaceDE w:val="0"/>
        <w:autoSpaceDN w:val="0"/>
        <w:spacing w:line="360" w:lineRule="auto"/>
        <w:ind w:left="120" w:firstLine="22"/>
        <w:jc w:val="center"/>
        <w:outlineLvl w:val="1"/>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附件4：</w:t>
      </w:r>
      <w:r>
        <w:rPr>
          <w:rFonts w:hint="eastAsia" w:ascii="宋体" w:hAnsi="宋体" w:cs="宋体"/>
          <w:b/>
          <w:bCs/>
          <w:color w:val="000000" w:themeColor="text1"/>
          <w:sz w:val="32"/>
          <w:szCs w:val="32"/>
          <w14:textFill>
            <w14:solidFill>
              <w14:schemeClr w14:val="tx1"/>
            </w14:solidFill>
          </w14:textFill>
        </w:rPr>
        <w:t>业务专用章使用说明函</w:t>
      </w:r>
    </w:p>
    <w:p w14:paraId="63E27504">
      <w:pPr>
        <w:spacing w:line="360" w:lineRule="auto"/>
        <w:ind w:left="120" w:firstLine="22"/>
        <w:rPr>
          <w:rFonts w:hint="eastAsia" w:ascii="宋体" w:hAnsi="宋体" w:cs="宋体"/>
          <w:color w:val="000000" w:themeColor="text1"/>
          <w:sz w:val="24"/>
          <w:u w:val="single"/>
          <w14:textFill>
            <w14:solidFill>
              <w14:schemeClr w14:val="tx1"/>
            </w14:solidFill>
          </w14:textFill>
        </w:rPr>
      </w:pPr>
    </w:p>
    <w:p w14:paraId="01AFF532">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杭州市人民代表大会常务委员会办公厅、浙江省成套招标代理有限公司：</w:t>
      </w:r>
    </w:p>
    <w:p w14:paraId="565E315D">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你方组织的2025至2026年电子阅文服务项目【招标编号：CTZB-2025030519】</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7698B173">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14:paraId="5ADC7280">
      <w:pPr>
        <w:spacing w:line="360" w:lineRule="auto"/>
        <w:ind w:left="120" w:firstLine="22"/>
        <w:rPr>
          <w:rFonts w:hint="eastAsia" w:ascii="宋体" w:hAnsi="宋体" w:cs="宋体"/>
          <w:color w:val="000000" w:themeColor="text1"/>
          <w:sz w:val="24"/>
          <w14:textFill>
            <w14:solidFill>
              <w14:schemeClr w14:val="tx1"/>
            </w14:solidFill>
          </w14:textFill>
        </w:rPr>
      </w:pPr>
    </w:p>
    <w:p w14:paraId="56217DBA">
      <w:pPr>
        <w:spacing w:line="360" w:lineRule="auto"/>
        <w:ind w:left="120" w:firstLine="22"/>
        <w:rPr>
          <w:rFonts w:hint="eastAsia" w:ascii="宋体" w:hAnsi="宋体" w:cs="宋体"/>
          <w:color w:val="000000" w:themeColor="text1"/>
          <w:sz w:val="24"/>
          <w14:textFill>
            <w14:solidFill>
              <w14:schemeClr w14:val="tx1"/>
            </w14:solidFill>
          </w14:textFill>
        </w:rPr>
      </w:pPr>
    </w:p>
    <w:p w14:paraId="5DE1319E">
      <w:pPr>
        <w:spacing w:line="360" w:lineRule="auto"/>
        <w:ind w:left="120" w:firstLine="22"/>
        <w:rPr>
          <w:rFonts w:hint="eastAsia" w:ascii="宋体" w:hAnsi="宋体" w:cs="宋体"/>
          <w:color w:val="000000" w:themeColor="text1"/>
          <w:sz w:val="24"/>
          <w14:textFill>
            <w14:solidFill>
              <w14:schemeClr w14:val="tx1"/>
            </w14:solidFill>
          </w14:textFill>
        </w:rPr>
      </w:pPr>
    </w:p>
    <w:p w14:paraId="23396D91">
      <w:pPr>
        <w:spacing w:line="360" w:lineRule="auto"/>
        <w:ind w:left="120" w:firstLine="22"/>
        <w:rPr>
          <w:rFonts w:hint="eastAsia" w:ascii="宋体" w:hAnsi="宋体" w:cs="宋体"/>
          <w:color w:val="000000" w:themeColor="text1"/>
          <w:sz w:val="24"/>
          <w14:textFill>
            <w14:solidFill>
              <w14:schemeClr w14:val="tx1"/>
            </w14:solidFill>
          </w14:textFill>
        </w:rPr>
      </w:pPr>
    </w:p>
    <w:p w14:paraId="6D2D0E1E">
      <w:pPr>
        <w:spacing w:line="360" w:lineRule="auto"/>
        <w:ind w:left="120" w:right="480" w:firstLine="4080" w:firstLineChars="17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投标单位（法定名称章）：</w:t>
      </w:r>
    </w:p>
    <w:p w14:paraId="748388CF">
      <w:pPr>
        <w:spacing w:line="360" w:lineRule="auto"/>
        <w:ind w:left="120" w:right="1440"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75246D66">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14:paraId="1185DA2B">
      <w:pPr>
        <w:spacing w:line="360" w:lineRule="auto"/>
        <w:ind w:left="120" w:firstLine="22"/>
        <w:rPr>
          <w:rFonts w:hint="eastAsia"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14:textFill>
            <w14:solidFill>
              <w14:schemeClr w14:val="tx1"/>
            </w14:solidFill>
          </w14:textFill>
        </w:rPr>
        <w:t>投标单位法定名称章（印模）                投标单位“XX专用章”（印模）</w:t>
      </w:r>
    </w:p>
    <w:p w14:paraId="570F5DB0">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038A2061">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6508CAE1">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1D5C08EF">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6ECF8194">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29AAF2EB">
      <w:pPr>
        <w:jc w:val="center"/>
        <w:rPr>
          <w:rFonts w:hint="eastAsia"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5</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联合协议</w:t>
      </w:r>
    </w:p>
    <w:p w14:paraId="1E35E76E">
      <w:pPr>
        <w:widowControl/>
        <w:spacing w:line="360" w:lineRule="auto"/>
        <w:ind w:left="120" w:firstLine="482" w:firstLineChars="200"/>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14:paraId="14FC3A6F">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（联合体所有成员名称）</w:t>
      </w:r>
      <w:r>
        <w:rPr>
          <w:rFonts w:hint="eastAsia" w:ascii="宋体" w:hAnsi="宋体" w:cs="宋体"/>
          <w:color w:val="000000" w:themeColor="text1"/>
          <w:kern w:val="0"/>
          <w:sz w:val="24"/>
          <w14:textFill>
            <w14:solidFill>
              <w14:schemeClr w14:val="tx1"/>
            </w14:solidFill>
          </w14:textFill>
        </w:rPr>
        <w:t>自愿</w:t>
      </w:r>
      <w:r>
        <w:rPr>
          <w:rFonts w:hint="eastAsia" w:ascii="宋体" w:hAnsi="宋体" w:cs="宋体"/>
          <w:color w:val="000000" w:themeColor="text1"/>
          <w:kern w:val="0"/>
          <w:sz w:val="24"/>
          <w:lang w:val="zh-CN"/>
          <w14:textFill>
            <w14:solidFill>
              <w14:schemeClr w14:val="tx1"/>
            </w14:solidFill>
          </w14:textFill>
        </w:rPr>
        <w:t>组成一个联合体，以一个投标人的身份</w:t>
      </w:r>
      <w:r>
        <w:rPr>
          <w:rFonts w:hint="eastAsia" w:ascii="宋体" w:hAnsi="宋体" w:cs="宋体"/>
          <w:color w:val="000000" w:themeColor="text1"/>
          <w:kern w:val="0"/>
          <w:sz w:val="24"/>
          <w14:textFill>
            <w14:solidFill>
              <w14:schemeClr w14:val="tx1"/>
            </w14:solidFill>
          </w14:textFill>
        </w:rPr>
        <w:t>参加</w:t>
      </w:r>
      <w:r>
        <w:rPr>
          <w:rFonts w:hint="eastAsia" w:ascii="宋体" w:hAnsi="宋体" w:cs="宋体"/>
          <w:color w:val="000000" w:themeColor="text1"/>
          <w:sz w:val="24"/>
          <w14:textFill>
            <w14:solidFill>
              <w14:schemeClr w14:val="tx1"/>
            </w14:solidFill>
          </w14:textFill>
        </w:rPr>
        <w:t>2025至2026年电子阅文服务项目【招标编号：CTZB-2025030519】</w:t>
      </w:r>
      <w:r>
        <w:rPr>
          <w:rFonts w:hint="eastAsia" w:ascii="宋体" w:hAnsi="宋体" w:cs="宋体"/>
          <w:color w:val="000000" w:themeColor="text1"/>
          <w:kern w:val="0"/>
          <w:sz w:val="24"/>
          <w:lang w:val="zh-CN"/>
          <w14:textFill>
            <w14:solidFill>
              <w14:schemeClr w14:val="tx1"/>
            </w14:solidFill>
          </w14:textFill>
        </w:rPr>
        <w:t xml:space="preserve">投标。 </w:t>
      </w:r>
    </w:p>
    <w:p w14:paraId="2B5A7524">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一、各方一致决定，</w:t>
      </w:r>
      <w:r>
        <w:rPr>
          <w:rFonts w:hint="eastAsia" w:ascii="宋体" w:hAnsi="宋体" w:cs="宋体"/>
          <w:color w:val="000000" w:themeColor="text1"/>
          <w:kern w:val="0"/>
          <w:sz w:val="24"/>
          <w:u w:val="single"/>
          <w14:textFill>
            <w14:solidFill>
              <w14:schemeClr w14:val="tx1"/>
            </w14:solidFill>
          </w14:textFill>
        </w:rPr>
        <w:t>（某联合体成员名称）</w:t>
      </w:r>
      <w:r>
        <w:rPr>
          <w:rFonts w:hint="eastAsia" w:ascii="宋体" w:hAnsi="宋体" w:cs="宋体"/>
          <w:color w:val="000000" w:themeColor="text1"/>
          <w:kern w:val="0"/>
          <w:sz w:val="24"/>
          <w14:textFill>
            <w14:solidFill>
              <w14:schemeClr w14:val="tx1"/>
            </w14:solidFill>
          </w14:textFill>
        </w:rPr>
        <w:t>为联合体</w:t>
      </w:r>
      <w:r>
        <w:rPr>
          <w:rFonts w:hint="eastAsia" w:ascii="宋体" w:hAnsi="宋体" w:cs="宋体"/>
          <w:color w:val="000000" w:themeColor="text1"/>
          <w:kern w:val="0"/>
          <w:sz w:val="24"/>
          <w:lang w:val="zh-CN"/>
          <w14:textFill>
            <w14:solidFill>
              <w14:schemeClr w14:val="tx1"/>
            </w14:solidFill>
          </w14:textFill>
        </w:rPr>
        <w:t>牵头人</w:t>
      </w:r>
      <w:r>
        <w:rPr>
          <w:rFonts w:hint="eastAsia" w:ascii="宋体" w:hAnsi="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lang w:val="zh-CN"/>
          <w14:textFill>
            <w14:solidFill>
              <w14:schemeClr w14:val="tx1"/>
            </w14:solidFill>
          </w14:textFill>
        </w:rPr>
        <w:t>。</w:t>
      </w:r>
    </w:p>
    <w:p w14:paraId="484C9E20">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所有联合体成员各方签署授权书，授权书载明的</w:t>
      </w:r>
      <w:r>
        <w:rPr>
          <w:rFonts w:hint="eastAsia" w:ascii="宋体" w:hAnsi="宋体" w:cs="宋体"/>
          <w:color w:val="000000" w:themeColor="text1"/>
          <w:kern w:val="0"/>
          <w:sz w:val="24"/>
          <w:lang w:val="zh-CN"/>
          <w14:textFill>
            <w14:solidFill>
              <w14:schemeClr w14:val="tx1"/>
            </w14:solidFill>
          </w14:textFill>
        </w:rPr>
        <w:t>授权代表根据采购文件规定及投标内容而对采购人、采购代理机构所作的任何合法承诺，包括书面澄清及响应等均对联合投标各方产生约束力。</w:t>
      </w:r>
    </w:p>
    <w:p w14:paraId="3E5B065F">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三、本次联合投标中，分工如下：</w:t>
      </w:r>
    </w:p>
    <w:p w14:paraId="45102EB2">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（联合体成员1）</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14:paraId="18DC47BF">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2</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14:paraId="55B91F23">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39EC56C2">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四、联合体成员中小企业合同份额。</w:t>
      </w:r>
    </w:p>
    <w:p w14:paraId="3AC93089">
      <w:pPr>
        <w:snapToGrid w:val="0"/>
        <w:spacing w:line="360" w:lineRule="auto"/>
        <w:ind w:left="120" w:firstLine="22"/>
        <w:rPr>
          <w:rFonts w:hint="eastAsia"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w:t>
      </w:r>
      <w:bookmarkStart w:id="588" w:name="_Hlk101131882"/>
      <w:r>
        <w:rPr>
          <w:rFonts w:hint="eastAsia" w:ascii="宋体" w:hAnsi="宋体" w:cs="宋体"/>
          <w:color w:val="000000" w:themeColor="text1"/>
          <w:kern w:val="0"/>
          <w:sz w:val="24"/>
          <w:u w:val="single"/>
          <w14:textFill>
            <w14:solidFill>
              <w14:schemeClr w14:val="tx1"/>
            </w14:solidFill>
          </w14:textFill>
        </w:rPr>
        <w:t>联合体成员X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w:t>
      </w:r>
      <w:bookmarkEnd w:id="588"/>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w:t>
      </w:r>
      <w:bookmarkStart w:id="589" w:name="_Hlk101133598"/>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bookmarkEnd w:id="589"/>
      <w:r>
        <w:rPr>
          <w:rFonts w:hint="eastAsia" w:ascii="宋体" w:hAnsi="宋体" w:cs="宋体"/>
          <w:b/>
          <w:color w:val="000000" w:themeColor="text1"/>
          <w:kern w:val="0"/>
          <w:sz w:val="24"/>
          <w:lang w:val="zh-CN"/>
          <w14:textFill>
            <w14:solidFill>
              <w14:schemeClr w14:val="tx1"/>
            </w14:solidFill>
          </w14:textFill>
        </w:rPr>
        <w:t>）</w:t>
      </w:r>
    </w:p>
    <w:p w14:paraId="5357CC5D">
      <w:pPr>
        <w:spacing w:line="360" w:lineRule="auto"/>
        <w:ind w:left="120" w:firstLine="480" w:firstLineChars="200"/>
        <w:rPr>
          <w:rFonts w:hint="eastAsia"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bookmarkStart w:id="590" w:name="_Hlk101133173"/>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要求以联合体形式参加的项目或采购包，供应商按采购文件第一部分招标公告申请人的资格要求中规定的联合协议中中小企业、小微企业合同金额应当达到的比例要求填写。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bookmarkEnd w:id="590"/>
    </w:p>
    <w:p w14:paraId="6A47E865">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五、如果中标，</w:t>
      </w:r>
      <w:r>
        <w:rPr>
          <w:rFonts w:hint="eastAsia" w:ascii="宋体" w:hAnsi="宋体" w:cs="宋体"/>
          <w:color w:val="000000" w:themeColor="text1"/>
          <w:sz w:val="24"/>
          <w14:textFill>
            <w14:solidFill>
              <w14:schemeClr w14:val="tx1"/>
            </w14:solidFill>
          </w14:textFill>
        </w:rPr>
        <w:t>联合体各成员方共同与采购人签订合同，并就采购合同约定的事项对采购人承担连带责任。</w:t>
      </w:r>
    </w:p>
    <w:p w14:paraId="63AB5803">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六、有关本次联合投标的其他事宜：</w:t>
      </w:r>
    </w:p>
    <w:p w14:paraId="3F5C4574">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51E14F3A">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4BA946FA">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3814B5AB">
      <w:pPr>
        <w:snapToGrid w:val="0"/>
        <w:spacing w:line="360" w:lineRule="auto"/>
        <w:ind w:left="120" w:firstLine="5040" w:firstLineChars="21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0D8A3A97">
      <w:pPr>
        <w:snapToGrid w:val="0"/>
        <w:spacing w:line="360" w:lineRule="auto"/>
        <w:ind w:left="120" w:firstLine="5040" w:firstLineChars="21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0AF661B0">
      <w:pPr>
        <w:snapToGrid w:val="0"/>
        <w:spacing w:line="360" w:lineRule="auto"/>
        <w:ind w:left="120" w:right="960" w:firstLine="22"/>
        <w:jc w:val="center"/>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290E6492">
      <w:pPr>
        <w:snapToGrid w:val="0"/>
        <w:spacing w:line="360" w:lineRule="auto"/>
        <w:ind w:left="120" w:firstLine="22"/>
        <w:jc w:val="righ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14:paraId="28350165">
      <w:pPr>
        <w:spacing w:line="360" w:lineRule="auto"/>
        <w:ind w:left="120" w:right="4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148336B1">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08D5E438">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10A0E980">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082A8CF9">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636EEC25">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3166306B">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385C3EB4">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45DE6452">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7FBB6AF6">
      <w:pPr>
        <w:pStyle w:val="2"/>
        <w:rPr>
          <w:rFonts w:hint="eastAsia"/>
          <w:color w:val="000000" w:themeColor="text1"/>
          <w14:textFill>
            <w14:solidFill>
              <w14:schemeClr w14:val="tx1"/>
            </w14:solidFill>
          </w14:textFill>
        </w:rPr>
      </w:pPr>
    </w:p>
    <w:p w14:paraId="54036304">
      <w:pPr>
        <w:pStyle w:val="2"/>
        <w:ind w:firstLine="665"/>
        <w:rPr>
          <w:rFonts w:hint="eastAsia" w:ascii="宋体" w:hAnsi="宋体" w:cs="宋体"/>
          <w:b/>
          <w:color w:val="000000" w:themeColor="text1"/>
          <w:spacing w:val="6"/>
          <w:sz w:val="32"/>
          <w:szCs w:val="32"/>
          <w14:textFill>
            <w14:solidFill>
              <w14:schemeClr w14:val="tx1"/>
            </w14:solidFill>
          </w14:textFill>
        </w:rPr>
      </w:pPr>
    </w:p>
    <w:p w14:paraId="20FA6FD7">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42A14759">
      <w:pPr>
        <w:widowControl/>
        <w:adjustRightInd/>
        <w:jc w:val="cente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6</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14:textFill>
            <w14:solidFill>
              <w14:schemeClr w14:val="tx1"/>
            </w14:solidFill>
          </w14:textFill>
        </w:rPr>
        <w:t>分包意向协议</w:t>
      </w:r>
    </w:p>
    <w:p w14:paraId="403AFCAC">
      <w:pPr>
        <w:widowControl/>
        <w:spacing w:line="360" w:lineRule="auto"/>
        <w:ind w:left="120" w:firstLine="120" w:firstLineChars="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14:paraId="31FC1612">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若成为</w:t>
      </w:r>
      <w:r>
        <w:rPr>
          <w:rFonts w:hint="eastAsia" w:ascii="宋体" w:hAnsi="宋体" w:cs="宋体"/>
          <w:color w:val="000000" w:themeColor="text1"/>
          <w:sz w:val="24"/>
          <w14:textFill>
            <w14:solidFill>
              <w14:schemeClr w14:val="tx1"/>
            </w14:solidFill>
          </w14:textFill>
        </w:rPr>
        <w:t>2025至2026年电子阅文服务项目【招标编号：CTZB-2025030519】</w:t>
      </w:r>
      <w:r>
        <w:rPr>
          <w:rFonts w:hint="eastAsia" w:ascii="宋体" w:hAnsi="宋体" w:cs="宋体"/>
          <w:color w:val="000000" w:themeColor="text1"/>
          <w:kern w:val="0"/>
          <w:sz w:val="24"/>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与</w:t>
      </w:r>
      <w:r>
        <w:rPr>
          <w:rFonts w:hint="eastAsia" w:ascii="宋体" w:hAnsi="宋体" w:cs="宋体"/>
          <w:color w:val="000000" w:themeColor="text1"/>
          <w:kern w:val="0"/>
          <w:sz w:val="24"/>
          <w:u w:val="single"/>
          <w14:textFill>
            <w14:solidFill>
              <w14:schemeClr w14:val="tx1"/>
            </w14:solidFill>
          </w14:textFill>
        </w:rPr>
        <w:t>（所有分包供应商名称）</w:t>
      </w:r>
      <w:r>
        <w:rPr>
          <w:rFonts w:hint="eastAsia" w:ascii="宋体" w:hAnsi="宋体" w:cs="宋体"/>
          <w:color w:val="000000" w:themeColor="text1"/>
          <w:kern w:val="0"/>
          <w:sz w:val="24"/>
          <w14:textFill>
            <w14:solidFill>
              <w14:schemeClr w14:val="tx1"/>
            </w14:solidFill>
          </w14:textFill>
        </w:rPr>
        <w:t>达成分包意向协议</w:t>
      </w:r>
      <w:r>
        <w:rPr>
          <w:rFonts w:hint="eastAsia" w:ascii="宋体" w:hAnsi="宋体" w:cs="宋体"/>
          <w:color w:val="000000" w:themeColor="text1"/>
          <w:kern w:val="0"/>
          <w:sz w:val="24"/>
          <w:lang w:val="zh-CN"/>
          <w14:textFill>
            <w14:solidFill>
              <w14:schemeClr w14:val="tx1"/>
            </w14:solidFill>
          </w14:textFill>
        </w:rPr>
        <w:t xml:space="preserve">。 </w:t>
      </w:r>
    </w:p>
    <w:p w14:paraId="2EE7843C">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一、分包标的及数量</w:t>
      </w:r>
    </w:p>
    <w:p w14:paraId="02C8C785">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将</w:t>
      </w:r>
      <w:r>
        <w:rPr>
          <w:rFonts w:hint="eastAsia" w:ascii="宋体" w:hAnsi="宋体" w:cs="宋体"/>
          <w:color w:val="000000" w:themeColor="text1"/>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XX工作内容   </w:t>
      </w:r>
      <w:r>
        <w:rPr>
          <w:rFonts w:hint="eastAsia" w:ascii="宋体" w:hAnsi="宋体" w:cs="宋体"/>
          <w:color w:val="000000" w:themeColor="text1"/>
          <w:sz w:val="24"/>
          <w14:textFill>
            <w14:solidFill>
              <w14:schemeClr w14:val="tx1"/>
            </w14:solidFill>
          </w14:textFill>
        </w:rPr>
        <w:t>分包给</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（分包供应商2名称），</w:t>
      </w:r>
      <w:r>
        <w:rPr>
          <w:rFonts w:hint="eastAsia" w:ascii="宋体" w:hAnsi="宋体" w:cs="宋体"/>
          <w:color w:val="000000" w:themeColor="text1"/>
          <w:kern w:val="0"/>
          <w:sz w:val="24"/>
          <w:lang w:val="zh-CN"/>
          <w14:textFill>
            <w14:solidFill>
              <w14:schemeClr w14:val="tx1"/>
            </w14:solidFill>
          </w14:textFill>
        </w:rPr>
        <w:t>具备承</w:t>
      </w:r>
      <w:r>
        <w:rPr>
          <w:rFonts w:hint="eastAsia" w:ascii="宋体" w:hAnsi="宋体" w:cs="宋体"/>
          <w:color w:val="000000" w:themeColor="text1"/>
          <w:kern w:val="0"/>
          <w:sz w:val="24"/>
          <w14:textFill>
            <w14:solidFill>
              <w14:schemeClr w14:val="tx1"/>
            </w14:solidFill>
          </w14:textFill>
        </w:rPr>
        <w:t>担</w:t>
      </w:r>
      <w:r>
        <w:rPr>
          <w:rFonts w:hint="eastAsia" w:ascii="宋体" w:hAnsi="宋体" w:cs="宋体"/>
          <w:color w:val="000000" w:themeColor="text1"/>
          <w:kern w:val="0"/>
          <w:sz w:val="24"/>
          <w:u w:val="single"/>
          <w:lang w:val="zh-CN"/>
          <w14:textFill>
            <w14:solidFill>
              <w14:schemeClr w14:val="tx1"/>
            </w14:solidFill>
          </w14:textFill>
        </w:rPr>
        <w:t>XX工作内容</w:t>
      </w:r>
      <w:r>
        <w:rPr>
          <w:rFonts w:hint="eastAsia" w:ascii="宋体" w:hAnsi="宋体" w:cs="宋体"/>
          <w:color w:val="000000" w:themeColor="text1"/>
          <w:kern w:val="0"/>
          <w:sz w:val="24"/>
          <w:lang w:val="zh-CN"/>
          <w14:textFill>
            <w14:solidFill>
              <w14:schemeClr w14:val="tx1"/>
            </w14:solidFill>
          </w14:textFill>
        </w:rPr>
        <w:t>相应资质条件且不得再次分包；</w:t>
      </w:r>
    </w:p>
    <w:p w14:paraId="6B9AE4FF">
      <w:pPr>
        <w:spacing w:line="360" w:lineRule="auto"/>
        <w:ind w:left="120" w:firstLine="22"/>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p w14:paraId="305006DF">
      <w:pPr>
        <w:spacing w:line="360" w:lineRule="auto"/>
        <w:ind w:left="120" w:firstLine="2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 xml:space="preserve"> </w:t>
      </w:r>
    </w:p>
    <w:p w14:paraId="092469B7">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二、分包供应商中小企业合同份额</w:t>
      </w:r>
    </w:p>
    <w:p w14:paraId="54F836A5">
      <w:pPr>
        <w:snapToGrid w:val="0"/>
        <w:spacing w:line="360" w:lineRule="auto"/>
        <w:ind w:left="120" w:firstLine="22"/>
        <w:rPr>
          <w:rFonts w:hint="eastAsia" w:ascii="宋体" w:hAnsi="宋体" w:cs="宋体"/>
          <w:b/>
          <w:color w:val="000000" w:themeColor="text1"/>
          <w:kern w:val="0"/>
          <w:sz w:val="24"/>
          <w:lang w:val="zh-CN"/>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（分包供应商X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……）提供的服务全部由小微企业承接，</w:t>
      </w:r>
      <w:r>
        <w:rPr>
          <w:rFonts w:hint="eastAsia" w:ascii="宋体" w:hAnsi="宋体" w:cs="宋体"/>
          <w:color w:val="000000" w:themeColor="text1"/>
          <w:kern w:val="0"/>
          <w:sz w:val="24"/>
          <w14:textFill>
            <w14:solidFill>
              <w14:schemeClr w14:val="tx1"/>
            </w14:solidFill>
          </w14:textFill>
        </w:rPr>
        <w:t>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51553560">
      <w:pPr>
        <w:spacing w:line="360" w:lineRule="auto"/>
        <w:ind w:left="120" w:firstLine="480" w:firstLineChars="200"/>
        <w:rPr>
          <w:rFonts w:hint="eastAsia"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要求合同分包形式参加的项目或采购包，供应商按采购文件第一部分招标公告申请人的资格要求中规定的</w:t>
      </w:r>
      <w:r>
        <w:rPr>
          <w:rFonts w:hint="eastAsia" w:ascii="宋体" w:hAnsi="宋体" w:cs="宋体"/>
          <w:b/>
          <w:color w:val="000000" w:themeColor="text1"/>
          <w:kern w:val="0"/>
          <w:sz w:val="24"/>
          <w:lang w:val="zh-CN"/>
          <w14:textFill>
            <w14:solidFill>
              <w14:schemeClr w14:val="tx1"/>
            </w14:solidFill>
          </w14:textFill>
        </w:rPr>
        <w:t>分包意向协议</w:t>
      </w:r>
      <w:r>
        <w:rPr>
          <w:rFonts w:hint="eastAsia" w:ascii="宋体" w:hAnsi="宋体" w:cs="宋体"/>
          <w:b/>
          <w:bCs/>
          <w:color w:val="000000" w:themeColor="text1"/>
          <w:sz w:val="24"/>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p>
    <w:p w14:paraId="4CED911F">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三、分包工作履行期限、地点、方式</w:t>
      </w:r>
    </w:p>
    <w:p w14:paraId="50E525A8">
      <w:pPr>
        <w:snapToGrid w:val="0"/>
        <w:spacing w:line="360" w:lineRule="auto"/>
        <w:ind w:left="120" w:firstLine="22"/>
        <w:rPr>
          <w:rFonts w:hint="eastAsia" w:ascii="宋体" w:hAnsi="宋体" w:cs="宋体"/>
          <w:color w:val="000000" w:themeColor="text1"/>
          <w:u w:val="single"/>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01E27E3E">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四、质量</w:t>
      </w:r>
    </w:p>
    <w:p w14:paraId="6911CCB0">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6AE676AC">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五、价款或者报酬</w:t>
      </w:r>
    </w:p>
    <w:p w14:paraId="26638332">
      <w:pPr>
        <w:snapToGrid w:val="0"/>
        <w:spacing w:line="360" w:lineRule="auto"/>
        <w:ind w:left="573" w:leftChars="273"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52ACDF6B">
      <w:pPr>
        <w:snapToGrid w:val="0"/>
        <w:spacing w:line="360" w:lineRule="auto"/>
        <w:ind w:left="573" w:leftChars="273"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六、违约责任</w:t>
      </w:r>
    </w:p>
    <w:p w14:paraId="4D03E5EF">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2998E867">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七、争议解决的办法</w:t>
      </w:r>
    </w:p>
    <w:p w14:paraId="6A188471">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499DD8C3">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八、其他</w:t>
      </w:r>
    </w:p>
    <w:p w14:paraId="47919864">
      <w:pPr>
        <w:snapToGrid w:val="0"/>
        <w:spacing w:line="360" w:lineRule="auto"/>
        <w:ind w:left="5758" w:leftChars="342" w:hanging="5040" w:hangingChars="21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                                           投标人名称(电子签名)：</w:t>
      </w:r>
    </w:p>
    <w:p w14:paraId="37900F38">
      <w:pPr>
        <w:snapToGrid w:val="0"/>
        <w:spacing w:line="360" w:lineRule="auto"/>
        <w:ind w:left="120" w:firstLine="22"/>
        <w:jc w:val="righ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分包供应商名称(电子签名/公章)：</w:t>
      </w:r>
    </w:p>
    <w:p w14:paraId="2CA4977C">
      <w:pPr>
        <w:snapToGrid w:val="0"/>
        <w:spacing w:line="360" w:lineRule="auto"/>
        <w:ind w:left="120" w:firstLine="5760" w:firstLineChars="24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4154361B">
      <w:pPr>
        <w:snapToGrid w:val="0"/>
        <w:spacing w:line="360" w:lineRule="auto"/>
        <w:ind w:left="5758" w:leftChars="342" w:hanging="5040" w:hangingChars="21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56AC7D47">
      <w:pPr>
        <w:spacing w:line="360" w:lineRule="auto"/>
        <w:ind w:left="120" w:right="4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324EF3F8">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19F24F82">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7FE0DC9B">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707C10DB">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629F86C9">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1D02B625">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0C127D37">
      <w:pPr>
        <w:pStyle w:val="2"/>
        <w:ind w:firstLine="665"/>
        <w:rPr>
          <w:rFonts w:hint="eastAsia" w:ascii="宋体" w:hAnsi="宋体" w:cs="宋体"/>
          <w:b/>
          <w:color w:val="000000" w:themeColor="text1"/>
          <w:spacing w:val="6"/>
          <w:sz w:val="32"/>
          <w:szCs w:val="32"/>
          <w14:textFill>
            <w14:solidFill>
              <w14:schemeClr w14:val="tx1"/>
            </w14:solidFill>
          </w14:textFill>
        </w:rPr>
      </w:pPr>
    </w:p>
    <w:p w14:paraId="3C5A5D4E">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71BA4742">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124CAB96">
      <w:pPr>
        <w:spacing w:line="360" w:lineRule="auto"/>
        <w:ind w:left="120" w:firstLine="22"/>
        <w:jc w:val="center"/>
        <w:outlineLvl w:val="1"/>
        <w:rPr>
          <w:rFonts w:hint="eastAsia"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附件</w:t>
      </w:r>
      <w:r>
        <w:rPr>
          <w:rFonts w:ascii="宋体" w:hAnsi="宋体" w:cs="宋体"/>
          <w:b/>
          <w:color w:val="000000" w:themeColor="text1"/>
          <w:sz w:val="36"/>
          <w:szCs w:val="20"/>
          <w14:textFill>
            <w14:solidFill>
              <w14:schemeClr w14:val="tx1"/>
            </w14:solidFill>
          </w14:textFill>
        </w:rPr>
        <w:t>7</w:t>
      </w:r>
      <w:r>
        <w:rPr>
          <w:rFonts w:hint="eastAsia" w:ascii="宋体" w:hAnsi="宋体" w:cs="宋体"/>
          <w:b/>
          <w:color w:val="000000" w:themeColor="text1"/>
          <w:sz w:val="36"/>
          <w:szCs w:val="20"/>
          <w14:textFill>
            <w14:solidFill>
              <w14:schemeClr w14:val="tx1"/>
            </w14:solidFill>
          </w14:textFill>
        </w:rPr>
        <w:t>：中小企业声明函</w:t>
      </w:r>
    </w:p>
    <w:p w14:paraId="225F4FAB">
      <w:pPr>
        <w:spacing w:line="360" w:lineRule="auto"/>
        <w:ind w:left="120" w:firstLine="22"/>
        <w:jc w:val="center"/>
        <w:rPr>
          <w:rFonts w:hint="eastAsia" w:ascii="宋体" w:hAnsi="宋体" w:cs="宋体"/>
          <w:color w:val="000000" w:themeColor="text1"/>
          <w:sz w:val="24"/>
          <w:u w:val="single"/>
          <w14:textFill>
            <w14:solidFill>
              <w14:schemeClr w14:val="tx1"/>
            </w14:solidFill>
          </w14:textFill>
        </w:rPr>
      </w:pPr>
    </w:p>
    <w:p w14:paraId="3D80131C">
      <w:pPr>
        <w:spacing w:line="360" w:lineRule="auto"/>
        <w:ind w:left="120" w:firstLine="22"/>
        <w:jc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中小企业声明函（服务）</w:t>
      </w:r>
    </w:p>
    <w:p w14:paraId="7569F7A7">
      <w:pPr>
        <w:spacing w:line="360" w:lineRule="auto"/>
        <w:ind w:left="120"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u w:val="single"/>
          <w14:textFill>
            <w14:solidFill>
              <w14:schemeClr w14:val="tx1"/>
            </w14:solidFill>
          </w14:textFill>
        </w:rPr>
        <w:t xml:space="preserve">杭州市人民代表大会常务委员会办公厅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 2025至2026年电子阅文服务项目</w:t>
      </w:r>
      <w:r>
        <w:rPr>
          <w:rFonts w:hint="eastAsia" w:ascii="宋体" w:hAnsi="宋体" w:cs="宋体"/>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7D4EC3BD">
      <w:pPr>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（2025至2026年电子阅文服务）</w:t>
      </w:r>
      <w:r>
        <w:rPr>
          <w:rFonts w:hint="eastAsia" w:ascii="宋体" w:hAnsi="宋体" w:cs="宋体"/>
          <w:color w:val="000000" w:themeColor="text1"/>
          <w:sz w:val="24"/>
          <w14:textFill>
            <w14:solidFill>
              <w14:schemeClr w14:val="tx1"/>
            </w14:solidFill>
          </w14:textFill>
        </w:rPr>
        <w:t>，属于</w:t>
      </w:r>
      <w:r>
        <w:rPr>
          <w:rFonts w:hint="eastAsia" w:ascii="宋体" w:hAnsi="宋体" w:cs="宋体"/>
          <w:b/>
          <w:bCs/>
          <w:color w:val="000000" w:themeColor="text1"/>
          <w:kern w:val="0"/>
          <w:sz w:val="24"/>
          <w:u w:val="single"/>
          <w14:textFill>
            <w14:solidFill>
              <w14:schemeClr w14:val="tx1"/>
            </w14:solidFill>
          </w14:textFill>
        </w:rPr>
        <w:t>软件和信息技术服务业</w:t>
      </w:r>
      <w:r>
        <w:rPr>
          <w:rFonts w:hint="eastAsia" w:ascii="宋体" w:hAnsi="宋体" w:cs="宋体"/>
          <w:color w:val="000000" w:themeColor="text1"/>
          <w:sz w:val="24"/>
          <w14:textFill>
            <w14:solidFill>
              <w14:schemeClr w14:val="tx1"/>
            </w14:solidFill>
          </w14:textFill>
        </w:rPr>
        <w:t xml:space="preserve"> ；承建（承接）企业为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14:paraId="51B83673">
      <w:pPr>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 xml:space="preserve"> （2025至2026年电子阅文服务），</w:t>
      </w:r>
      <w:r>
        <w:rPr>
          <w:rFonts w:hint="eastAsia" w:ascii="宋体" w:hAnsi="宋体" w:cs="宋体"/>
          <w:color w:val="000000" w:themeColor="text1"/>
          <w:sz w:val="24"/>
          <w14:textFill>
            <w14:solidFill>
              <w14:schemeClr w14:val="tx1"/>
            </w14:solidFill>
          </w14:textFill>
        </w:rPr>
        <w:t xml:space="preserve">属于 </w:t>
      </w:r>
      <w:r>
        <w:rPr>
          <w:rFonts w:hint="eastAsia" w:ascii="宋体" w:hAnsi="宋体" w:cs="宋体"/>
          <w:b/>
          <w:bCs/>
          <w:color w:val="000000" w:themeColor="text1"/>
          <w:kern w:val="0"/>
          <w:sz w:val="24"/>
          <w:u w:val="single"/>
          <w14:textFill>
            <w14:solidFill>
              <w14:schemeClr w14:val="tx1"/>
            </w14:solidFill>
          </w14:textFill>
        </w:rPr>
        <w:t>软件和信息技术服务业</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14:paraId="230DBF4F">
      <w:pPr>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6170F1E5">
      <w:pPr>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44FCC0DF">
      <w:pPr>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14:paraId="2F800D52">
      <w:pPr>
        <w:spacing w:line="360" w:lineRule="auto"/>
        <w:ind w:left="120" w:right="1760" w:firstLine="22"/>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投标人名称（电子签名）：</w:t>
      </w:r>
    </w:p>
    <w:p w14:paraId="5E8BC240">
      <w:pPr>
        <w:spacing w:line="360" w:lineRule="auto"/>
        <w:ind w:left="120" w:right="1120" w:firstLine="4680" w:firstLineChars="19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p>
    <w:p w14:paraId="32A80BAF">
      <w:pPr>
        <w:spacing w:line="360" w:lineRule="auto"/>
        <w:ind w:left="120" w:firstLine="310" w:firstLineChars="147"/>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从业人员、营业收入、资产总额填报上一年度数据，无上一年度数据的新成立企业可不填报。</w:t>
      </w:r>
    </w:p>
    <w:p w14:paraId="73D50AC5">
      <w:pPr>
        <w:spacing w:line="360" w:lineRule="auto"/>
        <w:ind w:left="120" w:right="420" w:firstLine="22"/>
        <w:rPr>
          <w:rFonts w:hint="eastAsia" w:ascii="宋体" w:hAnsi="宋体" w:cs="宋体"/>
          <w:color w:val="000000" w:themeColor="text1"/>
          <w:sz w:val="24"/>
          <w14:textFill>
            <w14:solidFill>
              <w14:schemeClr w14:val="tx1"/>
            </w14:solidFill>
          </w14:textFill>
        </w:rPr>
      </w:pPr>
    </w:p>
    <w:p w14:paraId="4F0B0B5F">
      <w:pPr>
        <w:spacing w:line="360" w:lineRule="auto"/>
        <w:ind w:right="4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75C01340">
      <w:pPr>
        <w:spacing w:line="360" w:lineRule="auto"/>
        <w:ind w:left="120" w:firstLine="420" w:firstLineChars="200"/>
        <w:jc w:val="left"/>
        <w:rPr>
          <w:rFonts w:hint="eastAsia" w:ascii="宋体" w:hAnsi="宋体" w:cs="宋体"/>
          <w:color w:val="000000" w:themeColor="text1"/>
          <w14:textFill>
            <w14:solidFill>
              <w14:schemeClr w14:val="tx1"/>
            </w14:solidFill>
          </w14:textFill>
        </w:rPr>
      </w:pPr>
    </w:p>
    <w:sectPr>
      <w:pgSz w:w="11906" w:h="16838"/>
      <w:pgMar w:top="1276" w:right="1417" w:bottom="1247" w:left="141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HGMaruGothicMPRO">
    <w:altName w:val="Segoe Print"/>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auto"/>
    <w:pitch w:val="default"/>
    <w:sig w:usb0="00000000" w:usb1="00000000" w:usb2="00000000" w:usb3="00000000" w:csb0="0000019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9" w:usb3="00000000" w:csb0="400001FF" w:csb1="FFFF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5D2FC">
    <w:pPr>
      <w:pStyle w:val="41"/>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40E03">
    <w:pPr>
      <w:pStyle w:val="41"/>
      <w:ind w:left="120"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91497">
    <w:pPr>
      <w:pStyle w:val="41"/>
      <w:ind w:left="120"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591" w:name="_Toc36110187"/>
    <w:bookmarkStart w:id="592" w:name="_Toc164085800"/>
    <w:bookmarkStart w:id="593" w:name="_Toc91899912"/>
    <w:bookmarkStart w:id="594" w:name="_Toc131845147"/>
    <w:r>
      <w:rPr>
        <w:rFonts w:hint="eastAsia" w:ascii="仿宋_GB2312" w:eastAsia="仿宋_GB2312"/>
        <w:kern w:val="0"/>
        <w:szCs w:val="21"/>
      </w:rPr>
      <w:t xml:space="preserve"> 页</w:t>
    </w:r>
    <w:bookmarkEnd w:id="591"/>
    <w:bookmarkEnd w:id="592"/>
    <w:bookmarkEnd w:id="593"/>
    <w:bookmarkEnd w:id="59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D91AF">
    <w:pPr>
      <w:pStyle w:val="41"/>
      <w:framePr w:wrap="around" w:vAnchor="text" w:hAnchor="margin" w:xAlign="right" w:y="1"/>
      <w:ind w:left="120" w:firstLine="360"/>
      <w:rPr>
        <w:rStyle w:val="73"/>
      </w:rPr>
    </w:pPr>
    <w:r>
      <w:fldChar w:fldCharType="begin"/>
    </w:r>
    <w:r>
      <w:rPr>
        <w:rStyle w:val="73"/>
      </w:rPr>
      <w:instrText xml:space="preserve">PAGE  </w:instrText>
    </w:r>
    <w:r>
      <w:fldChar w:fldCharType="end"/>
    </w:r>
  </w:p>
  <w:p w14:paraId="1C6ABBB2">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312C2">
    <w:pPr>
      <w:pStyle w:val="41"/>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7A1FA">
    <w:pPr>
      <w:pStyle w:val="41"/>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7DDD71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4246A">
    <w:pPr>
      <w:pStyle w:val="41"/>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4D25D4F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16799">
    <w:pPr>
      <w:pStyle w:val="41"/>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7103A8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4A8AB">
    <w:pPr>
      <w:pStyle w:val="41"/>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73776A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276DF">
    <w:pPr>
      <w:pStyle w:val="41"/>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D6741F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33B37">
    <w:pPr>
      <w:pStyle w:val="41"/>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8A375BC">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8115D">
    <w:pPr>
      <w:pStyle w:val="42"/>
      <w:pBdr>
        <w:bottom w:val="single" w:color="auto" w:sz="6" w:space="4"/>
      </w:pBdr>
      <w:ind w:left="120" w:firstLine="360"/>
      <w:jc w:val="right"/>
    </w:pPr>
    <w:r>
      <w:t></w:t>
    </w:r>
    <w:r>
      <w:rPr>
        <w:rFonts w:hint="eastAsia"/>
      </w:rPr>
      <w:t xml:space="preserve">             </w:t>
    </w:r>
    <w:r>
      <w:t>杭州市政府采购公开采购文件</w:t>
    </w:r>
  </w:p>
  <w:p w14:paraId="2DBEF055">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4AF8B">
    <w:pPr>
      <w:pStyle w:val="42"/>
      <w:ind w:left="120" w:firstLine="360"/>
    </w:pPr>
    <w:r>
      <w:t></w:t>
    </w:r>
    <w:r>
      <w:rPr>
        <w:rFonts w:hint="eastAsia"/>
      </w:rPr>
      <w:t xml:space="preserve">                                     </w:t>
    </w:r>
    <w:r>
      <w:t>杭州市政府采购公开采购文件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10B10">
    <w:pPr>
      <w:pStyle w:val="42"/>
      <w:pBdr>
        <w:bottom w:val="single" w:color="auto" w:sz="6" w:space="0"/>
      </w:pBdr>
      <w:tabs>
        <w:tab w:val="center" w:pos="4535"/>
        <w:tab w:val="right" w:pos="9070"/>
        <w:tab w:val="clear" w:pos="4153"/>
        <w:tab w:val="clear" w:pos="8306"/>
      </w:tabs>
      <w:ind w:left="120" w:firstLine="360"/>
      <w:jc w:val="right"/>
    </w:pPr>
    <w:r>
      <w:rPr>
        <w:lang w:val="zh-CN"/>
      </w:rPr>
      <w:t></w:t>
    </w:r>
    <w:r>
      <w:tab/>
    </w:r>
    <w:r>
      <w:rPr>
        <w:lang w:val="zh-CN"/>
      </w:rPr>
      <w:t></w:t>
    </w:r>
    <w:r>
      <w:tab/>
    </w:r>
    <w:r>
      <w:rPr>
        <w:lang w:val="zh-CN"/>
      </w:rPr>
      <w:t>杭州市政府采购公开采购文件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86111">
    <w:pPr>
      <w:pStyle w:val="42"/>
      <w:ind w:left="120" w:firstLine="360"/>
      <w:rPr>
        <w:rFonts w:ascii="仿宋_GB2312" w:eastAsia="仿宋_GB2312"/>
        <w:b/>
        <w:i/>
        <w:u w:val="single"/>
      </w:rPr>
    </w:pPr>
    <w:r>
      <w:t></w:t>
    </w:r>
    <w:r>
      <w:rPr>
        <w:rFonts w:hint="eastAsia"/>
      </w:rPr>
      <w:t xml:space="preserve">                                                  </w:t>
    </w:r>
    <w:r>
      <w:t xml:space="preserve">             杭州市政府采购公开采购文件</w:t>
    </w:r>
  </w:p>
  <w:p w14:paraId="0220934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FE9C9">
    <w:pPr>
      <w:pStyle w:val="42"/>
      <w:ind w:left="120" w:firstLine="360"/>
    </w:pPr>
    <w:r>
      <w:t></w:t>
    </w:r>
    <w:r>
      <w:rPr>
        <w:rFonts w:hint="eastAsia"/>
      </w:rPr>
      <w:t xml:space="preserve">         </w:t>
    </w:r>
  </w:p>
  <w:p w14:paraId="4408C173">
    <w:pPr>
      <w:pStyle w:val="42"/>
      <w:ind w:left="120" w:firstLine="360"/>
    </w:pPr>
    <w:r>
      <w:rPr>
        <w:rFonts w:hint="eastAsia"/>
      </w:rPr>
      <w:t xml:space="preserve">                                                                  </w:t>
    </w:r>
    <w:r>
      <w:t>杭州市政府采购公开采购文件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B7CFA">
    <w:pPr>
      <w:pStyle w:val="42"/>
      <w:ind w:left="120" w:firstLine="360"/>
      <w:rPr>
        <w:rFonts w:ascii="仿宋_GB2312" w:eastAsia="仿宋_GB2312"/>
        <w:b/>
        <w:i/>
        <w:u w:val="single"/>
      </w:rPr>
    </w:pPr>
    <w:r>
      <w:t></w:t>
    </w:r>
    <w:r>
      <w:rPr>
        <w:rFonts w:hint="eastAsia"/>
      </w:rPr>
      <w:t xml:space="preserve">                                           </w:t>
    </w:r>
    <w:r>
      <w:t>杭州市政府采购公开采购文件</w:t>
    </w:r>
  </w:p>
  <w:p w14:paraId="148641E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E8BDC">
    <w:pPr>
      <w:pStyle w:val="42"/>
      <w:ind w:left="120" w:firstLine="360"/>
      <w:jc w:val="right"/>
    </w:pPr>
    <w:r>
      <w:t></w:t>
    </w:r>
    <w:r>
      <w:rPr>
        <w:rFonts w:hint="eastAsia"/>
      </w:rPr>
      <w:t xml:space="preserve">                 </w:t>
    </w:r>
    <w:r>
      <w:t xml:space="preserve">                                </w:t>
    </w:r>
    <w:r>
      <w:rPr>
        <w:rFonts w:hint="eastAsia"/>
      </w:rPr>
      <w:t xml:space="preserve">         </w:t>
    </w:r>
    <w:r>
      <w:t>杭州市政府采购公开采购文件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DBF89">
    <w:pPr>
      <w:pStyle w:val="42"/>
      <w:ind w:left="120" w:firstLine="360"/>
      <w:jc w:val="right"/>
      <w:rPr>
        <w:rFonts w:ascii="仿宋_GB2312" w:eastAsia="仿宋_GB2312"/>
        <w:b/>
        <w:i/>
        <w:u w:val="single"/>
      </w:rPr>
    </w:pPr>
    <w:r>
      <w:rPr>
        <w:rFonts w:hint="eastAsia"/>
      </w:rPr>
      <w:t xml:space="preserve">                                  </w:t>
    </w:r>
    <w:r>
      <w:t>杭州市政府采购公开采购文件</w:t>
    </w:r>
  </w:p>
  <w:p w14:paraId="1B89A6C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B4468">
    <w:pPr>
      <w:pStyle w:val="42"/>
      <w:ind w:left="120" w:firstLine="360"/>
      <w:jc w:val="right"/>
    </w:pPr>
    <w:r>
      <w:rPr>
        <w:rFonts w:hint="eastAsia"/>
      </w:rPr>
      <w:t xml:space="preserve">                                                                                                        </w:t>
    </w:r>
    <w:r>
      <w:t>杭州市政府采购公开采购文件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A22B0">
    <w:pPr>
      <w:pStyle w:val="42"/>
      <w:ind w:left="120" w:firstLine="360"/>
      <w:jc w:val="right"/>
      <w:rPr>
        <w:rFonts w:ascii="仿宋_GB2312" w:eastAsia="仿宋_GB2312"/>
        <w:b/>
        <w:i/>
        <w:iCs/>
        <w:u w:val="single"/>
      </w:rPr>
    </w:pPr>
    <w:r>
      <w:t>杭州市政府采购公开采购文件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6166CA"/>
    <w:multiLevelType w:val="singleLevel"/>
    <w:tmpl w:val="956166CA"/>
    <w:lvl w:ilvl="0" w:tentative="0">
      <w:start w:val="1"/>
      <w:numFmt w:val="decimal"/>
      <w:suff w:val="space"/>
      <w:lvlText w:val="%1)"/>
      <w:lvlJc w:val="left"/>
    </w:lvl>
  </w:abstractNum>
  <w:abstractNum w:abstractNumId="1">
    <w:nsid w:val="9968AA26"/>
    <w:multiLevelType w:val="singleLevel"/>
    <w:tmpl w:val="9968AA26"/>
    <w:lvl w:ilvl="0" w:tentative="0">
      <w:start w:val="1"/>
      <w:numFmt w:val="decimal"/>
      <w:lvlText w:val="%1)"/>
      <w:lvlJc w:val="left"/>
      <w:pPr>
        <w:tabs>
          <w:tab w:val="left" w:pos="312"/>
        </w:tabs>
      </w:pPr>
    </w:lvl>
  </w:abstractNum>
  <w:abstractNum w:abstractNumId="2">
    <w:nsid w:val="D185516A"/>
    <w:multiLevelType w:val="singleLevel"/>
    <w:tmpl w:val="D185516A"/>
    <w:lvl w:ilvl="0" w:tentative="0">
      <w:start w:val="1"/>
      <w:numFmt w:val="decimal"/>
      <w:suff w:val="nothing"/>
      <w:lvlText w:val="%1）"/>
      <w:lvlJc w:val="left"/>
    </w:lvl>
  </w:abstractNum>
  <w:abstractNum w:abstractNumId="3">
    <w:nsid w:val="0053208E"/>
    <w:multiLevelType w:val="singleLevel"/>
    <w:tmpl w:val="0053208E"/>
    <w:lvl w:ilvl="0" w:tentative="0">
      <w:start w:val="1"/>
      <w:numFmt w:val="decimal"/>
      <w:suff w:val="space"/>
      <w:lvlText w:val="%1."/>
      <w:lvlJc w:val="left"/>
    </w:lvl>
  </w:abstractNum>
  <w:abstractNum w:abstractNumId="4">
    <w:nsid w:val="02C743E8"/>
    <w:multiLevelType w:val="multilevel"/>
    <w:tmpl w:val="02C743E8"/>
    <w:lvl w:ilvl="0" w:tentative="0">
      <w:start w:val="1"/>
      <w:numFmt w:val="decimal"/>
      <w:lvlText w:val="%1、"/>
      <w:lvlJc w:val="left"/>
      <w:pPr>
        <w:ind w:left="380" w:hanging="3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EAFC091"/>
    <w:multiLevelType w:val="singleLevel"/>
    <w:tmpl w:val="0EAFC091"/>
    <w:lvl w:ilvl="0" w:tentative="0">
      <w:start w:val="1"/>
      <w:numFmt w:val="decimal"/>
      <w:suff w:val="nothing"/>
      <w:lvlText w:val="%1、"/>
      <w:lvlJc w:val="left"/>
    </w:lvl>
  </w:abstractNum>
  <w:abstractNum w:abstractNumId="6">
    <w:nsid w:val="0F672371"/>
    <w:multiLevelType w:val="singleLevel"/>
    <w:tmpl w:val="0F672371"/>
    <w:lvl w:ilvl="0" w:tentative="0">
      <w:start w:val="2"/>
      <w:numFmt w:val="decimal"/>
      <w:suff w:val="nothing"/>
      <w:lvlText w:val="%1）"/>
      <w:lvlJc w:val="left"/>
    </w:lvl>
  </w:abstractNum>
  <w:abstractNum w:abstractNumId="7">
    <w:nsid w:val="6B3431E1"/>
    <w:multiLevelType w:val="singleLevel"/>
    <w:tmpl w:val="6B3431E1"/>
    <w:lvl w:ilvl="0" w:tentative="0">
      <w:start w:val="1"/>
      <w:numFmt w:val="decimal"/>
      <w:suff w:val="space"/>
      <w:lvlText w:val="%1)"/>
      <w:lvlJc w:val="left"/>
    </w:lvl>
  </w:abstractNum>
  <w:num w:numId="1">
    <w:abstractNumId w:val="6"/>
  </w:num>
  <w:num w:numId="2">
    <w:abstractNumId w:val="4"/>
  </w:num>
  <w:num w:numId="3">
    <w:abstractNumId w:val="5"/>
  </w:num>
  <w:num w:numId="4">
    <w:abstractNumId w:val="2"/>
  </w:num>
  <w:num w:numId="5">
    <w:abstractNumId w:val="1"/>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PfwjOxKDSGEAAimEyn3G+xRxP/k=" w:salt="3WgHBEPT7aoQRVnY3sAYeg=="/>
  <w:defaultTabStop w:val="42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xMzJhNjE0NzE5YjI4ZTk4MmM0YmM2MDAzMzM5MjkifQ=="/>
  </w:docVars>
  <w:rsids>
    <w:rsidRoot w:val="00172A27"/>
    <w:rsid w:val="00000451"/>
    <w:rsid w:val="0000108B"/>
    <w:rsid w:val="0000133D"/>
    <w:rsid w:val="00001509"/>
    <w:rsid w:val="00001E3F"/>
    <w:rsid w:val="000021DA"/>
    <w:rsid w:val="00002A57"/>
    <w:rsid w:val="000032B2"/>
    <w:rsid w:val="0000363B"/>
    <w:rsid w:val="0000367C"/>
    <w:rsid w:val="000058BD"/>
    <w:rsid w:val="00006109"/>
    <w:rsid w:val="00006150"/>
    <w:rsid w:val="000063E8"/>
    <w:rsid w:val="00006725"/>
    <w:rsid w:val="0000675E"/>
    <w:rsid w:val="00006AF1"/>
    <w:rsid w:val="000071E3"/>
    <w:rsid w:val="00007CAA"/>
    <w:rsid w:val="00010FE9"/>
    <w:rsid w:val="0001122F"/>
    <w:rsid w:val="000114B0"/>
    <w:rsid w:val="00011A4B"/>
    <w:rsid w:val="00012251"/>
    <w:rsid w:val="000123DE"/>
    <w:rsid w:val="00012B4A"/>
    <w:rsid w:val="00013208"/>
    <w:rsid w:val="0001337C"/>
    <w:rsid w:val="000138C4"/>
    <w:rsid w:val="00013C1F"/>
    <w:rsid w:val="00013F31"/>
    <w:rsid w:val="000140D8"/>
    <w:rsid w:val="00014530"/>
    <w:rsid w:val="00014BBC"/>
    <w:rsid w:val="000150EE"/>
    <w:rsid w:val="000168D8"/>
    <w:rsid w:val="000170C8"/>
    <w:rsid w:val="000173F4"/>
    <w:rsid w:val="00017985"/>
    <w:rsid w:val="000200C0"/>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3DDC"/>
    <w:rsid w:val="000341CA"/>
    <w:rsid w:val="00034FA7"/>
    <w:rsid w:val="0003533D"/>
    <w:rsid w:val="000357E4"/>
    <w:rsid w:val="00035ACA"/>
    <w:rsid w:val="00037C7E"/>
    <w:rsid w:val="00040447"/>
    <w:rsid w:val="00040494"/>
    <w:rsid w:val="00040611"/>
    <w:rsid w:val="00040B70"/>
    <w:rsid w:val="00042441"/>
    <w:rsid w:val="00042533"/>
    <w:rsid w:val="00042D9E"/>
    <w:rsid w:val="00042DBB"/>
    <w:rsid w:val="00042E65"/>
    <w:rsid w:val="0004347C"/>
    <w:rsid w:val="00043907"/>
    <w:rsid w:val="00044EE8"/>
    <w:rsid w:val="00044F48"/>
    <w:rsid w:val="000450C2"/>
    <w:rsid w:val="000452A7"/>
    <w:rsid w:val="00047354"/>
    <w:rsid w:val="00050656"/>
    <w:rsid w:val="00050766"/>
    <w:rsid w:val="00050A19"/>
    <w:rsid w:val="000511B6"/>
    <w:rsid w:val="00051750"/>
    <w:rsid w:val="00051B00"/>
    <w:rsid w:val="00051C72"/>
    <w:rsid w:val="00051E1D"/>
    <w:rsid w:val="00052192"/>
    <w:rsid w:val="0005238F"/>
    <w:rsid w:val="00052787"/>
    <w:rsid w:val="00052BB8"/>
    <w:rsid w:val="0005417A"/>
    <w:rsid w:val="00054D39"/>
    <w:rsid w:val="00054FCC"/>
    <w:rsid w:val="0005501B"/>
    <w:rsid w:val="000550F5"/>
    <w:rsid w:val="00055337"/>
    <w:rsid w:val="000554C7"/>
    <w:rsid w:val="000559B0"/>
    <w:rsid w:val="00056145"/>
    <w:rsid w:val="00056402"/>
    <w:rsid w:val="0005677F"/>
    <w:rsid w:val="00056791"/>
    <w:rsid w:val="00056868"/>
    <w:rsid w:val="00056876"/>
    <w:rsid w:val="000568DF"/>
    <w:rsid w:val="00056D5F"/>
    <w:rsid w:val="000578A3"/>
    <w:rsid w:val="000579DD"/>
    <w:rsid w:val="00057D4C"/>
    <w:rsid w:val="00060C48"/>
    <w:rsid w:val="0006148B"/>
    <w:rsid w:val="000614E4"/>
    <w:rsid w:val="00061A3C"/>
    <w:rsid w:val="00061C48"/>
    <w:rsid w:val="00061DCC"/>
    <w:rsid w:val="0006256D"/>
    <w:rsid w:val="00064278"/>
    <w:rsid w:val="000646CA"/>
    <w:rsid w:val="00064D0B"/>
    <w:rsid w:val="000665C4"/>
    <w:rsid w:val="00066965"/>
    <w:rsid w:val="00067821"/>
    <w:rsid w:val="0006785E"/>
    <w:rsid w:val="00067AFB"/>
    <w:rsid w:val="00067F92"/>
    <w:rsid w:val="00067FA7"/>
    <w:rsid w:val="0007038E"/>
    <w:rsid w:val="0007077C"/>
    <w:rsid w:val="00070825"/>
    <w:rsid w:val="00070D38"/>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F93"/>
    <w:rsid w:val="00077577"/>
    <w:rsid w:val="00077607"/>
    <w:rsid w:val="00077756"/>
    <w:rsid w:val="00077B7F"/>
    <w:rsid w:val="000808C1"/>
    <w:rsid w:val="00080970"/>
    <w:rsid w:val="00081671"/>
    <w:rsid w:val="0008189F"/>
    <w:rsid w:val="0008237F"/>
    <w:rsid w:val="00082AD4"/>
    <w:rsid w:val="00083E07"/>
    <w:rsid w:val="00084A3E"/>
    <w:rsid w:val="00084D27"/>
    <w:rsid w:val="00084ED6"/>
    <w:rsid w:val="00085391"/>
    <w:rsid w:val="0008580E"/>
    <w:rsid w:val="00085A0E"/>
    <w:rsid w:val="00085C4F"/>
    <w:rsid w:val="000866B4"/>
    <w:rsid w:val="00086EFD"/>
    <w:rsid w:val="00086F8A"/>
    <w:rsid w:val="00087031"/>
    <w:rsid w:val="00087A16"/>
    <w:rsid w:val="00090243"/>
    <w:rsid w:val="000904F6"/>
    <w:rsid w:val="00090918"/>
    <w:rsid w:val="00090ED8"/>
    <w:rsid w:val="00090F9F"/>
    <w:rsid w:val="00091456"/>
    <w:rsid w:val="0009145F"/>
    <w:rsid w:val="0009184E"/>
    <w:rsid w:val="00091B4E"/>
    <w:rsid w:val="00091FFC"/>
    <w:rsid w:val="00092467"/>
    <w:rsid w:val="00092FE9"/>
    <w:rsid w:val="000936BF"/>
    <w:rsid w:val="0009382F"/>
    <w:rsid w:val="00093A30"/>
    <w:rsid w:val="00094342"/>
    <w:rsid w:val="000945BA"/>
    <w:rsid w:val="00095954"/>
    <w:rsid w:val="00095B3E"/>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B6A"/>
    <w:rsid w:val="000B0E04"/>
    <w:rsid w:val="000B1D51"/>
    <w:rsid w:val="000B268D"/>
    <w:rsid w:val="000B291B"/>
    <w:rsid w:val="000B372E"/>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44"/>
    <w:rsid w:val="000C51AD"/>
    <w:rsid w:val="000C5374"/>
    <w:rsid w:val="000C54B6"/>
    <w:rsid w:val="000C5EC0"/>
    <w:rsid w:val="000C6162"/>
    <w:rsid w:val="000C64CC"/>
    <w:rsid w:val="000C6688"/>
    <w:rsid w:val="000C692E"/>
    <w:rsid w:val="000C6B28"/>
    <w:rsid w:val="000C7BEB"/>
    <w:rsid w:val="000D0124"/>
    <w:rsid w:val="000D0EFB"/>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19B1"/>
    <w:rsid w:val="000E2785"/>
    <w:rsid w:val="000E27BB"/>
    <w:rsid w:val="000E3153"/>
    <w:rsid w:val="000E329B"/>
    <w:rsid w:val="000E3484"/>
    <w:rsid w:val="000E386F"/>
    <w:rsid w:val="000E3A51"/>
    <w:rsid w:val="000E4051"/>
    <w:rsid w:val="000E4139"/>
    <w:rsid w:val="000E4765"/>
    <w:rsid w:val="000E5B51"/>
    <w:rsid w:val="000E5B7E"/>
    <w:rsid w:val="000E5F26"/>
    <w:rsid w:val="000E5FF9"/>
    <w:rsid w:val="000E6AE1"/>
    <w:rsid w:val="000E7142"/>
    <w:rsid w:val="000E7632"/>
    <w:rsid w:val="000E7737"/>
    <w:rsid w:val="000E7739"/>
    <w:rsid w:val="000E77EE"/>
    <w:rsid w:val="000F1604"/>
    <w:rsid w:val="000F287A"/>
    <w:rsid w:val="000F2940"/>
    <w:rsid w:val="000F2AB3"/>
    <w:rsid w:val="000F38FF"/>
    <w:rsid w:val="000F3D08"/>
    <w:rsid w:val="000F4495"/>
    <w:rsid w:val="000F4A05"/>
    <w:rsid w:val="000F4AA8"/>
    <w:rsid w:val="000F4AEA"/>
    <w:rsid w:val="000F4E67"/>
    <w:rsid w:val="000F505B"/>
    <w:rsid w:val="000F5651"/>
    <w:rsid w:val="000F5677"/>
    <w:rsid w:val="000F5B7B"/>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598"/>
    <w:rsid w:val="001045FF"/>
    <w:rsid w:val="00104699"/>
    <w:rsid w:val="00104E5B"/>
    <w:rsid w:val="00104EEC"/>
    <w:rsid w:val="001050DC"/>
    <w:rsid w:val="001053D4"/>
    <w:rsid w:val="00105482"/>
    <w:rsid w:val="001056A5"/>
    <w:rsid w:val="00105BA9"/>
    <w:rsid w:val="00105FE1"/>
    <w:rsid w:val="00106AAA"/>
    <w:rsid w:val="00106E0E"/>
    <w:rsid w:val="001078A5"/>
    <w:rsid w:val="00107BBD"/>
    <w:rsid w:val="00107BC7"/>
    <w:rsid w:val="00107F40"/>
    <w:rsid w:val="00110033"/>
    <w:rsid w:val="001102B5"/>
    <w:rsid w:val="00110F57"/>
    <w:rsid w:val="00111993"/>
    <w:rsid w:val="00111C7D"/>
    <w:rsid w:val="00112038"/>
    <w:rsid w:val="0011235D"/>
    <w:rsid w:val="001127FF"/>
    <w:rsid w:val="00112B0B"/>
    <w:rsid w:val="00112EB5"/>
    <w:rsid w:val="0011383E"/>
    <w:rsid w:val="00113EE3"/>
    <w:rsid w:val="00114847"/>
    <w:rsid w:val="0011585B"/>
    <w:rsid w:val="00115B1A"/>
    <w:rsid w:val="001160FF"/>
    <w:rsid w:val="001164F4"/>
    <w:rsid w:val="001168F8"/>
    <w:rsid w:val="00116E60"/>
    <w:rsid w:val="001176FF"/>
    <w:rsid w:val="00121471"/>
    <w:rsid w:val="0012153F"/>
    <w:rsid w:val="0012159D"/>
    <w:rsid w:val="00121804"/>
    <w:rsid w:val="00121EC9"/>
    <w:rsid w:val="00121F0F"/>
    <w:rsid w:val="001221E8"/>
    <w:rsid w:val="001224FE"/>
    <w:rsid w:val="001231D3"/>
    <w:rsid w:val="001232A7"/>
    <w:rsid w:val="00123F7C"/>
    <w:rsid w:val="0012419E"/>
    <w:rsid w:val="001248EF"/>
    <w:rsid w:val="00124A29"/>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110"/>
    <w:rsid w:val="00136762"/>
    <w:rsid w:val="00136829"/>
    <w:rsid w:val="00136E33"/>
    <w:rsid w:val="0013773D"/>
    <w:rsid w:val="0014042F"/>
    <w:rsid w:val="00140693"/>
    <w:rsid w:val="00140D7A"/>
    <w:rsid w:val="00141D28"/>
    <w:rsid w:val="00141DFE"/>
    <w:rsid w:val="00142185"/>
    <w:rsid w:val="001422E2"/>
    <w:rsid w:val="001433BC"/>
    <w:rsid w:val="00143872"/>
    <w:rsid w:val="00143A85"/>
    <w:rsid w:val="00144649"/>
    <w:rsid w:val="001449D5"/>
    <w:rsid w:val="00145022"/>
    <w:rsid w:val="00145662"/>
    <w:rsid w:val="00145C6D"/>
    <w:rsid w:val="001460FC"/>
    <w:rsid w:val="00146151"/>
    <w:rsid w:val="00146326"/>
    <w:rsid w:val="00147032"/>
    <w:rsid w:val="00147EA7"/>
    <w:rsid w:val="00151820"/>
    <w:rsid w:val="00151B2F"/>
    <w:rsid w:val="001524DC"/>
    <w:rsid w:val="001525E5"/>
    <w:rsid w:val="001536A6"/>
    <w:rsid w:val="00153859"/>
    <w:rsid w:val="00153915"/>
    <w:rsid w:val="001539F0"/>
    <w:rsid w:val="00154BBA"/>
    <w:rsid w:val="00155550"/>
    <w:rsid w:val="00155B95"/>
    <w:rsid w:val="00156853"/>
    <w:rsid w:val="00157432"/>
    <w:rsid w:val="001604BC"/>
    <w:rsid w:val="00160A84"/>
    <w:rsid w:val="00161185"/>
    <w:rsid w:val="001620BA"/>
    <w:rsid w:val="001623AC"/>
    <w:rsid w:val="00162BAA"/>
    <w:rsid w:val="00163C40"/>
    <w:rsid w:val="0016470A"/>
    <w:rsid w:val="0016488B"/>
    <w:rsid w:val="0016519D"/>
    <w:rsid w:val="00165758"/>
    <w:rsid w:val="00165A65"/>
    <w:rsid w:val="00166317"/>
    <w:rsid w:val="00167478"/>
    <w:rsid w:val="00167594"/>
    <w:rsid w:val="001702BE"/>
    <w:rsid w:val="001704B3"/>
    <w:rsid w:val="0017059C"/>
    <w:rsid w:val="001706D1"/>
    <w:rsid w:val="0017105C"/>
    <w:rsid w:val="00171357"/>
    <w:rsid w:val="00171622"/>
    <w:rsid w:val="00171785"/>
    <w:rsid w:val="00171A15"/>
    <w:rsid w:val="00171AB5"/>
    <w:rsid w:val="0017204F"/>
    <w:rsid w:val="001721CF"/>
    <w:rsid w:val="001723D6"/>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A6"/>
    <w:rsid w:val="001827B7"/>
    <w:rsid w:val="001827EF"/>
    <w:rsid w:val="00182859"/>
    <w:rsid w:val="00182982"/>
    <w:rsid w:val="001829BC"/>
    <w:rsid w:val="00182D68"/>
    <w:rsid w:val="00183031"/>
    <w:rsid w:val="00183468"/>
    <w:rsid w:val="0018397E"/>
    <w:rsid w:val="00184466"/>
    <w:rsid w:val="00184DBF"/>
    <w:rsid w:val="001852A8"/>
    <w:rsid w:val="0018620A"/>
    <w:rsid w:val="00186EB0"/>
    <w:rsid w:val="00187121"/>
    <w:rsid w:val="00187243"/>
    <w:rsid w:val="001876CC"/>
    <w:rsid w:val="00187C29"/>
    <w:rsid w:val="00190782"/>
    <w:rsid w:val="00190942"/>
    <w:rsid w:val="001909A7"/>
    <w:rsid w:val="001909C3"/>
    <w:rsid w:val="00191459"/>
    <w:rsid w:val="00191603"/>
    <w:rsid w:val="0019173E"/>
    <w:rsid w:val="0019174E"/>
    <w:rsid w:val="0019196B"/>
    <w:rsid w:val="0019220A"/>
    <w:rsid w:val="001923D5"/>
    <w:rsid w:val="00192991"/>
    <w:rsid w:val="00193470"/>
    <w:rsid w:val="00193943"/>
    <w:rsid w:val="00193B94"/>
    <w:rsid w:val="001940A7"/>
    <w:rsid w:val="00194BB1"/>
    <w:rsid w:val="00194BC6"/>
    <w:rsid w:val="00194DE5"/>
    <w:rsid w:val="00195070"/>
    <w:rsid w:val="00195245"/>
    <w:rsid w:val="0019526D"/>
    <w:rsid w:val="001952E0"/>
    <w:rsid w:val="0019553F"/>
    <w:rsid w:val="001956BE"/>
    <w:rsid w:val="0019602C"/>
    <w:rsid w:val="00196250"/>
    <w:rsid w:val="001969F2"/>
    <w:rsid w:val="00196CD6"/>
    <w:rsid w:val="0019756A"/>
    <w:rsid w:val="001A06B5"/>
    <w:rsid w:val="001A07F8"/>
    <w:rsid w:val="001A0A23"/>
    <w:rsid w:val="001A0C98"/>
    <w:rsid w:val="001A0F51"/>
    <w:rsid w:val="001A10B7"/>
    <w:rsid w:val="001A128B"/>
    <w:rsid w:val="001A131C"/>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ACC"/>
    <w:rsid w:val="001B1C1F"/>
    <w:rsid w:val="001B219B"/>
    <w:rsid w:val="001B2703"/>
    <w:rsid w:val="001B2A88"/>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C87"/>
    <w:rsid w:val="001B7DC1"/>
    <w:rsid w:val="001B7E5E"/>
    <w:rsid w:val="001C08DB"/>
    <w:rsid w:val="001C10BD"/>
    <w:rsid w:val="001C1F01"/>
    <w:rsid w:val="001C2092"/>
    <w:rsid w:val="001C232F"/>
    <w:rsid w:val="001C2544"/>
    <w:rsid w:val="001C2A17"/>
    <w:rsid w:val="001C2A3E"/>
    <w:rsid w:val="001C31F5"/>
    <w:rsid w:val="001C35BF"/>
    <w:rsid w:val="001C512F"/>
    <w:rsid w:val="001C6047"/>
    <w:rsid w:val="001C6698"/>
    <w:rsid w:val="001C6C5B"/>
    <w:rsid w:val="001C7399"/>
    <w:rsid w:val="001C78B0"/>
    <w:rsid w:val="001C7CE0"/>
    <w:rsid w:val="001D005B"/>
    <w:rsid w:val="001D0947"/>
    <w:rsid w:val="001D16F5"/>
    <w:rsid w:val="001D1970"/>
    <w:rsid w:val="001D1D55"/>
    <w:rsid w:val="001D21EF"/>
    <w:rsid w:val="001D29A4"/>
    <w:rsid w:val="001D2B73"/>
    <w:rsid w:val="001D3136"/>
    <w:rsid w:val="001D330D"/>
    <w:rsid w:val="001D3458"/>
    <w:rsid w:val="001D4AB6"/>
    <w:rsid w:val="001D4AD3"/>
    <w:rsid w:val="001D4B1D"/>
    <w:rsid w:val="001D5281"/>
    <w:rsid w:val="001D60DB"/>
    <w:rsid w:val="001D6BDF"/>
    <w:rsid w:val="001E0AF4"/>
    <w:rsid w:val="001E0F77"/>
    <w:rsid w:val="001E17E3"/>
    <w:rsid w:val="001E2052"/>
    <w:rsid w:val="001E2492"/>
    <w:rsid w:val="001E257C"/>
    <w:rsid w:val="001E286C"/>
    <w:rsid w:val="001E2F34"/>
    <w:rsid w:val="001E2F89"/>
    <w:rsid w:val="001E35EE"/>
    <w:rsid w:val="001E4B2C"/>
    <w:rsid w:val="001E507F"/>
    <w:rsid w:val="001E56C2"/>
    <w:rsid w:val="001E59FB"/>
    <w:rsid w:val="001E7F81"/>
    <w:rsid w:val="001F0FD1"/>
    <w:rsid w:val="001F1526"/>
    <w:rsid w:val="001F19D1"/>
    <w:rsid w:val="001F1CB9"/>
    <w:rsid w:val="001F1F18"/>
    <w:rsid w:val="001F2F92"/>
    <w:rsid w:val="001F4390"/>
    <w:rsid w:val="001F456F"/>
    <w:rsid w:val="001F5DA1"/>
    <w:rsid w:val="001F612E"/>
    <w:rsid w:val="001F6A92"/>
    <w:rsid w:val="001F77E8"/>
    <w:rsid w:val="00201A0C"/>
    <w:rsid w:val="00201B0F"/>
    <w:rsid w:val="00201FF0"/>
    <w:rsid w:val="0020255A"/>
    <w:rsid w:val="00202800"/>
    <w:rsid w:val="002029C7"/>
    <w:rsid w:val="00202D33"/>
    <w:rsid w:val="00202E58"/>
    <w:rsid w:val="00202F99"/>
    <w:rsid w:val="002035B7"/>
    <w:rsid w:val="00203C85"/>
    <w:rsid w:val="0020449A"/>
    <w:rsid w:val="00204B05"/>
    <w:rsid w:val="00204E9B"/>
    <w:rsid w:val="00205298"/>
    <w:rsid w:val="002055C0"/>
    <w:rsid w:val="0020569E"/>
    <w:rsid w:val="00206698"/>
    <w:rsid w:val="00206736"/>
    <w:rsid w:val="00206C88"/>
    <w:rsid w:val="00210B9C"/>
    <w:rsid w:val="00211185"/>
    <w:rsid w:val="00211513"/>
    <w:rsid w:val="00211A94"/>
    <w:rsid w:val="002126F2"/>
    <w:rsid w:val="00213478"/>
    <w:rsid w:val="00214028"/>
    <w:rsid w:val="002141C3"/>
    <w:rsid w:val="002141DC"/>
    <w:rsid w:val="0021440C"/>
    <w:rsid w:val="00214479"/>
    <w:rsid w:val="00214493"/>
    <w:rsid w:val="002144F3"/>
    <w:rsid w:val="002146C3"/>
    <w:rsid w:val="00215334"/>
    <w:rsid w:val="00215514"/>
    <w:rsid w:val="0021578B"/>
    <w:rsid w:val="00215A2A"/>
    <w:rsid w:val="00215A3F"/>
    <w:rsid w:val="00215BE8"/>
    <w:rsid w:val="00215D21"/>
    <w:rsid w:val="0021636B"/>
    <w:rsid w:val="00216387"/>
    <w:rsid w:val="00216E7B"/>
    <w:rsid w:val="00217E1F"/>
    <w:rsid w:val="002204BC"/>
    <w:rsid w:val="00220F7B"/>
    <w:rsid w:val="002213CE"/>
    <w:rsid w:val="00221AF7"/>
    <w:rsid w:val="00222494"/>
    <w:rsid w:val="00222775"/>
    <w:rsid w:val="00222A31"/>
    <w:rsid w:val="00222CF6"/>
    <w:rsid w:val="00223E7A"/>
    <w:rsid w:val="00224037"/>
    <w:rsid w:val="002244E4"/>
    <w:rsid w:val="00224D2A"/>
    <w:rsid w:val="00224D8D"/>
    <w:rsid w:val="0022555A"/>
    <w:rsid w:val="00226A6F"/>
    <w:rsid w:val="00227214"/>
    <w:rsid w:val="00227DDC"/>
    <w:rsid w:val="0023079F"/>
    <w:rsid w:val="00230824"/>
    <w:rsid w:val="00231135"/>
    <w:rsid w:val="00231B0B"/>
    <w:rsid w:val="00232555"/>
    <w:rsid w:val="00232F3B"/>
    <w:rsid w:val="002331AA"/>
    <w:rsid w:val="00233538"/>
    <w:rsid w:val="00234248"/>
    <w:rsid w:val="0023449F"/>
    <w:rsid w:val="002344F5"/>
    <w:rsid w:val="0023454D"/>
    <w:rsid w:val="00234679"/>
    <w:rsid w:val="00235535"/>
    <w:rsid w:val="002359FC"/>
    <w:rsid w:val="002361C8"/>
    <w:rsid w:val="00236690"/>
    <w:rsid w:val="0023669D"/>
    <w:rsid w:val="00237EAE"/>
    <w:rsid w:val="00237FA2"/>
    <w:rsid w:val="002403D5"/>
    <w:rsid w:val="00240C1F"/>
    <w:rsid w:val="00240F55"/>
    <w:rsid w:val="00240F67"/>
    <w:rsid w:val="00241144"/>
    <w:rsid w:val="002423E4"/>
    <w:rsid w:val="00242510"/>
    <w:rsid w:val="00242ABB"/>
    <w:rsid w:val="00242F79"/>
    <w:rsid w:val="0024415B"/>
    <w:rsid w:val="0024436D"/>
    <w:rsid w:val="00245135"/>
    <w:rsid w:val="00245565"/>
    <w:rsid w:val="002458C1"/>
    <w:rsid w:val="00245E62"/>
    <w:rsid w:val="002460D0"/>
    <w:rsid w:val="00246357"/>
    <w:rsid w:val="00246E10"/>
    <w:rsid w:val="00247422"/>
    <w:rsid w:val="00247BA2"/>
    <w:rsid w:val="00250870"/>
    <w:rsid w:val="00250F48"/>
    <w:rsid w:val="0025151C"/>
    <w:rsid w:val="0025184F"/>
    <w:rsid w:val="00251967"/>
    <w:rsid w:val="002527CC"/>
    <w:rsid w:val="00252F48"/>
    <w:rsid w:val="002530C0"/>
    <w:rsid w:val="00253586"/>
    <w:rsid w:val="002537FC"/>
    <w:rsid w:val="002542CE"/>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1F65"/>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35E"/>
    <w:rsid w:val="00266519"/>
    <w:rsid w:val="00266C21"/>
    <w:rsid w:val="00266DE1"/>
    <w:rsid w:val="00267A92"/>
    <w:rsid w:val="00267E43"/>
    <w:rsid w:val="00270282"/>
    <w:rsid w:val="00270780"/>
    <w:rsid w:val="00270CF6"/>
    <w:rsid w:val="00271097"/>
    <w:rsid w:val="00271C53"/>
    <w:rsid w:val="0027244F"/>
    <w:rsid w:val="00273052"/>
    <w:rsid w:val="002739CE"/>
    <w:rsid w:val="00273B1F"/>
    <w:rsid w:val="00273C5F"/>
    <w:rsid w:val="002741D4"/>
    <w:rsid w:val="002743AC"/>
    <w:rsid w:val="0027499D"/>
    <w:rsid w:val="00274A56"/>
    <w:rsid w:val="002751CA"/>
    <w:rsid w:val="0027544D"/>
    <w:rsid w:val="00275D6E"/>
    <w:rsid w:val="00277196"/>
    <w:rsid w:val="002775ED"/>
    <w:rsid w:val="002778AB"/>
    <w:rsid w:val="00277929"/>
    <w:rsid w:val="002802A5"/>
    <w:rsid w:val="00280CFB"/>
    <w:rsid w:val="00280D24"/>
    <w:rsid w:val="002815C4"/>
    <w:rsid w:val="00281BCB"/>
    <w:rsid w:val="00281C76"/>
    <w:rsid w:val="0028316D"/>
    <w:rsid w:val="00283296"/>
    <w:rsid w:val="0028577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635"/>
    <w:rsid w:val="00294012"/>
    <w:rsid w:val="002945B0"/>
    <w:rsid w:val="0029499D"/>
    <w:rsid w:val="00294A13"/>
    <w:rsid w:val="00294B10"/>
    <w:rsid w:val="00294DF9"/>
    <w:rsid w:val="00295073"/>
    <w:rsid w:val="00295468"/>
    <w:rsid w:val="00296C32"/>
    <w:rsid w:val="002977CE"/>
    <w:rsid w:val="00297AF5"/>
    <w:rsid w:val="00297B5A"/>
    <w:rsid w:val="002A02D6"/>
    <w:rsid w:val="002A07C4"/>
    <w:rsid w:val="002A0921"/>
    <w:rsid w:val="002A0CB3"/>
    <w:rsid w:val="002A174A"/>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6B00"/>
    <w:rsid w:val="002A70AD"/>
    <w:rsid w:val="002A7748"/>
    <w:rsid w:val="002A7ED3"/>
    <w:rsid w:val="002A7FB1"/>
    <w:rsid w:val="002A7FC9"/>
    <w:rsid w:val="002B0779"/>
    <w:rsid w:val="002B139C"/>
    <w:rsid w:val="002B1881"/>
    <w:rsid w:val="002B1F61"/>
    <w:rsid w:val="002B2070"/>
    <w:rsid w:val="002B28ED"/>
    <w:rsid w:val="002B2906"/>
    <w:rsid w:val="002B2C66"/>
    <w:rsid w:val="002B34E3"/>
    <w:rsid w:val="002B3B08"/>
    <w:rsid w:val="002B51B6"/>
    <w:rsid w:val="002B52DA"/>
    <w:rsid w:val="002B5AEE"/>
    <w:rsid w:val="002B6177"/>
    <w:rsid w:val="002B642C"/>
    <w:rsid w:val="002B650C"/>
    <w:rsid w:val="002B68AB"/>
    <w:rsid w:val="002B68E6"/>
    <w:rsid w:val="002B6985"/>
    <w:rsid w:val="002B6C26"/>
    <w:rsid w:val="002B6D7A"/>
    <w:rsid w:val="002B7CA7"/>
    <w:rsid w:val="002C02BA"/>
    <w:rsid w:val="002C0301"/>
    <w:rsid w:val="002C0326"/>
    <w:rsid w:val="002C0A9F"/>
    <w:rsid w:val="002C1AB3"/>
    <w:rsid w:val="002C1BB7"/>
    <w:rsid w:val="002C1FB3"/>
    <w:rsid w:val="002C25E8"/>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929"/>
    <w:rsid w:val="002D2CD6"/>
    <w:rsid w:val="002D2F81"/>
    <w:rsid w:val="002D38A3"/>
    <w:rsid w:val="002D3BA3"/>
    <w:rsid w:val="002D3EDF"/>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002"/>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760"/>
    <w:rsid w:val="002E6853"/>
    <w:rsid w:val="002E7EC1"/>
    <w:rsid w:val="002E7EE5"/>
    <w:rsid w:val="002F0323"/>
    <w:rsid w:val="002F0B0F"/>
    <w:rsid w:val="002F0DFB"/>
    <w:rsid w:val="002F134F"/>
    <w:rsid w:val="002F1D0B"/>
    <w:rsid w:val="002F1E1D"/>
    <w:rsid w:val="002F1F02"/>
    <w:rsid w:val="002F2380"/>
    <w:rsid w:val="002F27E5"/>
    <w:rsid w:val="002F2D81"/>
    <w:rsid w:val="002F2F66"/>
    <w:rsid w:val="002F39D4"/>
    <w:rsid w:val="002F4071"/>
    <w:rsid w:val="002F4445"/>
    <w:rsid w:val="002F4BA9"/>
    <w:rsid w:val="002F4D28"/>
    <w:rsid w:val="002F51C2"/>
    <w:rsid w:val="002F541B"/>
    <w:rsid w:val="002F5BFE"/>
    <w:rsid w:val="002F5DA5"/>
    <w:rsid w:val="002F5E17"/>
    <w:rsid w:val="002F647C"/>
    <w:rsid w:val="002F6C6B"/>
    <w:rsid w:val="002F6CB0"/>
    <w:rsid w:val="002F6EFF"/>
    <w:rsid w:val="002F72B4"/>
    <w:rsid w:val="002F7DF0"/>
    <w:rsid w:val="002F7FAF"/>
    <w:rsid w:val="0030009E"/>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35F"/>
    <w:rsid w:val="0031752D"/>
    <w:rsid w:val="00317709"/>
    <w:rsid w:val="00320688"/>
    <w:rsid w:val="00320B75"/>
    <w:rsid w:val="00321DB7"/>
    <w:rsid w:val="00321E7A"/>
    <w:rsid w:val="0032226D"/>
    <w:rsid w:val="003235E6"/>
    <w:rsid w:val="00324038"/>
    <w:rsid w:val="00324951"/>
    <w:rsid w:val="003249D8"/>
    <w:rsid w:val="003249F6"/>
    <w:rsid w:val="00324B2F"/>
    <w:rsid w:val="0032529F"/>
    <w:rsid w:val="00325DA4"/>
    <w:rsid w:val="00325FCC"/>
    <w:rsid w:val="00326106"/>
    <w:rsid w:val="00326805"/>
    <w:rsid w:val="003269B7"/>
    <w:rsid w:val="00326C0E"/>
    <w:rsid w:val="003272A3"/>
    <w:rsid w:val="003272E4"/>
    <w:rsid w:val="00327B71"/>
    <w:rsid w:val="00331461"/>
    <w:rsid w:val="00331618"/>
    <w:rsid w:val="003316A8"/>
    <w:rsid w:val="00331C80"/>
    <w:rsid w:val="00331CC9"/>
    <w:rsid w:val="003320D7"/>
    <w:rsid w:val="00332265"/>
    <w:rsid w:val="00332862"/>
    <w:rsid w:val="00332D52"/>
    <w:rsid w:val="00333337"/>
    <w:rsid w:val="00333A28"/>
    <w:rsid w:val="00333B6C"/>
    <w:rsid w:val="00334927"/>
    <w:rsid w:val="00335572"/>
    <w:rsid w:val="003360AD"/>
    <w:rsid w:val="0033631D"/>
    <w:rsid w:val="003369C7"/>
    <w:rsid w:val="003373A6"/>
    <w:rsid w:val="00337409"/>
    <w:rsid w:val="00337E18"/>
    <w:rsid w:val="003405AF"/>
    <w:rsid w:val="0034088F"/>
    <w:rsid w:val="00340B3E"/>
    <w:rsid w:val="003413D2"/>
    <w:rsid w:val="00341525"/>
    <w:rsid w:val="003422F9"/>
    <w:rsid w:val="0034257E"/>
    <w:rsid w:val="003429A1"/>
    <w:rsid w:val="003429FC"/>
    <w:rsid w:val="00342C4F"/>
    <w:rsid w:val="00343079"/>
    <w:rsid w:val="00343127"/>
    <w:rsid w:val="00343320"/>
    <w:rsid w:val="00344066"/>
    <w:rsid w:val="00344BBF"/>
    <w:rsid w:val="0034509B"/>
    <w:rsid w:val="00345644"/>
    <w:rsid w:val="00345D0E"/>
    <w:rsid w:val="00345D7A"/>
    <w:rsid w:val="0034607E"/>
    <w:rsid w:val="003468EE"/>
    <w:rsid w:val="00346A96"/>
    <w:rsid w:val="00346B6D"/>
    <w:rsid w:val="00346BA3"/>
    <w:rsid w:val="00346C69"/>
    <w:rsid w:val="00347356"/>
    <w:rsid w:val="0035005C"/>
    <w:rsid w:val="00350896"/>
    <w:rsid w:val="00350C31"/>
    <w:rsid w:val="00350C9F"/>
    <w:rsid w:val="00351391"/>
    <w:rsid w:val="003519CD"/>
    <w:rsid w:val="00351A3A"/>
    <w:rsid w:val="0035231B"/>
    <w:rsid w:val="00352A48"/>
    <w:rsid w:val="0035455F"/>
    <w:rsid w:val="00354A88"/>
    <w:rsid w:val="00355D75"/>
    <w:rsid w:val="00355D8F"/>
    <w:rsid w:val="00356A73"/>
    <w:rsid w:val="00356FF0"/>
    <w:rsid w:val="003577EF"/>
    <w:rsid w:val="00357A60"/>
    <w:rsid w:val="00360304"/>
    <w:rsid w:val="00360A78"/>
    <w:rsid w:val="00361750"/>
    <w:rsid w:val="003637F5"/>
    <w:rsid w:val="00363894"/>
    <w:rsid w:val="00363B2A"/>
    <w:rsid w:val="00363BF1"/>
    <w:rsid w:val="00365EFC"/>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2EE"/>
    <w:rsid w:val="00377886"/>
    <w:rsid w:val="00377B26"/>
    <w:rsid w:val="00377FBD"/>
    <w:rsid w:val="00381014"/>
    <w:rsid w:val="00381604"/>
    <w:rsid w:val="00381C68"/>
    <w:rsid w:val="00381F60"/>
    <w:rsid w:val="00382FBE"/>
    <w:rsid w:val="00383204"/>
    <w:rsid w:val="00383AB0"/>
    <w:rsid w:val="003847BB"/>
    <w:rsid w:val="00384814"/>
    <w:rsid w:val="00384C0A"/>
    <w:rsid w:val="00385131"/>
    <w:rsid w:val="00385B16"/>
    <w:rsid w:val="00385B96"/>
    <w:rsid w:val="0038637D"/>
    <w:rsid w:val="003868F6"/>
    <w:rsid w:val="003869DC"/>
    <w:rsid w:val="00386C07"/>
    <w:rsid w:val="00386F58"/>
    <w:rsid w:val="0038700D"/>
    <w:rsid w:val="0038789F"/>
    <w:rsid w:val="003879CE"/>
    <w:rsid w:val="00387B88"/>
    <w:rsid w:val="00390980"/>
    <w:rsid w:val="00390B8F"/>
    <w:rsid w:val="00390C0D"/>
    <w:rsid w:val="00391447"/>
    <w:rsid w:val="003919D9"/>
    <w:rsid w:val="00391BDD"/>
    <w:rsid w:val="003922DE"/>
    <w:rsid w:val="00392AA4"/>
    <w:rsid w:val="00392E35"/>
    <w:rsid w:val="00393247"/>
    <w:rsid w:val="00393551"/>
    <w:rsid w:val="00393816"/>
    <w:rsid w:val="00393FCD"/>
    <w:rsid w:val="00394445"/>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77"/>
    <w:rsid w:val="003A20D5"/>
    <w:rsid w:val="003A24CC"/>
    <w:rsid w:val="003A2512"/>
    <w:rsid w:val="003A2A53"/>
    <w:rsid w:val="003A2EE8"/>
    <w:rsid w:val="003A373C"/>
    <w:rsid w:val="003A4F3A"/>
    <w:rsid w:val="003A5378"/>
    <w:rsid w:val="003A553C"/>
    <w:rsid w:val="003A56DF"/>
    <w:rsid w:val="003A6008"/>
    <w:rsid w:val="003A703F"/>
    <w:rsid w:val="003A7D7F"/>
    <w:rsid w:val="003A7E2B"/>
    <w:rsid w:val="003A7E40"/>
    <w:rsid w:val="003B0336"/>
    <w:rsid w:val="003B0A3A"/>
    <w:rsid w:val="003B0D79"/>
    <w:rsid w:val="003B1FBE"/>
    <w:rsid w:val="003B2110"/>
    <w:rsid w:val="003B221A"/>
    <w:rsid w:val="003B2930"/>
    <w:rsid w:val="003B31A7"/>
    <w:rsid w:val="003B4587"/>
    <w:rsid w:val="003B4B51"/>
    <w:rsid w:val="003B4FE1"/>
    <w:rsid w:val="003B514E"/>
    <w:rsid w:val="003B5531"/>
    <w:rsid w:val="003B636A"/>
    <w:rsid w:val="003B69CE"/>
    <w:rsid w:val="003B7403"/>
    <w:rsid w:val="003B74A6"/>
    <w:rsid w:val="003B7751"/>
    <w:rsid w:val="003C011C"/>
    <w:rsid w:val="003C0E32"/>
    <w:rsid w:val="003C11D7"/>
    <w:rsid w:val="003C16CB"/>
    <w:rsid w:val="003C1B97"/>
    <w:rsid w:val="003C247B"/>
    <w:rsid w:val="003C2A92"/>
    <w:rsid w:val="003C3292"/>
    <w:rsid w:val="003C38F0"/>
    <w:rsid w:val="003C3C1E"/>
    <w:rsid w:val="003C3D88"/>
    <w:rsid w:val="003C4134"/>
    <w:rsid w:val="003C435B"/>
    <w:rsid w:val="003C4EBE"/>
    <w:rsid w:val="003C62EC"/>
    <w:rsid w:val="003C685A"/>
    <w:rsid w:val="003C6E9C"/>
    <w:rsid w:val="003C746F"/>
    <w:rsid w:val="003C7570"/>
    <w:rsid w:val="003C76E6"/>
    <w:rsid w:val="003C7A87"/>
    <w:rsid w:val="003C7E59"/>
    <w:rsid w:val="003C7F12"/>
    <w:rsid w:val="003C7F46"/>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883"/>
    <w:rsid w:val="003D7F5F"/>
    <w:rsid w:val="003E006E"/>
    <w:rsid w:val="003E0947"/>
    <w:rsid w:val="003E0E96"/>
    <w:rsid w:val="003E1564"/>
    <w:rsid w:val="003E20F7"/>
    <w:rsid w:val="003E336A"/>
    <w:rsid w:val="003E3E2F"/>
    <w:rsid w:val="003E4048"/>
    <w:rsid w:val="003E4CE5"/>
    <w:rsid w:val="003E51FF"/>
    <w:rsid w:val="003E603E"/>
    <w:rsid w:val="003E604C"/>
    <w:rsid w:val="003E60DA"/>
    <w:rsid w:val="003E6E00"/>
    <w:rsid w:val="003E7111"/>
    <w:rsid w:val="003E7940"/>
    <w:rsid w:val="003F01BD"/>
    <w:rsid w:val="003F0486"/>
    <w:rsid w:val="003F048E"/>
    <w:rsid w:val="003F09FA"/>
    <w:rsid w:val="003F0AFF"/>
    <w:rsid w:val="003F1AA2"/>
    <w:rsid w:val="003F1F2A"/>
    <w:rsid w:val="003F26DC"/>
    <w:rsid w:val="003F2EEB"/>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ABD"/>
    <w:rsid w:val="00405467"/>
    <w:rsid w:val="004054BE"/>
    <w:rsid w:val="004056B6"/>
    <w:rsid w:val="00405764"/>
    <w:rsid w:val="00405D5C"/>
    <w:rsid w:val="00405E73"/>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2FF5"/>
    <w:rsid w:val="004138D1"/>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424D"/>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1B66"/>
    <w:rsid w:val="00442731"/>
    <w:rsid w:val="00442A63"/>
    <w:rsid w:val="00442C12"/>
    <w:rsid w:val="004434DF"/>
    <w:rsid w:val="0044354B"/>
    <w:rsid w:val="004441DC"/>
    <w:rsid w:val="0044493E"/>
    <w:rsid w:val="00444A1F"/>
    <w:rsid w:val="00444FC6"/>
    <w:rsid w:val="00445874"/>
    <w:rsid w:val="00445C38"/>
    <w:rsid w:val="0044686B"/>
    <w:rsid w:val="004475F7"/>
    <w:rsid w:val="0045057B"/>
    <w:rsid w:val="0045069B"/>
    <w:rsid w:val="00450B22"/>
    <w:rsid w:val="00451709"/>
    <w:rsid w:val="004518FA"/>
    <w:rsid w:val="00451A02"/>
    <w:rsid w:val="00451AC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D8C"/>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B2"/>
    <w:rsid w:val="00465DE5"/>
    <w:rsid w:val="00466151"/>
    <w:rsid w:val="00466978"/>
    <w:rsid w:val="00466ABA"/>
    <w:rsid w:val="004672C6"/>
    <w:rsid w:val="004672E3"/>
    <w:rsid w:val="004672F1"/>
    <w:rsid w:val="0046775D"/>
    <w:rsid w:val="00467823"/>
    <w:rsid w:val="004703B6"/>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79C"/>
    <w:rsid w:val="0047471E"/>
    <w:rsid w:val="004749DA"/>
    <w:rsid w:val="00474DEF"/>
    <w:rsid w:val="00475729"/>
    <w:rsid w:val="004758E7"/>
    <w:rsid w:val="00475B8D"/>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1D38"/>
    <w:rsid w:val="004824A9"/>
    <w:rsid w:val="00483091"/>
    <w:rsid w:val="00483140"/>
    <w:rsid w:val="00483984"/>
    <w:rsid w:val="00483BC7"/>
    <w:rsid w:val="00483CF0"/>
    <w:rsid w:val="00483D86"/>
    <w:rsid w:val="00484D4D"/>
    <w:rsid w:val="004852E7"/>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1C7"/>
    <w:rsid w:val="0049421F"/>
    <w:rsid w:val="0049570D"/>
    <w:rsid w:val="00495A0C"/>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BBD"/>
    <w:rsid w:val="004A4E3B"/>
    <w:rsid w:val="004A6110"/>
    <w:rsid w:val="004A61B8"/>
    <w:rsid w:val="004A6342"/>
    <w:rsid w:val="004A6415"/>
    <w:rsid w:val="004A64F9"/>
    <w:rsid w:val="004A65F4"/>
    <w:rsid w:val="004A67AA"/>
    <w:rsid w:val="004A6D2C"/>
    <w:rsid w:val="004A7100"/>
    <w:rsid w:val="004B026C"/>
    <w:rsid w:val="004B0271"/>
    <w:rsid w:val="004B0BE8"/>
    <w:rsid w:val="004B0E4A"/>
    <w:rsid w:val="004B1100"/>
    <w:rsid w:val="004B18C8"/>
    <w:rsid w:val="004B18F4"/>
    <w:rsid w:val="004B1A98"/>
    <w:rsid w:val="004B211F"/>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63"/>
    <w:rsid w:val="004C11A9"/>
    <w:rsid w:val="004C27CF"/>
    <w:rsid w:val="004C2C54"/>
    <w:rsid w:val="004C2CA7"/>
    <w:rsid w:val="004C3592"/>
    <w:rsid w:val="004C36D8"/>
    <w:rsid w:val="004C45C8"/>
    <w:rsid w:val="004C4F8F"/>
    <w:rsid w:val="004C5F4B"/>
    <w:rsid w:val="004C612E"/>
    <w:rsid w:val="004C61B8"/>
    <w:rsid w:val="004C69FE"/>
    <w:rsid w:val="004C6C0A"/>
    <w:rsid w:val="004C6C6D"/>
    <w:rsid w:val="004C74FE"/>
    <w:rsid w:val="004C756E"/>
    <w:rsid w:val="004C77FF"/>
    <w:rsid w:val="004C7DB0"/>
    <w:rsid w:val="004C7FFC"/>
    <w:rsid w:val="004D0223"/>
    <w:rsid w:val="004D0C4C"/>
    <w:rsid w:val="004D14DC"/>
    <w:rsid w:val="004D16A3"/>
    <w:rsid w:val="004D1934"/>
    <w:rsid w:val="004D1E41"/>
    <w:rsid w:val="004D2326"/>
    <w:rsid w:val="004D2E11"/>
    <w:rsid w:val="004D2EE2"/>
    <w:rsid w:val="004D2F9F"/>
    <w:rsid w:val="004D3108"/>
    <w:rsid w:val="004D329C"/>
    <w:rsid w:val="004D34D1"/>
    <w:rsid w:val="004D4523"/>
    <w:rsid w:val="004D4990"/>
    <w:rsid w:val="004D4EE3"/>
    <w:rsid w:val="004D50B4"/>
    <w:rsid w:val="004D51AE"/>
    <w:rsid w:val="004D51D6"/>
    <w:rsid w:val="004D58EB"/>
    <w:rsid w:val="004D6435"/>
    <w:rsid w:val="004D6BF2"/>
    <w:rsid w:val="004D6F29"/>
    <w:rsid w:val="004D7BF5"/>
    <w:rsid w:val="004D7C1F"/>
    <w:rsid w:val="004D7F9C"/>
    <w:rsid w:val="004E03F4"/>
    <w:rsid w:val="004E068F"/>
    <w:rsid w:val="004E0860"/>
    <w:rsid w:val="004E09CF"/>
    <w:rsid w:val="004E0B75"/>
    <w:rsid w:val="004E0C29"/>
    <w:rsid w:val="004E0DC4"/>
    <w:rsid w:val="004E109C"/>
    <w:rsid w:val="004E166D"/>
    <w:rsid w:val="004E1D6F"/>
    <w:rsid w:val="004E1DF3"/>
    <w:rsid w:val="004E2393"/>
    <w:rsid w:val="004E3117"/>
    <w:rsid w:val="004E32BD"/>
    <w:rsid w:val="004E3A2A"/>
    <w:rsid w:val="004E3AB1"/>
    <w:rsid w:val="004E4003"/>
    <w:rsid w:val="004E4626"/>
    <w:rsid w:val="004E4984"/>
    <w:rsid w:val="004E5101"/>
    <w:rsid w:val="004E52F2"/>
    <w:rsid w:val="004E5380"/>
    <w:rsid w:val="004E5C8A"/>
    <w:rsid w:val="004E6746"/>
    <w:rsid w:val="004E675C"/>
    <w:rsid w:val="004E6CAC"/>
    <w:rsid w:val="004E6F69"/>
    <w:rsid w:val="004E75C1"/>
    <w:rsid w:val="004E7683"/>
    <w:rsid w:val="004E777F"/>
    <w:rsid w:val="004E7828"/>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A20"/>
    <w:rsid w:val="004F4FAC"/>
    <w:rsid w:val="004F4FE8"/>
    <w:rsid w:val="004F531B"/>
    <w:rsid w:val="004F560C"/>
    <w:rsid w:val="004F5DBB"/>
    <w:rsid w:val="004F60B4"/>
    <w:rsid w:val="004F61A3"/>
    <w:rsid w:val="004F6874"/>
    <w:rsid w:val="004F7922"/>
    <w:rsid w:val="004F7A1F"/>
    <w:rsid w:val="004F7B47"/>
    <w:rsid w:val="0050074C"/>
    <w:rsid w:val="0050079C"/>
    <w:rsid w:val="0050106A"/>
    <w:rsid w:val="005010BC"/>
    <w:rsid w:val="00501848"/>
    <w:rsid w:val="00502AEE"/>
    <w:rsid w:val="00502B31"/>
    <w:rsid w:val="0050434C"/>
    <w:rsid w:val="0050537D"/>
    <w:rsid w:val="0050591C"/>
    <w:rsid w:val="005059BD"/>
    <w:rsid w:val="005060AE"/>
    <w:rsid w:val="0050790B"/>
    <w:rsid w:val="00507C71"/>
    <w:rsid w:val="00507FDF"/>
    <w:rsid w:val="0051037C"/>
    <w:rsid w:val="0051050F"/>
    <w:rsid w:val="0051058B"/>
    <w:rsid w:val="00510DDC"/>
    <w:rsid w:val="00511166"/>
    <w:rsid w:val="00512217"/>
    <w:rsid w:val="00512320"/>
    <w:rsid w:val="00512459"/>
    <w:rsid w:val="005131A2"/>
    <w:rsid w:val="005137E4"/>
    <w:rsid w:val="00513BB9"/>
    <w:rsid w:val="0051440E"/>
    <w:rsid w:val="00514480"/>
    <w:rsid w:val="005148CD"/>
    <w:rsid w:val="00515180"/>
    <w:rsid w:val="00515973"/>
    <w:rsid w:val="00516069"/>
    <w:rsid w:val="00517AC8"/>
    <w:rsid w:val="00517C3E"/>
    <w:rsid w:val="0052030A"/>
    <w:rsid w:val="005207D8"/>
    <w:rsid w:val="0052091D"/>
    <w:rsid w:val="00521098"/>
    <w:rsid w:val="005212F4"/>
    <w:rsid w:val="00521908"/>
    <w:rsid w:val="005224BC"/>
    <w:rsid w:val="00522928"/>
    <w:rsid w:val="00522FF1"/>
    <w:rsid w:val="0052316B"/>
    <w:rsid w:val="005235D8"/>
    <w:rsid w:val="00523946"/>
    <w:rsid w:val="0052397A"/>
    <w:rsid w:val="005256D6"/>
    <w:rsid w:val="00525AD8"/>
    <w:rsid w:val="00526429"/>
    <w:rsid w:val="005266C1"/>
    <w:rsid w:val="005267F4"/>
    <w:rsid w:val="005269D3"/>
    <w:rsid w:val="00527317"/>
    <w:rsid w:val="00527ED6"/>
    <w:rsid w:val="0053024F"/>
    <w:rsid w:val="0053030F"/>
    <w:rsid w:val="005308CE"/>
    <w:rsid w:val="00530E8E"/>
    <w:rsid w:val="00531064"/>
    <w:rsid w:val="005312CB"/>
    <w:rsid w:val="005313B2"/>
    <w:rsid w:val="00531594"/>
    <w:rsid w:val="00531911"/>
    <w:rsid w:val="00531E92"/>
    <w:rsid w:val="005324D7"/>
    <w:rsid w:val="005326F0"/>
    <w:rsid w:val="00532764"/>
    <w:rsid w:val="00532AA5"/>
    <w:rsid w:val="00532C5F"/>
    <w:rsid w:val="00533233"/>
    <w:rsid w:val="005335A2"/>
    <w:rsid w:val="00533D13"/>
    <w:rsid w:val="00533DEC"/>
    <w:rsid w:val="00534026"/>
    <w:rsid w:val="00534D55"/>
    <w:rsid w:val="00535A33"/>
    <w:rsid w:val="00535B53"/>
    <w:rsid w:val="00536B03"/>
    <w:rsid w:val="005370CF"/>
    <w:rsid w:val="00537456"/>
    <w:rsid w:val="0053790C"/>
    <w:rsid w:val="00537B3D"/>
    <w:rsid w:val="00540401"/>
    <w:rsid w:val="005405B2"/>
    <w:rsid w:val="0054076A"/>
    <w:rsid w:val="00540BBA"/>
    <w:rsid w:val="00540D47"/>
    <w:rsid w:val="00540E71"/>
    <w:rsid w:val="00540EE7"/>
    <w:rsid w:val="00541A22"/>
    <w:rsid w:val="00541E2B"/>
    <w:rsid w:val="00541EAD"/>
    <w:rsid w:val="005424C2"/>
    <w:rsid w:val="005426B2"/>
    <w:rsid w:val="00542AA1"/>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1644"/>
    <w:rsid w:val="005524ED"/>
    <w:rsid w:val="00553627"/>
    <w:rsid w:val="00553F91"/>
    <w:rsid w:val="00554007"/>
    <w:rsid w:val="00554092"/>
    <w:rsid w:val="00554C03"/>
    <w:rsid w:val="00554C58"/>
    <w:rsid w:val="00554D5D"/>
    <w:rsid w:val="005550F9"/>
    <w:rsid w:val="00555CC1"/>
    <w:rsid w:val="00556338"/>
    <w:rsid w:val="00556441"/>
    <w:rsid w:val="00557031"/>
    <w:rsid w:val="00557F87"/>
    <w:rsid w:val="005601E7"/>
    <w:rsid w:val="00560841"/>
    <w:rsid w:val="00560FCB"/>
    <w:rsid w:val="00561001"/>
    <w:rsid w:val="0056111C"/>
    <w:rsid w:val="00561140"/>
    <w:rsid w:val="00561412"/>
    <w:rsid w:val="00561764"/>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54B"/>
    <w:rsid w:val="00567623"/>
    <w:rsid w:val="005701C2"/>
    <w:rsid w:val="00570763"/>
    <w:rsid w:val="0057200B"/>
    <w:rsid w:val="00572297"/>
    <w:rsid w:val="0057345D"/>
    <w:rsid w:val="0057347D"/>
    <w:rsid w:val="00573560"/>
    <w:rsid w:val="00574E7B"/>
    <w:rsid w:val="00574F36"/>
    <w:rsid w:val="00575B04"/>
    <w:rsid w:val="00576B5C"/>
    <w:rsid w:val="005770CC"/>
    <w:rsid w:val="005802F9"/>
    <w:rsid w:val="005806D5"/>
    <w:rsid w:val="005807A2"/>
    <w:rsid w:val="00580DFC"/>
    <w:rsid w:val="0058134C"/>
    <w:rsid w:val="005815CD"/>
    <w:rsid w:val="00581AA8"/>
    <w:rsid w:val="00581D39"/>
    <w:rsid w:val="005827A7"/>
    <w:rsid w:val="00583D43"/>
    <w:rsid w:val="005846C3"/>
    <w:rsid w:val="0058482B"/>
    <w:rsid w:val="00584F04"/>
    <w:rsid w:val="0058544C"/>
    <w:rsid w:val="00585623"/>
    <w:rsid w:val="0058577C"/>
    <w:rsid w:val="005857F7"/>
    <w:rsid w:val="005860E5"/>
    <w:rsid w:val="005865E9"/>
    <w:rsid w:val="005868FD"/>
    <w:rsid w:val="00587D7B"/>
    <w:rsid w:val="005904DB"/>
    <w:rsid w:val="005905ED"/>
    <w:rsid w:val="00590D11"/>
    <w:rsid w:val="005919EE"/>
    <w:rsid w:val="00591BA6"/>
    <w:rsid w:val="00592825"/>
    <w:rsid w:val="0059310B"/>
    <w:rsid w:val="005943CC"/>
    <w:rsid w:val="00594437"/>
    <w:rsid w:val="00594B70"/>
    <w:rsid w:val="00594E85"/>
    <w:rsid w:val="0059639B"/>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CE"/>
    <w:rsid w:val="005A54F1"/>
    <w:rsid w:val="005A57B8"/>
    <w:rsid w:val="005A5DDE"/>
    <w:rsid w:val="005A64A8"/>
    <w:rsid w:val="005A65C5"/>
    <w:rsid w:val="005A6875"/>
    <w:rsid w:val="005A6DBA"/>
    <w:rsid w:val="005A7016"/>
    <w:rsid w:val="005A7A32"/>
    <w:rsid w:val="005A7F85"/>
    <w:rsid w:val="005B00DD"/>
    <w:rsid w:val="005B01E9"/>
    <w:rsid w:val="005B03B1"/>
    <w:rsid w:val="005B07D5"/>
    <w:rsid w:val="005B1A8A"/>
    <w:rsid w:val="005B1AAB"/>
    <w:rsid w:val="005B20ED"/>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786"/>
    <w:rsid w:val="005B6865"/>
    <w:rsid w:val="005C039B"/>
    <w:rsid w:val="005C059F"/>
    <w:rsid w:val="005C07CE"/>
    <w:rsid w:val="005C0B8F"/>
    <w:rsid w:val="005C1912"/>
    <w:rsid w:val="005C194E"/>
    <w:rsid w:val="005C1C83"/>
    <w:rsid w:val="005C1DB1"/>
    <w:rsid w:val="005C2174"/>
    <w:rsid w:val="005C226F"/>
    <w:rsid w:val="005C2294"/>
    <w:rsid w:val="005C2E48"/>
    <w:rsid w:val="005C3344"/>
    <w:rsid w:val="005C37B7"/>
    <w:rsid w:val="005C407D"/>
    <w:rsid w:val="005C4E4D"/>
    <w:rsid w:val="005C58F2"/>
    <w:rsid w:val="005C5A97"/>
    <w:rsid w:val="005C5F77"/>
    <w:rsid w:val="005C6AAB"/>
    <w:rsid w:val="005C6D5D"/>
    <w:rsid w:val="005C6DF9"/>
    <w:rsid w:val="005C6F38"/>
    <w:rsid w:val="005C6FD0"/>
    <w:rsid w:val="005D01C3"/>
    <w:rsid w:val="005D05FF"/>
    <w:rsid w:val="005D0FB4"/>
    <w:rsid w:val="005D1176"/>
    <w:rsid w:val="005D1747"/>
    <w:rsid w:val="005D2177"/>
    <w:rsid w:val="005D266D"/>
    <w:rsid w:val="005D306D"/>
    <w:rsid w:val="005D3327"/>
    <w:rsid w:val="005D4760"/>
    <w:rsid w:val="005D4854"/>
    <w:rsid w:val="005D5BCF"/>
    <w:rsid w:val="005D65BF"/>
    <w:rsid w:val="005D6D84"/>
    <w:rsid w:val="005D70A1"/>
    <w:rsid w:val="005D79F2"/>
    <w:rsid w:val="005D7CB1"/>
    <w:rsid w:val="005D7F57"/>
    <w:rsid w:val="005E0067"/>
    <w:rsid w:val="005E0141"/>
    <w:rsid w:val="005E09CA"/>
    <w:rsid w:val="005E1AB4"/>
    <w:rsid w:val="005E255B"/>
    <w:rsid w:val="005E2B4D"/>
    <w:rsid w:val="005E2CF7"/>
    <w:rsid w:val="005E37FD"/>
    <w:rsid w:val="005E4543"/>
    <w:rsid w:val="005E4A1C"/>
    <w:rsid w:val="005E4AC6"/>
    <w:rsid w:val="005E56C9"/>
    <w:rsid w:val="005E5C95"/>
    <w:rsid w:val="005E5CE2"/>
    <w:rsid w:val="005E5CF7"/>
    <w:rsid w:val="005E5FF0"/>
    <w:rsid w:val="005E642A"/>
    <w:rsid w:val="005E65A7"/>
    <w:rsid w:val="005E6A54"/>
    <w:rsid w:val="005E721E"/>
    <w:rsid w:val="005F0857"/>
    <w:rsid w:val="005F1470"/>
    <w:rsid w:val="005F15A9"/>
    <w:rsid w:val="005F203A"/>
    <w:rsid w:val="005F2807"/>
    <w:rsid w:val="005F2CD5"/>
    <w:rsid w:val="005F3382"/>
    <w:rsid w:val="005F3720"/>
    <w:rsid w:val="005F3949"/>
    <w:rsid w:val="005F3FCB"/>
    <w:rsid w:val="005F4F00"/>
    <w:rsid w:val="005F5506"/>
    <w:rsid w:val="005F5A0D"/>
    <w:rsid w:val="005F60DF"/>
    <w:rsid w:val="005F615B"/>
    <w:rsid w:val="005F61DF"/>
    <w:rsid w:val="005F680A"/>
    <w:rsid w:val="005F6880"/>
    <w:rsid w:val="005F6B3E"/>
    <w:rsid w:val="005F6ED2"/>
    <w:rsid w:val="005F745B"/>
    <w:rsid w:val="005F77F8"/>
    <w:rsid w:val="005F7CA8"/>
    <w:rsid w:val="005F7FE2"/>
    <w:rsid w:val="00600023"/>
    <w:rsid w:val="00600474"/>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6CB4"/>
    <w:rsid w:val="00607015"/>
    <w:rsid w:val="0061098D"/>
    <w:rsid w:val="00610B78"/>
    <w:rsid w:val="00611B59"/>
    <w:rsid w:val="00611FBA"/>
    <w:rsid w:val="00612098"/>
    <w:rsid w:val="0061272A"/>
    <w:rsid w:val="0061299E"/>
    <w:rsid w:val="006130D0"/>
    <w:rsid w:val="00613441"/>
    <w:rsid w:val="0061355D"/>
    <w:rsid w:val="006139F7"/>
    <w:rsid w:val="00613AA2"/>
    <w:rsid w:val="006146D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0A66"/>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46A"/>
    <w:rsid w:val="00642C69"/>
    <w:rsid w:val="00642D4F"/>
    <w:rsid w:val="0064330A"/>
    <w:rsid w:val="0064369F"/>
    <w:rsid w:val="00643F89"/>
    <w:rsid w:val="00644334"/>
    <w:rsid w:val="0064487C"/>
    <w:rsid w:val="00644BED"/>
    <w:rsid w:val="00644E2E"/>
    <w:rsid w:val="00645A3A"/>
    <w:rsid w:val="00645B87"/>
    <w:rsid w:val="00645CB4"/>
    <w:rsid w:val="00646084"/>
    <w:rsid w:val="006468ED"/>
    <w:rsid w:val="00647664"/>
    <w:rsid w:val="00650D19"/>
    <w:rsid w:val="0065277B"/>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3B3"/>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085"/>
    <w:rsid w:val="006811F3"/>
    <w:rsid w:val="00681240"/>
    <w:rsid w:val="00681E43"/>
    <w:rsid w:val="00683068"/>
    <w:rsid w:val="00683DAD"/>
    <w:rsid w:val="00684592"/>
    <w:rsid w:val="00684853"/>
    <w:rsid w:val="00684963"/>
    <w:rsid w:val="00685033"/>
    <w:rsid w:val="0068510D"/>
    <w:rsid w:val="0068517F"/>
    <w:rsid w:val="00685D65"/>
    <w:rsid w:val="00685FC8"/>
    <w:rsid w:val="006860CC"/>
    <w:rsid w:val="00686E80"/>
    <w:rsid w:val="0068790B"/>
    <w:rsid w:val="00687AF2"/>
    <w:rsid w:val="006901AC"/>
    <w:rsid w:val="00690C8D"/>
    <w:rsid w:val="00691890"/>
    <w:rsid w:val="00691AAD"/>
    <w:rsid w:val="00691EB8"/>
    <w:rsid w:val="00692416"/>
    <w:rsid w:val="00692AFF"/>
    <w:rsid w:val="00692D2D"/>
    <w:rsid w:val="00693B73"/>
    <w:rsid w:val="00693F29"/>
    <w:rsid w:val="006945A1"/>
    <w:rsid w:val="00694A53"/>
    <w:rsid w:val="006952DE"/>
    <w:rsid w:val="00695985"/>
    <w:rsid w:val="00695C78"/>
    <w:rsid w:val="00695E6C"/>
    <w:rsid w:val="00695EAC"/>
    <w:rsid w:val="00696C79"/>
    <w:rsid w:val="00697068"/>
    <w:rsid w:val="006977DE"/>
    <w:rsid w:val="00697D5F"/>
    <w:rsid w:val="006A0235"/>
    <w:rsid w:val="006A035B"/>
    <w:rsid w:val="006A0582"/>
    <w:rsid w:val="006A060C"/>
    <w:rsid w:val="006A06F8"/>
    <w:rsid w:val="006A071C"/>
    <w:rsid w:val="006A0DC7"/>
    <w:rsid w:val="006A150D"/>
    <w:rsid w:val="006A1B00"/>
    <w:rsid w:val="006A2766"/>
    <w:rsid w:val="006A3786"/>
    <w:rsid w:val="006A39D0"/>
    <w:rsid w:val="006A3E91"/>
    <w:rsid w:val="006A430B"/>
    <w:rsid w:val="006A4321"/>
    <w:rsid w:val="006A4E20"/>
    <w:rsid w:val="006A4F11"/>
    <w:rsid w:val="006A563C"/>
    <w:rsid w:val="006A5A6F"/>
    <w:rsid w:val="006A5F7E"/>
    <w:rsid w:val="006A6786"/>
    <w:rsid w:val="006A67AF"/>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A81"/>
    <w:rsid w:val="006B4CF8"/>
    <w:rsid w:val="006B506B"/>
    <w:rsid w:val="006B54E8"/>
    <w:rsid w:val="006B5766"/>
    <w:rsid w:val="006B5FBC"/>
    <w:rsid w:val="006B6ED2"/>
    <w:rsid w:val="006B7F74"/>
    <w:rsid w:val="006C0230"/>
    <w:rsid w:val="006C05C7"/>
    <w:rsid w:val="006C1323"/>
    <w:rsid w:val="006C1FC8"/>
    <w:rsid w:val="006C25AB"/>
    <w:rsid w:val="006C2DA6"/>
    <w:rsid w:val="006C3335"/>
    <w:rsid w:val="006C3581"/>
    <w:rsid w:val="006C3973"/>
    <w:rsid w:val="006C39A0"/>
    <w:rsid w:val="006C3AB0"/>
    <w:rsid w:val="006C3EFE"/>
    <w:rsid w:val="006C42B1"/>
    <w:rsid w:val="006C46C7"/>
    <w:rsid w:val="006C4767"/>
    <w:rsid w:val="006C4A1A"/>
    <w:rsid w:val="006C4D02"/>
    <w:rsid w:val="006C4F7E"/>
    <w:rsid w:val="006C53A4"/>
    <w:rsid w:val="006C54DF"/>
    <w:rsid w:val="006C5D2E"/>
    <w:rsid w:val="006C5D5D"/>
    <w:rsid w:val="006C627E"/>
    <w:rsid w:val="006C6303"/>
    <w:rsid w:val="006C6A51"/>
    <w:rsid w:val="006C6EBD"/>
    <w:rsid w:val="006C73ED"/>
    <w:rsid w:val="006C7E04"/>
    <w:rsid w:val="006C7F79"/>
    <w:rsid w:val="006D0004"/>
    <w:rsid w:val="006D015F"/>
    <w:rsid w:val="006D060E"/>
    <w:rsid w:val="006D0665"/>
    <w:rsid w:val="006D0681"/>
    <w:rsid w:val="006D0A80"/>
    <w:rsid w:val="006D0AE8"/>
    <w:rsid w:val="006D135C"/>
    <w:rsid w:val="006D2F72"/>
    <w:rsid w:val="006D43C1"/>
    <w:rsid w:val="006D5442"/>
    <w:rsid w:val="006D647B"/>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89D"/>
    <w:rsid w:val="006E61C8"/>
    <w:rsid w:val="006E727B"/>
    <w:rsid w:val="006E76C8"/>
    <w:rsid w:val="006E7A92"/>
    <w:rsid w:val="006F01FF"/>
    <w:rsid w:val="006F0CB2"/>
    <w:rsid w:val="006F1DE9"/>
    <w:rsid w:val="006F2046"/>
    <w:rsid w:val="006F2F59"/>
    <w:rsid w:val="006F311E"/>
    <w:rsid w:val="006F3442"/>
    <w:rsid w:val="006F36A5"/>
    <w:rsid w:val="006F41F4"/>
    <w:rsid w:val="006F4576"/>
    <w:rsid w:val="006F46E1"/>
    <w:rsid w:val="006F4975"/>
    <w:rsid w:val="006F49D2"/>
    <w:rsid w:val="006F5453"/>
    <w:rsid w:val="006F5813"/>
    <w:rsid w:val="006F59A8"/>
    <w:rsid w:val="006F5A1D"/>
    <w:rsid w:val="006F5A44"/>
    <w:rsid w:val="006F71A6"/>
    <w:rsid w:val="006F7974"/>
    <w:rsid w:val="006F7C2C"/>
    <w:rsid w:val="006F7FD5"/>
    <w:rsid w:val="00700405"/>
    <w:rsid w:val="00700D18"/>
    <w:rsid w:val="0070168D"/>
    <w:rsid w:val="00701C36"/>
    <w:rsid w:val="00702F2D"/>
    <w:rsid w:val="0070353F"/>
    <w:rsid w:val="00703772"/>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0F4F"/>
    <w:rsid w:val="0071108E"/>
    <w:rsid w:val="007119DC"/>
    <w:rsid w:val="00711CC7"/>
    <w:rsid w:val="00711D07"/>
    <w:rsid w:val="0071226D"/>
    <w:rsid w:val="0071230A"/>
    <w:rsid w:val="0071294A"/>
    <w:rsid w:val="00712BDD"/>
    <w:rsid w:val="00712E1E"/>
    <w:rsid w:val="00712F37"/>
    <w:rsid w:val="00713A6B"/>
    <w:rsid w:val="00713CB5"/>
    <w:rsid w:val="0071499C"/>
    <w:rsid w:val="00714F9D"/>
    <w:rsid w:val="007154D8"/>
    <w:rsid w:val="00715577"/>
    <w:rsid w:val="0071604D"/>
    <w:rsid w:val="00716C67"/>
    <w:rsid w:val="00716C8C"/>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3CE"/>
    <w:rsid w:val="00725829"/>
    <w:rsid w:val="00725D6A"/>
    <w:rsid w:val="007263A2"/>
    <w:rsid w:val="007266B9"/>
    <w:rsid w:val="00726B9E"/>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1"/>
    <w:rsid w:val="0073618A"/>
    <w:rsid w:val="007364A3"/>
    <w:rsid w:val="00736740"/>
    <w:rsid w:val="0073709C"/>
    <w:rsid w:val="0073742F"/>
    <w:rsid w:val="007378FD"/>
    <w:rsid w:val="007403FE"/>
    <w:rsid w:val="007409CE"/>
    <w:rsid w:val="007413EB"/>
    <w:rsid w:val="007413FB"/>
    <w:rsid w:val="00742408"/>
    <w:rsid w:val="00742D32"/>
    <w:rsid w:val="00742E9B"/>
    <w:rsid w:val="007444E6"/>
    <w:rsid w:val="00744D06"/>
    <w:rsid w:val="0074592C"/>
    <w:rsid w:val="00745C91"/>
    <w:rsid w:val="00746098"/>
    <w:rsid w:val="00746473"/>
    <w:rsid w:val="00746814"/>
    <w:rsid w:val="00746D58"/>
    <w:rsid w:val="00747578"/>
    <w:rsid w:val="00750D12"/>
    <w:rsid w:val="00751073"/>
    <w:rsid w:val="00751AF2"/>
    <w:rsid w:val="00751B1A"/>
    <w:rsid w:val="00751BD2"/>
    <w:rsid w:val="00751CE5"/>
    <w:rsid w:val="00752188"/>
    <w:rsid w:val="00752CC6"/>
    <w:rsid w:val="00753938"/>
    <w:rsid w:val="00753A57"/>
    <w:rsid w:val="0075409E"/>
    <w:rsid w:val="007543CE"/>
    <w:rsid w:val="0075497E"/>
    <w:rsid w:val="00754A29"/>
    <w:rsid w:val="00754DCC"/>
    <w:rsid w:val="0075511D"/>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5BD7"/>
    <w:rsid w:val="007660EC"/>
    <w:rsid w:val="007662C7"/>
    <w:rsid w:val="00766862"/>
    <w:rsid w:val="0076726C"/>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122"/>
    <w:rsid w:val="00783959"/>
    <w:rsid w:val="00783BA5"/>
    <w:rsid w:val="007844A9"/>
    <w:rsid w:val="007844AF"/>
    <w:rsid w:val="007847B1"/>
    <w:rsid w:val="00785091"/>
    <w:rsid w:val="00785797"/>
    <w:rsid w:val="0078638C"/>
    <w:rsid w:val="007869F9"/>
    <w:rsid w:val="00786CBB"/>
    <w:rsid w:val="00786E21"/>
    <w:rsid w:val="0079038E"/>
    <w:rsid w:val="00790EBB"/>
    <w:rsid w:val="00791C6E"/>
    <w:rsid w:val="00791FA3"/>
    <w:rsid w:val="007921F7"/>
    <w:rsid w:val="00792909"/>
    <w:rsid w:val="00792BC6"/>
    <w:rsid w:val="00792C3F"/>
    <w:rsid w:val="00792EE2"/>
    <w:rsid w:val="00792EFD"/>
    <w:rsid w:val="00793105"/>
    <w:rsid w:val="007931E8"/>
    <w:rsid w:val="00793333"/>
    <w:rsid w:val="00793F57"/>
    <w:rsid w:val="00794158"/>
    <w:rsid w:val="00794509"/>
    <w:rsid w:val="00794D80"/>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DDC"/>
    <w:rsid w:val="007A54F6"/>
    <w:rsid w:val="007A55FE"/>
    <w:rsid w:val="007A582C"/>
    <w:rsid w:val="007A5950"/>
    <w:rsid w:val="007A6D91"/>
    <w:rsid w:val="007A7618"/>
    <w:rsid w:val="007B00C9"/>
    <w:rsid w:val="007B02C7"/>
    <w:rsid w:val="007B0306"/>
    <w:rsid w:val="007B08E4"/>
    <w:rsid w:val="007B0A36"/>
    <w:rsid w:val="007B0D86"/>
    <w:rsid w:val="007B28C3"/>
    <w:rsid w:val="007B3219"/>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8B3"/>
    <w:rsid w:val="007C2D00"/>
    <w:rsid w:val="007C3590"/>
    <w:rsid w:val="007C387A"/>
    <w:rsid w:val="007C3987"/>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C28"/>
    <w:rsid w:val="007D2882"/>
    <w:rsid w:val="007D296C"/>
    <w:rsid w:val="007D2C31"/>
    <w:rsid w:val="007D2E50"/>
    <w:rsid w:val="007D3D74"/>
    <w:rsid w:val="007D445F"/>
    <w:rsid w:val="007D4DED"/>
    <w:rsid w:val="007D4EDC"/>
    <w:rsid w:val="007D5BA2"/>
    <w:rsid w:val="007D5ED3"/>
    <w:rsid w:val="007D682F"/>
    <w:rsid w:val="007D6FB9"/>
    <w:rsid w:val="007D7211"/>
    <w:rsid w:val="007D7569"/>
    <w:rsid w:val="007E0595"/>
    <w:rsid w:val="007E0A63"/>
    <w:rsid w:val="007E0C63"/>
    <w:rsid w:val="007E0E05"/>
    <w:rsid w:val="007E0F5D"/>
    <w:rsid w:val="007E23A1"/>
    <w:rsid w:val="007E259F"/>
    <w:rsid w:val="007E347E"/>
    <w:rsid w:val="007E41A4"/>
    <w:rsid w:val="007E43E3"/>
    <w:rsid w:val="007E4854"/>
    <w:rsid w:val="007E54B8"/>
    <w:rsid w:val="007E5D12"/>
    <w:rsid w:val="007E6420"/>
    <w:rsid w:val="007E677F"/>
    <w:rsid w:val="007E6B25"/>
    <w:rsid w:val="007E6E06"/>
    <w:rsid w:val="007E6F4A"/>
    <w:rsid w:val="007E79CC"/>
    <w:rsid w:val="007F04E6"/>
    <w:rsid w:val="007F1124"/>
    <w:rsid w:val="007F152D"/>
    <w:rsid w:val="007F20C4"/>
    <w:rsid w:val="007F20EE"/>
    <w:rsid w:val="007F23D8"/>
    <w:rsid w:val="007F3030"/>
    <w:rsid w:val="007F307A"/>
    <w:rsid w:val="007F30C6"/>
    <w:rsid w:val="007F318A"/>
    <w:rsid w:val="007F38FD"/>
    <w:rsid w:val="007F3A50"/>
    <w:rsid w:val="007F3C18"/>
    <w:rsid w:val="007F4318"/>
    <w:rsid w:val="007F4709"/>
    <w:rsid w:val="007F47DA"/>
    <w:rsid w:val="007F4E52"/>
    <w:rsid w:val="007F4F84"/>
    <w:rsid w:val="007F5382"/>
    <w:rsid w:val="007F55A4"/>
    <w:rsid w:val="007F5D28"/>
    <w:rsid w:val="007F6260"/>
    <w:rsid w:val="007F682B"/>
    <w:rsid w:val="007F759D"/>
    <w:rsid w:val="007F7745"/>
    <w:rsid w:val="007F78E8"/>
    <w:rsid w:val="007F7F8F"/>
    <w:rsid w:val="00800509"/>
    <w:rsid w:val="0080078E"/>
    <w:rsid w:val="00800B7F"/>
    <w:rsid w:val="008012B1"/>
    <w:rsid w:val="00801466"/>
    <w:rsid w:val="00801D63"/>
    <w:rsid w:val="0080348B"/>
    <w:rsid w:val="00803D82"/>
    <w:rsid w:val="00803D98"/>
    <w:rsid w:val="008052CE"/>
    <w:rsid w:val="008058D0"/>
    <w:rsid w:val="00806A4C"/>
    <w:rsid w:val="00806FED"/>
    <w:rsid w:val="0080705B"/>
    <w:rsid w:val="0080723C"/>
    <w:rsid w:val="00807F71"/>
    <w:rsid w:val="0081000F"/>
    <w:rsid w:val="00811748"/>
    <w:rsid w:val="00812657"/>
    <w:rsid w:val="00812A1A"/>
    <w:rsid w:val="00812DFF"/>
    <w:rsid w:val="0081362F"/>
    <w:rsid w:val="0081383A"/>
    <w:rsid w:val="0081497F"/>
    <w:rsid w:val="00814B90"/>
    <w:rsid w:val="00814FC7"/>
    <w:rsid w:val="008154DA"/>
    <w:rsid w:val="0081660C"/>
    <w:rsid w:val="00816AD8"/>
    <w:rsid w:val="00816AD9"/>
    <w:rsid w:val="00817195"/>
    <w:rsid w:val="00817416"/>
    <w:rsid w:val="00817658"/>
    <w:rsid w:val="008206AE"/>
    <w:rsid w:val="00821271"/>
    <w:rsid w:val="00821306"/>
    <w:rsid w:val="00821361"/>
    <w:rsid w:val="008213D9"/>
    <w:rsid w:val="008216CE"/>
    <w:rsid w:val="008218AE"/>
    <w:rsid w:val="00821D85"/>
    <w:rsid w:val="00821E47"/>
    <w:rsid w:val="008220F6"/>
    <w:rsid w:val="00822456"/>
    <w:rsid w:val="00823819"/>
    <w:rsid w:val="00823C4B"/>
    <w:rsid w:val="00823F50"/>
    <w:rsid w:val="00823FCD"/>
    <w:rsid w:val="0082427D"/>
    <w:rsid w:val="00824872"/>
    <w:rsid w:val="00824FB9"/>
    <w:rsid w:val="00824FD9"/>
    <w:rsid w:val="00825441"/>
    <w:rsid w:val="00826855"/>
    <w:rsid w:val="00826E73"/>
    <w:rsid w:val="00827EFA"/>
    <w:rsid w:val="00830052"/>
    <w:rsid w:val="008300D0"/>
    <w:rsid w:val="008308D8"/>
    <w:rsid w:val="0083093A"/>
    <w:rsid w:val="00830ECE"/>
    <w:rsid w:val="008320D2"/>
    <w:rsid w:val="008321CE"/>
    <w:rsid w:val="0083257C"/>
    <w:rsid w:val="0083261B"/>
    <w:rsid w:val="00832A4F"/>
    <w:rsid w:val="00832B44"/>
    <w:rsid w:val="00832EC9"/>
    <w:rsid w:val="00833307"/>
    <w:rsid w:val="00833583"/>
    <w:rsid w:val="008337CD"/>
    <w:rsid w:val="00833B5B"/>
    <w:rsid w:val="00833E9A"/>
    <w:rsid w:val="00834FEF"/>
    <w:rsid w:val="00836323"/>
    <w:rsid w:val="00836D7F"/>
    <w:rsid w:val="008379FF"/>
    <w:rsid w:val="00837D3D"/>
    <w:rsid w:val="00837E9B"/>
    <w:rsid w:val="008404AA"/>
    <w:rsid w:val="008406D7"/>
    <w:rsid w:val="00840718"/>
    <w:rsid w:val="0084074F"/>
    <w:rsid w:val="008407BA"/>
    <w:rsid w:val="00840AA3"/>
    <w:rsid w:val="00840AAC"/>
    <w:rsid w:val="0084101C"/>
    <w:rsid w:val="0084181B"/>
    <w:rsid w:val="00841F29"/>
    <w:rsid w:val="0084218B"/>
    <w:rsid w:val="008425CC"/>
    <w:rsid w:val="008425DE"/>
    <w:rsid w:val="00842DC2"/>
    <w:rsid w:val="0084357B"/>
    <w:rsid w:val="008465B4"/>
    <w:rsid w:val="00846D25"/>
    <w:rsid w:val="00846E6E"/>
    <w:rsid w:val="00850013"/>
    <w:rsid w:val="008500DD"/>
    <w:rsid w:val="00850A0A"/>
    <w:rsid w:val="00850A94"/>
    <w:rsid w:val="0085199A"/>
    <w:rsid w:val="00851CEF"/>
    <w:rsid w:val="00851E96"/>
    <w:rsid w:val="00851F1C"/>
    <w:rsid w:val="0085237B"/>
    <w:rsid w:val="00852FA5"/>
    <w:rsid w:val="00853864"/>
    <w:rsid w:val="008539F4"/>
    <w:rsid w:val="00853F7D"/>
    <w:rsid w:val="0085517F"/>
    <w:rsid w:val="008551AF"/>
    <w:rsid w:val="0085562D"/>
    <w:rsid w:val="00855A78"/>
    <w:rsid w:val="00856154"/>
    <w:rsid w:val="00856286"/>
    <w:rsid w:val="0085657E"/>
    <w:rsid w:val="00856F0E"/>
    <w:rsid w:val="008573AF"/>
    <w:rsid w:val="008576B0"/>
    <w:rsid w:val="00860296"/>
    <w:rsid w:val="008602E3"/>
    <w:rsid w:val="008609D6"/>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67FC1"/>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77D0D"/>
    <w:rsid w:val="00880354"/>
    <w:rsid w:val="0088069A"/>
    <w:rsid w:val="0088093C"/>
    <w:rsid w:val="00880BC0"/>
    <w:rsid w:val="0088127A"/>
    <w:rsid w:val="00881D59"/>
    <w:rsid w:val="00881EBC"/>
    <w:rsid w:val="008821A9"/>
    <w:rsid w:val="00882991"/>
    <w:rsid w:val="00882EC1"/>
    <w:rsid w:val="0088324E"/>
    <w:rsid w:val="0088434F"/>
    <w:rsid w:val="00884371"/>
    <w:rsid w:val="008848E2"/>
    <w:rsid w:val="00884B7A"/>
    <w:rsid w:val="00884D47"/>
    <w:rsid w:val="00884DEF"/>
    <w:rsid w:val="00885169"/>
    <w:rsid w:val="008856C5"/>
    <w:rsid w:val="0088600D"/>
    <w:rsid w:val="00886112"/>
    <w:rsid w:val="008872B3"/>
    <w:rsid w:val="00887392"/>
    <w:rsid w:val="008873D8"/>
    <w:rsid w:val="00890A64"/>
    <w:rsid w:val="00890C40"/>
    <w:rsid w:val="0089122E"/>
    <w:rsid w:val="008912A7"/>
    <w:rsid w:val="008915B6"/>
    <w:rsid w:val="00891763"/>
    <w:rsid w:val="0089183A"/>
    <w:rsid w:val="008920B4"/>
    <w:rsid w:val="008925EB"/>
    <w:rsid w:val="0089275E"/>
    <w:rsid w:val="00892B43"/>
    <w:rsid w:val="00893432"/>
    <w:rsid w:val="00893936"/>
    <w:rsid w:val="00893CE2"/>
    <w:rsid w:val="00893F41"/>
    <w:rsid w:val="008944BA"/>
    <w:rsid w:val="00894934"/>
    <w:rsid w:val="00895144"/>
    <w:rsid w:val="00895963"/>
    <w:rsid w:val="0089653D"/>
    <w:rsid w:val="008972B6"/>
    <w:rsid w:val="00897339"/>
    <w:rsid w:val="00897697"/>
    <w:rsid w:val="008977E1"/>
    <w:rsid w:val="00897BFA"/>
    <w:rsid w:val="00897D19"/>
    <w:rsid w:val="008A0044"/>
    <w:rsid w:val="008A0BFE"/>
    <w:rsid w:val="008A1023"/>
    <w:rsid w:val="008A1932"/>
    <w:rsid w:val="008A2030"/>
    <w:rsid w:val="008A21D9"/>
    <w:rsid w:val="008A232D"/>
    <w:rsid w:val="008A3182"/>
    <w:rsid w:val="008A3C76"/>
    <w:rsid w:val="008A3D54"/>
    <w:rsid w:val="008A3E10"/>
    <w:rsid w:val="008A404B"/>
    <w:rsid w:val="008A411C"/>
    <w:rsid w:val="008A45AC"/>
    <w:rsid w:val="008A4630"/>
    <w:rsid w:val="008A47CE"/>
    <w:rsid w:val="008A4CF6"/>
    <w:rsid w:val="008A4DFA"/>
    <w:rsid w:val="008A5F2F"/>
    <w:rsid w:val="008A6BAE"/>
    <w:rsid w:val="008A7350"/>
    <w:rsid w:val="008A760A"/>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0E"/>
    <w:rsid w:val="008B48EC"/>
    <w:rsid w:val="008B4AF0"/>
    <w:rsid w:val="008B518E"/>
    <w:rsid w:val="008B527B"/>
    <w:rsid w:val="008B5AB9"/>
    <w:rsid w:val="008B67E6"/>
    <w:rsid w:val="008B69B8"/>
    <w:rsid w:val="008B7042"/>
    <w:rsid w:val="008B770C"/>
    <w:rsid w:val="008C0325"/>
    <w:rsid w:val="008C094A"/>
    <w:rsid w:val="008C1011"/>
    <w:rsid w:val="008C1570"/>
    <w:rsid w:val="008C1792"/>
    <w:rsid w:val="008C17B2"/>
    <w:rsid w:val="008C1E3E"/>
    <w:rsid w:val="008C2059"/>
    <w:rsid w:val="008C21D0"/>
    <w:rsid w:val="008C2DBC"/>
    <w:rsid w:val="008C3639"/>
    <w:rsid w:val="008C3A4E"/>
    <w:rsid w:val="008C3DF0"/>
    <w:rsid w:val="008C4B17"/>
    <w:rsid w:val="008C5371"/>
    <w:rsid w:val="008C546A"/>
    <w:rsid w:val="008C623D"/>
    <w:rsid w:val="008C65F4"/>
    <w:rsid w:val="008C6683"/>
    <w:rsid w:val="008C6917"/>
    <w:rsid w:val="008C6A25"/>
    <w:rsid w:val="008C6D08"/>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48F"/>
    <w:rsid w:val="008D3B9F"/>
    <w:rsid w:val="008D3D02"/>
    <w:rsid w:val="008D3D5A"/>
    <w:rsid w:val="008D3FD6"/>
    <w:rsid w:val="008D4226"/>
    <w:rsid w:val="008D4427"/>
    <w:rsid w:val="008D4D7C"/>
    <w:rsid w:val="008D5432"/>
    <w:rsid w:val="008D54C0"/>
    <w:rsid w:val="008D5558"/>
    <w:rsid w:val="008D5806"/>
    <w:rsid w:val="008D5ED9"/>
    <w:rsid w:val="008D65BE"/>
    <w:rsid w:val="008D7247"/>
    <w:rsid w:val="008D7567"/>
    <w:rsid w:val="008E0EE4"/>
    <w:rsid w:val="008E12BE"/>
    <w:rsid w:val="008E13FD"/>
    <w:rsid w:val="008E1C24"/>
    <w:rsid w:val="008E1FBA"/>
    <w:rsid w:val="008E2626"/>
    <w:rsid w:val="008E27A9"/>
    <w:rsid w:val="008E299E"/>
    <w:rsid w:val="008E2CE4"/>
    <w:rsid w:val="008E323C"/>
    <w:rsid w:val="008E32E0"/>
    <w:rsid w:val="008E35A6"/>
    <w:rsid w:val="008E36D9"/>
    <w:rsid w:val="008E3A1A"/>
    <w:rsid w:val="008E3A5C"/>
    <w:rsid w:val="008E3A9A"/>
    <w:rsid w:val="008E429E"/>
    <w:rsid w:val="008E58A3"/>
    <w:rsid w:val="008E5938"/>
    <w:rsid w:val="008E6109"/>
    <w:rsid w:val="008E6A39"/>
    <w:rsid w:val="008E76BB"/>
    <w:rsid w:val="008F12AD"/>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CE"/>
    <w:rsid w:val="009000F2"/>
    <w:rsid w:val="00900675"/>
    <w:rsid w:val="0090079D"/>
    <w:rsid w:val="0090086A"/>
    <w:rsid w:val="00900D2C"/>
    <w:rsid w:val="00901807"/>
    <w:rsid w:val="00901F0E"/>
    <w:rsid w:val="009026F1"/>
    <w:rsid w:val="00902A26"/>
    <w:rsid w:val="00902A57"/>
    <w:rsid w:val="00902B29"/>
    <w:rsid w:val="00903C83"/>
    <w:rsid w:val="00903D77"/>
    <w:rsid w:val="0090408F"/>
    <w:rsid w:val="0090446A"/>
    <w:rsid w:val="00904537"/>
    <w:rsid w:val="00904746"/>
    <w:rsid w:val="00904DC3"/>
    <w:rsid w:val="0090534A"/>
    <w:rsid w:val="00905469"/>
    <w:rsid w:val="00905B3B"/>
    <w:rsid w:val="00906078"/>
    <w:rsid w:val="0090629C"/>
    <w:rsid w:val="00906EA2"/>
    <w:rsid w:val="00907278"/>
    <w:rsid w:val="009076CA"/>
    <w:rsid w:val="00910041"/>
    <w:rsid w:val="00910D5C"/>
    <w:rsid w:val="0091112B"/>
    <w:rsid w:val="00911D61"/>
    <w:rsid w:val="00912850"/>
    <w:rsid w:val="009128B8"/>
    <w:rsid w:val="009141F2"/>
    <w:rsid w:val="0091472C"/>
    <w:rsid w:val="00914DC9"/>
    <w:rsid w:val="00915243"/>
    <w:rsid w:val="00915351"/>
    <w:rsid w:val="00915679"/>
    <w:rsid w:val="009159C2"/>
    <w:rsid w:val="0091627F"/>
    <w:rsid w:val="00916825"/>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70B"/>
    <w:rsid w:val="0093386D"/>
    <w:rsid w:val="00934C8E"/>
    <w:rsid w:val="00934E28"/>
    <w:rsid w:val="00934EB8"/>
    <w:rsid w:val="00935194"/>
    <w:rsid w:val="0093545F"/>
    <w:rsid w:val="0093554C"/>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61D"/>
    <w:rsid w:val="0095370A"/>
    <w:rsid w:val="009537C0"/>
    <w:rsid w:val="00955233"/>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316"/>
    <w:rsid w:val="009625B7"/>
    <w:rsid w:val="00962FB8"/>
    <w:rsid w:val="00963183"/>
    <w:rsid w:val="0096356A"/>
    <w:rsid w:val="0096373F"/>
    <w:rsid w:val="00964007"/>
    <w:rsid w:val="00964283"/>
    <w:rsid w:val="009642A4"/>
    <w:rsid w:val="009643F4"/>
    <w:rsid w:val="009645A6"/>
    <w:rsid w:val="00964F5A"/>
    <w:rsid w:val="0096527F"/>
    <w:rsid w:val="009653ED"/>
    <w:rsid w:val="00965468"/>
    <w:rsid w:val="009664AE"/>
    <w:rsid w:val="00966A21"/>
    <w:rsid w:val="00966AD2"/>
    <w:rsid w:val="009672E4"/>
    <w:rsid w:val="0097025C"/>
    <w:rsid w:val="00971415"/>
    <w:rsid w:val="009716D8"/>
    <w:rsid w:val="00971F54"/>
    <w:rsid w:val="00972057"/>
    <w:rsid w:val="0097227B"/>
    <w:rsid w:val="0097262E"/>
    <w:rsid w:val="0097293F"/>
    <w:rsid w:val="00973103"/>
    <w:rsid w:val="00974022"/>
    <w:rsid w:val="009743E8"/>
    <w:rsid w:val="009745D8"/>
    <w:rsid w:val="00974C13"/>
    <w:rsid w:val="00974F3B"/>
    <w:rsid w:val="0097552A"/>
    <w:rsid w:val="0097564A"/>
    <w:rsid w:val="00975974"/>
    <w:rsid w:val="00975D06"/>
    <w:rsid w:val="00975D63"/>
    <w:rsid w:val="00975DAE"/>
    <w:rsid w:val="00976BBE"/>
    <w:rsid w:val="00976ECE"/>
    <w:rsid w:val="009779F8"/>
    <w:rsid w:val="0098055B"/>
    <w:rsid w:val="00980B30"/>
    <w:rsid w:val="009810BE"/>
    <w:rsid w:val="00981696"/>
    <w:rsid w:val="009817BC"/>
    <w:rsid w:val="009819A7"/>
    <w:rsid w:val="0098220A"/>
    <w:rsid w:val="00982E75"/>
    <w:rsid w:val="00983337"/>
    <w:rsid w:val="009836AA"/>
    <w:rsid w:val="009840C1"/>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CD2"/>
    <w:rsid w:val="00990EB7"/>
    <w:rsid w:val="00990F5F"/>
    <w:rsid w:val="009911A7"/>
    <w:rsid w:val="009913B8"/>
    <w:rsid w:val="009914E4"/>
    <w:rsid w:val="00992141"/>
    <w:rsid w:val="009921DB"/>
    <w:rsid w:val="00992509"/>
    <w:rsid w:val="00992C67"/>
    <w:rsid w:val="00992D5B"/>
    <w:rsid w:val="00993135"/>
    <w:rsid w:val="00993AA7"/>
    <w:rsid w:val="00993AC7"/>
    <w:rsid w:val="00993BAD"/>
    <w:rsid w:val="00993E49"/>
    <w:rsid w:val="00994120"/>
    <w:rsid w:val="009942F5"/>
    <w:rsid w:val="00994568"/>
    <w:rsid w:val="00994602"/>
    <w:rsid w:val="0099493F"/>
    <w:rsid w:val="009954B7"/>
    <w:rsid w:val="00995B01"/>
    <w:rsid w:val="00996055"/>
    <w:rsid w:val="00996DB4"/>
    <w:rsid w:val="00996E2E"/>
    <w:rsid w:val="00996EF4"/>
    <w:rsid w:val="00997044"/>
    <w:rsid w:val="00997727"/>
    <w:rsid w:val="00997BC9"/>
    <w:rsid w:val="00997C44"/>
    <w:rsid w:val="009A113D"/>
    <w:rsid w:val="009A1ECA"/>
    <w:rsid w:val="009A2BE9"/>
    <w:rsid w:val="009A2BF3"/>
    <w:rsid w:val="009A3688"/>
    <w:rsid w:val="009A3713"/>
    <w:rsid w:val="009A3C3E"/>
    <w:rsid w:val="009A4153"/>
    <w:rsid w:val="009A4C2C"/>
    <w:rsid w:val="009A4E60"/>
    <w:rsid w:val="009A543A"/>
    <w:rsid w:val="009A5620"/>
    <w:rsid w:val="009A59B3"/>
    <w:rsid w:val="009A5FAE"/>
    <w:rsid w:val="009A6454"/>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B8F"/>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75B"/>
    <w:rsid w:val="009D03B7"/>
    <w:rsid w:val="009D07AD"/>
    <w:rsid w:val="009D0824"/>
    <w:rsid w:val="009D0A54"/>
    <w:rsid w:val="009D1172"/>
    <w:rsid w:val="009D13CC"/>
    <w:rsid w:val="009D14C1"/>
    <w:rsid w:val="009D1654"/>
    <w:rsid w:val="009D1AAC"/>
    <w:rsid w:val="009D1BDB"/>
    <w:rsid w:val="009D23B3"/>
    <w:rsid w:val="009D298F"/>
    <w:rsid w:val="009D2F9C"/>
    <w:rsid w:val="009D4207"/>
    <w:rsid w:val="009D4508"/>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1EB6"/>
    <w:rsid w:val="009E377C"/>
    <w:rsid w:val="009E38D1"/>
    <w:rsid w:val="009E3DF1"/>
    <w:rsid w:val="009E44C6"/>
    <w:rsid w:val="009E514A"/>
    <w:rsid w:val="009E5177"/>
    <w:rsid w:val="009E5701"/>
    <w:rsid w:val="009E5711"/>
    <w:rsid w:val="009E758E"/>
    <w:rsid w:val="009E7A4B"/>
    <w:rsid w:val="009E7BA2"/>
    <w:rsid w:val="009E7BFB"/>
    <w:rsid w:val="009E7D6B"/>
    <w:rsid w:val="009E7E81"/>
    <w:rsid w:val="009F020A"/>
    <w:rsid w:val="009F057B"/>
    <w:rsid w:val="009F05AD"/>
    <w:rsid w:val="009F0659"/>
    <w:rsid w:val="009F1109"/>
    <w:rsid w:val="009F143E"/>
    <w:rsid w:val="009F1DE8"/>
    <w:rsid w:val="009F2186"/>
    <w:rsid w:val="009F227C"/>
    <w:rsid w:val="009F28DC"/>
    <w:rsid w:val="009F2BE1"/>
    <w:rsid w:val="009F2EDB"/>
    <w:rsid w:val="009F304C"/>
    <w:rsid w:val="009F33DC"/>
    <w:rsid w:val="009F3572"/>
    <w:rsid w:val="009F4550"/>
    <w:rsid w:val="009F56C0"/>
    <w:rsid w:val="009F5C76"/>
    <w:rsid w:val="00A000C5"/>
    <w:rsid w:val="00A0051A"/>
    <w:rsid w:val="00A007B4"/>
    <w:rsid w:val="00A00930"/>
    <w:rsid w:val="00A00CA0"/>
    <w:rsid w:val="00A00E00"/>
    <w:rsid w:val="00A01221"/>
    <w:rsid w:val="00A012A8"/>
    <w:rsid w:val="00A012F1"/>
    <w:rsid w:val="00A016FF"/>
    <w:rsid w:val="00A01886"/>
    <w:rsid w:val="00A0192D"/>
    <w:rsid w:val="00A0207F"/>
    <w:rsid w:val="00A021AF"/>
    <w:rsid w:val="00A027B1"/>
    <w:rsid w:val="00A0307A"/>
    <w:rsid w:val="00A03A7C"/>
    <w:rsid w:val="00A044AA"/>
    <w:rsid w:val="00A0686F"/>
    <w:rsid w:val="00A06CF0"/>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06DD"/>
    <w:rsid w:val="00A21838"/>
    <w:rsid w:val="00A22530"/>
    <w:rsid w:val="00A22C10"/>
    <w:rsid w:val="00A22C3E"/>
    <w:rsid w:val="00A22C4D"/>
    <w:rsid w:val="00A2334E"/>
    <w:rsid w:val="00A23442"/>
    <w:rsid w:val="00A249D2"/>
    <w:rsid w:val="00A254AB"/>
    <w:rsid w:val="00A259F2"/>
    <w:rsid w:val="00A266B3"/>
    <w:rsid w:val="00A266CC"/>
    <w:rsid w:val="00A26DB4"/>
    <w:rsid w:val="00A27425"/>
    <w:rsid w:val="00A3023E"/>
    <w:rsid w:val="00A305C5"/>
    <w:rsid w:val="00A30919"/>
    <w:rsid w:val="00A30AD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687"/>
    <w:rsid w:val="00A41819"/>
    <w:rsid w:val="00A41C9A"/>
    <w:rsid w:val="00A41D73"/>
    <w:rsid w:val="00A41E99"/>
    <w:rsid w:val="00A42406"/>
    <w:rsid w:val="00A42A74"/>
    <w:rsid w:val="00A433E8"/>
    <w:rsid w:val="00A43A1D"/>
    <w:rsid w:val="00A43AB0"/>
    <w:rsid w:val="00A44854"/>
    <w:rsid w:val="00A44A45"/>
    <w:rsid w:val="00A45660"/>
    <w:rsid w:val="00A4665D"/>
    <w:rsid w:val="00A46859"/>
    <w:rsid w:val="00A46C1E"/>
    <w:rsid w:val="00A46D39"/>
    <w:rsid w:val="00A47019"/>
    <w:rsid w:val="00A472B8"/>
    <w:rsid w:val="00A47D57"/>
    <w:rsid w:val="00A5004A"/>
    <w:rsid w:val="00A5017C"/>
    <w:rsid w:val="00A502D6"/>
    <w:rsid w:val="00A502F5"/>
    <w:rsid w:val="00A504F4"/>
    <w:rsid w:val="00A507C4"/>
    <w:rsid w:val="00A508AA"/>
    <w:rsid w:val="00A50EE7"/>
    <w:rsid w:val="00A51BDA"/>
    <w:rsid w:val="00A526CE"/>
    <w:rsid w:val="00A53224"/>
    <w:rsid w:val="00A53D28"/>
    <w:rsid w:val="00A5468F"/>
    <w:rsid w:val="00A54909"/>
    <w:rsid w:val="00A54DC0"/>
    <w:rsid w:val="00A5507E"/>
    <w:rsid w:val="00A550C9"/>
    <w:rsid w:val="00A55228"/>
    <w:rsid w:val="00A55410"/>
    <w:rsid w:val="00A55A04"/>
    <w:rsid w:val="00A564DE"/>
    <w:rsid w:val="00A6054E"/>
    <w:rsid w:val="00A60722"/>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5E2"/>
    <w:rsid w:val="00A66B50"/>
    <w:rsid w:val="00A66E28"/>
    <w:rsid w:val="00A6707F"/>
    <w:rsid w:val="00A67429"/>
    <w:rsid w:val="00A677E7"/>
    <w:rsid w:val="00A67CE9"/>
    <w:rsid w:val="00A70590"/>
    <w:rsid w:val="00A7062E"/>
    <w:rsid w:val="00A70834"/>
    <w:rsid w:val="00A71542"/>
    <w:rsid w:val="00A7171F"/>
    <w:rsid w:val="00A719BC"/>
    <w:rsid w:val="00A71FA0"/>
    <w:rsid w:val="00A71FBD"/>
    <w:rsid w:val="00A72727"/>
    <w:rsid w:val="00A727D8"/>
    <w:rsid w:val="00A728A1"/>
    <w:rsid w:val="00A72C1A"/>
    <w:rsid w:val="00A732FB"/>
    <w:rsid w:val="00A7463E"/>
    <w:rsid w:val="00A74E67"/>
    <w:rsid w:val="00A758E2"/>
    <w:rsid w:val="00A7654B"/>
    <w:rsid w:val="00A765B1"/>
    <w:rsid w:val="00A76C5A"/>
    <w:rsid w:val="00A772F2"/>
    <w:rsid w:val="00A77828"/>
    <w:rsid w:val="00A77BAA"/>
    <w:rsid w:val="00A77E6D"/>
    <w:rsid w:val="00A800F9"/>
    <w:rsid w:val="00A803A6"/>
    <w:rsid w:val="00A8073D"/>
    <w:rsid w:val="00A80939"/>
    <w:rsid w:val="00A80D02"/>
    <w:rsid w:val="00A815FB"/>
    <w:rsid w:val="00A81AEB"/>
    <w:rsid w:val="00A82D32"/>
    <w:rsid w:val="00A82EAE"/>
    <w:rsid w:val="00A82FC7"/>
    <w:rsid w:val="00A83FDA"/>
    <w:rsid w:val="00A847F9"/>
    <w:rsid w:val="00A84F27"/>
    <w:rsid w:val="00A8519C"/>
    <w:rsid w:val="00A855EE"/>
    <w:rsid w:val="00A8597A"/>
    <w:rsid w:val="00A85B87"/>
    <w:rsid w:val="00A85C8D"/>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557E"/>
    <w:rsid w:val="00A962AE"/>
    <w:rsid w:val="00A96724"/>
    <w:rsid w:val="00A9686A"/>
    <w:rsid w:val="00A96B4A"/>
    <w:rsid w:val="00A976DD"/>
    <w:rsid w:val="00A97BDA"/>
    <w:rsid w:val="00AA043A"/>
    <w:rsid w:val="00AA0779"/>
    <w:rsid w:val="00AA08F3"/>
    <w:rsid w:val="00AA0A7E"/>
    <w:rsid w:val="00AA0F23"/>
    <w:rsid w:val="00AA1067"/>
    <w:rsid w:val="00AA1163"/>
    <w:rsid w:val="00AA1DA8"/>
    <w:rsid w:val="00AA222C"/>
    <w:rsid w:val="00AA2264"/>
    <w:rsid w:val="00AA2335"/>
    <w:rsid w:val="00AA238E"/>
    <w:rsid w:val="00AA2483"/>
    <w:rsid w:val="00AA253B"/>
    <w:rsid w:val="00AA29F8"/>
    <w:rsid w:val="00AA2FB1"/>
    <w:rsid w:val="00AA3243"/>
    <w:rsid w:val="00AA388F"/>
    <w:rsid w:val="00AA3C4C"/>
    <w:rsid w:val="00AA3EBF"/>
    <w:rsid w:val="00AA408E"/>
    <w:rsid w:val="00AA4DA9"/>
    <w:rsid w:val="00AA4F6D"/>
    <w:rsid w:val="00AA50CE"/>
    <w:rsid w:val="00AA536B"/>
    <w:rsid w:val="00AA57C9"/>
    <w:rsid w:val="00AA5A5C"/>
    <w:rsid w:val="00AA5A6F"/>
    <w:rsid w:val="00AA634D"/>
    <w:rsid w:val="00AA64CC"/>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8ED"/>
    <w:rsid w:val="00AB4E41"/>
    <w:rsid w:val="00AB5EB1"/>
    <w:rsid w:val="00AB6003"/>
    <w:rsid w:val="00AB759A"/>
    <w:rsid w:val="00AB7B06"/>
    <w:rsid w:val="00AB7EAA"/>
    <w:rsid w:val="00AC0432"/>
    <w:rsid w:val="00AC0770"/>
    <w:rsid w:val="00AC1304"/>
    <w:rsid w:val="00AC1683"/>
    <w:rsid w:val="00AC184D"/>
    <w:rsid w:val="00AC1D82"/>
    <w:rsid w:val="00AC2686"/>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15F"/>
    <w:rsid w:val="00AD447E"/>
    <w:rsid w:val="00AD4B2F"/>
    <w:rsid w:val="00AD4CBE"/>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6CF9"/>
    <w:rsid w:val="00AE71EE"/>
    <w:rsid w:val="00AF03CF"/>
    <w:rsid w:val="00AF0565"/>
    <w:rsid w:val="00AF0A0A"/>
    <w:rsid w:val="00AF14FC"/>
    <w:rsid w:val="00AF178B"/>
    <w:rsid w:val="00AF1ED2"/>
    <w:rsid w:val="00AF1F4E"/>
    <w:rsid w:val="00AF2302"/>
    <w:rsid w:val="00AF262A"/>
    <w:rsid w:val="00AF3557"/>
    <w:rsid w:val="00AF3F86"/>
    <w:rsid w:val="00AF4CEE"/>
    <w:rsid w:val="00AF4F4A"/>
    <w:rsid w:val="00AF584C"/>
    <w:rsid w:val="00AF5CCA"/>
    <w:rsid w:val="00AF5D84"/>
    <w:rsid w:val="00AF6476"/>
    <w:rsid w:val="00AF6696"/>
    <w:rsid w:val="00AF669D"/>
    <w:rsid w:val="00AF672C"/>
    <w:rsid w:val="00AF673E"/>
    <w:rsid w:val="00AF6ABE"/>
    <w:rsid w:val="00AF7389"/>
    <w:rsid w:val="00AF79DF"/>
    <w:rsid w:val="00AF7C37"/>
    <w:rsid w:val="00B00378"/>
    <w:rsid w:val="00B00D91"/>
    <w:rsid w:val="00B00E84"/>
    <w:rsid w:val="00B01956"/>
    <w:rsid w:val="00B01DD9"/>
    <w:rsid w:val="00B01F0E"/>
    <w:rsid w:val="00B02313"/>
    <w:rsid w:val="00B02E56"/>
    <w:rsid w:val="00B0308C"/>
    <w:rsid w:val="00B0315F"/>
    <w:rsid w:val="00B03338"/>
    <w:rsid w:val="00B03342"/>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239"/>
    <w:rsid w:val="00B20760"/>
    <w:rsid w:val="00B2125C"/>
    <w:rsid w:val="00B21676"/>
    <w:rsid w:val="00B219E1"/>
    <w:rsid w:val="00B21ECF"/>
    <w:rsid w:val="00B22150"/>
    <w:rsid w:val="00B226DE"/>
    <w:rsid w:val="00B22FB5"/>
    <w:rsid w:val="00B24184"/>
    <w:rsid w:val="00B241D5"/>
    <w:rsid w:val="00B24BE9"/>
    <w:rsid w:val="00B2551D"/>
    <w:rsid w:val="00B25F8C"/>
    <w:rsid w:val="00B260BE"/>
    <w:rsid w:val="00B26677"/>
    <w:rsid w:val="00B268B5"/>
    <w:rsid w:val="00B26A96"/>
    <w:rsid w:val="00B274E3"/>
    <w:rsid w:val="00B2765C"/>
    <w:rsid w:val="00B27C4B"/>
    <w:rsid w:val="00B30563"/>
    <w:rsid w:val="00B3069E"/>
    <w:rsid w:val="00B30A76"/>
    <w:rsid w:val="00B31246"/>
    <w:rsid w:val="00B31F8E"/>
    <w:rsid w:val="00B32295"/>
    <w:rsid w:val="00B33AB5"/>
    <w:rsid w:val="00B3412E"/>
    <w:rsid w:val="00B343E0"/>
    <w:rsid w:val="00B34F12"/>
    <w:rsid w:val="00B35B6D"/>
    <w:rsid w:val="00B35D53"/>
    <w:rsid w:val="00B36070"/>
    <w:rsid w:val="00B367C4"/>
    <w:rsid w:val="00B36D3E"/>
    <w:rsid w:val="00B37B8E"/>
    <w:rsid w:val="00B37FB9"/>
    <w:rsid w:val="00B40222"/>
    <w:rsid w:val="00B404C3"/>
    <w:rsid w:val="00B41422"/>
    <w:rsid w:val="00B41938"/>
    <w:rsid w:val="00B41A04"/>
    <w:rsid w:val="00B42743"/>
    <w:rsid w:val="00B430E9"/>
    <w:rsid w:val="00B4311F"/>
    <w:rsid w:val="00B431AE"/>
    <w:rsid w:val="00B43954"/>
    <w:rsid w:val="00B44288"/>
    <w:rsid w:val="00B448BF"/>
    <w:rsid w:val="00B45A30"/>
    <w:rsid w:val="00B45A59"/>
    <w:rsid w:val="00B45F9F"/>
    <w:rsid w:val="00B4627C"/>
    <w:rsid w:val="00B4641F"/>
    <w:rsid w:val="00B46793"/>
    <w:rsid w:val="00B46871"/>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EB9"/>
    <w:rsid w:val="00B53F9B"/>
    <w:rsid w:val="00B54B19"/>
    <w:rsid w:val="00B55F64"/>
    <w:rsid w:val="00B56ECA"/>
    <w:rsid w:val="00B57093"/>
    <w:rsid w:val="00B57B5D"/>
    <w:rsid w:val="00B60613"/>
    <w:rsid w:val="00B61AEC"/>
    <w:rsid w:val="00B61CF5"/>
    <w:rsid w:val="00B6244C"/>
    <w:rsid w:val="00B62A2F"/>
    <w:rsid w:val="00B62B7B"/>
    <w:rsid w:val="00B62F0A"/>
    <w:rsid w:val="00B63484"/>
    <w:rsid w:val="00B634B7"/>
    <w:rsid w:val="00B634F1"/>
    <w:rsid w:val="00B637EF"/>
    <w:rsid w:val="00B63EF6"/>
    <w:rsid w:val="00B6440A"/>
    <w:rsid w:val="00B65788"/>
    <w:rsid w:val="00B65844"/>
    <w:rsid w:val="00B65C19"/>
    <w:rsid w:val="00B66054"/>
    <w:rsid w:val="00B6677F"/>
    <w:rsid w:val="00B66C7A"/>
    <w:rsid w:val="00B672EA"/>
    <w:rsid w:val="00B6747B"/>
    <w:rsid w:val="00B677B4"/>
    <w:rsid w:val="00B70200"/>
    <w:rsid w:val="00B702D7"/>
    <w:rsid w:val="00B70389"/>
    <w:rsid w:val="00B70E01"/>
    <w:rsid w:val="00B7178D"/>
    <w:rsid w:val="00B718FA"/>
    <w:rsid w:val="00B72A0B"/>
    <w:rsid w:val="00B72CF0"/>
    <w:rsid w:val="00B72F47"/>
    <w:rsid w:val="00B7380E"/>
    <w:rsid w:val="00B740F6"/>
    <w:rsid w:val="00B74615"/>
    <w:rsid w:val="00B74789"/>
    <w:rsid w:val="00B75522"/>
    <w:rsid w:val="00B755B6"/>
    <w:rsid w:val="00B75977"/>
    <w:rsid w:val="00B75A48"/>
    <w:rsid w:val="00B75CC0"/>
    <w:rsid w:val="00B76021"/>
    <w:rsid w:val="00B766F6"/>
    <w:rsid w:val="00B76FCD"/>
    <w:rsid w:val="00B7764D"/>
    <w:rsid w:val="00B8023D"/>
    <w:rsid w:val="00B804F8"/>
    <w:rsid w:val="00B8095A"/>
    <w:rsid w:val="00B81274"/>
    <w:rsid w:val="00B815D3"/>
    <w:rsid w:val="00B81742"/>
    <w:rsid w:val="00B817B5"/>
    <w:rsid w:val="00B81C0F"/>
    <w:rsid w:val="00B823A6"/>
    <w:rsid w:val="00B830A5"/>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2D07"/>
    <w:rsid w:val="00B93849"/>
    <w:rsid w:val="00B938BD"/>
    <w:rsid w:val="00B93CF3"/>
    <w:rsid w:val="00B9407F"/>
    <w:rsid w:val="00B944E9"/>
    <w:rsid w:val="00B945D7"/>
    <w:rsid w:val="00B94896"/>
    <w:rsid w:val="00B94CDD"/>
    <w:rsid w:val="00B94DA7"/>
    <w:rsid w:val="00B95163"/>
    <w:rsid w:val="00B954D0"/>
    <w:rsid w:val="00B95E2B"/>
    <w:rsid w:val="00B96DD9"/>
    <w:rsid w:val="00B96EA6"/>
    <w:rsid w:val="00B9789D"/>
    <w:rsid w:val="00B97A4C"/>
    <w:rsid w:val="00B97E10"/>
    <w:rsid w:val="00BA050E"/>
    <w:rsid w:val="00BA1289"/>
    <w:rsid w:val="00BA14B2"/>
    <w:rsid w:val="00BA15DC"/>
    <w:rsid w:val="00BA1E2F"/>
    <w:rsid w:val="00BA1EB8"/>
    <w:rsid w:val="00BA2C82"/>
    <w:rsid w:val="00BA3869"/>
    <w:rsid w:val="00BA4399"/>
    <w:rsid w:val="00BA4452"/>
    <w:rsid w:val="00BA46C6"/>
    <w:rsid w:val="00BA4ACF"/>
    <w:rsid w:val="00BA5039"/>
    <w:rsid w:val="00BA513E"/>
    <w:rsid w:val="00BA583B"/>
    <w:rsid w:val="00BA5DF2"/>
    <w:rsid w:val="00BA5EC7"/>
    <w:rsid w:val="00BA6319"/>
    <w:rsid w:val="00BA63CE"/>
    <w:rsid w:val="00BA676E"/>
    <w:rsid w:val="00BA6980"/>
    <w:rsid w:val="00BA6EF2"/>
    <w:rsid w:val="00BA7227"/>
    <w:rsid w:val="00BA763C"/>
    <w:rsid w:val="00BA784C"/>
    <w:rsid w:val="00BA784D"/>
    <w:rsid w:val="00BA7CD7"/>
    <w:rsid w:val="00BB00E5"/>
    <w:rsid w:val="00BB1688"/>
    <w:rsid w:val="00BB1EFB"/>
    <w:rsid w:val="00BB269F"/>
    <w:rsid w:val="00BB27CC"/>
    <w:rsid w:val="00BB2ACE"/>
    <w:rsid w:val="00BB2E4E"/>
    <w:rsid w:val="00BB2E62"/>
    <w:rsid w:val="00BB36C9"/>
    <w:rsid w:val="00BB3A66"/>
    <w:rsid w:val="00BB40D1"/>
    <w:rsid w:val="00BB5A50"/>
    <w:rsid w:val="00BB5ED5"/>
    <w:rsid w:val="00BB6D85"/>
    <w:rsid w:val="00BB777D"/>
    <w:rsid w:val="00BB7EC0"/>
    <w:rsid w:val="00BB7F88"/>
    <w:rsid w:val="00BC0207"/>
    <w:rsid w:val="00BC089F"/>
    <w:rsid w:val="00BC0A0C"/>
    <w:rsid w:val="00BC0A5A"/>
    <w:rsid w:val="00BC0E64"/>
    <w:rsid w:val="00BC25D1"/>
    <w:rsid w:val="00BC2DBD"/>
    <w:rsid w:val="00BC3BB1"/>
    <w:rsid w:val="00BC3BCB"/>
    <w:rsid w:val="00BC3CF1"/>
    <w:rsid w:val="00BC4202"/>
    <w:rsid w:val="00BC428A"/>
    <w:rsid w:val="00BC4741"/>
    <w:rsid w:val="00BC4828"/>
    <w:rsid w:val="00BC4C40"/>
    <w:rsid w:val="00BC5A29"/>
    <w:rsid w:val="00BC5AE3"/>
    <w:rsid w:val="00BC5BAD"/>
    <w:rsid w:val="00BC692A"/>
    <w:rsid w:val="00BC6F92"/>
    <w:rsid w:val="00BC76C5"/>
    <w:rsid w:val="00BC7F94"/>
    <w:rsid w:val="00BD01D7"/>
    <w:rsid w:val="00BD0E25"/>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D7E3C"/>
    <w:rsid w:val="00BE0591"/>
    <w:rsid w:val="00BE0C55"/>
    <w:rsid w:val="00BE0F03"/>
    <w:rsid w:val="00BE11A2"/>
    <w:rsid w:val="00BE1EF0"/>
    <w:rsid w:val="00BE246C"/>
    <w:rsid w:val="00BE2657"/>
    <w:rsid w:val="00BE2687"/>
    <w:rsid w:val="00BE2FD2"/>
    <w:rsid w:val="00BE377A"/>
    <w:rsid w:val="00BE37AE"/>
    <w:rsid w:val="00BE3B14"/>
    <w:rsid w:val="00BE3C65"/>
    <w:rsid w:val="00BE3CA7"/>
    <w:rsid w:val="00BE4222"/>
    <w:rsid w:val="00BE472D"/>
    <w:rsid w:val="00BE4C03"/>
    <w:rsid w:val="00BE67FB"/>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1EE"/>
    <w:rsid w:val="00C04314"/>
    <w:rsid w:val="00C04BD0"/>
    <w:rsid w:val="00C05730"/>
    <w:rsid w:val="00C05AF4"/>
    <w:rsid w:val="00C05AFD"/>
    <w:rsid w:val="00C0661C"/>
    <w:rsid w:val="00C0675F"/>
    <w:rsid w:val="00C06CC4"/>
    <w:rsid w:val="00C06ECC"/>
    <w:rsid w:val="00C0702A"/>
    <w:rsid w:val="00C0724C"/>
    <w:rsid w:val="00C078B5"/>
    <w:rsid w:val="00C07C11"/>
    <w:rsid w:val="00C07E10"/>
    <w:rsid w:val="00C10015"/>
    <w:rsid w:val="00C10A4E"/>
    <w:rsid w:val="00C10D3B"/>
    <w:rsid w:val="00C1110A"/>
    <w:rsid w:val="00C11689"/>
    <w:rsid w:val="00C12414"/>
    <w:rsid w:val="00C12ECB"/>
    <w:rsid w:val="00C145BE"/>
    <w:rsid w:val="00C148B2"/>
    <w:rsid w:val="00C14ABD"/>
    <w:rsid w:val="00C151E0"/>
    <w:rsid w:val="00C15456"/>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264"/>
    <w:rsid w:val="00C215ED"/>
    <w:rsid w:val="00C22350"/>
    <w:rsid w:val="00C2243D"/>
    <w:rsid w:val="00C22B96"/>
    <w:rsid w:val="00C2302B"/>
    <w:rsid w:val="00C23615"/>
    <w:rsid w:val="00C2397E"/>
    <w:rsid w:val="00C23A83"/>
    <w:rsid w:val="00C24381"/>
    <w:rsid w:val="00C24801"/>
    <w:rsid w:val="00C24C2E"/>
    <w:rsid w:val="00C24C7A"/>
    <w:rsid w:val="00C24FFB"/>
    <w:rsid w:val="00C253F2"/>
    <w:rsid w:val="00C25936"/>
    <w:rsid w:val="00C25CFF"/>
    <w:rsid w:val="00C25EA6"/>
    <w:rsid w:val="00C26164"/>
    <w:rsid w:val="00C261C1"/>
    <w:rsid w:val="00C26574"/>
    <w:rsid w:val="00C26DBF"/>
    <w:rsid w:val="00C27199"/>
    <w:rsid w:val="00C27204"/>
    <w:rsid w:val="00C304E9"/>
    <w:rsid w:val="00C30A3F"/>
    <w:rsid w:val="00C30B0B"/>
    <w:rsid w:val="00C31320"/>
    <w:rsid w:val="00C316B4"/>
    <w:rsid w:val="00C31A82"/>
    <w:rsid w:val="00C325D7"/>
    <w:rsid w:val="00C332D4"/>
    <w:rsid w:val="00C33A66"/>
    <w:rsid w:val="00C33E51"/>
    <w:rsid w:val="00C33F3A"/>
    <w:rsid w:val="00C34C45"/>
    <w:rsid w:val="00C34C47"/>
    <w:rsid w:val="00C34FCE"/>
    <w:rsid w:val="00C350FE"/>
    <w:rsid w:val="00C35411"/>
    <w:rsid w:val="00C35EED"/>
    <w:rsid w:val="00C36B2C"/>
    <w:rsid w:val="00C3701A"/>
    <w:rsid w:val="00C379EF"/>
    <w:rsid w:val="00C405C8"/>
    <w:rsid w:val="00C40C2F"/>
    <w:rsid w:val="00C40EF1"/>
    <w:rsid w:val="00C4153D"/>
    <w:rsid w:val="00C415AC"/>
    <w:rsid w:val="00C4297A"/>
    <w:rsid w:val="00C42A31"/>
    <w:rsid w:val="00C4360C"/>
    <w:rsid w:val="00C439B8"/>
    <w:rsid w:val="00C43A0B"/>
    <w:rsid w:val="00C43EDA"/>
    <w:rsid w:val="00C43FEC"/>
    <w:rsid w:val="00C4414C"/>
    <w:rsid w:val="00C45512"/>
    <w:rsid w:val="00C4602B"/>
    <w:rsid w:val="00C46564"/>
    <w:rsid w:val="00C4660E"/>
    <w:rsid w:val="00C46BFA"/>
    <w:rsid w:val="00C46DDF"/>
    <w:rsid w:val="00C500A1"/>
    <w:rsid w:val="00C50A02"/>
    <w:rsid w:val="00C51149"/>
    <w:rsid w:val="00C5117E"/>
    <w:rsid w:val="00C512D1"/>
    <w:rsid w:val="00C51856"/>
    <w:rsid w:val="00C51B04"/>
    <w:rsid w:val="00C51DB5"/>
    <w:rsid w:val="00C53CE9"/>
    <w:rsid w:val="00C5531B"/>
    <w:rsid w:val="00C55375"/>
    <w:rsid w:val="00C554E3"/>
    <w:rsid w:val="00C5570F"/>
    <w:rsid w:val="00C56C98"/>
    <w:rsid w:val="00C56DE1"/>
    <w:rsid w:val="00C56DEE"/>
    <w:rsid w:val="00C57120"/>
    <w:rsid w:val="00C571D5"/>
    <w:rsid w:val="00C575D4"/>
    <w:rsid w:val="00C57612"/>
    <w:rsid w:val="00C608A0"/>
    <w:rsid w:val="00C60CB2"/>
    <w:rsid w:val="00C61223"/>
    <w:rsid w:val="00C61246"/>
    <w:rsid w:val="00C61409"/>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3FB"/>
    <w:rsid w:val="00C65BD3"/>
    <w:rsid w:val="00C664FB"/>
    <w:rsid w:val="00C665DE"/>
    <w:rsid w:val="00C667C3"/>
    <w:rsid w:val="00C6728B"/>
    <w:rsid w:val="00C675DA"/>
    <w:rsid w:val="00C70718"/>
    <w:rsid w:val="00C70B25"/>
    <w:rsid w:val="00C70EA7"/>
    <w:rsid w:val="00C71528"/>
    <w:rsid w:val="00C717E4"/>
    <w:rsid w:val="00C7191B"/>
    <w:rsid w:val="00C71F09"/>
    <w:rsid w:val="00C72588"/>
    <w:rsid w:val="00C727B9"/>
    <w:rsid w:val="00C72F44"/>
    <w:rsid w:val="00C73670"/>
    <w:rsid w:val="00C737D1"/>
    <w:rsid w:val="00C738A0"/>
    <w:rsid w:val="00C73DE0"/>
    <w:rsid w:val="00C74435"/>
    <w:rsid w:val="00C74609"/>
    <w:rsid w:val="00C749AB"/>
    <w:rsid w:val="00C75A8F"/>
    <w:rsid w:val="00C76129"/>
    <w:rsid w:val="00C76C0C"/>
    <w:rsid w:val="00C76FFC"/>
    <w:rsid w:val="00C774E0"/>
    <w:rsid w:val="00C776BA"/>
    <w:rsid w:val="00C7791E"/>
    <w:rsid w:val="00C77D11"/>
    <w:rsid w:val="00C81716"/>
    <w:rsid w:val="00C832CB"/>
    <w:rsid w:val="00C84085"/>
    <w:rsid w:val="00C852DC"/>
    <w:rsid w:val="00C854A8"/>
    <w:rsid w:val="00C85677"/>
    <w:rsid w:val="00C85E17"/>
    <w:rsid w:val="00C868A7"/>
    <w:rsid w:val="00C86ABA"/>
    <w:rsid w:val="00C86BF7"/>
    <w:rsid w:val="00C87164"/>
    <w:rsid w:val="00C8786A"/>
    <w:rsid w:val="00C87972"/>
    <w:rsid w:val="00C87BBA"/>
    <w:rsid w:val="00C87BD0"/>
    <w:rsid w:val="00C905E5"/>
    <w:rsid w:val="00C90754"/>
    <w:rsid w:val="00C90905"/>
    <w:rsid w:val="00C90B95"/>
    <w:rsid w:val="00C90BC4"/>
    <w:rsid w:val="00C90CA9"/>
    <w:rsid w:val="00C91802"/>
    <w:rsid w:val="00C919DA"/>
    <w:rsid w:val="00C91FE1"/>
    <w:rsid w:val="00C92E41"/>
    <w:rsid w:val="00C92F62"/>
    <w:rsid w:val="00C93097"/>
    <w:rsid w:val="00C937B2"/>
    <w:rsid w:val="00C93B40"/>
    <w:rsid w:val="00C93DB5"/>
    <w:rsid w:val="00C93E16"/>
    <w:rsid w:val="00C93F1E"/>
    <w:rsid w:val="00C94CB9"/>
    <w:rsid w:val="00C95853"/>
    <w:rsid w:val="00C95C2F"/>
    <w:rsid w:val="00C95F87"/>
    <w:rsid w:val="00C96035"/>
    <w:rsid w:val="00C968EF"/>
    <w:rsid w:val="00C972CE"/>
    <w:rsid w:val="00CA00B3"/>
    <w:rsid w:val="00CA0492"/>
    <w:rsid w:val="00CA05B0"/>
    <w:rsid w:val="00CA0632"/>
    <w:rsid w:val="00CA0A04"/>
    <w:rsid w:val="00CA2528"/>
    <w:rsid w:val="00CA3CAB"/>
    <w:rsid w:val="00CA3EBB"/>
    <w:rsid w:val="00CA3FC0"/>
    <w:rsid w:val="00CA4816"/>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3BFE"/>
    <w:rsid w:val="00CC4701"/>
    <w:rsid w:val="00CC56B4"/>
    <w:rsid w:val="00CC5F95"/>
    <w:rsid w:val="00CC642A"/>
    <w:rsid w:val="00CC6AC7"/>
    <w:rsid w:val="00CC733D"/>
    <w:rsid w:val="00CC7617"/>
    <w:rsid w:val="00CC7E0D"/>
    <w:rsid w:val="00CC7E97"/>
    <w:rsid w:val="00CD00EB"/>
    <w:rsid w:val="00CD09A7"/>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30"/>
    <w:rsid w:val="00CD7544"/>
    <w:rsid w:val="00CD78D4"/>
    <w:rsid w:val="00CD7F00"/>
    <w:rsid w:val="00CE0205"/>
    <w:rsid w:val="00CE0697"/>
    <w:rsid w:val="00CE14CB"/>
    <w:rsid w:val="00CE20D7"/>
    <w:rsid w:val="00CE256C"/>
    <w:rsid w:val="00CE2E2E"/>
    <w:rsid w:val="00CE3A51"/>
    <w:rsid w:val="00CE41F9"/>
    <w:rsid w:val="00CE4FFE"/>
    <w:rsid w:val="00CE59F6"/>
    <w:rsid w:val="00CE66CD"/>
    <w:rsid w:val="00CE6BA9"/>
    <w:rsid w:val="00CE71C3"/>
    <w:rsid w:val="00CE727A"/>
    <w:rsid w:val="00CE7E02"/>
    <w:rsid w:val="00CF029C"/>
    <w:rsid w:val="00CF0AF0"/>
    <w:rsid w:val="00CF0C4D"/>
    <w:rsid w:val="00CF157E"/>
    <w:rsid w:val="00CF1631"/>
    <w:rsid w:val="00CF1834"/>
    <w:rsid w:val="00CF1AAA"/>
    <w:rsid w:val="00CF1EC2"/>
    <w:rsid w:val="00CF2ACF"/>
    <w:rsid w:val="00CF345B"/>
    <w:rsid w:val="00CF3F7D"/>
    <w:rsid w:val="00CF475F"/>
    <w:rsid w:val="00CF5008"/>
    <w:rsid w:val="00CF5069"/>
    <w:rsid w:val="00CF51A1"/>
    <w:rsid w:val="00CF58DB"/>
    <w:rsid w:val="00CF5E34"/>
    <w:rsid w:val="00CF6707"/>
    <w:rsid w:val="00CF6EE8"/>
    <w:rsid w:val="00CF7101"/>
    <w:rsid w:val="00CF7327"/>
    <w:rsid w:val="00CF7385"/>
    <w:rsid w:val="00CF7539"/>
    <w:rsid w:val="00CF75C6"/>
    <w:rsid w:val="00CF7612"/>
    <w:rsid w:val="00CF7B77"/>
    <w:rsid w:val="00CF7DF5"/>
    <w:rsid w:val="00D001D2"/>
    <w:rsid w:val="00D01DAA"/>
    <w:rsid w:val="00D0254E"/>
    <w:rsid w:val="00D026A8"/>
    <w:rsid w:val="00D02A80"/>
    <w:rsid w:val="00D0352D"/>
    <w:rsid w:val="00D038DC"/>
    <w:rsid w:val="00D04F01"/>
    <w:rsid w:val="00D04F8B"/>
    <w:rsid w:val="00D054EF"/>
    <w:rsid w:val="00D0559E"/>
    <w:rsid w:val="00D05637"/>
    <w:rsid w:val="00D05BA9"/>
    <w:rsid w:val="00D05EB1"/>
    <w:rsid w:val="00D0650B"/>
    <w:rsid w:val="00D068AA"/>
    <w:rsid w:val="00D06E71"/>
    <w:rsid w:val="00D06E9C"/>
    <w:rsid w:val="00D0714B"/>
    <w:rsid w:val="00D0764E"/>
    <w:rsid w:val="00D07D82"/>
    <w:rsid w:val="00D101F5"/>
    <w:rsid w:val="00D10327"/>
    <w:rsid w:val="00D103C9"/>
    <w:rsid w:val="00D104CF"/>
    <w:rsid w:val="00D1079C"/>
    <w:rsid w:val="00D10BE1"/>
    <w:rsid w:val="00D11FE3"/>
    <w:rsid w:val="00D12393"/>
    <w:rsid w:val="00D12945"/>
    <w:rsid w:val="00D12CC0"/>
    <w:rsid w:val="00D12DA1"/>
    <w:rsid w:val="00D130C0"/>
    <w:rsid w:val="00D1343A"/>
    <w:rsid w:val="00D13B85"/>
    <w:rsid w:val="00D13D50"/>
    <w:rsid w:val="00D14101"/>
    <w:rsid w:val="00D144D8"/>
    <w:rsid w:val="00D14919"/>
    <w:rsid w:val="00D14E25"/>
    <w:rsid w:val="00D14FD1"/>
    <w:rsid w:val="00D15470"/>
    <w:rsid w:val="00D15AE3"/>
    <w:rsid w:val="00D160C4"/>
    <w:rsid w:val="00D165D8"/>
    <w:rsid w:val="00D1724E"/>
    <w:rsid w:val="00D17A33"/>
    <w:rsid w:val="00D17B5F"/>
    <w:rsid w:val="00D17C26"/>
    <w:rsid w:val="00D17E08"/>
    <w:rsid w:val="00D206F6"/>
    <w:rsid w:val="00D20FD1"/>
    <w:rsid w:val="00D214D4"/>
    <w:rsid w:val="00D21AAA"/>
    <w:rsid w:val="00D21E6F"/>
    <w:rsid w:val="00D21EAD"/>
    <w:rsid w:val="00D2218A"/>
    <w:rsid w:val="00D22B13"/>
    <w:rsid w:val="00D2371E"/>
    <w:rsid w:val="00D237E0"/>
    <w:rsid w:val="00D23A17"/>
    <w:rsid w:val="00D24F5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BC0"/>
    <w:rsid w:val="00D32D38"/>
    <w:rsid w:val="00D32FA0"/>
    <w:rsid w:val="00D33112"/>
    <w:rsid w:val="00D331CB"/>
    <w:rsid w:val="00D335A4"/>
    <w:rsid w:val="00D3451E"/>
    <w:rsid w:val="00D3497A"/>
    <w:rsid w:val="00D35F2F"/>
    <w:rsid w:val="00D35FC6"/>
    <w:rsid w:val="00D369E8"/>
    <w:rsid w:val="00D36BA1"/>
    <w:rsid w:val="00D36BB8"/>
    <w:rsid w:val="00D3756D"/>
    <w:rsid w:val="00D377D4"/>
    <w:rsid w:val="00D401A1"/>
    <w:rsid w:val="00D40217"/>
    <w:rsid w:val="00D40385"/>
    <w:rsid w:val="00D40453"/>
    <w:rsid w:val="00D404CE"/>
    <w:rsid w:val="00D40E8F"/>
    <w:rsid w:val="00D412BF"/>
    <w:rsid w:val="00D417C6"/>
    <w:rsid w:val="00D417D0"/>
    <w:rsid w:val="00D42B0C"/>
    <w:rsid w:val="00D42D6E"/>
    <w:rsid w:val="00D43DEF"/>
    <w:rsid w:val="00D44259"/>
    <w:rsid w:val="00D45155"/>
    <w:rsid w:val="00D45A88"/>
    <w:rsid w:val="00D45C61"/>
    <w:rsid w:val="00D45DDC"/>
    <w:rsid w:val="00D47313"/>
    <w:rsid w:val="00D5064C"/>
    <w:rsid w:val="00D50C94"/>
    <w:rsid w:val="00D511E7"/>
    <w:rsid w:val="00D51372"/>
    <w:rsid w:val="00D517ED"/>
    <w:rsid w:val="00D5251C"/>
    <w:rsid w:val="00D52F56"/>
    <w:rsid w:val="00D53148"/>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5FE"/>
    <w:rsid w:val="00D629A4"/>
    <w:rsid w:val="00D62BDF"/>
    <w:rsid w:val="00D62EEE"/>
    <w:rsid w:val="00D63034"/>
    <w:rsid w:val="00D647C3"/>
    <w:rsid w:val="00D64F1C"/>
    <w:rsid w:val="00D6570C"/>
    <w:rsid w:val="00D659EA"/>
    <w:rsid w:val="00D65A89"/>
    <w:rsid w:val="00D65E85"/>
    <w:rsid w:val="00D6611C"/>
    <w:rsid w:val="00D66751"/>
    <w:rsid w:val="00D671C7"/>
    <w:rsid w:val="00D675B0"/>
    <w:rsid w:val="00D675DE"/>
    <w:rsid w:val="00D678BB"/>
    <w:rsid w:val="00D67D81"/>
    <w:rsid w:val="00D70170"/>
    <w:rsid w:val="00D702E8"/>
    <w:rsid w:val="00D70552"/>
    <w:rsid w:val="00D70D42"/>
    <w:rsid w:val="00D71285"/>
    <w:rsid w:val="00D71ABC"/>
    <w:rsid w:val="00D71C36"/>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402"/>
    <w:rsid w:val="00D815E6"/>
    <w:rsid w:val="00D81A28"/>
    <w:rsid w:val="00D81BDE"/>
    <w:rsid w:val="00D8201D"/>
    <w:rsid w:val="00D82B00"/>
    <w:rsid w:val="00D82B04"/>
    <w:rsid w:val="00D82BE4"/>
    <w:rsid w:val="00D82E05"/>
    <w:rsid w:val="00D83C0D"/>
    <w:rsid w:val="00D83C80"/>
    <w:rsid w:val="00D83F5B"/>
    <w:rsid w:val="00D85E20"/>
    <w:rsid w:val="00D85FDE"/>
    <w:rsid w:val="00D8665E"/>
    <w:rsid w:val="00D869C1"/>
    <w:rsid w:val="00D86E01"/>
    <w:rsid w:val="00D86EC6"/>
    <w:rsid w:val="00D87418"/>
    <w:rsid w:val="00D87A39"/>
    <w:rsid w:val="00D87FE6"/>
    <w:rsid w:val="00D90BC3"/>
    <w:rsid w:val="00D90C93"/>
    <w:rsid w:val="00D90DB9"/>
    <w:rsid w:val="00D91001"/>
    <w:rsid w:val="00D910FF"/>
    <w:rsid w:val="00D91337"/>
    <w:rsid w:val="00D914AA"/>
    <w:rsid w:val="00D915C9"/>
    <w:rsid w:val="00D918DA"/>
    <w:rsid w:val="00D9198F"/>
    <w:rsid w:val="00D92078"/>
    <w:rsid w:val="00D926F0"/>
    <w:rsid w:val="00D92A87"/>
    <w:rsid w:val="00D93307"/>
    <w:rsid w:val="00D9359A"/>
    <w:rsid w:val="00D9384E"/>
    <w:rsid w:val="00D93AEE"/>
    <w:rsid w:val="00D9413E"/>
    <w:rsid w:val="00D94C8D"/>
    <w:rsid w:val="00D95715"/>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2F6B"/>
    <w:rsid w:val="00DA3C5B"/>
    <w:rsid w:val="00DA3D23"/>
    <w:rsid w:val="00DA4A61"/>
    <w:rsid w:val="00DA5AFE"/>
    <w:rsid w:val="00DA61AB"/>
    <w:rsid w:val="00DA61CD"/>
    <w:rsid w:val="00DA6EE2"/>
    <w:rsid w:val="00DA718A"/>
    <w:rsid w:val="00DA7837"/>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1603"/>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373"/>
    <w:rsid w:val="00DC7608"/>
    <w:rsid w:val="00DC761E"/>
    <w:rsid w:val="00DC7B3B"/>
    <w:rsid w:val="00DC7CFC"/>
    <w:rsid w:val="00DC7DB4"/>
    <w:rsid w:val="00DD080F"/>
    <w:rsid w:val="00DD09F2"/>
    <w:rsid w:val="00DD0DEE"/>
    <w:rsid w:val="00DD1169"/>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290D"/>
    <w:rsid w:val="00DE30AC"/>
    <w:rsid w:val="00DE38D1"/>
    <w:rsid w:val="00DE4106"/>
    <w:rsid w:val="00DE466B"/>
    <w:rsid w:val="00DE48F4"/>
    <w:rsid w:val="00DE5258"/>
    <w:rsid w:val="00DE5563"/>
    <w:rsid w:val="00DE5C19"/>
    <w:rsid w:val="00DE5D48"/>
    <w:rsid w:val="00DE6E4D"/>
    <w:rsid w:val="00DE7498"/>
    <w:rsid w:val="00DE75EF"/>
    <w:rsid w:val="00DE7611"/>
    <w:rsid w:val="00DE7D19"/>
    <w:rsid w:val="00DF05A0"/>
    <w:rsid w:val="00DF07C5"/>
    <w:rsid w:val="00DF1162"/>
    <w:rsid w:val="00DF1BA8"/>
    <w:rsid w:val="00DF1F63"/>
    <w:rsid w:val="00DF28F2"/>
    <w:rsid w:val="00DF2BFF"/>
    <w:rsid w:val="00DF339B"/>
    <w:rsid w:val="00DF3798"/>
    <w:rsid w:val="00DF393E"/>
    <w:rsid w:val="00DF3ABB"/>
    <w:rsid w:val="00DF4FF1"/>
    <w:rsid w:val="00DF56A3"/>
    <w:rsid w:val="00DF5B33"/>
    <w:rsid w:val="00DF6FD2"/>
    <w:rsid w:val="00DF72EF"/>
    <w:rsid w:val="00DF743D"/>
    <w:rsid w:val="00DF7724"/>
    <w:rsid w:val="00E000D8"/>
    <w:rsid w:val="00E00C1E"/>
    <w:rsid w:val="00E00F5F"/>
    <w:rsid w:val="00E010E6"/>
    <w:rsid w:val="00E01377"/>
    <w:rsid w:val="00E014E7"/>
    <w:rsid w:val="00E01936"/>
    <w:rsid w:val="00E0232F"/>
    <w:rsid w:val="00E026A9"/>
    <w:rsid w:val="00E02AD9"/>
    <w:rsid w:val="00E02D1A"/>
    <w:rsid w:val="00E0356F"/>
    <w:rsid w:val="00E03B42"/>
    <w:rsid w:val="00E03C10"/>
    <w:rsid w:val="00E0479F"/>
    <w:rsid w:val="00E04816"/>
    <w:rsid w:val="00E04982"/>
    <w:rsid w:val="00E04D6A"/>
    <w:rsid w:val="00E050CE"/>
    <w:rsid w:val="00E058DB"/>
    <w:rsid w:val="00E05950"/>
    <w:rsid w:val="00E05AF7"/>
    <w:rsid w:val="00E05CD4"/>
    <w:rsid w:val="00E05DE8"/>
    <w:rsid w:val="00E06100"/>
    <w:rsid w:val="00E0614E"/>
    <w:rsid w:val="00E06E97"/>
    <w:rsid w:val="00E07B8F"/>
    <w:rsid w:val="00E07C4D"/>
    <w:rsid w:val="00E105CE"/>
    <w:rsid w:val="00E10712"/>
    <w:rsid w:val="00E10DD1"/>
    <w:rsid w:val="00E11A5D"/>
    <w:rsid w:val="00E1224C"/>
    <w:rsid w:val="00E1254C"/>
    <w:rsid w:val="00E12BDF"/>
    <w:rsid w:val="00E1302B"/>
    <w:rsid w:val="00E13326"/>
    <w:rsid w:val="00E13D07"/>
    <w:rsid w:val="00E14356"/>
    <w:rsid w:val="00E14961"/>
    <w:rsid w:val="00E14D76"/>
    <w:rsid w:val="00E15183"/>
    <w:rsid w:val="00E15D6C"/>
    <w:rsid w:val="00E167D9"/>
    <w:rsid w:val="00E1720B"/>
    <w:rsid w:val="00E203DE"/>
    <w:rsid w:val="00E2048A"/>
    <w:rsid w:val="00E20CE7"/>
    <w:rsid w:val="00E217B1"/>
    <w:rsid w:val="00E21B10"/>
    <w:rsid w:val="00E222FA"/>
    <w:rsid w:val="00E229CE"/>
    <w:rsid w:val="00E22B4A"/>
    <w:rsid w:val="00E238BC"/>
    <w:rsid w:val="00E2449B"/>
    <w:rsid w:val="00E24A62"/>
    <w:rsid w:val="00E24F52"/>
    <w:rsid w:val="00E255CC"/>
    <w:rsid w:val="00E25636"/>
    <w:rsid w:val="00E25755"/>
    <w:rsid w:val="00E25F90"/>
    <w:rsid w:val="00E26266"/>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66E"/>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899"/>
    <w:rsid w:val="00E45A2C"/>
    <w:rsid w:val="00E46A6B"/>
    <w:rsid w:val="00E46A9C"/>
    <w:rsid w:val="00E47DB1"/>
    <w:rsid w:val="00E50BDD"/>
    <w:rsid w:val="00E50E86"/>
    <w:rsid w:val="00E510CF"/>
    <w:rsid w:val="00E513D7"/>
    <w:rsid w:val="00E519FE"/>
    <w:rsid w:val="00E51DDC"/>
    <w:rsid w:val="00E5206C"/>
    <w:rsid w:val="00E52AAB"/>
    <w:rsid w:val="00E5323C"/>
    <w:rsid w:val="00E5448E"/>
    <w:rsid w:val="00E54E0D"/>
    <w:rsid w:val="00E55247"/>
    <w:rsid w:val="00E558E5"/>
    <w:rsid w:val="00E55B2B"/>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BD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1FFB"/>
    <w:rsid w:val="00E821A2"/>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0E1"/>
    <w:rsid w:val="00E86976"/>
    <w:rsid w:val="00E87A37"/>
    <w:rsid w:val="00E87CF7"/>
    <w:rsid w:val="00E9036E"/>
    <w:rsid w:val="00E90420"/>
    <w:rsid w:val="00E9078A"/>
    <w:rsid w:val="00E912FD"/>
    <w:rsid w:val="00E91B26"/>
    <w:rsid w:val="00E92C6E"/>
    <w:rsid w:val="00E92D0B"/>
    <w:rsid w:val="00E92FFF"/>
    <w:rsid w:val="00E93195"/>
    <w:rsid w:val="00E9391C"/>
    <w:rsid w:val="00E93D05"/>
    <w:rsid w:val="00E93F19"/>
    <w:rsid w:val="00E951D8"/>
    <w:rsid w:val="00E95781"/>
    <w:rsid w:val="00E95C2A"/>
    <w:rsid w:val="00E961CB"/>
    <w:rsid w:val="00E963BC"/>
    <w:rsid w:val="00E966A6"/>
    <w:rsid w:val="00E96E91"/>
    <w:rsid w:val="00E96F6E"/>
    <w:rsid w:val="00E9751D"/>
    <w:rsid w:val="00E97DC6"/>
    <w:rsid w:val="00E97F7A"/>
    <w:rsid w:val="00EA0010"/>
    <w:rsid w:val="00EA0143"/>
    <w:rsid w:val="00EA089B"/>
    <w:rsid w:val="00EA144F"/>
    <w:rsid w:val="00EA1ACC"/>
    <w:rsid w:val="00EA23E8"/>
    <w:rsid w:val="00EA2E21"/>
    <w:rsid w:val="00EA2EAA"/>
    <w:rsid w:val="00EA380C"/>
    <w:rsid w:val="00EA4AB6"/>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76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09E7"/>
    <w:rsid w:val="00EC1E8A"/>
    <w:rsid w:val="00EC328C"/>
    <w:rsid w:val="00EC32F5"/>
    <w:rsid w:val="00EC3852"/>
    <w:rsid w:val="00EC3DBB"/>
    <w:rsid w:val="00EC4528"/>
    <w:rsid w:val="00EC488B"/>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459"/>
    <w:rsid w:val="00ED18B1"/>
    <w:rsid w:val="00ED1ADE"/>
    <w:rsid w:val="00ED2A4D"/>
    <w:rsid w:val="00ED3187"/>
    <w:rsid w:val="00ED3692"/>
    <w:rsid w:val="00ED44BD"/>
    <w:rsid w:val="00ED4A77"/>
    <w:rsid w:val="00ED4B0D"/>
    <w:rsid w:val="00ED4B6E"/>
    <w:rsid w:val="00ED54F0"/>
    <w:rsid w:val="00ED5981"/>
    <w:rsid w:val="00ED5EF6"/>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391B"/>
    <w:rsid w:val="00EE499F"/>
    <w:rsid w:val="00EE56E2"/>
    <w:rsid w:val="00EE5FCD"/>
    <w:rsid w:val="00EE63BF"/>
    <w:rsid w:val="00EE6D45"/>
    <w:rsid w:val="00EE6E89"/>
    <w:rsid w:val="00EE7C80"/>
    <w:rsid w:val="00EF0D4B"/>
    <w:rsid w:val="00EF0FE6"/>
    <w:rsid w:val="00EF1130"/>
    <w:rsid w:val="00EF1432"/>
    <w:rsid w:val="00EF1511"/>
    <w:rsid w:val="00EF1D6E"/>
    <w:rsid w:val="00EF1F01"/>
    <w:rsid w:val="00EF2C39"/>
    <w:rsid w:val="00EF2C5F"/>
    <w:rsid w:val="00EF3811"/>
    <w:rsid w:val="00EF3AC4"/>
    <w:rsid w:val="00EF3FF9"/>
    <w:rsid w:val="00EF41AF"/>
    <w:rsid w:val="00EF4B87"/>
    <w:rsid w:val="00EF4DB4"/>
    <w:rsid w:val="00EF4FFB"/>
    <w:rsid w:val="00EF50D5"/>
    <w:rsid w:val="00EF5234"/>
    <w:rsid w:val="00EF55E9"/>
    <w:rsid w:val="00EF5B41"/>
    <w:rsid w:val="00EF611C"/>
    <w:rsid w:val="00EF625F"/>
    <w:rsid w:val="00EF62C0"/>
    <w:rsid w:val="00EF68C9"/>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06"/>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4F1B"/>
    <w:rsid w:val="00F254C4"/>
    <w:rsid w:val="00F25641"/>
    <w:rsid w:val="00F256D8"/>
    <w:rsid w:val="00F25824"/>
    <w:rsid w:val="00F25E8C"/>
    <w:rsid w:val="00F26065"/>
    <w:rsid w:val="00F262B8"/>
    <w:rsid w:val="00F266E3"/>
    <w:rsid w:val="00F2689C"/>
    <w:rsid w:val="00F26A97"/>
    <w:rsid w:val="00F27E44"/>
    <w:rsid w:val="00F30313"/>
    <w:rsid w:val="00F303BC"/>
    <w:rsid w:val="00F30472"/>
    <w:rsid w:val="00F31052"/>
    <w:rsid w:val="00F31068"/>
    <w:rsid w:val="00F318A1"/>
    <w:rsid w:val="00F31CF5"/>
    <w:rsid w:val="00F3265C"/>
    <w:rsid w:val="00F32C4A"/>
    <w:rsid w:val="00F33262"/>
    <w:rsid w:val="00F340A3"/>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3B10"/>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2FCD"/>
    <w:rsid w:val="00F630B4"/>
    <w:rsid w:val="00F635EF"/>
    <w:rsid w:val="00F63BF4"/>
    <w:rsid w:val="00F63C55"/>
    <w:rsid w:val="00F63C60"/>
    <w:rsid w:val="00F64991"/>
    <w:rsid w:val="00F65425"/>
    <w:rsid w:val="00F65BA9"/>
    <w:rsid w:val="00F65BC8"/>
    <w:rsid w:val="00F65EEA"/>
    <w:rsid w:val="00F66205"/>
    <w:rsid w:val="00F6630F"/>
    <w:rsid w:val="00F66419"/>
    <w:rsid w:val="00F66B9E"/>
    <w:rsid w:val="00F67079"/>
    <w:rsid w:val="00F673B1"/>
    <w:rsid w:val="00F67B58"/>
    <w:rsid w:val="00F67E81"/>
    <w:rsid w:val="00F7044B"/>
    <w:rsid w:val="00F70B6F"/>
    <w:rsid w:val="00F70FD4"/>
    <w:rsid w:val="00F71342"/>
    <w:rsid w:val="00F71C68"/>
    <w:rsid w:val="00F724E2"/>
    <w:rsid w:val="00F74103"/>
    <w:rsid w:val="00F7410A"/>
    <w:rsid w:val="00F745A4"/>
    <w:rsid w:val="00F746E5"/>
    <w:rsid w:val="00F74C0C"/>
    <w:rsid w:val="00F74E75"/>
    <w:rsid w:val="00F758E1"/>
    <w:rsid w:val="00F75BB5"/>
    <w:rsid w:val="00F75FD5"/>
    <w:rsid w:val="00F7604C"/>
    <w:rsid w:val="00F76D4E"/>
    <w:rsid w:val="00F7708A"/>
    <w:rsid w:val="00F773A9"/>
    <w:rsid w:val="00F8056E"/>
    <w:rsid w:val="00F805B7"/>
    <w:rsid w:val="00F810C1"/>
    <w:rsid w:val="00F81623"/>
    <w:rsid w:val="00F81D25"/>
    <w:rsid w:val="00F8245C"/>
    <w:rsid w:val="00F82928"/>
    <w:rsid w:val="00F829B9"/>
    <w:rsid w:val="00F82B45"/>
    <w:rsid w:val="00F83045"/>
    <w:rsid w:val="00F83615"/>
    <w:rsid w:val="00F83C74"/>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993"/>
    <w:rsid w:val="00F93291"/>
    <w:rsid w:val="00F934DD"/>
    <w:rsid w:val="00F97A34"/>
    <w:rsid w:val="00F97E4A"/>
    <w:rsid w:val="00F97EA1"/>
    <w:rsid w:val="00FA003A"/>
    <w:rsid w:val="00FA05C8"/>
    <w:rsid w:val="00FA0678"/>
    <w:rsid w:val="00FA0DB6"/>
    <w:rsid w:val="00FA1F2F"/>
    <w:rsid w:val="00FA23F7"/>
    <w:rsid w:val="00FA27EB"/>
    <w:rsid w:val="00FA35B6"/>
    <w:rsid w:val="00FA38AF"/>
    <w:rsid w:val="00FA3EBC"/>
    <w:rsid w:val="00FA423C"/>
    <w:rsid w:val="00FA44D0"/>
    <w:rsid w:val="00FA4590"/>
    <w:rsid w:val="00FA55A2"/>
    <w:rsid w:val="00FA672F"/>
    <w:rsid w:val="00FA775E"/>
    <w:rsid w:val="00FA7792"/>
    <w:rsid w:val="00FA7AA8"/>
    <w:rsid w:val="00FA7F1D"/>
    <w:rsid w:val="00FB011C"/>
    <w:rsid w:val="00FB0D60"/>
    <w:rsid w:val="00FB18FD"/>
    <w:rsid w:val="00FB236E"/>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13F3"/>
    <w:rsid w:val="00FC22D0"/>
    <w:rsid w:val="00FC3177"/>
    <w:rsid w:val="00FC330F"/>
    <w:rsid w:val="00FC38D4"/>
    <w:rsid w:val="00FC391E"/>
    <w:rsid w:val="00FC39B3"/>
    <w:rsid w:val="00FC3BB7"/>
    <w:rsid w:val="00FC4345"/>
    <w:rsid w:val="00FC444A"/>
    <w:rsid w:val="00FC453D"/>
    <w:rsid w:val="00FC4A89"/>
    <w:rsid w:val="00FC5856"/>
    <w:rsid w:val="00FC619B"/>
    <w:rsid w:val="00FC665F"/>
    <w:rsid w:val="00FC6C35"/>
    <w:rsid w:val="00FC6D59"/>
    <w:rsid w:val="00FC6F5F"/>
    <w:rsid w:val="00FC7561"/>
    <w:rsid w:val="00FC765F"/>
    <w:rsid w:val="00FC778B"/>
    <w:rsid w:val="00FC78F5"/>
    <w:rsid w:val="00FC7ACA"/>
    <w:rsid w:val="00FC7AD2"/>
    <w:rsid w:val="00FD10B3"/>
    <w:rsid w:val="00FD11C3"/>
    <w:rsid w:val="00FD154E"/>
    <w:rsid w:val="00FD24D7"/>
    <w:rsid w:val="00FD29CE"/>
    <w:rsid w:val="00FD2D02"/>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0FF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08"/>
    <w:rsid w:val="00FF183C"/>
    <w:rsid w:val="00FF1A06"/>
    <w:rsid w:val="00FF1AD3"/>
    <w:rsid w:val="00FF1B46"/>
    <w:rsid w:val="00FF1FCC"/>
    <w:rsid w:val="00FF219D"/>
    <w:rsid w:val="00FF2A7B"/>
    <w:rsid w:val="00FF3D2B"/>
    <w:rsid w:val="00FF4684"/>
    <w:rsid w:val="00FF486A"/>
    <w:rsid w:val="00FF49B4"/>
    <w:rsid w:val="00FF49F4"/>
    <w:rsid w:val="00FF5C6A"/>
    <w:rsid w:val="00FF651D"/>
    <w:rsid w:val="00FF6843"/>
    <w:rsid w:val="00FF6C25"/>
    <w:rsid w:val="00FF6D24"/>
    <w:rsid w:val="010651D9"/>
    <w:rsid w:val="011F6449"/>
    <w:rsid w:val="01236AFB"/>
    <w:rsid w:val="01361389"/>
    <w:rsid w:val="019F7441"/>
    <w:rsid w:val="01B37585"/>
    <w:rsid w:val="01D55165"/>
    <w:rsid w:val="01DF6BF8"/>
    <w:rsid w:val="01EC2C57"/>
    <w:rsid w:val="02426589"/>
    <w:rsid w:val="025F0711"/>
    <w:rsid w:val="026B2E25"/>
    <w:rsid w:val="02824D4D"/>
    <w:rsid w:val="02DC4B10"/>
    <w:rsid w:val="02DD76CE"/>
    <w:rsid w:val="02F36323"/>
    <w:rsid w:val="02F5619C"/>
    <w:rsid w:val="0326446A"/>
    <w:rsid w:val="032D5555"/>
    <w:rsid w:val="036634D2"/>
    <w:rsid w:val="03D83129"/>
    <w:rsid w:val="03DD35E4"/>
    <w:rsid w:val="03EB753A"/>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1719AF"/>
    <w:rsid w:val="07245D42"/>
    <w:rsid w:val="07264C62"/>
    <w:rsid w:val="0779354C"/>
    <w:rsid w:val="07F40498"/>
    <w:rsid w:val="08061376"/>
    <w:rsid w:val="08452D77"/>
    <w:rsid w:val="086401F8"/>
    <w:rsid w:val="08751CAA"/>
    <w:rsid w:val="087E4C40"/>
    <w:rsid w:val="08A871D0"/>
    <w:rsid w:val="08AC118C"/>
    <w:rsid w:val="08CB77A9"/>
    <w:rsid w:val="08D66AD6"/>
    <w:rsid w:val="08DA33A3"/>
    <w:rsid w:val="08DD75A4"/>
    <w:rsid w:val="08E80F13"/>
    <w:rsid w:val="09335624"/>
    <w:rsid w:val="0944690F"/>
    <w:rsid w:val="09535675"/>
    <w:rsid w:val="095F057D"/>
    <w:rsid w:val="09642282"/>
    <w:rsid w:val="09733572"/>
    <w:rsid w:val="09772C16"/>
    <w:rsid w:val="097D0556"/>
    <w:rsid w:val="098353B5"/>
    <w:rsid w:val="09A92330"/>
    <w:rsid w:val="09B06B87"/>
    <w:rsid w:val="09C13146"/>
    <w:rsid w:val="09E04166"/>
    <w:rsid w:val="0A1C0718"/>
    <w:rsid w:val="0A3E7710"/>
    <w:rsid w:val="0A4D43B0"/>
    <w:rsid w:val="0A5B7E63"/>
    <w:rsid w:val="0AA374A5"/>
    <w:rsid w:val="0AAB7649"/>
    <w:rsid w:val="0ABC5606"/>
    <w:rsid w:val="0B30404E"/>
    <w:rsid w:val="0B4B540D"/>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507A5"/>
    <w:rsid w:val="0D184CFB"/>
    <w:rsid w:val="0D4A7419"/>
    <w:rsid w:val="0D62660F"/>
    <w:rsid w:val="0D7D09ED"/>
    <w:rsid w:val="0D827401"/>
    <w:rsid w:val="0D84094E"/>
    <w:rsid w:val="0D8A00E9"/>
    <w:rsid w:val="0D8D589E"/>
    <w:rsid w:val="0DA01C73"/>
    <w:rsid w:val="0DD63300"/>
    <w:rsid w:val="0DE33306"/>
    <w:rsid w:val="0DF50604"/>
    <w:rsid w:val="0DF702FE"/>
    <w:rsid w:val="0E060E51"/>
    <w:rsid w:val="0E5604B2"/>
    <w:rsid w:val="0E61488D"/>
    <w:rsid w:val="0E6D5D79"/>
    <w:rsid w:val="0E83792A"/>
    <w:rsid w:val="0E9D0089"/>
    <w:rsid w:val="0EB02DE0"/>
    <w:rsid w:val="0EB803EE"/>
    <w:rsid w:val="0EF94D4B"/>
    <w:rsid w:val="0F4958DC"/>
    <w:rsid w:val="0F515DF7"/>
    <w:rsid w:val="0F596BA8"/>
    <w:rsid w:val="0F6248D2"/>
    <w:rsid w:val="0F693536"/>
    <w:rsid w:val="0F7B0511"/>
    <w:rsid w:val="0F7B76D9"/>
    <w:rsid w:val="0F816ACD"/>
    <w:rsid w:val="0F9832DB"/>
    <w:rsid w:val="0FBF3FD2"/>
    <w:rsid w:val="0FBF7FF3"/>
    <w:rsid w:val="102D547F"/>
    <w:rsid w:val="10646583"/>
    <w:rsid w:val="107D4B15"/>
    <w:rsid w:val="108A3C80"/>
    <w:rsid w:val="10C26171"/>
    <w:rsid w:val="10DA360C"/>
    <w:rsid w:val="10F33360"/>
    <w:rsid w:val="10FC16EA"/>
    <w:rsid w:val="110F1D40"/>
    <w:rsid w:val="11266F33"/>
    <w:rsid w:val="118963A1"/>
    <w:rsid w:val="11C6522A"/>
    <w:rsid w:val="11E104CC"/>
    <w:rsid w:val="11E20309"/>
    <w:rsid w:val="12255233"/>
    <w:rsid w:val="12371D74"/>
    <w:rsid w:val="12530213"/>
    <w:rsid w:val="127723A9"/>
    <w:rsid w:val="12862074"/>
    <w:rsid w:val="12883966"/>
    <w:rsid w:val="129E45B4"/>
    <w:rsid w:val="12D81596"/>
    <w:rsid w:val="12EB10DE"/>
    <w:rsid w:val="12FC5EFD"/>
    <w:rsid w:val="13072A44"/>
    <w:rsid w:val="131507D5"/>
    <w:rsid w:val="135F4BE2"/>
    <w:rsid w:val="13693978"/>
    <w:rsid w:val="13765CAF"/>
    <w:rsid w:val="139B1A0A"/>
    <w:rsid w:val="139D25C7"/>
    <w:rsid w:val="13BF3CE4"/>
    <w:rsid w:val="141008D8"/>
    <w:rsid w:val="14125FE6"/>
    <w:rsid w:val="146D271E"/>
    <w:rsid w:val="14982588"/>
    <w:rsid w:val="149A5AD9"/>
    <w:rsid w:val="14A7619D"/>
    <w:rsid w:val="14F93EC9"/>
    <w:rsid w:val="150536C3"/>
    <w:rsid w:val="150C1963"/>
    <w:rsid w:val="151447A0"/>
    <w:rsid w:val="154A6454"/>
    <w:rsid w:val="15762120"/>
    <w:rsid w:val="15BB209F"/>
    <w:rsid w:val="15F542CD"/>
    <w:rsid w:val="163F7FC2"/>
    <w:rsid w:val="16A8729C"/>
    <w:rsid w:val="16B33777"/>
    <w:rsid w:val="16BC70A7"/>
    <w:rsid w:val="16C6339E"/>
    <w:rsid w:val="172F2D79"/>
    <w:rsid w:val="17557BEF"/>
    <w:rsid w:val="17D349C1"/>
    <w:rsid w:val="182C2DE0"/>
    <w:rsid w:val="1830729E"/>
    <w:rsid w:val="1870062C"/>
    <w:rsid w:val="18817102"/>
    <w:rsid w:val="18830A15"/>
    <w:rsid w:val="18852B28"/>
    <w:rsid w:val="188B5321"/>
    <w:rsid w:val="193C6E15"/>
    <w:rsid w:val="19932372"/>
    <w:rsid w:val="19A20DD5"/>
    <w:rsid w:val="19AE03F1"/>
    <w:rsid w:val="1A071A03"/>
    <w:rsid w:val="1A1F16AE"/>
    <w:rsid w:val="1A3B5C77"/>
    <w:rsid w:val="1A984BAD"/>
    <w:rsid w:val="1AB8220E"/>
    <w:rsid w:val="1AE4166C"/>
    <w:rsid w:val="1AF06CFB"/>
    <w:rsid w:val="1AF11B8D"/>
    <w:rsid w:val="1B11359C"/>
    <w:rsid w:val="1B2A271F"/>
    <w:rsid w:val="1B490035"/>
    <w:rsid w:val="1B530544"/>
    <w:rsid w:val="1B713184"/>
    <w:rsid w:val="1BA209CF"/>
    <w:rsid w:val="1BB4777D"/>
    <w:rsid w:val="1BD75AB8"/>
    <w:rsid w:val="1C0459C2"/>
    <w:rsid w:val="1C1B3B4A"/>
    <w:rsid w:val="1C88086E"/>
    <w:rsid w:val="1D266CE1"/>
    <w:rsid w:val="1D3963AF"/>
    <w:rsid w:val="1D546102"/>
    <w:rsid w:val="1D682ED0"/>
    <w:rsid w:val="1D6A673C"/>
    <w:rsid w:val="1D9247AE"/>
    <w:rsid w:val="1DB567EC"/>
    <w:rsid w:val="1DF51A98"/>
    <w:rsid w:val="1E3D060F"/>
    <w:rsid w:val="1E3F7D2E"/>
    <w:rsid w:val="1E4134E4"/>
    <w:rsid w:val="1E5062B3"/>
    <w:rsid w:val="1E523514"/>
    <w:rsid w:val="1E6A081E"/>
    <w:rsid w:val="1E714A66"/>
    <w:rsid w:val="1E802593"/>
    <w:rsid w:val="1E8B6156"/>
    <w:rsid w:val="1EA703CC"/>
    <w:rsid w:val="1EB7330C"/>
    <w:rsid w:val="1EE0281F"/>
    <w:rsid w:val="1F0A0FF3"/>
    <w:rsid w:val="1F5771FF"/>
    <w:rsid w:val="1F971C93"/>
    <w:rsid w:val="1FD52DD5"/>
    <w:rsid w:val="1FE868A9"/>
    <w:rsid w:val="20034907"/>
    <w:rsid w:val="200362D5"/>
    <w:rsid w:val="20052E16"/>
    <w:rsid w:val="20173E4B"/>
    <w:rsid w:val="20267C46"/>
    <w:rsid w:val="204E48BC"/>
    <w:rsid w:val="208921B3"/>
    <w:rsid w:val="20973DEB"/>
    <w:rsid w:val="20B26522"/>
    <w:rsid w:val="20B44310"/>
    <w:rsid w:val="211116EB"/>
    <w:rsid w:val="2116462E"/>
    <w:rsid w:val="21293D11"/>
    <w:rsid w:val="216133FC"/>
    <w:rsid w:val="21D56769"/>
    <w:rsid w:val="21E52EF3"/>
    <w:rsid w:val="21FB5D7B"/>
    <w:rsid w:val="22015E94"/>
    <w:rsid w:val="220B1C3D"/>
    <w:rsid w:val="221D1D20"/>
    <w:rsid w:val="22334A87"/>
    <w:rsid w:val="22745AB0"/>
    <w:rsid w:val="22BE6801"/>
    <w:rsid w:val="233500BF"/>
    <w:rsid w:val="23377FF7"/>
    <w:rsid w:val="236B425F"/>
    <w:rsid w:val="23836192"/>
    <w:rsid w:val="23901F29"/>
    <w:rsid w:val="239C0061"/>
    <w:rsid w:val="23B908A4"/>
    <w:rsid w:val="23E95BEF"/>
    <w:rsid w:val="23FD0064"/>
    <w:rsid w:val="242D31FB"/>
    <w:rsid w:val="245375B0"/>
    <w:rsid w:val="24642C0A"/>
    <w:rsid w:val="24B22173"/>
    <w:rsid w:val="24B95AD9"/>
    <w:rsid w:val="24BE24DA"/>
    <w:rsid w:val="24CF5825"/>
    <w:rsid w:val="24D663E6"/>
    <w:rsid w:val="24D77F2B"/>
    <w:rsid w:val="2553326B"/>
    <w:rsid w:val="258B00E2"/>
    <w:rsid w:val="25A073CB"/>
    <w:rsid w:val="25A917A6"/>
    <w:rsid w:val="25BE27CC"/>
    <w:rsid w:val="25E006E5"/>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4F78FF"/>
    <w:rsid w:val="28551971"/>
    <w:rsid w:val="285B1C53"/>
    <w:rsid w:val="289F7086"/>
    <w:rsid w:val="28C32028"/>
    <w:rsid w:val="28CC490F"/>
    <w:rsid w:val="28DE40AA"/>
    <w:rsid w:val="29345E77"/>
    <w:rsid w:val="294C65AD"/>
    <w:rsid w:val="29806583"/>
    <w:rsid w:val="298B3C4C"/>
    <w:rsid w:val="29E65EFC"/>
    <w:rsid w:val="29F26D24"/>
    <w:rsid w:val="29FF3178"/>
    <w:rsid w:val="2A15033F"/>
    <w:rsid w:val="2A1662C1"/>
    <w:rsid w:val="2A1C7367"/>
    <w:rsid w:val="2A2815FA"/>
    <w:rsid w:val="2A6D6092"/>
    <w:rsid w:val="2A7D76B4"/>
    <w:rsid w:val="2A8A67DD"/>
    <w:rsid w:val="2B437463"/>
    <w:rsid w:val="2B7807EE"/>
    <w:rsid w:val="2B8204A0"/>
    <w:rsid w:val="2B9B2EEA"/>
    <w:rsid w:val="2BA50BF7"/>
    <w:rsid w:val="2BBF00EC"/>
    <w:rsid w:val="2BC37CFD"/>
    <w:rsid w:val="2BD5237F"/>
    <w:rsid w:val="2BE536CE"/>
    <w:rsid w:val="2BE758D9"/>
    <w:rsid w:val="2BEB287E"/>
    <w:rsid w:val="2C09049E"/>
    <w:rsid w:val="2C0A653C"/>
    <w:rsid w:val="2C191F85"/>
    <w:rsid w:val="2C784B05"/>
    <w:rsid w:val="2C920279"/>
    <w:rsid w:val="2CDB6DF8"/>
    <w:rsid w:val="2CE82D6F"/>
    <w:rsid w:val="2D343236"/>
    <w:rsid w:val="2DD15014"/>
    <w:rsid w:val="2DF72DE4"/>
    <w:rsid w:val="2E0220AF"/>
    <w:rsid w:val="2E4B082A"/>
    <w:rsid w:val="2E5D4E86"/>
    <w:rsid w:val="2E5D790B"/>
    <w:rsid w:val="2E9A3C18"/>
    <w:rsid w:val="2EBB0FEE"/>
    <w:rsid w:val="2EC63002"/>
    <w:rsid w:val="2F0A6B38"/>
    <w:rsid w:val="2F1210B4"/>
    <w:rsid w:val="2F946CCB"/>
    <w:rsid w:val="2FD25781"/>
    <w:rsid w:val="2FD94FE7"/>
    <w:rsid w:val="2FDC745C"/>
    <w:rsid w:val="2FFD7934"/>
    <w:rsid w:val="301E6064"/>
    <w:rsid w:val="303A0D58"/>
    <w:rsid w:val="30733ACD"/>
    <w:rsid w:val="307C370E"/>
    <w:rsid w:val="308C3862"/>
    <w:rsid w:val="309379D8"/>
    <w:rsid w:val="30A270F7"/>
    <w:rsid w:val="30DF1478"/>
    <w:rsid w:val="30EC586F"/>
    <w:rsid w:val="313905F0"/>
    <w:rsid w:val="314550B7"/>
    <w:rsid w:val="319C6071"/>
    <w:rsid w:val="31AC537E"/>
    <w:rsid w:val="31E3679B"/>
    <w:rsid w:val="31E732FD"/>
    <w:rsid w:val="32472899"/>
    <w:rsid w:val="32517576"/>
    <w:rsid w:val="32AB1912"/>
    <w:rsid w:val="32B31CDC"/>
    <w:rsid w:val="32B43860"/>
    <w:rsid w:val="32BE5C2C"/>
    <w:rsid w:val="32FB6478"/>
    <w:rsid w:val="33263B3F"/>
    <w:rsid w:val="33570580"/>
    <w:rsid w:val="336963EB"/>
    <w:rsid w:val="337A6A8A"/>
    <w:rsid w:val="33816EEB"/>
    <w:rsid w:val="33E24CF9"/>
    <w:rsid w:val="33EB55CD"/>
    <w:rsid w:val="33EC4C02"/>
    <w:rsid w:val="340D2360"/>
    <w:rsid w:val="3410665D"/>
    <w:rsid w:val="34211214"/>
    <w:rsid w:val="342E63AB"/>
    <w:rsid w:val="34950E68"/>
    <w:rsid w:val="34986E94"/>
    <w:rsid w:val="34AF62C9"/>
    <w:rsid w:val="34CB4388"/>
    <w:rsid w:val="34E946AE"/>
    <w:rsid w:val="34FA6E12"/>
    <w:rsid w:val="353A55E3"/>
    <w:rsid w:val="354D7158"/>
    <w:rsid w:val="35887BD1"/>
    <w:rsid w:val="358D5588"/>
    <w:rsid w:val="363A3B40"/>
    <w:rsid w:val="365302AE"/>
    <w:rsid w:val="36607A0A"/>
    <w:rsid w:val="366E227C"/>
    <w:rsid w:val="366F2E0D"/>
    <w:rsid w:val="367B6A5C"/>
    <w:rsid w:val="36A74ADA"/>
    <w:rsid w:val="36AD60D5"/>
    <w:rsid w:val="36B224F9"/>
    <w:rsid w:val="36EC0CC9"/>
    <w:rsid w:val="36F44255"/>
    <w:rsid w:val="373F410B"/>
    <w:rsid w:val="37EE7094"/>
    <w:rsid w:val="38296C89"/>
    <w:rsid w:val="383002EB"/>
    <w:rsid w:val="38586797"/>
    <w:rsid w:val="38706E63"/>
    <w:rsid w:val="38BC0149"/>
    <w:rsid w:val="38D66824"/>
    <w:rsid w:val="38D87D1C"/>
    <w:rsid w:val="38EE2B03"/>
    <w:rsid w:val="38FF6D29"/>
    <w:rsid w:val="39335925"/>
    <w:rsid w:val="39636459"/>
    <w:rsid w:val="396B7F6C"/>
    <w:rsid w:val="397A7626"/>
    <w:rsid w:val="39B417A9"/>
    <w:rsid w:val="39FC5695"/>
    <w:rsid w:val="3A006D8E"/>
    <w:rsid w:val="3A3651E5"/>
    <w:rsid w:val="3A744481"/>
    <w:rsid w:val="3A8C7BEF"/>
    <w:rsid w:val="3A906246"/>
    <w:rsid w:val="3B2349B7"/>
    <w:rsid w:val="3B53405D"/>
    <w:rsid w:val="3B616CFF"/>
    <w:rsid w:val="3B6259F6"/>
    <w:rsid w:val="3B976654"/>
    <w:rsid w:val="3BC01EFC"/>
    <w:rsid w:val="3BCA786A"/>
    <w:rsid w:val="3BD31E2F"/>
    <w:rsid w:val="3BF15831"/>
    <w:rsid w:val="3C105946"/>
    <w:rsid w:val="3C471448"/>
    <w:rsid w:val="3C5F759A"/>
    <w:rsid w:val="3C6C525A"/>
    <w:rsid w:val="3CCE23CB"/>
    <w:rsid w:val="3CD17D17"/>
    <w:rsid w:val="3D007B53"/>
    <w:rsid w:val="3D3C7F39"/>
    <w:rsid w:val="3D440F09"/>
    <w:rsid w:val="3D4504A0"/>
    <w:rsid w:val="3D8734BB"/>
    <w:rsid w:val="3D9A11D4"/>
    <w:rsid w:val="3DA16D89"/>
    <w:rsid w:val="3DA364BE"/>
    <w:rsid w:val="3DE041CB"/>
    <w:rsid w:val="3E0D48F6"/>
    <w:rsid w:val="3E1868B4"/>
    <w:rsid w:val="3E377251"/>
    <w:rsid w:val="3E42664B"/>
    <w:rsid w:val="3E5A7334"/>
    <w:rsid w:val="3E72738E"/>
    <w:rsid w:val="3E7B5D6B"/>
    <w:rsid w:val="3E843E66"/>
    <w:rsid w:val="3E8F51FE"/>
    <w:rsid w:val="3E926F87"/>
    <w:rsid w:val="3E9A59DE"/>
    <w:rsid w:val="3EAF4836"/>
    <w:rsid w:val="3EC33DFA"/>
    <w:rsid w:val="3EEA576C"/>
    <w:rsid w:val="3F060E16"/>
    <w:rsid w:val="3F1D1096"/>
    <w:rsid w:val="3F2F0234"/>
    <w:rsid w:val="3F6363FE"/>
    <w:rsid w:val="3F756B8F"/>
    <w:rsid w:val="3F95482B"/>
    <w:rsid w:val="4019356B"/>
    <w:rsid w:val="40592157"/>
    <w:rsid w:val="406E1CAE"/>
    <w:rsid w:val="40A0133A"/>
    <w:rsid w:val="40C31A53"/>
    <w:rsid w:val="40E17B91"/>
    <w:rsid w:val="40FF545D"/>
    <w:rsid w:val="410067C8"/>
    <w:rsid w:val="418F0D2A"/>
    <w:rsid w:val="41D01505"/>
    <w:rsid w:val="42474939"/>
    <w:rsid w:val="424C3C57"/>
    <w:rsid w:val="42613FF3"/>
    <w:rsid w:val="42660D96"/>
    <w:rsid w:val="428667D2"/>
    <w:rsid w:val="42C13FA2"/>
    <w:rsid w:val="42CD1CE0"/>
    <w:rsid w:val="42E1381E"/>
    <w:rsid w:val="42ED6459"/>
    <w:rsid w:val="42FE58DD"/>
    <w:rsid w:val="43174B3D"/>
    <w:rsid w:val="434B790E"/>
    <w:rsid w:val="4360274F"/>
    <w:rsid w:val="43977AB6"/>
    <w:rsid w:val="43A16A84"/>
    <w:rsid w:val="43A3342B"/>
    <w:rsid w:val="43C77C27"/>
    <w:rsid w:val="43DE09EE"/>
    <w:rsid w:val="44002FAD"/>
    <w:rsid w:val="448919A2"/>
    <w:rsid w:val="449101DD"/>
    <w:rsid w:val="44965DFA"/>
    <w:rsid w:val="44DE1391"/>
    <w:rsid w:val="44EB11D6"/>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83961"/>
    <w:rsid w:val="46893133"/>
    <w:rsid w:val="46893F2B"/>
    <w:rsid w:val="46C4686E"/>
    <w:rsid w:val="477B778F"/>
    <w:rsid w:val="478203EC"/>
    <w:rsid w:val="47B025FA"/>
    <w:rsid w:val="4809698F"/>
    <w:rsid w:val="4811697D"/>
    <w:rsid w:val="48395978"/>
    <w:rsid w:val="487A3E25"/>
    <w:rsid w:val="488B5503"/>
    <w:rsid w:val="48937E21"/>
    <w:rsid w:val="489A0361"/>
    <w:rsid w:val="48AF1AA8"/>
    <w:rsid w:val="48B94FF3"/>
    <w:rsid w:val="48C76BF4"/>
    <w:rsid w:val="48E37AAB"/>
    <w:rsid w:val="48FD4B4C"/>
    <w:rsid w:val="48FD5A16"/>
    <w:rsid w:val="490A68E0"/>
    <w:rsid w:val="491055FE"/>
    <w:rsid w:val="492A0E97"/>
    <w:rsid w:val="495753D6"/>
    <w:rsid w:val="495F5B3E"/>
    <w:rsid w:val="496F77D7"/>
    <w:rsid w:val="497654FD"/>
    <w:rsid w:val="49B64211"/>
    <w:rsid w:val="49E56AF9"/>
    <w:rsid w:val="49F6167F"/>
    <w:rsid w:val="4A064FA0"/>
    <w:rsid w:val="4A0712BA"/>
    <w:rsid w:val="4A16615C"/>
    <w:rsid w:val="4A4424D7"/>
    <w:rsid w:val="4AB82D0F"/>
    <w:rsid w:val="4AEB7664"/>
    <w:rsid w:val="4AFD7C19"/>
    <w:rsid w:val="4B0567D1"/>
    <w:rsid w:val="4B236AAE"/>
    <w:rsid w:val="4B707271"/>
    <w:rsid w:val="4B9739F7"/>
    <w:rsid w:val="4BEE2503"/>
    <w:rsid w:val="4C124497"/>
    <w:rsid w:val="4C245A30"/>
    <w:rsid w:val="4C3D66F5"/>
    <w:rsid w:val="4CB6685F"/>
    <w:rsid w:val="4CC367FE"/>
    <w:rsid w:val="4CD03B43"/>
    <w:rsid w:val="4D077F3C"/>
    <w:rsid w:val="4D123355"/>
    <w:rsid w:val="4D2A3B31"/>
    <w:rsid w:val="4D312C52"/>
    <w:rsid w:val="4D905305"/>
    <w:rsid w:val="4D964A72"/>
    <w:rsid w:val="4D9C1254"/>
    <w:rsid w:val="4E157897"/>
    <w:rsid w:val="4E793892"/>
    <w:rsid w:val="4E800872"/>
    <w:rsid w:val="4EC569ED"/>
    <w:rsid w:val="4ED50EA1"/>
    <w:rsid w:val="4EEC050C"/>
    <w:rsid w:val="4F104EC3"/>
    <w:rsid w:val="4F47354A"/>
    <w:rsid w:val="4F5448FB"/>
    <w:rsid w:val="4F911C54"/>
    <w:rsid w:val="4FA74C51"/>
    <w:rsid w:val="4FE625E0"/>
    <w:rsid w:val="5021480F"/>
    <w:rsid w:val="504A29F2"/>
    <w:rsid w:val="50962ECB"/>
    <w:rsid w:val="50A42E38"/>
    <w:rsid w:val="50A4577F"/>
    <w:rsid w:val="50B73D1F"/>
    <w:rsid w:val="50BD5BC9"/>
    <w:rsid w:val="50C11EEE"/>
    <w:rsid w:val="50E97CFC"/>
    <w:rsid w:val="50FA4028"/>
    <w:rsid w:val="5100200B"/>
    <w:rsid w:val="510D65B7"/>
    <w:rsid w:val="511157AB"/>
    <w:rsid w:val="5142540C"/>
    <w:rsid w:val="518832C8"/>
    <w:rsid w:val="519D3C50"/>
    <w:rsid w:val="51A0432A"/>
    <w:rsid w:val="51A86090"/>
    <w:rsid w:val="51B7396D"/>
    <w:rsid w:val="51D51818"/>
    <w:rsid w:val="51EA1F63"/>
    <w:rsid w:val="522E4CC3"/>
    <w:rsid w:val="5244713B"/>
    <w:rsid w:val="52615633"/>
    <w:rsid w:val="526F4DE4"/>
    <w:rsid w:val="52977FD4"/>
    <w:rsid w:val="52A25790"/>
    <w:rsid w:val="52A96B6F"/>
    <w:rsid w:val="52B45975"/>
    <w:rsid w:val="52D94AA4"/>
    <w:rsid w:val="52EA3A62"/>
    <w:rsid w:val="52F50BB8"/>
    <w:rsid w:val="53097272"/>
    <w:rsid w:val="53544462"/>
    <w:rsid w:val="5397158E"/>
    <w:rsid w:val="53F87F32"/>
    <w:rsid w:val="53F92BD2"/>
    <w:rsid w:val="54013861"/>
    <w:rsid w:val="54487265"/>
    <w:rsid w:val="544D6070"/>
    <w:rsid w:val="54605E1E"/>
    <w:rsid w:val="54A4459A"/>
    <w:rsid w:val="54B3506A"/>
    <w:rsid w:val="54CA0D16"/>
    <w:rsid w:val="54DD4057"/>
    <w:rsid w:val="54E7490F"/>
    <w:rsid w:val="550764A4"/>
    <w:rsid w:val="550B2BF6"/>
    <w:rsid w:val="55214EB5"/>
    <w:rsid w:val="552A3C28"/>
    <w:rsid w:val="55364EFD"/>
    <w:rsid w:val="555D4828"/>
    <w:rsid w:val="557A4C8B"/>
    <w:rsid w:val="558931E1"/>
    <w:rsid w:val="55923347"/>
    <w:rsid w:val="55925180"/>
    <w:rsid w:val="55983B1B"/>
    <w:rsid w:val="55A8376B"/>
    <w:rsid w:val="55DC29B6"/>
    <w:rsid w:val="55DD4241"/>
    <w:rsid w:val="56204B57"/>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310F2"/>
    <w:rsid w:val="58917D2F"/>
    <w:rsid w:val="5894085C"/>
    <w:rsid w:val="58A12453"/>
    <w:rsid w:val="58AE4F0C"/>
    <w:rsid w:val="58B85899"/>
    <w:rsid w:val="58E363A9"/>
    <w:rsid w:val="59211000"/>
    <w:rsid w:val="595E1678"/>
    <w:rsid w:val="596C0CB3"/>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FC6067"/>
    <w:rsid w:val="5B2E1A1D"/>
    <w:rsid w:val="5B5A4B3C"/>
    <w:rsid w:val="5B843A1C"/>
    <w:rsid w:val="5B873E3F"/>
    <w:rsid w:val="5BBE50CA"/>
    <w:rsid w:val="5C02690E"/>
    <w:rsid w:val="5C196DA7"/>
    <w:rsid w:val="5C2A048C"/>
    <w:rsid w:val="5C6914DA"/>
    <w:rsid w:val="5C80234E"/>
    <w:rsid w:val="5C8A680C"/>
    <w:rsid w:val="5CA14C6C"/>
    <w:rsid w:val="5D043BFE"/>
    <w:rsid w:val="5D0C4701"/>
    <w:rsid w:val="5D0F0395"/>
    <w:rsid w:val="5D221076"/>
    <w:rsid w:val="5D397964"/>
    <w:rsid w:val="5D5A391C"/>
    <w:rsid w:val="5D5F10C0"/>
    <w:rsid w:val="5D891B7B"/>
    <w:rsid w:val="5DAD38EE"/>
    <w:rsid w:val="5DD6277E"/>
    <w:rsid w:val="5E006862"/>
    <w:rsid w:val="5E0207B9"/>
    <w:rsid w:val="5E1834A1"/>
    <w:rsid w:val="5E261785"/>
    <w:rsid w:val="5E4A7017"/>
    <w:rsid w:val="5E552BBA"/>
    <w:rsid w:val="5E611C10"/>
    <w:rsid w:val="5E7A0F3F"/>
    <w:rsid w:val="5EF3065B"/>
    <w:rsid w:val="5EFC7377"/>
    <w:rsid w:val="5F06174D"/>
    <w:rsid w:val="5F3A3602"/>
    <w:rsid w:val="5F45733B"/>
    <w:rsid w:val="5F6277C6"/>
    <w:rsid w:val="5F6D0B1D"/>
    <w:rsid w:val="5F8D0B82"/>
    <w:rsid w:val="5FCC5339"/>
    <w:rsid w:val="5FE34A5B"/>
    <w:rsid w:val="5FF03A6E"/>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01D56"/>
    <w:rsid w:val="61F94C26"/>
    <w:rsid w:val="62000E56"/>
    <w:rsid w:val="624F3E49"/>
    <w:rsid w:val="62632286"/>
    <w:rsid w:val="62885958"/>
    <w:rsid w:val="62D11B87"/>
    <w:rsid w:val="62F40B65"/>
    <w:rsid w:val="62FC2CFE"/>
    <w:rsid w:val="63024505"/>
    <w:rsid w:val="632903FC"/>
    <w:rsid w:val="635600A5"/>
    <w:rsid w:val="635B1DB5"/>
    <w:rsid w:val="63711FED"/>
    <w:rsid w:val="63880DDC"/>
    <w:rsid w:val="638D750D"/>
    <w:rsid w:val="63AC6CC0"/>
    <w:rsid w:val="64055776"/>
    <w:rsid w:val="64240056"/>
    <w:rsid w:val="643E143A"/>
    <w:rsid w:val="64491666"/>
    <w:rsid w:val="64782E49"/>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0299F"/>
    <w:rsid w:val="673E055F"/>
    <w:rsid w:val="67446C37"/>
    <w:rsid w:val="674D0433"/>
    <w:rsid w:val="67551CE3"/>
    <w:rsid w:val="67A22552"/>
    <w:rsid w:val="67B22DCC"/>
    <w:rsid w:val="67BE71AA"/>
    <w:rsid w:val="67D90273"/>
    <w:rsid w:val="67DE5875"/>
    <w:rsid w:val="67E22141"/>
    <w:rsid w:val="67E55852"/>
    <w:rsid w:val="67EB1AB4"/>
    <w:rsid w:val="67FA1285"/>
    <w:rsid w:val="68551F4F"/>
    <w:rsid w:val="687C10C9"/>
    <w:rsid w:val="68840C16"/>
    <w:rsid w:val="68872541"/>
    <w:rsid w:val="68876EFB"/>
    <w:rsid w:val="68884654"/>
    <w:rsid w:val="689F444F"/>
    <w:rsid w:val="68B96DBB"/>
    <w:rsid w:val="68CA2805"/>
    <w:rsid w:val="68E937A3"/>
    <w:rsid w:val="691664E5"/>
    <w:rsid w:val="692866CF"/>
    <w:rsid w:val="693E15D3"/>
    <w:rsid w:val="69522712"/>
    <w:rsid w:val="69627681"/>
    <w:rsid w:val="6977531D"/>
    <w:rsid w:val="69A74FFE"/>
    <w:rsid w:val="69CC2BFF"/>
    <w:rsid w:val="69FD55B8"/>
    <w:rsid w:val="6A0B1C62"/>
    <w:rsid w:val="6A2406C8"/>
    <w:rsid w:val="6A3C6D13"/>
    <w:rsid w:val="6ADE0BD1"/>
    <w:rsid w:val="6AE96859"/>
    <w:rsid w:val="6B064398"/>
    <w:rsid w:val="6B147746"/>
    <w:rsid w:val="6B24787C"/>
    <w:rsid w:val="6B563571"/>
    <w:rsid w:val="6B573233"/>
    <w:rsid w:val="6B5B6274"/>
    <w:rsid w:val="6B935D53"/>
    <w:rsid w:val="6C196F71"/>
    <w:rsid w:val="6C226FCB"/>
    <w:rsid w:val="6C31226F"/>
    <w:rsid w:val="6C552F0B"/>
    <w:rsid w:val="6C8C67B7"/>
    <w:rsid w:val="6C9D744C"/>
    <w:rsid w:val="6D167928"/>
    <w:rsid w:val="6D237F77"/>
    <w:rsid w:val="6D26299B"/>
    <w:rsid w:val="6D4772EC"/>
    <w:rsid w:val="6D9078AF"/>
    <w:rsid w:val="6DAA3FEF"/>
    <w:rsid w:val="6DC0172B"/>
    <w:rsid w:val="6DCB690C"/>
    <w:rsid w:val="6DD41A5B"/>
    <w:rsid w:val="6DF43C2E"/>
    <w:rsid w:val="6DF51CA3"/>
    <w:rsid w:val="6E8335BD"/>
    <w:rsid w:val="6E8E12EF"/>
    <w:rsid w:val="6E972936"/>
    <w:rsid w:val="6EB5370B"/>
    <w:rsid w:val="6ED446C5"/>
    <w:rsid w:val="6F1057E5"/>
    <w:rsid w:val="6F2A7D94"/>
    <w:rsid w:val="6F775E48"/>
    <w:rsid w:val="6F7B53E7"/>
    <w:rsid w:val="6F8331F1"/>
    <w:rsid w:val="6FAE1A09"/>
    <w:rsid w:val="6FD75BF8"/>
    <w:rsid w:val="704D04A2"/>
    <w:rsid w:val="707723D0"/>
    <w:rsid w:val="70904454"/>
    <w:rsid w:val="70F5661B"/>
    <w:rsid w:val="71360107"/>
    <w:rsid w:val="713B688E"/>
    <w:rsid w:val="71712F80"/>
    <w:rsid w:val="71AD032E"/>
    <w:rsid w:val="71D43752"/>
    <w:rsid w:val="71F1796A"/>
    <w:rsid w:val="72154626"/>
    <w:rsid w:val="72220DAF"/>
    <w:rsid w:val="72262B5D"/>
    <w:rsid w:val="72283FF7"/>
    <w:rsid w:val="722E7212"/>
    <w:rsid w:val="723A0474"/>
    <w:rsid w:val="725923E4"/>
    <w:rsid w:val="72864BF7"/>
    <w:rsid w:val="729023FC"/>
    <w:rsid w:val="72952CA8"/>
    <w:rsid w:val="72FB66AE"/>
    <w:rsid w:val="72FD78B5"/>
    <w:rsid w:val="73392EFD"/>
    <w:rsid w:val="73C0646E"/>
    <w:rsid w:val="73FD5838"/>
    <w:rsid w:val="74005123"/>
    <w:rsid w:val="742222F5"/>
    <w:rsid w:val="74476126"/>
    <w:rsid w:val="74706664"/>
    <w:rsid w:val="747F3682"/>
    <w:rsid w:val="748A4CCB"/>
    <w:rsid w:val="749444D3"/>
    <w:rsid w:val="749C4185"/>
    <w:rsid w:val="75067759"/>
    <w:rsid w:val="752540C8"/>
    <w:rsid w:val="752E6DCD"/>
    <w:rsid w:val="753A476D"/>
    <w:rsid w:val="754E350B"/>
    <w:rsid w:val="7551380D"/>
    <w:rsid w:val="75600BE5"/>
    <w:rsid w:val="7564475C"/>
    <w:rsid w:val="7583797F"/>
    <w:rsid w:val="75A5063D"/>
    <w:rsid w:val="75AD3D8E"/>
    <w:rsid w:val="75D20F1D"/>
    <w:rsid w:val="75DA2C18"/>
    <w:rsid w:val="75F54412"/>
    <w:rsid w:val="761D08E0"/>
    <w:rsid w:val="763B6F45"/>
    <w:rsid w:val="765D347C"/>
    <w:rsid w:val="76826699"/>
    <w:rsid w:val="76C0482F"/>
    <w:rsid w:val="76C87133"/>
    <w:rsid w:val="76CD08D5"/>
    <w:rsid w:val="76DB4B92"/>
    <w:rsid w:val="76FD013A"/>
    <w:rsid w:val="77052AA4"/>
    <w:rsid w:val="77136511"/>
    <w:rsid w:val="772B58B2"/>
    <w:rsid w:val="77340A39"/>
    <w:rsid w:val="77351FD0"/>
    <w:rsid w:val="77472422"/>
    <w:rsid w:val="777D1E86"/>
    <w:rsid w:val="777F31F2"/>
    <w:rsid w:val="77D1700D"/>
    <w:rsid w:val="77EC04CC"/>
    <w:rsid w:val="77ED0845"/>
    <w:rsid w:val="784F42A6"/>
    <w:rsid w:val="785121CA"/>
    <w:rsid w:val="78775729"/>
    <w:rsid w:val="78A42DB0"/>
    <w:rsid w:val="78A656AB"/>
    <w:rsid w:val="78B2245C"/>
    <w:rsid w:val="78E172CC"/>
    <w:rsid w:val="78EA1D1F"/>
    <w:rsid w:val="7904172F"/>
    <w:rsid w:val="790F7E27"/>
    <w:rsid w:val="79277560"/>
    <w:rsid w:val="792A231A"/>
    <w:rsid w:val="79316829"/>
    <w:rsid w:val="797E66A9"/>
    <w:rsid w:val="798518A4"/>
    <w:rsid w:val="79A97383"/>
    <w:rsid w:val="79D26573"/>
    <w:rsid w:val="79E27E8B"/>
    <w:rsid w:val="79F850CE"/>
    <w:rsid w:val="79FD443C"/>
    <w:rsid w:val="7A1D1975"/>
    <w:rsid w:val="7A3E5150"/>
    <w:rsid w:val="7A4670D6"/>
    <w:rsid w:val="7A534B63"/>
    <w:rsid w:val="7A615382"/>
    <w:rsid w:val="7A67303B"/>
    <w:rsid w:val="7AA8721A"/>
    <w:rsid w:val="7AAB1D04"/>
    <w:rsid w:val="7ABA4368"/>
    <w:rsid w:val="7AD05746"/>
    <w:rsid w:val="7B0F7D15"/>
    <w:rsid w:val="7B257FFD"/>
    <w:rsid w:val="7B273D20"/>
    <w:rsid w:val="7B343476"/>
    <w:rsid w:val="7B5A2978"/>
    <w:rsid w:val="7B5A7E4C"/>
    <w:rsid w:val="7B667AF9"/>
    <w:rsid w:val="7B7468F8"/>
    <w:rsid w:val="7BEE0103"/>
    <w:rsid w:val="7C0A0FE4"/>
    <w:rsid w:val="7C0F6C2A"/>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424814"/>
    <w:rsid w:val="7E8078D6"/>
    <w:rsid w:val="7E9A4E1F"/>
    <w:rsid w:val="7EA7723A"/>
    <w:rsid w:val="7EF56FBB"/>
    <w:rsid w:val="7F0768EB"/>
    <w:rsid w:val="7F143BEC"/>
    <w:rsid w:val="7F3E7CAB"/>
    <w:rsid w:val="7F715AF2"/>
    <w:rsid w:val="7F74752A"/>
    <w:rsid w:val="7F886E69"/>
    <w:rsid w:val="7FF463B5"/>
    <w:rsid w:val="BB7FA927"/>
    <w:rsid w:val="BEAEA1FC"/>
    <w:rsid w:val="ECED2B49"/>
    <w:rsid w:val="F5FFD31F"/>
    <w:rsid w:val="FF77A1AA"/>
    <w:rsid w:val="FFFBDE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after="160" w:line="278"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966"/>
    <w:qFormat/>
    <w:uiPriority w:val="0"/>
    <w:pPr>
      <w:keepNext/>
      <w:keepLines/>
      <w:tabs>
        <w:tab w:val="left" w:pos="432"/>
        <w:tab w:val="left" w:pos="1110"/>
      </w:tabs>
      <w:adjustRightInd/>
      <w:spacing w:line="360" w:lineRule="auto"/>
      <w:ind w:left="210" w:leftChars="100" w:firstLine="357" w:firstLineChars="148"/>
      <w:jc w:val="left"/>
      <w:outlineLvl w:val="1"/>
    </w:pPr>
    <w:rPr>
      <w:rFonts w:ascii="宋体" w:hAnsi="宋体"/>
      <w:b/>
      <w:bCs/>
      <w:sz w:val="24"/>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uiPriority w:val="1"/>
  </w:style>
  <w:style w:type="table" w:default="1" w:styleId="63">
    <w:name w:val="Normal Table"/>
    <w:semiHidden/>
    <w:unhideWhenUsed/>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after="160"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link w:val="193"/>
    <w:qFormat/>
    <w:uiPriority w:val="99"/>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link w:val="321"/>
    <w:qFormat/>
    <w:uiPriority w:val="0"/>
    <w:pPr>
      <w:ind w:firstLine="420"/>
    </w:pPr>
    <w:rPr>
      <w:rFonts w:hAnsi="Calibri" w:cs="Times New Roman"/>
      <w:snapToGrid/>
      <w:szCs w:val="20"/>
    </w:rPr>
  </w:style>
  <w:style w:type="paragraph" w:styleId="26">
    <w:name w:val="Body Text Indent"/>
    <w:basedOn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next w:val="7"/>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line="278" w:lineRule="auto"/>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10"/>
    <w:qFormat/>
    <w:uiPriority w:val="99"/>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6"/>
    <w:qFormat/>
    <w:uiPriority w:val="0"/>
    <w:rPr>
      <w:b/>
      <w:bCs/>
    </w:rPr>
  </w:style>
  <w:style w:type="paragraph" w:styleId="62">
    <w:name w:val="Body Text First Indent 2"/>
    <w:basedOn w:val="26"/>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0"/>
    <w:rPr>
      <w:sz w:val="21"/>
      <w:szCs w:val="21"/>
    </w:rPr>
  </w:style>
  <w:style w:type="character" w:styleId="80">
    <w:name w:val="footnote reference"/>
    <w:basedOn w:val="70"/>
    <w:unhideWhenUsed/>
    <w:qFormat/>
    <w:uiPriority w:val="99"/>
    <w:rPr>
      <w:vertAlign w:val="superscript"/>
    </w:rPr>
  </w:style>
  <w:style w:type="paragraph" w:customStyle="1" w:styleId="81">
    <w:name w:val="标题五"/>
    <w:basedOn w:val="1"/>
    <w:next w:val="1"/>
    <w:qFormat/>
    <w:uiPriority w:val="0"/>
    <w:pPr>
      <w:adjustRightInd/>
      <w:spacing w:before="156" w:beforeLines="50" w:line="360" w:lineRule="auto"/>
    </w:pPr>
    <w:rPr>
      <w:b/>
      <w:sz w:val="24"/>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line="278" w:lineRule="auto"/>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pPr>
      <w:spacing w:after="160" w:line="278" w:lineRule="auto"/>
    </w:pPr>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after="160"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7"/>
    <w:qFormat/>
    <w:uiPriority w:val="0"/>
    <w:rPr>
      <w:rFonts w:ascii="宋体"/>
      <w:kern w:val="2"/>
      <w:sz w:val="24"/>
      <w:szCs w:val="21"/>
      <w:lang w:val="zh-CN"/>
    </w:rPr>
  </w:style>
  <w:style w:type="character" w:customStyle="1" w:styleId="182">
    <w:name w:val="标题 9 字符"/>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6"/>
    <w:qFormat/>
    <w:uiPriority w:val="99"/>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spacing w:after="160" w:line="278" w:lineRule="auto"/>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8"/>
    <w:qFormat/>
    <w:uiPriority w:val="0"/>
    <w:rPr>
      <w:rFonts w:ascii="黑体" w:hAnsi="Courier New" w:eastAsia="黑体"/>
    </w:rPr>
  </w:style>
  <w:style w:type="character" w:customStyle="1" w:styleId="302">
    <w:name w:val="正文文本 2 字符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0"/>
    <w:qFormat/>
    <w:uiPriority w:val="0"/>
    <w:rPr>
      <w:b/>
      <w:bCs/>
      <w:kern w:val="2"/>
      <w:sz w:val="24"/>
      <w:szCs w:val="24"/>
    </w:rPr>
  </w:style>
  <w:style w:type="character" w:customStyle="1" w:styleId="308">
    <w:name w:val="正文文本缩进 2 字符"/>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5"/>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0"/>
    <w:qFormat/>
    <w:uiPriority w:val="99"/>
    <w:rPr>
      <w:kern w:val="2"/>
      <w:sz w:val="21"/>
      <w:szCs w:val="24"/>
    </w:rPr>
  </w:style>
  <w:style w:type="character" w:customStyle="1" w:styleId="345">
    <w:name w:val="签名 字符"/>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line="278" w:lineRule="auto"/>
      <w:jc w:val="center"/>
    </w:pPr>
    <w:rPr>
      <w:rFonts w:ascii="Arial" w:hAnsi="Arial" w:eastAsia="黑体" w:cs="宋体"/>
      <w:bCs/>
      <w:kern w:val="2"/>
      <w:sz w:val="52"/>
      <w:lang w:val="en-US" w:eastAsia="zh-CN" w:bidi="ar-SA"/>
    </w:rPr>
  </w:style>
  <w:style w:type="paragraph" w:customStyle="1" w:styleId="451">
    <w:name w:val="封面公司名"/>
    <w:qFormat/>
    <w:uiPriority w:val="0"/>
    <w:pPr>
      <w:spacing w:after="160" w:line="278" w:lineRule="auto"/>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hAnsi="Arial"/>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line="278" w:lineRule="auto"/>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spacing w:after="160" w:line="278" w:lineRule="auto"/>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pPr>
      <w:spacing w:after="160" w:line="278" w:lineRule="auto"/>
    </w:pPr>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line="278" w:lineRule="auto"/>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after="160"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hAnsi="Cambria"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spacing w:after="160" w:line="278" w:lineRule="auto"/>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after="160"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line="278" w:lineRule="auto"/>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after="160"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line="278" w:lineRule="auto"/>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after="160"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line="278" w:lineRule="auto"/>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spacing w:after="160" w:line="278" w:lineRule="auto"/>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line="278" w:lineRule="auto"/>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line="278" w:lineRule="auto"/>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spacing w:after="160" w:line="278" w:lineRule="auto"/>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spacing w:after="160" w:line="278" w:lineRule="auto"/>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after="160"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after="160"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line="278" w:lineRule="auto"/>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pPr>
      <w:spacing w:after="160" w:line="278" w:lineRule="auto"/>
    </w:pPr>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after="160"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hAnsi="Arial"/>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after="160" w:line="278" w:lineRule="auto"/>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after="160"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767">
    <w:name w:val="修订3"/>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pPr>
      <w:spacing w:after="160" w:line="278" w:lineRule="auto"/>
    </w:pPr>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line="278" w:lineRule="auto"/>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spacing w:after="160" w:line="278" w:lineRule="auto"/>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line="278" w:lineRule="auto"/>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after="160"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line="360" w:lineRule="auto"/>
      <w:ind w:right="-360"/>
      <w:jc w:val="left"/>
    </w:pPr>
    <w:rPr>
      <w:rFonts w:ascii="Arial" w:hAnsi="Arial"/>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spacing w:after="160" w:line="278" w:lineRule="auto"/>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spacing w:after="160" w:line="278" w:lineRule="auto"/>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9"/>
    <w:qFormat/>
    <w:uiPriority w:val="0"/>
    <w:rPr>
      <w:kern w:val="2"/>
      <w:sz w:val="21"/>
      <w:szCs w:val="24"/>
      <w:lang w:val="zh-CN"/>
    </w:rPr>
  </w:style>
  <w:style w:type="character" w:customStyle="1" w:styleId="932">
    <w:name w:val="无间隔 字符"/>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spacing w:after="160" w:line="278" w:lineRule="auto"/>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964">
    <w:name w:val="未处理的提及2"/>
    <w:basedOn w:val="70"/>
    <w:semiHidden/>
    <w:unhideWhenUsed/>
    <w:qFormat/>
    <w:uiPriority w:val="99"/>
    <w:rPr>
      <w:color w:val="605E5C"/>
      <w:shd w:val="clear" w:color="auto" w:fill="E1DFDD"/>
    </w:rPr>
  </w:style>
  <w:style w:type="paragraph" w:customStyle="1" w:styleId="965">
    <w:name w:val="jd-正文1"/>
    <w:basedOn w:val="1"/>
    <w:qFormat/>
    <w:uiPriority w:val="0"/>
    <w:pPr>
      <w:widowControl/>
      <w:adjustRightInd/>
      <w:spacing w:line="360" w:lineRule="auto"/>
      <w:ind w:firstLine="482" w:firstLineChars="200"/>
    </w:pPr>
    <w:rPr>
      <w:rFonts w:ascii="宋体" w:hAnsi="宋体" w:cs="宋体"/>
      <w:sz w:val="24"/>
      <w:szCs w:val="20"/>
    </w:rPr>
  </w:style>
  <w:style w:type="character" w:customStyle="1" w:styleId="966">
    <w:name w:val="标题 2 字符1"/>
    <w:link w:val="4"/>
    <w:qFormat/>
    <w:uiPriority w:val="0"/>
    <w:rPr>
      <w:rFonts w:ascii="宋体" w:hAnsi="宋体"/>
      <w:b/>
      <w:bCs/>
      <w:kern w:val="2"/>
      <w:sz w:val="24"/>
      <w:szCs w:val="24"/>
      <w:lang w:val="zh-CN"/>
    </w:rPr>
  </w:style>
  <w:style w:type="paragraph" w:customStyle="1" w:styleId="967">
    <w:name w:val="_正文"/>
    <w:basedOn w:val="1"/>
    <w:link w:val="968"/>
    <w:qFormat/>
    <w:uiPriority w:val="0"/>
    <w:pPr>
      <w:tabs>
        <w:tab w:val="left" w:pos="840"/>
      </w:tabs>
      <w:adjustRightInd/>
      <w:spacing w:line="360" w:lineRule="auto"/>
      <w:ind w:firstLine="200" w:firstLineChars="200"/>
    </w:pPr>
    <w:rPr>
      <w:sz w:val="24"/>
    </w:rPr>
  </w:style>
  <w:style w:type="character" w:customStyle="1" w:styleId="968">
    <w:name w:val="_正文 Char"/>
    <w:link w:val="967"/>
    <w:qFormat/>
    <w:uiPriority w:val="0"/>
    <w:rPr>
      <w:kern w:val="2"/>
      <w:sz w:val="24"/>
      <w:szCs w:val="24"/>
    </w:rPr>
  </w:style>
  <w:style w:type="paragraph" w:customStyle="1" w:styleId="969">
    <w:name w:val="正文（上会）"/>
    <w:basedOn w:val="1"/>
    <w:link w:val="970"/>
    <w:qFormat/>
    <w:uiPriority w:val="0"/>
    <w:pPr>
      <w:adjustRightInd/>
      <w:spacing w:line="336" w:lineRule="auto"/>
      <w:ind w:firstLine="200" w:firstLineChars="200"/>
    </w:pPr>
    <w:rPr>
      <w:rFonts w:ascii="仿宋_GB2312" w:hAnsi="仿宋_GB2312" w:eastAsia="仿宋_GB2312" w:cs="仿宋_GB2312"/>
      <w:sz w:val="32"/>
      <w:szCs w:val="32"/>
    </w:rPr>
  </w:style>
  <w:style w:type="character" w:customStyle="1" w:styleId="970">
    <w:name w:val="正文（上会） 字符"/>
    <w:link w:val="969"/>
    <w:qFormat/>
    <w:uiPriority w:val="0"/>
    <w:rPr>
      <w:rFonts w:ascii="仿宋_GB2312" w:hAnsi="仿宋_GB2312" w:eastAsia="仿宋_GB2312" w:cs="仿宋_GB2312"/>
      <w:kern w:val="2"/>
      <w:sz w:val="32"/>
      <w:szCs w:val="32"/>
    </w:rPr>
  </w:style>
  <w:style w:type="paragraph" w:customStyle="1" w:styleId="971">
    <w:name w:val="修订5"/>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972">
    <w:name w:val="未处理的提及3"/>
    <w:basedOn w:val="70"/>
    <w:semiHidden/>
    <w:unhideWhenUsed/>
    <w:qFormat/>
    <w:uiPriority w:val="99"/>
    <w:rPr>
      <w:color w:val="605E5C"/>
      <w:shd w:val="clear" w:color="auto" w:fill="E1DFDD"/>
    </w:rPr>
  </w:style>
  <w:style w:type="paragraph" w:customStyle="1" w:styleId="973">
    <w:name w:val="修订6"/>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974">
    <w:name w:val="font181"/>
    <w:basedOn w:val="70"/>
    <w:qFormat/>
    <w:uiPriority w:val="0"/>
    <w:rPr>
      <w:rFonts w:hint="eastAsia" w:ascii="宋体" w:hAnsi="宋体" w:eastAsia="宋体" w:cs="宋体"/>
      <w:color w:val="000000"/>
      <w:sz w:val="22"/>
      <w:szCs w:val="22"/>
      <w:u w:val="none"/>
    </w:rPr>
  </w:style>
  <w:style w:type="character" w:customStyle="1" w:styleId="975">
    <w:name w:val="font131"/>
    <w:basedOn w:val="70"/>
    <w:qFormat/>
    <w:uiPriority w:val="0"/>
    <w:rPr>
      <w:rFonts w:hint="eastAsia" w:ascii="宋体" w:hAnsi="宋体" w:eastAsia="宋体" w:cs="宋体"/>
      <w:color w:val="000000"/>
      <w:sz w:val="22"/>
      <w:szCs w:val="22"/>
      <w:u w:val="none"/>
    </w:rPr>
  </w:style>
  <w:style w:type="character" w:customStyle="1" w:styleId="976">
    <w:name w:val="font151"/>
    <w:basedOn w:val="70"/>
    <w:qFormat/>
    <w:uiPriority w:val="0"/>
    <w:rPr>
      <w:rFonts w:hint="eastAsia" w:ascii="宋体" w:hAnsi="宋体" w:eastAsia="宋体" w:cs="宋体"/>
      <w:b/>
      <w:bCs/>
      <w:color w:val="000000"/>
      <w:sz w:val="22"/>
      <w:szCs w:val="22"/>
      <w:u w:val="none"/>
    </w:rPr>
  </w:style>
  <w:style w:type="character" w:customStyle="1" w:styleId="977">
    <w:name w:val="font161"/>
    <w:basedOn w:val="70"/>
    <w:qFormat/>
    <w:uiPriority w:val="0"/>
    <w:rPr>
      <w:rFonts w:hint="eastAsia" w:ascii="宋体" w:hAnsi="宋体" w:eastAsia="宋体" w:cs="宋体"/>
      <w:b/>
      <w:bCs/>
      <w:color w:val="000000"/>
      <w:sz w:val="20"/>
      <w:szCs w:val="20"/>
      <w:u w:val="none"/>
    </w:rPr>
  </w:style>
  <w:style w:type="character" w:customStyle="1" w:styleId="978">
    <w:name w:val="font191"/>
    <w:basedOn w:val="70"/>
    <w:qFormat/>
    <w:uiPriority w:val="0"/>
    <w:rPr>
      <w:rFonts w:hint="eastAsia" w:ascii="宋体" w:hAnsi="宋体" w:eastAsia="宋体" w:cs="宋体"/>
      <w:color w:val="000000"/>
      <w:sz w:val="22"/>
      <w:szCs w:val="22"/>
      <w:u w:val="none"/>
    </w:rPr>
  </w:style>
  <w:style w:type="paragraph" w:customStyle="1" w:styleId="979">
    <w:name w:val="修订7"/>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980">
    <w:name w:val="修订8"/>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981">
    <w:name w:val="修订9"/>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982">
    <w:name w:val="修订10"/>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983">
    <w:name w:val="修订11"/>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984">
    <w:name w:val="未处理的提及4"/>
    <w:basedOn w:val="70"/>
    <w:semiHidden/>
    <w:unhideWhenUsed/>
    <w:qFormat/>
    <w:uiPriority w:val="99"/>
    <w:rPr>
      <w:color w:val="605E5C"/>
      <w:shd w:val="clear" w:color="auto" w:fill="E1DFDD"/>
    </w:rPr>
  </w:style>
  <w:style w:type="paragraph" w:customStyle="1" w:styleId="985">
    <w:name w:val="修订12"/>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986">
    <w:name w:val="正文！"/>
    <w:basedOn w:val="1"/>
    <w:qFormat/>
    <w:uiPriority w:val="0"/>
    <w:pPr>
      <w:adjustRightInd/>
      <w:spacing w:line="360" w:lineRule="auto"/>
      <w:ind w:firstLine="200" w:firstLineChars="200"/>
    </w:pPr>
    <w:rPr>
      <w:szCs w:val="21"/>
    </w:rPr>
  </w:style>
  <w:style w:type="paragraph" w:customStyle="1" w:styleId="987">
    <w:name w:val="修订13"/>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988">
    <w:name w:val="未处理的提及5"/>
    <w:basedOn w:val="70"/>
    <w:semiHidden/>
    <w:unhideWhenUsed/>
    <w:qFormat/>
    <w:uiPriority w:val="99"/>
    <w:rPr>
      <w:color w:val="605E5C"/>
      <w:shd w:val="clear" w:color="auto" w:fill="E1DFDD"/>
    </w:rPr>
  </w:style>
  <w:style w:type="character" w:customStyle="1" w:styleId="989">
    <w:name w:val="未处理的提及6"/>
    <w:basedOn w:val="70"/>
    <w:semiHidden/>
    <w:unhideWhenUsed/>
    <w:qFormat/>
    <w:uiPriority w:val="99"/>
    <w:rPr>
      <w:color w:val="605E5C"/>
      <w:shd w:val="clear" w:color="auto" w:fill="E1DFDD"/>
    </w:rPr>
  </w:style>
  <w:style w:type="character" w:customStyle="1" w:styleId="990">
    <w:name w:val="未处理的提及7"/>
    <w:basedOn w:val="70"/>
    <w:semiHidden/>
    <w:unhideWhenUsed/>
    <w:qFormat/>
    <w:uiPriority w:val="99"/>
    <w:rPr>
      <w:color w:val="605E5C"/>
      <w:shd w:val="clear" w:color="auto" w:fill="E1DFDD"/>
    </w:rPr>
  </w:style>
  <w:style w:type="paragraph" w:customStyle="1" w:styleId="991">
    <w:name w:val="正文空2字"/>
    <w:basedOn w:val="99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92">
    <w:name w:val="左对齐正文"/>
    <w:qFormat/>
    <w:uiPriority w:val="99"/>
    <w:pPr>
      <w:spacing w:after="160" w:line="278" w:lineRule="auto"/>
    </w:pPr>
    <w:rPr>
      <w:rFonts w:ascii="Calibri" w:hAnsi="Calibri" w:eastAsia="仿宋_GB2312" w:cs="Calibri"/>
      <w:kern w:val="2"/>
      <w:sz w:val="32"/>
      <w:szCs w:val="32"/>
      <w:lang w:val="en-US" w:eastAsia="zh-CN" w:bidi="ar-SA"/>
    </w:rPr>
  </w:style>
  <w:style w:type="character" w:customStyle="1" w:styleId="993">
    <w:name w:val="fontstyle01"/>
    <w:basedOn w:val="70"/>
    <w:qFormat/>
    <w:uiPriority w:val="0"/>
    <w:rPr>
      <w:rFonts w:hint="eastAsia" w:ascii="宋体" w:hAnsi="宋体" w:eastAsia="宋体"/>
      <w:color w:val="000000"/>
      <w:sz w:val="18"/>
      <w:szCs w:val="18"/>
    </w:rPr>
  </w:style>
  <w:style w:type="character" w:customStyle="1" w:styleId="994">
    <w:name w:val="未处理的提及8"/>
    <w:basedOn w:val="70"/>
    <w:semiHidden/>
    <w:unhideWhenUsed/>
    <w:qFormat/>
    <w:uiPriority w:val="99"/>
    <w:rPr>
      <w:color w:val="605E5C"/>
      <w:shd w:val="clear" w:color="auto" w:fill="E1DFDD"/>
    </w:rPr>
  </w:style>
  <w:style w:type="paragraph" w:customStyle="1" w:styleId="995">
    <w:name w:val="修订14"/>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996">
    <w:name w:val="修订15"/>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997">
    <w:name w:val="未处理的提及9"/>
    <w:basedOn w:val="70"/>
    <w:semiHidden/>
    <w:unhideWhenUsed/>
    <w:qFormat/>
    <w:uiPriority w:val="99"/>
    <w:rPr>
      <w:color w:val="605E5C"/>
      <w:shd w:val="clear" w:color="auto" w:fill="E1DFDD"/>
    </w:rPr>
  </w:style>
  <w:style w:type="character" w:customStyle="1" w:styleId="998">
    <w:name w:val="未处理的提及10"/>
    <w:basedOn w:val="70"/>
    <w:semiHidden/>
    <w:unhideWhenUsed/>
    <w:qFormat/>
    <w:uiPriority w:val="99"/>
    <w:rPr>
      <w:color w:val="605E5C"/>
      <w:shd w:val="clear" w:color="auto" w:fill="E1DFDD"/>
    </w:rPr>
  </w:style>
  <w:style w:type="character" w:customStyle="1" w:styleId="999">
    <w:name w:val="未处理的提及11"/>
    <w:basedOn w:val="70"/>
    <w:semiHidden/>
    <w:unhideWhenUsed/>
    <w:qFormat/>
    <w:uiPriority w:val="99"/>
    <w:rPr>
      <w:color w:val="605E5C"/>
      <w:shd w:val="clear" w:color="auto" w:fill="E1DFDD"/>
    </w:rPr>
  </w:style>
  <w:style w:type="paragraph" w:customStyle="1" w:styleId="1000">
    <w:name w:val="修订16"/>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1001">
    <w:name w:val="修订17"/>
    <w:hidden/>
    <w:unhideWhenUsed/>
    <w:qFormat/>
    <w:uiPriority w:val="99"/>
    <w:rPr>
      <w:rFonts w:ascii="Times New Roman" w:hAnsi="Times New Roman" w:eastAsia="宋体" w:cs="Times New Roman"/>
      <w:kern w:val="2"/>
      <w:sz w:val="21"/>
      <w:szCs w:val="24"/>
      <w:lang w:val="en-US" w:eastAsia="zh-CN" w:bidi="ar-SA"/>
    </w:rPr>
  </w:style>
  <w:style w:type="paragraph" w:customStyle="1" w:styleId="1002">
    <w:name w:val="修订18"/>
    <w:hidden/>
    <w:unhideWhenUsed/>
    <w:qFormat/>
    <w:uiPriority w:val="99"/>
    <w:rPr>
      <w:rFonts w:ascii="Times New Roman" w:hAnsi="Times New Roman" w:eastAsia="宋体" w:cs="Times New Roman"/>
      <w:kern w:val="2"/>
      <w:sz w:val="21"/>
      <w:szCs w:val="24"/>
      <w:lang w:val="en-US" w:eastAsia="zh-CN" w:bidi="ar-SA"/>
    </w:rPr>
  </w:style>
  <w:style w:type="paragraph" w:customStyle="1" w:styleId="1003">
    <w:name w:val="修订19"/>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2.jpeg"/><Relationship Id="rId27" Type="http://schemas.openxmlformats.org/officeDocument/2006/relationships/image" Target="media/image1.jpeg"/><Relationship Id="rId26" Type="http://schemas.openxmlformats.org/officeDocument/2006/relationships/theme" Target="theme/theme1.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98</Pages>
  <Words>448</Words>
  <Characters>548</Characters>
  <Lines>377</Lines>
  <Paragraphs>106</Paragraphs>
  <TotalTime>29</TotalTime>
  <ScaleCrop>false</ScaleCrop>
  <LinksUpToDate>false</LinksUpToDate>
  <CharactersWithSpaces>707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2025-01-03T13:06:00Z</dcterms:created>
  <dc:creator>玥</dc:creator>
  <cp:lastModifiedBy>Leez</cp:lastModifiedBy>
  <cp:lastPrinted>2023-03-11T17:43:00Z</cp:lastPrinted>
  <dcterms:modified xsi:type="dcterms:W3CDTF">2025-07-09T09:18:15Z</dcterms:modified>
  <dc:title>杭州市市民卡扩大发卡工程</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945FF02649A14685B7BA92A54320A65B_13</vt:lpwstr>
  </property>
  <property fmtid="{D5CDD505-2E9C-101B-9397-08002B2CF9AE}" pid="5" name="KSOTemplateDocerSaveRecord">
    <vt:lpwstr>eyJoZGlkIjoiNWJmMzEyZjFjNDlhZDFiNGZhZDI0YzBjMzQ5MjBhOGIiLCJ1c2VySWQiOiIyMTQ2NjI3OTcifQ==</vt:lpwstr>
  </property>
</Properties>
</file>