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6AA9FE">
      <w:pPr>
        <w:spacing w:line="360" w:lineRule="auto"/>
        <w:ind w:left="120" w:firstLine="22"/>
        <w:jc w:val="center"/>
        <w:rPr>
          <w:rFonts w:hint="eastAsia" w:ascii="宋体" w:hAnsi="宋体" w:cs="宋体"/>
          <w:b/>
          <w:color w:val="000000" w:themeColor="text1"/>
          <w:sz w:val="24"/>
          <w14:textFill>
            <w14:solidFill>
              <w14:schemeClr w14:val="tx1"/>
            </w14:solidFill>
          </w14:textFill>
        </w:rPr>
      </w:pPr>
    </w:p>
    <w:p w14:paraId="06084AB2">
      <w:pPr>
        <w:spacing w:line="360" w:lineRule="auto"/>
        <w:ind w:left="120" w:firstLine="22"/>
        <w:jc w:val="center"/>
        <w:rPr>
          <w:rFonts w:hint="eastAsia" w:ascii="宋体" w:hAnsi="宋体" w:cs="宋体"/>
          <w:b/>
          <w:color w:val="000000" w:themeColor="text1"/>
          <w:sz w:val="24"/>
          <w14:textFill>
            <w14:solidFill>
              <w14:schemeClr w14:val="tx1"/>
            </w14:solidFill>
          </w14:textFill>
        </w:rPr>
      </w:pPr>
    </w:p>
    <w:p w14:paraId="072644D7">
      <w:pPr>
        <w:adjustRightInd/>
        <w:spacing w:line="360" w:lineRule="auto"/>
        <w:ind w:firstLine="22" w:firstLineChars="5"/>
        <w:jc w:val="center"/>
        <w:rPr>
          <w:rFonts w:hint="eastAsia" w:ascii="宋体" w:hAnsi="宋体" w:cs="宋体"/>
          <w:color w:val="000000" w:themeColor="text1"/>
          <w:sz w:val="44"/>
          <w:szCs w:val="44"/>
          <w14:textFill>
            <w14:solidFill>
              <w14:schemeClr w14:val="tx1"/>
            </w14:solidFill>
          </w14:textFill>
        </w:rPr>
      </w:pPr>
      <w:r>
        <w:rPr>
          <w:rFonts w:hint="eastAsia" w:ascii="宋体" w:hAnsi="宋体" w:cs="宋体"/>
          <w:color w:val="000000" w:themeColor="text1"/>
          <w:sz w:val="44"/>
          <w:szCs w:val="44"/>
          <w14:textFill>
            <w14:solidFill>
              <w14:schemeClr w14:val="tx1"/>
            </w14:solidFill>
          </w14:textFill>
        </w:rPr>
        <w:t>“数字人大”平台系统改造项目</w:t>
      </w:r>
    </w:p>
    <w:p w14:paraId="622BAC18">
      <w:pPr>
        <w:adjustRightInd/>
        <w:spacing w:line="360" w:lineRule="auto"/>
        <w:ind w:left="120" w:firstLine="24" w:firstLineChars="5"/>
        <w:jc w:val="center"/>
        <w:rPr>
          <w:rFonts w:hint="eastAsia" w:ascii="宋体" w:hAnsi="宋体" w:cs="宋体"/>
          <w:color w:val="000000" w:themeColor="text1"/>
          <w:sz w:val="48"/>
          <w:szCs w:val="48"/>
          <w14:textFill>
            <w14:solidFill>
              <w14:schemeClr w14:val="tx1"/>
            </w14:solidFill>
          </w14:textFill>
        </w:rPr>
      </w:pPr>
      <w:r>
        <w:rPr>
          <w:rFonts w:hint="eastAsia" w:ascii="宋体" w:hAnsi="宋体" w:cs="宋体"/>
          <w:color w:val="000000" w:themeColor="text1"/>
          <w:sz w:val="48"/>
          <w:szCs w:val="48"/>
          <w14:textFill>
            <w14:solidFill>
              <w14:schemeClr w14:val="tx1"/>
            </w14:solidFill>
          </w14:textFill>
        </w:rPr>
        <w:t xml:space="preserve">采购文件 </w:t>
      </w:r>
    </w:p>
    <w:p w14:paraId="4075F334">
      <w:pPr>
        <w:adjustRightInd/>
        <w:spacing w:line="360" w:lineRule="auto"/>
        <w:ind w:left="120" w:firstLine="22" w:firstLineChars="5"/>
        <w:jc w:val="center"/>
        <w:rPr>
          <w:rFonts w:hint="eastAsia"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（电子招投标）</w:t>
      </w:r>
    </w:p>
    <w:p w14:paraId="07FFED9B">
      <w:pPr>
        <w:ind w:firstLine="10" w:firstLineChars="5"/>
        <w:rPr>
          <w:rFonts w:hint="eastAsia" w:ascii="宋体" w:hAnsi="宋体"/>
          <w:color w:val="000000" w:themeColor="text1"/>
          <w14:textFill>
            <w14:solidFill>
              <w14:schemeClr w14:val="tx1"/>
            </w14:solidFill>
          </w14:textFill>
        </w:rPr>
      </w:pPr>
    </w:p>
    <w:p w14:paraId="004B1360">
      <w:pPr>
        <w:snapToGrid w:val="0"/>
        <w:spacing w:line="360" w:lineRule="auto"/>
        <w:ind w:left="120" w:firstLine="12" w:firstLineChars="5"/>
        <w:jc w:val="center"/>
        <w:rPr>
          <w:rFonts w:hint="eastAsia" w:ascii="宋体" w:hAnsi="宋体" w:cs="宋体"/>
          <w:color w:val="000000" w:themeColor="text1"/>
          <w:sz w:val="30"/>
          <w:szCs w:val="30"/>
          <w14:textFill>
            <w14:solidFill>
              <w14:schemeClr w14:val="tx1"/>
            </w14:solidFill>
          </w14:textFill>
        </w:rPr>
      </w:pPr>
      <w:r>
        <w:rPr>
          <w:rFonts w:ascii="宋体" w:hAnsi="宋体" w:cs="宋体"/>
          <w:color w:val="000000" w:themeColor="text1"/>
          <w:kern w:val="0"/>
          <w:sz w:val="24"/>
          <w14:textFill>
            <w14:solidFill>
              <w14:schemeClr w14:val="tx1"/>
            </w14:solidFill>
          </w14:textFill>
        </w:rPr>
        <w:drawing>
          <wp:inline distT="0" distB="0" distL="114300" distR="114300">
            <wp:extent cx="1781175" cy="1358265"/>
            <wp:effectExtent l="0" t="0" r="9525" b="13335"/>
            <wp:docPr id="5"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56"/>
                    <pic:cNvPicPr>
                      <a:picLocks noChangeAspect="1"/>
                    </pic:cNvPicPr>
                  </pic:nvPicPr>
                  <pic:blipFill>
                    <a:blip r:embed="rId27"/>
                    <a:stretch>
                      <a:fillRect/>
                    </a:stretch>
                  </pic:blipFill>
                  <pic:spPr>
                    <a:xfrm>
                      <a:off x="0" y="0"/>
                      <a:ext cx="1781175" cy="1358265"/>
                    </a:xfrm>
                    <a:prstGeom prst="rect">
                      <a:avLst/>
                    </a:prstGeom>
                    <a:noFill/>
                    <a:ln>
                      <a:noFill/>
                    </a:ln>
                  </pic:spPr>
                </pic:pic>
              </a:graphicData>
            </a:graphic>
          </wp:inline>
        </w:drawing>
      </w:r>
    </w:p>
    <w:p w14:paraId="5B3308F7">
      <w:pPr>
        <w:snapToGrid w:val="0"/>
        <w:spacing w:line="360" w:lineRule="auto"/>
        <w:ind w:left="120" w:firstLine="15" w:firstLineChars="5"/>
        <w:jc w:val="center"/>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编号:CTZB-2025060241</w:t>
      </w:r>
    </w:p>
    <w:p w14:paraId="4FEBC353">
      <w:pPr>
        <w:adjustRightInd/>
        <w:spacing w:line="360" w:lineRule="auto"/>
        <w:ind w:left="120" w:firstLine="14" w:firstLineChars="5"/>
        <w:rPr>
          <w:rFonts w:hint="eastAsia" w:ascii="宋体" w:hAnsi="宋体" w:cs="宋体"/>
          <w:color w:val="000000" w:themeColor="text1"/>
          <w:sz w:val="28"/>
          <w:szCs w:val="20"/>
          <w14:textFill>
            <w14:solidFill>
              <w14:schemeClr w14:val="tx1"/>
            </w14:solidFill>
          </w14:textFill>
        </w:rPr>
      </w:pPr>
      <w:r>
        <w:rPr>
          <w:rFonts w:hint="eastAsia" w:ascii="宋体" w:hAnsi="宋体" w:cs="宋体"/>
          <w:color w:val="000000" w:themeColor="text1"/>
          <w:sz w:val="28"/>
          <w:szCs w:val="20"/>
          <w14:textFill>
            <w14:solidFill>
              <w14:schemeClr w14:val="tx1"/>
            </w14:solidFill>
          </w14:textFill>
        </w:rPr>
        <w:t xml:space="preserve">                                </w:t>
      </w:r>
    </w:p>
    <w:p w14:paraId="22B115FB">
      <w:pPr>
        <w:spacing w:line="360" w:lineRule="auto"/>
        <w:ind w:left="120" w:firstLine="22" w:firstLineChars="5"/>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w:t>
      </w:r>
    </w:p>
    <w:p w14:paraId="7EA4F4F4">
      <w:pPr>
        <w:spacing w:line="360" w:lineRule="auto"/>
        <w:ind w:left="120" w:firstLine="16" w:firstLineChars="5"/>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 xml:space="preserve">                            </w:t>
      </w:r>
    </w:p>
    <w:p w14:paraId="19562C61">
      <w:pPr>
        <w:snapToGrid w:val="0"/>
        <w:spacing w:line="360" w:lineRule="auto"/>
        <w:ind w:firstLine="321" w:firstLineChars="100"/>
        <w:rPr>
          <w:rFonts w:hint="eastAsia" w:ascii="宋体" w:hAnsi="宋体" w:eastAsia="宋体" w:cs="宋体"/>
          <w:b/>
          <w:bCs/>
          <w:color w:val="000000" w:themeColor="text1"/>
          <w:sz w:val="32"/>
          <w:szCs w:val="32"/>
          <w:lang w:eastAsia="zh-CN"/>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招  标 人：</w:t>
      </w:r>
      <w:r>
        <w:rPr>
          <w:rFonts w:hint="eastAsia" w:ascii="宋体" w:hAnsi="宋体" w:cs="宋体"/>
          <w:b/>
          <w:bCs/>
          <w:color w:val="000000" w:themeColor="text1"/>
          <w:sz w:val="32"/>
          <w:szCs w:val="32"/>
          <w:lang w:eastAsia="zh-CN"/>
          <w14:textFill>
            <w14:solidFill>
              <w14:schemeClr w14:val="tx1"/>
            </w14:solidFill>
          </w14:textFill>
        </w:rPr>
        <w:t>杭州市上城区人民代表大会</w:t>
      </w:r>
      <w:r>
        <w:rPr>
          <w:rFonts w:hint="eastAsia" w:ascii="宋体" w:hAnsi="宋体" w:cs="宋体"/>
          <w:b/>
          <w:bCs/>
          <w:color w:val="000000" w:themeColor="text1"/>
          <w:sz w:val="32"/>
          <w:szCs w:val="32"/>
          <w:lang w:val="en-US" w:eastAsia="zh-CN"/>
          <w14:textFill>
            <w14:solidFill>
              <w14:schemeClr w14:val="tx1"/>
            </w14:solidFill>
          </w14:textFill>
        </w:rPr>
        <w:t>常务</w:t>
      </w:r>
      <w:r>
        <w:rPr>
          <w:rFonts w:hint="eastAsia" w:ascii="宋体" w:hAnsi="宋体" w:cs="宋体"/>
          <w:b/>
          <w:bCs/>
          <w:color w:val="000000" w:themeColor="text1"/>
          <w:sz w:val="32"/>
          <w:szCs w:val="32"/>
          <w:lang w:eastAsia="zh-CN"/>
          <w14:textFill>
            <w14:solidFill>
              <w14:schemeClr w14:val="tx1"/>
            </w14:solidFill>
          </w14:textFill>
        </w:rPr>
        <w:t>委员会办公室</w:t>
      </w:r>
    </w:p>
    <w:p w14:paraId="19F142E8">
      <w:pPr>
        <w:snapToGrid w:val="0"/>
        <w:spacing w:line="360" w:lineRule="auto"/>
        <w:ind w:left="0" w:firstLine="321" w:firstLineChars="100"/>
        <w:jc w:val="both"/>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招标代理机构：浙江省成套招标代理有限公司</w:t>
      </w:r>
    </w:p>
    <w:p w14:paraId="57A08490">
      <w:pPr>
        <w:snapToGrid w:val="0"/>
        <w:spacing w:line="360" w:lineRule="auto"/>
        <w:ind w:left="120" w:firstLine="16" w:firstLineChars="5"/>
        <w:jc w:val="cente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二〇二五年六月</w:t>
      </w:r>
    </w:p>
    <w:p w14:paraId="440A70B0">
      <w:pPr>
        <w:spacing w:line="360" w:lineRule="auto"/>
        <w:ind w:left="120" w:firstLine="12" w:firstLineChars="5"/>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bookmarkStart w:id="0" w:name="_Hlt67893495"/>
      <w:bookmarkEnd w:id="0"/>
    </w:p>
    <w:p w14:paraId="5F91EAC0">
      <w:pPr>
        <w:ind w:left="210"/>
        <w:rPr>
          <w:rFonts w:hint="eastAsia" w:ascii="宋体" w:hAnsi="宋体"/>
          <w:color w:val="000000" w:themeColor="text1"/>
          <w14:textFill>
            <w14:solidFill>
              <w14:schemeClr w14:val="tx1"/>
            </w14:solidFill>
          </w14:textFill>
        </w:rPr>
      </w:pPr>
    </w:p>
    <w:p w14:paraId="7BE7A748">
      <w:pPr>
        <w:spacing w:line="360" w:lineRule="auto"/>
        <w:ind w:left="120" w:firstLine="19" w:firstLineChars="4"/>
        <w:jc w:val="center"/>
        <w:rPr>
          <w:rFonts w:hint="eastAsia"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目  录</w:t>
      </w:r>
    </w:p>
    <w:p w14:paraId="010965B4">
      <w:pPr>
        <w:spacing w:line="360" w:lineRule="auto"/>
        <w:ind w:left="120" w:firstLine="22"/>
        <w:rPr>
          <w:rFonts w:hint="eastAsia" w:ascii="宋体" w:hAnsi="宋体" w:cs="宋体"/>
          <w:color w:val="000000" w:themeColor="text1"/>
          <w:sz w:val="32"/>
          <w:szCs w:val="32"/>
          <w14:textFill>
            <w14:solidFill>
              <w14:schemeClr w14:val="tx1"/>
            </w14:solidFill>
          </w14:textFill>
        </w:rPr>
      </w:pPr>
    </w:p>
    <w:p w14:paraId="608F5745">
      <w:pPr>
        <w:spacing w:line="360" w:lineRule="auto"/>
        <w:ind w:left="120" w:firstLine="22"/>
        <w:rPr>
          <w:rFonts w:hint="eastAsia" w:ascii="宋体" w:hAnsi="宋体" w:cs="宋体"/>
          <w:color w:val="000000" w:themeColor="text1"/>
          <w:sz w:val="32"/>
          <w:szCs w:val="32"/>
          <w14:textFill>
            <w14:solidFill>
              <w14:schemeClr w14:val="tx1"/>
            </w14:solidFill>
          </w14:textFill>
        </w:rPr>
      </w:pPr>
    </w:p>
    <w:p w14:paraId="7613EAB3">
      <w:pPr>
        <w:spacing w:line="360" w:lineRule="auto"/>
        <w:ind w:left="120" w:firstLine="640" w:firstLineChars="200"/>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第一部分      招标公告</w:t>
      </w:r>
    </w:p>
    <w:p w14:paraId="751FCB43">
      <w:pPr>
        <w:spacing w:line="360" w:lineRule="auto"/>
        <w:ind w:left="120" w:firstLine="640" w:firstLineChars="200"/>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第二部分      投标人须知</w:t>
      </w:r>
    </w:p>
    <w:p w14:paraId="5FC5BB74">
      <w:pPr>
        <w:spacing w:line="360" w:lineRule="auto"/>
        <w:ind w:left="120" w:firstLine="640" w:firstLineChars="200"/>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第三部分      采购需求</w:t>
      </w:r>
    </w:p>
    <w:p w14:paraId="3FB5438E">
      <w:pPr>
        <w:spacing w:line="360" w:lineRule="auto"/>
        <w:ind w:left="120" w:firstLine="640" w:firstLineChars="200"/>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第四部分      评标办法</w:t>
      </w:r>
    </w:p>
    <w:p w14:paraId="27ED8670">
      <w:pPr>
        <w:spacing w:line="360" w:lineRule="auto"/>
        <w:ind w:left="120" w:firstLine="640" w:firstLineChars="200"/>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第五部分      拟签订的合同文本</w:t>
      </w:r>
    </w:p>
    <w:p w14:paraId="5E4B4716">
      <w:pPr>
        <w:spacing w:line="360" w:lineRule="auto"/>
        <w:ind w:left="120" w:firstLine="640" w:firstLineChars="200"/>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第六部分      应提交的有关格式范例</w:t>
      </w:r>
    </w:p>
    <w:p w14:paraId="08F2ED03">
      <w:pPr>
        <w:spacing w:line="360" w:lineRule="auto"/>
        <w:ind w:left="120" w:firstLine="549" w:firstLineChars="229"/>
        <w:rPr>
          <w:rFonts w:hint="eastAsia" w:ascii="宋体" w:hAnsi="宋体" w:cs="宋体"/>
          <w:color w:val="000000" w:themeColor="text1"/>
          <w:sz w:val="24"/>
          <w14:textFill>
            <w14:solidFill>
              <w14:schemeClr w14:val="tx1"/>
            </w14:solidFill>
          </w14:textFill>
        </w:rPr>
      </w:pPr>
      <w:bookmarkStart w:id="1" w:name="_Hlt91233176"/>
      <w:bookmarkEnd w:id="1"/>
      <w:bookmarkStart w:id="2" w:name="_Toc91899869"/>
    </w:p>
    <w:p w14:paraId="6A7B53A5">
      <w:pPr>
        <w:spacing w:line="360" w:lineRule="auto"/>
        <w:ind w:left="120" w:firstLine="549" w:firstLineChars="229"/>
        <w:rPr>
          <w:rFonts w:hint="eastAsia" w:ascii="宋体" w:hAnsi="宋体" w:cs="宋体"/>
          <w:color w:val="000000" w:themeColor="text1"/>
          <w:sz w:val="24"/>
          <w14:textFill>
            <w14:solidFill>
              <w14:schemeClr w14:val="tx1"/>
            </w14:solidFill>
          </w14:textFill>
        </w:rPr>
      </w:pPr>
    </w:p>
    <w:p w14:paraId="1844CCB1">
      <w:pPr>
        <w:spacing w:line="360" w:lineRule="auto"/>
        <w:ind w:left="120" w:firstLine="549" w:firstLineChars="229"/>
        <w:rPr>
          <w:rFonts w:hint="eastAsia" w:ascii="宋体" w:hAnsi="宋体" w:cs="宋体"/>
          <w:color w:val="000000" w:themeColor="text1"/>
          <w:sz w:val="24"/>
          <w14:textFill>
            <w14:solidFill>
              <w14:schemeClr w14:val="tx1"/>
            </w14:solidFill>
          </w14:textFill>
        </w:rPr>
      </w:pPr>
    </w:p>
    <w:p w14:paraId="226D5D6C">
      <w:pPr>
        <w:spacing w:line="360" w:lineRule="auto"/>
        <w:ind w:left="120" w:firstLine="549" w:firstLineChars="229"/>
        <w:rPr>
          <w:rFonts w:hint="eastAsia" w:ascii="宋体" w:hAnsi="宋体" w:cs="宋体"/>
          <w:color w:val="000000" w:themeColor="text1"/>
          <w:sz w:val="24"/>
          <w14:textFill>
            <w14:solidFill>
              <w14:schemeClr w14:val="tx1"/>
            </w14:solidFill>
          </w14:textFill>
        </w:rPr>
      </w:pPr>
    </w:p>
    <w:p w14:paraId="58A5B7C6">
      <w:pPr>
        <w:spacing w:line="360" w:lineRule="auto"/>
        <w:ind w:left="120" w:firstLine="549" w:firstLineChars="229"/>
        <w:rPr>
          <w:rFonts w:hint="eastAsia" w:ascii="宋体" w:hAnsi="宋体" w:cs="宋体"/>
          <w:color w:val="000000" w:themeColor="text1"/>
          <w:sz w:val="24"/>
          <w14:textFill>
            <w14:solidFill>
              <w14:schemeClr w14:val="tx1"/>
            </w14:solidFill>
          </w14:textFill>
        </w:rPr>
      </w:pPr>
    </w:p>
    <w:p w14:paraId="688801F7">
      <w:pPr>
        <w:spacing w:line="360" w:lineRule="auto"/>
        <w:ind w:left="120" w:firstLine="549" w:firstLineChars="229"/>
        <w:rPr>
          <w:rFonts w:hint="eastAsia" w:ascii="宋体" w:hAnsi="宋体" w:cs="宋体"/>
          <w:color w:val="000000" w:themeColor="text1"/>
          <w:sz w:val="24"/>
          <w14:textFill>
            <w14:solidFill>
              <w14:schemeClr w14:val="tx1"/>
            </w14:solidFill>
          </w14:textFill>
        </w:rPr>
      </w:pPr>
    </w:p>
    <w:p w14:paraId="44C0552B">
      <w:pPr>
        <w:spacing w:line="360" w:lineRule="auto"/>
        <w:ind w:left="120" w:firstLine="549" w:firstLineChars="229"/>
        <w:rPr>
          <w:rFonts w:hint="eastAsia" w:ascii="宋体" w:hAnsi="宋体" w:cs="宋体"/>
          <w:color w:val="000000" w:themeColor="text1"/>
          <w:sz w:val="24"/>
          <w14:textFill>
            <w14:solidFill>
              <w14:schemeClr w14:val="tx1"/>
            </w14:solidFill>
          </w14:textFill>
        </w:rPr>
      </w:pPr>
    </w:p>
    <w:p w14:paraId="219036CD">
      <w:pPr>
        <w:spacing w:line="360" w:lineRule="auto"/>
        <w:ind w:left="120" w:firstLine="549" w:firstLineChars="229"/>
        <w:rPr>
          <w:rFonts w:hint="eastAsia" w:ascii="宋体" w:hAnsi="宋体" w:cs="宋体"/>
          <w:color w:val="000000" w:themeColor="text1"/>
          <w:sz w:val="24"/>
          <w14:textFill>
            <w14:solidFill>
              <w14:schemeClr w14:val="tx1"/>
            </w14:solidFill>
          </w14:textFill>
        </w:rPr>
      </w:pPr>
    </w:p>
    <w:p w14:paraId="34932AB1">
      <w:pPr>
        <w:spacing w:line="360" w:lineRule="auto"/>
        <w:ind w:left="120" w:firstLine="549" w:firstLineChars="229"/>
        <w:rPr>
          <w:rFonts w:hint="eastAsia" w:ascii="宋体" w:hAnsi="宋体" w:cs="宋体"/>
          <w:color w:val="000000" w:themeColor="text1"/>
          <w:sz w:val="24"/>
          <w14:textFill>
            <w14:solidFill>
              <w14:schemeClr w14:val="tx1"/>
            </w14:solidFill>
          </w14:textFill>
        </w:rPr>
      </w:pPr>
    </w:p>
    <w:bookmarkEnd w:id="2"/>
    <w:p w14:paraId="0CD9A870">
      <w:pPr>
        <w:adjustRightInd/>
        <w:spacing w:line="360" w:lineRule="auto"/>
        <w:ind w:left="120" w:firstLine="22" w:firstLineChars="6"/>
        <w:jc w:val="center"/>
        <w:outlineLvl w:val="0"/>
        <w:rPr>
          <w:rFonts w:hint="eastAsia" w:ascii="宋体" w:hAnsi="宋体" w:cs="宋体"/>
          <w:b/>
          <w:color w:val="000000" w:themeColor="text1"/>
          <w:sz w:val="36"/>
          <w:szCs w:val="20"/>
          <w14:textFill>
            <w14:solidFill>
              <w14:schemeClr w14:val="tx1"/>
            </w14:solidFill>
          </w14:textFill>
        </w:rPr>
      </w:pPr>
      <w:bookmarkStart w:id="3" w:name="_Hlt74707423"/>
      <w:bookmarkEnd w:id="3"/>
      <w:bookmarkStart w:id="4" w:name="_Hlt74728647"/>
      <w:bookmarkEnd w:id="4"/>
      <w:bookmarkStart w:id="5" w:name="_Hlt74729822"/>
      <w:bookmarkEnd w:id="5"/>
      <w:bookmarkStart w:id="6" w:name="_Hlt74649545"/>
      <w:bookmarkEnd w:id="6"/>
      <w:bookmarkStart w:id="7" w:name="第二部分"/>
      <w:bookmarkStart w:id="8" w:name="_Toc91899870"/>
      <w:bookmarkStart w:id="9" w:name="_Toc91899871"/>
      <w:bookmarkStart w:id="515" w:name="_GoBack"/>
      <w:bookmarkEnd w:id="515"/>
      <w:r>
        <w:rPr>
          <w:rFonts w:hint="eastAsia" w:ascii="宋体" w:hAnsi="宋体" w:cs="宋体"/>
          <w:b/>
          <w:color w:val="000000" w:themeColor="text1"/>
          <w:sz w:val="36"/>
          <w:szCs w:val="20"/>
          <w14:textFill>
            <w14:solidFill>
              <w14:schemeClr w14:val="tx1"/>
            </w14:solidFill>
          </w14:textFill>
        </w:rPr>
        <w:t>第一部分 招标公告</w:t>
      </w:r>
    </w:p>
    <w:p w14:paraId="151F85E4">
      <w:pPr>
        <w:pBdr>
          <w:top w:val="single" w:color="auto" w:sz="4" w:space="1"/>
          <w:left w:val="single" w:color="auto" w:sz="4" w:space="4"/>
          <w:bottom w:val="single" w:color="auto" w:sz="4" w:space="1"/>
          <w:right w:val="single" w:color="auto" w:sz="4" w:space="4"/>
        </w:pBdr>
        <w:spacing w:line="360" w:lineRule="auto"/>
        <w:ind w:left="120" w:firstLine="21" w:firstLineChars="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项目概况</w:t>
      </w:r>
    </w:p>
    <w:p w14:paraId="75602DF4">
      <w:pPr>
        <w:pBdr>
          <w:top w:val="single" w:color="auto" w:sz="4" w:space="1"/>
          <w:left w:val="single" w:color="auto" w:sz="4" w:space="4"/>
          <w:bottom w:val="single" w:color="auto" w:sz="4" w:space="1"/>
          <w:right w:val="single" w:color="auto" w:sz="4" w:space="4"/>
        </w:pBdr>
        <w:spacing w:line="360" w:lineRule="auto"/>
        <w:ind w:left="120" w:firstLine="21" w:firstLineChars="9"/>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“数字人大”平台系统改造项目</w:t>
      </w:r>
      <w:r>
        <w:rPr>
          <w:rFonts w:hint="eastAsia" w:ascii="宋体" w:hAnsi="宋体" w:cs="宋体"/>
          <w:color w:val="000000" w:themeColor="text1"/>
          <w:sz w:val="24"/>
          <w14:textFill>
            <w14:solidFill>
              <w14:schemeClr w14:val="tx1"/>
            </w14:solidFill>
          </w14:textFill>
        </w:rPr>
        <w:t>的潜在投标人应在政采云平台（</w:t>
      </w:r>
      <w:r>
        <w:fldChar w:fldCharType="begin"/>
      </w:r>
      <w:r>
        <w:instrText xml:space="preserve"> HYPERLINK "https://www.zcygov.cn/）获取（下载）采购文件，并于2025年%20%20月%20%20日09点30分00秒" </w:instrText>
      </w:r>
      <w:r>
        <w:fldChar w:fldCharType="separate"/>
      </w:r>
      <w:r>
        <w:rPr>
          <w:rStyle w:val="77"/>
          <w:rFonts w:hint="eastAsia" w:ascii="宋体" w:hAnsi="宋体" w:eastAsia="宋体" w:cs="宋体"/>
          <w:snapToGrid/>
          <w:color w:val="000000" w:themeColor="text1"/>
          <w:kern w:val="2"/>
          <w:sz w:val="24"/>
          <w:szCs w:val="24"/>
          <w14:textFill>
            <w14:solidFill>
              <w14:schemeClr w14:val="tx1"/>
            </w14:solidFill>
          </w14:textFill>
        </w:rPr>
        <w:t>https://www.zcygov.cn/）获取（下载）采购文件，并于2025年</w:t>
      </w:r>
      <w:r>
        <w:rPr>
          <w:rStyle w:val="77"/>
          <w:rFonts w:hint="eastAsia" w:ascii="宋体" w:hAnsi="宋体" w:cs="宋体"/>
          <w:snapToGrid/>
          <w:color w:val="000000" w:themeColor="text1"/>
          <w:kern w:val="2"/>
          <w:sz w:val="24"/>
          <w:szCs w:val="24"/>
          <w:lang w:val="en-US" w:eastAsia="zh-CN"/>
          <w14:textFill>
            <w14:solidFill>
              <w14:schemeClr w14:val="tx1"/>
            </w14:solidFill>
          </w14:textFill>
        </w:rPr>
        <w:t>7</w:t>
      </w:r>
      <w:r>
        <w:rPr>
          <w:rStyle w:val="77"/>
          <w:rFonts w:hint="eastAsia" w:ascii="宋体" w:hAnsi="宋体" w:eastAsia="宋体" w:cs="宋体"/>
          <w:snapToGrid/>
          <w:color w:val="000000" w:themeColor="text1"/>
          <w:kern w:val="2"/>
          <w:sz w:val="24"/>
          <w:szCs w:val="24"/>
          <w14:textFill>
            <w14:solidFill>
              <w14:schemeClr w14:val="tx1"/>
            </w14:solidFill>
          </w14:textFill>
        </w:rPr>
        <w:t>月</w:t>
      </w:r>
      <w:r>
        <w:rPr>
          <w:rStyle w:val="77"/>
          <w:rFonts w:hint="eastAsia" w:ascii="宋体" w:hAnsi="宋体" w:cs="宋体"/>
          <w:snapToGrid/>
          <w:color w:val="000000" w:themeColor="text1"/>
          <w:kern w:val="2"/>
          <w:sz w:val="24"/>
          <w:szCs w:val="24"/>
          <w:lang w:val="en-US" w:eastAsia="zh-CN"/>
          <w14:textFill>
            <w14:solidFill>
              <w14:schemeClr w14:val="tx1"/>
            </w14:solidFill>
          </w14:textFill>
        </w:rPr>
        <w:t>17</w:t>
      </w:r>
      <w:r>
        <w:rPr>
          <w:rStyle w:val="77"/>
          <w:rFonts w:hint="eastAsia" w:ascii="宋体" w:hAnsi="宋体" w:eastAsia="宋体" w:cs="宋体"/>
          <w:snapToGrid/>
          <w:color w:val="000000" w:themeColor="text1"/>
          <w:kern w:val="2"/>
          <w:sz w:val="24"/>
          <w:szCs w:val="24"/>
          <w14:textFill>
            <w14:solidFill>
              <w14:schemeClr w14:val="tx1"/>
            </w14:solidFill>
          </w14:textFill>
        </w:rPr>
        <w:t>日09点30分</w:t>
      </w:r>
      <w:r>
        <w:rPr>
          <w:rStyle w:val="77"/>
          <w:rFonts w:hint="eastAsia" w:ascii="宋体" w:hAnsi="宋体" w:eastAsia="宋体" w:cs="宋体"/>
          <w:bCs/>
          <w:snapToGrid/>
          <w:color w:val="000000" w:themeColor="text1"/>
          <w:kern w:val="2"/>
          <w:sz w:val="24"/>
          <w:szCs w:val="24"/>
          <w14:textFill>
            <w14:solidFill>
              <w14:schemeClr w14:val="tx1"/>
            </w14:solidFill>
          </w14:textFill>
        </w:rPr>
        <w:t>00秒</w:t>
      </w:r>
      <w:r>
        <w:rPr>
          <w:rStyle w:val="77"/>
          <w:rFonts w:hint="eastAsia" w:ascii="宋体" w:hAnsi="宋体" w:eastAsia="宋体" w:cs="宋体"/>
          <w:bCs/>
          <w:snapToGrid/>
          <w:color w:val="000000" w:themeColor="text1"/>
          <w:kern w:val="2"/>
          <w:sz w:val="24"/>
          <w:szCs w:val="24"/>
          <w14:textFill>
            <w14:solidFill>
              <w14:schemeClr w14:val="tx1"/>
            </w14:solidFill>
          </w14:textFill>
        </w:rPr>
        <w:fldChar w:fldCharType="end"/>
      </w:r>
      <w:r>
        <w:rPr>
          <w:rFonts w:hint="eastAsia" w:ascii="宋体" w:hAnsi="宋体" w:cs="宋体"/>
          <w:bCs/>
          <w:color w:val="000000" w:themeColor="text1"/>
          <w:sz w:val="24"/>
          <w14:textFill>
            <w14:solidFill>
              <w14:schemeClr w14:val="tx1"/>
            </w14:solidFill>
          </w14:textFill>
        </w:rPr>
        <w:t>（北京时间）前</w:t>
      </w:r>
      <w:r>
        <w:rPr>
          <w:rFonts w:hint="eastAsia" w:ascii="宋体" w:hAnsi="宋体" w:cs="宋体"/>
          <w:color w:val="000000" w:themeColor="text1"/>
          <w:sz w:val="24"/>
          <w14:textFill>
            <w14:solidFill>
              <w14:schemeClr w14:val="tx1"/>
            </w14:solidFill>
          </w14:textFill>
        </w:rPr>
        <w:t>递交（上传）投标文件。</w:t>
      </w:r>
    </w:p>
    <w:p w14:paraId="05CFD757">
      <w:pPr>
        <w:spacing w:line="360" w:lineRule="auto"/>
        <w:ind w:left="120" w:firstLine="22" w:firstLineChars="9"/>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一、项目基本情况                                            </w:t>
      </w:r>
    </w:p>
    <w:p w14:paraId="1184D516">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项目编号：</w:t>
      </w:r>
      <w:r>
        <w:rPr>
          <w:rFonts w:hint="eastAsia" w:ascii="宋体" w:hAnsi="宋体" w:cs="宋体"/>
          <w:color w:val="000000" w:themeColor="text1"/>
          <w:sz w:val="24"/>
          <w14:textFill>
            <w14:solidFill>
              <w14:schemeClr w14:val="tx1"/>
            </w14:solidFill>
          </w14:textFill>
        </w:rPr>
        <w:t>CTZB-2025060241</w:t>
      </w:r>
    </w:p>
    <w:p w14:paraId="2FEF747A">
      <w:pPr>
        <w:spacing w:line="360" w:lineRule="auto"/>
        <w:ind w:left="120" w:firstLine="22" w:firstLineChars="9"/>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项目名称：</w:t>
      </w:r>
      <w:r>
        <w:rPr>
          <w:rFonts w:hint="eastAsia" w:ascii="宋体" w:hAnsi="宋体" w:cs="宋体"/>
          <w:b w:val="0"/>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数字人大”平台系统改造项目</w:t>
      </w:r>
    </w:p>
    <w:p w14:paraId="10542ABD">
      <w:pPr>
        <w:spacing w:line="360" w:lineRule="auto"/>
        <w:ind w:left="120" w:firstLine="22" w:firstLineChars="9"/>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预算金额（元）：</w:t>
      </w:r>
      <w:r>
        <w:rPr>
          <w:rFonts w:hint="eastAsia" w:ascii="宋体" w:hAnsi="宋体" w:cs="宋体"/>
          <w:color w:val="000000" w:themeColor="text1"/>
          <w:sz w:val="24"/>
          <w14:textFill>
            <w14:solidFill>
              <w14:schemeClr w14:val="tx1"/>
            </w14:solidFill>
          </w14:textFill>
        </w:rPr>
        <w:t>10</w:t>
      </w:r>
      <w:r>
        <w:rPr>
          <w:rFonts w:hint="eastAsia" w:ascii="宋体" w:hAnsi="宋体" w:cs="宋体"/>
          <w:color w:val="000000" w:themeColor="text1"/>
          <w:sz w:val="24"/>
          <w:lang w:val="en-US" w:eastAsia="zh-CN"/>
          <w14:textFill>
            <w14:solidFill>
              <w14:schemeClr w14:val="tx1"/>
            </w14:solidFill>
          </w14:textFill>
        </w:rPr>
        <w:t>30</w:t>
      </w:r>
      <w:r>
        <w:rPr>
          <w:rFonts w:ascii="宋体" w:hAnsi="宋体" w:cs="宋体"/>
          <w:color w:val="000000" w:themeColor="text1"/>
          <w:sz w:val="24"/>
          <w14:textFill>
            <w14:solidFill>
              <w14:schemeClr w14:val="tx1"/>
            </w14:solidFill>
          </w14:textFill>
        </w:rPr>
        <w:t>000.00</w:t>
      </w:r>
    </w:p>
    <w:p w14:paraId="07F853E7">
      <w:pPr>
        <w:spacing w:line="360" w:lineRule="auto"/>
        <w:ind w:left="120" w:firstLine="22" w:firstLineChars="9"/>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最高限价（元）：</w:t>
      </w:r>
      <w:r>
        <w:rPr>
          <w:rFonts w:hint="eastAsia" w:ascii="宋体" w:hAnsi="宋体" w:cs="宋体"/>
          <w:color w:val="000000" w:themeColor="text1"/>
          <w:sz w:val="24"/>
          <w14:textFill>
            <w14:solidFill>
              <w14:schemeClr w14:val="tx1"/>
            </w14:solidFill>
          </w14:textFill>
        </w:rPr>
        <w:t>1025</w:t>
      </w:r>
      <w:r>
        <w:rPr>
          <w:rFonts w:ascii="宋体" w:hAnsi="宋体" w:cs="宋体"/>
          <w:color w:val="000000" w:themeColor="text1"/>
          <w:sz w:val="24"/>
          <w14:textFill>
            <w14:solidFill>
              <w14:schemeClr w14:val="tx1"/>
            </w14:solidFill>
          </w14:textFill>
        </w:rPr>
        <w:t>000.00</w:t>
      </w:r>
    </w:p>
    <w:p w14:paraId="5CB78415">
      <w:pPr>
        <w:tabs>
          <w:tab w:val="left" w:pos="525"/>
        </w:tabs>
        <w:spacing w:line="360" w:lineRule="auto"/>
        <w:ind w:left="120" w:firstLine="22" w:firstLineChars="9"/>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采购需求：</w:t>
      </w:r>
      <w:bookmarkStart w:id="10" w:name="OLE_LINK1"/>
      <w:r>
        <w:rPr>
          <w:rFonts w:hint="eastAsia" w:ascii="宋体" w:hAnsi="宋体"/>
          <w:color w:val="000000" w:themeColor="text1"/>
          <w:sz w:val="24"/>
          <w14:textFill>
            <w14:solidFill>
              <w14:schemeClr w14:val="tx1"/>
            </w14:solidFill>
          </w14:textFill>
        </w:rPr>
        <w:t>建设内容涉及应用功能改造、一单位一平台、系统适配和迁移部署等，确保“数字人大”平台安全平稳运行，助力人大工作高效推进</w:t>
      </w:r>
      <w:r>
        <w:rPr>
          <w:rFonts w:hint="eastAsia" w:ascii="宋体" w:hAnsi="宋体" w:cs="宋体"/>
          <w:color w:val="000000" w:themeColor="text1"/>
          <w:sz w:val="24"/>
          <w14:textFill>
            <w14:solidFill>
              <w14:schemeClr w14:val="tx1"/>
            </w14:solidFill>
          </w14:textFill>
        </w:rPr>
        <w:t>。</w:t>
      </w:r>
      <w:bookmarkEnd w:id="10"/>
      <w:r>
        <w:rPr>
          <w:rFonts w:hint="eastAsia" w:ascii="宋体" w:hAnsi="宋体" w:cs="宋体"/>
          <w:color w:val="000000" w:themeColor="text1"/>
          <w:sz w:val="24"/>
          <w14:textFill>
            <w14:solidFill>
              <w14:schemeClr w14:val="tx1"/>
            </w14:solidFill>
          </w14:textFill>
        </w:rPr>
        <w:t>具体以采购文件第三部分采购需求为准，供应商可点击本公告下方“浏览采购文件”查看采购需求。</w:t>
      </w:r>
    </w:p>
    <w:p w14:paraId="0752F831">
      <w:pPr>
        <w:pStyle w:val="132"/>
        <w:ind w:left="120" w:firstLine="22" w:firstLineChars="9"/>
        <w:rPr>
          <w:rFonts w:hint="eastAsia" w:ascii="宋体" w:hAnsi="宋体" w:cs="宋体"/>
          <w:color w:val="000000" w:themeColor="text1"/>
          <w:szCs w:val="24"/>
          <w14:textFill>
            <w14:solidFill>
              <w14:schemeClr w14:val="tx1"/>
            </w14:solidFill>
          </w14:textFill>
        </w:rPr>
      </w:pPr>
      <w:r>
        <w:rPr>
          <w:rFonts w:hint="eastAsia" w:ascii="宋体" w:hAnsi="宋体" w:cs="宋体"/>
          <w:b/>
          <w:color w:val="000000" w:themeColor="text1"/>
          <w14:textFill>
            <w14:solidFill>
              <w14:schemeClr w14:val="tx1"/>
            </w14:solidFill>
          </w14:textFill>
        </w:rPr>
        <w:t>合同履约期限：</w:t>
      </w:r>
      <w:bookmarkStart w:id="11" w:name="_Hlk200556103"/>
      <w:bookmarkStart w:id="12" w:name="_Hlk200555871"/>
      <w:r>
        <w:rPr>
          <w:rFonts w:hint="eastAsia" w:ascii="宋体" w:hAnsi="宋体"/>
          <w:color w:val="000000" w:themeColor="text1"/>
          <w14:textFill>
            <w14:solidFill>
              <w14:schemeClr w14:val="tx1"/>
            </w14:solidFill>
          </w14:textFill>
        </w:rPr>
        <w:t>自</w:t>
      </w:r>
      <w:r>
        <w:rPr>
          <w:rFonts w:ascii="宋体" w:hAnsi="宋体"/>
          <w:color w:val="000000" w:themeColor="text1"/>
          <w14:textFill>
            <w14:solidFill>
              <w14:schemeClr w14:val="tx1"/>
            </w14:solidFill>
          </w14:textFill>
        </w:rPr>
        <w:t>合同签订后</w:t>
      </w:r>
      <w:r>
        <w:rPr>
          <w:rFonts w:hint="eastAsia" w:ascii="宋体" w:hAnsi="宋体"/>
          <w:color w:val="000000" w:themeColor="text1"/>
          <w14:textFill>
            <w14:solidFill>
              <w14:schemeClr w14:val="tx1"/>
            </w14:solidFill>
          </w14:textFill>
        </w:rPr>
        <w:t>，2025年10月底前完成项目终验，提供2年维保服务</w:t>
      </w:r>
      <w:bookmarkEnd w:id="11"/>
      <w:r>
        <w:rPr>
          <w:rFonts w:hint="eastAsia" w:ascii="宋体" w:hAnsi="宋体" w:cs="宋体"/>
          <w:color w:val="000000" w:themeColor="text1"/>
          <w14:textFill>
            <w14:solidFill>
              <w14:schemeClr w14:val="tx1"/>
            </w14:solidFill>
          </w14:textFill>
        </w:rPr>
        <w:t>。</w:t>
      </w:r>
      <w:bookmarkEnd w:id="12"/>
    </w:p>
    <w:p w14:paraId="15082C1F">
      <w:pPr>
        <w:pStyle w:val="5"/>
        <w:spacing w:line="360" w:lineRule="auto"/>
        <w:ind w:left="120" w:firstLine="22" w:firstLineChars="9"/>
        <w:rPr>
          <w:rFonts w:hint="eastAsia" w:hAnsi="宋体" w:cs="宋体"/>
          <w:b/>
          <w:color w:val="000000" w:themeColor="text1"/>
          <w14:textFill>
            <w14:solidFill>
              <w14:schemeClr w14:val="tx1"/>
            </w14:solidFill>
          </w14:textFill>
        </w:rPr>
      </w:pPr>
      <w:r>
        <w:rPr>
          <w:rFonts w:hint="eastAsia" w:hAnsi="宋体" w:cs="宋体"/>
          <w:b/>
          <w:color w:val="000000" w:themeColor="text1"/>
          <w:sz w:val="24"/>
          <w14:textFill>
            <w14:solidFill>
              <w14:schemeClr w14:val="tx1"/>
            </w14:solidFill>
          </w14:textFill>
        </w:rPr>
        <w:t>本项目接受联合体投标：</w:t>
      </w:r>
      <w:r>
        <w:rPr>
          <w:rFonts w:hAnsi="宋体" w:cs="宋体"/>
          <w:color w:val="000000" w:themeColor="text1"/>
          <w:kern w:val="0"/>
          <w:sz w:val="24"/>
          <w14:textFill>
            <w14:solidFill>
              <w14:schemeClr w14:val="tx1"/>
            </w14:solidFill>
          </w14:textFill>
        </w:rPr>
        <w:t xml:space="preserve"> </w:t>
      </w:r>
      <w:sdt>
        <w:sdtPr>
          <w:rPr>
            <w:rFonts w:hAnsi="宋体" w:cs="宋体"/>
            <w:color w:val="000000" w:themeColor="text1"/>
            <w:kern w:val="0"/>
            <w:sz w:val="24"/>
            <w14:textFill>
              <w14:solidFill>
                <w14:schemeClr w14:val="tx1"/>
              </w14:solidFill>
            </w14:textFill>
          </w:rPr>
          <w:id w:val="1290853763"/>
          <w14:checkbox>
            <w14:checked w14:val="1"/>
            <w14:checkedState w14:val="00FE" w14:font="Wingdings"/>
            <w14:uncheckedState w14:val="2610" w14:font="MS Gothic"/>
          </w14:checkbox>
        </w:sdtPr>
        <w:sdtEndPr>
          <w:rPr>
            <w:rFonts w:hAnsi="宋体" w:cs="宋体"/>
            <w:color w:val="000000" w:themeColor="text1"/>
            <w:kern w:val="0"/>
            <w:sz w:val="24"/>
            <w14:textFill>
              <w14:solidFill>
                <w14:schemeClr w14:val="tx1"/>
              </w14:solidFill>
            </w14:textFill>
          </w:rPr>
        </w:sdtEndPr>
        <w:sdtContent>
          <w:r>
            <w:rPr>
              <w:rFonts w:hAnsi="宋体" w:cs="宋体"/>
              <w:color w:val="000000" w:themeColor="text1"/>
              <w:kern w:val="0"/>
              <w:sz w:val="24"/>
              <w14:textFill>
                <w14:solidFill>
                  <w14:schemeClr w14:val="tx1"/>
                </w14:solidFill>
              </w14:textFill>
            </w:rPr>
            <w:sym w:font="Wingdings" w:char="F0FE"/>
          </w:r>
        </w:sdtContent>
      </w:sdt>
      <w:r>
        <w:rPr>
          <w:rFonts w:hint="eastAsia" w:hAnsi="宋体" w:cs="宋体"/>
          <w:b/>
          <w:color w:val="000000" w:themeColor="text1"/>
          <w:sz w:val="24"/>
          <w14:textFill>
            <w14:solidFill>
              <w14:schemeClr w14:val="tx1"/>
            </w14:solidFill>
          </w14:textFill>
        </w:rPr>
        <w:t>是；</w:t>
      </w:r>
      <w:sdt>
        <w:sdtPr>
          <w:rPr>
            <w:rFonts w:hAnsi="宋体" w:cs="宋体"/>
            <w:color w:val="000000" w:themeColor="text1"/>
            <w:kern w:val="0"/>
            <w:sz w:val="24"/>
            <w14:textFill>
              <w14:solidFill>
                <w14:schemeClr w14:val="tx1"/>
              </w14:solidFill>
            </w14:textFill>
          </w:rPr>
          <w:id w:val="1757859279"/>
          <w14:checkbox>
            <w14:checked w14:val="0"/>
            <w14:checkedState w14:val="00FE" w14:font="Wingdings"/>
            <w14:uncheckedState w14:val="2610" w14:font="MS Gothic"/>
          </w14:checkbox>
        </w:sdtPr>
        <w:sdtEndPr>
          <w:rPr>
            <w:rFonts w:hAnsi="宋体" w:cs="宋体"/>
            <w:color w:val="000000" w:themeColor="text1"/>
            <w:kern w:val="0"/>
            <w:sz w:val="24"/>
            <w14:textFill>
              <w14:solidFill>
                <w14:schemeClr w14:val="tx1"/>
              </w14:solidFill>
            </w14:textFill>
          </w:rPr>
        </w:sdtEndPr>
        <w:sdtContent>
          <w:r>
            <w:rPr>
              <w:rFonts w:ascii="Segoe UI Symbol" w:hAnsi="Segoe UI Symbol" w:cs="Segoe UI Symbol"/>
              <w:color w:val="000000" w:themeColor="text1"/>
              <w:kern w:val="0"/>
              <w:sz w:val="24"/>
              <w14:textFill>
                <w14:solidFill>
                  <w14:schemeClr w14:val="tx1"/>
                </w14:solidFill>
              </w14:textFill>
            </w:rPr>
            <w:t>☐</w:t>
          </w:r>
        </w:sdtContent>
      </w:sdt>
      <w:r>
        <w:rPr>
          <w:rFonts w:hint="eastAsia" w:hAnsi="宋体" w:cs="宋体"/>
          <w:b/>
          <w:color w:val="000000" w:themeColor="text1"/>
          <w:sz w:val="24"/>
          <w14:textFill>
            <w14:solidFill>
              <w14:schemeClr w14:val="tx1"/>
            </w14:solidFill>
          </w14:textFill>
        </w:rPr>
        <w:t>否</w:t>
      </w:r>
      <w:r>
        <w:rPr>
          <w:rFonts w:hint="eastAsia" w:hAnsi="宋体" w:cs="宋体"/>
          <w:color w:val="000000" w:themeColor="text1"/>
          <w:kern w:val="0"/>
          <w:sz w:val="24"/>
          <w14:textFill>
            <w14:solidFill>
              <w14:schemeClr w14:val="tx1"/>
            </w14:solidFill>
          </w14:textFill>
        </w:rPr>
        <w:t>。</w:t>
      </w:r>
    </w:p>
    <w:p w14:paraId="75915D34">
      <w:pPr>
        <w:spacing w:line="360" w:lineRule="auto"/>
        <w:ind w:left="120" w:firstLine="22" w:firstLineChars="9"/>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二、申请人的资格要求：</w:t>
      </w:r>
    </w:p>
    <w:p w14:paraId="64B179B7">
      <w:pPr>
        <w:spacing w:line="360" w:lineRule="auto"/>
        <w:ind w:left="119" w:firstLine="21" w:firstLineChars="9"/>
        <w:rPr>
          <w:rFonts w:hint="eastAsia" w:ascii="宋体" w:hAnsi="宋体" w:cs="宋体"/>
          <w:snapToGrid w:val="0"/>
          <w:color w:val="000000" w:themeColor="text1"/>
          <w:kern w:val="28"/>
          <w:sz w:val="24"/>
          <w:szCs w:val="20"/>
          <w14:textFill>
            <w14:solidFill>
              <w14:schemeClr w14:val="tx1"/>
            </w14:solidFill>
          </w14:textFill>
        </w:rPr>
      </w:pPr>
      <w:bookmarkStart w:id="13" w:name="_Hlk133442352"/>
      <w:r>
        <w:rPr>
          <w:rFonts w:hint="eastAsia" w:ascii="宋体" w:hAnsi="宋体" w:cs="宋体"/>
          <w:snapToGrid w:val="0"/>
          <w:color w:val="000000" w:themeColor="text1"/>
          <w:kern w:val="28"/>
          <w:sz w:val="24"/>
          <w:szCs w:val="20"/>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07975BFE">
      <w:pPr>
        <w:spacing w:line="360" w:lineRule="auto"/>
        <w:ind w:left="119" w:firstLine="21" w:firstLineChars="9"/>
        <w:rPr>
          <w:rFonts w:hint="eastAsia" w:ascii="宋体" w:hAnsi="宋体" w:cs="宋体"/>
          <w:snapToGrid w:val="0"/>
          <w:color w:val="000000" w:themeColor="text1"/>
          <w:kern w:val="28"/>
          <w:sz w:val="24"/>
          <w:szCs w:val="20"/>
          <w14:textFill>
            <w14:solidFill>
              <w14:schemeClr w14:val="tx1"/>
            </w14:solidFill>
          </w14:textFill>
        </w:rPr>
      </w:pPr>
      <w:r>
        <w:rPr>
          <w:rFonts w:ascii="宋体" w:hAnsi="宋体" w:cs="宋体"/>
          <w:snapToGrid w:val="0"/>
          <w:color w:val="000000" w:themeColor="text1"/>
          <w:kern w:val="28"/>
          <w:sz w:val="24"/>
          <w:szCs w:val="20"/>
          <w14:textFill>
            <w14:solidFill>
              <w14:schemeClr w14:val="tx1"/>
            </w14:solidFill>
          </w14:textFill>
        </w:rPr>
        <w:t>2</w:t>
      </w:r>
      <w:r>
        <w:rPr>
          <w:rFonts w:hint="eastAsia" w:ascii="宋体" w:hAnsi="宋体" w:cs="宋体"/>
          <w:snapToGrid w:val="0"/>
          <w:color w:val="000000" w:themeColor="text1"/>
          <w:kern w:val="28"/>
          <w:sz w:val="24"/>
          <w:szCs w:val="20"/>
          <w14:textFill>
            <w14:solidFill>
              <w14:schemeClr w14:val="tx1"/>
            </w14:solidFill>
          </w14:textFill>
        </w:rPr>
        <w:t>.</w:t>
      </w:r>
      <w:r>
        <w:rPr>
          <w:rFonts w:hint="eastAsia" w:ascii="宋体" w:hAnsi="宋体" w:cs="宋体"/>
          <w:color w:val="000000" w:themeColor="text1"/>
          <w14:textFill>
            <w14:solidFill>
              <w14:schemeClr w14:val="tx1"/>
            </w14:solidFill>
          </w14:textFill>
        </w:rPr>
        <w:t xml:space="preserve"> </w:t>
      </w:r>
      <w:r>
        <w:rPr>
          <w:rFonts w:hint="eastAsia" w:ascii="宋体" w:hAnsi="宋体" w:cs="宋体"/>
          <w:snapToGrid w:val="0"/>
          <w:color w:val="000000" w:themeColor="text1"/>
          <w:kern w:val="28"/>
          <w:sz w:val="24"/>
          <w:szCs w:val="20"/>
          <w14:textFill>
            <w14:solidFill>
              <w14:schemeClr w14:val="tx1"/>
            </w14:solidFill>
          </w14:textFill>
        </w:rPr>
        <w:t>以联合体形式投标的，提供联合协议(本项目不接受联合体投标或者投标人不以联合体形式投标的，则不需要提供) ；</w:t>
      </w:r>
    </w:p>
    <w:p w14:paraId="54B0D213">
      <w:pPr>
        <w:spacing w:line="360" w:lineRule="auto"/>
        <w:ind w:left="119" w:firstLine="21" w:firstLineChars="9"/>
        <w:rPr>
          <w:rFonts w:hint="eastAsia" w:ascii="宋体" w:hAnsi="宋体" w:cs="宋体"/>
          <w:snapToGrid w:val="0"/>
          <w:color w:val="000000" w:themeColor="text1"/>
          <w:kern w:val="28"/>
          <w:sz w:val="24"/>
          <w:szCs w:val="20"/>
          <w14:textFill>
            <w14:solidFill>
              <w14:schemeClr w14:val="tx1"/>
            </w14:solidFill>
          </w14:textFill>
        </w:rPr>
      </w:pPr>
      <w:r>
        <w:rPr>
          <w:rFonts w:ascii="宋体" w:hAnsi="宋体" w:cs="宋体"/>
          <w:snapToGrid w:val="0"/>
          <w:color w:val="000000" w:themeColor="text1"/>
          <w:kern w:val="28"/>
          <w:sz w:val="24"/>
          <w:szCs w:val="20"/>
          <w14:textFill>
            <w14:solidFill>
              <w14:schemeClr w14:val="tx1"/>
            </w14:solidFill>
          </w14:textFill>
        </w:rPr>
        <w:t>3</w:t>
      </w:r>
      <w:r>
        <w:rPr>
          <w:rFonts w:hint="eastAsia" w:ascii="宋体" w:hAnsi="宋体" w:cs="宋体"/>
          <w:snapToGrid w:val="0"/>
          <w:color w:val="000000" w:themeColor="text1"/>
          <w:kern w:val="28"/>
          <w:sz w:val="24"/>
          <w:szCs w:val="20"/>
          <w14:textFill>
            <w14:solidFill>
              <w14:schemeClr w14:val="tx1"/>
            </w14:solidFill>
          </w14:textFill>
        </w:rPr>
        <w:t>.落实政府采购政策需满足的资格要求：</w:t>
      </w:r>
    </w:p>
    <w:p w14:paraId="1E780297">
      <w:pPr>
        <w:spacing w:line="360" w:lineRule="auto"/>
        <w:ind w:left="119" w:firstLine="21" w:firstLineChars="9"/>
        <w:rPr>
          <w:rFonts w:hint="eastAsia"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92861692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Segoe UI Symbol" w:hAnsi="Segoe UI Symbol" w:cs="Segoe UI Symbol"/>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无</w:t>
      </w:r>
      <w:r>
        <w:rPr>
          <w:rFonts w:hint="eastAsia" w:ascii="宋体" w:hAnsi="宋体" w:cs="宋体"/>
          <w:snapToGrid w:val="0"/>
          <w:color w:val="000000" w:themeColor="text1"/>
          <w:kern w:val="28"/>
          <w:sz w:val="24"/>
          <w:szCs w:val="20"/>
          <w14:textFill>
            <w14:solidFill>
              <w14:schemeClr w14:val="tx1"/>
            </w14:solidFill>
          </w14:textFill>
        </w:rPr>
        <w:t>（注：不得限制大中型企业与小微企业组成联合体参与投标）；</w:t>
      </w:r>
    </w:p>
    <w:p w14:paraId="7D080C9B">
      <w:pPr>
        <w:spacing w:line="360" w:lineRule="auto"/>
        <w:ind w:left="119" w:firstLine="21" w:firstLineChars="9"/>
        <w:rPr>
          <w:rFonts w:hint="eastAsia"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728338571"/>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专</w:t>
      </w:r>
      <w:r>
        <w:rPr>
          <w:rFonts w:hint="eastAsia" w:ascii="宋体" w:hAnsi="宋体" w:cs="宋体"/>
          <w:color w:val="000000" w:themeColor="text1"/>
          <w:sz w:val="24"/>
          <w14:textFill>
            <w14:solidFill>
              <w14:schemeClr w14:val="tx1"/>
            </w14:solidFill>
          </w14:textFill>
        </w:rPr>
        <w:t>门面向中小企业</w:t>
      </w:r>
    </w:p>
    <w:p w14:paraId="38D88787">
      <w:pPr>
        <w:spacing w:line="360" w:lineRule="auto"/>
        <w:ind w:left="119" w:firstLine="21" w:firstLineChars="9"/>
        <w:rPr>
          <w:rFonts w:hint="eastAsia"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sz w:val="24"/>
          <w14:textFill>
            <w14:solidFill>
              <w14:schemeClr w14:val="tx1"/>
            </w14:solidFill>
          </w14:textFill>
        </w:rPr>
        <w:t>服务全部由符合政策要求的中小企业承接，提供中小企业声明函；</w:t>
      </w:r>
    </w:p>
    <w:p w14:paraId="65D40B33">
      <w:pPr>
        <w:spacing w:line="360" w:lineRule="auto"/>
        <w:ind w:left="119" w:firstLine="21" w:firstLineChars="9"/>
        <w:rPr>
          <w:rFonts w:hint="eastAsia"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50236072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Segoe UI Symbol" w:hAnsi="Segoe UI Symbol" w:cs="Segoe UI Symbol"/>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服务全部由符合政策要求的小微企业承接，提供小微企业声明函；</w:t>
      </w:r>
    </w:p>
    <w:p w14:paraId="12BE9678">
      <w:pPr>
        <w:spacing w:line="360" w:lineRule="auto"/>
        <w:ind w:left="119" w:firstLine="21" w:firstLineChars="9"/>
        <w:rPr>
          <w:rFonts w:hint="eastAsia"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26942228"/>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Segoe UI Symbol" w:hAnsi="Segoe UI Symbol" w:cs="Segoe UI Symbol"/>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pacing w:val="8"/>
          <w:kern w:val="0"/>
          <w:sz w:val="24"/>
          <w14:textFill>
            <w14:solidFill>
              <w14:schemeClr w14:val="tx1"/>
            </w14:solidFill>
          </w14:textFill>
        </w:rPr>
        <w:t>如果供应商本身提供的所有标的均由中小企业制造、承建或承接，并相应达到了前述比例要求，视同符合了资格条件，无需再与其他中小企业组成联合体参加政府采购活动，无需提供联合协议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14:textFill>
            <w14:solidFill>
              <w14:schemeClr w14:val="tx1"/>
            </w14:solidFill>
          </w14:textFill>
        </w:rPr>
        <w:t>；</w:t>
      </w:r>
    </w:p>
    <w:p w14:paraId="349F457F">
      <w:pPr>
        <w:spacing w:line="360" w:lineRule="auto"/>
        <w:ind w:left="119" w:firstLine="21" w:firstLineChars="9"/>
        <w:rPr>
          <w:rFonts w:hint="eastAsia"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Segoe UI Symbol" w:hAnsi="Segoe UI Symbol" w:cs="Segoe UI Symbol"/>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要求合同分包，提供分包意向协议和中小企业声明函，分包意向协议中中小企业合同金额应当达到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w:t>
      </w:r>
      <w:r>
        <w:rPr>
          <w:rFonts w:hint="eastAsia" w:ascii="宋体" w:hAnsi="宋体" w:cs="宋体"/>
          <w:color w:val="000000" w:themeColor="text1"/>
          <w:spacing w:val="8"/>
          <w:kern w:val="0"/>
          <w:sz w:val="24"/>
          <w14:textFill>
            <w14:solidFill>
              <w14:schemeClr w14:val="tx1"/>
            </w14:solidFill>
          </w14:textFill>
        </w:rPr>
        <w:t>如果供应商本身提供的所有标的均由中小企业制造、承建或承接，并相应达到了前述比例要求，视同符合了资格条件，无需再向中小企业分包，无需提供分包意向协议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14:textFill>
            <w14:solidFill>
              <w14:schemeClr w14:val="tx1"/>
            </w14:solidFill>
          </w14:textFill>
        </w:rPr>
        <w:t>；</w:t>
      </w:r>
    </w:p>
    <w:p w14:paraId="5D39F30D">
      <w:pPr>
        <w:snapToGrid w:val="0"/>
        <w:spacing w:line="360" w:lineRule="auto"/>
        <w:ind w:firstLine="21" w:firstLineChars="9"/>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w:t>
      </w:r>
    </w:p>
    <w:p w14:paraId="132E125E">
      <w:pPr>
        <w:snapToGrid w:val="0"/>
        <w:spacing w:line="360" w:lineRule="auto"/>
        <w:ind w:firstLine="21" w:firstLineChars="9"/>
        <w:rPr>
          <w:rFonts w:hint="eastAsia"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466463"/>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无。</w:t>
      </w:r>
    </w:p>
    <w:p w14:paraId="69834F0D">
      <w:pPr>
        <w:widowControl/>
        <w:snapToGrid w:val="0"/>
        <w:spacing w:line="360" w:lineRule="auto"/>
        <w:ind w:firstLine="21" w:firstLineChars="9"/>
        <w:jc w:val="left"/>
        <w:rPr>
          <w:rFonts w:hint="eastAsia"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40057868"/>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Segoe UI Symbol" w:hAnsi="Segoe UI Symbol" w:cs="Segoe UI Symbol"/>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有特定资格要求：        ，该特定条件的法律法规依据：        。</w:t>
      </w:r>
    </w:p>
    <w:p w14:paraId="6D7C9AAF">
      <w:pPr>
        <w:snapToGrid w:val="0"/>
        <w:spacing w:line="360" w:lineRule="auto"/>
        <w:ind w:firstLine="21" w:firstLineChars="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5.单位</w:t>
      </w:r>
      <w:r>
        <w:rPr>
          <w:rFonts w:hint="eastAsia" w:ascii="宋体" w:hAnsi="宋体" w:cs="宋体"/>
          <w:color w:val="000000" w:themeColor="text1"/>
          <w:sz w:val="24"/>
          <w14:textFill>
            <w14:solidFill>
              <w14:schemeClr w14:val="tx1"/>
            </w14:solidFill>
          </w14:textFill>
        </w:rPr>
        <w:t>负责人为同一人或者存在直接控股、管理关系的不同供应商，不得参加同一合同项下的政府采购活动；为采购项目提供整体设计、规范编制或者项目管理、监理、检测等服务后不得再参加该采购项目的其他采购活动。</w:t>
      </w:r>
    </w:p>
    <w:bookmarkEnd w:id="13"/>
    <w:p w14:paraId="60471A2B">
      <w:pPr>
        <w:spacing w:line="360" w:lineRule="auto"/>
        <w:ind w:left="120" w:firstLine="22" w:firstLineChars="9"/>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三、获取采购文件 </w:t>
      </w:r>
    </w:p>
    <w:p w14:paraId="22C3C15C">
      <w:pPr>
        <w:spacing w:line="360" w:lineRule="auto"/>
        <w:ind w:left="120" w:firstLine="22" w:firstLineChars="9"/>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时间：</w:t>
      </w:r>
      <w:r>
        <w:rPr>
          <w:rFonts w:hint="eastAsia" w:ascii="宋体" w:hAnsi="宋体" w:cs="宋体"/>
          <w:color w:val="000000" w:themeColor="text1"/>
          <w:sz w:val="24"/>
          <w14:textFill>
            <w14:solidFill>
              <w14:schemeClr w14:val="tx1"/>
            </w14:solidFill>
          </w14:textFill>
        </w:rPr>
        <w:t>/至</w:t>
      </w:r>
      <w:r>
        <w:rPr>
          <w:rFonts w:hint="eastAsia" w:ascii="宋体" w:hAnsi="宋体" w:cs="宋体"/>
          <w:color w:val="000000" w:themeColor="text1"/>
          <w:sz w:val="24"/>
          <w:u w:val="single"/>
          <w14:textFill>
            <w14:solidFill>
              <w14:schemeClr w14:val="tx1"/>
            </w14:solidFill>
          </w14:textFill>
        </w:rPr>
        <w:t>2025年</w:t>
      </w:r>
      <w:r>
        <w:rPr>
          <w:rFonts w:hint="eastAsia" w:ascii="宋体" w:hAnsi="宋体" w:cs="宋体"/>
          <w:color w:val="000000" w:themeColor="text1"/>
          <w:sz w:val="24"/>
          <w:u w:val="single"/>
          <w:lang w:val="en-US" w:eastAsia="zh-CN"/>
          <w14:textFill>
            <w14:solidFill>
              <w14:schemeClr w14:val="tx1"/>
            </w14:solidFill>
          </w14:textFill>
        </w:rPr>
        <w:t>7</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17</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，每天上午00:00至12:00，下午12:00至23:59（北京时间，线上获取法定节假日均可，线下获取文件法定节假日除外）</w:t>
      </w:r>
    </w:p>
    <w:p w14:paraId="4ADDA2D0">
      <w:pPr>
        <w:spacing w:line="360" w:lineRule="auto"/>
        <w:ind w:left="120" w:firstLine="22" w:firstLineChars="9"/>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地点（网址）：</w:t>
      </w:r>
      <w:r>
        <w:rPr>
          <w:rFonts w:hint="eastAsia" w:ascii="宋体" w:hAnsi="宋体" w:cs="宋体"/>
          <w:color w:val="000000" w:themeColor="text1"/>
          <w:sz w:val="24"/>
          <w14:textFill>
            <w14:solidFill>
              <w14:schemeClr w14:val="tx1"/>
            </w14:solidFill>
          </w14:textFill>
        </w:rPr>
        <w:t xml:space="preserve">政采云平台（https://www.zcygov.cn） </w:t>
      </w:r>
    </w:p>
    <w:p w14:paraId="33BBEED6">
      <w:pPr>
        <w:spacing w:line="360" w:lineRule="auto"/>
        <w:ind w:left="120" w:firstLine="22" w:firstLineChars="9"/>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方式：</w:t>
      </w:r>
      <w:r>
        <w:rPr>
          <w:rFonts w:hint="eastAsia" w:ascii="宋体" w:hAnsi="宋体" w:cs="宋体"/>
          <w:color w:val="000000" w:themeColor="text1"/>
          <w:sz w:val="24"/>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4BC66973">
      <w:pPr>
        <w:spacing w:line="360" w:lineRule="auto"/>
        <w:ind w:left="120" w:firstLine="22" w:firstLineChars="9"/>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售价（元）：</w:t>
      </w:r>
      <w:r>
        <w:rPr>
          <w:rFonts w:hint="eastAsia" w:ascii="宋体" w:hAnsi="宋体" w:cs="宋体"/>
          <w:color w:val="000000" w:themeColor="text1"/>
          <w:sz w:val="24"/>
          <w14:textFill>
            <w14:solidFill>
              <w14:schemeClr w14:val="tx1"/>
            </w14:solidFill>
          </w14:textFill>
        </w:rPr>
        <w:t xml:space="preserve">0 </w:t>
      </w:r>
      <w:r>
        <w:rPr>
          <w:rFonts w:hint="eastAsia" w:ascii="宋体" w:hAnsi="宋体" w:cs="宋体"/>
          <w:color w:val="000000" w:themeColor="text1"/>
          <w:sz w:val="24"/>
          <w14:textFill>
            <w14:solidFill>
              <w14:schemeClr w14:val="tx1"/>
            </w14:solidFill>
          </w14:textFill>
        </w:rPr>
        <w:tab/>
      </w:r>
    </w:p>
    <w:p w14:paraId="15C83539">
      <w:pPr>
        <w:spacing w:line="360" w:lineRule="auto"/>
        <w:ind w:left="120" w:firstLine="22" w:firstLineChars="9"/>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四、提交投标文件截止时间、开标时间和地点</w:t>
      </w:r>
    </w:p>
    <w:p w14:paraId="3CAE9A62">
      <w:pPr>
        <w:spacing w:line="360" w:lineRule="auto"/>
        <w:ind w:left="120" w:firstLine="22" w:firstLineChars="9"/>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提交投标文件截止时间：</w:t>
      </w:r>
      <w:r>
        <w:rPr>
          <w:rFonts w:hint="eastAsia" w:ascii="宋体" w:hAnsi="宋体" w:cs="宋体"/>
          <w:color w:val="000000" w:themeColor="text1"/>
          <w:sz w:val="24"/>
          <w:u w:val="single"/>
          <w14:textFill>
            <w14:solidFill>
              <w14:schemeClr w14:val="tx1"/>
            </w14:solidFill>
          </w14:textFill>
        </w:rPr>
        <w:t xml:space="preserve"> 2025年</w:t>
      </w:r>
      <w:r>
        <w:rPr>
          <w:rFonts w:hint="eastAsia" w:ascii="宋体" w:hAnsi="宋体" w:cs="宋体"/>
          <w:color w:val="000000" w:themeColor="text1"/>
          <w:sz w:val="24"/>
          <w:u w:val="single"/>
          <w:lang w:val="en-US" w:eastAsia="zh-CN"/>
          <w14:textFill>
            <w14:solidFill>
              <w14:schemeClr w14:val="tx1"/>
            </w14:solidFill>
          </w14:textFill>
        </w:rPr>
        <w:t>7</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17</w:t>
      </w:r>
      <w:r>
        <w:rPr>
          <w:rFonts w:hint="eastAsia" w:ascii="宋体" w:hAnsi="宋体" w:cs="宋体"/>
          <w:color w:val="000000" w:themeColor="text1"/>
          <w:sz w:val="24"/>
          <w:u w:val="single"/>
          <w14:textFill>
            <w14:solidFill>
              <w14:schemeClr w14:val="tx1"/>
            </w14:solidFill>
          </w14:textFill>
        </w:rPr>
        <w:t>日09点30分00秒</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（北京时间）</w:t>
      </w:r>
    </w:p>
    <w:p w14:paraId="116570CE">
      <w:pPr>
        <w:spacing w:line="360" w:lineRule="auto"/>
        <w:ind w:left="120" w:firstLine="22" w:firstLineChars="9"/>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投标地点（网址）：</w:t>
      </w:r>
      <w:r>
        <w:rPr>
          <w:rFonts w:hint="eastAsia" w:ascii="宋体" w:hAnsi="宋体" w:cs="宋体"/>
          <w:color w:val="000000" w:themeColor="text1"/>
          <w:sz w:val="24"/>
          <w14:textFill>
            <w14:solidFill>
              <w14:schemeClr w14:val="tx1"/>
            </w14:solidFill>
          </w14:textFill>
        </w:rPr>
        <w:t xml:space="preserve">政采云平台（https://www.zcygov.cn） </w:t>
      </w:r>
    </w:p>
    <w:p w14:paraId="7BA54215">
      <w:pPr>
        <w:spacing w:line="360" w:lineRule="auto"/>
        <w:ind w:left="120" w:firstLine="22" w:firstLineChars="9"/>
        <w:rPr>
          <w:rFonts w:hint="eastAsia" w:ascii="宋体" w:hAnsi="宋体" w:cs="宋体"/>
          <w:bCs/>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开标时间：</w:t>
      </w:r>
      <w:r>
        <w:rPr>
          <w:rFonts w:hint="eastAsia" w:ascii="宋体" w:hAnsi="宋体" w:cs="宋体"/>
          <w:color w:val="000000" w:themeColor="text1"/>
          <w:sz w:val="24"/>
          <w:u w:val="single"/>
          <w14:textFill>
            <w14:solidFill>
              <w14:schemeClr w14:val="tx1"/>
            </w14:solidFill>
          </w14:textFill>
        </w:rPr>
        <w:t>2025年</w:t>
      </w:r>
      <w:r>
        <w:rPr>
          <w:rFonts w:hint="eastAsia" w:ascii="宋体" w:hAnsi="宋体" w:cs="宋体"/>
          <w:color w:val="000000" w:themeColor="text1"/>
          <w:sz w:val="24"/>
          <w:u w:val="single"/>
          <w:lang w:val="en-US" w:eastAsia="zh-CN"/>
          <w14:textFill>
            <w14:solidFill>
              <w14:schemeClr w14:val="tx1"/>
            </w14:solidFill>
          </w14:textFill>
        </w:rPr>
        <w:t>7</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17</w:t>
      </w:r>
      <w:r>
        <w:rPr>
          <w:rFonts w:hint="eastAsia" w:ascii="宋体" w:hAnsi="宋体" w:cs="宋体"/>
          <w:color w:val="000000" w:themeColor="text1"/>
          <w:sz w:val="24"/>
          <w:u w:val="single"/>
          <w14:textFill>
            <w14:solidFill>
              <w14:schemeClr w14:val="tx1"/>
            </w14:solidFill>
          </w14:textFill>
        </w:rPr>
        <w:t>日09点30分00秒</w:t>
      </w:r>
      <w:r>
        <w:rPr>
          <w:rFonts w:hint="eastAsia" w:ascii="宋体" w:hAnsi="宋体" w:cs="宋体"/>
          <w:bCs/>
          <w:color w:val="000000" w:themeColor="text1"/>
          <w:sz w:val="24"/>
          <w:u w:val="single"/>
          <w14:textFill>
            <w14:solidFill>
              <w14:schemeClr w14:val="tx1"/>
            </w14:solidFill>
          </w14:textFill>
        </w:rPr>
        <w:t xml:space="preserve">  </w:t>
      </w:r>
    </w:p>
    <w:p w14:paraId="0DE52920">
      <w:pPr>
        <w:spacing w:line="360" w:lineRule="auto"/>
        <w:ind w:left="120" w:firstLine="22" w:firstLineChars="9"/>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开标地点（网址）：</w:t>
      </w:r>
      <w:r>
        <w:rPr>
          <w:rFonts w:hint="eastAsia" w:ascii="宋体" w:hAnsi="宋体" w:cs="宋体"/>
          <w:color w:val="000000" w:themeColor="text1"/>
          <w:sz w:val="24"/>
          <w14:textFill>
            <w14:solidFill>
              <w14:schemeClr w14:val="tx1"/>
            </w14:solidFill>
          </w14:textFill>
        </w:rPr>
        <w:t>政采云平台（https://www.zcygov.cn），杭州市文晖路42号现代置业大厦西楼17楼</w:t>
      </w:r>
      <w:r>
        <w:rPr>
          <w:rFonts w:hint="eastAsia" w:ascii="宋体" w:hAnsi="宋体" w:cs="宋体"/>
          <w:color w:val="000000" w:themeColor="text1"/>
          <w:sz w:val="24"/>
          <w:lang w:val="en-US" w:eastAsia="zh-CN"/>
          <w14:textFill>
            <w14:solidFill>
              <w14:schemeClr w14:val="tx1"/>
            </w14:solidFill>
          </w14:textFill>
        </w:rPr>
        <w:t>开标室二</w:t>
      </w:r>
      <w:r>
        <w:rPr>
          <w:rFonts w:hint="eastAsia" w:ascii="宋体" w:hAnsi="宋体" w:cs="宋体"/>
          <w:color w:val="000000" w:themeColor="text1"/>
          <w:sz w:val="24"/>
          <w14:textFill>
            <w14:solidFill>
              <w14:schemeClr w14:val="tx1"/>
            </w14:solidFill>
          </w14:textFill>
        </w:rPr>
        <w:t>。</w:t>
      </w:r>
    </w:p>
    <w:p w14:paraId="2B677017">
      <w:pPr>
        <w:tabs>
          <w:tab w:val="left" w:pos="900"/>
        </w:tabs>
        <w:snapToGrid w:val="0"/>
        <w:spacing w:line="360" w:lineRule="auto"/>
        <w:ind w:left="120" w:firstLine="22" w:firstLineChars="9"/>
        <w:jc w:val="left"/>
        <w:rPr>
          <w:rFonts w:hint="eastAsia" w:ascii="宋体" w:hAnsi="宋体"/>
          <w:color w:val="000000" w:themeColor="text1"/>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五、采购意向公开链接 </w:t>
      </w:r>
      <w:r>
        <w:rPr>
          <w:rFonts w:ascii="宋体" w:hAnsi="宋体"/>
          <w:color w:val="000000" w:themeColor="text1"/>
          <w14:textFill>
            <w14:solidFill>
              <w14:schemeClr w14:val="tx1"/>
            </w14:solidFill>
          </w14:textFill>
        </w:rPr>
        <w:t>https://zfcg.czt.zj.gov.cn/site/detail?parentId=600007&amp;articleId=916rOXCz3akN6YexUSUgwA%3D%3D</w:t>
      </w:r>
    </w:p>
    <w:p w14:paraId="3A43F66D">
      <w:pPr>
        <w:tabs>
          <w:tab w:val="left" w:pos="900"/>
        </w:tabs>
        <w:snapToGrid w:val="0"/>
        <w:spacing w:line="360" w:lineRule="auto"/>
        <w:ind w:left="120" w:firstLine="22" w:firstLineChars="9"/>
        <w:jc w:val="left"/>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六、公告期限 </w:t>
      </w:r>
    </w:p>
    <w:p w14:paraId="5C5185CB">
      <w:pPr>
        <w:spacing w:line="360" w:lineRule="auto"/>
        <w:ind w:left="120" w:firstLine="21" w:firstLineChars="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自本公告发布之日起5个工作日。</w:t>
      </w:r>
    </w:p>
    <w:p w14:paraId="3E86A08D">
      <w:pPr>
        <w:spacing w:line="360" w:lineRule="auto"/>
        <w:ind w:left="120" w:firstLine="22" w:firstLineChars="9"/>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七、其他补充事宜</w:t>
      </w:r>
    </w:p>
    <w:p w14:paraId="4DCA18F7">
      <w:pPr>
        <w:spacing w:line="360" w:lineRule="auto"/>
        <w:ind w:left="120" w:firstLine="21" w:firstLineChars="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1.</w:t>
      </w:r>
      <w:r>
        <w:rPr>
          <w:rFonts w:ascii="宋体" w:hAnsi="宋体" w:cs="宋体"/>
          <w:color w:val="000000" w:themeColor="text1"/>
          <w:sz w:val="24"/>
          <w14:textFill>
            <w14:solidFill>
              <w14:schemeClr w14:val="tx1"/>
            </w14:solidFill>
          </w14:textFill>
        </w:rPr>
        <w:t>《浙江省财政厅关于进一步发挥政府采购政策功能全力推动经济稳进提质的通知》 （浙财采监</w:t>
      </w:r>
      <w:r>
        <w:rPr>
          <w:rFonts w:hint="eastAsia" w:ascii="宋体" w:hAnsi="宋体" w:cs="宋体"/>
          <w:color w:val="000000" w:themeColor="text1"/>
          <w:sz w:val="24"/>
          <w14:textFill>
            <w14:solidFill>
              <w14:schemeClr w14:val="tx1"/>
            </w14:solidFill>
          </w14:textFill>
        </w:rPr>
        <w:t>〔2022〕3号</w:t>
      </w:r>
      <w:r>
        <w:rPr>
          <w:rFonts w:ascii="宋体" w:hAnsi="宋体" w:cs="宋体"/>
          <w:color w:val="000000" w:themeColor="text1"/>
          <w:sz w:val="24"/>
          <w14:textFill>
            <w14:solidFill>
              <w14:schemeClr w14:val="tx1"/>
            </w14:solidFill>
          </w14:textFill>
        </w:rPr>
        <w:t>）、《浙江省财政厅关于进一步促进政府采购公平竞争打造最优营商环境的通知》（浙财采监</w:t>
      </w:r>
      <w:r>
        <w:rPr>
          <w:rFonts w:hint="eastAsia" w:ascii="宋体" w:hAnsi="宋体" w:cs="宋体"/>
          <w:color w:val="000000" w:themeColor="text1"/>
          <w:sz w:val="24"/>
          <w14:textFill>
            <w14:solidFill>
              <w14:schemeClr w14:val="tx1"/>
            </w14:solidFill>
          </w14:textFill>
        </w:rPr>
        <w:t>〔2021〕22号</w:t>
      </w:r>
      <w:r>
        <w:rPr>
          <w:rFonts w:ascii="宋体" w:hAnsi="宋体" w:cs="宋体"/>
          <w:color w:val="000000" w:themeColor="text1"/>
          <w:sz w:val="24"/>
          <w14:textFill>
            <w14:solidFill>
              <w14:schemeClr w14:val="tx1"/>
            </w14:solidFill>
          </w14:textFill>
        </w:rPr>
        <w:t>））、《浙江省财政厅关于进一步加大政府采购支持中小企业力度助力扎实稳住经济的通知》 （浙财采监</w:t>
      </w:r>
      <w:r>
        <w:rPr>
          <w:rFonts w:hint="eastAsia" w:ascii="宋体" w:hAnsi="宋体" w:cs="宋体"/>
          <w:color w:val="000000" w:themeColor="text1"/>
          <w:sz w:val="24"/>
          <w14:textFill>
            <w14:solidFill>
              <w14:schemeClr w14:val="tx1"/>
            </w14:solidFill>
          </w14:textFill>
        </w:rPr>
        <w:t>〔2022〕8号</w:t>
      </w:r>
      <w:r>
        <w:rPr>
          <w:rFonts w:ascii="宋体" w:hAnsi="宋体" w:cs="宋体"/>
          <w:color w:val="000000" w:themeColor="text1"/>
          <w:sz w:val="24"/>
          <w14:textFill>
            <w14:solidFill>
              <w14:schemeClr w14:val="tx1"/>
            </w14:solidFill>
          </w14:textFill>
        </w:rPr>
        <w:t>）已分别于2022年1月29日、2022年2月1日和2022年7月1日开始实施，此前有关规定与上述文件内容不一致的，按上述文件要求执行</w:t>
      </w:r>
      <w:r>
        <w:rPr>
          <w:rFonts w:hint="eastAsia" w:ascii="宋体" w:hAnsi="宋体" w:cs="宋体"/>
          <w:color w:val="000000" w:themeColor="text1"/>
          <w:sz w:val="24"/>
          <w14:textFill>
            <w14:solidFill>
              <w14:schemeClr w14:val="tx1"/>
            </w14:solidFill>
          </w14:textFill>
        </w:rPr>
        <w:t>。</w:t>
      </w:r>
    </w:p>
    <w:p w14:paraId="5D2C8A1B">
      <w:pPr>
        <w:spacing w:line="360" w:lineRule="auto"/>
        <w:ind w:left="120" w:firstLine="21" w:firstLineChars="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0BB0780">
      <w:pPr>
        <w:spacing w:line="360" w:lineRule="auto"/>
        <w:ind w:left="120" w:firstLine="21" w:firstLineChars="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21B7D3C">
      <w:pPr>
        <w:spacing w:line="360" w:lineRule="auto"/>
        <w:ind w:left="120" w:firstLine="21" w:firstLineChars="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其他事项：（1）需要落实的政府采购政策：包括节约资源、保护环境、支持创新、促进中小企业发展等。详见采购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投标文件的传输递交：投标人在投标截止时间前将加密的投标文件上传至政府采购云平台，还可以在投标截止时间前直接提交或者以邮政快递方式递交备份投标文件1份。备份投标文件的制作、存储、密封详见采购文件第二部分第15点—“备份投标文件”；⑨投标文件的解密：投标人按照平台提示和采购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采购文件公告期限与招标公告的公告期限一致。</w:t>
      </w:r>
    </w:p>
    <w:p w14:paraId="23A0486E">
      <w:pPr>
        <w:spacing w:line="360" w:lineRule="auto"/>
        <w:ind w:left="120" w:firstLine="22" w:firstLineChars="9"/>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八、对本次采购提出询问、质疑、投诉，请按以下方式联系</w:t>
      </w:r>
    </w:p>
    <w:p w14:paraId="57077183">
      <w:pPr>
        <w:widowControl/>
        <w:snapToGrid w:val="0"/>
        <w:spacing w:line="360" w:lineRule="auto"/>
        <w:ind w:firstLine="21" w:firstLineChars="9"/>
        <w:jc w:val="left"/>
        <w:rPr>
          <w:rFonts w:hint="eastAsia" w:ascii="宋体" w:hAnsi="宋体" w:eastAsia="宋体" w:cs="宋体"/>
          <w:color w:val="000000" w:themeColor="text1"/>
          <w:kern w:val="0"/>
          <w:sz w:val="24"/>
          <w:lang w:eastAsia="zh-CN"/>
          <w14:textFill>
            <w14:solidFill>
              <w14:schemeClr w14:val="tx1"/>
            </w14:solidFill>
          </w14:textFill>
        </w:rPr>
      </w:pPr>
      <w:bookmarkStart w:id="14" w:name="_Toc97219764"/>
      <w:bookmarkStart w:id="15" w:name="_Toc18831"/>
      <w:bookmarkStart w:id="16" w:name="_Toc27200"/>
      <w:bookmarkStart w:id="17" w:name="_Toc22159"/>
      <w:r>
        <w:rPr>
          <w:rFonts w:hint="eastAsia" w:ascii="宋体" w:hAnsi="宋体" w:cs="宋体"/>
          <w:color w:val="000000" w:themeColor="text1"/>
          <w:kern w:val="0"/>
          <w:sz w:val="24"/>
          <w14:textFill>
            <w14:solidFill>
              <w14:schemeClr w14:val="tx1"/>
            </w14:solidFill>
          </w14:textFill>
        </w:rPr>
        <w:t>1. 名称：</w:t>
      </w:r>
      <w:r>
        <w:rPr>
          <w:rFonts w:hint="eastAsia" w:ascii="宋体" w:hAnsi="宋体" w:cs="宋体"/>
          <w:color w:val="000000" w:themeColor="text1"/>
          <w:kern w:val="0"/>
          <w:sz w:val="24"/>
          <w:lang w:eastAsia="zh-CN"/>
          <w14:textFill>
            <w14:solidFill>
              <w14:schemeClr w14:val="tx1"/>
            </w14:solidFill>
          </w14:textFill>
        </w:rPr>
        <w:t>杭州市上城区人民代表大会常务委员会办公室</w:t>
      </w:r>
    </w:p>
    <w:p w14:paraId="539A885A">
      <w:pPr>
        <w:widowControl/>
        <w:snapToGrid w:val="0"/>
        <w:spacing w:line="360" w:lineRule="auto"/>
        <w:ind w:firstLine="21" w:firstLineChars="9"/>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地址：</w:t>
      </w:r>
      <w:r>
        <w:rPr>
          <w:rFonts w:hint="eastAsia" w:ascii="宋体" w:hAnsi="宋体"/>
          <w:bCs/>
          <w:color w:val="000000" w:themeColor="text1"/>
          <w:kern w:val="0"/>
          <w:sz w:val="24"/>
          <w14:textFill>
            <w14:solidFill>
              <w14:schemeClr w14:val="tx1"/>
            </w14:solidFill>
          </w14:textFill>
        </w:rPr>
        <w:t>杭州市上城区望潮路77号；</w:t>
      </w:r>
    </w:p>
    <w:p w14:paraId="6A6DD5C3">
      <w:pPr>
        <w:widowControl/>
        <w:snapToGrid w:val="0"/>
        <w:spacing w:line="360" w:lineRule="auto"/>
        <w:ind w:firstLine="21" w:firstLineChars="9"/>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传真：/</w:t>
      </w:r>
    </w:p>
    <w:p w14:paraId="12AE775A">
      <w:pPr>
        <w:widowControl/>
        <w:snapToGrid w:val="0"/>
        <w:spacing w:line="360" w:lineRule="auto"/>
        <w:ind w:firstLine="21" w:firstLineChars="9"/>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项目联系人（询问）： 梅波</w:t>
      </w:r>
    </w:p>
    <w:p w14:paraId="4A25858C">
      <w:pPr>
        <w:widowControl/>
        <w:snapToGrid w:val="0"/>
        <w:spacing w:line="360" w:lineRule="auto"/>
        <w:ind w:firstLine="21" w:firstLineChars="9"/>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项目联系方式（询问）：0571- 89500120</w:t>
      </w:r>
    </w:p>
    <w:p w14:paraId="1C811B23">
      <w:pPr>
        <w:widowControl/>
        <w:snapToGrid w:val="0"/>
        <w:spacing w:line="360" w:lineRule="auto"/>
        <w:ind w:firstLine="21" w:firstLineChars="9"/>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质疑联系人： 李晨晨</w:t>
      </w:r>
    </w:p>
    <w:p w14:paraId="1FFAC7F0">
      <w:pPr>
        <w:widowControl/>
        <w:snapToGrid w:val="0"/>
        <w:spacing w:line="360" w:lineRule="auto"/>
        <w:ind w:firstLine="21" w:firstLineChars="9"/>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质疑联系方式：0571-89500111</w:t>
      </w:r>
    </w:p>
    <w:bookmarkEnd w:id="14"/>
    <w:bookmarkEnd w:id="15"/>
    <w:bookmarkEnd w:id="16"/>
    <w:bookmarkEnd w:id="17"/>
    <w:p w14:paraId="72D4FAD5">
      <w:pPr>
        <w:widowControl/>
        <w:snapToGrid w:val="0"/>
        <w:spacing w:line="360" w:lineRule="auto"/>
        <w:ind w:left="120" w:firstLine="21" w:firstLineChars="9"/>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（请通过以下路径在线提起质疑：政采云-项目采购-询问质疑投诉-质疑列表）</w:t>
      </w:r>
    </w:p>
    <w:p w14:paraId="6FA7A381">
      <w:pPr>
        <w:pStyle w:val="966"/>
        <w:adjustRightInd w:val="0"/>
        <w:snapToGrid w:val="0"/>
        <w:ind w:left="120" w:firstLine="21" w:firstLineChars="9"/>
        <w:rPr>
          <w:rFonts w:hint="eastAsia"/>
          <w:color w:val="000000" w:themeColor="text1"/>
          <w:szCs w:val="24"/>
          <w14:textFill>
            <w14:solidFill>
              <w14:schemeClr w14:val="tx1"/>
            </w14:solidFill>
          </w14:textFill>
        </w:rPr>
      </w:pPr>
      <w:r>
        <w:rPr>
          <w:color w:val="000000" w:themeColor="text1"/>
          <w:szCs w:val="24"/>
          <w14:textFill>
            <w14:solidFill>
              <w14:schemeClr w14:val="tx1"/>
            </w14:solidFill>
          </w14:textFill>
        </w:rPr>
        <w:t xml:space="preserve">2. </w:t>
      </w:r>
      <w:r>
        <w:rPr>
          <w:rFonts w:hint="eastAsia"/>
          <w:color w:val="000000" w:themeColor="text1"/>
          <w:szCs w:val="24"/>
          <w14:textFill>
            <w14:solidFill>
              <w14:schemeClr w14:val="tx1"/>
            </w14:solidFill>
          </w14:textFill>
        </w:rPr>
        <w:t>采购代理机构信息</w:t>
      </w:r>
    </w:p>
    <w:p w14:paraId="0D387BE2">
      <w:pPr>
        <w:pStyle w:val="966"/>
        <w:adjustRightInd w:val="0"/>
        <w:snapToGrid w:val="0"/>
        <w:ind w:left="120" w:firstLine="21" w:firstLineChars="9"/>
        <w:rPr>
          <w:rFonts w:hint="eastAsia"/>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名称：浙江省成套招标代理有限公司</w:t>
      </w:r>
    </w:p>
    <w:p w14:paraId="4AF555DB">
      <w:pPr>
        <w:pStyle w:val="966"/>
        <w:adjustRightInd w:val="0"/>
        <w:snapToGrid w:val="0"/>
        <w:ind w:left="120" w:firstLine="21" w:firstLineChars="9"/>
        <w:rPr>
          <w:rFonts w:hint="eastAsia"/>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地址：</w:t>
      </w:r>
      <w:r>
        <w:rPr>
          <w:rFonts w:hint="eastAsia"/>
          <w:color w:val="000000" w:themeColor="text1"/>
          <w:szCs w:val="24"/>
          <w:lang w:val="zh-CN"/>
          <w14:textFill>
            <w14:solidFill>
              <w14:schemeClr w14:val="tx1"/>
            </w14:solidFill>
          </w14:textFill>
        </w:rPr>
        <w:t>杭州市文晖路</w:t>
      </w:r>
      <w:r>
        <w:rPr>
          <w:color w:val="000000" w:themeColor="text1"/>
          <w:szCs w:val="24"/>
          <w:lang w:val="zh-CN"/>
          <w14:textFill>
            <w14:solidFill>
              <w14:schemeClr w14:val="tx1"/>
            </w14:solidFill>
          </w14:textFill>
        </w:rPr>
        <w:t>42号现代置业大厦西楼17、18楼</w:t>
      </w:r>
    </w:p>
    <w:p w14:paraId="40EB9AB6">
      <w:pPr>
        <w:pStyle w:val="966"/>
        <w:adjustRightInd w:val="0"/>
        <w:snapToGrid w:val="0"/>
        <w:ind w:left="120" w:firstLine="21" w:firstLineChars="9"/>
        <w:rPr>
          <w:rFonts w:hint="eastAsia"/>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传真：</w:t>
      </w:r>
      <w:r>
        <w:rPr>
          <w:color w:val="000000" w:themeColor="text1"/>
          <w:szCs w:val="24"/>
          <w14:textFill>
            <w14:solidFill>
              <w14:schemeClr w14:val="tx1"/>
            </w14:solidFill>
          </w14:textFill>
        </w:rPr>
        <w:t>4008-266-163转08156</w:t>
      </w:r>
    </w:p>
    <w:p w14:paraId="299AFE07">
      <w:pPr>
        <w:pStyle w:val="966"/>
        <w:adjustRightInd w:val="0"/>
        <w:snapToGrid w:val="0"/>
        <w:ind w:left="120" w:firstLine="21" w:firstLineChars="9"/>
        <w:rPr>
          <w:rFonts w:hint="eastAsia"/>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项目联系人</w:t>
      </w:r>
      <w:r>
        <w:rPr>
          <w:rFonts w:hint="eastAsia"/>
          <w:color w:val="000000" w:themeColor="text1"/>
          <w14:textFill>
            <w14:solidFill>
              <w14:schemeClr w14:val="tx1"/>
            </w14:solidFill>
          </w14:textFill>
        </w:rPr>
        <w:t>（询问）</w:t>
      </w:r>
      <w:r>
        <w:rPr>
          <w:rFonts w:hint="eastAsia"/>
          <w:color w:val="000000" w:themeColor="text1"/>
          <w:szCs w:val="24"/>
          <w14:textFill>
            <w14:solidFill>
              <w14:schemeClr w14:val="tx1"/>
            </w14:solidFill>
          </w14:textFill>
        </w:rPr>
        <w:t>：陆佳</w:t>
      </w:r>
    </w:p>
    <w:p w14:paraId="3A101814">
      <w:pPr>
        <w:pStyle w:val="966"/>
        <w:adjustRightInd w:val="0"/>
        <w:snapToGrid w:val="0"/>
        <w:ind w:left="120" w:firstLine="21" w:firstLineChars="9"/>
        <w:rPr>
          <w:rFonts w:hint="eastAsia"/>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项目联系方式</w:t>
      </w:r>
      <w:r>
        <w:rPr>
          <w:rFonts w:hint="eastAsia"/>
          <w:color w:val="000000" w:themeColor="text1"/>
          <w14:textFill>
            <w14:solidFill>
              <w14:schemeClr w14:val="tx1"/>
            </w14:solidFill>
          </w14:textFill>
        </w:rPr>
        <w:t>（询问）</w:t>
      </w:r>
      <w:r>
        <w:rPr>
          <w:rFonts w:hint="eastAsia"/>
          <w:color w:val="000000" w:themeColor="text1"/>
          <w:szCs w:val="24"/>
          <w14:textFill>
            <w14:solidFill>
              <w14:schemeClr w14:val="tx1"/>
            </w14:solidFill>
          </w14:textFill>
        </w:rPr>
        <w:t>：</w:t>
      </w:r>
      <w:r>
        <w:rPr>
          <w:color w:val="000000" w:themeColor="text1"/>
          <w:szCs w:val="24"/>
          <w14:textFill>
            <w14:solidFill>
              <w14:schemeClr w14:val="tx1"/>
            </w14:solidFill>
          </w14:textFill>
        </w:rPr>
        <w:t>0571-87634685</w:t>
      </w:r>
    </w:p>
    <w:p w14:paraId="16788053">
      <w:pPr>
        <w:spacing w:line="360" w:lineRule="auto"/>
        <w:ind w:left="120" w:firstLine="21" w:firstLineChars="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质疑联系人：冯东东 </w:t>
      </w:r>
    </w:p>
    <w:p w14:paraId="27DFA774">
      <w:pPr>
        <w:snapToGrid w:val="0"/>
        <w:spacing w:line="360" w:lineRule="auto"/>
        <w:ind w:left="120" w:firstLine="21" w:firstLineChars="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质疑联系方式：0571-85331293</w:t>
      </w:r>
    </w:p>
    <w:p w14:paraId="4A27C290">
      <w:pPr>
        <w:snapToGrid w:val="0"/>
        <w:spacing w:line="360" w:lineRule="auto"/>
        <w:ind w:left="120" w:firstLine="21" w:firstLineChars="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（请通过以下路径在线提起质疑：政采云-项目采购-询问质疑投诉-质疑列表）    </w:t>
      </w:r>
    </w:p>
    <w:p w14:paraId="725FFBB4">
      <w:pPr>
        <w:spacing w:line="360" w:lineRule="auto"/>
        <w:ind w:left="120" w:firstLine="21" w:firstLineChars="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3.同级政府采购监督管理部门            </w:t>
      </w:r>
    </w:p>
    <w:p w14:paraId="67483015">
      <w:pPr>
        <w:spacing w:line="360" w:lineRule="auto"/>
        <w:ind w:firstLine="21" w:firstLineChars="9"/>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名称：杭州市上城区财政局、浙江省政府采购行政裁决服务中心（杭州）</w:t>
      </w:r>
    </w:p>
    <w:p w14:paraId="57699408">
      <w:pPr>
        <w:spacing w:line="360" w:lineRule="auto"/>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地址：杭州市上城区清泰街549号城建综合大楼11楼（快递仅限ems或顺丰）</w:t>
      </w:r>
    </w:p>
    <w:p w14:paraId="0860E129">
      <w:pPr>
        <w:spacing w:line="360" w:lineRule="auto"/>
        <w:ind w:firstLine="21" w:firstLineChars="9"/>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传真：/</w:t>
      </w:r>
    </w:p>
    <w:p w14:paraId="07AA84BD">
      <w:pPr>
        <w:spacing w:line="360" w:lineRule="auto"/>
        <w:ind w:firstLine="21" w:firstLineChars="9"/>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联系人：王老师</w:t>
      </w:r>
    </w:p>
    <w:p w14:paraId="33B30BE5">
      <w:pPr>
        <w:spacing w:line="360" w:lineRule="auto"/>
        <w:ind w:firstLine="21" w:firstLineChars="9"/>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监督投诉电话：0571-87227671</w:t>
      </w:r>
    </w:p>
    <w:p w14:paraId="76DC23BC">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7653D170">
      <w:pPr>
        <w:spacing w:line="360" w:lineRule="auto"/>
        <w:ind w:left="120" w:firstLine="21" w:firstLineChars="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CA问题联系电话（人工）：汇信CA 400-888-4636；天谷CA 400-087-8198。</w:t>
      </w:r>
    </w:p>
    <w:p w14:paraId="0896B67E">
      <w:pPr>
        <w:widowControl/>
        <w:adjustRightInd/>
        <w:spacing w:line="360" w:lineRule="auto"/>
        <w:ind w:left="120" w:firstLine="723" w:firstLineChars="200"/>
        <w:jc w:val="left"/>
        <w:rPr>
          <w:rFonts w:hint="eastAsia" w:ascii="宋体" w:hAnsi="宋体" w:cs="宋体"/>
          <w:b/>
          <w:color w:val="000000" w:themeColor="text1"/>
          <w:sz w:val="36"/>
          <w:szCs w:val="20"/>
          <w14:textFill>
            <w14:solidFill>
              <w14:schemeClr w14:val="tx1"/>
            </w14:solidFill>
          </w14:textFill>
        </w:rPr>
      </w:pPr>
      <w:r>
        <w:rPr>
          <w:rFonts w:ascii="宋体" w:hAnsi="宋体" w:cs="宋体"/>
          <w:b/>
          <w:color w:val="000000" w:themeColor="text1"/>
          <w:sz w:val="36"/>
          <w:szCs w:val="20"/>
          <w14:textFill>
            <w14:solidFill>
              <w14:schemeClr w14:val="tx1"/>
            </w14:solidFill>
          </w14:textFill>
        </w:rPr>
        <w:br w:type="page"/>
      </w:r>
    </w:p>
    <w:p w14:paraId="18E3BC8B">
      <w:pPr>
        <w:adjustRightInd/>
        <w:spacing w:line="360" w:lineRule="auto"/>
        <w:ind w:left="120" w:firstLine="22" w:firstLineChars="6"/>
        <w:jc w:val="center"/>
        <w:outlineLvl w:val="0"/>
        <w:rPr>
          <w:rFonts w:hint="eastAsia"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第二部分</w:t>
      </w:r>
      <w:bookmarkEnd w:id="7"/>
      <w:r>
        <w:rPr>
          <w:rFonts w:hint="eastAsia" w:ascii="宋体" w:hAnsi="宋体" w:cs="宋体"/>
          <w:b/>
          <w:color w:val="000000" w:themeColor="text1"/>
          <w:sz w:val="36"/>
          <w:szCs w:val="20"/>
          <w14:textFill>
            <w14:solidFill>
              <w14:schemeClr w14:val="tx1"/>
            </w14:solidFill>
          </w14:textFill>
        </w:rPr>
        <w:t xml:space="preserve"> 投标人须知</w:t>
      </w:r>
      <w:bookmarkEnd w:id="8"/>
    </w:p>
    <w:p w14:paraId="73C4DFE2">
      <w:pPr>
        <w:adjustRightInd/>
        <w:spacing w:line="360" w:lineRule="auto"/>
        <w:jc w:val="center"/>
        <w:outlineLvl w:val="1"/>
        <w:rPr>
          <w:rFonts w:hint="eastAsia"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51AB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62CDD490">
            <w:pPr>
              <w:snapToGrid w:val="0"/>
              <w:spacing w:line="360" w:lineRule="auto"/>
              <w:ind w:left="120" w:firstLine="22"/>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843" w:type="dxa"/>
            <w:tcBorders>
              <w:top w:val="single" w:color="000000" w:sz="8" w:space="0"/>
              <w:left w:val="single" w:color="000000" w:sz="8" w:space="0"/>
              <w:bottom w:val="single" w:color="000000" w:sz="8" w:space="0"/>
              <w:right w:val="single" w:color="000000" w:sz="8" w:space="0"/>
            </w:tcBorders>
            <w:vAlign w:val="center"/>
          </w:tcPr>
          <w:p w14:paraId="0D609512">
            <w:pPr>
              <w:snapToGrid w:val="0"/>
              <w:spacing w:line="360" w:lineRule="auto"/>
              <w:ind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事项</w:t>
            </w:r>
          </w:p>
        </w:tc>
        <w:tc>
          <w:tcPr>
            <w:tcW w:w="6095" w:type="dxa"/>
            <w:tcBorders>
              <w:top w:val="single" w:color="000000" w:sz="8" w:space="0"/>
              <w:left w:val="single" w:color="000000" w:sz="8" w:space="0"/>
              <w:bottom w:val="single" w:color="000000" w:sz="8" w:space="0"/>
              <w:right w:val="single" w:color="000000" w:sz="8" w:space="0"/>
            </w:tcBorders>
            <w:vAlign w:val="center"/>
          </w:tcPr>
          <w:p w14:paraId="4D439793">
            <w:pPr>
              <w:snapToGrid w:val="0"/>
              <w:spacing w:line="360" w:lineRule="auto"/>
              <w:ind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本项目的特别规定</w:t>
            </w:r>
          </w:p>
        </w:tc>
      </w:tr>
      <w:tr w14:paraId="4506A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5D4CECD9">
            <w:pPr>
              <w:snapToGrid w:val="0"/>
              <w:spacing w:line="360" w:lineRule="auto"/>
              <w:ind w:firstLine="22"/>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843" w:type="dxa"/>
            <w:tcBorders>
              <w:top w:val="single" w:color="000000" w:sz="8" w:space="0"/>
              <w:left w:val="single" w:color="000000" w:sz="8" w:space="0"/>
              <w:bottom w:val="single" w:color="000000" w:sz="8" w:space="0"/>
              <w:right w:val="single" w:color="000000" w:sz="8" w:space="0"/>
            </w:tcBorders>
            <w:vAlign w:val="center"/>
          </w:tcPr>
          <w:p w14:paraId="6B273B7D">
            <w:pPr>
              <w:snapToGrid w:val="0"/>
              <w:spacing w:line="360" w:lineRule="auto"/>
              <w:ind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项目属性</w:t>
            </w:r>
          </w:p>
        </w:tc>
        <w:tc>
          <w:tcPr>
            <w:tcW w:w="6095" w:type="dxa"/>
            <w:tcBorders>
              <w:top w:val="single" w:color="000000" w:sz="8" w:space="0"/>
              <w:left w:val="single" w:color="000000" w:sz="8" w:space="0"/>
              <w:bottom w:val="single" w:color="000000" w:sz="8" w:space="0"/>
              <w:right w:val="single" w:color="000000" w:sz="8" w:space="0"/>
            </w:tcBorders>
            <w:vAlign w:val="center"/>
          </w:tcPr>
          <w:p w14:paraId="5B221183">
            <w:pPr>
              <w:spacing w:line="360" w:lineRule="auto"/>
              <w:ind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服务类。</w:t>
            </w:r>
          </w:p>
        </w:tc>
      </w:tr>
      <w:tr w14:paraId="04324D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2B1C59C6">
            <w:pPr>
              <w:snapToGrid w:val="0"/>
              <w:spacing w:line="360" w:lineRule="auto"/>
              <w:ind w:firstLine="22"/>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843" w:type="dxa"/>
            <w:tcBorders>
              <w:top w:val="single" w:color="000000" w:sz="8" w:space="0"/>
              <w:left w:val="single" w:color="000000" w:sz="8" w:space="0"/>
              <w:bottom w:val="single" w:color="000000" w:sz="8" w:space="0"/>
              <w:right w:val="single" w:color="000000" w:sz="8" w:space="0"/>
            </w:tcBorders>
            <w:vAlign w:val="center"/>
          </w:tcPr>
          <w:p w14:paraId="79ACC4BD">
            <w:pPr>
              <w:snapToGrid w:val="0"/>
              <w:spacing w:line="360" w:lineRule="auto"/>
              <w:ind w:left="120"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采购标的及其对应的中小企业划分标准所属行业</w:t>
            </w:r>
          </w:p>
        </w:tc>
        <w:tc>
          <w:tcPr>
            <w:tcW w:w="6095" w:type="dxa"/>
            <w:tcBorders>
              <w:top w:val="single" w:color="000000" w:sz="8" w:space="0"/>
              <w:left w:val="single" w:color="000000" w:sz="8" w:space="0"/>
              <w:bottom w:val="single" w:color="000000" w:sz="8" w:space="0"/>
              <w:right w:val="single" w:color="000000" w:sz="8" w:space="0"/>
            </w:tcBorders>
            <w:vAlign w:val="center"/>
          </w:tcPr>
          <w:p w14:paraId="74046F42">
            <w:pPr>
              <w:snapToGrid w:val="0"/>
              <w:spacing w:line="360" w:lineRule="auto"/>
              <w:rPr>
                <w:rFonts w:hint="eastAsia" w:ascii="宋体" w:hAnsi="宋体" w:cs="宋体"/>
                <w:b/>
                <w:bCs/>
                <w:color w:val="000000" w:themeColor="text1"/>
                <w:kern w:val="0"/>
                <w:sz w:val="24"/>
                <w:u w:val="single"/>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标的：</w:t>
            </w:r>
            <w:r>
              <w:rPr>
                <w:rFonts w:hint="eastAsia" w:ascii="宋体" w:hAnsi="宋体" w:cs="宋体"/>
                <w:b/>
                <w:bCs/>
                <w:color w:val="000000" w:themeColor="text1"/>
                <w:kern w:val="0"/>
                <w:sz w:val="24"/>
                <w:u w:val="single"/>
                <w14:textFill>
                  <w14:solidFill>
                    <w14:schemeClr w14:val="tx1"/>
                  </w14:solidFill>
                </w14:textFill>
              </w:rPr>
              <w:t>“数字人大”平台系统改造项目，</w:t>
            </w:r>
            <w:r>
              <w:rPr>
                <w:rFonts w:hint="eastAsia" w:ascii="宋体" w:hAnsi="宋体" w:cs="宋体"/>
                <w:b/>
                <w:bCs/>
                <w:color w:val="000000" w:themeColor="text1"/>
                <w:kern w:val="0"/>
                <w:sz w:val="24"/>
                <w14:textFill>
                  <w14:solidFill>
                    <w14:schemeClr w14:val="tx1"/>
                  </w14:solidFill>
                </w14:textFill>
              </w:rPr>
              <w:t>属于</w:t>
            </w:r>
            <w:r>
              <w:rPr>
                <w:rFonts w:hint="eastAsia" w:ascii="宋体" w:hAnsi="宋体" w:cs="宋体"/>
                <w:b/>
                <w:bCs/>
                <w:color w:val="000000" w:themeColor="text1"/>
                <w:kern w:val="0"/>
                <w:sz w:val="24"/>
                <w:u w:val="single"/>
                <w14:textFill>
                  <w14:solidFill>
                    <w14:schemeClr w14:val="tx1"/>
                  </w14:solidFill>
                </w14:textFill>
              </w:rPr>
              <w:t>软件和信息技术服务业行业。</w:t>
            </w:r>
          </w:p>
          <w:p w14:paraId="692D26B1">
            <w:pPr>
              <w:pStyle w:val="3"/>
              <w:ind w:left="0" w:leftChars="0" w:firstLine="0" w:firstLineChars="0"/>
              <w:rPr>
                <w:rFonts w:hint="eastAsia"/>
                <w:color w:val="000000" w:themeColor="text1"/>
                <w14:textFill>
                  <w14:solidFill>
                    <w14:schemeClr w14:val="tx1"/>
                  </w14:solidFill>
                </w14:textFill>
              </w:rPr>
            </w:pPr>
            <w:r>
              <w:rPr>
                <w:color w:val="000000" w:themeColor="text1"/>
                <w:lang w:val="en-US"/>
                <w14:textFill>
                  <w14:solidFill>
                    <w14:schemeClr w14:val="tx1"/>
                  </w14:solidFill>
                </w14:textFill>
              </w:rPr>
              <w:t>根据</w:t>
            </w:r>
            <w:r>
              <w:rPr>
                <w:color w:val="000000" w:themeColor="text1"/>
                <w14:textFill>
                  <w14:solidFill>
                    <w14:schemeClr w14:val="tx1"/>
                  </w14:solidFill>
                </w14:textFill>
              </w:rPr>
              <w:t>《关于印发中小企业划型标准规定的通知》（工信部联企业〔2011〕300）</w:t>
            </w:r>
            <w:r>
              <w:rPr>
                <w:color w:val="000000" w:themeColor="text1"/>
                <w:lang w:val="en-US"/>
                <w14:textFill>
                  <w14:solidFill>
                    <w14:schemeClr w14:val="tx1"/>
                  </w14:solidFill>
                </w14:textFill>
              </w:rPr>
              <w:t>规定：</w:t>
            </w:r>
            <w:r>
              <w:rPr>
                <w:rFonts w:hint="eastAsia"/>
                <w:color w:val="000000" w:themeColor="text1"/>
                <w14:textFill>
                  <w14:solidFill>
                    <w14:schemeClr w14:val="tx1"/>
                  </w14:solidFill>
                </w14:textFill>
              </w:rPr>
              <w:t>软件和信息技术服务业行业：</w:t>
            </w:r>
            <w:r>
              <w:rPr>
                <w:rFonts w:hint="eastAsia"/>
                <w:color w:val="000000" w:themeColor="text1"/>
                <w:lang w:val="en-US"/>
                <w14:textFill>
                  <w14:solidFill>
                    <w14:schemeClr w14:val="tx1"/>
                  </w14:solidFill>
                </w14:textFill>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olor w:val="000000" w:themeColor="text1"/>
                <w14:textFill>
                  <w14:solidFill>
                    <w14:schemeClr w14:val="tx1"/>
                  </w14:solidFill>
                </w14:textFill>
              </w:rPr>
              <w:t>。</w:t>
            </w:r>
          </w:p>
        </w:tc>
      </w:tr>
      <w:tr w14:paraId="0389EC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18"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18E3B5EB">
            <w:pPr>
              <w:snapToGrid w:val="0"/>
              <w:spacing w:line="360" w:lineRule="auto"/>
              <w:ind w:firstLine="22"/>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843" w:type="dxa"/>
            <w:tcBorders>
              <w:top w:val="single" w:color="000000" w:sz="8" w:space="0"/>
              <w:left w:val="single" w:color="000000" w:sz="8" w:space="0"/>
              <w:bottom w:val="single" w:color="000000" w:sz="8" w:space="0"/>
              <w:right w:val="single" w:color="000000" w:sz="8" w:space="0"/>
            </w:tcBorders>
            <w:vAlign w:val="center"/>
          </w:tcPr>
          <w:p w14:paraId="72C6BCC7">
            <w:pPr>
              <w:snapToGrid w:val="0"/>
              <w:spacing w:line="360" w:lineRule="auto"/>
              <w:ind w:left="120"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是否允许采购进口产品</w:t>
            </w:r>
          </w:p>
        </w:tc>
        <w:tc>
          <w:tcPr>
            <w:tcW w:w="6095" w:type="dxa"/>
            <w:tcBorders>
              <w:top w:val="single" w:color="000000" w:sz="8" w:space="0"/>
              <w:left w:val="single" w:color="000000" w:sz="8" w:space="0"/>
              <w:bottom w:val="single" w:color="000000" w:sz="8" w:space="0"/>
              <w:right w:val="single" w:color="000000" w:sz="8" w:space="0"/>
            </w:tcBorders>
            <w:vAlign w:val="center"/>
          </w:tcPr>
          <w:p w14:paraId="4D451847">
            <w:pPr>
              <w:spacing w:line="360" w:lineRule="auto"/>
              <w:rPr>
                <w:rFonts w:hint="eastAsia"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701596109"/>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本项目不允许采购进口产品。</w:t>
            </w:r>
          </w:p>
          <w:p w14:paraId="6EC12A8A">
            <w:pPr>
              <w:spacing w:line="360" w:lineRule="auto"/>
              <w:rPr>
                <w:rFonts w:hint="eastAsia" w:ascii="宋体" w:hAnsi="宋体" w:cs="宋体"/>
                <w:color w:val="000000" w:themeColor="text1"/>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572076750"/>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Segoe UI Symbol" w:hAnsi="Segoe UI Symbol" w:cs="Segoe UI Symbol"/>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可以就</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采购进口产品。</w:t>
            </w:r>
          </w:p>
        </w:tc>
      </w:tr>
      <w:tr w14:paraId="7E131E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3"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5D490B66">
            <w:pPr>
              <w:snapToGrid w:val="0"/>
              <w:spacing w:line="360" w:lineRule="auto"/>
              <w:ind w:firstLine="22"/>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1843" w:type="dxa"/>
            <w:tcBorders>
              <w:top w:val="single" w:color="000000" w:sz="8" w:space="0"/>
              <w:left w:val="single" w:color="000000" w:sz="8" w:space="0"/>
              <w:bottom w:val="single" w:color="000000" w:sz="8" w:space="0"/>
              <w:right w:val="single" w:color="000000" w:sz="8" w:space="0"/>
            </w:tcBorders>
            <w:vAlign w:val="center"/>
          </w:tcPr>
          <w:p w14:paraId="5647397F">
            <w:pPr>
              <w:snapToGrid w:val="0"/>
              <w:spacing w:line="360" w:lineRule="auto"/>
              <w:ind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分包</w:t>
            </w:r>
          </w:p>
        </w:tc>
        <w:tc>
          <w:tcPr>
            <w:tcW w:w="6095" w:type="dxa"/>
            <w:tcBorders>
              <w:top w:val="single" w:color="000000" w:sz="8" w:space="0"/>
              <w:left w:val="single" w:color="000000" w:sz="8" w:space="0"/>
              <w:bottom w:val="single" w:color="000000" w:sz="8" w:space="0"/>
              <w:right w:val="single" w:color="000000" w:sz="8" w:space="0"/>
            </w:tcBorders>
            <w:vAlign w:val="center"/>
          </w:tcPr>
          <w:p w14:paraId="05759721">
            <w:pPr>
              <w:snapToGrid w:val="0"/>
              <w:spacing w:line="360" w:lineRule="auto"/>
              <w:rPr>
                <w:rFonts w:hint="eastAsia"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795260436"/>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同意将非主体、非关键性的</w:t>
            </w:r>
            <w:r>
              <w:rPr>
                <w:rFonts w:hint="eastAsia" w:ascii="宋体" w:hAnsi="宋体" w:cs="宋体"/>
                <w:color w:val="000000" w:themeColor="text1"/>
                <w:sz w:val="24"/>
                <w:u w:val="single"/>
                <w14:textFill>
                  <w14:solidFill>
                    <w14:schemeClr w14:val="tx1"/>
                  </w14:solidFill>
                </w14:textFill>
              </w:rPr>
              <w:t>_</w:t>
            </w:r>
            <w:r>
              <w:rPr>
                <w:rFonts w:hint="eastAsia" w:ascii="宋体" w:hAnsi="宋体"/>
                <w:color w:val="000000" w:themeColor="text1"/>
                <w:sz w:val="24"/>
                <w:u w:val="single"/>
                <w14:textFill>
                  <w14:solidFill>
                    <w14:schemeClr w14:val="tx1"/>
                  </w14:solidFill>
                </w14:textFill>
              </w:rPr>
              <w:t>信创测评和渗透测试</w:t>
            </w:r>
            <w:r>
              <w:rPr>
                <w:rFonts w:hint="eastAsia" w:ascii="宋体" w:hAnsi="宋体" w:cs="宋体"/>
                <w:color w:val="000000" w:themeColor="text1"/>
                <w:sz w:val="24"/>
                <w:u w:val="single"/>
                <w14:textFill>
                  <w14:solidFill>
                    <w14:schemeClr w14:val="tx1"/>
                  </w14:solidFill>
                </w14:textFill>
              </w:rPr>
              <w:t>_</w:t>
            </w:r>
            <w:r>
              <w:rPr>
                <w:rFonts w:hint="eastAsia" w:ascii="宋体" w:hAnsi="宋体" w:cs="宋体"/>
                <w:color w:val="000000" w:themeColor="text1"/>
                <w:sz w:val="24"/>
                <w14:textFill>
                  <w14:solidFill>
                    <w14:schemeClr w14:val="tx1"/>
                  </w14:solidFill>
                </w14:textFill>
              </w:rPr>
              <w:t>工作分包，分包部分合同金额比例应达到合同总金额的1%，分包供应商应具备承接分包内容所必需的设备和专业技术能力，总包供应商对分包内容承担连带责任。</w:t>
            </w:r>
          </w:p>
          <w:p w14:paraId="0B33863D">
            <w:pPr>
              <w:spacing w:line="360" w:lineRule="auto"/>
              <w:rPr>
                <w:rFonts w:hint="eastAsia"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9144020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Segoe UI Symbol" w:hAnsi="Segoe UI Symbol" w:cs="Segoe UI Symbol"/>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 xml:space="preserve"> B</w:t>
            </w:r>
            <w:r>
              <w:rPr>
                <w:rFonts w:hint="eastAsia" w:ascii="宋体" w:hAnsi="宋体" w:cs="宋体"/>
                <w:color w:val="000000" w:themeColor="text1"/>
                <w:sz w:val="24"/>
                <w14:textFill>
                  <w14:solidFill>
                    <w14:schemeClr w14:val="tx1"/>
                  </w14:solidFill>
                </w14:textFill>
              </w:rPr>
              <w:t>不同意分包。</w:t>
            </w:r>
          </w:p>
          <w:p w14:paraId="52B17CF2">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注：不得限制中型企业向小微企业合理分包。</w:t>
            </w:r>
          </w:p>
        </w:tc>
      </w:tr>
      <w:tr w14:paraId="5AC3ED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3E94D58A">
            <w:pPr>
              <w:snapToGri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1843" w:type="dxa"/>
            <w:tcBorders>
              <w:top w:val="single" w:color="000000" w:sz="8" w:space="0"/>
              <w:left w:val="single" w:color="000000" w:sz="8" w:space="0"/>
              <w:bottom w:val="single" w:color="000000" w:sz="8" w:space="0"/>
              <w:right w:val="single" w:color="000000" w:sz="8" w:space="0"/>
            </w:tcBorders>
            <w:vAlign w:val="center"/>
          </w:tcPr>
          <w:p w14:paraId="6ED0D856">
            <w:pPr>
              <w:snapToGrid w:val="0"/>
              <w:spacing w:line="360" w:lineRule="auto"/>
              <w:ind w:left="120"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开标前答疑会或现场考察</w:t>
            </w:r>
          </w:p>
        </w:tc>
        <w:tc>
          <w:tcPr>
            <w:tcW w:w="6095" w:type="dxa"/>
            <w:tcBorders>
              <w:top w:val="single" w:color="000000" w:sz="8" w:space="0"/>
              <w:left w:val="single" w:color="000000" w:sz="8" w:space="0"/>
              <w:bottom w:val="single" w:color="000000" w:sz="8" w:space="0"/>
              <w:right w:val="single" w:color="000000" w:sz="8" w:space="0"/>
            </w:tcBorders>
            <w:vAlign w:val="center"/>
          </w:tcPr>
          <w:p w14:paraId="5D0846D6">
            <w:pPr>
              <w:spacing w:line="360" w:lineRule="auto"/>
              <w:rPr>
                <w:rFonts w:hint="eastAsia"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971714337"/>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p>
          <w:p w14:paraId="219279A7">
            <w:pPr>
              <w:spacing w:line="360" w:lineRule="auto"/>
              <w:rPr>
                <w:rFonts w:hint="eastAsia" w:ascii="宋体" w:hAnsi="宋体" w:cs="宋体"/>
                <w:color w:val="000000" w:themeColor="text1"/>
                <w:sz w:val="24"/>
                <w:szCs w:val="20"/>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28376564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Segoe UI Symbol" w:hAnsi="Segoe UI Symbol" w:cs="Segoe UI Symbol"/>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B组织，</w:t>
            </w:r>
            <w:r>
              <w:rPr>
                <w:rFonts w:hint="eastAsia" w:ascii="宋体" w:hAnsi="宋体" w:cs="宋体"/>
                <w:color w:val="000000" w:themeColor="text1"/>
                <w:sz w:val="24"/>
                <w14:textFill>
                  <w14:solidFill>
                    <w14:schemeClr w14:val="tx1"/>
                  </w14:solidFill>
                </w14:textFill>
              </w:rPr>
              <w:t>时间：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,地点：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，联系方式：</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szCs w:val="20"/>
                <w14:textFill>
                  <w14:solidFill>
                    <w14:schemeClr w14:val="tx1"/>
                  </w14:solidFill>
                </w14:textFill>
              </w:rPr>
              <w:t>。</w:t>
            </w:r>
          </w:p>
          <w:p w14:paraId="0B51C374">
            <w:pPr>
              <w:spacing w:line="360" w:lineRule="auto"/>
              <w:rPr>
                <w:rFonts w:hint="eastAsia" w:ascii="宋体" w:hAnsi="宋体"/>
                <w:color w:val="000000" w:themeColor="text1"/>
                <w14:textFill>
                  <w14:solidFill>
                    <w14:schemeClr w14:val="tx1"/>
                  </w14:solidFill>
                </w14:textFill>
              </w:rPr>
            </w:pPr>
            <w:r>
              <w:rPr>
                <w:rFonts w:ascii="Segoe UI Symbol" w:hAnsi="Segoe UI Symbol" w:cs="Segoe UI Symbol"/>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C不统一组织，供应商在获取采购文件后，自行至项目现场考察。地点： ，联系人： ，联系方式： 。</w:t>
            </w:r>
          </w:p>
        </w:tc>
      </w:tr>
      <w:tr w14:paraId="7A5743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296A7A4C">
            <w:pPr>
              <w:snapToGrid w:val="0"/>
              <w:spacing w:line="360" w:lineRule="auto"/>
              <w:ind w:firstLine="22"/>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1843" w:type="dxa"/>
            <w:tcBorders>
              <w:top w:val="single" w:color="000000" w:sz="8" w:space="0"/>
              <w:left w:val="single" w:color="000000" w:sz="8" w:space="0"/>
              <w:bottom w:val="single" w:color="000000" w:sz="8" w:space="0"/>
              <w:right w:val="single" w:color="000000" w:sz="8" w:space="0"/>
            </w:tcBorders>
            <w:vAlign w:val="center"/>
          </w:tcPr>
          <w:p w14:paraId="74E27645">
            <w:pPr>
              <w:snapToGrid w:val="0"/>
              <w:spacing w:line="360" w:lineRule="auto"/>
              <w:ind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样品提供</w:t>
            </w:r>
          </w:p>
        </w:tc>
        <w:tc>
          <w:tcPr>
            <w:tcW w:w="6095" w:type="dxa"/>
            <w:tcBorders>
              <w:top w:val="single" w:color="000000" w:sz="8" w:space="0"/>
              <w:left w:val="single" w:color="000000" w:sz="8" w:space="0"/>
              <w:bottom w:val="single" w:color="000000" w:sz="8" w:space="0"/>
              <w:right w:val="single" w:color="000000" w:sz="8" w:space="0"/>
            </w:tcBorders>
            <w:vAlign w:val="center"/>
          </w:tcPr>
          <w:p w14:paraId="2EE02BE7">
            <w:pPr>
              <w:spacing w:line="360" w:lineRule="auto"/>
              <w:rPr>
                <w:rFonts w:hint="eastAsia"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098918782"/>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不要求提供。</w:t>
            </w:r>
          </w:p>
          <w:p w14:paraId="69011A0D">
            <w:pPr>
              <w:spacing w:line="360" w:lineRule="auto"/>
              <w:rPr>
                <w:rFonts w:hint="eastAsia"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Segoe UI Symbol" w:hAnsi="Segoe UI Symbol" w:cs="Segoe UI Symbol"/>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B要求提供，</w:t>
            </w:r>
          </w:p>
          <w:p w14:paraId="6A515C75">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snapToGrid w:val="0"/>
                <w:color w:val="000000" w:themeColor="text1"/>
                <w:kern w:val="28"/>
                <w:sz w:val="24"/>
                <w14:textFill>
                  <w14:solidFill>
                    <w14:schemeClr w14:val="tx1"/>
                  </w14:solidFill>
                </w14:textFill>
              </w:rPr>
              <w:t>样品：</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4E54D862">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r>
              <w:rPr>
                <w:rFonts w:hint="eastAsia" w:ascii="宋体" w:hAnsi="宋体" w:cs="宋体"/>
                <w:snapToGrid w:val="0"/>
                <w:color w:val="000000" w:themeColor="text1"/>
                <w:kern w:val="28"/>
                <w:sz w:val="24"/>
                <w14:textFill>
                  <w14:solidFill>
                    <w14:schemeClr w14:val="tx1"/>
                  </w14:solidFill>
                </w14:textFill>
              </w:rPr>
              <w:t>样品制作的标准和要求：</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27FE0650">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（3）样品的评审方法以及评审标准</w:t>
            </w:r>
            <w:r>
              <w:rPr>
                <w:rFonts w:hint="eastAsia" w:ascii="宋体" w:hAnsi="宋体" w:cs="宋体"/>
                <w:snapToGrid w:val="0"/>
                <w:color w:val="000000" w:themeColor="text1"/>
                <w:kern w:val="28"/>
                <w:sz w:val="24"/>
                <w14:textFill>
                  <w14:solidFill>
                    <w14:schemeClr w14:val="tx1"/>
                  </w14:solidFill>
                </w14:textFill>
              </w:rPr>
              <w:t>：详见</w:t>
            </w:r>
            <w:r>
              <w:rPr>
                <w:rFonts w:hint="eastAsia" w:ascii="宋体" w:hAnsi="宋体" w:cs="宋体"/>
                <w:color w:val="000000" w:themeColor="text1"/>
                <w:sz w:val="24"/>
                <w:u w:val="single"/>
                <w14:textFill>
                  <w14:solidFill>
                    <w14:schemeClr w14:val="tx1"/>
                  </w14:solidFill>
                </w14:textFill>
              </w:rPr>
              <w:t>评标办法</w:t>
            </w:r>
            <w:r>
              <w:rPr>
                <w:rFonts w:hint="eastAsia" w:ascii="宋体" w:hAnsi="宋体" w:cs="宋体"/>
                <w:color w:val="000000" w:themeColor="text1"/>
                <w:kern w:val="0"/>
                <w:sz w:val="24"/>
                <w14:textFill>
                  <w14:solidFill>
                    <w14:schemeClr w14:val="tx1"/>
                  </w14:solidFill>
                </w14:textFill>
              </w:rPr>
              <w:t>；</w:t>
            </w:r>
          </w:p>
          <w:p w14:paraId="5744F551">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（4）是否需要随样品提交检测报告：</w:t>
            </w:r>
            <w:sdt>
              <w:sdtPr>
                <w:rPr>
                  <w:rFonts w:hint="eastAsia" w:ascii="宋体" w:hAnsi="宋体" w:cs="宋体"/>
                  <w:color w:val="000000" w:themeColor="text1"/>
                  <w:kern w:val="0"/>
                  <w:sz w:val="24"/>
                  <w14:textFill>
                    <w14:solidFill>
                      <w14:schemeClr w14:val="tx1"/>
                    </w14:solidFill>
                  </w14:textFill>
                </w:rPr>
                <w:id w:val="1303421454"/>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Segoe UI Symbol" w:hAnsi="Segoe UI Symbol" w:cs="Segoe UI Symbol"/>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否；</w:t>
            </w:r>
            <w:sdt>
              <w:sdtPr>
                <w:rPr>
                  <w:rFonts w:hint="eastAsia" w:ascii="宋体" w:hAnsi="宋体" w:cs="宋体"/>
                  <w:color w:val="000000" w:themeColor="text1"/>
                  <w:kern w:val="0"/>
                  <w:sz w:val="24"/>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Segoe UI Symbol" w:hAnsi="Segoe UI Symbol" w:cs="Segoe UI Symbol"/>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是，检测机构的要求</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；检测内容</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0B83FE7E">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（5）提供样品的时间：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；地点：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；联系人</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28"/>
                <w:sz w:val="24"/>
                <w14:textFill>
                  <w14:solidFill>
                    <w14:schemeClr w14:val="tx1"/>
                  </w14:solidFill>
                </w14:textFill>
              </w:rPr>
              <w:t>联系电话：</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。请投标人在上述时间内提供样品并按规定位置安装完毕。超过截止时间的，采购人或采购代理机构将不予接收，并将清场并封闭样品现场。</w:t>
            </w:r>
          </w:p>
          <w:p w14:paraId="61C6E7FC">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6BEA1F0">
            <w:pPr>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（7）制作、运输、安装和保管样品所发生的一切费用由投标人自理。</w:t>
            </w:r>
          </w:p>
        </w:tc>
      </w:tr>
      <w:tr w14:paraId="76587D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0"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00C6C653">
            <w:pPr>
              <w:snapToGrid w:val="0"/>
              <w:spacing w:line="360" w:lineRule="auto"/>
              <w:ind w:firstLine="22"/>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1843" w:type="dxa"/>
            <w:tcBorders>
              <w:top w:val="single" w:color="000000" w:sz="8" w:space="0"/>
              <w:left w:val="single" w:color="000000" w:sz="8" w:space="0"/>
              <w:bottom w:val="single" w:color="000000" w:sz="8" w:space="0"/>
              <w:right w:val="single" w:color="000000" w:sz="8" w:space="0"/>
            </w:tcBorders>
            <w:vAlign w:val="center"/>
          </w:tcPr>
          <w:p w14:paraId="64B312D3">
            <w:pPr>
              <w:snapToGrid w:val="0"/>
              <w:spacing w:line="360" w:lineRule="auto"/>
              <w:ind w:firstLine="22"/>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方案讲解演示</w:t>
            </w:r>
          </w:p>
        </w:tc>
        <w:tc>
          <w:tcPr>
            <w:tcW w:w="6095" w:type="dxa"/>
            <w:tcBorders>
              <w:top w:val="single" w:color="000000" w:sz="8" w:space="0"/>
              <w:left w:val="single" w:color="000000" w:sz="8" w:space="0"/>
              <w:bottom w:val="single" w:color="000000" w:sz="8" w:space="0"/>
              <w:right w:val="single" w:color="000000" w:sz="8" w:space="0"/>
            </w:tcBorders>
            <w:vAlign w:val="center"/>
          </w:tcPr>
          <w:p w14:paraId="44E61D18">
            <w:pPr>
              <w:spacing w:line="360" w:lineRule="auto"/>
              <w:rPr>
                <w:rFonts w:hint="eastAsia"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05011741"/>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Segoe UI Symbol" w:hAnsi="Segoe UI Symbol" w:cs="Segoe UI Symbol"/>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 xml:space="preserve"> A</w:t>
            </w:r>
            <w:r>
              <w:rPr>
                <w:rFonts w:hint="eastAsia" w:ascii="宋体" w:hAnsi="宋体" w:cs="宋体"/>
                <w:color w:val="000000" w:themeColor="text1"/>
                <w:sz w:val="24"/>
                <w14:textFill>
                  <w14:solidFill>
                    <w14:schemeClr w14:val="tx1"/>
                  </w14:solidFill>
                </w14:textFill>
              </w:rPr>
              <w:t>不组织。</w:t>
            </w:r>
          </w:p>
          <w:p w14:paraId="4AF6EB00">
            <w:pPr>
              <w:spacing w:line="360" w:lineRule="auto"/>
              <w:rPr>
                <w:rFonts w:hint="eastAsia"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174071719"/>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B组织。</w:t>
            </w:r>
          </w:p>
          <w:p w14:paraId="7DA22B33">
            <w:pPr>
              <w:snapToGrid w:val="0"/>
              <w:spacing w:line="360" w:lineRule="auto"/>
              <w:rPr>
                <w:rFonts w:hint="eastAsia" w:ascii="宋体" w:hAnsi="宋体"/>
                <w:b/>
                <w:bCs/>
                <w:color w:val="000000" w:themeColor="text1"/>
                <w:kern w:val="0"/>
                <w:sz w:val="24"/>
                <w14:textFill>
                  <w14:solidFill>
                    <w14:schemeClr w14:val="tx1"/>
                  </w14:solidFill>
                </w14:textFill>
              </w:rPr>
            </w:pPr>
            <w:r>
              <w:rPr>
                <w:rFonts w:hint="eastAsia" w:ascii="宋体" w:hAnsi="宋体"/>
                <w:b/>
                <w:bCs/>
                <w:color w:val="000000" w:themeColor="text1"/>
                <w:kern w:val="0"/>
                <w:sz w:val="24"/>
                <w14:textFill>
                  <w14:solidFill>
                    <w14:schemeClr w14:val="tx1"/>
                  </w14:solidFill>
                </w14:textFill>
              </w:rPr>
              <w:t>（</w:t>
            </w:r>
            <w:r>
              <w:rPr>
                <w:rFonts w:ascii="宋体" w:hAnsi="宋体"/>
                <w:b/>
                <w:bCs/>
                <w:color w:val="000000" w:themeColor="text1"/>
                <w:kern w:val="0"/>
                <w:sz w:val="24"/>
                <w14:textFill>
                  <w14:solidFill>
                    <w14:schemeClr w14:val="tx1"/>
                  </w14:solidFill>
                </w14:textFill>
              </w:rPr>
              <w:t>1）在评标时安排每个供应商进行</w:t>
            </w:r>
            <w:r>
              <w:rPr>
                <w:rFonts w:hint="eastAsia" w:ascii="宋体" w:hAnsi="宋体"/>
                <w:b/>
                <w:bCs/>
                <w:color w:val="000000" w:themeColor="text1"/>
                <w:kern w:val="0"/>
                <w:sz w:val="24"/>
                <w14:textFill>
                  <w14:solidFill>
                    <w14:schemeClr w14:val="tx1"/>
                  </w14:solidFill>
                </w14:textFill>
              </w:rPr>
              <w:t>系统</w:t>
            </w:r>
            <w:r>
              <w:rPr>
                <w:rFonts w:ascii="宋体" w:hAnsi="宋体"/>
                <w:b/>
                <w:bCs/>
                <w:color w:val="000000" w:themeColor="text1"/>
                <w:kern w:val="0"/>
                <w:sz w:val="24"/>
                <w14:textFill>
                  <w14:solidFill>
                    <w14:schemeClr w14:val="tx1"/>
                  </w14:solidFill>
                </w14:textFill>
              </w:rPr>
              <w:t>演示。每个供应商时间不超过15分钟，讲解次序以投标文件解密时间先后次序为准，</w:t>
            </w:r>
            <w:r>
              <w:rPr>
                <w:rFonts w:hint="eastAsia" w:ascii="宋体" w:hAnsi="宋体"/>
                <w:b/>
                <w:bCs/>
                <w:color w:val="000000" w:themeColor="text1"/>
                <w:kern w:val="0"/>
                <w:sz w:val="24"/>
                <w14:textFill>
                  <w14:solidFill>
                    <w14:schemeClr w14:val="tx1"/>
                  </w14:solidFill>
                </w14:textFill>
              </w:rPr>
              <w:t>现场演示的</w:t>
            </w:r>
            <w:r>
              <w:rPr>
                <w:rFonts w:ascii="宋体" w:hAnsi="宋体"/>
                <w:b/>
                <w:bCs/>
                <w:color w:val="000000" w:themeColor="text1"/>
                <w:kern w:val="0"/>
                <w:sz w:val="24"/>
                <w14:textFill>
                  <w14:solidFill>
                    <w14:schemeClr w14:val="tx1"/>
                  </w14:solidFill>
                </w14:textFill>
              </w:rPr>
              <w:t>演示人员不超过</w:t>
            </w:r>
            <w:r>
              <w:rPr>
                <w:rFonts w:hint="eastAsia" w:ascii="宋体" w:hAnsi="宋体"/>
                <w:b/>
                <w:bCs/>
                <w:color w:val="000000" w:themeColor="text1"/>
                <w:kern w:val="0"/>
                <w:sz w:val="24"/>
                <w14:textFill>
                  <w14:solidFill>
                    <w14:schemeClr w14:val="tx1"/>
                  </w14:solidFill>
                </w14:textFill>
              </w:rPr>
              <w:t>3</w:t>
            </w:r>
            <w:r>
              <w:rPr>
                <w:rFonts w:ascii="宋体" w:hAnsi="宋体"/>
                <w:b/>
                <w:bCs/>
                <w:color w:val="000000" w:themeColor="text1"/>
                <w:kern w:val="0"/>
                <w:sz w:val="24"/>
                <w14:textFill>
                  <w14:solidFill>
                    <w14:schemeClr w14:val="tx1"/>
                  </w14:solidFill>
                </w14:textFill>
              </w:rPr>
              <w:t>人</w:t>
            </w:r>
            <w:r>
              <w:rPr>
                <w:rFonts w:hint="eastAsia" w:ascii="宋体" w:hAnsi="宋体"/>
                <w:b/>
                <w:bCs/>
                <w:color w:val="000000" w:themeColor="text1"/>
                <w:kern w:val="0"/>
                <w:sz w:val="24"/>
                <w14:textFill>
                  <w14:solidFill>
                    <w14:schemeClr w14:val="tx1"/>
                  </w14:solidFill>
                </w14:textFill>
              </w:rPr>
              <w:t>（针对现场演示）</w:t>
            </w:r>
            <w:r>
              <w:rPr>
                <w:rFonts w:ascii="宋体" w:hAnsi="宋体"/>
                <w:b/>
                <w:bCs/>
                <w:color w:val="000000" w:themeColor="text1"/>
                <w:kern w:val="0"/>
                <w:sz w:val="24"/>
                <w14:textFill>
                  <w14:solidFill>
                    <w14:schemeClr w14:val="tx1"/>
                  </w14:solidFill>
                </w14:textFill>
              </w:rPr>
              <w:t>。演示结束后按要求解答评标委员会提问。</w:t>
            </w:r>
          </w:p>
          <w:p w14:paraId="51603950">
            <w:pPr>
              <w:snapToGrid w:val="0"/>
              <w:spacing w:line="360" w:lineRule="auto"/>
              <w:rPr>
                <w:rFonts w:hint="eastAsia" w:ascii="宋体" w:hAnsi="宋体"/>
                <w:b/>
                <w:bCs/>
                <w:color w:val="000000" w:themeColor="text1"/>
                <w:kern w:val="0"/>
                <w:sz w:val="24"/>
                <w14:textFill>
                  <w14:solidFill>
                    <w14:schemeClr w14:val="tx1"/>
                  </w14:solidFill>
                </w14:textFill>
              </w:rPr>
            </w:pPr>
            <w:r>
              <w:rPr>
                <w:rFonts w:hint="eastAsia" w:ascii="宋体" w:hAnsi="宋体"/>
                <w:b/>
                <w:bCs/>
                <w:color w:val="000000" w:themeColor="text1"/>
                <w:kern w:val="0"/>
                <w:sz w:val="24"/>
                <w14:textFill>
                  <w14:solidFill>
                    <w14:schemeClr w14:val="tx1"/>
                  </w14:solidFill>
                </w14:textFill>
              </w:rPr>
              <w:t>（</w:t>
            </w:r>
            <w:r>
              <w:rPr>
                <w:rFonts w:ascii="宋体" w:hAnsi="宋体"/>
                <w:b/>
                <w:bCs/>
                <w:color w:val="000000" w:themeColor="text1"/>
                <w:kern w:val="0"/>
                <w:sz w:val="24"/>
                <w14:textFill>
                  <w14:solidFill>
                    <w14:schemeClr w14:val="tx1"/>
                  </w14:solidFill>
                </w14:textFill>
              </w:rPr>
              <w:t>2）</w:t>
            </w:r>
            <w:r>
              <w:rPr>
                <w:rFonts w:hint="eastAsia" w:ascii="宋体" w:hAnsi="宋体"/>
                <w:b/>
                <w:bCs/>
                <w:color w:val="000000" w:themeColor="text1"/>
                <w:kern w:val="0"/>
                <w:sz w:val="24"/>
                <w14:textFill>
                  <w14:solidFill>
                    <w14:schemeClr w14:val="tx1"/>
                  </w14:solidFill>
                </w14:textFill>
              </w:rPr>
              <w:t>演示方式：</w:t>
            </w:r>
          </w:p>
          <w:p w14:paraId="7383A094">
            <w:pPr>
              <w:snapToGrid w:val="0"/>
              <w:spacing w:line="360" w:lineRule="auto"/>
              <w:rPr>
                <w:rFonts w:hint="eastAsia" w:ascii="宋体" w:hAnsi="宋体"/>
                <w:color w:val="000000" w:themeColor="text1"/>
                <w:kern w:val="0"/>
                <w14:textFill>
                  <w14:solidFill>
                    <w14:schemeClr w14:val="tx1"/>
                  </w14:solidFill>
                </w14:textFill>
              </w:rPr>
            </w:pPr>
            <w:bookmarkStart w:id="18" w:name="_Toc95736577"/>
            <w:bookmarkStart w:id="19" w:name="_Toc95312937"/>
            <w:bookmarkStart w:id="20" w:name="_Toc14770"/>
            <w:bookmarkStart w:id="21" w:name="_Toc7603"/>
            <w:bookmarkStart w:id="22" w:name="_Toc2373"/>
            <w:bookmarkStart w:id="23" w:name="_Toc10197"/>
            <w:bookmarkStart w:id="24" w:name="_Toc1438902564"/>
            <w:bookmarkStart w:id="25" w:name="_Toc1001500556"/>
            <w:r>
              <w:rPr>
                <w:rFonts w:hint="eastAsia" w:ascii="宋体" w:hAnsi="宋体" w:cs="仿宋"/>
                <w:color w:val="000000" w:themeColor="text1"/>
                <w:sz w:val="24"/>
                <w14:textFill>
                  <w14:solidFill>
                    <w14:schemeClr w14:val="tx1"/>
                  </w14:solidFill>
                </w14:textFill>
              </w:rPr>
              <w:t>软件演示分两种方式：1、现场演示；2、钉钉在线演示。供应商自行考虑演示方式。</w:t>
            </w:r>
            <w:bookmarkEnd w:id="18"/>
            <w:bookmarkEnd w:id="19"/>
            <w:bookmarkEnd w:id="20"/>
            <w:bookmarkEnd w:id="21"/>
            <w:bookmarkEnd w:id="22"/>
            <w:bookmarkEnd w:id="23"/>
            <w:bookmarkEnd w:id="24"/>
            <w:bookmarkEnd w:id="25"/>
          </w:p>
          <w:p w14:paraId="1BB44AE6">
            <w:pPr>
              <w:snapToGrid w:val="0"/>
              <w:spacing w:line="360" w:lineRule="auto"/>
              <w:rPr>
                <w:rFonts w:hint="eastAsia" w:ascii="宋体" w:hAnsi="宋体"/>
                <w:color w:val="000000" w:themeColor="text1"/>
                <w14:textFill>
                  <w14:solidFill>
                    <w14:schemeClr w14:val="tx1"/>
                  </w14:solidFill>
                </w14:textFill>
              </w:rPr>
            </w:pPr>
            <w:r>
              <w:rPr>
                <w:rFonts w:hint="eastAsia" w:ascii="宋体" w:hAnsi="宋体"/>
                <w:b/>
                <w:bCs/>
                <w:color w:val="000000" w:themeColor="text1"/>
                <w:kern w:val="0"/>
                <w:sz w:val="24"/>
                <w14:textFill>
                  <w14:solidFill>
                    <w14:schemeClr w14:val="tx1"/>
                  </w14:solidFill>
                </w14:textFill>
              </w:rPr>
              <w:t>现场演示：</w:t>
            </w:r>
            <w:r>
              <w:rPr>
                <w:rFonts w:hint="eastAsia" w:ascii="宋体" w:hAnsi="宋体"/>
                <w:color w:val="000000" w:themeColor="text1"/>
                <w:kern w:val="0"/>
                <w:sz w:val="24"/>
                <w14:textFill>
                  <w14:solidFill>
                    <w14:schemeClr w14:val="tx1"/>
                  </w14:solidFill>
                </w14:textFill>
              </w:rPr>
              <w:t>评审现场不具备网络环境，仅提供电源和投影设备，供应商需提前自筹搭建演示所需环境。演示地点：</w:t>
            </w:r>
            <w:r>
              <w:rPr>
                <w:rFonts w:hint="eastAsia" w:ascii="宋体" w:hAnsi="宋体"/>
                <w:color w:val="000000" w:themeColor="text1"/>
                <w:kern w:val="28"/>
                <w:sz w:val="24"/>
                <w14:textFill>
                  <w14:solidFill>
                    <w14:schemeClr w14:val="tx1"/>
                  </w14:solidFill>
                </w14:textFill>
              </w:rPr>
              <w:t>杭州市拱墅区文晖路42号现代置业大厦西楼</w:t>
            </w:r>
            <w:r>
              <w:rPr>
                <w:rFonts w:hint="eastAsia" w:ascii="宋体" w:hAnsi="宋体"/>
                <w:color w:val="000000" w:themeColor="text1"/>
                <w:kern w:val="28"/>
                <w:sz w:val="24"/>
                <w:lang w:val="en-US" w:eastAsia="zh-CN"/>
                <w14:textFill>
                  <w14:solidFill>
                    <w14:schemeClr w14:val="tx1"/>
                  </w14:solidFill>
                </w14:textFill>
              </w:rPr>
              <w:t>13</w:t>
            </w:r>
            <w:r>
              <w:rPr>
                <w:rFonts w:hint="eastAsia" w:ascii="宋体" w:hAnsi="宋体"/>
                <w:color w:val="000000" w:themeColor="text1"/>
                <w:kern w:val="28"/>
                <w:sz w:val="24"/>
                <w14:textFill>
                  <w14:solidFill>
                    <w14:schemeClr w14:val="tx1"/>
                  </w14:solidFill>
                </w14:textFill>
              </w:rPr>
              <w:t>楼</w:t>
            </w:r>
            <w:r>
              <w:rPr>
                <w:rFonts w:hint="eastAsia" w:ascii="宋体" w:hAnsi="宋体"/>
                <w:color w:val="000000" w:themeColor="text1"/>
                <w:kern w:val="28"/>
                <w:sz w:val="24"/>
                <w:lang w:val="en-US" w:eastAsia="zh-CN"/>
                <w14:textFill>
                  <w14:solidFill>
                    <w14:schemeClr w14:val="tx1"/>
                  </w14:solidFill>
                </w14:textFill>
              </w:rPr>
              <w:t>7</w:t>
            </w:r>
            <w:r>
              <w:rPr>
                <w:rFonts w:hint="eastAsia" w:ascii="宋体" w:hAnsi="宋体"/>
                <w:color w:val="000000" w:themeColor="text1"/>
                <w:kern w:val="28"/>
                <w:sz w:val="24"/>
                <w14:textFill>
                  <w14:solidFill>
                    <w14:schemeClr w14:val="tx1"/>
                  </w14:solidFill>
                </w14:textFill>
              </w:rPr>
              <w:t>号会议室</w:t>
            </w:r>
            <w:r>
              <w:rPr>
                <w:rFonts w:hint="eastAsia" w:ascii="宋体" w:hAnsi="宋体"/>
                <w:color w:val="000000" w:themeColor="text1"/>
                <w:kern w:val="0"/>
                <w:sz w:val="24"/>
                <w14:textFill>
                  <w14:solidFill>
                    <w14:schemeClr w14:val="tx1"/>
                  </w14:solidFill>
                </w14:textFill>
              </w:rPr>
              <w:t>。</w:t>
            </w:r>
          </w:p>
          <w:p w14:paraId="6EAA1A37">
            <w:pPr>
              <w:snapToGrid w:val="0"/>
              <w:spacing w:line="360" w:lineRule="auto"/>
              <w:rPr>
                <w:rFonts w:hint="eastAsia" w:ascii="宋体" w:hAnsi="宋体"/>
                <w:color w:val="000000" w:themeColor="text1"/>
                <w:kern w:val="0"/>
                <w:sz w:val="24"/>
                <w14:textFill>
                  <w14:solidFill>
                    <w14:schemeClr w14:val="tx1"/>
                  </w14:solidFill>
                </w14:textFill>
              </w:rPr>
            </w:pPr>
            <w:r>
              <w:rPr>
                <w:rFonts w:hint="eastAsia" w:ascii="宋体" w:hAnsi="宋体"/>
                <w:b/>
                <w:bCs/>
                <w:color w:val="000000" w:themeColor="text1"/>
                <w:kern w:val="0"/>
                <w:sz w:val="24"/>
                <w14:textFill>
                  <w14:solidFill>
                    <w14:schemeClr w14:val="tx1"/>
                  </w14:solidFill>
                </w14:textFill>
              </w:rPr>
              <w:t>钉钉在线演示：</w:t>
            </w:r>
            <w:r>
              <w:rPr>
                <w:rFonts w:hint="eastAsia" w:ascii="宋体" w:hAnsi="宋体"/>
                <w:color w:val="000000" w:themeColor="text1"/>
                <w:kern w:val="0"/>
                <w:sz w:val="24"/>
                <w14:textFill>
                  <w14:solidFill>
                    <w14:schemeClr w14:val="tx1"/>
                  </w14:solidFill>
                </w14:textFill>
              </w:rPr>
              <w:t>需在开标前书面告知采购代理机构（格式自拟），并在开标前准备好演示所需环境。</w:t>
            </w:r>
          </w:p>
          <w:p w14:paraId="0EBCA6D2">
            <w:pPr>
              <w:pStyle w:val="82"/>
              <w:ind w:firstLine="0" w:firstLineChars="0"/>
              <w:rPr>
                <w:rFonts w:hint="eastAsia" w:ascii="宋体" w:hAnsi="宋体" w:eastAsia="宋体"/>
                <w:color w:val="000000" w:themeColor="text1"/>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（3）演示内容：详见评分标准。</w:t>
            </w:r>
          </w:p>
        </w:tc>
      </w:tr>
      <w:tr w14:paraId="6614BF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000000" w:sz="8" w:space="0"/>
              <w:left w:val="single" w:color="000000" w:sz="8" w:space="0"/>
              <w:bottom w:val="single" w:color="000000" w:sz="8" w:space="0"/>
              <w:right w:val="single" w:color="000000" w:sz="8" w:space="0"/>
            </w:tcBorders>
            <w:vAlign w:val="center"/>
          </w:tcPr>
          <w:p w14:paraId="3BC2A02F">
            <w:pPr>
              <w:snapToGrid w:val="0"/>
              <w:spacing w:line="360" w:lineRule="auto"/>
              <w:ind w:firstLine="22"/>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1843" w:type="dxa"/>
            <w:vMerge w:val="restart"/>
            <w:tcBorders>
              <w:top w:val="single" w:color="000000" w:sz="8" w:space="0"/>
              <w:left w:val="single" w:color="000000" w:sz="8" w:space="0"/>
              <w:bottom w:val="single" w:color="000000" w:sz="8" w:space="0"/>
              <w:right w:val="single" w:color="000000" w:sz="8" w:space="0"/>
            </w:tcBorders>
            <w:vAlign w:val="center"/>
          </w:tcPr>
          <w:p w14:paraId="34880F1B">
            <w:pPr>
              <w:snapToGrid w:val="0"/>
              <w:spacing w:line="360" w:lineRule="auto"/>
              <w:ind w:left="120"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投标人应当提供的资格、资信证明文件</w:t>
            </w:r>
          </w:p>
        </w:tc>
        <w:tc>
          <w:tcPr>
            <w:tcW w:w="6095" w:type="dxa"/>
            <w:tcBorders>
              <w:top w:val="single" w:color="000000" w:sz="8" w:space="0"/>
              <w:left w:val="single" w:color="000000" w:sz="8" w:space="0"/>
              <w:bottom w:val="single" w:color="000000" w:sz="8" w:space="0"/>
              <w:right w:val="single" w:color="000000" w:sz="8" w:space="0"/>
            </w:tcBorders>
            <w:vAlign w:val="center"/>
          </w:tcPr>
          <w:p w14:paraId="62B84517">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（1）资格证明文件：见采购文件第二部分11.1。</w:t>
            </w:r>
          </w:p>
          <w:p w14:paraId="523F6BBB">
            <w:pPr>
              <w:spacing w:line="360" w:lineRule="auto"/>
              <w:rPr>
                <w:rFonts w:hint="eastAsia" w:ascii="宋体" w:hAnsi="宋体" w:cs="宋体"/>
                <w:snapToGrid w:val="0"/>
                <w:color w:val="000000" w:themeColor="text1"/>
                <w:kern w:val="0"/>
                <w:szCs w:val="2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投标人未提供有效的资格证明文件的，视为投标人不具备采购文件中规定的资格要求，投标无效。</w:t>
            </w:r>
          </w:p>
        </w:tc>
      </w:tr>
      <w:tr w14:paraId="71F0A8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8" w:hRule="atLeast"/>
        </w:trPr>
        <w:tc>
          <w:tcPr>
            <w:tcW w:w="629" w:type="dxa"/>
            <w:vMerge w:val="continue"/>
            <w:tcBorders>
              <w:top w:val="single" w:color="000000" w:sz="8" w:space="0"/>
              <w:left w:val="single" w:color="000000" w:sz="8" w:space="0"/>
              <w:bottom w:val="single" w:color="000000" w:sz="8" w:space="0"/>
              <w:right w:val="single" w:color="000000" w:sz="8" w:space="0"/>
            </w:tcBorders>
            <w:vAlign w:val="center"/>
          </w:tcPr>
          <w:p w14:paraId="450CE1EC">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1843" w:type="dxa"/>
            <w:vMerge w:val="continue"/>
            <w:tcBorders>
              <w:top w:val="single" w:color="000000" w:sz="8" w:space="0"/>
              <w:left w:val="single" w:color="000000" w:sz="8" w:space="0"/>
              <w:bottom w:val="single" w:color="000000" w:sz="8" w:space="0"/>
              <w:right w:val="single" w:color="000000" w:sz="8" w:space="0"/>
            </w:tcBorders>
            <w:vAlign w:val="center"/>
          </w:tcPr>
          <w:p w14:paraId="1A43E4EA">
            <w:pPr>
              <w:snapToGrid w:val="0"/>
              <w:spacing w:line="360" w:lineRule="auto"/>
              <w:ind w:left="120" w:firstLine="22"/>
              <w:jc w:val="center"/>
              <w:rPr>
                <w:rFonts w:hint="eastAsia" w:ascii="宋体" w:hAnsi="宋体" w:cs="宋体"/>
                <w:b/>
                <w:color w:val="000000" w:themeColor="text1"/>
                <w:sz w:val="24"/>
                <w14:textFill>
                  <w14:solidFill>
                    <w14:schemeClr w14:val="tx1"/>
                  </w14:solidFill>
                </w14:textFill>
              </w:rPr>
            </w:pPr>
          </w:p>
        </w:tc>
        <w:tc>
          <w:tcPr>
            <w:tcW w:w="6095" w:type="dxa"/>
            <w:tcBorders>
              <w:top w:val="single" w:color="000000" w:sz="8" w:space="0"/>
              <w:left w:val="single" w:color="000000" w:sz="8" w:space="0"/>
              <w:bottom w:val="single" w:color="000000" w:sz="8" w:space="0"/>
              <w:right w:val="single" w:color="000000" w:sz="8" w:space="0"/>
            </w:tcBorders>
            <w:vAlign w:val="center"/>
          </w:tcPr>
          <w:p w14:paraId="39B1B81B">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（2）资信证明文件：根据采购文件第四部分评标标准提供。</w:t>
            </w:r>
          </w:p>
        </w:tc>
      </w:tr>
      <w:tr w14:paraId="6A1B3A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02"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386F6018">
            <w:pPr>
              <w:snapToGrid w:val="0"/>
              <w:spacing w:line="360" w:lineRule="auto"/>
              <w:ind w:firstLine="22"/>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1843" w:type="dxa"/>
            <w:tcBorders>
              <w:top w:val="single" w:color="000000" w:sz="8" w:space="0"/>
              <w:left w:val="single" w:color="000000" w:sz="8" w:space="0"/>
              <w:bottom w:val="single" w:color="000000" w:sz="8" w:space="0"/>
              <w:right w:val="single" w:color="000000" w:sz="8" w:space="0"/>
            </w:tcBorders>
            <w:vAlign w:val="center"/>
          </w:tcPr>
          <w:p w14:paraId="23C64BAB">
            <w:pPr>
              <w:snapToGrid w:val="0"/>
              <w:spacing w:line="360" w:lineRule="auto"/>
              <w:ind w:left="120"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节能产品、环境标志产品</w:t>
            </w:r>
          </w:p>
        </w:tc>
        <w:tc>
          <w:tcPr>
            <w:tcW w:w="6095" w:type="dxa"/>
            <w:tcBorders>
              <w:top w:val="single" w:color="000000" w:sz="8" w:space="0"/>
              <w:left w:val="single" w:color="000000" w:sz="8" w:space="0"/>
              <w:bottom w:val="single" w:color="000000" w:sz="8" w:space="0"/>
              <w:right w:val="single" w:color="000000" w:sz="8" w:space="0"/>
            </w:tcBorders>
            <w:vAlign w:val="center"/>
          </w:tcPr>
          <w:p w14:paraId="09519586">
            <w:pPr>
              <w:pStyle w:val="82"/>
              <w:spacing w:line="360" w:lineRule="auto"/>
              <w:ind w:firstLine="0" w:firstLineChars="0"/>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19E1E436">
            <w:pPr>
              <w:pStyle w:val="82"/>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sdt>
              <w:sdtPr>
                <w:rPr>
                  <w:rFonts w:hint="eastAsia" w:ascii="宋体" w:hAnsi="宋体" w:eastAsia="宋体" w:cs="宋体"/>
                  <w:color w:val="000000" w:themeColor="text1"/>
                  <w:sz w:val="24"/>
                  <w14:textFill>
                    <w14:solidFill>
                      <w14:schemeClr w14:val="tx1"/>
                    </w14:solidFill>
                  </w14:textFill>
                </w:rPr>
                <w:id w:val="147461840"/>
                <w14:checkbox>
                  <w14:checked w14:val="0"/>
                  <w14:checkedState w14:val="00FE" w14:font="Wingdings"/>
                  <w14:uncheckedState w14:val="2610" w14:font="MS Gothic"/>
                </w14:checkbox>
              </w:sdtPr>
              <w:sdtEndPr>
                <w:rPr>
                  <w:rFonts w:hint="eastAsia" w:ascii="宋体" w:hAnsi="宋体" w:eastAsia="宋体" w:cs="宋体"/>
                  <w:color w:val="000000" w:themeColor="text1"/>
                  <w:sz w:val="24"/>
                  <w:szCs w:val="24"/>
                  <w14:textFill>
                    <w14:solidFill>
                      <w14:schemeClr w14:val="tx1"/>
                    </w14:solidFill>
                  </w14:textFill>
                </w:rPr>
              </w:sdtEndPr>
              <w:sdtContent>
                <w:r>
                  <w:rPr>
                    <w:rFonts w:ascii="Segoe UI Symbol" w:hAnsi="Segoe UI Symbol" w:eastAsia="宋体" w:cs="Segoe UI Symbol"/>
                    <w:color w:val="000000" w:themeColor="text1"/>
                    <w:sz w:val="24"/>
                    <w:szCs w:val="24"/>
                    <w14:textFill>
                      <w14:solidFill>
                        <w14:schemeClr w14:val="tx1"/>
                      </w14:solidFill>
                    </w14:textFill>
                  </w:rPr>
                  <w:t>☐</w:t>
                </w:r>
              </w:sdtContent>
            </w:sdt>
            <w:r>
              <w:rPr>
                <w:rFonts w:hint="eastAsia" w:ascii="宋体" w:hAnsi="宋体" w:eastAsia="宋体" w:cs="宋体"/>
                <w:color w:val="000000" w:themeColor="text1"/>
                <w:sz w:val="24"/>
                <w:szCs w:val="24"/>
                <w14:textFill>
                  <w14:solidFill>
                    <w14:schemeClr w14:val="tx1"/>
                  </w14:solidFill>
                </w14:textFill>
              </w:rPr>
              <w:t xml:space="preserve">强制采购。产品：    </w:t>
            </w:r>
          </w:p>
          <w:p w14:paraId="09FCBDBE">
            <w:pPr>
              <w:pStyle w:val="82"/>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□优先采购节能产品。产品：   </w:t>
            </w:r>
          </w:p>
          <w:p w14:paraId="4007D87F">
            <w:pPr>
              <w:pStyle w:val="82"/>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□优先采购环保产品。产品：    </w:t>
            </w:r>
          </w:p>
          <w:p w14:paraId="08095C01">
            <w:pPr>
              <w:pStyle w:val="82"/>
              <w:spacing w:line="360" w:lineRule="auto"/>
              <w:ind w:firstLine="0" w:firstLineChars="0"/>
              <w:rPr>
                <w:rFonts w:hint="eastAsia" w:ascii="宋体" w:hAnsi="宋体" w:eastAsia="宋体"/>
                <w:color w:val="000000" w:themeColor="text1"/>
                <w14:textFill>
                  <w14:solidFill>
                    <w14:schemeClr w14:val="tx1"/>
                  </w14:solidFill>
                </w14:textFill>
              </w:rPr>
            </w:pPr>
            <w:sdt>
              <w:sdtPr>
                <w:rPr>
                  <w:rFonts w:hint="eastAsia" w:ascii="宋体" w:hAnsi="宋体" w:eastAsia="宋体" w:cs="宋体"/>
                  <w:color w:val="000000" w:themeColor="text1"/>
                  <w:sz w:val="24"/>
                  <w14:textFill>
                    <w14:solidFill>
                      <w14:schemeClr w14:val="tx1"/>
                    </w14:solidFill>
                  </w14:textFill>
                </w:rPr>
                <w:id w:val="416988416"/>
                <w14:checkbox>
                  <w14:checked w14:val="1"/>
                  <w14:checkedState w14:val="00FE" w14:font="Wingdings"/>
                  <w14:uncheckedState w14:val="2610" w14:font="MS Gothic"/>
                </w14:checkbox>
              </w:sdtPr>
              <w:sdtEndPr>
                <w:rPr>
                  <w:rFonts w:hint="eastAsia" w:ascii="宋体" w:hAnsi="宋体" w:eastAsia="宋体" w:cs="宋体"/>
                  <w:color w:val="000000" w:themeColor="text1"/>
                  <w:sz w:val="24"/>
                  <w14:textFill>
                    <w14:solidFill>
                      <w14:schemeClr w14:val="tx1"/>
                    </w14:solidFill>
                  </w14:textFill>
                </w:rPr>
              </w:sdtEndPr>
              <w:sdtContent>
                <w:r>
                  <w:rPr>
                    <w:rFonts w:hint="eastAsia" w:ascii="宋体" w:hAnsi="宋体" w:eastAsia="宋体" w:cs="宋体"/>
                    <w:color w:val="000000" w:themeColor="text1"/>
                    <w:sz w:val="24"/>
                    <w14:textFill>
                      <w14:solidFill>
                        <w14:schemeClr w14:val="tx1"/>
                      </w14:solidFill>
                    </w14:textFill>
                  </w:rPr>
                  <w:sym w:font="Wingdings" w:char="F0FE"/>
                </w:r>
              </w:sdtContent>
            </w:sdt>
            <w:r>
              <w:rPr>
                <w:rFonts w:hint="eastAsia" w:ascii="宋体" w:hAnsi="宋体" w:eastAsia="宋体" w:cs="宋体"/>
                <w:color w:val="000000" w:themeColor="text1"/>
                <w:sz w:val="24"/>
                <w:szCs w:val="24"/>
                <w14:textFill>
                  <w14:solidFill>
                    <w14:schemeClr w14:val="tx1"/>
                  </w14:solidFill>
                </w14:textFill>
              </w:rPr>
              <w:t>无</w:t>
            </w:r>
          </w:p>
        </w:tc>
      </w:tr>
      <w:tr w14:paraId="3C024D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318CEF36">
            <w:pPr>
              <w:snapToGrid w:val="0"/>
              <w:spacing w:line="360" w:lineRule="auto"/>
              <w:ind w:firstLine="22"/>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1843" w:type="dxa"/>
            <w:tcBorders>
              <w:top w:val="single" w:color="000000" w:sz="8" w:space="0"/>
              <w:left w:val="single" w:color="000000" w:sz="8" w:space="0"/>
              <w:bottom w:val="single" w:color="000000" w:sz="8" w:space="0"/>
              <w:right w:val="single" w:color="000000" w:sz="8" w:space="0"/>
            </w:tcBorders>
            <w:vAlign w:val="center"/>
          </w:tcPr>
          <w:p w14:paraId="06C1C2F6">
            <w:pPr>
              <w:snapToGrid w:val="0"/>
              <w:spacing w:line="360" w:lineRule="auto"/>
              <w:ind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报价要求</w:t>
            </w:r>
          </w:p>
        </w:tc>
        <w:tc>
          <w:tcPr>
            <w:tcW w:w="6095" w:type="dxa"/>
            <w:tcBorders>
              <w:top w:val="single" w:color="000000" w:sz="8" w:space="0"/>
              <w:left w:val="single" w:color="000000" w:sz="8" w:space="0"/>
              <w:bottom w:val="single" w:color="000000" w:sz="8" w:space="0"/>
              <w:right w:val="single" w:color="000000" w:sz="8" w:space="0"/>
            </w:tcBorders>
            <w:vAlign w:val="center"/>
          </w:tcPr>
          <w:p w14:paraId="526110C3">
            <w:pPr>
              <w:snapToGrid w:val="0"/>
              <w:spacing w:line="360" w:lineRule="auto"/>
              <w:jc w:val="left"/>
              <w:rPr>
                <w:rFonts w:hint="eastAsia"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lang w:val="zh-CN"/>
                <w14:textFill>
                  <w14:solidFill>
                    <w14:schemeClr w14:val="tx1"/>
                  </w14:solidFill>
                </w14:textFill>
              </w:rPr>
              <w:t>投标文件</w:t>
            </w:r>
            <w:r>
              <w:rPr>
                <w:rFonts w:hint="eastAsia" w:ascii="宋体" w:hAnsi="宋体" w:cs="宋体"/>
                <w:b/>
                <w:bCs/>
                <w:color w:val="000000" w:themeColor="text1"/>
                <w:sz w:val="24"/>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lang w:val="zh-CN"/>
                <w14:textFill>
                  <w14:solidFill>
                    <w14:schemeClr w14:val="tx1"/>
                  </w14:solidFill>
                </w14:textFill>
              </w:rPr>
              <w:t>投标文件中价格全部采用人民币报价。采购文件未列明，而投标人认为必需的费用也需列入报价。</w:t>
            </w:r>
            <w:r>
              <w:rPr>
                <w:rFonts w:hint="eastAsia" w:ascii="宋体" w:hAnsi="宋体" w:cs="宋体"/>
                <w:b/>
                <w:color w:val="000000" w:themeColor="text1"/>
                <w:kern w:val="0"/>
                <w:sz w:val="24"/>
                <w:lang w:val="zh-CN"/>
                <w14:textFill>
                  <w14:solidFill>
                    <w14:schemeClr w14:val="tx1"/>
                  </w14:solidFill>
                </w14:textFill>
              </w:rPr>
              <w:t>提醒：验收时检测费用由采购人承担，不包含在投标总价中。</w:t>
            </w:r>
          </w:p>
          <w:p w14:paraId="70CCE7EC">
            <w:pPr>
              <w:snapToGrid w:val="0"/>
              <w:spacing w:line="360" w:lineRule="auto"/>
              <w:ind w:firstLine="241" w:firstLineChars="100"/>
              <w:jc w:val="left"/>
              <w:rPr>
                <w:rFonts w:hint="eastAsia"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投标报价出现下列情形的，投标无效：</w:t>
            </w:r>
          </w:p>
          <w:p w14:paraId="7FEA35D4">
            <w:pPr>
              <w:snapToGrid w:val="0"/>
              <w:spacing w:line="360" w:lineRule="auto"/>
              <w:ind w:firstLine="241" w:firstLineChars="100"/>
              <w:jc w:val="left"/>
              <w:rPr>
                <w:rFonts w:hint="eastAsia"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投标文件出现不是唯一的、有选择性投标报价的；</w:t>
            </w:r>
          </w:p>
          <w:p w14:paraId="571FF1D6">
            <w:pPr>
              <w:snapToGrid w:val="0"/>
              <w:spacing w:line="360" w:lineRule="auto"/>
              <w:ind w:firstLine="241" w:firstLineChars="100"/>
              <w:jc w:val="left"/>
              <w:rPr>
                <w:rFonts w:hint="eastAsia"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投标报价超过采购文件中规定的预算金额或者最高限价的;</w:t>
            </w:r>
          </w:p>
          <w:p w14:paraId="7F8D8743">
            <w:pPr>
              <w:snapToGrid w:val="0"/>
              <w:spacing w:line="360" w:lineRule="auto"/>
              <w:ind w:firstLine="241" w:firstLineChars="100"/>
              <w:jc w:val="left"/>
              <w:rPr>
                <w:rFonts w:hint="eastAsia"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p>
          <w:p w14:paraId="738B2473">
            <w:pPr>
              <w:snapToGrid w:val="0"/>
              <w:spacing w:line="360" w:lineRule="auto"/>
              <w:ind w:firstLine="241" w:firstLineChars="100"/>
              <w:jc w:val="left"/>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投标人对根据修正原则修正后的报价不确认的。</w:t>
            </w:r>
          </w:p>
        </w:tc>
      </w:tr>
      <w:tr w14:paraId="4076FC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1"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3F672612">
            <w:pPr>
              <w:snapToGrid w:val="0"/>
              <w:spacing w:line="360" w:lineRule="auto"/>
              <w:ind w:firstLine="22"/>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1843" w:type="dxa"/>
            <w:tcBorders>
              <w:top w:val="single" w:color="000000" w:sz="8" w:space="0"/>
              <w:left w:val="single" w:color="000000" w:sz="8" w:space="0"/>
              <w:bottom w:val="single" w:color="000000" w:sz="8" w:space="0"/>
              <w:right w:val="single" w:color="000000" w:sz="8" w:space="0"/>
            </w:tcBorders>
            <w:vAlign w:val="center"/>
          </w:tcPr>
          <w:p w14:paraId="732C4B51">
            <w:pPr>
              <w:snapToGrid w:val="0"/>
              <w:spacing w:line="360" w:lineRule="auto"/>
              <w:ind w:left="120"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中小企业信用融资</w:t>
            </w:r>
          </w:p>
        </w:tc>
        <w:tc>
          <w:tcPr>
            <w:tcW w:w="6095" w:type="dxa"/>
            <w:tcBorders>
              <w:top w:val="single" w:color="000000" w:sz="8" w:space="0"/>
              <w:left w:val="single" w:color="000000" w:sz="8" w:space="0"/>
              <w:bottom w:val="single" w:color="000000" w:sz="8" w:space="0"/>
              <w:right w:val="single" w:color="000000" w:sz="8" w:space="0"/>
            </w:tcBorders>
            <w:vAlign w:val="center"/>
          </w:tcPr>
          <w:p w14:paraId="055246E9">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851A4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2FB1AE9C">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p>
        </w:tc>
        <w:tc>
          <w:tcPr>
            <w:tcW w:w="1843" w:type="dxa"/>
            <w:tcBorders>
              <w:top w:val="single" w:color="000000" w:sz="8" w:space="0"/>
              <w:left w:val="single" w:color="000000" w:sz="8" w:space="0"/>
              <w:bottom w:val="single" w:color="000000" w:sz="8" w:space="0"/>
              <w:right w:val="single" w:color="000000" w:sz="8" w:space="0"/>
            </w:tcBorders>
            <w:vAlign w:val="center"/>
          </w:tcPr>
          <w:p w14:paraId="4E846F9C">
            <w:pPr>
              <w:snapToGrid w:val="0"/>
              <w:spacing w:line="360" w:lineRule="auto"/>
              <w:ind w:left="120"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备份投标文件送达地点和签收人员</w:t>
            </w:r>
          </w:p>
        </w:tc>
        <w:tc>
          <w:tcPr>
            <w:tcW w:w="6095" w:type="dxa"/>
            <w:tcBorders>
              <w:top w:val="single" w:color="000000" w:sz="8" w:space="0"/>
              <w:left w:val="single" w:color="000000" w:sz="8" w:space="0"/>
              <w:bottom w:val="single" w:color="000000" w:sz="8" w:space="0"/>
              <w:right w:val="single" w:color="000000" w:sz="8" w:space="0"/>
            </w:tcBorders>
            <w:vAlign w:val="center"/>
          </w:tcPr>
          <w:p w14:paraId="49BAA4D0">
            <w:pPr>
              <w:pStyle w:val="33"/>
              <w:spacing w:line="360" w:lineRule="auto"/>
              <w:rPr>
                <w:rFonts w:hint="eastAsia" w:hAnsi="宋体" w:cs="宋体"/>
                <w:color w:val="000000" w:themeColor="text1"/>
                <w:kern w:val="28"/>
                <w:sz w:val="24"/>
                <w14:textFill>
                  <w14:solidFill>
                    <w14:schemeClr w14:val="tx1"/>
                  </w14:solidFill>
                </w14:textFill>
              </w:rPr>
            </w:pPr>
            <w:r>
              <w:rPr>
                <w:rFonts w:hint="eastAsia" w:hAnsi="宋体" w:cs="宋体"/>
                <w:color w:val="000000" w:themeColor="text1"/>
                <w:kern w:val="28"/>
                <w:sz w:val="24"/>
                <w:szCs w:val="24"/>
                <w14:textFill>
                  <w14:solidFill>
                    <w14:schemeClr w14:val="tx1"/>
                  </w14:solidFill>
                </w14:textFill>
              </w:rPr>
              <w:t>备份投标文件送达地点：</w:t>
            </w:r>
            <w:r>
              <w:rPr>
                <w:rFonts w:hint="eastAsia" w:hAnsi="宋体" w:cs="宋体"/>
                <w:color w:val="000000" w:themeColor="text1"/>
                <w:kern w:val="28"/>
                <w:sz w:val="24"/>
                <w:szCs w:val="24"/>
                <w:u w:val="single"/>
                <w14:textFill>
                  <w14:solidFill>
                    <w14:schemeClr w14:val="tx1"/>
                  </w14:solidFill>
                </w14:textFill>
              </w:rPr>
              <w:t>杭州市拱墅区文晖路42号现代置业大厦西楼1301室</w:t>
            </w:r>
            <w:r>
              <w:rPr>
                <w:rFonts w:hint="eastAsia" w:hAnsi="宋体" w:cs="宋体"/>
                <w:color w:val="000000" w:themeColor="text1"/>
                <w:kern w:val="28"/>
                <w:sz w:val="24"/>
                <w:szCs w:val="24"/>
                <w14:textFill>
                  <w14:solidFill>
                    <w14:schemeClr w14:val="tx1"/>
                  </w14:solidFill>
                </w14:textFill>
              </w:rPr>
              <w:t>；备份投标文件签收人员联系电话：</w:t>
            </w:r>
            <w:r>
              <w:rPr>
                <w:rFonts w:hint="eastAsia" w:hAnsi="宋体" w:cs="宋体"/>
                <w:color w:val="000000" w:themeColor="text1"/>
                <w:sz w:val="24"/>
                <w:u w:val="single"/>
                <w14:textFill>
                  <w14:solidFill>
                    <w14:schemeClr w14:val="tx1"/>
                  </w14:solidFill>
                </w14:textFill>
              </w:rPr>
              <w:t>陆佳，0571-87634685</w:t>
            </w:r>
            <w:r>
              <w:rPr>
                <w:rFonts w:hint="eastAsia" w:hAnsi="宋体" w:cs="宋体"/>
                <w:color w:val="000000" w:themeColor="text1"/>
                <w:sz w:val="24"/>
                <w:szCs w:val="24"/>
                <w14:textFill>
                  <w14:solidFill>
                    <w14:schemeClr w14:val="tx1"/>
                  </w14:solidFill>
                </w14:textFill>
              </w:rPr>
              <w:t>。</w:t>
            </w:r>
            <w:r>
              <w:rPr>
                <w:rFonts w:hint="eastAsia" w:hAnsi="宋体" w:cs="宋体"/>
                <w:b/>
                <w:color w:val="000000" w:themeColor="text1"/>
                <w:sz w:val="24"/>
                <w:szCs w:val="24"/>
                <w14:textFill>
                  <w14:solidFill>
                    <w14:schemeClr w14:val="tx1"/>
                  </w14:solidFill>
                </w14:textFill>
              </w:rPr>
              <w:t>采购人、采购机构不强制或变相强制投标人提交备份投标文件。</w:t>
            </w:r>
          </w:p>
        </w:tc>
      </w:tr>
      <w:tr w14:paraId="054273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000000" w:sz="8" w:space="0"/>
              <w:left w:val="single" w:color="000000" w:sz="8" w:space="0"/>
              <w:bottom w:val="single" w:color="000000" w:sz="8" w:space="0"/>
              <w:right w:val="single" w:color="000000" w:sz="8" w:space="0"/>
            </w:tcBorders>
            <w:vAlign w:val="center"/>
          </w:tcPr>
          <w:p w14:paraId="0F0F03BB">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w:t>
            </w:r>
          </w:p>
        </w:tc>
        <w:tc>
          <w:tcPr>
            <w:tcW w:w="1843" w:type="dxa"/>
            <w:vMerge w:val="restart"/>
            <w:tcBorders>
              <w:top w:val="single" w:color="000000" w:sz="8" w:space="0"/>
              <w:left w:val="single" w:color="000000" w:sz="8" w:space="0"/>
              <w:bottom w:val="single" w:color="000000" w:sz="8" w:space="0"/>
              <w:right w:val="single" w:color="000000" w:sz="8" w:space="0"/>
            </w:tcBorders>
            <w:vAlign w:val="center"/>
          </w:tcPr>
          <w:p w14:paraId="4E0EC638">
            <w:pPr>
              <w:snapToGrid w:val="0"/>
              <w:spacing w:line="360" w:lineRule="auto"/>
              <w:ind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特别说明</w:t>
            </w:r>
          </w:p>
        </w:tc>
        <w:tc>
          <w:tcPr>
            <w:tcW w:w="6095" w:type="dxa"/>
            <w:tcBorders>
              <w:top w:val="single" w:color="000000" w:sz="8" w:space="0"/>
              <w:left w:val="single" w:color="000000" w:sz="8" w:space="0"/>
              <w:bottom w:val="single" w:color="000000" w:sz="8" w:space="0"/>
              <w:right w:val="single" w:color="000000" w:sz="8" w:space="0"/>
            </w:tcBorders>
            <w:vAlign w:val="center"/>
          </w:tcPr>
          <w:p w14:paraId="27D72F68">
            <w:pPr>
              <w:spacing w:line="360" w:lineRule="auto"/>
              <w:rPr>
                <w:rFonts w:hint="eastAsia"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联合体投标的，联合体各方分别提供与联合体协议中规定的分工内容相应的业绩证明材料，业绩数量以提供材料较少的一方为准。</w:t>
            </w:r>
          </w:p>
        </w:tc>
      </w:tr>
      <w:tr w14:paraId="78A3CF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top w:val="single" w:color="000000" w:sz="8" w:space="0"/>
              <w:left w:val="single" w:color="000000" w:sz="8" w:space="0"/>
              <w:bottom w:val="single" w:color="000000" w:sz="8" w:space="0"/>
              <w:right w:val="single" w:color="000000" w:sz="8" w:space="0"/>
            </w:tcBorders>
            <w:vAlign w:val="center"/>
          </w:tcPr>
          <w:p w14:paraId="6149BA13">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1843" w:type="dxa"/>
            <w:vMerge w:val="continue"/>
            <w:tcBorders>
              <w:top w:val="single" w:color="000000" w:sz="8" w:space="0"/>
              <w:left w:val="single" w:color="000000" w:sz="8" w:space="0"/>
              <w:bottom w:val="single" w:color="000000" w:sz="8" w:space="0"/>
              <w:right w:val="single" w:color="000000" w:sz="8" w:space="0"/>
            </w:tcBorders>
            <w:vAlign w:val="center"/>
          </w:tcPr>
          <w:p w14:paraId="6474493C">
            <w:pPr>
              <w:snapToGrid w:val="0"/>
              <w:spacing w:line="360" w:lineRule="auto"/>
              <w:ind w:left="120" w:firstLine="22"/>
              <w:jc w:val="center"/>
              <w:rPr>
                <w:rFonts w:hint="eastAsia" w:ascii="宋体" w:hAnsi="宋体" w:cs="宋体"/>
                <w:b/>
                <w:color w:val="000000" w:themeColor="text1"/>
                <w:sz w:val="24"/>
                <w14:textFill>
                  <w14:solidFill>
                    <w14:schemeClr w14:val="tx1"/>
                  </w14:solidFill>
                </w14:textFill>
              </w:rPr>
            </w:pPr>
          </w:p>
        </w:tc>
        <w:tc>
          <w:tcPr>
            <w:tcW w:w="6095" w:type="dxa"/>
            <w:tcBorders>
              <w:top w:val="single" w:color="000000" w:sz="8" w:space="0"/>
              <w:left w:val="single" w:color="000000" w:sz="8" w:space="0"/>
              <w:bottom w:val="single" w:color="000000" w:sz="8" w:space="0"/>
              <w:right w:val="single" w:color="000000" w:sz="8" w:space="0"/>
            </w:tcBorders>
            <w:vAlign w:val="center"/>
          </w:tcPr>
          <w:p w14:paraId="5C2A76EF">
            <w:pPr>
              <w:spacing w:line="360" w:lineRule="auto"/>
              <w:rPr>
                <w:rFonts w:hint="eastAsia" w:ascii="宋体" w:hAnsi="宋体" w:cs="宋体"/>
                <w:snapToGrid w:val="0"/>
                <w:color w:val="000000" w:themeColor="text1"/>
                <w:kern w:val="28"/>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714238864"/>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Segoe UI Symbol" w:hAnsi="Segoe UI Symbol" w:cs="Segoe UI Symbol"/>
                    <w:color w:val="000000" w:themeColor="text1"/>
                    <w:kern w:val="0"/>
                    <w:sz w:val="24"/>
                    <w14:textFill>
                      <w14:solidFill>
                        <w14:schemeClr w14:val="tx1"/>
                      </w14:solidFill>
                    </w14:textFill>
                  </w:rPr>
                  <w:t>☐</w:t>
                </w:r>
              </w:sdtContent>
            </w:sdt>
            <w:r>
              <w:rPr>
                <w:rFonts w:hint="eastAsia" w:ascii="宋体" w:hAnsi="宋体" w:cs="宋体"/>
                <w:snapToGrid w:val="0"/>
                <w:color w:val="000000" w:themeColor="text1"/>
                <w:kern w:val="28"/>
                <w:sz w:val="24"/>
                <w14:textFill>
                  <w14:solidFill>
                    <w14:schemeClr w14:val="tx1"/>
                  </w14:solidFill>
                </w14:textFill>
              </w:rPr>
              <w:t>联合体投标的，联合体各方均需按采购文件第四部分评标标准要求提供资信证明文件，否则视为不符合相关要求。</w:t>
            </w:r>
          </w:p>
          <w:p w14:paraId="64219D7E">
            <w:pPr>
              <w:spacing w:line="360" w:lineRule="auto"/>
              <w:rPr>
                <w:rFonts w:hint="eastAsia" w:ascii="宋体" w:hAnsi="宋体" w:cs="宋体"/>
                <w:snapToGrid w:val="0"/>
                <w:color w:val="000000" w:themeColor="text1"/>
                <w:kern w:val="28"/>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83693639"/>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snapToGrid w:val="0"/>
                <w:color w:val="000000" w:themeColor="text1"/>
                <w:kern w:val="28"/>
                <w:sz w:val="24"/>
                <w14:textFill>
                  <w14:solidFill>
                    <w14:schemeClr w14:val="tx1"/>
                  </w14:solidFill>
                </w14:textFill>
              </w:rPr>
              <w:t>联合体投标的，联合体中有一方或者联合体成员根据分工按采购文件第四部分评标标准要求提供资信证明文件的，视为符合了相关要求。</w:t>
            </w:r>
          </w:p>
        </w:tc>
      </w:tr>
      <w:tr w14:paraId="4BA364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3F5B59F5">
            <w:pPr>
              <w:snapToGrid w:val="0"/>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w:t>
            </w:r>
          </w:p>
        </w:tc>
        <w:tc>
          <w:tcPr>
            <w:tcW w:w="1843" w:type="dxa"/>
            <w:tcBorders>
              <w:top w:val="single" w:color="000000" w:sz="8" w:space="0"/>
              <w:left w:val="single" w:color="000000" w:sz="8" w:space="0"/>
              <w:bottom w:val="single" w:color="000000" w:sz="8" w:space="0"/>
              <w:right w:val="single" w:color="000000" w:sz="8" w:space="0"/>
            </w:tcBorders>
            <w:vAlign w:val="center"/>
          </w:tcPr>
          <w:p w14:paraId="2E96CF5E">
            <w:pPr>
              <w:snapToGrid w:val="0"/>
              <w:spacing w:line="360" w:lineRule="auto"/>
              <w:ind w:left="120"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bCs/>
                <w:color w:val="000000" w:themeColor="text1"/>
                <w:spacing w:val="-6"/>
                <w:sz w:val="24"/>
                <w14:textFill>
                  <w14:solidFill>
                    <w14:schemeClr w14:val="tx1"/>
                  </w14:solidFill>
                </w14:textFill>
              </w:rPr>
              <w:t>推荐中标候选人数量</w:t>
            </w:r>
          </w:p>
        </w:tc>
        <w:tc>
          <w:tcPr>
            <w:tcW w:w="6095" w:type="dxa"/>
            <w:tcBorders>
              <w:top w:val="single" w:color="000000" w:sz="8" w:space="0"/>
              <w:left w:val="single" w:color="000000" w:sz="8" w:space="0"/>
              <w:bottom w:val="single" w:color="000000" w:sz="8" w:space="0"/>
              <w:right w:val="single" w:color="000000" w:sz="8" w:space="0"/>
            </w:tcBorders>
            <w:vAlign w:val="center"/>
          </w:tcPr>
          <w:p w14:paraId="6A9E07F0">
            <w:pPr>
              <w:spacing w:line="360" w:lineRule="auto"/>
              <w:rPr>
                <w:rFonts w:hint="eastAsia"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推荐中标候选人数量：</w:t>
            </w:r>
            <w:r>
              <w:rPr>
                <w:rFonts w:hint="eastAsia" w:ascii="宋体" w:hAnsi="宋体" w:cs="宋体"/>
                <w:color w:val="000000" w:themeColor="text1"/>
                <w:spacing w:val="-6"/>
                <w:sz w:val="24"/>
                <w:u w:val="single"/>
                <w14:textFill>
                  <w14:solidFill>
                    <w14:schemeClr w14:val="tx1"/>
                  </w14:solidFill>
                </w14:textFill>
              </w:rPr>
              <w:t>1</w:t>
            </w:r>
            <w:r>
              <w:rPr>
                <w:rFonts w:hint="eastAsia" w:ascii="宋体" w:hAnsi="宋体" w:cs="宋体"/>
                <w:color w:val="000000" w:themeColor="text1"/>
                <w:spacing w:val="-6"/>
                <w:sz w:val="24"/>
                <w14:textFill>
                  <w14:solidFill>
                    <w14:schemeClr w14:val="tx1"/>
                  </w14:solidFill>
                </w14:textFill>
              </w:rPr>
              <w:t>名</w:t>
            </w:r>
          </w:p>
        </w:tc>
      </w:tr>
      <w:tr w14:paraId="0BA1BB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564A7BFD">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1843" w:type="dxa"/>
            <w:tcBorders>
              <w:top w:val="single" w:color="000000" w:sz="8" w:space="0"/>
              <w:left w:val="single" w:color="000000" w:sz="8" w:space="0"/>
              <w:bottom w:val="single" w:color="000000" w:sz="8" w:space="0"/>
              <w:right w:val="single" w:color="000000" w:sz="8" w:space="0"/>
            </w:tcBorders>
            <w:vAlign w:val="center"/>
          </w:tcPr>
          <w:p w14:paraId="02837959">
            <w:pPr>
              <w:snapToGrid w:val="0"/>
              <w:spacing w:line="360" w:lineRule="auto"/>
              <w:ind w:left="120"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代理服务费</w:t>
            </w:r>
          </w:p>
        </w:tc>
        <w:tc>
          <w:tcPr>
            <w:tcW w:w="6095" w:type="dxa"/>
            <w:tcBorders>
              <w:top w:val="single" w:color="000000" w:sz="8" w:space="0"/>
              <w:left w:val="single" w:color="000000" w:sz="8" w:space="0"/>
              <w:bottom w:val="single" w:color="000000" w:sz="8" w:space="0"/>
              <w:right w:val="single" w:color="000000" w:sz="8" w:space="0"/>
            </w:tcBorders>
            <w:vAlign w:val="center"/>
          </w:tcPr>
          <w:p w14:paraId="08D2F60B">
            <w:pPr>
              <w:autoSpaceDE w:val="0"/>
              <w:autoSpaceDN w:val="0"/>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收到中标通知书5个工作日内，中标人需向招标代理机构支付招标代理服务费。</w:t>
            </w:r>
            <w:r>
              <w:rPr>
                <w:rFonts w:hint="eastAsia" w:ascii="宋体" w:hAnsi="宋体" w:cs="宋体"/>
                <w:color w:val="000000" w:themeColor="text1"/>
                <w:sz w:val="24"/>
                <w14:textFill>
                  <w14:solidFill>
                    <w14:schemeClr w14:val="tx1"/>
                  </w14:solidFill>
                </w14:textFill>
              </w:rPr>
              <w:t>参照国家计委关于印发《招标代理服务收费管理暂行办法》的通知（计价格〔2002〕1980号文）规定的80%向中标供应商收取（不足5</w:t>
            </w:r>
            <w:r>
              <w:rPr>
                <w:rFonts w:ascii="宋体" w:hAnsi="宋体" w:cs="宋体"/>
                <w:color w:val="000000" w:themeColor="text1"/>
                <w:sz w:val="24"/>
                <w14:textFill>
                  <w14:solidFill>
                    <w14:schemeClr w14:val="tx1"/>
                  </w14:solidFill>
                </w14:textFill>
              </w:rPr>
              <w:t>000</w:t>
            </w:r>
            <w:r>
              <w:rPr>
                <w:rFonts w:hint="eastAsia" w:ascii="宋体" w:hAnsi="宋体" w:cs="宋体"/>
                <w:color w:val="000000" w:themeColor="text1"/>
                <w:sz w:val="24"/>
                <w14:textFill>
                  <w14:solidFill>
                    <w14:schemeClr w14:val="tx1"/>
                  </w14:solidFill>
                </w14:textFill>
              </w:rPr>
              <w:t>元按5</w:t>
            </w:r>
            <w:r>
              <w:rPr>
                <w:rFonts w:ascii="宋体" w:hAnsi="宋体" w:cs="宋体"/>
                <w:color w:val="000000" w:themeColor="text1"/>
                <w:sz w:val="24"/>
                <w14:textFill>
                  <w14:solidFill>
                    <w14:schemeClr w14:val="tx1"/>
                  </w14:solidFill>
                </w14:textFill>
              </w:rPr>
              <w:t>000</w:t>
            </w:r>
            <w:r>
              <w:rPr>
                <w:rFonts w:hint="eastAsia" w:ascii="宋体" w:hAnsi="宋体" w:cs="宋体"/>
                <w:color w:val="000000" w:themeColor="text1"/>
                <w:sz w:val="24"/>
                <w14:textFill>
                  <w14:solidFill>
                    <w14:schemeClr w14:val="tx1"/>
                  </w14:solidFill>
                </w14:textFill>
              </w:rPr>
              <w:t>元计）。</w:t>
            </w:r>
          </w:p>
          <w:p w14:paraId="2035CC02">
            <w:pPr>
              <w:pStyle w:val="132"/>
              <w:snapToGrid w:val="0"/>
              <w:spacing w:before="0"/>
              <w:ind w:firstLine="0" w:firstLineChars="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pacing w:val="-6"/>
                <w:szCs w:val="24"/>
                <w14:textFill>
                  <w14:solidFill>
                    <w14:schemeClr w14:val="tx1"/>
                  </w14:solidFill>
                </w14:textFill>
              </w:rPr>
              <w:t>收款单位（户名）：</w:t>
            </w:r>
            <w:r>
              <w:rPr>
                <w:rFonts w:hint="eastAsia" w:ascii="宋体" w:hAnsi="宋体" w:cs="宋体"/>
                <w:bCs/>
                <w:color w:val="000000" w:themeColor="text1"/>
                <w:kern w:val="0"/>
                <w:szCs w:val="24"/>
                <w14:textFill>
                  <w14:solidFill>
                    <w14:schemeClr w14:val="tx1"/>
                  </w14:solidFill>
                </w14:textFill>
              </w:rPr>
              <w:t>浙江省成套招标代理有限公司；</w:t>
            </w:r>
          </w:p>
          <w:p w14:paraId="4AE02230">
            <w:pPr>
              <w:pStyle w:val="132"/>
              <w:snapToGrid w:val="0"/>
              <w:spacing w:before="0"/>
              <w:ind w:firstLine="0" w:firstLineChars="0"/>
              <w:rPr>
                <w:rFonts w:hint="eastAsia" w:ascii="宋体" w:hAnsi="宋体" w:cs="宋体"/>
                <w:color w:val="000000" w:themeColor="text1"/>
                <w:spacing w:val="-6"/>
                <w:szCs w:val="24"/>
                <w14:textFill>
                  <w14:solidFill>
                    <w14:schemeClr w14:val="tx1"/>
                  </w14:solidFill>
                </w14:textFill>
              </w:rPr>
            </w:pPr>
            <w:r>
              <w:rPr>
                <w:rFonts w:hint="eastAsia" w:ascii="宋体" w:hAnsi="宋体" w:cs="宋体"/>
                <w:bCs/>
                <w:color w:val="000000" w:themeColor="text1"/>
                <w:kern w:val="0"/>
                <w:szCs w:val="24"/>
                <w14:textFill>
                  <w14:solidFill>
                    <w14:schemeClr w14:val="tx1"/>
                  </w14:solidFill>
                </w14:textFill>
              </w:rPr>
              <w:t>开户银行：中信</w:t>
            </w:r>
            <w:r>
              <w:rPr>
                <w:rFonts w:hint="eastAsia" w:ascii="宋体" w:hAnsi="宋体" w:cs="宋体"/>
                <w:color w:val="000000" w:themeColor="text1"/>
                <w:spacing w:val="-6"/>
                <w:szCs w:val="24"/>
                <w14:textFill>
                  <w14:solidFill>
                    <w14:schemeClr w14:val="tx1"/>
                  </w14:solidFill>
                </w14:textFill>
              </w:rPr>
              <w:t>银行杭州西湖支行；</w:t>
            </w:r>
          </w:p>
          <w:p w14:paraId="138C623F">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银行账号：</w:t>
            </w:r>
            <w:r>
              <w:rPr>
                <w:rFonts w:ascii="宋体" w:hAnsi="宋体" w:cs="宋体"/>
                <w:color w:val="000000" w:themeColor="text1"/>
                <w:spacing w:val="-6"/>
                <w:sz w:val="24"/>
                <w14:textFill>
                  <w14:solidFill>
                    <w14:schemeClr w14:val="tx1"/>
                  </w14:solidFill>
                </w14:textFill>
              </w:rPr>
              <w:t>7331 6101 8260 0126 385。</w:t>
            </w:r>
          </w:p>
        </w:tc>
      </w:tr>
    </w:tbl>
    <w:p w14:paraId="56AC2BFB">
      <w:pPr>
        <w:snapToGrid w:val="0"/>
        <w:spacing w:line="360" w:lineRule="auto"/>
        <w:ind w:left="120" w:firstLine="22"/>
        <w:jc w:val="center"/>
        <w:rPr>
          <w:rFonts w:hint="eastAsia" w:ascii="宋体" w:hAnsi="宋体" w:cs="宋体"/>
          <w:b/>
          <w:color w:val="000000" w:themeColor="text1"/>
          <w:sz w:val="32"/>
          <w:szCs w:val="20"/>
          <w14:textFill>
            <w14:solidFill>
              <w14:schemeClr w14:val="tx1"/>
            </w14:solidFill>
          </w14:textFill>
        </w:rPr>
      </w:pPr>
    </w:p>
    <w:bookmarkEnd w:id="9"/>
    <w:p w14:paraId="262032B9">
      <w:pPr>
        <w:pStyle w:val="82"/>
        <w:rPr>
          <w:rFonts w:hint="eastAsia" w:ascii="宋体" w:hAnsi="宋体" w:eastAsia="宋体"/>
          <w:color w:val="000000" w:themeColor="text1"/>
          <w14:textFill>
            <w14:solidFill>
              <w14:schemeClr w14:val="tx1"/>
            </w14:solidFill>
          </w14:textFill>
        </w:rPr>
      </w:pPr>
      <w:bookmarkStart w:id="26" w:name="第三部分"/>
      <w:bookmarkStart w:id="27" w:name="_Toc164416483"/>
    </w:p>
    <w:p w14:paraId="3C46A452">
      <w:pPr>
        <w:pStyle w:val="82"/>
        <w:rPr>
          <w:rFonts w:hint="eastAsia" w:ascii="宋体" w:hAnsi="宋体" w:eastAsia="宋体"/>
          <w:color w:val="000000" w:themeColor="text1"/>
          <w14:textFill>
            <w14:solidFill>
              <w14:schemeClr w14:val="tx1"/>
            </w14:solidFill>
          </w14:textFill>
        </w:rPr>
        <w:sectPr>
          <w:headerReference r:id="rId6" w:type="first"/>
          <w:footerReference r:id="rId9" w:type="first"/>
          <w:headerReference r:id="rId5" w:type="default"/>
          <w:footerReference r:id="rId7" w:type="default"/>
          <w:footerReference r:id="rId8" w:type="even"/>
          <w:pgSz w:w="11906" w:h="16838"/>
          <w:pgMar w:top="680" w:right="1418" w:bottom="468" w:left="1418" w:header="851" w:footer="992" w:gutter="0"/>
          <w:cols w:space="720" w:num="1"/>
          <w:titlePg/>
          <w:docGrid w:linePitch="312" w:charSpace="0"/>
        </w:sectPr>
      </w:pPr>
    </w:p>
    <w:p w14:paraId="7D1AB1B5">
      <w:pPr>
        <w:pStyle w:val="82"/>
        <w:rPr>
          <w:rFonts w:hint="eastAsia" w:ascii="宋体" w:hAnsi="宋体" w:eastAsia="宋体"/>
          <w:color w:val="000000" w:themeColor="text1"/>
          <w14:textFill>
            <w14:solidFill>
              <w14:schemeClr w14:val="tx1"/>
            </w14:solidFill>
          </w14:textFill>
        </w:rPr>
      </w:pPr>
    </w:p>
    <w:p w14:paraId="04205761">
      <w:pPr>
        <w:adjustRightInd/>
        <w:spacing w:line="360" w:lineRule="auto"/>
        <w:ind w:left="120" w:firstLine="19" w:firstLineChars="6"/>
        <w:jc w:val="center"/>
        <w:outlineLvl w:val="1"/>
        <w:rPr>
          <w:rFonts w:hint="eastAsia"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一、总则</w:t>
      </w:r>
    </w:p>
    <w:p w14:paraId="67C4E9FF">
      <w:pPr>
        <w:snapToGrid w:val="0"/>
        <w:spacing w:line="360" w:lineRule="auto"/>
        <w:ind w:left="120" w:firstLine="482" w:firstLineChars="200"/>
        <w:jc w:val="left"/>
        <w:outlineLvl w:val="2"/>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 适用范围</w:t>
      </w:r>
    </w:p>
    <w:p w14:paraId="0851B99A">
      <w:pPr>
        <w:snapToGrid w:val="0"/>
        <w:spacing w:line="360" w:lineRule="auto"/>
        <w:ind w:left="120"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本采购文件适用于该项目的招标、投标、开标、资格审查及信用信息查询、评标、定标、合同、验收等行为（法律法规另有规定的，从其规定）。</w:t>
      </w:r>
    </w:p>
    <w:p w14:paraId="4249F3E1">
      <w:pPr>
        <w:adjustRightInd/>
        <w:snapToGrid w:val="0"/>
        <w:spacing w:line="360" w:lineRule="auto"/>
        <w:ind w:left="120" w:firstLine="482" w:firstLineChars="200"/>
        <w:jc w:val="left"/>
        <w:outlineLvl w:val="2"/>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2.定义</w:t>
      </w:r>
    </w:p>
    <w:p w14:paraId="2A1DDBA7">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“采购人”系指招标公告中载明的本项目的采购人。</w:t>
      </w:r>
    </w:p>
    <w:p w14:paraId="56805222">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“采购代理机构”系指招标公告中载明的本项目的采购代理机构。</w:t>
      </w:r>
    </w:p>
    <w:p w14:paraId="13DBD299">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“投标人”系指是指响应招标、参加投标竞争的法人、其他组织或者自然人。</w:t>
      </w:r>
    </w:p>
    <w:p w14:paraId="732AEECD">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 “负责人”系指法人企业的法定负责人，或其他组织为法律、行政法规规定代表单位行使职权的主要负责人，或自然人本人。</w:t>
      </w:r>
    </w:p>
    <w:p w14:paraId="511829A7">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702DD30">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2.6“电子交易平台”系指本项目政府采购活动所依托的政府采购云平台（https://www.zcygov.cn/）。</w:t>
      </w:r>
    </w:p>
    <w:p w14:paraId="33EC3508">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 “▲” 系指实质性要求条款，“</w:t>
      </w:r>
      <w:sdt>
        <w:sdtPr>
          <w:rPr>
            <w:rFonts w:hint="eastAsia" w:ascii="宋体" w:hAnsi="宋体" w:cs="宋体"/>
            <w:color w:val="000000" w:themeColor="text1"/>
            <w:kern w:val="0"/>
            <w:sz w:val="24"/>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”系指适用本项目的要求，“</w:t>
      </w:r>
      <w:sdt>
        <w:sdtPr>
          <w:rPr>
            <w:rFonts w:hint="eastAsia" w:ascii="宋体" w:hAnsi="宋体" w:cs="宋体"/>
            <w:color w:val="000000" w:themeColor="text1"/>
            <w:kern w:val="0"/>
            <w:sz w:val="24"/>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Segoe UI Symbol" w:hAnsi="Segoe UI Symbol" w:cs="Segoe UI Symbol"/>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 系指不适用本项目的要求。</w:t>
      </w:r>
    </w:p>
    <w:p w14:paraId="07BB4F66">
      <w:pPr>
        <w:adjustRightInd/>
        <w:snapToGrid w:val="0"/>
        <w:spacing w:line="360" w:lineRule="auto"/>
        <w:ind w:left="120" w:firstLine="482" w:firstLineChars="200"/>
        <w:jc w:val="left"/>
        <w:outlineLvl w:val="2"/>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 采购项目需要落实的政府采购政策</w:t>
      </w:r>
    </w:p>
    <w:p w14:paraId="37E1A737">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kern w:val="0"/>
          <w:sz w:val="24"/>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14:textFill>
            <w14:solidFill>
              <w14:schemeClr w14:val="tx1"/>
            </w14:solidFill>
          </w14:textFill>
        </w:rPr>
        <w:t>。</w:t>
      </w:r>
    </w:p>
    <w:p w14:paraId="66D8B46E">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 支持绿色发展</w:t>
      </w:r>
    </w:p>
    <w:p w14:paraId="228EDCCB">
      <w:pPr>
        <w:spacing w:line="360" w:lineRule="auto"/>
        <w:ind w:left="120" w:firstLine="480"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采购文件要求提供相关产品认证证书。</w:t>
      </w:r>
      <w:r>
        <w:rPr>
          <w:rFonts w:hint="eastAsia" w:ascii="宋体" w:hAnsi="宋体" w:cs="宋体"/>
          <w:b/>
          <w:color w:val="000000" w:themeColor="text1"/>
          <w:sz w:val="24"/>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5DB922BF">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3.2.2 修缮、装修类项目采购建材的，采购人应将绿色建筑和绿色建材性能、指标等作为实质性条件纳入采购文件和合同。</w:t>
      </w:r>
    </w:p>
    <w:p w14:paraId="2276F2C6">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3.2.3为助力打好污染防治攻坚战，推广使用绿色包装，政府采购货物、工程和服务项目中涉及商品包装和快递包装的，供应商提供的产品及相关快递服务的具体包装要求要参考《商品包装政府采购需求标准（试行）》《快递包装政府采购需求标准（试行）》。鼓励采购人优先采购秸秆环保板材等资源综合利用产品。鼓励采购人优先采购绿色物流配送服务、提供新能源交通工具的租赁服务。</w:t>
      </w:r>
    </w:p>
    <w:p w14:paraId="484C534C">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3.2.4 </w:t>
      </w:r>
      <w:r>
        <w:rPr>
          <w:rFonts w:hint="eastAsia" w:ascii="宋体" w:hAnsi="宋体" w:cs="宋体"/>
          <w:color w:val="000000" w:themeColor="text1"/>
          <w:sz w:val="24"/>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鼓励供应商在参加政府采购过程中开展绿色设计、选择绿色材料、打造绿色制造工艺、开展绿色运输、做好废弃产品回收处理，实现产品全周期的绿色环保。鼓励采购人对其提高预付款比例、免收履约保证金。</w:t>
      </w:r>
    </w:p>
    <w:p w14:paraId="33245B62">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3.3支持中小企业发展</w:t>
      </w:r>
    </w:p>
    <w:p w14:paraId="14D2911A">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D154565">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符合中小企业划分标准的个体工商户，在政府采购活动中视同中小企业。</w:t>
      </w:r>
    </w:p>
    <w:p w14:paraId="6414214F">
      <w:pPr>
        <w:widowControl/>
        <w:spacing w:line="360" w:lineRule="auto"/>
        <w:ind w:left="120" w:firstLine="480" w:firstLineChars="200"/>
        <w:jc w:val="left"/>
        <w:rPr>
          <w:rFonts w:hint="eastAsia" w:ascii="宋体" w:hAnsi="宋体" w:cs="宋体"/>
          <w:color w:val="000000" w:themeColor="text1"/>
          <w:kern w:val="0"/>
          <w:sz w:val="24"/>
          <w14:textFill>
            <w14:solidFill>
              <w14:schemeClr w14:val="tx1"/>
            </w14:solidFill>
          </w14:textFill>
        </w:rPr>
      </w:pPr>
      <w:r>
        <w:rPr>
          <w:rFonts w:ascii="宋体" w:hAnsi="宋体" w:cs="宋体"/>
          <w:bCs/>
          <w:color w:val="000000" w:themeColor="text1"/>
          <w:sz w:val="24"/>
          <w14:textFill>
            <w14:solidFill>
              <w14:schemeClr w14:val="tx1"/>
            </w14:solidFill>
          </w14:textFill>
        </w:rPr>
        <w:t>3.3.2</w:t>
      </w:r>
      <w:r>
        <w:rPr>
          <w:rFonts w:hint="eastAsia" w:ascii="宋体" w:hAnsi="宋体" w:cs="宋体"/>
          <w:color w:val="000000" w:themeColor="text1"/>
          <w:kern w:val="0"/>
          <w:sz w:val="24"/>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34ECA02">
      <w:pPr>
        <w:widowControl/>
        <w:spacing w:line="360" w:lineRule="auto"/>
        <w:ind w:left="120"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30A8A7A9">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3.3.3对于未预留份额专门面向中小企业的政府采购服务项目，以及预留份额政府采购服务项目中的非预留部分标项，对小型和微型企业的投标报价给予10%～</w:t>
      </w:r>
      <w:r>
        <w:rPr>
          <w:rFonts w:ascii="宋体" w:hAnsi="宋体" w:cs="宋体"/>
          <w:color w:val="000000" w:themeColor="text1"/>
          <w:sz w:val="24"/>
          <w14:textFill>
            <w14:solidFill>
              <w14:schemeClr w14:val="tx1"/>
            </w14:solidFill>
          </w14:textFill>
        </w:rPr>
        <w:t>20</w:t>
      </w:r>
      <w:r>
        <w:rPr>
          <w:rFonts w:hint="eastAsia" w:ascii="宋体" w:hAnsi="宋体" w:cs="宋体"/>
          <w:color w:val="000000" w:themeColor="text1"/>
          <w:sz w:val="24"/>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5134DED4">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74553C16">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4EF065E">
      <w:pPr>
        <w:spacing w:line="360" w:lineRule="auto"/>
        <w:ind w:left="120"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3.3.6</w:t>
      </w:r>
      <w:r>
        <w:rPr>
          <w:rFonts w:hint="eastAsia" w:ascii="宋体" w:hAnsi="宋体" w:cs="宋体"/>
          <w:b/>
          <w:bCs/>
          <w:color w:val="000000" w:themeColor="text1"/>
          <w:sz w:val="24"/>
          <w:lang w:val="en"/>
          <w14:textFill>
            <w14:solidFill>
              <w14:schemeClr w14:val="tx1"/>
            </w14:solidFill>
          </w14:textFill>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b/>
          <w:bCs/>
          <w:color w:val="000000" w:themeColor="text1"/>
          <w:sz w:val="24"/>
          <w14:textFill>
            <w14:solidFill>
              <w14:schemeClr w14:val="tx1"/>
            </w14:solidFill>
          </w14:textFill>
        </w:rPr>
        <w:t>。</w:t>
      </w:r>
    </w:p>
    <w:p w14:paraId="60D3E6B0">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3.3.7中小企业享受扶持政策获得政府采购合同的，小微企业不得将合同分包给大中型企业，中型企业不得将合同分包给大型企业。</w:t>
      </w:r>
    </w:p>
    <w:p w14:paraId="3C45E406">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w:t>
      </w:r>
      <w:r>
        <w:rPr>
          <w:rFonts w:hint="eastAsia" w:ascii="宋体" w:hAnsi="宋体" w:cs="宋体"/>
          <w:bCs/>
          <w:color w:val="000000" w:themeColor="text1"/>
          <w:sz w:val="24"/>
          <w14:textFill>
            <w14:solidFill>
              <w14:schemeClr w14:val="tx1"/>
            </w14:solidFill>
          </w14:textFill>
        </w:rPr>
        <w:t>支持创新发展</w:t>
      </w:r>
    </w:p>
    <w:p w14:paraId="60499E35">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3.4.1 首台套、“制造精品”“专精特新”等创新产品按规定享受政府采购支持政策。</w:t>
      </w:r>
    </w:p>
    <w:p w14:paraId="034743E7">
      <w:pPr>
        <w:ind w:firstLine="480" w:firstLineChars="200"/>
        <w:rPr>
          <w:rFonts w:hint="eastAsia" w:ascii="宋体" w:hAnsi="宋体" w:cs="仿宋"/>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3.4.2 采购人应当贯彻落实知识产权保护相关法律法规，应当采购使用正版软件。</w:t>
      </w:r>
    </w:p>
    <w:p w14:paraId="6004B6EE">
      <w:pPr>
        <w:spacing w:line="360" w:lineRule="auto"/>
        <w:ind w:left="120" w:firstLine="480" w:firstLineChars="20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3.5平等对待内外资企业和符合条件的破产重整企业</w:t>
      </w:r>
    </w:p>
    <w:p w14:paraId="2FEAA347">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平等对待内外资企业和符合条件的破产重整企业，切实保障企业公平竞争，平等维护企业的合法利益。</w:t>
      </w:r>
    </w:p>
    <w:p w14:paraId="5786AAF7">
      <w:pPr>
        <w:spacing w:line="360" w:lineRule="auto"/>
        <w:ind w:left="120" w:firstLine="482"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4. 询问、质疑、投诉</w:t>
      </w:r>
      <w:r>
        <w:rPr>
          <w:rFonts w:hint="eastAsia" w:ascii="宋体" w:hAnsi="宋体" w:cs="仿宋"/>
          <w:b/>
          <w:color w:val="000000" w:themeColor="text1"/>
          <w:sz w:val="24"/>
          <w14:textFill>
            <w14:solidFill>
              <w14:schemeClr w14:val="tx1"/>
            </w14:solidFill>
          </w14:textFill>
        </w:rPr>
        <w:t>、补偿救济</w:t>
      </w:r>
    </w:p>
    <w:p w14:paraId="6459AD34">
      <w:pPr>
        <w:autoSpaceDE w:val="0"/>
        <w:autoSpaceDN w:val="0"/>
        <w:spacing w:line="360" w:lineRule="auto"/>
        <w:ind w:left="120"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F569E2C">
      <w:pPr>
        <w:autoSpaceDE w:val="0"/>
        <w:autoSpaceDN w:val="0"/>
        <w:spacing w:line="360" w:lineRule="auto"/>
        <w:ind w:left="120"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4.2供应商询问</w:t>
      </w:r>
    </w:p>
    <w:p w14:paraId="18FEE89C">
      <w:pPr>
        <w:autoSpaceDE w:val="0"/>
        <w:autoSpaceDN w:val="0"/>
        <w:spacing w:line="360" w:lineRule="auto"/>
        <w:ind w:left="120"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62E6E5C">
      <w:pPr>
        <w:autoSpaceDE w:val="0"/>
        <w:autoSpaceDN w:val="0"/>
        <w:spacing w:line="360" w:lineRule="auto"/>
        <w:ind w:left="120"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4.3供应商质疑</w:t>
      </w:r>
    </w:p>
    <w:p w14:paraId="3E4C700D">
      <w:pPr>
        <w:pStyle w:val="33"/>
        <w:spacing w:line="360" w:lineRule="auto"/>
        <w:ind w:left="120" w:firstLine="480" w:firstLineChars="200"/>
        <w:rPr>
          <w:rFonts w:hint="eastAsia" w:hAnsi="宋体" w:cs="宋体"/>
          <w:color w:val="000000" w:themeColor="text1"/>
          <w:sz w:val="24"/>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w:t>
      </w:r>
      <w:r>
        <w:rPr>
          <w:rFonts w:hint="eastAsia" w:hAnsi="宋体" w:cs="宋体"/>
          <w:color w:val="000000" w:themeColor="text1"/>
          <w:sz w:val="24"/>
          <w14:textFill>
            <w14:solidFill>
              <w14:schemeClr w14:val="tx1"/>
            </w14:solidFill>
          </w14:textFill>
        </w:rPr>
        <w:t>.1提出质疑的供应商应当是参与所质疑项目采购活动的供应商。潜在供应商已依法获取其可质疑的采购文件的，可以对该文件提出质疑。</w:t>
      </w:r>
    </w:p>
    <w:p w14:paraId="15737825">
      <w:pPr>
        <w:pStyle w:val="33"/>
        <w:spacing w:line="360" w:lineRule="auto"/>
        <w:ind w:left="120" w:firstLine="480" w:firstLineChars="200"/>
        <w:rPr>
          <w:rFonts w:hint="eastAsia" w:hAnsi="宋体" w:cs="宋体"/>
          <w:color w:val="000000" w:themeColor="text1"/>
          <w:sz w:val="24"/>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w:t>
      </w:r>
      <w:r>
        <w:rPr>
          <w:rFonts w:hint="eastAsia" w:hAnsi="宋体" w:cs="宋体"/>
          <w:color w:val="000000" w:themeColor="text1"/>
          <w:sz w:val="24"/>
          <w14:textFill>
            <w14:solidFill>
              <w14:schemeClr w14:val="tx1"/>
            </w14:solidFill>
          </w14:textFill>
        </w:rPr>
        <w:t>.2供应商认为采购文件、采购过程和中标结果使自己的权益受到损害的，可以在知道或者应知其权益受到损害之日起七个工作日内，以书面形式向采购人或者采购代理机构提出质疑，否则，采购人或者采购代理机构不予受理：</w:t>
      </w:r>
    </w:p>
    <w:p w14:paraId="09D4D99E">
      <w:pPr>
        <w:pStyle w:val="5"/>
        <w:spacing w:line="360" w:lineRule="auto"/>
        <w:ind w:left="120" w:firstLine="480" w:firstLineChars="200"/>
        <w:rPr>
          <w:rFonts w:hint="eastAsia" w:hAnsi="宋体" w:cs="宋体"/>
          <w:snapToGrid/>
          <w:color w:val="000000" w:themeColor="text1"/>
          <w:kern w:val="2"/>
          <w:sz w:val="24"/>
          <w14:textFill>
            <w14:solidFill>
              <w14:schemeClr w14:val="tx1"/>
            </w14:solidFill>
          </w14:textFill>
        </w:rPr>
      </w:pPr>
      <w:r>
        <w:rPr>
          <w:rFonts w:hint="eastAsia" w:hAnsi="宋体" w:cs="宋体"/>
          <w:snapToGrid/>
          <w:color w:val="000000" w:themeColor="text1"/>
          <w:kern w:val="2"/>
          <w:sz w:val="24"/>
          <w14:textFill>
            <w14:solidFill>
              <w14:schemeClr w14:val="tx1"/>
            </w14:solidFill>
          </w14:textFill>
        </w:rPr>
        <w:t>4.3.2.1对采购文件提出质疑的，质疑期限为供应商获得采购文件之日或者采购文件公告期限届满之日起计算。</w:t>
      </w:r>
    </w:p>
    <w:p w14:paraId="45AD4263">
      <w:pPr>
        <w:pStyle w:val="33"/>
        <w:spacing w:line="360" w:lineRule="auto"/>
        <w:ind w:left="479" w:leftChars="228" w:firstLine="480" w:firstLineChars="20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22D8AE74">
      <w:pPr>
        <w:pStyle w:val="33"/>
        <w:spacing w:line="360" w:lineRule="auto"/>
        <w:ind w:left="120" w:firstLine="480" w:firstLineChars="200"/>
        <w:rPr>
          <w:rFonts w:hint="eastAsia"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w:t>
      </w:r>
      <w:r>
        <w:rPr>
          <w:rFonts w:hint="eastAsia" w:hAnsi="宋体" w:cs="宋体"/>
          <w:color w:val="000000" w:themeColor="text1"/>
          <w:sz w:val="24"/>
          <w14:textFill>
            <w14:solidFill>
              <w14:schemeClr w14:val="tx1"/>
            </w14:solidFill>
          </w14:textFill>
        </w:rPr>
        <w:t>供应商提出质疑应当提交质疑函和必要的证明材料。质疑函应当包括下列内容：</w:t>
      </w:r>
    </w:p>
    <w:p w14:paraId="6DA94D7D">
      <w:pPr>
        <w:pStyle w:val="33"/>
        <w:spacing w:line="360" w:lineRule="auto"/>
        <w:ind w:left="120" w:firstLine="480" w:firstLineChars="200"/>
        <w:rPr>
          <w:rFonts w:hint="eastAsia"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4.3.3.1供应商的姓名或者名称、地址、邮编、联系人及联系电话；</w:t>
      </w:r>
    </w:p>
    <w:p w14:paraId="130E9AD7">
      <w:pPr>
        <w:pStyle w:val="33"/>
        <w:spacing w:line="360" w:lineRule="auto"/>
        <w:ind w:left="120" w:firstLine="480" w:firstLineChars="200"/>
        <w:rPr>
          <w:rFonts w:hint="eastAsia"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4.3.3.2质疑项目的名称、编号；</w:t>
      </w:r>
    </w:p>
    <w:p w14:paraId="3256E945">
      <w:pPr>
        <w:pStyle w:val="33"/>
        <w:spacing w:line="360" w:lineRule="auto"/>
        <w:ind w:left="120" w:firstLine="480" w:firstLineChars="200"/>
        <w:rPr>
          <w:rFonts w:hint="eastAsia"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4.3.3.3具体、明确的质疑事项和与质疑事项相关的请求；</w:t>
      </w:r>
    </w:p>
    <w:p w14:paraId="4B3FDAA0">
      <w:pPr>
        <w:pStyle w:val="33"/>
        <w:spacing w:line="360" w:lineRule="auto"/>
        <w:ind w:left="120" w:firstLine="480" w:firstLineChars="200"/>
        <w:rPr>
          <w:rFonts w:hint="eastAsia"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4.3.3.4事实依据；</w:t>
      </w:r>
    </w:p>
    <w:p w14:paraId="6BB30ECE">
      <w:pPr>
        <w:pStyle w:val="33"/>
        <w:spacing w:line="360" w:lineRule="auto"/>
        <w:ind w:left="120" w:firstLine="480" w:firstLineChars="200"/>
        <w:rPr>
          <w:rFonts w:hint="eastAsia"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4.3.3.5必要的法律依据；</w:t>
      </w:r>
    </w:p>
    <w:p w14:paraId="4F4BD724">
      <w:pPr>
        <w:pStyle w:val="33"/>
        <w:spacing w:line="360" w:lineRule="auto"/>
        <w:ind w:left="120" w:firstLine="960" w:firstLineChars="400"/>
        <w:rPr>
          <w:rFonts w:hint="eastAsia"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4.3.3.6提出质疑的日期。</w:t>
      </w:r>
    </w:p>
    <w:p w14:paraId="2B8965E8">
      <w:pPr>
        <w:pStyle w:val="889"/>
        <w:shd w:val="clear" w:color="auto" w:fill="FFFFFF"/>
        <w:snapToGrid w:val="0"/>
        <w:spacing w:after="240" w:afterAutospacing="0" w:line="360" w:lineRule="auto"/>
        <w:ind w:left="120" w:firstLine="480" w:firstLineChars="200"/>
        <w:contextualSpacing/>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5117495A">
      <w:pPr>
        <w:pStyle w:val="889"/>
        <w:shd w:val="clear" w:color="auto" w:fill="FFFFFF"/>
        <w:snapToGrid w:val="0"/>
        <w:spacing w:after="240" w:afterAutospacing="0" w:line="360" w:lineRule="auto"/>
        <w:ind w:left="120" w:firstLine="480" w:firstLineChars="200"/>
        <w:contextualSpacing/>
        <w:rPr>
          <w:rFonts w:hint="eastAsia"/>
        </w:rPr>
      </w:pPr>
      <w:r>
        <w:rPr>
          <w:rFonts w:hint="eastAsia"/>
        </w:rPr>
        <w:t>质疑函范本及制作说明详见附件2。</w:t>
      </w:r>
    </w:p>
    <w:p w14:paraId="0565D3E5">
      <w:pPr>
        <w:pStyle w:val="889"/>
        <w:shd w:val="clear" w:color="auto" w:fill="FFFFFF"/>
        <w:snapToGrid w:val="0"/>
        <w:spacing w:after="240" w:afterAutospacing="0" w:line="360" w:lineRule="auto"/>
        <w:ind w:left="120" w:firstLine="480" w:firstLineChars="200"/>
        <w:contextualSpacing/>
        <w:rPr>
          <w:rFonts w:hint="eastAsia"/>
        </w:rPr>
      </w:pPr>
      <w:r>
        <w:rPr>
          <w:rFonts w:hint="eastAsia"/>
        </w:rPr>
        <w:t>4.3.4对同一采购程序环节的质疑，供应商须在法定质疑期内一次性提出。</w:t>
      </w:r>
    </w:p>
    <w:p w14:paraId="2E7EB5A2">
      <w:pPr>
        <w:pStyle w:val="889"/>
        <w:shd w:val="clear" w:color="auto" w:fill="FFFFFF"/>
        <w:snapToGrid w:val="0"/>
        <w:spacing w:after="240" w:afterAutospacing="0" w:line="360" w:lineRule="auto"/>
        <w:ind w:left="120" w:firstLine="480" w:firstLineChars="200"/>
        <w:contextualSpacing/>
        <w:rPr>
          <w:rFonts w:hint="eastAsia"/>
        </w:rPr>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E0ADF98">
      <w:pPr>
        <w:pStyle w:val="889"/>
        <w:shd w:val="clear" w:color="auto" w:fill="FFFFFF"/>
        <w:snapToGrid w:val="0"/>
        <w:spacing w:after="240" w:afterAutospacing="0" w:line="360" w:lineRule="auto"/>
        <w:ind w:left="120" w:firstLine="480" w:firstLineChars="200"/>
        <w:contextualSpacing/>
        <w:rPr>
          <w:rFonts w:hint="eastAsia"/>
        </w:rPr>
      </w:pPr>
      <w:r>
        <w:rPr>
          <w:rFonts w:hint="eastAsia"/>
          <w:lang w:val="zh-CN"/>
        </w:rPr>
        <w:t>4.3</w:t>
      </w:r>
      <w:r>
        <w:rPr>
          <w:rFonts w:hint="eastAsia"/>
        </w:rPr>
        <w:t>.6询问或者质疑事项可能影响采购结果的，采购人应当暂停签订合同，已经签订合同的，应当中止履行合同。</w:t>
      </w:r>
    </w:p>
    <w:p w14:paraId="12309899">
      <w:pPr>
        <w:pStyle w:val="889"/>
        <w:shd w:val="clear" w:color="auto" w:fill="FFFFFF"/>
        <w:snapToGrid w:val="0"/>
        <w:spacing w:after="240" w:afterAutospacing="0" w:line="360" w:lineRule="auto"/>
        <w:ind w:left="120" w:firstLine="480" w:firstLineChars="200"/>
        <w:contextualSpacing/>
        <w:rPr>
          <w:rFonts w:hint="eastAsia"/>
          <w:lang w:val="zh-CN"/>
        </w:rPr>
      </w:pPr>
      <w:r>
        <w:rPr>
          <w:rFonts w:hint="eastAsia"/>
          <w:lang w:val="zh-CN"/>
        </w:rPr>
        <w:t>4.4供应商投诉</w:t>
      </w:r>
    </w:p>
    <w:p w14:paraId="6D5AD8E8">
      <w:pPr>
        <w:pStyle w:val="889"/>
        <w:shd w:val="clear" w:color="auto" w:fill="FFFFFF"/>
        <w:snapToGrid w:val="0"/>
        <w:spacing w:after="240" w:afterAutospacing="0" w:line="360" w:lineRule="auto"/>
        <w:ind w:left="120" w:firstLine="480" w:firstLineChars="200"/>
        <w:contextualSpacing/>
        <w:rPr>
          <w:rFonts w:hint="eastAsia"/>
        </w:rPr>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51402661">
      <w:pPr>
        <w:pStyle w:val="889"/>
        <w:shd w:val="clear" w:color="auto" w:fill="FFFFFF"/>
        <w:snapToGrid w:val="0"/>
        <w:spacing w:after="240" w:afterAutospacing="0" w:line="360" w:lineRule="auto"/>
        <w:ind w:left="120" w:firstLine="480" w:firstLineChars="200"/>
        <w:contextualSpacing/>
        <w:rPr>
          <w:rFonts w:hint="eastAsia"/>
        </w:rPr>
      </w:pPr>
      <w:r>
        <w:rPr>
          <w:rFonts w:hint="eastAsia"/>
        </w:rPr>
        <w:t>4.4.</w:t>
      </w:r>
      <w:r>
        <w:rPr>
          <w:rFonts w:hint="eastAsia"/>
          <w:lang w:val="zh-CN"/>
        </w:rPr>
        <w:t>2</w:t>
      </w:r>
      <w:r>
        <w:rPr>
          <w:rFonts w:hint="eastAsia"/>
        </w:rPr>
        <w:t>供应商投诉的事项不得超出已质疑事项的范围，基于质疑答复内容提出的投诉事项除外。</w:t>
      </w:r>
    </w:p>
    <w:p w14:paraId="250D38DF">
      <w:pPr>
        <w:pStyle w:val="889"/>
        <w:shd w:val="clear" w:color="auto" w:fill="FFFFFF"/>
        <w:snapToGrid w:val="0"/>
        <w:spacing w:after="240" w:afterAutospacing="0" w:line="360" w:lineRule="auto"/>
        <w:ind w:left="120" w:firstLine="480" w:firstLineChars="200"/>
        <w:contextualSpacing/>
        <w:rPr>
          <w:rFonts w:hint="eastAsia"/>
        </w:rPr>
      </w:pPr>
      <w:r>
        <w:rPr>
          <w:rFonts w:hint="eastAsia"/>
        </w:rPr>
        <w:t>4.4.3供应商投诉应当有明确的请求和必要的证明材料。</w:t>
      </w:r>
    </w:p>
    <w:p w14:paraId="074B907E">
      <w:pPr>
        <w:pStyle w:val="889"/>
        <w:shd w:val="clear" w:color="auto" w:fill="FFFFFF"/>
        <w:snapToGrid w:val="0"/>
        <w:spacing w:after="240" w:afterAutospacing="0" w:line="360" w:lineRule="auto"/>
        <w:ind w:left="119" w:firstLine="480" w:firstLineChars="200"/>
        <w:contextualSpacing/>
        <w:rPr>
          <w:rFonts w:hint="eastAsia"/>
        </w:rPr>
      </w:pPr>
      <w:r>
        <w:rPr>
          <w:rFonts w:hint="eastAsia"/>
        </w:rPr>
        <w:t>4.4.4以联合体形式参加政府采购活动的，其投诉应当由组成联合体的所有供应商共同提出。</w:t>
      </w:r>
    </w:p>
    <w:p w14:paraId="78F2DE34">
      <w:pPr>
        <w:pStyle w:val="889"/>
        <w:shd w:val="clear" w:color="auto" w:fill="FFFFFF"/>
        <w:snapToGrid w:val="0"/>
        <w:spacing w:after="240" w:afterAutospacing="0" w:line="360" w:lineRule="auto"/>
        <w:ind w:left="119" w:firstLine="480" w:firstLineChars="200"/>
        <w:contextualSpacing/>
        <w:rPr>
          <w:rFonts w:hint="eastAsia"/>
        </w:rPr>
      </w:pPr>
      <w:r>
        <w:rPr>
          <w:rFonts w:hint="eastAsia"/>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18436615">
      <w:pPr>
        <w:pStyle w:val="889"/>
        <w:shd w:val="clear" w:color="auto" w:fill="FFFFFF"/>
        <w:spacing w:after="240" w:afterAutospacing="0" w:line="360" w:lineRule="auto"/>
        <w:ind w:left="120" w:firstLine="480" w:firstLineChars="200"/>
        <w:contextualSpacing/>
        <w:rPr>
          <w:rFonts w:hint="eastAsia"/>
          <w:lang w:val="zh-CN"/>
        </w:rPr>
      </w:pPr>
      <w:r>
        <w:rPr>
          <w:rFonts w:hint="eastAsia"/>
          <w:lang w:val="zh-CN"/>
        </w:rPr>
        <w:t>4.5 补偿救济</w:t>
      </w:r>
    </w:p>
    <w:p w14:paraId="6CAFEA66">
      <w:pPr>
        <w:snapToGrid w:val="0"/>
        <w:spacing w:line="360" w:lineRule="auto"/>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采购人因政策变化、规划调整而不履行政府采购合同的，供应商可依据《杭州市涉企补偿救济实施办法（试行）》向采购人提起补偿申请。</w:t>
      </w:r>
    </w:p>
    <w:p w14:paraId="33C042CB">
      <w:pPr>
        <w:snapToGrid w:val="0"/>
        <w:spacing w:line="360" w:lineRule="auto"/>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投诉书范本及制作说明详见附件3。</w:t>
      </w:r>
    </w:p>
    <w:p w14:paraId="71CF2369">
      <w:pPr>
        <w:adjustRightInd/>
        <w:spacing w:line="360" w:lineRule="auto"/>
        <w:ind w:left="120" w:firstLine="643" w:firstLineChars="200"/>
        <w:jc w:val="center"/>
        <w:outlineLvl w:val="1"/>
        <w:rPr>
          <w:rFonts w:hint="eastAsia"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二、采购文件的构成、澄清、修改</w:t>
      </w:r>
    </w:p>
    <w:p w14:paraId="328E5FCB">
      <w:pPr>
        <w:adjustRightInd/>
        <w:spacing w:line="360" w:lineRule="auto"/>
        <w:ind w:left="120" w:firstLine="482" w:firstLineChars="200"/>
        <w:outlineLvl w:val="2"/>
        <w:rPr>
          <w:rFonts w:hint="eastAsia"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5．采购文件的构成</w:t>
      </w:r>
    </w:p>
    <w:p w14:paraId="1AFDB0E9">
      <w:pPr>
        <w:pStyle w:val="33"/>
        <w:spacing w:line="360" w:lineRule="auto"/>
        <w:ind w:left="120"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 采购文件包括下列文件及附件：</w:t>
      </w:r>
    </w:p>
    <w:p w14:paraId="11789D09">
      <w:pPr>
        <w:pStyle w:val="33"/>
        <w:tabs>
          <w:tab w:val="left" w:pos="840"/>
        </w:tabs>
        <w:spacing w:line="360" w:lineRule="auto"/>
        <w:ind w:left="120"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5.1.1招标公告；</w:t>
      </w:r>
    </w:p>
    <w:p w14:paraId="5B2D1332">
      <w:pPr>
        <w:pStyle w:val="33"/>
        <w:tabs>
          <w:tab w:val="left" w:pos="840"/>
        </w:tabs>
        <w:spacing w:line="360" w:lineRule="auto"/>
        <w:ind w:left="120"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5.1.2投标人须知；</w:t>
      </w:r>
    </w:p>
    <w:p w14:paraId="6B465674">
      <w:pPr>
        <w:pStyle w:val="33"/>
        <w:tabs>
          <w:tab w:val="left" w:pos="840"/>
        </w:tabs>
        <w:spacing w:line="360" w:lineRule="auto"/>
        <w:ind w:left="120"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5.1.3采购需求；</w:t>
      </w:r>
    </w:p>
    <w:p w14:paraId="046F928F">
      <w:pPr>
        <w:pStyle w:val="33"/>
        <w:tabs>
          <w:tab w:val="left" w:pos="840"/>
        </w:tabs>
        <w:spacing w:line="360" w:lineRule="auto"/>
        <w:ind w:left="120"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5.1.4评标办法；</w:t>
      </w:r>
    </w:p>
    <w:p w14:paraId="47563983">
      <w:pPr>
        <w:pStyle w:val="33"/>
        <w:tabs>
          <w:tab w:val="left" w:pos="840"/>
        </w:tabs>
        <w:spacing w:line="360" w:lineRule="auto"/>
        <w:ind w:left="120"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5.1.5拟签订的合同文本；</w:t>
      </w:r>
    </w:p>
    <w:p w14:paraId="51E92DF5">
      <w:pPr>
        <w:pStyle w:val="33"/>
        <w:tabs>
          <w:tab w:val="left" w:pos="840"/>
        </w:tabs>
        <w:spacing w:line="360" w:lineRule="auto"/>
        <w:ind w:left="120"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14:textFill>
            <w14:solidFill>
              <w14:schemeClr w14:val="tx1"/>
            </w14:solidFill>
          </w14:textFill>
        </w:rPr>
        <w:t>5.1.6</w:t>
      </w:r>
      <w:r>
        <w:rPr>
          <w:rFonts w:hint="eastAsia" w:hAnsi="宋体" w:cs="宋体"/>
          <w:color w:val="000000" w:themeColor="text1"/>
          <w:sz w:val="24"/>
          <w:szCs w:val="24"/>
          <w14:textFill>
            <w14:solidFill>
              <w14:schemeClr w14:val="tx1"/>
            </w14:solidFill>
          </w14:textFill>
        </w:rPr>
        <w:t>应提交的有关格式范例。</w:t>
      </w:r>
    </w:p>
    <w:p w14:paraId="7994E1E6">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5.2与本项目有关的</w:t>
      </w:r>
      <w:r>
        <w:rPr>
          <w:rFonts w:hint="eastAsia" w:ascii="宋体" w:hAnsi="宋体" w:cs="宋体"/>
          <w:bCs/>
          <w:color w:val="000000" w:themeColor="text1"/>
          <w:sz w:val="24"/>
          <w14:textFill>
            <w14:solidFill>
              <w14:schemeClr w14:val="tx1"/>
            </w14:solidFill>
          </w14:textFill>
        </w:rPr>
        <w:t>澄清或者修改的内容为采购文件的组成部分</w:t>
      </w:r>
      <w:r>
        <w:rPr>
          <w:rFonts w:hint="eastAsia" w:ascii="宋体" w:hAnsi="宋体" w:cs="宋体"/>
          <w:color w:val="000000" w:themeColor="text1"/>
          <w:sz w:val="24"/>
          <w14:textFill>
            <w14:solidFill>
              <w14:schemeClr w14:val="tx1"/>
            </w14:solidFill>
          </w14:textFill>
        </w:rPr>
        <w:t>。</w:t>
      </w:r>
    </w:p>
    <w:p w14:paraId="5FAB22D9">
      <w:pPr>
        <w:adjustRightInd/>
        <w:spacing w:line="360" w:lineRule="auto"/>
        <w:ind w:left="120" w:firstLine="482" w:firstLineChars="200"/>
        <w:outlineLvl w:val="2"/>
        <w:rPr>
          <w:rFonts w:hint="eastAsia"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6. 采购文件的澄清、修改</w:t>
      </w:r>
    </w:p>
    <w:p w14:paraId="4364C70F">
      <w:pPr>
        <w:pStyle w:val="132"/>
        <w:snapToGrid w:val="0"/>
        <w:spacing w:before="0"/>
        <w:ind w:left="120"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6.1已获取采购文件的潜在投标人，若有问题需要澄清，应于投标截止时间前，以书面形式向采购代理机构提出。</w:t>
      </w:r>
    </w:p>
    <w:p w14:paraId="0C355754">
      <w:pPr>
        <w:pStyle w:val="132"/>
        <w:snapToGrid w:val="0"/>
        <w:spacing w:before="0"/>
        <w:ind w:left="120"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6.2 采购代理机构对采购文件进行澄清或修改的，将同时通过电子交易平台通知已获取采购文件的潜在投标人。依法应当公告的，将按规定公告，同时视情况延长投标截止时间和开标时间。该澄清或者修改的内容为采购文件的组成部分。</w:t>
      </w:r>
    </w:p>
    <w:p w14:paraId="7563F2ED">
      <w:pPr>
        <w:pStyle w:val="33"/>
        <w:spacing w:line="360" w:lineRule="auto"/>
        <w:ind w:left="120" w:firstLine="482" w:firstLineChars="200"/>
        <w:outlineLvl w:val="2"/>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7.开标前答疑会或现场考察</w:t>
      </w:r>
    </w:p>
    <w:p w14:paraId="166B5DE5">
      <w:pPr>
        <w:pStyle w:val="33"/>
        <w:spacing w:line="360" w:lineRule="auto"/>
        <w:ind w:left="120"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2FFDCDF8">
      <w:pPr>
        <w:adjustRightInd/>
        <w:spacing w:line="360" w:lineRule="auto"/>
        <w:ind w:left="120" w:firstLine="602" w:firstLineChars="200"/>
        <w:jc w:val="center"/>
        <w:outlineLvl w:val="1"/>
        <w:rPr>
          <w:rFonts w:hint="eastAsia" w:ascii="宋体" w:hAnsi="宋体" w:cs="宋体"/>
          <w:b/>
          <w:color w:val="000000" w:themeColor="text1"/>
          <w:sz w:val="30"/>
          <w:szCs w:val="20"/>
          <w14:textFill>
            <w14:solidFill>
              <w14:schemeClr w14:val="tx1"/>
            </w14:solidFill>
          </w14:textFill>
        </w:rPr>
      </w:pPr>
      <w:r>
        <w:rPr>
          <w:rFonts w:hint="eastAsia" w:ascii="宋体" w:hAnsi="宋体" w:cs="宋体"/>
          <w:b/>
          <w:color w:val="000000" w:themeColor="text1"/>
          <w:sz w:val="30"/>
          <w:szCs w:val="20"/>
          <w14:textFill>
            <w14:solidFill>
              <w14:schemeClr w14:val="tx1"/>
            </w14:solidFill>
          </w14:textFill>
        </w:rPr>
        <w:t>三、投标</w:t>
      </w:r>
    </w:p>
    <w:p w14:paraId="36D36A47">
      <w:pPr>
        <w:pStyle w:val="33"/>
        <w:spacing w:line="360" w:lineRule="auto"/>
        <w:ind w:left="120" w:firstLine="482" w:firstLineChars="200"/>
        <w:outlineLvl w:val="2"/>
        <w:rPr>
          <w:rFonts w:hint="eastAsia" w:hAnsi="宋体" w:cs="宋体"/>
          <w:b/>
          <w:color w:val="000000" w:themeColor="text1"/>
          <w:sz w:val="24"/>
          <w:szCs w:val="24"/>
          <w:lang w:val="zh-CN"/>
          <w14:textFill>
            <w14:solidFill>
              <w14:schemeClr w14:val="tx1"/>
            </w14:solidFill>
          </w14:textFill>
        </w:rPr>
      </w:pPr>
      <w:r>
        <w:rPr>
          <w:rFonts w:hint="eastAsia" w:hAnsi="宋体" w:cs="宋体"/>
          <w:b/>
          <w:color w:val="000000" w:themeColor="text1"/>
          <w:sz w:val="24"/>
          <w:szCs w:val="24"/>
          <w14:textFill>
            <w14:solidFill>
              <w14:schemeClr w14:val="tx1"/>
            </w14:solidFill>
          </w14:textFill>
        </w:rPr>
        <w:t>8</w:t>
      </w:r>
      <w:r>
        <w:rPr>
          <w:rFonts w:hint="eastAsia" w:hAnsi="宋体" w:cs="宋体"/>
          <w:b/>
          <w:color w:val="000000" w:themeColor="text1"/>
          <w:sz w:val="24"/>
          <w:szCs w:val="24"/>
          <w:lang w:val="zh-CN"/>
          <w14:textFill>
            <w14:solidFill>
              <w14:schemeClr w14:val="tx1"/>
            </w14:solidFill>
          </w14:textFill>
        </w:rPr>
        <w:t>. 采购文件的获取</w:t>
      </w:r>
    </w:p>
    <w:p w14:paraId="67A0EEB2">
      <w:pPr>
        <w:spacing w:line="360" w:lineRule="auto"/>
        <w:ind w:left="120" w:firstLine="480" w:firstLineChars="200"/>
        <w:rPr>
          <w:rFonts w:hint="eastAsia"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详见招标公告中获取采购文件的时间期限、地点、方式及采购文件售价。</w:t>
      </w:r>
    </w:p>
    <w:p w14:paraId="23F218C1">
      <w:pPr>
        <w:pStyle w:val="33"/>
        <w:spacing w:line="360" w:lineRule="auto"/>
        <w:ind w:left="120" w:firstLine="482" w:firstLineChars="200"/>
        <w:outlineLvl w:val="2"/>
        <w:rPr>
          <w:rFonts w:hint="eastAsia" w:hAnsi="宋体" w:cs="宋体"/>
          <w:b/>
          <w:color w:val="000000" w:themeColor="text1"/>
          <w:szCs w:val="24"/>
          <w14:textFill>
            <w14:solidFill>
              <w14:schemeClr w14:val="tx1"/>
            </w14:solidFill>
          </w14:textFill>
        </w:rPr>
      </w:pPr>
      <w:r>
        <w:rPr>
          <w:rFonts w:hint="eastAsia" w:hAnsi="宋体" w:cs="宋体"/>
          <w:b/>
          <w:color w:val="000000" w:themeColor="text1"/>
          <w:kern w:val="28"/>
          <w:sz w:val="24"/>
          <w:szCs w:val="24"/>
          <w14:textFill>
            <w14:solidFill>
              <w14:schemeClr w14:val="tx1"/>
            </w14:solidFill>
          </w14:textFill>
        </w:rPr>
        <w:t>9.投标保证金</w:t>
      </w:r>
    </w:p>
    <w:p w14:paraId="19AC61C8">
      <w:pPr>
        <w:pStyle w:val="5"/>
        <w:spacing w:line="360" w:lineRule="auto"/>
        <w:ind w:left="120" w:firstLine="480" w:firstLineChars="20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本项目不需缴纳投标保证金。</w:t>
      </w:r>
    </w:p>
    <w:p w14:paraId="052FFBF1">
      <w:pPr>
        <w:pStyle w:val="33"/>
        <w:spacing w:line="360" w:lineRule="auto"/>
        <w:ind w:left="120" w:firstLine="482" w:firstLineChars="200"/>
        <w:outlineLvl w:val="2"/>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10. 投标文件的语言</w:t>
      </w:r>
    </w:p>
    <w:p w14:paraId="1CE10E91">
      <w:pPr>
        <w:autoSpaceDE w:val="0"/>
        <w:autoSpaceDN w:val="0"/>
        <w:spacing w:line="360" w:lineRule="auto"/>
        <w:ind w:left="120" w:firstLine="480" w:firstLineChars="20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投标文件及投标人与采购有关的来往通知、函件和文件均应使用中文。</w:t>
      </w:r>
    </w:p>
    <w:p w14:paraId="00F88521">
      <w:pPr>
        <w:pStyle w:val="33"/>
        <w:spacing w:line="360" w:lineRule="auto"/>
        <w:ind w:left="120" w:firstLine="482" w:firstLineChars="200"/>
        <w:outlineLvl w:val="2"/>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11. 投标文件的组成</w:t>
      </w:r>
    </w:p>
    <w:p w14:paraId="5917FC28">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hint="eastAsia" w:ascii="宋体" w:hAnsi="宋体" w:cs="宋体"/>
          <w:b/>
          <w:color w:val="000000" w:themeColor="text1"/>
          <w:sz w:val="24"/>
          <w14:textFill>
            <w14:solidFill>
              <w14:schemeClr w14:val="tx1"/>
            </w14:solidFill>
          </w14:textFill>
        </w:rPr>
        <w:t>资格文件</w:t>
      </w:r>
      <w:r>
        <w:rPr>
          <w:rFonts w:hint="eastAsia" w:ascii="宋体" w:hAnsi="宋体" w:cs="宋体"/>
          <w:color w:val="000000" w:themeColor="text1"/>
          <w:sz w:val="24"/>
          <w14:textFill>
            <w14:solidFill>
              <w14:schemeClr w14:val="tx1"/>
            </w14:solidFill>
          </w14:textFill>
        </w:rPr>
        <w:t>：</w:t>
      </w:r>
    </w:p>
    <w:p w14:paraId="08317B14">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11.1.1符合参加政府采购活动应当具备的一般条件的承诺函；</w:t>
      </w:r>
    </w:p>
    <w:p w14:paraId="6D4B6676">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1.1.2</w:t>
      </w:r>
      <w:r>
        <w:rPr>
          <w:rFonts w:hint="eastAsia" w:ascii="宋体" w:hAnsi="宋体" w:cs="宋体"/>
          <w:snapToGrid w:val="0"/>
          <w:color w:val="000000" w:themeColor="text1"/>
          <w:kern w:val="28"/>
          <w:sz w:val="24"/>
          <w:szCs w:val="20"/>
          <w14:textFill>
            <w14:solidFill>
              <w14:schemeClr w14:val="tx1"/>
            </w14:solidFill>
          </w14:textFill>
        </w:rPr>
        <w:t>联合协议（如果有)；</w:t>
      </w:r>
    </w:p>
    <w:p w14:paraId="00A69F8D">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1343A03E">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246730F6">
      <w:pPr>
        <w:snapToGrid w:val="0"/>
        <w:spacing w:line="360" w:lineRule="auto"/>
        <w:ind w:left="120" w:firstLine="480" w:firstLineChars="20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商务技术</w:t>
      </w:r>
      <w:r>
        <w:rPr>
          <w:rFonts w:hint="eastAsia" w:ascii="宋体" w:hAnsi="宋体" w:cs="宋体"/>
          <w:b/>
          <w:bCs/>
          <w:color w:val="000000" w:themeColor="text1"/>
          <w:sz w:val="24"/>
          <w:lang w:val="zh-CN"/>
          <w14:textFill>
            <w14:solidFill>
              <w14:schemeClr w14:val="tx1"/>
            </w14:solidFill>
          </w14:textFill>
        </w:rPr>
        <w:t>文件</w:t>
      </w:r>
      <w:r>
        <w:rPr>
          <w:rFonts w:hint="eastAsia" w:ascii="宋体" w:hAnsi="宋体" w:cs="宋体"/>
          <w:color w:val="000000" w:themeColor="text1"/>
          <w:sz w:val="24"/>
          <w:lang w:val="zh-CN"/>
          <w14:textFill>
            <w14:solidFill>
              <w14:schemeClr w14:val="tx1"/>
            </w14:solidFill>
          </w14:textFill>
        </w:rPr>
        <w:t>：</w:t>
      </w:r>
    </w:p>
    <w:p w14:paraId="25CE0275">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11.2.1投标函；</w:t>
      </w:r>
      <w:r>
        <w:rPr>
          <w:rFonts w:hint="eastAsia" w:ascii="宋体" w:hAnsi="宋体" w:cs="宋体"/>
          <w:color w:val="000000" w:themeColor="text1"/>
          <w:sz w:val="24"/>
          <w:lang w:val="zh-CN"/>
          <w14:textFill>
            <w14:solidFill>
              <w14:schemeClr w14:val="tx1"/>
            </w14:solidFill>
          </w14:textFill>
        </w:rPr>
        <w:t xml:space="preserve"> </w:t>
      </w:r>
    </w:p>
    <w:p w14:paraId="6B40FD5C">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11.2.2授权委托书或法定代表人（单位负责人、自然人本人）身份证明；</w:t>
      </w:r>
    </w:p>
    <w:p w14:paraId="3744931E">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分包意向协议（如果有)；</w:t>
      </w:r>
    </w:p>
    <w:p w14:paraId="5CCCBC4A">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p>
    <w:p w14:paraId="35604D48">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评标标准相应的商务技术资料；</w:t>
      </w:r>
    </w:p>
    <w:p w14:paraId="4A819A4C">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投标标的清单；</w:t>
      </w:r>
    </w:p>
    <w:p w14:paraId="690938F6">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商务技术偏离表；</w:t>
      </w:r>
    </w:p>
    <w:p w14:paraId="21DB3007">
      <w:pPr>
        <w:snapToGrid w:val="0"/>
        <w:spacing w:line="360" w:lineRule="auto"/>
        <w:ind w:left="120" w:firstLine="480" w:firstLineChars="20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政府采购供应商廉洁自律承诺书。</w:t>
      </w:r>
    </w:p>
    <w:p w14:paraId="70CE3D47">
      <w:pPr>
        <w:snapToGrid w:val="0"/>
        <w:spacing w:line="360" w:lineRule="auto"/>
        <w:ind w:left="120" w:firstLine="480" w:firstLineChars="200"/>
        <w:rPr>
          <w:rFonts w:hint="eastAsia" w:ascii="宋体" w:hAnsi="宋体" w:cs="宋体"/>
          <w:color w:val="000000" w:themeColor="text1"/>
          <w:sz w:val="24"/>
          <w:u w:val="single"/>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11.</w:t>
      </w:r>
      <w:r>
        <w:rPr>
          <w:rFonts w:hint="eastAsia" w:ascii="宋体" w:hAnsi="宋体" w:cs="宋体"/>
          <w:color w:val="000000" w:themeColor="text1"/>
          <w:kern w:val="0"/>
          <w:sz w:val="24"/>
          <w14:textFill>
            <w14:solidFill>
              <w14:schemeClr w14:val="tx1"/>
            </w14:solidFill>
          </w14:textFill>
        </w:rPr>
        <w:t>3</w:t>
      </w:r>
      <w:r>
        <w:rPr>
          <w:rFonts w:hint="eastAsia" w:ascii="宋体" w:hAnsi="宋体" w:cs="宋体"/>
          <w:b/>
          <w:color w:val="000000" w:themeColor="text1"/>
          <w:sz w:val="24"/>
          <w14:textFill>
            <w14:solidFill>
              <w14:schemeClr w14:val="tx1"/>
            </w14:solidFill>
          </w14:textFill>
        </w:rPr>
        <w:t>报价文件：</w:t>
      </w:r>
      <w:r>
        <w:rPr>
          <w:rFonts w:hint="eastAsia" w:ascii="宋体" w:hAnsi="宋体" w:cs="宋体"/>
          <w:color w:val="000000" w:themeColor="text1"/>
          <w:sz w:val="24"/>
          <w14:textFill>
            <w14:solidFill>
              <w14:schemeClr w14:val="tx1"/>
            </w14:solidFill>
          </w14:textFill>
        </w:rPr>
        <w:t xml:space="preserve"> </w:t>
      </w:r>
    </w:p>
    <w:p w14:paraId="3311CA99">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11.3.1开标一览表（报价表）。</w:t>
      </w:r>
    </w:p>
    <w:p w14:paraId="4C962885">
      <w:pPr>
        <w:spacing w:line="360" w:lineRule="auto"/>
        <w:ind w:left="120" w:firstLine="482"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投标文件含有采购人不能接受的附加条件的，投标无效；</w:t>
      </w:r>
    </w:p>
    <w:p w14:paraId="379D6775">
      <w:pPr>
        <w:spacing w:line="360" w:lineRule="auto"/>
        <w:ind w:left="120" w:firstLine="482"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投标人提供虚假材料投标的，投标无效。</w:t>
      </w:r>
    </w:p>
    <w:p w14:paraId="2C96D7FC">
      <w:pPr>
        <w:pStyle w:val="132"/>
        <w:snapToGrid w:val="0"/>
        <w:spacing w:before="0"/>
        <w:ind w:left="120" w:firstLine="482"/>
        <w:rPr>
          <w:rFonts w:hint="eastAsia" w:ascii="宋体" w:hAnsi="宋体" w:cs="仿宋_GB2312"/>
          <w:b/>
          <w:bCs/>
          <w:color w:val="000000" w:themeColor="text1"/>
          <w:kern w:val="0"/>
          <w:szCs w:val="24"/>
          <w14:textFill>
            <w14:solidFill>
              <w14:schemeClr w14:val="tx1"/>
            </w14:solidFill>
          </w14:textFill>
        </w:rPr>
      </w:pPr>
      <w:r>
        <w:rPr>
          <w:rFonts w:hint="eastAsia" w:ascii="宋体" w:hAnsi="宋体" w:cs="仿宋_GB2312"/>
          <w:b/>
          <w:bCs/>
          <w:color w:val="000000" w:themeColor="text1"/>
          <w:kern w:val="0"/>
          <w:szCs w:val="24"/>
          <w14:textFill>
            <w14:solidFill>
              <w14:schemeClr w14:val="tx1"/>
            </w14:solidFill>
          </w14:textFill>
        </w:rPr>
        <w:t>投标人可事先在公开官网查询、核对相关证书和报告内容，确保投标（响应）文件资料准确无误。投标人应对投标文件中材料的真实性、合法性负责。</w:t>
      </w:r>
    </w:p>
    <w:p w14:paraId="31E8A847">
      <w:pPr>
        <w:pStyle w:val="132"/>
        <w:snapToGrid w:val="0"/>
        <w:spacing w:before="0"/>
        <w:ind w:left="120" w:firstLine="482"/>
        <w:outlineLvl w:val="2"/>
        <w:rPr>
          <w:rFonts w:hint="eastAsia"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12</w:t>
      </w:r>
      <w:r>
        <w:rPr>
          <w:rFonts w:hint="eastAsia" w:ascii="宋体" w:hAnsi="宋体" w:cs="宋体"/>
          <w:b/>
          <w:color w:val="000000" w:themeColor="text1"/>
          <w:kern w:val="0"/>
          <w:szCs w:val="24"/>
          <w:lang w:val="zh-CN"/>
          <w14:textFill>
            <w14:solidFill>
              <w14:schemeClr w14:val="tx1"/>
            </w14:solidFill>
          </w14:textFill>
        </w:rPr>
        <w:t xml:space="preserve">. </w:t>
      </w:r>
      <w:r>
        <w:rPr>
          <w:rFonts w:hint="eastAsia" w:ascii="宋体" w:hAnsi="宋体" w:cs="宋体"/>
          <w:b/>
          <w:color w:val="000000" w:themeColor="text1"/>
          <w:szCs w:val="24"/>
          <w14:textFill>
            <w14:solidFill>
              <w14:schemeClr w14:val="tx1"/>
            </w14:solidFill>
          </w14:textFill>
        </w:rPr>
        <w:t>投标文件的编制</w:t>
      </w:r>
    </w:p>
    <w:p w14:paraId="458C7B71">
      <w:pPr>
        <w:spacing w:line="360" w:lineRule="auto"/>
        <w:ind w:left="120" w:firstLine="480"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12.1投标文件分为资格文件、商务技术文件、报价文件三部分。各投标人在编制投标文件时请按照采购文件第六部分规定的格式进行，混乱的编排导致投标文件被误读或评标委员会查找不到有效文件是投标人的风险。</w:t>
      </w:r>
    </w:p>
    <w:p w14:paraId="39687B1D">
      <w:pPr>
        <w:spacing w:line="360" w:lineRule="auto"/>
        <w:ind w:left="120"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12.2投标人进行电子投标应安装客户端软件—“政采云电子交易客户端”，并按照采购文件和电子交易平台的要求编制并加密投标文件。投标人未按规定加密的投标文件，电子交易平台将拒收并提示。</w:t>
      </w:r>
    </w:p>
    <w:p w14:paraId="7847D1F0">
      <w:pPr>
        <w:spacing w:line="360" w:lineRule="auto"/>
        <w:ind w:left="120"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764DCC2F">
      <w:pPr>
        <w:snapToGrid w:val="0"/>
        <w:spacing w:line="360" w:lineRule="auto"/>
        <w:ind w:left="120" w:firstLine="482" w:firstLineChars="200"/>
        <w:outlineLvl w:val="2"/>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13.投标文件的签署、盖章</w:t>
      </w:r>
    </w:p>
    <w:p w14:paraId="219F2BC6">
      <w:pPr>
        <w:pStyle w:val="132"/>
        <w:snapToGrid w:val="0"/>
        <w:spacing w:before="0"/>
        <w:ind w:left="120" w:firstLine="480"/>
        <w:rPr>
          <w:rFonts w:hint="eastAsia" w:ascii="宋体" w:hAnsi="宋体" w:cs="宋体"/>
          <w:b/>
          <w:color w:val="000000" w:themeColor="text1"/>
          <w14:textFill>
            <w14:solidFill>
              <w14:schemeClr w14:val="tx1"/>
            </w14:solidFill>
          </w14:textFill>
        </w:rPr>
      </w:pPr>
      <w:r>
        <w:rPr>
          <w:rFonts w:hint="eastAsia" w:ascii="宋体" w:hAnsi="宋体" w:cs="宋体"/>
          <w:color w:val="000000" w:themeColor="text1"/>
          <w:szCs w:val="24"/>
          <w14:textFill>
            <w14:solidFill>
              <w14:schemeClr w14:val="tx1"/>
            </w14:solidFill>
          </w14:textFill>
        </w:rPr>
        <w:t>13.1投标文件按照采购文件第六部分格式要</w:t>
      </w:r>
      <w:r>
        <w:rPr>
          <w:rFonts w:hint="eastAsia" w:ascii="宋体" w:hAnsi="宋体" w:cs="宋体"/>
          <w:color w:val="000000" w:themeColor="text1"/>
          <w14:textFill>
            <w14:solidFill>
              <w14:schemeClr w14:val="tx1"/>
            </w14:solidFill>
          </w14:textFill>
        </w:rPr>
        <w:t>求进行签署、盖章。</w:t>
      </w:r>
      <w:r>
        <w:rPr>
          <w:rFonts w:hint="eastAsia" w:ascii="宋体" w:hAnsi="宋体" w:cs="宋体"/>
          <w:b/>
          <w:color w:val="000000" w:themeColor="text1"/>
          <w14:textFill>
            <w14:solidFill>
              <w14:schemeClr w14:val="tx1"/>
            </w14:solidFill>
          </w14:textFill>
        </w:rPr>
        <w:t>▲投标人的投标文件未按照采购文件要求签署、盖章的，其投标无效</w:t>
      </w:r>
      <w:r>
        <w:rPr>
          <w:rFonts w:hint="eastAsia" w:ascii="宋体" w:hAnsi="宋体" w:cs="宋体"/>
          <w:color w:val="000000" w:themeColor="text1"/>
          <w:szCs w:val="24"/>
          <w14:textFill>
            <w14:solidFill>
              <w14:schemeClr w14:val="tx1"/>
            </w14:solidFill>
          </w14:textFill>
        </w:rPr>
        <w:t>。</w:t>
      </w:r>
    </w:p>
    <w:p w14:paraId="725F18C7">
      <w:pPr>
        <w:pStyle w:val="132"/>
        <w:snapToGrid w:val="0"/>
        <w:spacing w:before="0"/>
        <w:ind w:left="120"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45467FEE">
      <w:pPr>
        <w:pStyle w:val="132"/>
        <w:snapToGrid w:val="0"/>
        <w:spacing w:before="0"/>
        <w:ind w:left="120" w:firstLine="48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t>13.3采购文件对投标文件签署、盖章的要求适用于电子签名。</w:t>
      </w:r>
    </w:p>
    <w:p w14:paraId="3CA6AE32">
      <w:pPr>
        <w:pStyle w:val="33"/>
        <w:spacing w:line="360" w:lineRule="auto"/>
        <w:ind w:left="120" w:firstLine="482" w:firstLineChars="200"/>
        <w:outlineLvl w:val="2"/>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14. 投标文件的提交、补充、修改、撤回</w:t>
      </w:r>
    </w:p>
    <w:p w14:paraId="61757ABF">
      <w:pPr>
        <w:pStyle w:val="132"/>
        <w:ind w:left="120" w:firstLine="48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2F2CF45">
      <w:pPr>
        <w:pStyle w:val="132"/>
        <w:spacing w:before="0"/>
        <w:ind w:left="120" w:firstLine="48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68067AC2">
      <w:pPr>
        <w:pStyle w:val="132"/>
        <w:spacing w:before="0"/>
        <w:ind w:left="120" w:firstLine="48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5BA04582">
      <w:pPr>
        <w:pStyle w:val="33"/>
        <w:spacing w:line="360" w:lineRule="auto"/>
        <w:ind w:left="120" w:firstLine="482" w:firstLineChars="200"/>
        <w:outlineLvl w:val="2"/>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15.备份投标文件</w:t>
      </w:r>
    </w:p>
    <w:p w14:paraId="2E976EAF">
      <w:pPr>
        <w:pStyle w:val="33"/>
        <w:spacing w:line="360" w:lineRule="auto"/>
        <w:ind w:left="120" w:firstLine="480" w:firstLineChars="200"/>
        <w:rPr>
          <w:rFonts w:hint="eastAsia"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hAnsi="宋体" w:cs="宋体"/>
          <w:b/>
          <w:color w:val="000000" w:themeColor="text1"/>
          <w:sz w:val="24"/>
          <w:szCs w:val="24"/>
          <w14:textFill>
            <w14:solidFill>
              <w14:schemeClr w14:val="tx1"/>
            </w14:solidFill>
          </w14:textFill>
        </w:rPr>
        <w:t>但采购人、采购代理机构不强制或变相强制投标人提交备份投标文件。</w:t>
      </w:r>
    </w:p>
    <w:p w14:paraId="027DFCFB">
      <w:pPr>
        <w:pStyle w:val="33"/>
        <w:spacing w:line="360" w:lineRule="auto"/>
        <w:ind w:left="120" w:firstLine="480" w:firstLineChars="200"/>
        <w:rPr>
          <w:rFonts w:hint="eastAsia"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15.2备份投标文件须在“政采云投标客户端”制作生成，并储存在</w:t>
      </w:r>
      <w:r>
        <w:rPr>
          <w:rFonts w:hint="eastAsia" w:hAnsi="宋体" w:cs="宋体"/>
          <w:color w:val="000000" w:themeColor="text1"/>
          <w:sz w:val="24"/>
          <w14:textFill>
            <w14:solidFill>
              <w14:schemeClr w14:val="tx1"/>
            </w14:solidFill>
          </w14:textFill>
        </w:rPr>
        <w:t>DVD光盘等存储介质</w:t>
      </w:r>
      <w:r>
        <w:rPr>
          <w:rFonts w:hint="eastAsia" w:hAnsi="宋体" w:cs="宋体"/>
          <w:color w:val="000000" w:themeColor="text1"/>
          <w:sz w:val="24"/>
          <w:szCs w:val="24"/>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14:textFill>
            <w14:solidFill>
              <w14:schemeClr w14:val="tx1"/>
            </w14:solidFill>
          </w14:textFill>
        </w:rPr>
        <w:t>不符合上述制作、</w:t>
      </w:r>
      <w:r>
        <w:rPr>
          <w:rFonts w:hint="eastAsia" w:hAnsi="宋体" w:cs="宋体"/>
          <w:b/>
          <w:color w:val="000000" w:themeColor="text1"/>
          <w:sz w:val="24"/>
          <w:szCs w:val="24"/>
          <w14:textFill>
            <w14:solidFill>
              <w14:schemeClr w14:val="tx1"/>
            </w14:solidFill>
          </w14:textFill>
        </w:rPr>
        <w:t>存储、密封规定的备份投标文件将被视为无效或者被拒绝接收。</w:t>
      </w:r>
    </w:p>
    <w:p w14:paraId="365ECEA6">
      <w:pPr>
        <w:pStyle w:val="33"/>
        <w:spacing w:line="360" w:lineRule="auto"/>
        <w:ind w:left="120"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15.3直接提交备份投标文件的，投标人应于投标截止时间前在招标公告中载明的开标地点将备份投标文件提交给采购代理机构，采购代理机构将拒绝接受逾期送达的备份投标文件。</w:t>
      </w:r>
    </w:p>
    <w:p w14:paraId="6E2A8940">
      <w:pPr>
        <w:pStyle w:val="33"/>
        <w:spacing w:line="360" w:lineRule="auto"/>
        <w:ind w:left="120"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000000" w:themeColor="text1"/>
          <w:sz w:val="24"/>
          <w:szCs w:val="24"/>
          <w14:textFill>
            <w14:solidFill>
              <w14:schemeClr w14:val="tx1"/>
            </w14:solidFill>
          </w14:textFill>
        </w:rPr>
        <w:t>采购文件第二部分投标人须知前附表规定的备份投标文件送达地点；</w:t>
      </w:r>
      <w:r>
        <w:rPr>
          <w:rFonts w:hint="eastAsia" w:hAnsi="宋体" w:cs="宋体"/>
          <w:color w:val="000000" w:themeColor="text1"/>
          <w:sz w:val="24"/>
          <w:szCs w:val="24"/>
          <w14:textFill>
            <w14:solidFill>
              <w14:schemeClr w14:val="tx1"/>
            </w14:solidFill>
          </w14:textFill>
        </w:rPr>
        <w:t>送达时间以签收人签收时间为准。采购代理机构将拒绝接受逾期送达的备份投标文件。邮寄过程中，电子备份投标文件发生泄露、遗失、损坏或延期送达等情况的，由投标人自行负责。</w:t>
      </w:r>
    </w:p>
    <w:p w14:paraId="70E05003">
      <w:pPr>
        <w:pStyle w:val="33"/>
        <w:spacing w:line="360" w:lineRule="auto"/>
        <w:ind w:left="120" w:firstLine="482" w:firstLineChars="200"/>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15.5投标人仅提交备份投标文件，未在电子交易平台传输递交投标文件的，投标无效。</w:t>
      </w:r>
    </w:p>
    <w:p w14:paraId="686A755A">
      <w:pPr>
        <w:pStyle w:val="132"/>
        <w:spacing w:before="0"/>
        <w:ind w:left="120" w:firstLine="482"/>
        <w:outlineLvl w:val="2"/>
        <w:rPr>
          <w:rFonts w:hint="eastAsia"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16.投标文件的无效处理</w:t>
      </w:r>
    </w:p>
    <w:p w14:paraId="5724FE0C">
      <w:pPr>
        <w:pStyle w:val="25"/>
        <w:spacing w:line="360" w:lineRule="auto"/>
        <w:ind w:left="120"/>
        <w:rPr>
          <w:rFonts w:hint="eastAsia"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有采购文件第四部分</w:t>
      </w:r>
      <w:r>
        <w:rPr>
          <w:rFonts w:cs="宋体"/>
          <w:color w:val="000000" w:themeColor="text1"/>
          <w:szCs w:val="21"/>
          <w14:textFill>
            <w14:solidFill>
              <w14:schemeClr w14:val="tx1"/>
            </w14:solidFill>
          </w14:textFill>
        </w:rPr>
        <w:t>4.2规定</w:t>
      </w:r>
      <w:r>
        <w:rPr>
          <w:rFonts w:hint="eastAsia" w:cs="宋体"/>
          <w:color w:val="000000" w:themeColor="text1"/>
          <w:szCs w:val="21"/>
          <w14:textFill>
            <w14:solidFill>
              <w14:schemeClr w14:val="tx1"/>
            </w14:solidFill>
          </w14:textFill>
        </w:rPr>
        <w:t>的情形之一的，投标无效：</w:t>
      </w:r>
    </w:p>
    <w:p w14:paraId="4132F1F8">
      <w:pPr>
        <w:pStyle w:val="132"/>
        <w:spacing w:before="0"/>
        <w:ind w:left="120" w:firstLine="482"/>
        <w:outlineLvl w:val="2"/>
        <w:rPr>
          <w:rFonts w:hint="eastAsia"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17.投标有效期</w:t>
      </w:r>
    </w:p>
    <w:p w14:paraId="5A79883D">
      <w:pPr>
        <w:spacing w:line="360" w:lineRule="auto"/>
        <w:ind w:left="120" w:firstLine="480" w:firstLineChars="200"/>
        <w:rPr>
          <w:rFonts w:hint="eastAsia" w:ascii="宋体" w:hAnsi="宋体" w:cs="宋体"/>
          <w:b/>
          <w:color w:val="000000" w:themeColor="text1"/>
          <w:sz w:val="24"/>
          <w:szCs w:val="21"/>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14:textFill>
            <w14:solidFill>
              <w14:schemeClr w14:val="tx1"/>
            </w14:solidFill>
          </w14:textFill>
        </w:rPr>
        <w:t>投标人的投标文件中承</w:t>
      </w:r>
      <w:r>
        <w:rPr>
          <w:rFonts w:hint="eastAsia" w:ascii="宋体" w:hAnsi="宋体" w:cs="宋体"/>
          <w:b/>
          <w:color w:val="000000" w:themeColor="text1"/>
          <w:sz w:val="24"/>
          <w:szCs w:val="21"/>
          <w14:textFill>
            <w14:solidFill>
              <w14:schemeClr w14:val="tx1"/>
            </w14:solidFill>
          </w14:textFill>
        </w:rPr>
        <w:t>诺的投标有效期少于采购文件中载明的投标有效期的，投标无效。</w:t>
      </w:r>
    </w:p>
    <w:p w14:paraId="036C8180">
      <w:pPr>
        <w:pStyle w:val="132"/>
        <w:spacing w:before="0"/>
        <w:ind w:left="120"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17.2投标文件合格投递后，自投标截止日期起，在投标有效期内有效。</w:t>
      </w:r>
    </w:p>
    <w:p w14:paraId="74B0D035">
      <w:pPr>
        <w:pStyle w:val="132"/>
        <w:spacing w:before="0"/>
        <w:ind w:left="120"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3E3070BF">
      <w:pPr>
        <w:pStyle w:val="132"/>
        <w:spacing w:before="0"/>
        <w:ind w:firstLine="0" w:firstLineChars="0"/>
        <w:jc w:val="center"/>
        <w:outlineLvl w:val="1"/>
        <w:rPr>
          <w:rFonts w:hint="eastAsia"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四、开标、资格审查与信用信息查询</w:t>
      </w:r>
    </w:p>
    <w:p w14:paraId="63623403">
      <w:pPr>
        <w:pStyle w:val="557"/>
        <w:spacing w:before="0" w:line="360" w:lineRule="auto"/>
        <w:ind w:left="0" w:firstLine="482" w:firstLineChars="200"/>
        <w:contextualSpacing/>
        <w:outlineLvl w:val="2"/>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18.开标</w:t>
      </w:r>
      <w:r>
        <w:rPr>
          <w:rFonts w:hint="eastAsia" w:ascii="宋体" w:hAnsi="宋体" w:cs="宋体"/>
          <w:color w:val="000000" w:themeColor="text1"/>
          <w:sz w:val="24"/>
          <w14:textFill>
            <w14:solidFill>
              <w14:schemeClr w14:val="tx1"/>
            </w14:solidFill>
          </w14:textFill>
        </w:rPr>
        <w:t xml:space="preserve"> </w:t>
      </w:r>
    </w:p>
    <w:p w14:paraId="4972551E">
      <w:pPr>
        <w:pStyle w:val="557"/>
        <w:spacing w:before="0" w:line="360" w:lineRule="auto"/>
        <w:ind w:left="0"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18.1采购代理机构按照采购文件规定的时间通过电子交易平台组织开标，所有投标人均应当准时在线参加。投标人不足3家的，不得开标。</w:t>
      </w:r>
    </w:p>
    <w:p w14:paraId="42384DAB">
      <w:pPr>
        <w:pStyle w:val="557"/>
        <w:spacing w:before="0" w:line="360" w:lineRule="auto"/>
        <w:ind w:left="0"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18.2开标时，电子交易平台按开标时间自动提取所有投标文件。采购代理机构依托电子交易平台发起开始解密指令，投标人按照平台提示和采购文件的规定在半小时内完成在线解密。</w:t>
      </w:r>
    </w:p>
    <w:p w14:paraId="050876EF">
      <w:pPr>
        <w:pStyle w:val="557"/>
        <w:spacing w:before="0" w:line="360" w:lineRule="auto"/>
        <w:ind w:left="0" w:firstLine="480" w:firstLineChars="200"/>
        <w:contextualSpacing/>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18.3</w:t>
      </w:r>
      <w:r>
        <w:rPr>
          <w:rFonts w:hint="eastAsia" w:ascii="宋体" w:hAnsi="宋体" w:cs="宋体"/>
          <w:b/>
          <w:color w:val="000000" w:themeColor="text1"/>
          <w:sz w:val="24"/>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30C77230">
      <w:pPr>
        <w:pStyle w:val="557"/>
        <w:spacing w:before="0" w:line="360" w:lineRule="auto"/>
        <w:ind w:left="0" w:firstLine="482" w:firstLineChars="200"/>
        <w:contextualSpacing/>
        <w:outlineLvl w:val="2"/>
        <w:rPr>
          <w:rFonts w:hint="eastAsia" w:ascii="宋体" w:hAnsi="宋体" w:cs="宋体"/>
          <w:b/>
          <w:color w:val="000000" w:themeColor="text1"/>
          <w:sz w:val="24"/>
          <w:szCs w:val="24"/>
          <w14:textFill>
            <w14:solidFill>
              <w14:schemeClr w14:val="tx1"/>
            </w14:solidFill>
          </w14:textFill>
        </w:rPr>
      </w:pPr>
      <w:r>
        <w:rPr>
          <w:rFonts w:ascii="宋体" w:hAnsi="宋体" w:cs="宋体"/>
          <w:b/>
          <w:color w:val="000000" w:themeColor="text1"/>
          <w:sz w:val="24"/>
          <w:szCs w:val="24"/>
          <w14:textFill>
            <w14:solidFill>
              <w14:schemeClr w14:val="tx1"/>
            </w14:solidFill>
          </w14:textFill>
        </w:rPr>
        <w:t>19、资格审查</w:t>
      </w:r>
    </w:p>
    <w:p w14:paraId="6E745A3A">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19.1</w:t>
      </w:r>
      <w:r>
        <w:rPr>
          <w:rFonts w:hint="eastAsia" w:ascii="宋体" w:hAnsi="宋体" w:cs="宋体"/>
          <w:color w:val="000000" w:themeColor="text1"/>
          <w:sz w:val="24"/>
          <w14:textFill>
            <w14:solidFill>
              <w14:schemeClr w14:val="tx1"/>
            </w14:solidFill>
          </w14:textFill>
        </w:rPr>
        <w:t>采购人或采购代理机构依据法律法规和采购文件的规定，对投标人的资格进行审查。</w:t>
      </w:r>
    </w:p>
    <w:p w14:paraId="00B64528">
      <w:pPr>
        <w:pStyle w:val="132"/>
        <w:spacing w:before="0"/>
        <w:ind w:left="120"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19.2投标人未按照采购文件要求提供与</w:t>
      </w:r>
      <w:r>
        <w:rPr>
          <w:rFonts w:hint="eastAsia" w:ascii="宋体" w:hAnsi="宋体" w:cs="宋体"/>
          <w:color w:val="000000" w:themeColor="text1"/>
          <w14:textFill>
            <w14:solidFill>
              <w14:schemeClr w14:val="tx1"/>
            </w14:solidFill>
          </w14:textFill>
        </w:rPr>
        <w:t>资格条件相应的</w:t>
      </w:r>
      <w:r>
        <w:rPr>
          <w:rFonts w:hint="eastAsia" w:ascii="宋体" w:hAnsi="宋体" w:cs="宋体"/>
          <w:color w:val="000000" w:themeColor="text1"/>
          <w:kern w:val="0"/>
          <w:szCs w:val="24"/>
          <w14:textFill>
            <w14:solidFill>
              <w14:schemeClr w14:val="tx1"/>
            </w14:solidFill>
          </w14:textFill>
        </w:rPr>
        <w:t>有效资格证明材料的，视为</w:t>
      </w:r>
      <w:r>
        <w:rPr>
          <w:rFonts w:hint="eastAsia" w:ascii="宋体" w:hAnsi="宋体" w:cs="宋体"/>
          <w:color w:val="000000" w:themeColor="text1"/>
          <w14:textFill>
            <w14:solidFill>
              <w14:schemeClr w14:val="tx1"/>
            </w14:solidFill>
          </w14:textFill>
        </w:rPr>
        <w:t>投标人不具备采购文件中规定的资格要求，其投标无效。</w:t>
      </w:r>
    </w:p>
    <w:p w14:paraId="6B87BA2A">
      <w:pPr>
        <w:pStyle w:val="132"/>
        <w:spacing w:before="0"/>
        <w:ind w:left="120"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14:textFill>
            <w14:solidFill>
              <w14:schemeClr w14:val="tx1"/>
            </w14:solidFill>
          </w14:textFill>
        </w:rPr>
        <w:t>3对未通过资格审查的投标人，采购人或采购代理机构告知其未通过的原因。</w:t>
      </w:r>
    </w:p>
    <w:p w14:paraId="50FDC4A9">
      <w:pPr>
        <w:pStyle w:val="132"/>
        <w:spacing w:before="0"/>
        <w:ind w:left="120"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14:textFill>
            <w14:solidFill>
              <w14:schemeClr w14:val="tx1"/>
            </w14:solidFill>
          </w14:textFill>
        </w:rPr>
        <w:t>4合格投标人不足3家的，不再评标。</w:t>
      </w:r>
    </w:p>
    <w:p w14:paraId="326E5FE3">
      <w:pPr>
        <w:pStyle w:val="132"/>
        <w:spacing w:before="0"/>
        <w:ind w:left="120" w:firstLine="482"/>
        <w:outlineLvl w:val="2"/>
        <w:rPr>
          <w:rFonts w:hint="eastAsia"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20、信用信息查询</w:t>
      </w:r>
    </w:p>
    <w:p w14:paraId="4F614ECC">
      <w:pPr>
        <w:pStyle w:val="132"/>
        <w:spacing w:before="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20.1信用信息查询渠道及截止时间：采购代理机构将在资格审查时通过“信用中国”网站(www.creditchina.gov.cn)、中国政府采购网(www.ccgp.gov.cn)渠道查询投标人的信用记录。</w:t>
      </w:r>
    </w:p>
    <w:p w14:paraId="6318BEF3">
      <w:pPr>
        <w:pStyle w:val="132"/>
        <w:spacing w:before="0"/>
        <w:ind w:left="119" w:firstLine="48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20.2信用信息查询记录和证据留存的具体方式：现场查询的投标人的信用记录、查询结果经确认后将与采购文件一起存档。</w:t>
      </w:r>
    </w:p>
    <w:p w14:paraId="47625E1F">
      <w:pPr>
        <w:pStyle w:val="132"/>
        <w:spacing w:before="0"/>
        <w:ind w:left="119" w:firstLine="48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23C1B00B">
      <w:pPr>
        <w:pStyle w:val="132"/>
        <w:spacing w:before="0"/>
        <w:ind w:left="119"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14:textFill>
            <w14:solidFill>
              <w14:schemeClr w14:val="tx1"/>
            </w14:solidFill>
          </w14:textFill>
        </w:rPr>
        <w:t>。</w:t>
      </w:r>
    </w:p>
    <w:p w14:paraId="588B553C">
      <w:pPr>
        <w:snapToGrid w:val="0"/>
        <w:spacing w:line="360" w:lineRule="auto"/>
        <w:ind w:left="120" w:firstLine="22" w:firstLineChars="6"/>
        <w:jc w:val="center"/>
        <w:outlineLvl w:val="1"/>
        <w:rPr>
          <w:rFonts w:hint="eastAsia"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五、评标</w:t>
      </w:r>
    </w:p>
    <w:p w14:paraId="7451C452">
      <w:pPr>
        <w:spacing w:line="360" w:lineRule="auto"/>
        <w:ind w:left="120" w:firstLine="482" w:firstLineChars="200"/>
        <w:outlineLvl w:val="2"/>
        <w:rPr>
          <w:rFonts w:hint="eastAsia" w:ascii="宋体" w:hAnsi="宋体" w:cs="宋体"/>
          <w:b/>
          <w:color w:val="000000" w:themeColor="text1"/>
          <w:sz w:val="24"/>
          <w14:textFill>
            <w14:solidFill>
              <w14:schemeClr w14:val="tx1"/>
            </w14:solidFill>
          </w14:textFill>
        </w:rPr>
      </w:pPr>
      <w:bookmarkStart w:id="28" w:name="_Toc91899903"/>
      <w:r>
        <w:rPr>
          <w:rFonts w:hint="eastAsia" w:ascii="宋体" w:hAnsi="宋体" w:cs="宋体"/>
          <w:b/>
          <w:color w:val="000000" w:themeColor="text1"/>
          <w:sz w:val="24"/>
          <w14:textFill>
            <w14:solidFill>
              <w14:schemeClr w14:val="tx1"/>
            </w14:solidFill>
          </w14:textFill>
        </w:rPr>
        <w:t>21.</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评标委员会将根据采购文件和有关规定，履行评标工作职责，并按照评标方法及评分标准，全面衡量各投标人对采购文件的响应情况。对实质上响应采购文件的投标人，按照评审因素的量化指标排出推荐中标的投标人的先后顺序，并按顺序提出授标建议。</w:t>
      </w:r>
      <w:r>
        <w:rPr>
          <w:rFonts w:hint="eastAsia" w:ascii="宋体" w:hAnsi="宋体" w:cs="宋体"/>
          <w:b/>
          <w:color w:val="000000" w:themeColor="text1"/>
          <w:sz w:val="24"/>
          <w14:textFill>
            <w14:solidFill>
              <w14:schemeClr w14:val="tx1"/>
            </w14:solidFill>
          </w14:textFill>
        </w:rPr>
        <w:t>详见采购文件第四部分评标办法。</w:t>
      </w:r>
    </w:p>
    <w:p w14:paraId="7FE582B5">
      <w:pPr>
        <w:snapToGrid w:val="0"/>
        <w:spacing w:line="360" w:lineRule="auto"/>
        <w:ind w:left="120" w:firstLine="22" w:firstLineChars="6"/>
        <w:jc w:val="center"/>
        <w:outlineLvl w:val="1"/>
        <w:rPr>
          <w:rFonts w:hint="eastAsia"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六、定标</w:t>
      </w:r>
    </w:p>
    <w:p w14:paraId="22D462F3">
      <w:pPr>
        <w:pStyle w:val="132"/>
        <w:snapToGrid w:val="0"/>
        <w:spacing w:before="0"/>
        <w:ind w:left="120" w:firstLine="482"/>
        <w:outlineLvl w:val="2"/>
        <w:rPr>
          <w:rFonts w:hint="eastAsia"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22. 确定中标供应商</w:t>
      </w:r>
    </w:p>
    <w:p w14:paraId="48E4CE3B">
      <w:pPr>
        <w:pStyle w:val="132"/>
        <w:snapToGrid w:val="0"/>
        <w:spacing w:before="0"/>
        <w:ind w:left="120" w:firstLine="480"/>
        <w:rPr>
          <w:rFonts w:hint="eastAsia" w:ascii="宋体" w:hAnsi="宋体" w:cs="宋体"/>
          <w:b/>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0CC891FE">
      <w:pPr>
        <w:pStyle w:val="132"/>
        <w:snapToGrid w:val="0"/>
        <w:spacing w:before="0"/>
        <w:ind w:left="120" w:firstLine="482"/>
        <w:outlineLvl w:val="2"/>
        <w:rPr>
          <w:rFonts w:hint="eastAsia"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23. 中标通知与中标结果公告</w:t>
      </w:r>
    </w:p>
    <w:p w14:paraId="0595679D">
      <w:pPr>
        <w:pStyle w:val="132"/>
        <w:ind w:left="119" w:firstLine="48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4FB49733">
      <w:pPr>
        <w:pStyle w:val="132"/>
        <w:ind w:left="119" w:firstLine="48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w:t>
      </w:r>
      <w:bookmarkStart w:id="29" w:name="_Hlk101184471"/>
      <w:r>
        <w:rPr>
          <w:rFonts w:hint="eastAsia" w:ascii="宋体" w:hAnsi="宋体" w:cs="宋体"/>
          <w:color w:val="000000" w:themeColor="text1"/>
          <w:kern w:val="0"/>
          <w:szCs w:val="24"/>
          <w14:textFill>
            <w14:solidFill>
              <w14:schemeClr w14:val="tx1"/>
            </w14:solidFill>
          </w14:textFill>
        </w:rPr>
        <w:t>资格审查情况、评审专家抽取规则、符合性审查情况、</w:t>
      </w:r>
      <w:bookmarkEnd w:id="29"/>
      <w:r>
        <w:rPr>
          <w:rFonts w:hint="eastAsia" w:ascii="宋体" w:hAnsi="宋体" w:cs="宋体"/>
          <w:color w:val="000000" w:themeColor="text1"/>
          <w:kern w:val="0"/>
          <w:szCs w:val="24"/>
          <w14:textFill>
            <w14:solidFill>
              <w14:schemeClr w14:val="tx1"/>
            </w14:solidFill>
          </w14:textFill>
        </w:rPr>
        <w:t>未中标情况说明、中标公告期限以及评审专家名单、评分汇总及明细。</w:t>
      </w:r>
    </w:p>
    <w:p w14:paraId="5E195CF6">
      <w:pPr>
        <w:pStyle w:val="132"/>
        <w:ind w:left="119" w:firstLine="48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23.3公告期限为1个工作日。</w:t>
      </w:r>
    </w:p>
    <w:p w14:paraId="0E10369E">
      <w:pPr>
        <w:pStyle w:val="132"/>
        <w:spacing w:before="0"/>
        <w:ind w:left="119" w:firstLine="48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23.4 由于中标、成交供应商原因导致重新采购的，应当承担支付代理费和专家评审费等费用在内的赔偿责任。</w:t>
      </w:r>
    </w:p>
    <w:p w14:paraId="1F0BF86F">
      <w:pPr>
        <w:snapToGrid w:val="0"/>
        <w:spacing w:line="360" w:lineRule="auto"/>
        <w:ind w:left="120" w:leftChars="57" w:firstLine="19" w:firstLineChars="6"/>
        <w:jc w:val="center"/>
        <w:outlineLvl w:val="1"/>
        <w:rPr>
          <w:rFonts w:hint="eastAsia"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七、合同授予</w:t>
      </w:r>
    </w:p>
    <w:p w14:paraId="2946742C">
      <w:pPr>
        <w:pStyle w:val="132"/>
        <w:snapToGrid w:val="0"/>
        <w:ind w:left="120" w:firstLine="482"/>
        <w:outlineLvl w:val="2"/>
        <w:rPr>
          <w:rFonts w:hint="eastAsia"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24. 合同主要条款详见第五部分拟签订的合同文本。</w:t>
      </w:r>
    </w:p>
    <w:p w14:paraId="0EE37828">
      <w:pPr>
        <w:pStyle w:val="132"/>
        <w:snapToGrid w:val="0"/>
        <w:ind w:left="120" w:firstLine="482"/>
        <w:outlineLvl w:val="2"/>
        <w:rPr>
          <w:rFonts w:hint="eastAsia"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25. 合同的签订</w:t>
      </w:r>
    </w:p>
    <w:p w14:paraId="47854489">
      <w:pPr>
        <w:pStyle w:val="132"/>
        <w:ind w:left="119" w:firstLine="48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25.1 采购人与中标人应当通过电子交易平台在中标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EA329D6">
      <w:pPr>
        <w:pStyle w:val="132"/>
        <w:spacing w:before="0"/>
        <w:ind w:left="119" w:firstLine="48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3488F06D">
      <w:pPr>
        <w:pStyle w:val="132"/>
        <w:spacing w:before="0"/>
        <w:ind w:left="119" w:firstLine="48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25.3如签订合同并生效后，供应商无故拒绝或延期，除按照合同条款处理外，列入不良行为记录一次，并给予通报。</w:t>
      </w:r>
    </w:p>
    <w:p w14:paraId="047C5ED7">
      <w:pPr>
        <w:pStyle w:val="132"/>
        <w:spacing w:before="0"/>
        <w:ind w:left="119" w:firstLine="48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324F1E65">
      <w:pPr>
        <w:pStyle w:val="132"/>
        <w:spacing w:before="0"/>
        <w:ind w:left="119" w:firstLine="48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25.5采购合同由采购人与中标供应商根据采购文件、投标文件等内容通过政府采购电子交易平台在线签订，自动备案。</w:t>
      </w:r>
    </w:p>
    <w:p w14:paraId="204DDCB0">
      <w:pPr>
        <w:pStyle w:val="132"/>
        <w:snapToGrid w:val="0"/>
        <w:ind w:left="120" w:firstLine="482"/>
        <w:outlineLvl w:val="2"/>
        <w:rPr>
          <w:rFonts w:hint="eastAsia"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26. 履约保证金</w:t>
      </w:r>
    </w:p>
    <w:p w14:paraId="6618172A">
      <w:pPr>
        <w:pStyle w:val="132"/>
        <w:ind w:left="119" w:firstLine="48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53D8E2F">
      <w:pPr>
        <w:pStyle w:val="132"/>
        <w:ind w:left="119" w:firstLine="48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65847870">
      <w:pPr>
        <w:pStyle w:val="132"/>
        <w:snapToGrid w:val="0"/>
        <w:ind w:left="120" w:firstLine="482"/>
        <w:outlineLvl w:val="2"/>
        <w:rPr>
          <w:rFonts w:hint="eastAsia"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27.预付款</w:t>
      </w:r>
    </w:p>
    <w:p w14:paraId="260D58F3">
      <w:pPr>
        <w:pStyle w:val="132"/>
        <w:ind w:left="119" w:firstLine="48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采购人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人可不适用前述规定。采购人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采购人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691A2A35">
      <w:pPr>
        <w:snapToGrid w:val="0"/>
        <w:spacing w:line="360" w:lineRule="auto"/>
        <w:ind w:left="120" w:firstLine="643" w:firstLineChars="200"/>
        <w:jc w:val="center"/>
        <w:outlineLvl w:val="1"/>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八、电子交易活动的中止</w:t>
      </w:r>
    </w:p>
    <w:p w14:paraId="2BD21B7B">
      <w:pPr>
        <w:pStyle w:val="132"/>
        <w:snapToGrid w:val="0"/>
        <w:spacing w:before="0"/>
        <w:ind w:left="120" w:firstLine="482"/>
        <w:outlineLvl w:val="2"/>
        <w:rPr>
          <w:rFonts w:hint="eastAsia" w:ascii="宋体" w:hAnsi="宋体" w:cs="宋体"/>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2</w:t>
      </w:r>
      <w:r>
        <w:rPr>
          <w:rFonts w:ascii="宋体" w:hAnsi="宋体" w:cs="宋体"/>
          <w:b/>
          <w:bCs/>
          <w:color w:val="000000" w:themeColor="text1"/>
          <w:szCs w:val="24"/>
          <w14:textFill>
            <w14:solidFill>
              <w14:schemeClr w14:val="tx1"/>
            </w14:solidFill>
          </w14:textFill>
        </w:rPr>
        <w:t>8</w:t>
      </w:r>
      <w:r>
        <w:rPr>
          <w:rFonts w:hint="eastAsia" w:ascii="宋体" w:hAnsi="宋体" w:cs="宋体"/>
          <w:b/>
          <w:color w:val="000000" w:themeColor="text1"/>
          <w:szCs w:val="24"/>
          <w14:textFill>
            <w14:solidFill>
              <w14:schemeClr w14:val="tx1"/>
            </w14:solidFill>
          </w14:textFill>
        </w:rPr>
        <w:t>. 电子交易活动的中止。</w:t>
      </w:r>
      <w:r>
        <w:rPr>
          <w:rFonts w:hint="eastAsia" w:ascii="宋体" w:hAnsi="宋体" w:cs="宋体"/>
          <w:color w:val="000000" w:themeColor="text1"/>
          <w14:textFill>
            <w14:solidFill>
              <w14:schemeClr w14:val="tx1"/>
            </w14:solidFill>
          </w14:textFill>
        </w:rPr>
        <w:t>采购过程中出现以下情形，导致电子交易平台无法正常运行，或者无法保证电子交易的公平、公正和安全时，采购代理机构可中止电子交易活动：</w:t>
      </w:r>
    </w:p>
    <w:p w14:paraId="36750A90">
      <w:pPr>
        <w:pStyle w:val="132"/>
        <w:snapToGrid w:val="0"/>
        <w:spacing w:before="0"/>
        <w:ind w:left="120"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28.1电子交易平台发生故障而无法登录访问的； </w:t>
      </w:r>
    </w:p>
    <w:p w14:paraId="4322F7BA">
      <w:pPr>
        <w:pStyle w:val="132"/>
        <w:snapToGrid w:val="0"/>
        <w:spacing w:before="0"/>
        <w:ind w:left="120"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28.2电子交易平台应用或数据库出现错误，不能进行正常操作的；</w:t>
      </w:r>
    </w:p>
    <w:p w14:paraId="2F866400">
      <w:pPr>
        <w:pStyle w:val="132"/>
        <w:snapToGrid w:val="0"/>
        <w:spacing w:before="0"/>
        <w:ind w:left="120"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28.3电子交易平台发现严重安全漏洞，有潜在泄密危险的；</w:t>
      </w:r>
    </w:p>
    <w:p w14:paraId="51B72E23">
      <w:pPr>
        <w:pStyle w:val="132"/>
        <w:snapToGrid w:val="0"/>
        <w:spacing w:before="0"/>
        <w:ind w:left="120"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28.4病毒发作导致不能进行正常操作的； </w:t>
      </w:r>
    </w:p>
    <w:p w14:paraId="7B71E242">
      <w:pPr>
        <w:pStyle w:val="132"/>
        <w:snapToGrid w:val="0"/>
        <w:spacing w:before="0"/>
        <w:ind w:left="120"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28.5其他无法保证电子交易的公平、公正和安全的情况。</w:t>
      </w:r>
    </w:p>
    <w:p w14:paraId="5B01ED3E">
      <w:pPr>
        <w:pStyle w:val="132"/>
        <w:snapToGrid w:val="0"/>
        <w:spacing w:before="0"/>
        <w:ind w:left="120" w:firstLine="480"/>
        <w:outlineLvl w:val="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29.出现以上情形，不影响采购公平、公正性的，采购组织机构可以待上述情形消除后继续组织电子交易活动，也可以决定某些环节以纸质形式进行；影响或可能影响采购公平、公正性的，应当重新采购。</w:t>
      </w:r>
    </w:p>
    <w:p w14:paraId="73F759AF">
      <w:pPr>
        <w:snapToGrid w:val="0"/>
        <w:spacing w:line="360" w:lineRule="auto"/>
        <w:ind w:left="120" w:leftChars="57" w:firstLine="19" w:firstLineChars="6"/>
        <w:jc w:val="center"/>
        <w:outlineLvl w:val="1"/>
        <w:rPr>
          <w:rFonts w:hint="eastAsia"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九、验收</w:t>
      </w:r>
    </w:p>
    <w:p w14:paraId="73387992">
      <w:pPr>
        <w:pStyle w:val="25"/>
        <w:spacing w:line="360" w:lineRule="auto"/>
        <w:ind w:left="120" w:firstLine="482"/>
        <w:outlineLvl w:val="2"/>
        <w:rPr>
          <w:rFonts w:hint="eastAsia"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30.验收</w:t>
      </w:r>
    </w:p>
    <w:p w14:paraId="589CBE90">
      <w:pPr>
        <w:tabs>
          <w:tab w:val="left" w:pos="0"/>
        </w:tabs>
        <w:spacing w:line="360" w:lineRule="auto"/>
        <w:ind w:left="120"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0478324">
      <w:pPr>
        <w:tabs>
          <w:tab w:val="left" w:pos="0"/>
        </w:tabs>
        <w:spacing w:line="360" w:lineRule="auto"/>
        <w:ind w:left="120"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227EB3FA">
      <w:pPr>
        <w:tabs>
          <w:tab w:val="left" w:pos="0"/>
        </w:tabs>
        <w:spacing w:line="360" w:lineRule="auto"/>
        <w:ind w:left="120"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1CB44A0">
      <w:pPr>
        <w:tabs>
          <w:tab w:val="left" w:pos="0"/>
        </w:tabs>
        <w:spacing w:line="360" w:lineRule="auto"/>
        <w:ind w:left="120" w:firstLine="480" w:firstLineChars="200"/>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8"/>
    <w:p w14:paraId="1E14A0EB">
      <w:pPr>
        <w:spacing w:line="360" w:lineRule="auto"/>
        <w:ind w:firstLine="720" w:firstLineChars="300"/>
        <w:rPr>
          <w:rFonts w:hint="eastAsia" w:ascii="宋体" w:hAnsi="宋体"/>
          <w:color w:val="000000" w:themeColor="text1"/>
          <w14:textFill>
            <w14:solidFill>
              <w14:schemeClr w14:val="tx1"/>
            </w14:solidFill>
          </w14:textFill>
        </w:rPr>
      </w:pPr>
      <w:bookmarkStart w:id="30" w:name="_Hlt68072998"/>
      <w:bookmarkEnd w:id="30"/>
      <w:bookmarkStart w:id="31" w:name="_Hlt74730295"/>
      <w:bookmarkEnd w:id="31"/>
      <w:bookmarkStart w:id="32" w:name="_Hlt75236290"/>
      <w:bookmarkEnd w:id="32"/>
      <w:bookmarkStart w:id="33" w:name="_Hlt74729768"/>
      <w:bookmarkEnd w:id="33"/>
      <w:bookmarkStart w:id="34" w:name="_Hlt75236101"/>
      <w:bookmarkEnd w:id="34"/>
      <w:bookmarkStart w:id="35" w:name="_Hlt68403820"/>
      <w:bookmarkEnd w:id="35"/>
      <w:bookmarkStart w:id="36" w:name="_Hlt75236011"/>
      <w:bookmarkEnd w:id="36"/>
      <w:bookmarkStart w:id="37" w:name="_Hlt68073093"/>
      <w:bookmarkEnd w:id="37"/>
      <w:bookmarkStart w:id="38" w:name="_Hlt68057669"/>
      <w:bookmarkEnd w:id="38"/>
      <w:bookmarkStart w:id="39" w:name="_Hlt74707468"/>
      <w:bookmarkEnd w:id="39"/>
      <w:bookmarkStart w:id="40" w:name="_Hlt68072990"/>
      <w:bookmarkEnd w:id="40"/>
      <w:bookmarkStart w:id="41" w:name="_Hlt74714665"/>
      <w:bookmarkEnd w:id="41"/>
      <w:r>
        <w:rPr>
          <w:rFonts w:hint="eastAsia" w:ascii="宋体" w:hAnsi="宋体" w:cs="宋体"/>
          <w:color w:val="000000" w:themeColor="text1"/>
          <w:kern w:val="0"/>
          <w:sz w:val="24"/>
          <w14:textFill>
            <w14:solidFill>
              <w14:schemeClr w14:val="tx1"/>
            </w14:solidFill>
          </w14:textFill>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r>
        <w:rPr>
          <w:rFonts w:hint="eastAsia" w:ascii="宋体" w:hAnsi="宋体" w:cs="宋体"/>
          <w:color w:val="000000" w:themeColor="text1"/>
          <w:kern w:val="0"/>
          <w14:textFill>
            <w14:solidFill>
              <w14:schemeClr w14:val="tx1"/>
            </w14:solidFill>
          </w14:textFill>
        </w:rPr>
        <w:t>。</w:t>
      </w:r>
    </w:p>
    <w:p w14:paraId="186E1557">
      <w:pPr>
        <w:tabs>
          <w:tab w:val="left" w:pos="0"/>
        </w:tabs>
        <w:spacing w:line="360" w:lineRule="auto"/>
        <w:ind w:left="120" w:firstLine="22"/>
        <w:rPr>
          <w:rFonts w:hint="eastAsia" w:ascii="宋体" w:hAnsi="宋体" w:cs="宋体"/>
          <w:color w:val="000000" w:themeColor="text1"/>
          <w:kern w:val="0"/>
          <w:sz w:val="24"/>
          <w14:textFill>
            <w14:solidFill>
              <w14:schemeClr w14:val="tx1"/>
            </w14:solidFill>
          </w14:textFill>
        </w:rPr>
        <w:sectPr>
          <w:pgSz w:w="11906" w:h="16838"/>
          <w:pgMar w:top="680" w:right="1418" w:bottom="468" w:left="1418" w:header="851" w:footer="992" w:gutter="0"/>
          <w:cols w:space="720" w:num="1"/>
          <w:titlePg/>
          <w:docGrid w:linePitch="312" w:charSpace="0"/>
        </w:sectPr>
      </w:pPr>
    </w:p>
    <w:bookmarkEnd w:id="26"/>
    <w:bookmarkEnd w:id="27"/>
    <w:p w14:paraId="52356666">
      <w:pPr>
        <w:spacing w:line="360" w:lineRule="auto"/>
        <w:ind w:left="120" w:firstLine="22" w:firstLineChars="6"/>
        <w:jc w:val="center"/>
        <w:outlineLvl w:val="0"/>
        <w:rPr>
          <w:rFonts w:hint="eastAsia" w:ascii="宋体" w:hAnsi="宋体" w:cs="宋体"/>
          <w:b/>
          <w:color w:val="000000" w:themeColor="text1"/>
          <w:sz w:val="36"/>
          <w:szCs w:val="36"/>
          <w14:textFill>
            <w14:solidFill>
              <w14:schemeClr w14:val="tx1"/>
            </w14:solidFill>
          </w14:textFill>
        </w:rPr>
      </w:pPr>
      <w:bookmarkStart w:id="42" w:name="第四部分"/>
      <w:r>
        <w:rPr>
          <w:rFonts w:hint="eastAsia" w:ascii="宋体" w:hAnsi="宋体" w:cs="宋体"/>
          <w:b/>
          <w:color w:val="000000" w:themeColor="text1"/>
          <w:sz w:val="36"/>
          <w:szCs w:val="36"/>
          <w14:textFill>
            <w14:solidFill>
              <w14:schemeClr w14:val="tx1"/>
            </w14:solidFill>
          </w14:textFill>
        </w:rPr>
        <w:t>第三部分   采购需求</w:t>
      </w:r>
    </w:p>
    <w:p w14:paraId="65A62EF2">
      <w:pPr>
        <w:adjustRightInd/>
        <w:spacing w:after="0" w:line="360" w:lineRule="auto"/>
        <w:outlineLvl w:val="1"/>
        <w:rPr>
          <w:rFonts w:hint="eastAsia" w:ascii="宋体" w:hAnsi="宋体"/>
          <w:b/>
          <w:bCs/>
          <w:color w:val="000000" w:themeColor="text1"/>
          <w:sz w:val="24"/>
          <w14:textFill>
            <w14:solidFill>
              <w14:schemeClr w14:val="tx1"/>
            </w14:solidFill>
          </w14:textFill>
        </w:rPr>
      </w:pPr>
      <w:bookmarkStart w:id="43" w:name="_Hlk200555842"/>
      <w:bookmarkStart w:id="44" w:name="_Hlk166695287"/>
      <w:r>
        <w:rPr>
          <w:rFonts w:hint="eastAsia" w:ascii="宋体" w:hAnsi="宋体"/>
          <w:b/>
          <w:bCs/>
          <w:color w:val="000000" w:themeColor="text1"/>
          <w:sz w:val="24"/>
          <w14:textFill>
            <w14:solidFill>
              <w14:schemeClr w14:val="tx1"/>
            </w14:solidFill>
          </w14:textFill>
        </w:rPr>
        <w:t>一、建设目标</w:t>
      </w:r>
    </w:p>
    <w:p w14:paraId="3363D63A">
      <w:pPr>
        <w:adjustRightInd/>
        <w:spacing w:after="0" w:line="360" w:lineRule="auto"/>
        <w:ind w:firstLine="480" w:firstLineChars="200"/>
        <w:outlineLvl w:val="1"/>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杭州市上城区人民政府办公室关于印发上城区电子政务项目管理办法的通知》及区信创办《关于启动2025年度政务信息系统信创改造工作的通知》的要求，秉承“一网通办”理念，打造以人大服务一扇门、联动履职一张网、数据资源一盘棋、联系群众一座桥、网络安全一道岗为特征的一体化综合平台，覆盖全区各级人大代表、人大机关和“一府一委两院”及有关单位工作人员、社会公众三类服务群体，着力构建全区人大统一数据库，实现全区人大数据云上存储、开放共享，整合汇聚代表工作、监督工作、会议阅文、机关办公、公众参与等九大子系统，推动标准规范、网络安全、运维保障三大体系协同发展，确保系统安全稳定高效运转，以数字化技术赋能人大工作高质量发展，谱写全过程人民民主新篇章。</w:t>
      </w:r>
    </w:p>
    <w:p w14:paraId="181E4085">
      <w:pPr>
        <w:adjustRightInd/>
        <w:spacing w:after="0" w:line="360" w:lineRule="auto"/>
        <w:outlineLvl w:val="1"/>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二、建设内容</w:t>
      </w:r>
    </w:p>
    <w:p w14:paraId="5B9DF2CD">
      <w:pPr>
        <w:numPr>
          <w:ilvl w:val="0"/>
          <w:numId w:val="1"/>
        </w:numPr>
        <w:adjustRightInd/>
        <w:spacing w:after="0"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上城区街道人大工作系统</w:t>
      </w:r>
    </w:p>
    <w:p w14:paraId="55787D0F">
      <w:pPr>
        <w:numPr>
          <w:ilvl w:val="0"/>
          <w:numId w:val="1"/>
        </w:numPr>
        <w:adjustRightInd/>
        <w:spacing w:after="0"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执法检查、听取审议专项报告系统</w:t>
      </w:r>
    </w:p>
    <w:p w14:paraId="0A629972">
      <w:pPr>
        <w:numPr>
          <w:ilvl w:val="0"/>
          <w:numId w:val="1"/>
        </w:numPr>
        <w:adjustRightInd/>
        <w:spacing w:after="0"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代表在线应用场景</w:t>
      </w:r>
    </w:p>
    <w:p w14:paraId="03A55A99">
      <w:pPr>
        <w:numPr>
          <w:ilvl w:val="0"/>
          <w:numId w:val="1"/>
        </w:numPr>
        <w:adjustRightInd/>
        <w:spacing w:after="0"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民生实事项目监督系统</w:t>
      </w:r>
    </w:p>
    <w:p w14:paraId="79914B30">
      <w:pPr>
        <w:numPr>
          <w:ilvl w:val="0"/>
          <w:numId w:val="1"/>
        </w:numPr>
        <w:adjustRightInd/>
        <w:spacing w:after="0"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代表联系群众、意见处理反馈系统</w:t>
      </w:r>
    </w:p>
    <w:p w14:paraId="55FE65B3">
      <w:pPr>
        <w:numPr>
          <w:ilvl w:val="0"/>
          <w:numId w:val="1"/>
        </w:numPr>
        <w:adjustRightInd/>
        <w:spacing w:after="0"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议案建议办理应用场景</w:t>
      </w:r>
    </w:p>
    <w:p w14:paraId="1B906836">
      <w:pPr>
        <w:numPr>
          <w:ilvl w:val="0"/>
          <w:numId w:val="1"/>
        </w:numPr>
        <w:adjustRightInd/>
        <w:spacing w:after="0"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财经综合监督系统</w:t>
      </w:r>
    </w:p>
    <w:p w14:paraId="0DFA8D7A">
      <w:pPr>
        <w:numPr>
          <w:ilvl w:val="0"/>
          <w:numId w:val="1"/>
        </w:numPr>
        <w:adjustRightInd/>
        <w:spacing w:after="0"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人大数据仓应用场景</w:t>
      </w:r>
    </w:p>
    <w:p w14:paraId="60123B17">
      <w:pPr>
        <w:numPr>
          <w:ilvl w:val="0"/>
          <w:numId w:val="1"/>
        </w:numPr>
        <w:adjustRightInd/>
        <w:spacing w:after="0"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人大代表联络站数字总站应用场景</w:t>
      </w:r>
    </w:p>
    <w:p w14:paraId="3671BCEB">
      <w:pPr>
        <w:spacing w:after="0"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建设“数字人大”平台：实现上城区街道人大工作系统、执法检查、听取审议专项报告系统、代表在线应用场景应用、民生实事项目监督系统、代表联系群众、意见处理反馈系统、议案建议办理应用场景应用、财经综合监督系统应用、人大数据仓应用场景应用、人大代表联络站数字总站应用场景应用9个系统的门户集成，统一用户、权限、接口及接入管理。</w:t>
      </w:r>
    </w:p>
    <w:tbl>
      <w:tblPr>
        <w:tblStyle w:val="63"/>
        <w:tblW w:w="5353" w:type="pct"/>
        <w:tblInd w:w="0" w:type="dxa"/>
        <w:tblLayout w:type="autofit"/>
        <w:tblCellMar>
          <w:top w:w="0" w:type="dxa"/>
          <w:left w:w="108" w:type="dxa"/>
          <w:bottom w:w="0" w:type="dxa"/>
          <w:right w:w="108" w:type="dxa"/>
        </w:tblCellMar>
      </w:tblPr>
      <w:tblGrid>
        <w:gridCol w:w="696"/>
        <w:gridCol w:w="1060"/>
        <w:gridCol w:w="1062"/>
        <w:gridCol w:w="121"/>
        <w:gridCol w:w="335"/>
        <w:gridCol w:w="1606"/>
        <w:gridCol w:w="5189"/>
        <w:gridCol w:w="179"/>
      </w:tblGrid>
      <w:tr w14:paraId="1D329A02">
        <w:tblPrEx>
          <w:tblCellMar>
            <w:top w:w="0" w:type="dxa"/>
            <w:left w:w="108" w:type="dxa"/>
            <w:bottom w:w="0" w:type="dxa"/>
            <w:right w:w="108" w:type="dxa"/>
          </w:tblCellMar>
        </w:tblPrEx>
        <w:trPr>
          <w:gridAfter w:val="1"/>
          <w:wAfter w:w="104" w:type="pct"/>
          <w:trHeight w:val="327" w:hRule="atLeast"/>
        </w:trPr>
        <w:tc>
          <w:tcPr>
            <w:tcW w:w="33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695BDD">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序号</w:t>
            </w:r>
          </w:p>
        </w:tc>
        <w:tc>
          <w:tcPr>
            <w:tcW w:w="1106" w:type="pct"/>
            <w:gridSpan w:val="3"/>
            <w:tcBorders>
              <w:top w:val="single" w:color="000000" w:sz="8" w:space="0"/>
              <w:left w:val="nil"/>
              <w:bottom w:val="single" w:color="000000" w:sz="8" w:space="0"/>
              <w:right w:val="single" w:color="000000" w:sz="8" w:space="0"/>
            </w:tcBorders>
            <w:shd w:val="clear" w:color="auto" w:fill="auto"/>
            <w:vAlign w:val="center"/>
          </w:tcPr>
          <w:p w14:paraId="18F5F49F">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模块</w:t>
            </w:r>
          </w:p>
        </w:tc>
        <w:tc>
          <w:tcPr>
            <w:tcW w:w="3450" w:type="pct"/>
            <w:gridSpan w:val="3"/>
            <w:tcBorders>
              <w:top w:val="single" w:color="000000" w:sz="8" w:space="0"/>
              <w:left w:val="nil"/>
              <w:bottom w:val="single" w:color="000000" w:sz="8" w:space="0"/>
              <w:right w:val="single" w:color="000000" w:sz="8" w:space="0"/>
            </w:tcBorders>
            <w:shd w:val="clear" w:color="auto" w:fill="auto"/>
            <w:vAlign w:val="center"/>
          </w:tcPr>
          <w:p w14:paraId="2EB6283E">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描述</w:t>
            </w:r>
          </w:p>
        </w:tc>
      </w:tr>
      <w:tr w14:paraId="743E5438">
        <w:tblPrEx>
          <w:tblCellMar>
            <w:top w:w="0" w:type="dxa"/>
            <w:left w:w="108" w:type="dxa"/>
            <w:bottom w:w="0" w:type="dxa"/>
            <w:right w:w="108" w:type="dxa"/>
          </w:tblCellMar>
        </w:tblPrEx>
        <w:trPr>
          <w:gridAfter w:val="1"/>
          <w:wAfter w:w="104" w:type="pct"/>
          <w:trHeight w:val="327" w:hRule="atLeast"/>
        </w:trPr>
        <w:tc>
          <w:tcPr>
            <w:tcW w:w="338" w:type="pct"/>
            <w:tcBorders>
              <w:top w:val="nil"/>
              <w:left w:val="single" w:color="000000" w:sz="8" w:space="0"/>
              <w:bottom w:val="single" w:color="000000" w:sz="8" w:space="0"/>
              <w:right w:val="single" w:color="000000" w:sz="8" w:space="0"/>
            </w:tcBorders>
            <w:shd w:val="clear" w:color="auto" w:fill="auto"/>
            <w:noWrap/>
            <w:vAlign w:val="center"/>
          </w:tcPr>
          <w:p w14:paraId="394AFD24">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w:t>
            </w:r>
          </w:p>
        </w:tc>
        <w:tc>
          <w:tcPr>
            <w:tcW w:w="1106" w:type="pct"/>
            <w:gridSpan w:val="3"/>
            <w:vMerge w:val="restart"/>
            <w:tcBorders>
              <w:top w:val="nil"/>
              <w:left w:val="nil"/>
              <w:bottom w:val="single" w:color="000000" w:sz="8" w:space="0"/>
              <w:right w:val="single" w:color="000000" w:sz="8" w:space="0"/>
            </w:tcBorders>
            <w:shd w:val="clear" w:color="auto" w:fill="auto"/>
            <w:vAlign w:val="center"/>
          </w:tcPr>
          <w:p w14:paraId="0CDE33AF">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上城区街道人大工作系统</w:t>
            </w:r>
          </w:p>
        </w:tc>
        <w:tc>
          <w:tcPr>
            <w:tcW w:w="3450" w:type="pct"/>
            <w:gridSpan w:val="3"/>
            <w:tcBorders>
              <w:top w:val="nil"/>
              <w:left w:val="nil"/>
              <w:bottom w:val="single" w:color="000000" w:sz="8" w:space="0"/>
              <w:right w:val="single" w:color="000000" w:sz="8" w:space="0"/>
            </w:tcBorders>
            <w:shd w:val="clear" w:color="auto" w:fill="auto"/>
            <w:vAlign w:val="center"/>
          </w:tcPr>
          <w:p w14:paraId="43717FBD">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优化现有系统功能，建设街道人大工作全景视窗、街道工委视窗，以及在业务管理端增设数据晾晒、区街联动、监督工作、居民议事模块，并在浙政钉移动端上线对应新设模块功能；需完成系统从现有的云平台迁移部署至算力云上并将按照新版本云部署的达梦数据库替换原ecs部署的达梦数据库，包括数据版本间差异的适配，以及不同部署形式数据库之间的迁移适配工作。需完成数据迁移、系统迁移及完成密码测评、密码方案评审、密码应用服务、渗透测试等保二级测评、信创测评相关工作。</w:t>
            </w:r>
          </w:p>
        </w:tc>
      </w:tr>
      <w:tr w14:paraId="590B2056">
        <w:tblPrEx>
          <w:tblCellMar>
            <w:top w:w="0" w:type="dxa"/>
            <w:left w:w="108" w:type="dxa"/>
            <w:bottom w:w="0" w:type="dxa"/>
            <w:right w:w="108" w:type="dxa"/>
          </w:tblCellMar>
        </w:tblPrEx>
        <w:trPr>
          <w:gridAfter w:val="1"/>
          <w:wAfter w:w="104" w:type="pct"/>
          <w:trHeight w:val="327" w:hRule="atLeast"/>
        </w:trPr>
        <w:tc>
          <w:tcPr>
            <w:tcW w:w="338" w:type="pct"/>
            <w:tcBorders>
              <w:top w:val="nil"/>
              <w:left w:val="single" w:color="000000" w:sz="8" w:space="0"/>
              <w:bottom w:val="single" w:color="000000" w:sz="8" w:space="0"/>
              <w:right w:val="single" w:color="000000" w:sz="8" w:space="0"/>
            </w:tcBorders>
            <w:shd w:val="clear" w:color="auto" w:fill="auto"/>
            <w:noWrap/>
            <w:vAlign w:val="center"/>
          </w:tcPr>
          <w:p w14:paraId="1631CB07">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w:t>
            </w:r>
          </w:p>
        </w:tc>
        <w:tc>
          <w:tcPr>
            <w:tcW w:w="1106" w:type="pct"/>
            <w:gridSpan w:val="3"/>
            <w:vMerge w:val="continue"/>
            <w:tcBorders>
              <w:top w:val="nil"/>
              <w:left w:val="nil"/>
              <w:bottom w:val="single" w:color="000000" w:sz="8" w:space="0"/>
              <w:right w:val="single" w:color="000000" w:sz="8" w:space="0"/>
            </w:tcBorders>
            <w:shd w:val="clear" w:color="auto" w:fill="auto"/>
            <w:vAlign w:val="center"/>
          </w:tcPr>
          <w:p w14:paraId="0F468790">
            <w:pPr>
              <w:jc w:val="center"/>
              <w:rPr>
                <w:rFonts w:hint="eastAsia" w:ascii="宋体" w:hAnsi="宋体" w:cs="宋体"/>
                <w:color w:val="000000" w:themeColor="text1"/>
                <w:sz w:val="24"/>
                <w14:textFill>
                  <w14:solidFill>
                    <w14:schemeClr w14:val="tx1"/>
                  </w14:solidFill>
                </w14:textFill>
              </w:rPr>
            </w:pPr>
          </w:p>
        </w:tc>
        <w:tc>
          <w:tcPr>
            <w:tcW w:w="3450" w:type="pct"/>
            <w:gridSpan w:val="3"/>
            <w:tcBorders>
              <w:top w:val="nil"/>
              <w:left w:val="nil"/>
              <w:bottom w:val="single" w:color="000000" w:sz="8" w:space="0"/>
              <w:right w:val="single" w:color="000000" w:sz="8" w:space="0"/>
            </w:tcBorders>
            <w:shd w:val="clear" w:color="auto" w:fill="auto"/>
            <w:vAlign w:val="center"/>
          </w:tcPr>
          <w:p w14:paraId="1FCB65BF">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按照一单位一平台的建设要求，完成统一用户管理的对接、消息对接、待办对接、以及应用第一层UI风格与平台保持一致。</w:t>
            </w:r>
          </w:p>
        </w:tc>
      </w:tr>
      <w:tr w14:paraId="1866250D">
        <w:tblPrEx>
          <w:tblCellMar>
            <w:top w:w="0" w:type="dxa"/>
            <w:left w:w="108" w:type="dxa"/>
            <w:bottom w:w="0" w:type="dxa"/>
            <w:right w:w="108" w:type="dxa"/>
          </w:tblCellMar>
        </w:tblPrEx>
        <w:trPr>
          <w:gridAfter w:val="1"/>
          <w:wAfter w:w="104" w:type="pct"/>
          <w:trHeight w:val="327" w:hRule="atLeast"/>
        </w:trPr>
        <w:tc>
          <w:tcPr>
            <w:tcW w:w="338" w:type="pct"/>
            <w:tcBorders>
              <w:top w:val="nil"/>
              <w:left w:val="single" w:color="000000" w:sz="8" w:space="0"/>
              <w:bottom w:val="single" w:color="000000" w:sz="8" w:space="0"/>
              <w:right w:val="single" w:color="000000" w:sz="8" w:space="0"/>
            </w:tcBorders>
            <w:shd w:val="clear" w:color="auto" w:fill="auto"/>
            <w:noWrap/>
            <w:vAlign w:val="center"/>
          </w:tcPr>
          <w:p w14:paraId="1AE455D1">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w:t>
            </w:r>
          </w:p>
        </w:tc>
        <w:tc>
          <w:tcPr>
            <w:tcW w:w="534" w:type="pct"/>
            <w:vMerge w:val="restart"/>
            <w:tcBorders>
              <w:top w:val="nil"/>
              <w:left w:val="nil"/>
              <w:bottom w:val="single" w:color="000000" w:sz="8" w:space="0"/>
              <w:right w:val="single" w:color="000000" w:sz="8" w:space="0"/>
            </w:tcBorders>
            <w:shd w:val="clear" w:color="auto" w:fill="auto"/>
            <w:vAlign w:val="center"/>
          </w:tcPr>
          <w:p w14:paraId="44BCECD8">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执法检查、听取审议专项报告系统</w:t>
            </w:r>
          </w:p>
        </w:tc>
        <w:tc>
          <w:tcPr>
            <w:tcW w:w="1475" w:type="pct"/>
            <w:gridSpan w:val="4"/>
            <w:tcBorders>
              <w:top w:val="nil"/>
              <w:left w:val="nil"/>
              <w:bottom w:val="single" w:color="000000" w:sz="8" w:space="0"/>
              <w:right w:val="single" w:color="000000" w:sz="8" w:space="0"/>
            </w:tcBorders>
            <w:shd w:val="clear" w:color="auto" w:fill="auto"/>
            <w:vAlign w:val="center"/>
          </w:tcPr>
          <w:p w14:paraId="1ED703F8">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数据库适配</w:t>
            </w:r>
          </w:p>
        </w:tc>
        <w:tc>
          <w:tcPr>
            <w:tcW w:w="2547" w:type="pct"/>
            <w:tcBorders>
              <w:top w:val="single" w:color="000000" w:sz="8" w:space="0"/>
              <w:left w:val="nil"/>
              <w:bottom w:val="single" w:color="000000" w:sz="8" w:space="0"/>
              <w:right w:val="single" w:color="000000" w:sz="8" w:space="0"/>
            </w:tcBorders>
            <w:shd w:val="clear" w:color="auto" w:fill="auto"/>
            <w:vAlign w:val="center"/>
          </w:tcPr>
          <w:p w14:paraId="39C01158">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执法检查、听取审议专项报告系统采用的有mysql(mariadb)数据库，因此将从数据类型、SQL语句、客户端SQL交互工具等进行适配操作，使平台的数据源对接、数据管理、表转服务等功能支持适配。</w:t>
            </w:r>
          </w:p>
        </w:tc>
      </w:tr>
      <w:tr w14:paraId="4D42C5F7">
        <w:tblPrEx>
          <w:tblCellMar>
            <w:top w:w="0" w:type="dxa"/>
            <w:left w:w="108" w:type="dxa"/>
            <w:bottom w:w="0" w:type="dxa"/>
            <w:right w:w="108" w:type="dxa"/>
          </w:tblCellMar>
        </w:tblPrEx>
        <w:trPr>
          <w:gridAfter w:val="1"/>
          <w:wAfter w:w="104" w:type="pct"/>
          <w:trHeight w:val="327" w:hRule="atLeast"/>
        </w:trPr>
        <w:tc>
          <w:tcPr>
            <w:tcW w:w="338" w:type="pct"/>
            <w:tcBorders>
              <w:top w:val="nil"/>
              <w:left w:val="single" w:color="000000" w:sz="8" w:space="0"/>
              <w:bottom w:val="single" w:color="000000" w:sz="8" w:space="0"/>
              <w:right w:val="single" w:color="000000" w:sz="8" w:space="0"/>
            </w:tcBorders>
            <w:shd w:val="clear" w:color="auto" w:fill="auto"/>
            <w:noWrap/>
            <w:vAlign w:val="center"/>
          </w:tcPr>
          <w:p w14:paraId="21A83386">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w:t>
            </w:r>
          </w:p>
        </w:tc>
        <w:tc>
          <w:tcPr>
            <w:tcW w:w="534" w:type="pct"/>
            <w:vMerge w:val="continue"/>
            <w:tcBorders>
              <w:top w:val="nil"/>
              <w:left w:val="nil"/>
              <w:bottom w:val="single" w:color="000000" w:sz="8" w:space="0"/>
              <w:right w:val="single" w:color="000000" w:sz="8" w:space="0"/>
            </w:tcBorders>
            <w:shd w:val="clear" w:color="auto" w:fill="auto"/>
            <w:vAlign w:val="center"/>
          </w:tcPr>
          <w:p w14:paraId="4CCD6050">
            <w:pPr>
              <w:jc w:val="center"/>
              <w:rPr>
                <w:rFonts w:hint="eastAsia" w:ascii="宋体" w:hAnsi="宋体" w:cs="宋体"/>
                <w:color w:val="000000" w:themeColor="text1"/>
                <w:sz w:val="24"/>
                <w14:textFill>
                  <w14:solidFill>
                    <w14:schemeClr w14:val="tx1"/>
                  </w14:solidFill>
                </w14:textFill>
              </w:rPr>
            </w:pPr>
          </w:p>
        </w:tc>
        <w:tc>
          <w:tcPr>
            <w:tcW w:w="1475" w:type="pct"/>
            <w:gridSpan w:val="4"/>
            <w:tcBorders>
              <w:top w:val="nil"/>
              <w:left w:val="nil"/>
              <w:bottom w:val="single" w:color="000000" w:sz="8" w:space="0"/>
              <w:right w:val="single" w:color="000000" w:sz="8" w:space="0"/>
            </w:tcBorders>
            <w:shd w:val="clear" w:color="auto" w:fill="auto"/>
            <w:vAlign w:val="center"/>
          </w:tcPr>
          <w:p w14:paraId="7DF4C596">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中间件适配</w:t>
            </w:r>
          </w:p>
        </w:tc>
        <w:tc>
          <w:tcPr>
            <w:tcW w:w="2547" w:type="pct"/>
            <w:tcBorders>
              <w:top w:val="nil"/>
              <w:left w:val="nil"/>
              <w:bottom w:val="single" w:color="000000" w:sz="8" w:space="0"/>
              <w:right w:val="single" w:color="000000" w:sz="8" w:space="0"/>
            </w:tcBorders>
            <w:shd w:val="clear" w:color="auto" w:fill="auto"/>
            <w:vAlign w:val="center"/>
          </w:tcPr>
          <w:p w14:paraId="324CF43E">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将原先使用的web应用服务器迁移至国产化中间件上，如东方通应用服务器软件、中创应用服务器软件等。</w:t>
            </w:r>
          </w:p>
        </w:tc>
      </w:tr>
      <w:tr w14:paraId="2EC16219">
        <w:tblPrEx>
          <w:tblCellMar>
            <w:top w:w="0" w:type="dxa"/>
            <w:left w:w="108" w:type="dxa"/>
            <w:bottom w:w="0" w:type="dxa"/>
            <w:right w:w="108" w:type="dxa"/>
          </w:tblCellMar>
        </w:tblPrEx>
        <w:trPr>
          <w:gridAfter w:val="1"/>
          <w:wAfter w:w="104" w:type="pct"/>
          <w:trHeight w:val="327" w:hRule="atLeast"/>
        </w:trPr>
        <w:tc>
          <w:tcPr>
            <w:tcW w:w="338" w:type="pct"/>
            <w:tcBorders>
              <w:top w:val="nil"/>
              <w:left w:val="single" w:color="000000" w:sz="8" w:space="0"/>
              <w:bottom w:val="single" w:color="000000" w:sz="8" w:space="0"/>
              <w:right w:val="single" w:color="000000" w:sz="8" w:space="0"/>
            </w:tcBorders>
            <w:shd w:val="clear" w:color="auto" w:fill="auto"/>
            <w:noWrap/>
            <w:vAlign w:val="center"/>
          </w:tcPr>
          <w:p w14:paraId="15B16D99">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w:t>
            </w:r>
          </w:p>
        </w:tc>
        <w:tc>
          <w:tcPr>
            <w:tcW w:w="534" w:type="pct"/>
            <w:vMerge w:val="continue"/>
            <w:tcBorders>
              <w:top w:val="nil"/>
              <w:left w:val="nil"/>
              <w:bottom w:val="single" w:color="000000" w:sz="8" w:space="0"/>
              <w:right w:val="single" w:color="000000" w:sz="8" w:space="0"/>
            </w:tcBorders>
            <w:shd w:val="clear" w:color="auto" w:fill="auto"/>
            <w:vAlign w:val="center"/>
          </w:tcPr>
          <w:p w14:paraId="52C64A64">
            <w:pPr>
              <w:jc w:val="center"/>
              <w:rPr>
                <w:rFonts w:hint="eastAsia" w:ascii="宋体" w:hAnsi="宋体" w:cs="宋体"/>
                <w:color w:val="000000" w:themeColor="text1"/>
                <w:sz w:val="24"/>
                <w14:textFill>
                  <w14:solidFill>
                    <w14:schemeClr w14:val="tx1"/>
                  </w14:solidFill>
                </w14:textFill>
              </w:rPr>
            </w:pPr>
          </w:p>
        </w:tc>
        <w:tc>
          <w:tcPr>
            <w:tcW w:w="1475" w:type="pct"/>
            <w:gridSpan w:val="4"/>
            <w:tcBorders>
              <w:top w:val="nil"/>
              <w:left w:val="nil"/>
              <w:bottom w:val="single" w:color="000000" w:sz="8" w:space="0"/>
              <w:right w:val="single" w:color="000000" w:sz="8" w:space="0"/>
            </w:tcBorders>
            <w:shd w:val="clear" w:color="auto" w:fill="auto"/>
            <w:vAlign w:val="center"/>
          </w:tcPr>
          <w:p w14:paraId="1C20C6EE">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操作系统适配</w:t>
            </w:r>
          </w:p>
        </w:tc>
        <w:tc>
          <w:tcPr>
            <w:tcW w:w="2547" w:type="pct"/>
            <w:tcBorders>
              <w:top w:val="nil"/>
              <w:left w:val="nil"/>
              <w:bottom w:val="single" w:color="000000" w:sz="8" w:space="0"/>
              <w:right w:val="single" w:color="000000" w:sz="8" w:space="0"/>
            </w:tcBorders>
            <w:shd w:val="clear" w:color="auto" w:fill="auto"/>
            <w:vAlign w:val="center"/>
          </w:tcPr>
          <w:p w14:paraId="307C61D1">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执法检查、听取审议专项报告系统操作界面主要是浏览器，因此需将前端页面向国产化操作系统浏览器进行兼容性适配。保障前端页面正常显示，操作正常响应。</w:t>
            </w:r>
          </w:p>
        </w:tc>
      </w:tr>
      <w:tr w14:paraId="7D077FA7">
        <w:tblPrEx>
          <w:tblCellMar>
            <w:top w:w="0" w:type="dxa"/>
            <w:left w:w="108" w:type="dxa"/>
            <w:bottom w:w="0" w:type="dxa"/>
            <w:right w:w="108" w:type="dxa"/>
          </w:tblCellMar>
        </w:tblPrEx>
        <w:trPr>
          <w:gridAfter w:val="1"/>
          <w:wAfter w:w="104" w:type="pct"/>
          <w:trHeight w:val="327" w:hRule="atLeast"/>
        </w:trPr>
        <w:tc>
          <w:tcPr>
            <w:tcW w:w="338" w:type="pct"/>
            <w:tcBorders>
              <w:top w:val="nil"/>
              <w:left w:val="single" w:color="000000" w:sz="8" w:space="0"/>
              <w:bottom w:val="single" w:color="000000" w:sz="8" w:space="0"/>
              <w:right w:val="single" w:color="000000" w:sz="8" w:space="0"/>
            </w:tcBorders>
            <w:shd w:val="clear" w:color="auto" w:fill="auto"/>
            <w:noWrap/>
            <w:vAlign w:val="center"/>
          </w:tcPr>
          <w:p w14:paraId="4BDD2462">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w:t>
            </w:r>
          </w:p>
        </w:tc>
        <w:tc>
          <w:tcPr>
            <w:tcW w:w="534" w:type="pct"/>
            <w:vMerge w:val="continue"/>
            <w:tcBorders>
              <w:top w:val="nil"/>
              <w:left w:val="nil"/>
              <w:bottom w:val="single" w:color="000000" w:sz="8" w:space="0"/>
              <w:right w:val="single" w:color="000000" w:sz="8" w:space="0"/>
            </w:tcBorders>
            <w:shd w:val="clear" w:color="auto" w:fill="auto"/>
            <w:vAlign w:val="center"/>
          </w:tcPr>
          <w:p w14:paraId="7DC9B27E">
            <w:pPr>
              <w:jc w:val="center"/>
              <w:rPr>
                <w:rFonts w:hint="eastAsia" w:ascii="宋体" w:hAnsi="宋体" w:cs="宋体"/>
                <w:color w:val="000000" w:themeColor="text1"/>
                <w:sz w:val="24"/>
                <w14:textFill>
                  <w14:solidFill>
                    <w14:schemeClr w14:val="tx1"/>
                  </w14:solidFill>
                </w14:textFill>
              </w:rPr>
            </w:pPr>
          </w:p>
        </w:tc>
        <w:tc>
          <w:tcPr>
            <w:tcW w:w="1475" w:type="pct"/>
            <w:gridSpan w:val="4"/>
            <w:tcBorders>
              <w:top w:val="nil"/>
              <w:left w:val="nil"/>
              <w:bottom w:val="single" w:color="000000" w:sz="8" w:space="0"/>
              <w:right w:val="single" w:color="000000" w:sz="8" w:space="0"/>
            </w:tcBorders>
            <w:shd w:val="clear" w:color="auto" w:fill="auto"/>
            <w:vAlign w:val="center"/>
          </w:tcPr>
          <w:p w14:paraId="3DD18562">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安全工作</w:t>
            </w:r>
          </w:p>
        </w:tc>
        <w:tc>
          <w:tcPr>
            <w:tcW w:w="2547" w:type="pct"/>
            <w:tcBorders>
              <w:top w:val="nil"/>
              <w:left w:val="nil"/>
              <w:bottom w:val="single" w:color="000000" w:sz="8" w:space="0"/>
              <w:right w:val="single" w:color="000000" w:sz="8" w:space="0"/>
            </w:tcBorders>
            <w:shd w:val="clear" w:color="auto" w:fill="auto"/>
            <w:vAlign w:val="center"/>
          </w:tcPr>
          <w:p w14:paraId="29F6D2F3">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完成密码测评、密码方案评审、密码应用服务、渗透测试等保二级测评、信创测评等相关工作。</w:t>
            </w:r>
          </w:p>
        </w:tc>
      </w:tr>
      <w:tr w14:paraId="7E9A42BB">
        <w:tblPrEx>
          <w:tblCellMar>
            <w:top w:w="0" w:type="dxa"/>
            <w:left w:w="108" w:type="dxa"/>
            <w:bottom w:w="0" w:type="dxa"/>
            <w:right w:w="108" w:type="dxa"/>
          </w:tblCellMar>
        </w:tblPrEx>
        <w:trPr>
          <w:gridAfter w:val="1"/>
          <w:wAfter w:w="104" w:type="pct"/>
          <w:trHeight w:val="327" w:hRule="atLeast"/>
        </w:trPr>
        <w:tc>
          <w:tcPr>
            <w:tcW w:w="338" w:type="pct"/>
            <w:tcBorders>
              <w:top w:val="nil"/>
              <w:left w:val="single" w:color="000000" w:sz="8" w:space="0"/>
              <w:bottom w:val="single" w:color="000000" w:sz="8" w:space="0"/>
              <w:right w:val="single" w:color="000000" w:sz="8" w:space="0"/>
            </w:tcBorders>
            <w:shd w:val="clear" w:color="auto" w:fill="auto"/>
            <w:noWrap/>
            <w:vAlign w:val="center"/>
          </w:tcPr>
          <w:p w14:paraId="23B91F88">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7</w:t>
            </w:r>
          </w:p>
        </w:tc>
        <w:tc>
          <w:tcPr>
            <w:tcW w:w="534" w:type="pct"/>
            <w:vMerge w:val="continue"/>
            <w:tcBorders>
              <w:top w:val="nil"/>
              <w:left w:val="nil"/>
              <w:bottom w:val="single" w:color="000000" w:sz="8" w:space="0"/>
              <w:right w:val="single" w:color="000000" w:sz="8" w:space="0"/>
            </w:tcBorders>
            <w:shd w:val="clear" w:color="auto" w:fill="auto"/>
            <w:vAlign w:val="center"/>
          </w:tcPr>
          <w:p w14:paraId="0FFB739C">
            <w:pPr>
              <w:jc w:val="center"/>
              <w:rPr>
                <w:rFonts w:hint="eastAsia" w:ascii="宋体" w:hAnsi="宋体" w:cs="宋体"/>
                <w:color w:val="000000" w:themeColor="text1"/>
                <w:sz w:val="24"/>
                <w14:textFill>
                  <w14:solidFill>
                    <w14:schemeClr w14:val="tx1"/>
                  </w14:solidFill>
                </w14:textFill>
              </w:rPr>
            </w:pPr>
          </w:p>
        </w:tc>
        <w:tc>
          <w:tcPr>
            <w:tcW w:w="535" w:type="pct"/>
            <w:vMerge w:val="restart"/>
            <w:tcBorders>
              <w:top w:val="nil"/>
              <w:left w:val="nil"/>
              <w:bottom w:val="single" w:color="000000" w:sz="8" w:space="0"/>
              <w:right w:val="single" w:color="000000" w:sz="8" w:space="0"/>
            </w:tcBorders>
            <w:shd w:val="clear" w:color="auto" w:fill="auto"/>
            <w:vAlign w:val="center"/>
          </w:tcPr>
          <w:p w14:paraId="3C8EDAEC">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议题确认</w:t>
            </w:r>
          </w:p>
        </w:tc>
        <w:tc>
          <w:tcPr>
            <w:tcW w:w="939" w:type="pct"/>
            <w:gridSpan w:val="3"/>
            <w:tcBorders>
              <w:top w:val="nil"/>
              <w:left w:val="nil"/>
              <w:bottom w:val="single" w:color="000000" w:sz="8" w:space="0"/>
              <w:right w:val="single" w:color="000000" w:sz="8" w:space="0"/>
            </w:tcBorders>
            <w:shd w:val="clear" w:color="auto" w:fill="auto"/>
            <w:vAlign w:val="center"/>
          </w:tcPr>
          <w:p w14:paraId="4F7172DD">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议题来源</w:t>
            </w:r>
          </w:p>
        </w:tc>
        <w:tc>
          <w:tcPr>
            <w:tcW w:w="2547" w:type="pct"/>
            <w:vMerge w:val="restart"/>
            <w:tcBorders>
              <w:top w:val="single" w:color="000000" w:sz="8" w:space="0"/>
              <w:left w:val="nil"/>
              <w:bottom w:val="single" w:color="000000" w:sz="8" w:space="0"/>
              <w:right w:val="single" w:color="000000" w:sz="8" w:space="0"/>
            </w:tcBorders>
            <w:shd w:val="clear" w:color="auto" w:fill="auto"/>
            <w:vAlign w:val="center"/>
          </w:tcPr>
          <w:p w14:paraId="4E506E0A">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导入监督议题及议题相关信息</w:t>
            </w:r>
          </w:p>
        </w:tc>
      </w:tr>
      <w:tr w14:paraId="66D8D101">
        <w:tblPrEx>
          <w:tblCellMar>
            <w:top w:w="0" w:type="dxa"/>
            <w:left w:w="108" w:type="dxa"/>
            <w:bottom w:w="0" w:type="dxa"/>
            <w:right w:w="108" w:type="dxa"/>
          </w:tblCellMar>
        </w:tblPrEx>
        <w:trPr>
          <w:gridAfter w:val="1"/>
          <w:wAfter w:w="104" w:type="pct"/>
          <w:trHeight w:val="327" w:hRule="atLeast"/>
        </w:trPr>
        <w:tc>
          <w:tcPr>
            <w:tcW w:w="338" w:type="pct"/>
            <w:tcBorders>
              <w:top w:val="nil"/>
              <w:left w:val="single" w:color="000000" w:sz="8" w:space="0"/>
              <w:bottom w:val="single" w:color="000000" w:sz="8" w:space="0"/>
              <w:right w:val="single" w:color="000000" w:sz="8" w:space="0"/>
            </w:tcBorders>
            <w:shd w:val="clear" w:color="auto" w:fill="auto"/>
            <w:noWrap/>
            <w:vAlign w:val="center"/>
          </w:tcPr>
          <w:p w14:paraId="7EFEFC9C">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8</w:t>
            </w:r>
          </w:p>
        </w:tc>
        <w:tc>
          <w:tcPr>
            <w:tcW w:w="534" w:type="pct"/>
            <w:vMerge w:val="continue"/>
            <w:tcBorders>
              <w:top w:val="nil"/>
              <w:left w:val="nil"/>
              <w:bottom w:val="single" w:color="000000" w:sz="8" w:space="0"/>
              <w:right w:val="single" w:color="000000" w:sz="8" w:space="0"/>
            </w:tcBorders>
            <w:shd w:val="clear" w:color="auto" w:fill="auto"/>
            <w:vAlign w:val="center"/>
          </w:tcPr>
          <w:p w14:paraId="172DF678">
            <w:pPr>
              <w:jc w:val="center"/>
              <w:rPr>
                <w:rFonts w:hint="eastAsia" w:ascii="宋体" w:hAnsi="宋体" w:cs="宋体"/>
                <w:color w:val="000000" w:themeColor="text1"/>
                <w:sz w:val="24"/>
                <w14:textFill>
                  <w14:solidFill>
                    <w14:schemeClr w14:val="tx1"/>
                  </w14:solidFill>
                </w14:textFill>
              </w:rPr>
            </w:pPr>
          </w:p>
        </w:tc>
        <w:tc>
          <w:tcPr>
            <w:tcW w:w="535" w:type="pct"/>
            <w:vMerge w:val="continue"/>
            <w:tcBorders>
              <w:top w:val="nil"/>
              <w:left w:val="nil"/>
              <w:bottom w:val="single" w:color="000000" w:sz="8" w:space="0"/>
              <w:right w:val="single" w:color="000000" w:sz="8" w:space="0"/>
            </w:tcBorders>
            <w:shd w:val="clear" w:color="auto" w:fill="auto"/>
            <w:vAlign w:val="center"/>
          </w:tcPr>
          <w:p w14:paraId="59550E91">
            <w:pPr>
              <w:jc w:val="left"/>
              <w:rPr>
                <w:rFonts w:hint="eastAsia" w:ascii="宋体" w:hAnsi="宋体" w:cs="宋体"/>
                <w:color w:val="000000" w:themeColor="text1"/>
                <w:sz w:val="24"/>
                <w14:textFill>
                  <w14:solidFill>
                    <w14:schemeClr w14:val="tx1"/>
                  </w14:solidFill>
                </w14:textFill>
              </w:rPr>
            </w:pPr>
          </w:p>
        </w:tc>
        <w:tc>
          <w:tcPr>
            <w:tcW w:w="939" w:type="pct"/>
            <w:gridSpan w:val="3"/>
            <w:tcBorders>
              <w:top w:val="nil"/>
              <w:left w:val="nil"/>
              <w:bottom w:val="single" w:color="000000" w:sz="8" w:space="0"/>
              <w:right w:val="single" w:color="000000" w:sz="8" w:space="0"/>
            </w:tcBorders>
            <w:shd w:val="clear" w:color="auto" w:fill="auto"/>
            <w:vAlign w:val="center"/>
          </w:tcPr>
          <w:p w14:paraId="2F1CBAA0">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专工委梳理提出建议</w:t>
            </w:r>
          </w:p>
        </w:tc>
        <w:tc>
          <w:tcPr>
            <w:tcW w:w="2547" w:type="pct"/>
            <w:vMerge w:val="continue"/>
            <w:tcBorders>
              <w:top w:val="single" w:color="000000" w:sz="8" w:space="0"/>
              <w:left w:val="nil"/>
              <w:bottom w:val="single" w:color="000000" w:sz="8" w:space="0"/>
              <w:right w:val="single" w:color="000000" w:sz="8" w:space="0"/>
            </w:tcBorders>
            <w:shd w:val="clear" w:color="auto" w:fill="auto"/>
            <w:vAlign w:val="center"/>
          </w:tcPr>
          <w:p w14:paraId="7C305FD1">
            <w:pPr>
              <w:jc w:val="left"/>
              <w:rPr>
                <w:rFonts w:hint="eastAsia" w:ascii="宋体" w:hAnsi="宋体" w:cs="宋体"/>
                <w:color w:val="000000" w:themeColor="text1"/>
                <w:sz w:val="24"/>
                <w14:textFill>
                  <w14:solidFill>
                    <w14:schemeClr w14:val="tx1"/>
                  </w14:solidFill>
                </w14:textFill>
              </w:rPr>
            </w:pPr>
          </w:p>
        </w:tc>
      </w:tr>
      <w:tr w14:paraId="78DA5FF8">
        <w:tblPrEx>
          <w:tblCellMar>
            <w:top w:w="0" w:type="dxa"/>
            <w:left w:w="108" w:type="dxa"/>
            <w:bottom w:w="0" w:type="dxa"/>
            <w:right w:w="108" w:type="dxa"/>
          </w:tblCellMar>
        </w:tblPrEx>
        <w:trPr>
          <w:gridAfter w:val="1"/>
          <w:wAfter w:w="104" w:type="pct"/>
          <w:trHeight w:val="327" w:hRule="atLeast"/>
        </w:trPr>
        <w:tc>
          <w:tcPr>
            <w:tcW w:w="338" w:type="pct"/>
            <w:tcBorders>
              <w:top w:val="nil"/>
              <w:left w:val="single" w:color="000000" w:sz="8" w:space="0"/>
              <w:bottom w:val="single" w:color="000000" w:sz="8" w:space="0"/>
              <w:right w:val="single" w:color="000000" w:sz="8" w:space="0"/>
            </w:tcBorders>
            <w:shd w:val="clear" w:color="auto" w:fill="auto"/>
            <w:noWrap/>
            <w:vAlign w:val="center"/>
          </w:tcPr>
          <w:p w14:paraId="26D70BC6">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9</w:t>
            </w:r>
          </w:p>
        </w:tc>
        <w:tc>
          <w:tcPr>
            <w:tcW w:w="534" w:type="pct"/>
            <w:vMerge w:val="continue"/>
            <w:tcBorders>
              <w:top w:val="nil"/>
              <w:left w:val="nil"/>
              <w:bottom w:val="single" w:color="000000" w:sz="8" w:space="0"/>
              <w:right w:val="single" w:color="000000" w:sz="8" w:space="0"/>
            </w:tcBorders>
            <w:shd w:val="clear" w:color="auto" w:fill="auto"/>
            <w:vAlign w:val="center"/>
          </w:tcPr>
          <w:p w14:paraId="22EB80CD">
            <w:pPr>
              <w:jc w:val="center"/>
              <w:rPr>
                <w:rFonts w:hint="eastAsia" w:ascii="宋体" w:hAnsi="宋体" w:cs="宋体"/>
                <w:color w:val="000000" w:themeColor="text1"/>
                <w:sz w:val="24"/>
                <w14:textFill>
                  <w14:solidFill>
                    <w14:schemeClr w14:val="tx1"/>
                  </w14:solidFill>
                </w14:textFill>
              </w:rPr>
            </w:pPr>
          </w:p>
        </w:tc>
        <w:tc>
          <w:tcPr>
            <w:tcW w:w="535" w:type="pct"/>
            <w:vMerge w:val="continue"/>
            <w:tcBorders>
              <w:top w:val="nil"/>
              <w:left w:val="nil"/>
              <w:bottom w:val="single" w:color="000000" w:sz="8" w:space="0"/>
              <w:right w:val="single" w:color="000000" w:sz="8" w:space="0"/>
            </w:tcBorders>
            <w:shd w:val="clear" w:color="auto" w:fill="auto"/>
            <w:vAlign w:val="center"/>
          </w:tcPr>
          <w:p w14:paraId="3FB8F218">
            <w:pPr>
              <w:jc w:val="left"/>
              <w:rPr>
                <w:rFonts w:hint="eastAsia" w:ascii="宋体" w:hAnsi="宋体" w:cs="宋体"/>
                <w:color w:val="000000" w:themeColor="text1"/>
                <w:sz w:val="24"/>
                <w14:textFill>
                  <w14:solidFill>
                    <w14:schemeClr w14:val="tx1"/>
                  </w14:solidFill>
                </w14:textFill>
              </w:rPr>
            </w:pPr>
          </w:p>
        </w:tc>
        <w:tc>
          <w:tcPr>
            <w:tcW w:w="939" w:type="pct"/>
            <w:gridSpan w:val="3"/>
            <w:tcBorders>
              <w:top w:val="nil"/>
              <w:left w:val="nil"/>
              <w:bottom w:val="single" w:color="000000" w:sz="8" w:space="0"/>
              <w:right w:val="single" w:color="000000" w:sz="8" w:space="0"/>
            </w:tcBorders>
            <w:shd w:val="clear" w:color="auto" w:fill="auto"/>
            <w:vAlign w:val="center"/>
          </w:tcPr>
          <w:p w14:paraId="352C5058">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主任会议通过</w:t>
            </w:r>
          </w:p>
        </w:tc>
        <w:tc>
          <w:tcPr>
            <w:tcW w:w="2547" w:type="pct"/>
            <w:vMerge w:val="continue"/>
            <w:tcBorders>
              <w:top w:val="single" w:color="000000" w:sz="8" w:space="0"/>
              <w:left w:val="nil"/>
              <w:bottom w:val="single" w:color="000000" w:sz="8" w:space="0"/>
              <w:right w:val="single" w:color="000000" w:sz="8" w:space="0"/>
            </w:tcBorders>
            <w:shd w:val="clear" w:color="auto" w:fill="auto"/>
            <w:vAlign w:val="center"/>
          </w:tcPr>
          <w:p w14:paraId="001320B5">
            <w:pPr>
              <w:jc w:val="left"/>
              <w:rPr>
                <w:rFonts w:hint="eastAsia" w:ascii="宋体" w:hAnsi="宋体" w:cs="宋体"/>
                <w:color w:val="000000" w:themeColor="text1"/>
                <w:sz w:val="24"/>
                <w14:textFill>
                  <w14:solidFill>
                    <w14:schemeClr w14:val="tx1"/>
                  </w14:solidFill>
                </w14:textFill>
              </w:rPr>
            </w:pPr>
          </w:p>
        </w:tc>
      </w:tr>
      <w:tr w14:paraId="7726FFEE">
        <w:tblPrEx>
          <w:tblCellMar>
            <w:top w:w="0" w:type="dxa"/>
            <w:left w:w="108" w:type="dxa"/>
            <w:bottom w:w="0" w:type="dxa"/>
            <w:right w:w="108" w:type="dxa"/>
          </w:tblCellMar>
        </w:tblPrEx>
        <w:trPr>
          <w:gridAfter w:val="1"/>
          <w:wAfter w:w="104" w:type="pct"/>
          <w:trHeight w:val="327" w:hRule="atLeast"/>
        </w:trPr>
        <w:tc>
          <w:tcPr>
            <w:tcW w:w="338" w:type="pct"/>
            <w:tcBorders>
              <w:top w:val="nil"/>
              <w:left w:val="single" w:color="000000" w:sz="8" w:space="0"/>
              <w:bottom w:val="single" w:color="000000" w:sz="8" w:space="0"/>
              <w:right w:val="single" w:color="000000" w:sz="8" w:space="0"/>
            </w:tcBorders>
            <w:shd w:val="clear" w:color="auto" w:fill="auto"/>
            <w:noWrap/>
            <w:vAlign w:val="center"/>
          </w:tcPr>
          <w:p w14:paraId="6CA0B157">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10</w:t>
            </w:r>
          </w:p>
        </w:tc>
        <w:tc>
          <w:tcPr>
            <w:tcW w:w="534" w:type="pct"/>
            <w:vMerge w:val="continue"/>
            <w:tcBorders>
              <w:top w:val="nil"/>
              <w:left w:val="nil"/>
              <w:bottom w:val="single" w:color="000000" w:sz="8" w:space="0"/>
              <w:right w:val="single" w:color="000000" w:sz="8" w:space="0"/>
            </w:tcBorders>
            <w:shd w:val="clear" w:color="auto" w:fill="auto"/>
            <w:vAlign w:val="center"/>
          </w:tcPr>
          <w:p w14:paraId="6BC05502">
            <w:pPr>
              <w:jc w:val="center"/>
              <w:rPr>
                <w:rFonts w:hint="eastAsia" w:ascii="宋体" w:hAnsi="宋体" w:cs="宋体"/>
                <w:color w:val="000000" w:themeColor="text1"/>
                <w:sz w:val="24"/>
                <w14:textFill>
                  <w14:solidFill>
                    <w14:schemeClr w14:val="tx1"/>
                  </w14:solidFill>
                </w14:textFill>
              </w:rPr>
            </w:pPr>
          </w:p>
        </w:tc>
        <w:tc>
          <w:tcPr>
            <w:tcW w:w="535" w:type="pct"/>
            <w:vMerge w:val="continue"/>
            <w:tcBorders>
              <w:top w:val="nil"/>
              <w:left w:val="nil"/>
              <w:bottom w:val="single" w:color="000000" w:sz="8" w:space="0"/>
              <w:right w:val="single" w:color="000000" w:sz="8" w:space="0"/>
            </w:tcBorders>
            <w:shd w:val="clear" w:color="auto" w:fill="auto"/>
            <w:vAlign w:val="center"/>
          </w:tcPr>
          <w:p w14:paraId="4C8A180D">
            <w:pPr>
              <w:jc w:val="left"/>
              <w:rPr>
                <w:rFonts w:hint="eastAsia" w:ascii="宋体" w:hAnsi="宋体" w:cs="宋体"/>
                <w:color w:val="000000" w:themeColor="text1"/>
                <w:sz w:val="24"/>
                <w14:textFill>
                  <w14:solidFill>
                    <w14:schemeClr w14:val="tx1"/>
                  </w14:solidFill>
                </w14:textFill>
              </w:rPr>
            </w:pPr>
          </w:p>
        </w:tc>
        <w:tc>
          <w:tcPr>
            <w:tcW w:w="939" w:type="pct"/>
            <w:gridSpan w:val="3"/>
            <w:tcBorders>
              <w:top w:val="nil"/>
              <w:left w:val="nil"/>
              <w:bottom w:val="single" w:color="000000" w:sz="8" w:space="0"/>
              <w:right w:val="single" w:color="000000" w:sz="8" w:space="0"/>
            </w:tcBorders>
            <w:shd w:val="clear" w:color="auto" w:fill="auto"/>
            <w:vAlign w:val="center"/>
          </w:tcPr>
          <w:p w14:paraId="68C97AF8">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列入计划并公布</w:t>
            </w:r>
          </w:p>
        </w:tc>
        <w:tc>
          <w:tcPr>
            <w:tcW w:w="2547" w:type="pct"/>
            <w:vMerge w:val="continue"/>
            <w:tcBorders>
              <w:top w:val="single" w:color="000000" w:sz="8" w:space="0"/>
              <w:left w:val="nil"/>
              <w:bottom w:val="single" w:color="000000" w:sz="8" w:space="0"/>
              <w:right w:val="single" w:color="000000" w:sz="8" w:space="0"/>
            </w:tcBorders>
            <w:shd w:val="clear" w:color="auto" w:fill="auto"/>
            <w:vAlign w:val="center"/>
          </w:tcPr>
          <w:p w14:paraId="147F6A8B">
            <w:pPr>
              <w:jc w:val="left"/>
              <w:rPr>
                <w:rFonts w:hint="eastAsia" w:ascii="宋体" w:hAnsi="宋体" w:cs="宋体"/>
                <w:color w:val="000000" w:themeColor="text1"/>
                <w:sz w:val="24"/>
                <w14:textFill>
                  <w14:solidFill>
                    <w14:schemeClr w14:val="tx1"/>
                  </w14:solidFill>
                </w14:textFill>
              </w:rPr>
            </w:pPr>
          </w:p>
        </w:tc>
      </w:tr>
      <w:tr w14:paraId="343DBCDE">
        <w:tblPrEx>
          <w:tblCellMar>
            <w:top w:w="0" w:type="dxa"/>
            <w:left w:w="108" w:type="dxa"/>
            <w:bottom w:w="0" w:type="dxa"/>
            <w:right w:w="108" w:type="dxa"/>
          </w:tblCellMar>
        </w:tblPrEx>
        <w:trPr>
          <w:gridAfter w:val="1"/>
          <w:wAfter w:w="104" w:type="pct"/>
          <w:trHeight w:val="327" w:hRule="atLeast"/>
        </w:trPr>
        <w:tc>
          <w:tcPr>
            <w:tcW w:w="338" w:type="pct"/>
            <w:tcBorders>
              <w:top w:val="nil"/>
              <w:left w:val="single" w:color="000000" w:sz="8" w:space="0"/>
              <w:bottom w:val="single" w:color="000000" w:sz="8" w:space="0"/>
              <w:right w:val="single" w:color="000000" w:sz="8" w:space="0"/>
            </w:tcBorders>
            <w:shd w:val="clear" w:color="auto" w:fill="auto"/>
            <w:noWrap/>
            <w:vAlign w:val="center"/>
          </w:tcPr>
          <w:p w14:paraId="2E353876">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11</w:t>
            </w:r>
          </w:p>
        </w:tc>
        <w:tc>
          <w:tcPr>
            <w:tcW w:w="534" w:type="pct"/>
            <w:vMerge w:val="continue"/>
            <w:tcBorders>
              <w:top w:val="nil"/>
              <w:left w:val="nil"/>
              <w:bottom w:val="single" w:color="000000" w:sz="8" w:space="0"/>
              <w:right w:val="single" w:color="000000" w:sz="8" w:space="0"/>
            </w:tcBorders>
            <w:shd w:val="clear" w:color="auto" w:fill="auto"/>
            <w:vAlign w:val="center"/>
          </w:tcPr>
          <w:p w14:paraId="4AC3C907">
            <w:pPr>
              <w:jc w:val="center"/>
              <w:rPr>
                <w:rFonts w:hint="eastAsia" w:ascii="宋体" w:hAnsi="宋体" w:cs="宋体"/>
                <w:color w:val="000000" w:themeColor="text1"/>
                <w:sz w:val="24"/>
                <w14:textFill>
                  <w14:solidFill>
                    <w14:schemeClr w14:val="tx1"/>
                  </w14:solidFill>
                </w14:textFill>
              </w:rPr>
            </w:pPr>
          </w:p>
        </w:tc>
        <w:tc>
          <w:tcPr>
            <w:tcW w:w="535" w:type="pct"/>
            <w:vMerge w:val="continue"/>
            <w:tcBorders>
              <w:top w:val="nil"/>
              <w:left w:val="nil"/>
              <w:bottom w:val="single" w:color="000000" w:sz="8" w:space="0"/>
              <w:right w:val="single" w:color="000000" w:sz="8" w:space="0"/>
            </w:tcBorders>
            <w:shd w:val="clear" w:color="auto" w:fill="auto"/>
            <w:vAlign w:val="center"/>
          </w:tcPr>
          <w:p w14:paraId="5403FA4B">
            <w:pPr>
              <w:jc w:val="left"/>
              <w:rPr>
                <w:rFonts w:hint="eastAsia" w:ascii="宋体" w:hAnsi="宋体" w:cs="宋体"/>
                <w:color w:val="000000" w:themeColor="text1"/>
                <w:sz w:val="24"/>
                <w14:textFill>
                  <w14:solidFill>
                    <w14:schemeClr w14:val="tx1"/>
                  </w14:solidFill>
                </w14:textFill>
              </w:rPr>
            </w:pPr>
          </w:p>
        </w:tc>
        <w:tc>
          <w:tcPr>
            <w:tcW w:w="939" w:type="pct"/>
            <w:gridSpan w:val="3"/>
            <w:tcBorders>
              <w:top w:val="nil"/>
              <w:left w:val="nil"/>
              <w:bottom w:val="single" w:color="000000" w:sz="8" w:space="0"/>
              <w:right w:val="single" w:color="000000" w:sz="8" w:space="0"/>
            </w:tcBorders>
            <w:shd w:val="clear" w:color="auto" w:fill="auto"/>
            <w:vAlign w:val="center"/>
          </w:tcPr>
          <w:p w14:paraId="37A5E68A">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上级人大要求</w:t>
            </w:r>
          </w:p>
        </w:tc>
        <w:tc>
          <w:tcPr>
            <w:tcW w:w="2547" w:type="pct"/>
            <w:vMerge w:val="continue"/>
            <w:tcBorders>
              <w:top w:val="single" w:color="000000" w:sz="8" w:space="0"/>
              <w:left w:val="nil"/>
              <w:bottom w:val="single" w:color="000000" w:sz="8" w:space="0"/>
              <w:right w:val="single" w:color="000000" w:sz="8" w:space="0"/>
            </w:tcBorders>
            <w:shd w:val="clear" w:color="auto" w:fill="auto"/>
            <w:vAlign w:val="center"/>
          </w:tcPr>
          <w:p w14:paraId="728A070F">
            <w:pPr>
              <w:jc w:val="left"/>
              <w:rPr>
                <w:rFonts w:hint="eastAsia" w:ascii="宋体" w:hAnsi="宋体" w:cs="宋体"/>
                <w:color w:val="000000" w:themeColor="text1"/>
                <w:sz w:val="24"/>
                <w14:textFill>
                  <w14:solidFill>
                    <w14:schemeClr w14:val="tx1"/>
                  </w14:solidFill>
                </w14:textFill>
              </w:rPr>
            </w:pPr>
          </w:p>
        </w:tc>
      </w:tr>
      <w:tr w14:paraId="28C2A90B">
        <w:tblPrEx>
          <w:tblCellMar>
            <w:top w:w="0" w:type="dxa"/>
            <w:left w:w="108" w:type="dxa"/>
            <w:bottom w:w="0" w:type="dxa"/>
            <w:right w:w="108" w:type="dxa"/>
          </w:tblCellMar>
        </w:tblPrEx>
        <w:trPr>
          <w:gridAfter w:val="1"/>
          <w:wAfter w:w="104" w:type="pct"/>
          <w:trHeight w:val="327" w:hRule="atLeast"/>
        </w:trPr>
        <w:tc>
          <w:tcPr>
            <w:tcW w:w="338" w:type="pct"/>
            <w:tcBorders>
              <w:top w:val="nil"/>
              <w:left w:val="single" w:color="000000" w:sz="8" w:space="0"/>
              <w:bottom w:val="single" w:color="000000" w:sz="8" w:space="0"/>
              <w:right w:val="single" w:color="000000" w:sz="8" w:space="0"/>
            </w:tcBorders>
            <w:shd w:val="clear" w:color="auto" w:fill="auto"/>
            <w:noWrap/>
            <w:vAlign w:val="center"/>
          </w:tcPr>
          <w:p w14:paraId="3F835236">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12</w:t>
            </w:r>
          </w:p>
        </w:tc>
        <w:tc>
          <w:tcPr>
            <w:tcW w:w="534" w:type="pct"/>
            <w:vMerge w:val="continue"/>
            <w:tcBorders>
              <w:top w:val="nil"/>
              <w:left w:val="nil"/>
              <w:bottom w:val="single" w:color="000000" w:sz="8" w:space="0"/>
              <w:right w:val="single" w:color="000000" w:sz="8" w:space="0"/>
            </w:tcBorders>
            <w:shd w:val="clear" w:color="auto" w:fill="auto"/>
            <w:vAlign w:val="center"/>
          </w:tcPr>
          <w:p w14:paraId="2BF5B8FC">
            <w:pPr>
              <w:jc w:val="center"/>
              <w:rPr>
                <w:rFonts w:hint="eastAsia" w:ascii="宋体" w:hAnsi="宋体" w:cs="宋体"/>
                <w:color w:val="000000" w:themeColor="text1"/>
                <w:sz w:val="24"/>
                <w14:textFill>
                  <w14:solidFill>
                    <w14:schemeClr w14:val="tx1"/>
                  </w14:solidFill>
                </w14:textFill>
              </w:rPr>
            </w:pPr>
          </w:p>
        </w:tc>
        <w:tc>
          <w:tcPr>
            <w:tcW w:w="535" w:type="pct"/>
            <w:vMerge w:val="restart"/>
            <w:tcBorders>
              <w:top w:val="nil"/>
              <w:left w:val="nil"/>
              <w:bottom w:val="single" w:color="000000" w:sz="8" w:space="0"/>
              <w:right w:val="single" w:color="000000" w:sz="8" w:space="0"/>
            </w:tcBorders>
            <w:shd w:val="clear" w:color="auto" w:fill="auto"/>
            <w:vAlign w:val="center"/>
          </w:tcPr>
          <w:p w14:paraId="0CC66D72">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前期准备</w:t>
            </w:r>
          </w:p>
        </w:tc>
        <w:tc>
          <w:tcPr>
            <w:tcW w:w="939" w:type="pct"/>
            <w:gridSpan w:val="3"/>
            <w:tcBorders>
              <w:top w:val="nil"/>
              <w:left w:val="nil"/>
              <w:bottom w:val="single" w:color="000000" w:sz="8" w:space="0"/>
              <w:right w:val="single" w:color="000000" w:sz="8" w:space="0"/>
            </w:tcBorders>
            <w:shd w:val="clear" w:color="auto" w:fill="auto"/>
            <w:vAlign w:val="center"/>
          </w:tcPr>
          <w:p w14:paraId="33617659">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与政府部门对接</w:t>
            </w:r>
          </w:p>
        </w:tc>
        <w:tc>
          <w:tcPr>
            <w:tcW w:w="2547" w:type="pct"/>
            <w:vMerge w:val="restart"/>
            <w:tcBorders>
              <w:top w:val="nil"/>
              <w:left w:val="nil"/>
              <w:bottom w:val="single" w:color="000000" w:sz="8" w:space="0"/>
              <w:right w:val="single" w:color="000000" w:sz="8" w:space="0"/>
            </w:tcBorders>
            <w:shd w:val="clear" w:color="auto" w:fill="auto"/>
            <w:vAlign w:val="center"/>
          </w:tcPr>
          <w:p w14:paraId="3D05F632">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导入前期监督的准备材料以及实施方案等</w:t>
            </w:r>
          </w:p>
        </w:tc>
      </w:tr>
      <w:tr w14:paraId="0836C3A0">
        <w:tblPrEx>
          <w:tblCellMar>
            <w:top w:w="0" w:type="dxa"/>
            <w:left w:w="108" w:type="dxa"/>
            <w:bottom w:w="0" w:type="dxa"/>
            <w:right w:w="108" w:type="dxa"/>
          </w:tblCellMar>
        </w:tblPrEx>
        <w:trPr>
          <w:gridAfter w:val="1"/>
          <w:wAfter w:w="104" w:type="pct"/>
          <w:trHeight w:val="327" w:hRule="atLeast"/>
        </w:trPr>
        <w:tc>
          <w:tcPr>
            <w:tcW w:w="338" w:type="pct"/>
            <w:tcBorders>
              <w:top w:val="nil"/>
              <w:left w:val="single" w:color="000000" w:sz="8" w:space="0"/>
              <w:bottom w:val="single" w:color="000000" w:sz="8" w:space="0"/>
              <w:right w:val="single" w:color="000000" w:sz="8" w:space="0"/>
            </w:tcBorders>
            <w:shd w:val="clear" w:color="auto" w:fill="auto"/>
            <w:noWrap/>
            <w:vAlign w:val="center"/>
          </w:tcPr>
          <w:p w14:paraId="4EDBCC68">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13</w:t>
            </w:r>
          </w:p>
        </w:tc>
        <w:tc>
          <w:tcPr>
            <w:tcW w:w="534" w:type="pct"/>
            <w:vMerge w:val="continue"/>
            <w:tcBorders>
              <w:top w:val="nil"/>
              <w:left w:val="nil"/>
              <w:bottom w:val="single" w:color="000000" w:sz="8" w:space="0"/>
              <w:right w:val="single" w:color="000000" w:sz="8" w:space="0"/>
            </w:tcBorders>
            <w:shd w:val="clear" w:color="auto" w:fill="auto"/>
            <w:vAlign w:val="center"/>
          </w:tcPr>
          <w:p w14:paraId="613DA193">
            <w:pPr>
              <w:jc w:val="center"/>
              <w:rPr>
                <w:rFonts w:hint="eastAsia" w:ascii="宋体" w:hAnsi="宋体" w:cs="宋体"/>
                <w:color w:val="000000" w:themeColor="text1"/>
                <w:sz w:val="24"/>
                <w14:textFill>
                  <w14:solidFill>
                    <w14:schemeClr w14:val="tx1"/>
                  </w14:solidFill>
                </w14:textFill>
              </w:rPr>
            </w:pPr>
          </w:p>
        </w:tc>
        <w:tc>
          <w:tcPr>
            <w:tcW w:w="535" w:type="pct"/>
            <w:vMerge w:val="continue"/>
            <w:tcBorders>
              <w:top w:val="nil"/>
              <w:left w:val="nil"/>
              <w:bottom w:val="single" w:color="000000" w:sz="8" w:space="0"/>
              <w:right w:val="single" w:color="000000" w:sz="8" w:space="0"/>
            </w:tcBorders>
            <w:shd w:val="clear" w:color="auto" w:fill="auto"/>
            <w:vAlign w:val="center"/>
          </w:tcPr>
          <w:p w14:paraId="146C5E8B">
            <w:pPr>
              <w:jc w:val="left"/>
              <w:rPr>
                <w:rFonts w:hint="eastAsia" w:ascii="宋体" w:hAnsi="宋体" w:cs="宋体"/>
                <w:color w:val="000000" w:themeColor="text1"/>
                <w:sz w:val="24"/>
                <w14:textFill>
                  <w14:solidFill>
                    <w14:schemeClr w14:val="tx1"/>
                  </w14:solidFill>
                </w14:textFill>
              </w:rPr>
            </w:pPr>
          </w:p>
        </w:tc>
        <w:tc>
          <w:tcPr>
            <w:tcW w:w="939" w:type="pct"/>
            <w:gridSpan w:val="3"/>
            <w:tcBorders>
              <w:top w:val="nil"/>
              <w:left w:val="nil"/>
              <w:bottom w:val="single" w:color="000000" w:sz="8" w:space="0"/>
              <w:right w:val="single" w:color="000000" w:sz="8" w:space="0"/>
            </w:tcBorders>
            <w:shd w:val="clear" w:color="auto" w:fill="auto"/>
            <w:vAlign w:val="center"/>
          </w:tcPr>
          <w:p w14:paraId="1C73C1AE">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制定实施方案</w:t>
            </w:r>
          </w:p>
        </w:tc>
        <w:tc>
          <w:tcPr>
            <w:tcW w:w="2547" w:type="pct"/>
            <w:vMerge w:val="continue"/>
            <w:tcBorders>
              <w:top w:val="nil"/>
              <w:left w:val="nil"/>
              <w:bottom w:val="single" w:color="000000" w:sz="8" w:space="0"/>
              <w:right w:val="single" w:color="000000" w:sz="8" w:space="0"/>
            </w:tcBorders>
            <w:shd w:val="clear" w:color="auto" w:fill="auto"/>
            <w:vAlign w:val="center"/>
          </w:tcPr>
          <w:p w14:paraId="1FD9F91E">
            <w:pPr>
              <w:jc w:val="left"/>
              <w:rPr>
                <w:rFonts w:hint="eastAsia" w:ascii="宋体" w:hAnsi="宋体" w:cs="宋体"/>
                <w:color w:val="000000" w:themeColor="text1"/>
                <w:sz w:val="24"/>
                <w14:textFill>
                  <w14:solidFill>
                    <w14:schemeClr w14:val="tx1"/>
                  </w14:solidFill>
                </w14:textFill>
              </w:rPr>
            </w:pPr>
          </w:p>
        </w:tc>
      </w:tr>
      <w:tr w14:paraId="1796665B">
        <w:tblPrEx>
          <w:tblCellMar>
            <w:top w:w="0" w:type="dxa"/>
            <w:left w:w="108" w:type="dxa"/>
            <w:bottom w:w="0" w:type="dxa"/>
            <w:right w:w="108" w:type="dxa"/>
          </w:tblCellMar>
        </w:tblPrEx>
        <w:trPr>
          <w:gridAfter w:val="1"/>
          <w:wAfter w:w="104" w:type="pct"/>
          <w:trHeight w:val="327" w:hRule="atLeast"/>
        </w:trPr>
        <w:tc>
          <w:tcPr>
            <w:tcW w:w="338" w:type="pct"/>
            <w:tcBorders>
              <w:top w:val="nil"/>
              <w:left w:val="single" w:color="000000" w:sz="8" w:space="0"/>
              <w:bottom w:val="single" w:color="000000" w:sz="8" w:space="0"/>
              <w:right w:val="single" w:color="000000" w:sz="8" w:space="0"/>
            </w:tcBorders>
            <w:shd w:val="clear" w:color="auto" w:fill="auto"/>
            <w:noWrap/>
            <w:vAlign w:val="center"/>
          </w:tcPr>
          <w:p w14:paraId="37FB8ECB">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14</w:t>
            </w:r>
          </w:p>
        </w:tc>
        <w:tc>
          <w:tcPr>
            <w:tcW w:w="534" w:type="pct"/>
            <w:vMerge w:val="continue"/>
            <w:tcBorders>
              <w:top w:val="nil"/>
              <w:left w:val="nil"/>
              <w:bottom w:val="single" w:color="000000" w:sz="8" w:space="0"/>
              <w:right w:val="single" w:color="000000" w:sz="8" w:space="0"/>
            </w:tcBorders>
            <w:shd w:val="clear" w:color="auto" w:fill="auto"/>
            <w:vAlign w:val="center"/>
          </w:tcPr>
          <w:p w14:paraId="48A1C807">
            <w:pPr>
              <w:jc w:val="center"/>
              <w:rPr>
                <w:rFonts w:hint="eastAsia" w:ascii="宋体" w:hAnsi="宋体" w:cs="宋体"/>
                <w:color w:val="000000" w:themeColor="text1"/>
                <w:sz w:val="24"/>
                <w14:textFill>
                  <w14:solidFill>
                    <w14:schemeClr w14:val="tx1"/>
                  </w14:solidFill>
                </w14:textFill>
              </w:rPr>
            </w:pPr>
          </w:p>
        </w:tc>
        <w:tc>
          <w:tcPr>
            <w:tcW w:w="535" w:type="pct"/>
            <w:vMerge w:val="continue"/>
            <w:tcBorders>
              <w:top w:val="nil"/>
              <w:left w:val="nil"/>
              <w:bottom w:val="single" w:color="000000" w:sz="8" w:space="0"/>
              <w:right w:val="single" w:color="000000" w:sz="8" w:space="0"/>
            </w:tcBorders>
            <w:shd w:val="clear" w:color="auto" w:fill="auto"/>
            <w:vAlign w:val="center"/>
          </w:tcPr>
          <w:p w14:paraId="01839CEC">
            <w:pPr>
              <w:jc w:val="left"/>
              <w:rPr>
                <w:rFonts w:hint="eastAsia" w:ascii="宋体" w:hAnsi="宋体" w:cs="宋体"/>
                <w:color w:val="000000" w:themeColor="text1"/>
                <w:sz w:val="24"/>
                <w14:textFill>
                  <w14:solidFill>
                    <w14:schemeClr w14:val="tx1"/>
                  </w14:solidFill>
                </w14:textFill>
              </w:rPr>
            </w:pPr>
          </w:p>
        </w:tc>
        <w:tc>
          <w:tcPr>
            <w:tcW w:w="939" w:type="pct"/>
            <w:gridSpan w:val="3"/>
            <w:tcBorders>
              <w:top w:val="nil"/>
              <w:left w:val="nil"/>
              <w:bottom w:val="single" w:color="000000" w:sz="8" w:space="0"/>
              <w:right w:val="single" w:color="000000" w:sz="8" w:space="0"/>
            </w:tcBorders>
            <w:shd w:val="clear" w:color="auto" w:fill="auto"/>
            <w:vAlign w:val="center"/>
          </w:tcPr>
          <w:p w14:paraId="3127BE2F">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主任会议通过并印发</w:t>
            </w:r>
          </w:p>
        </w:tc>
        <w:tc>
          <w:tcPr>
            <w:tcW w:w="2547" w:type="pct"/>
            <w:vMerge w:val="continue"/>
            <w:tcBorders>
              <w:top w:val="nil"/>
              <w:left w:val="nil"/>
              <w:bottom w:val="single" w:color="000000" w:sz="8" w:space="0"/>
              <w:right w:val="single" w:color="000000" w:sz="8" w:space="0"/>
            </w:tcBorders>
            <w:shd w:val="clear" w:color="auto" w:fill="auto"/>
            <w:vAlign w:val="center"/>
          </w:tcPr>
          <w:p w14:paraId="5CB7F09C">
            <w:pPr>
              <w:jc w:val="left"/>
              <w:rPr>
                <w:rFonts w:hint="eastAsia" w:ascii="宋体" w:hAnsi="宋体" w:cs="宋体"/>
                <w:color w:val="000000" w:themeColor="text1"/>
                <w:sz w:val="24"/>
                <w14:textFill>
                  <w14:solidFill>
                    <w14:schemeClr w14:val="tx1"/>
                  </w14:solidFill>
                </w14:textFill>
              </w:rPr>
            </w:pPr>
          </w:p>
        </w:tc>
      </w:tr>
      <w:tr w14:paraId="1A366538">
        <w:tblPrEx>
          <w:tblCellMar>
            <w:top w:w="0" w:type="dxa"/>
            <w:left w:w="108" w:type="dxa"/>
            <w:bottom w:w="0" w:type="dxa"/>
            <w:right w:w="108" w:type="dxa"/>
          </w:tblCellMar>
        </w:tblPrEx>
        <w:trPr>
          <w:gridAfter w:val="1"/>
          <w:wAfter w:w="104" w:type="pct"/>
          <w:trHeight w:val="327" w:hRule="atLeast"/>
        </w:trPr>
        <w:tc>
          <w:tcPr>
            <w:tcW w:w="338" w:type="pct"/>
            <w:tcBorders>
              <w:top w:val="nil"/>
              <w:left w:val="single" w:color="000000" w:sz="8" w:space="0"/>
              <w:bottom w:val="single" w:color="000000" w:sz="8" w:space="0"/>
              <w:right w:val="single" w:color="000000" w:sz="8" w:space="0"/>
            </w:tcBorders>
            <w:shd w:val="clear" w:color="auto" w:fill="auto"/>
            <w:noWrap/>
            <w:vAlign w:val="center"/>
          </w:tcPr>
          <w:p w14:paraId="7FE16C66">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15</w:t>
            </w:r>
          </w:p>
        </w:tc>
        <w:tc>
          <w:tcPr>
            <w:tcW w:w="534" w:type="pct"/>
            <w:vMerge w:val="continue"/>
            <w:tcBorders>
              <w:top w:val="nil"/>
              <w:left w:val="nil"/>
              <w:bottom w:val="single" w:color="000000" w:sz="8" w:space="0"/>
              <w:right w:val="single" w:color="000000" w:sz="8" w:space="0"/>
            </w:tcBorders>
            <w:shd w:val="clear" w:color="auto" w:fill="auto"/>
            <w:vAlign w:val="center"/>
          </w:tcPr>
          <w:p w14:paraId="06087FDE">
            <w:pPr>
              <w:jc w:val="center"/>
              <w:rPr>
                <w:rFonts w:hint="eastAsia" w:ascii="宋体" w:hAnsi="宋体" w:cs="宋体"/>
                <w:color w:val="000000" w:themeColor="text1"/>
                <w:sz w:val="24"/>
                <w14:textFill>
                  <w14:solidFill>
                    <w14:schemeClr w14:val="tx1"/>
                  </w14:solidFill>
                </w14:textFill>
              </w:rPr>
            </w:pPr>
          </w:p>
        </w:tc>
        <w:tc>
          <w:tcPr>
            <w:tcW w:w="535" w:type="pct"/>
            <w:vMerge w:val="continue"/>
            <w:tcBorders>
              <w:top w:val="nil"/>
              <w:left w:val="nil"/>
              <w:bottom w:val="single" w:color="000000" w:sz="8" w:space="0"/>
              <w:right w:val="single" w:color="000000" w:sz="8" w:space="0"/>
            </w:tcBorders>
            <w:shd w:val="clear" w:color="auto" w:fill="auto"/>
            <w:vAlign w:val="center"/>
          </w:tcPr>
          <w:p w14:paraId="0F1E100A">
            <w:pPr>
              <w:jc w:val="left"/>
              <w:rPr>
                <w:rFonts w:hint="eastAsia" w:ascii="宋体" w:hAnsi="宋体" w:cs="宋体"/>
                <w:color w:val="000000" w:themeColor="text1"/>
                <w:sz w:val="24"/>
                <w14:textFill>
                  <w14:solidFill>
                    <w14:schemeClr w14:val="tx1"/>
                  </w14:solidFill>
                </w14:textFill>
              </w:rPr>
            </w:pPr>
          </w:p>
        </w:tc>
        <w:tc>
          <w:tcPr>
            <w:tcW w:w="939" w:type="pct"/>
            <w:gridSpan w:val="3"/>
            <w:tcBorders>
              <w:top w:val="nil"/>
              <w:left w:val="nil"/>
              <w:bottom w:val="single" w:color="000000" w:sz="8" w:space="0"/>
              <w:right w:val="single" w:color="000000" w:sz="8" w:space="0"/>
            </w:tcBorders>
            <w:shd w:val="clear" w:color="auto" w:fill="auto"/>
            <w:vAlign w:val="center"/>
          </w:tcPr>
          <w:p w14:paraId="0F59FF71">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前期调研</w:t>
            </w:r>
          </w:p>
        </w:tc>
        <w:tc>
          <w:tcPr>
            <w:tcW w:w="2547" w:type="pct"/>
            <w:vMerge w:val="continue"/>
            <w:tcBorders>
              <w:top w:val="nil"/>
              <w:left w:val="nil"/>
              <w:bottom w:val="single" w:color="000000" w:sz="8" w:space="0"/>
              <w:right w:val="single" w:color="000000" w:sz="8" w:space="0"/>
            </w:tcBorders>
            <w:shd w:val="clear" w:color="auto" w:fill="auto"/>
            <w:vAlign w:val="center"/>
          </w:tcPr>
          <w:p w14:paraId="0AA9412F">
            <w:pPr>
              <w:jc w:val="left"/>
              <w:rPr>
                <w:rFonts w:hint="eastAsia" w:ascii="宋体" w:hAnsi="宋体" w:cs="宋体"/>
                <w:color w:val="000000" w:themeColor="text1"/>
                <w:sz w:val="24"/>
                <w14:textFill>
                  <w14:solidFill>
                    <w14:schemeClr w14:val="tx1"/>
                  </w14:solidFill>
                </w14:textFill>
              </w:rPr>
            </w:pPr>
          </w:p>
        </w:tc>
      </w:tr>
      <w:tr w14:paraId="573A5CF0">
        <w:tblPrEx>
          <w:tblCellMar>
            <w:top w:w="0" w:type="dxa"/>
            <w:left w:w="108" w:type="dxa"/>
            <w:bottom w:w="0" w:type="dxa"/>
            <w:right w:w="108" w:type="dxa"/>
          </w:tblCellMar>
        </w:tblPrEx>
        <w:trPr>
          <w:gridAfter w:val="1"/>
          <w:wAfter w:w="104" w:type="pct"/>
          <w:trHeight w:val="327" w:hRule="atLeast"/>
        </w:trPr>
        <w:tc>
          <w:tcPr>
            <w:tcW w:w="338" w:type="pct"/>
            <w:tcBorders>
              <w:top w:val="nil"/>
              <w:left w:val="single" w:color="000000" w:sz="8" w:space="0"/>
              <w:bottom w:val="single" w:color="000000" w:sz="8" w:space="0"/>
              <w:right w:val="single" w:color="000000" w:sz="8" w:space="0"/>
            </w:tcBorders>
            <w:shd w:val="clear" w:color="auto" w:fill="auto"/>
            <w:noWrap/>
            <w:vAlign w:val="center"/>
          </w:tcPr>
          <w:p w14:paraId="33D5D136">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16</w:t>
            </w:r>
          </w:p>
        </w:tc>
        <w:tc>
          <w:tcPr>
            <w:tcW w:w="534" w:type="pct"/>
            <w:vMerge w:val="continue"/>
            <w:tcBorders>
              <w:top w:val="nil"/>
              <w:left w:val="nil"/>
              <w:bottom w:val="single" w:color="000000" w:sz="8" w:space="0"/>
              <w:right w:val="single" w:color="000000" w:sz="8" w:space="0"/>
            </w:tcBorders>
            <w:shd w:val="clear" w:color="auto" w:fill="auto"/>
            <w:vAlign w:val="center"/>
          </w:tcPr>
          <w:p w14:paraId="2CC7E37A">
            <w:pPr>
              <w:jc w:val="center"/>
              <w:rPr>
                <w:rFonts w:hint="eastAsia" w:ascii="宋体" w:hAnsi="宋体" w:cs="宋体"/>
                <w:color w:val="000000" w:themeColor="text1"/>
                <w:sz w:val="24"/>
                <w14:textFill>
                  <w14:solidFill>
                    <w14:schemeClr w14:val="tx1"/>
                  </w14:solidFill>
                </w14:textFill>
              </w:rPr>
            </w:pPr>
          </w:p>
        </w:tc>
        <w:tc>
          <w:tcPr>
            <w:tcW w:w="535" w:type="pct"/>
            <w:vMerge w:val="continue"/>
            <w:tcBorders>
              <w:top w:val="nil"/>
              <w:left w:val="nil"/>
              <w:bottom w:val="single" w:color="000000" w:sz="8" w:space="0"/>
              <w:right w:val="single" w:color="000000" w:sz="8" w:space="0"/>
            </w:tcBorders>
            <w:shd w:val="clear" w:color="auto" w:fill="auto"/>
            <w:vAlign w:val="center"/>
          </w:tcPr>
          <w:p w14:paraId="0B6E9784">
            <w:pPr>
              <w:jc w:val="left"/>
              <w:rPr>
                <w:rFonts w:hint="eastAsia" w:ascii="宋体" w:hAnsi="宋体" w:cs="宋体"/>
                <w:color w:val="000000" w:themeColor="text1"/>
                <w:sz w:val="24"/>
                <w14:textFill>
                  <w14:solidFill>
                    <w14:schemeClr w14:val="tx1"/>
                  </w14:solidFill>
                </w14:textFill>
              </w:rPr>
            </w:pPr>
          </w:p>
        </w:tc>
        <w:tc>
          <w:tcPr>
            <w:tcW w:w="939" w:type="pct"/>
            <w:gridSpan w:val="3"/>
            <w:tcBorders>
              <w:top w:val="nil"/>
              <w:left w:val="nil"/>
              <w:bottom w:val="single" w:color="000000" w:sz="8" w:space="0"/>
              <w:right w:val="single" w:color="000000" w:sz="8" w:space="0"/>
            </w:tcBorders>
            <w:shd w:val="clear" w:color="auto" w:fill="auto"/>
            <w:vAlign w:val="center"/>
          </w:tcPr>
          <w:p w14:paraId="2CB74E6A">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第三方评估机构</w:t>
            </w:r>
          </w:p>
        </w:tc>
        <w:tc>
          <w:tcPr>
            <w:tcW w:w="2547" w:type="pct"/>
            <w:vMerge w:val="continue"/>
            <w:tcBorders>
              <w:top w:val="nil"/>
              <w:left w:val="nil"/>
              <w:bottom w:val="single" w:color="000000" w:sz="8" w:space="0"/>
              <w:right w:val="single" w:color="000000" w:sz="8" w:space="0"/>
            </w:tcBorders>
            <w:shd w:val="clear" w:color="auto" w:fill="auto"/>
            <w:vAlign w:val="center"/>
          </w:tcPr>
          <w:p w14:paraId="0F47F979">
            <w:pPr>
              <w:jc w:val="left"/>
              <w:rPr>
                <w:rFonts w:hint="eastAsia" w:ascii="宋体" w:hAnsi="宋体" w:cs="宋体"/>
                <w:color w:val="000000" w:themeColor="text1"/>
                <w:sz w:val="24"/>
                <w14:textFill>
                  <w14:solidFill>
                    <w14:schemeClr w14:val="tx1"/>
                  </w14:solidFill>
                </w14:textFill>
              </w:rPr>
            </w:pPr>
          </w:p>
        </w:tc>
      </w:tr>
      <w:tr w14:paraId="5BF54D20">
        <w:tblPrEx>
          <w:tblCellMar>
            <w:top w:w="0" w:type="dxa"/>
            <w:left w:w="108" w:type="dxa"/>
            <w:bottom w:w="0" w:type="dxa"/>
            <w:right w:w="108" w:type="dxa"/>
          </w:tblCellMar>
        </w:tblPrEx>
        <w:trPr>
          <w:gridAfter w:val="1"/>
          <w:wAfter w:w="104" w:type="pct"/>
          <w:trHeight w:val="327" w:hRule="atLeast"/>
        </w:trPr>
        <w:tc>
          <w:tcPr>
            <w:tcW w:w="338" w:type="pct"/>
            <w:tcBorders>
              <w:top w:val="nil"/>
              <w:left w:val="single" w:color="000000" w:sz="8" w:space="0"/>
              <w:bottom w:val="single" w:color="000000" w:sz="8" w:space="0"/>
              <w:right w:val="single" w:color="000000" w:sz="8" w:space="0"/>
            </w:tcBorders>
            <w:shd w:val="clear" w:color="auto" w:fill="auto"/>
            <w:noWrap/>
            <w:vAlign w:val="center"/>
          </w:tcPr>
          <w:p w14:paraId="750C560D">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17</w:t>
            </w:r>
          </w:p>
        </w:tc>
        <w:tc>
          <w:tcPr>
            <w:tcW w:w="534" w:type="pct"/>
            <w:vMerge w:val="continue"/>
            <w:tcBorders>
              <w:top w:val="nil"/>
              <w:left w:val="nil"/>
              <w:bottom w:val="single" w:color="000000" w:sz="8" w:space="0"/>
              <w:right w:val="single" w:color="000000" w:sz="8" w:space="0"/>
            </w:tcBorders>
            <w:shd w:val="clear" w:color="auto" w:fill="auto"/>
            <w:vAlign w:val="center"/>
          </w:tcPr>
          <w:p w14:paraId="754E1C04">
            <w:pPr>
              <w:jc w:val="center"/>
              <w:rPr>
                <w:rFonts w:hint="eastAsia" w:ascii="宋体" w:hAnsi="宋体" w:cs="宋体"/>
                <w:color w:val="000000" w:themeColor="text1"/>
                <w:sz w:val="24"/>
                <w14:textFill>
                  <w14:solidFill>
                    <w14:schemeClr w14:val="tx1"/>
                  </w14:solidFill>
                </w14:textFill>
              </w:rPr>
            </w:pPr>
          </w:p>
        </w:tc>
        <w:tc>
          <w:tcPr>
            <w:tcW w:w="535" w:type="pct"/>
            <w:vMerge w:val="restart"/>
            <w:tcBorders>
              <w:top w:val="nil"/>
              <w:left w:val="nil"/>
              <w:bottom w:val="single" w:color="000000" w:sz="8" w:space="0"/>
              <w:right w:val="single" w:color="000000" w:sz="8" w:space="0"/>
            </w:tcBorders>
            <w:shd w:val="clear" w:color="auto" w:fill="auto"/>
            <w:vAlign w:val="center"/>
          </w:tcPr>
          <w:p w14:paraId="5095C9DA">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现场检查</w:t>
            </w:r>
          </w:p>
        </w:tc>
        <w:tc>
          <w:tcPr>
            <w:tcW w:w="939" w:type="pct"/>
            <w:gridSpan w:val="3"/>
            <w:tcBorders>
              <w:top w:val="nil"/>
              <w:left w:val="nil"/>
              <w:bottom w:val="single" w:color="000000" w:sz="8" w:space="0"/>
              <w:right w:val="single" w:color="000000" w:sz="8" w:space="0"/>
            </w:tcBorders>
            <w:shd w:val="clear" w:color="auto" w:fill="auto"/>
            <w:vAlign w:val="center"/>
          </w:tcPr>
          <w:p w14:paraId="1D6D888A">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制定现场检查方案</w:t>
            </w:r>
          </w:p>
        </w:tc>
        <w:tc>
          <w:tcPr>
            <w:tcW w:w="2547" w:type="pct"/>
            <w:vMerge w:val="restart"/>
            <w:tcBorders>
              <w:top w:val="nil"/>
              <w:left w:val="nil"/>
              <w:bottom w:val="single" w:color="000000" w:sz="8" w:space="0"/>
              <w:right w:val="single" w:color="000000" w:sz="8" w:space="0"/>
            </w:tcBorders>
            <w:shd w:val="clear" w:color="auto" w:fill="auto"/>
            <w:vAlign w:val="center"/>
          </w:tcPr>
          <w:p w14:paraId="0E1BCF88">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提供执法检查现场检查的信息</w:t>
            </w:r>
          </w:p>
        </w:tc>
      </w:tr>
      <w:tr w14:paraId="0C9196B8">
        <w:tblPrEx>
          <w:tblCellMar>
            <w:top w:w="0" w:type="dxa"/>
            <w:left w:w="108" w:type="dxa"/>
            <w:bottom w:w="0" w:type="dxa"/>
            <w:right w:w="108" w:type="dxa"/>
          </w:tblCellMar>
        </w:tblPrEx>
        <w:trPr>
          <w:gridAfter w:val="1"/>
          <w:wAfter w:w="104" w:type="pct"/>
          <w:trHeight w:val="327" w:hRule="atLeast"/>
        </w:trPr>
        <w:tc>
          <w:tcPr>
            <w:tcW w:w="338" w:type="pct"/>
            <w:tcBorders>
              <w:top w:val="nil"/>
              <w:left w:val="single" w:color="000000" w:sz="8" w:space="0"/>
              <w:bottom w:val="single" w:color="000000" w:sz="8" w:space="0"/>
              <w:right w:val="single" w:color="000000" w:sz="8" w:space="0"/>
            </w:tcBorders>
            <w:shd w:val="clear" w:color="auto" w:fill="auto"/>
            <w:noWrap/>
            <w:vAlign w:val="center"/>
          </w:tcPr>
          <w:p w14:paraId="6C9CB1B8">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18</w:t>
            </w:r>
          </w:p>
        </w:tc>
        <w:tc>
          <w:tcPr>
            <w:tcW w:w="534" w:type="pct"/>
            <w:vMerge w:val="continue"/>
            <w:tcBorders>
              <w:top w:val="nil"/>
              <w:left w:val="nil"/>
              <w:bottom w:val="single" w:color="000000" w:sz="8" w:space="0"/>
              <w:right w:val="single" w:color="000000" w:sz="8" w:space="0"/>
            </w:tcBorders>
            <w:shd w:val="clear" w:color="auto" w:fill="auto"/>
            <w:vAlign w:val="center"/>
          </w:tcPr>
          <w:p w14:paraId="525ACBAA">
            <w:pPr>
              <w:jc w:val="center"/>
              <w:rPr>
                <w:rFonts w:hint="eastAsia" w:ascii="宋体" w:hAnsi="宋体" w:cs="宋体"/>
                <w:color w:val="000000" w:themeColor="text1"/>
                <w:sz w:val="24"/>
                <w14:textFill>
                  <w14:solidFill>
                    <w14:schemeClr w14:val="tx1"/>
                  </w14:solidFill>
                </w14:textFill>
              </w:rPr>
            </w:pPr>
          </w:p>
        </w:tc>
        <w:tc>
          <w:tcPr>
            <w:tcW w:w="535" w:type="pct"/>
            <w:vMerge w:val="continue"/>
            <w:tcBorders>
              <w:top w:val="nil"/>
              <w:left w:val="nil"/>
              <w:bottom w:val="single" w:color="000000" w:sz="8" w:space="0"/>
              <w:right w:val="single" w:color="000000" w:sz="8" w:space="0"/>
            </w:tcBorders>
            <w:shd w:val="clear" w:color="auto" w:fill="auto"/>
            <w:vAlign w:val="center"/>
          </w:tcPr>
          <w:p w14:paraId="00442149">
            <w:pPr>
              <w:jc w:val="left"/>
              <w:rPr>
                <w:rFonts w:hint="eastAsia" w:ascii="宋体" w:hAnsi="宋体" w:cs="宋体"/>
                <w:color w:val="000000" w:themeColor="text1"/>
                <w:sz w:val="24"/>
                <w14:textFill>
                  <w14:solidFill>
                    <w14:schemeClr w14:val="tx1"/>
                  </w14:solidFill>
                </w14:textFill>
              </w:rPr>
            </w:pPr>
          </w:p>
        </w:tc>
        <w:tc>
          <w:tcPr>
            <w:tcW w:w="939" w:type="pct"/>
            <w:gridSpan w:val="3"/>
            <w:tcBorders>
              <w:top w:val="nil"/>
              <w:left w:val="nil"/>
              <w:bottom w:val="single" w:color="000000" w:sz="8" w:space="0"/>
              <w:right w:val="single" w:color="000000" w:sz="8" w:space="0"/>
            </w:tcBorders>
            <w:shd w:val="clear" w:color="auto" w:fill="auto"/>
            <w:vAlign w:val="center"/>
          </w:tcPr>
          <w:p w14:paraId="50BDAFE8">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第一次会议</w:t>
            </w:r>
          </w:p>
        </w:tc>
        <w:tc>
          <w:tcPr>
            <w:tcW w:w="2547" w:type="pct"/>
            <w:vMerge w:val="continue"/>
            <w:tcBorders>
              <w:top w:val="nil"/>
              <w:left w:val="nil"/>
              <w:bottom w:val="single" w:color="000000" w:sz="8" w:space="0"/>
              <w:right w:val="single" w:color="000000" w:sz="8" w:space="0"/>
            </w:tcBorders>
            <w:shd w:val="clear" w:color="auto" w:fill="auto"/>
            <w:vAlign w:val="center"/>
          </w:tcPr>
          <w:p w14:paraId="18122E94">
            <w:pPr>
              <w:jc w:val="left"/>
              <w:rPr>
                <w:rFonts w:hint="eastAsia" w:ascii="宋体" w:hAnsi="宋体" w:cs="宋体"/>
                <w:color w:val="000000" w:themeColor="text1"/>
                <w:sz w:val="24"/>
                <w14:textFill>
                  <w14:solidFill>
                    <w14:schemeClr w14:val="tx1"/>
                  </w14:solidFill>
                </w14:textFill>
              </w:rPr>
            </w:pPr>
          </w:p>
        </w:tc>
      </w:tr>
      <w:tr w14:paraId="4E91EC38">
        <w:tblPrEx>
          <w:tblCellMar>
            <w:top w:w="0" w:type="dxa"/>
            <w:left w:w="108" w:type="dxa"/>
            <w:bottom w:w="0" w:type="dxa"/>
            <w:right w:w="108" w:type="dxa"/>
          </w:tblCellMar>
        </w:tblPrEx>
        <w:trPr>
          <w:gridAfter w:val="1"/>
          <w:wAfter w:w="104" w:type="pct"/>
          <w:trHeight w:val="327" w:hRule="atLeast"/>
        </w:trPr>
        <w:tc>
          <w:tcPr>
            <w:tcW w:w="338" w:type="pct"/>
            <w:tcBorders>
              <w:top w:val="nil"/>
              <w:left w:val="single" w:color="000000" w:sz="8" w:space="0"/>
              <w:bottom w:val="single" w:color="000000" w:sz="8" w:space="0"/>
              <w:right w:val="single" w:color="000000" w:sz="8" w:space="0"/>
            </w:tcBorders>
            <w:shd w:val="clear" w:color="auto" w:fill="auto"/>
            <w:noWrap/>
            <w:vAlign w:val="center"/>
          </w:tcPr>
          <w:p w14:paraId="484FD81A">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19</w:t>
            </w:r>
          </w:p>
        </w:tc>
        <w:tc>
          <w:tcPr>
            <w:tcW w:w="534" w:type="pct"/>
            <w:vMerge w:val="continue"/>
            <w:tcBorders>
              <w:top w:val="nil"/>
              <w:left w:val="nil"/>
              <w:bottom w:val="single" w:color="000000" w:sz="8" w:space="0"/>
              <w:right w:val="single" w:color="000000" w:sz="8" w:space="0"/>
            </w:tcBorders>
            <w:shd w:val="clear" w:color="auto" w:fill="auto"/>
            <w:vAlign w:val="center"/>
          </w:tcPr>
          <w:p w14:paraId="3A222D52">
            <w:pPr>
              <w:jc w:val="center"/>
              <w:rPr>
                <w:rFonts w:hint="eastAsia" w:ascii="宋体" w:hAnsi="宋体" w:cs="宋体"/>
                <w:color w:val="000000" w:themeColor="text1"/>
                <w:sz w:val="24"/>
                <w14:textFill>
                  <w14:solidFill>
                    <w14:schemeClr w14:val="tx1"/>
                  </w14:solidFill>
                </w14:textFill>
              </w:rPr>
            </w:pPr>
          </w:p>
        </w:tc>
        <w:tc>
          <w:tcPr>
            <w:tcW w:w="535" w:type="pct"/>
            <w:vMerge w:val="continue"/>
            <w:tcBorders>
              <w:top w:val="nil"/>
              <w:left w:val="nil"/>
              <w:bottom w:val="single" w:color="000000" w:sz="8" w:space="0"/>
              <w:right w:val="single" w:color="000000" w:sz="8" w:space="0"/>
            </w:tcBorders>
            <w:shd w:val="clear" w:color="auto" w:fill="auto"/>
            <w:vAlign w:val="center"/>
          </w:tcPr>
          <w:p w14:paraId="4C316E64">
            <w:pPr>
              <w:jc w:val="left"/>
              <w:rPr>
                <w:rFonts w:hint="eastAsia" w:ascii="宋体" w:hAnsi="宋体" w:cs="宋体"/>
                <w:color w:val="000000" w:themeColor="text1"/>
                <w:sz w:val="24"/>
                <w14:textFill>
                  <w14:solidFill>
                    <w14:schemeClr w14:val="tx1"/>
                  </w14:solidFill>
                </w14:textFill>
              </w:rPr>
            </w:pPr>
          </w:p>
        </w:tc>
        <w:tc>
          <w:tcPr>
            <w:tcW w:w="939" w:type="pct"/>
            <w:gridSpan w:val="3"/>
            <w:tcBorders>
              <w:top w:val="nil"/>
              <w:left w:val="nil"/>
              <w:bottom w:val="single" w:color="000000" w:sz="8" w:space="0"/>
              <w:right w:val="single" w:color="000000" w:sz="8" w:space="0"/>
            </w:tcBorders>
            <w:shd w:val="clear" w:color="auto" w:fill="auto"/>
            <w:vAlign w:val="center"/>
          </w:tcPr>
          <w:p w14:paraId="1F64D6BC">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实地检查</w:t>
            </w:r>
          </w:p>
        </w:tc>
        <w:tc>
          <w:tcPr>
            <w:tcW w:w="2547" w:type="pct"/>
            <w:vMerge w:val="continue"/>
            <w:tcBorders>
              <w:top w:val="nil"/>
              <w:left w:val="nil"/>
              <w:bottom w:val="single" w:color="000000" w:sz="8" w:space="0"/>
              <w:right w:val="single" w:color="000000" w:sz="8" w:space="0"/>
            </w:tcBorders>
            <w:shd w:val="clear" w:color="auto" w:fill="auto"/>
            <w:vAlign w:val="center"/>
          </w:tcPr>
          <w:p w14:paraId="7A8EAD0E">
            <w:pPr>
              <w:jc w:val="left"/>
              <w:rPr>
                <w:rFonts w:hint="eastAsia" w:ascii="宋体" w:hAnsi="宋体" w:cs="宋体"/>
                <w:color w:val="000000" w:themeColor="text1"/>
                <w:sz w:val="24"/>
                <w14:textFill>
                  <w14:solidFill>
                    <w14:schemeClr w14:val="tx1"/>
                  </w14:solidFill>
                </w14:textFill>
              </w:rPr>
            </w:pPr>
          </w:p>
        </w:tc>
      </w:tr>
      <w:tr w14:paraId="649D8AC6">
        <w:tblPrEx>
          <w:tblCellMar>
            <w:top w:w="0" w:type="dxa"/>
            <w:left w:w="108" w:type="dxa"/>
            <w:bottom w:w="0" w:type="dxa"/>
            <w:right w:w="108" w:type="dxa"/>
          </w:tblCellMar>
        </w:tblPrEx>
        <w:trPr>
          <w:gridAfter w:val="1"/>
          <w:wAfter w:w="104" w:type="pct"/>
          <w:trHeight w:val="327" w:hRule="atLeast"/>
        </w:trPr>
        <w:tc>
          <w:tcPr>
            <w:tcW w:w="338" w:type="pct"/>
            <w:tcBorders>
              <w:top w:val="nil"/>
              <w:left w:val="single" w:color="000000" w:sz="8" w:space="0"/>
              <w:bottom w:val="single" w:color="000000" w:sz="8" w:space="0"/>
              <w:right w:val="single" w:color="000000" w:sz="8" w:space="0"/>
            </w:tcBorders>
            <w:shd w:val="clear" w:color="auto" w:fill="auto"/>
            <w:noWrap/>
            <w:vAlign w:val="center"/>
          </w:tcPr>
          <w:p w14:paraId="4F1FFD2E">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20</w:t>
            </w:r>
          </w:p>
        </w:tc>
        <w:tc>
          <w:tcPr>
            <w:tcW w:w="534" w:type="pct"/>
            <w:vMerge w:val="continue"/>
            <w:tcBorders>
              <w:top w:val="nil"/>
              <w:left w:val="nil"/>
              <w:bottom w:val="single" w:color="000000" w:sz="8" w:space="0"/>
              <w:right w:val="single" w:color="000000" w:sz="8" w:space="0"/>
            </w:tcBorders>
            <w:shd w:val="clear" w:color="auto" w:fill="auto"/>
            <w:vAlign w:val="center"/>
          </w:tcPr>
          <w:p w14:paraId="1940A993">
            <w:pPr>
              <w:jc w:val="center"/>
              <w:rPr>
                <w:rFonts w:hint="eastAsia" w:ascii="宋体" w:hAnsi="宋体" w:cs="宋体"/>
                <w:color w:val="000000" w:themeColor="text1"/>
                <w:sz w:val="24"/>
                <w14:textFill>
                  <w14:solidFill>
                    <w14:schemeClr w14:val="tx1"/>
                  </w14:solidFill>
                </w14:textFill>
              </w:rPr>
            </w:pPr>
          </w:p>
        </w:tc>
        <w:tc>
          <w:tcPr>
            <w:tcW w:w="535" w:type="pct"/>
            <w:vMerge w:val="continue"/>
            <w:tcBorders>
              <w:top w:val="nil"/>
              <w:left w:val="nil"/>
              <w:bottom w:val="single" w:color="000000" w:sz="8" w:space="0"/>
              <w:right w:val="single" w:color="000000" w:sz="8" w:space="0"/>
            </w:tcBorders>
            <w:shd w:val="clear" w:color="auto" w:fill="auto"/>
            <w:vAlign w:val="center"/>
          </w:tcPr>
          <w:p w14:paraId="60B63A67">
            <w:pPr>
              <w:jc w:val="left"/>
              <w:rPr>
                <w:rFonts w:hint="eastAsia" w:ascii="宋体" w:hAnsi="宋体" w:cs="宋体"/>
                <w:color w:val="000000" w:themeColor="text1"/>
                <w:sz w:val="24"/>
                <w14:textFill>
                  <w14:solidFill>
                    <w14:schemeClr w14:val="tx1"/>
                  </w14:solidFill>
                </w14:textFill>
              </w:rPr>
            </w:pPr>
          </w:p>
        </w:tc>
        <w:tc>
          <w:tcPr>
            <w:tcW w:w="939" w:type="pct"/>
            <w:gridSpan w:val="3"/>
            <w:tcBorders>
              <w:top w:val="nil"/>
              <w:left w:val="nil"/>
              <w:bottom w:val="single" w:color="000000" w:sz="8" w:space="0"/>
              <w:right w:val="single" w:color="000000" w:sz="8" w:space="0"/>
            </w:tcBorders>
            <w:shd w:val="clear" w:color="auto" w:fill="auto"/>
            <w:vAlign w:val="center"/>
          </w:tcPr>
          <w:p w14:paraId="49EB5EA1">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第二次会议</w:t>
            </w:r>
          </w:p>
        </w:tc>
        <w:tc>
          <w:tcPr>
            <w:tcW w:w="2547" w:type="pct"/>
            <w:vMerge w:val="continue"/>
            <w:tcBorders>
              <w:top w:val="nil"/>
              <w:left w:val="nil"/>
              <w:bottom w:val="single" w:color="000000" w:sz="8" w:space="0"/>
              <w:right w:val="single" w:color="000000" w:sz="8" w:space="0"/>
            </w:tcBorders>
            <w:shd w:val="clear" w:color="auto" w:fill="auto"/>
            <w:vAlign w:val="center"/>
          </w:tcPr>
          <w:p w14:paraId="659A1ED4">
            <w:pPr>
              <w:jc w:val="left"/>
              <w:rPr>
                <w:rFonts w:hint="eastAsia" w:ascii="宋体" w:hAnsi="宋体" w:cs="宋体"/>
                <w:color w:val="000000" w:themeColor="text1"/>
                <w:sz w:val="24"/>
                <w14:textFill>
                  <w14:solidFill>
                    <w14:schemeClr w14:val="tx1"/>
                  </w14:solidFill>
                </w14:textFill>
              </w:rPr>
            </w:pPr>
          </w:p>
        </w:tc>
      </w:tr>
      <w:tr w14:paraId="00553DD7">
        <w:tblPrEx>
          <w:tblCellMar>
            <w:top w:w="0" w:type="dxa"/>
            <w:left w:w="108" w:type="dxa"/>
            <w:bottom w:w="0" w:type="dxa"/>
            <w:right w:w="108" w:type="dxa"/>
          </w:tblCellMar>
        </w:tblPrEx>
        <w:trPr>
          <w:gridAfter w:val="1"/>
          <w:wAfter w:w="104" w:type="pct"/>
          <w:trHeight w:val="327" w:hRule="atLeast"/>
        </w:trPr>
        <w:tc>
          <w:tcPr>
            <w:tcW w:w="338" w:type="pct"/>
            <w:tcBorders>
              <w:top w:val="nil"/>
              <w:left w:val="single" w:color="000000" w:sz="8" w:space="0"/>
              <w:bottom w:val="single" w:color="000000" w:sz="8" w:space="0"/>
              <w:right w:val="single" w:color="000000" w:sz="8" w:space="0"/>
            </w:tcBorders>
            <w:shd w:val="clear" w:color="auto" w:fill="auto"/>
            <w:noWrap/>
            <w:vAlign w:val="center"/>
          </w:tcPr>
          <w:p w14:paraId="0AE1AD04">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21</w:t>
            </w:r>
          </w:p>
        </w:tc>
        <w:tc>
          <w:tcPr>
            <w:tcW w:w="534" w:type="pct"/>
            <w:vMerge w:val="continue"/>
            <w:tcBorders>
              <w:top w:val="nil"/>
              <w:left w:val="nil"/>
              <w:bottom w:val="single" w:color="000000" w:sz="8" w:space="0"/>
              <w:right w:val="single" w:color="000000" w:sz="8" w:space="0"/>
            </w:tcBorders>
            <w:shd w:val="clear" w:color="auto" w:fill="auto"/>
            <w:vAlign w:val="center"/>
          </w:tcPr>
          <w:p w14:paraId="0EB73930">
            <w:pPr>
              <w:jc w:val="center"/>
              <w:rPr>
                <w:rFonts w:hint="eastAsia" w:ascii="宋体" w:hAnsi="宋体" w:cs="宋体"/>
                <w:color w:val="000000" w:themeColor="text1"/>
                <w:sz w:val="24"/>
                <w14:textFill>
                  <w14:solidFill>
                    <w14:schemeClr w14:val="tx1"/>
                  </w14:solidFill>
                </w14:textFill>
              </w:rPr>
            </w:pPr>
          </w:p>
        </w:tc>
        <w:tc>
          <w:tcPr>
            <w:tcW w:w="535" w:type="pct"/>
            <w:vMerge w:val="continue"/>
            <w:tcBorders>
              <w:top w:val="nil"/>
              <w:left w:val="nil"/>
              <w:bottom w:val="single" w:color="000000" w:sz="8" w:space="0"/>
              <w:right w:val="single" w:color="000000" w:sz="8" w:space="0"/>
            </w:tcBorders>
            <w:shd w:val="clear" w:color="auto" w:fill="auto"/>
            <w:vAlign w:val="center"/>
          </w:tcPr>
          <w:p w14:paraId="2619ABE6">
            <w:pPr>
              <w:jc w:val="left"/>
              <w:rPr>
                <w:rFonts w:hint="eastAsia" w:ascii="宋体" w:hAnsi="宋体" w:cs="宋体"/>
                <w:color w:val="000000" w:themeColor="text1"/>
                <w:sz w:val="24"/>
                <w14:textFill>
                  <w14:solidFill>
                    <w14:schemeClr w14:val="tx1"/>
                  </w14:solidFill>
                </w14:textFill>
              </w:rPr>
            </w:pPr>
          </w:p>
        </w:tc>
        <w:tc>
          <w:tcPr>
            <w:tcW w:w="939" w:type="pct"/>
            <w:gridSpan w:val="3"/>
            <w:tcBorders>
              <w:top w:val="nil"/>
              <w:left w:val="nil"/>
              <w:bottom w:val="single" w:color="000000" w:sz="8" w:space="0"/>
              <w:right w:val="single" w:color="000000" w:sz="8" w:space="0"/>
            </w:tcBorders>
            <w:shd w:val="clear" w:color="auto" w:fill="auto"/>
            <w:vAlign w:val="center"/>
          </w:tcPr>
          <w:p w14:paraId="41E458A4">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起草执法检查报告</w:t>
            </w:r>
          </w:p>
        </w:tc>
        <w:tc>
          <w:tcPr>
            <w:tcW w:w="2547" w:type="pct"/>
            <w:vMerge w:val="continue"/>
            <w:tcBorders>
              <w:top w:val="nil"/>
              <w:left w:val="nil"/>
              <w:bottom w:val="single" w:color="000000" w:sz="8" w:space="0"/>
              <w:right w:val="single" w:color="000000" w:sz="8" w:space="0"/>
            </w:tcBorders>
            <w:shd w:val="clear" w:color="auto" w:fill="auto"/>
            <w:vAlign w:val="center"/>
          </w:tcPr>
          <w:p w14:paraId="70296D5B">
            <w:pPr>
              <w:jc w:val="left"/>
              <w:rPr>
                <w:rFonts w:hint="eastAsia" w:ascii="宋体" w:hAnsi="宋体" w:cs="宋体"/>
                <w:color w:val="000000" w:themeColor="text1"/>
                <w:sz w:val="24"/>
                <w14:textFill>
                  <w14:solidFill>
                    <w14:schemeClr w14:val="tx1"/>
                  </w14:solidFill>
                </w14:textFill>
              </w:rPr>
            </w:pPr>
          </w:p>
        </w:tc>
      </w:tr>
      <w:tr w14:paraId="39DB44F7">
        <w:tblPrEx>
          <w:tblCellMar>
            <w:top w:w="0" w:type="dxa"/>
            <w:left w:w="108" w:type="dxa"/>
            <w:bottom w:w="0" w:type="dxa"/>
            <w:right w:w="108" w:type="dxa"/>
          </w:tblCellMar>
        </w:tblPrEx>
        <w:trPr>
          <w:gridAfter w:val="1"/>
          <w:wAfter w:w="104" w:type="pct"/>
          <w:trHeight w:val="327" w:hRule="atLeast"/>
        </w:trPr>
        <w:tc>
          <w:tcPr>
            <w:tcW w:w="338" w:type="pct"/>
            <w:tcBorders>
              <w:top w:val="nil"/>
              <w:left w:val="single" w:color="000000" w:sz="8" w:space="0"/>
              <w:bottom w:val="single" w:color="000000" w:sz="8" w:space="0"/>
              <w:right w:val="single" w:color="000000" w:sz="8" w:space="0"/>
            </w:tcBorders>
            <w:shd w:val="clear" w:color="auto" w:fill="auto"/>
            <w:noWrap/>
            <w:vAlign w:val="center"/>
          </w:tcPr>
          <w:p w14:paraId="6132054B">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22</w:t>
            </w:r>
          </w:p>
        </w:tc>
        <w:tc>
          <w:tcPr>
            <w:tcW w:w="534" w:type="pct"/>
            <w:vMerge w:val="continue"/>
            <w:tcBorders>
              <w:top w:val="nil"/>
              <w:left w:val="nil"/>
              <w:bottom w:val="single" w:color="000000" w:sz="8" w:space="0"/>
              <w:right w:val="single" w:color="000000" w:sz="8" w:space="0"/>
            </w:tcBorders>
            <w:shd w:val="clear" w:color="auto" w:fill="auto"/>
            <w:vAlign w:val="center"/>
          </w:tcPr>
          <w:p w14:paraId="5702042F">
            <w:pPr>
              <w:jc w:val="center"/>
              <w:rPr>
                <w:rFonts w:hint="eastAsia" w:ascii="宋体" w:hAnsi="宋体" w:cs="宋体"/>
                <w:color w:val="000000" w:themeColor="text1"/>
                <w:sz w:val="24"/>
                <w14:textFill>
                  <w14:solidFill>
                    <w14:schemeClr w14:val="tx1"/>
                  </w14:solidFill>
                </w14:textFill>
              </w:rPr>
            </w:pPr>
          </w:p>
        </w:tc>
        <w:tc>
          <w:tcPr>
            <w:tcW w:w="535" w:type="pct"/>
            <w:vMerge w:val="restart"/>
            <w:tcBorders>
              <w:top w:val="nil"/>
              <w:left w:val="nil"/>
              <w:bottom w:val="single" w:color="000000" w:sz="8" w:space="0"/>
              <w:right w:val="single" w:color="000000" w:sz="8" w:space="0"/>
            </w:tcBorders>
            <w:shd w:val="clear" w:color="auto" w:fill="auto"/>
            <w:vAlign w:val="center"/>
          </w:tcPr>
          <w:p w14:paraId="0367638F">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会议审议</w:t>
            </w:r>
          </w:p>
        </w:tc>
        <w:tc>
          <w:tcPr>
            <w:tcW w:w="939" w:type="pct"/>
            <w:gridSpan w:val="3"/>
            <w:tcBorders>
              <w:top w:val="nil"/>
              <w:left w:val="nil"/>
              <w:bottom w:val="single" w:color="000000" w:sz="8" w:space="0"/>
              <w:right w:val="single" w:color="000000" w:sz="8" w:space="0"/>
            </w:tcBorders>
            <w:shd w:val="clear" w:color="auto" w:fill="auto"/>
            <w:vAlign w:val="center"/>
          </w:tcPr>
          <w:p w14:paraId="30630851">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主任会议</w:t>
            </w:r>
          </w:p>
        </w:tc>
        <w:tc>
          <w:tcPr>
            <w:tcW w:w="2547" w:type="pct"/>
            <w:vMerge w:val="restart"/>
            <w:tcBorders>
              <w:top w:val="nil"/>
              <w:left w:val="nil"/>
              <w:bottom w:val="single" w:color="000000" w:sz="8" w:space="0"/>
              <w:right w:val="single" w:color="000000" w:sz="8" w:space="0"/>
            </w:tcBorders>
            <w:shd w:val="clear" w:color="auto" w:fill="auto"/>
            <w:vAlign w:val="center"/>
          </w:tcPr>
          <w:p w14:paraId="6242DB13">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主任会议的监督上会信息以及常委会审议意见书的信息</w:t>
            </w:r>
          </w:p>
        </w:tc>
      </w:tr>
      <w:tr w14:paraId="221F8456">
        <w:tblPrEx>
          <w:tblCellMar>
            <w:top w:w="0" w:type="dxa"/>
            <w:left w:w="108" w:type="dxa"/>
            <w:bottom w:w="0" w:type="dxa"/>
            <w:right w:w="108" w:type="dxa"/>
          </w:tblCellMar>
        </w:tblPrEx>
        <w:trPr>
          <w:gridAfter w:val="1"/>
          <w:wAfter w:w="104" w:type="pct"/>
          <w:trHeight w:val="327" w:hRule="atLeast"/>
        </w:trPr>
        <w:tc>
          <w:tcPr>
            <w:tcW w:w="338" w:type="pct"/>
            <w:tcBorders>
              <w:top w:val="nil"/>
              <w:left w:val="single" w:color="000000" w:sz="8" w:space="0"/>
              <w:bottom w:val="single" w:color="000000" w:sz="8" w:space="0"/>
              <w:right w:val="single" w:color="000000" w:sz="8" w:space="0"/>
            </w:tcBorders>
            <w:shd w:val="clear" w:color="auto" w:fill="auto"/>
            <w:noWrap/>
            <w:vAlign w:val="center"/>
          </w:tcPr>
          <w:p w14:paraId="2BF18223">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23</w:t>
            </w:r>
          </w:p>
        </w:tc>
        <w:tc>
          <w:tcPr>
            <w:tcW w:w="534" w:type="pct"/>
            <w:vMerge w:val="continue"/>
            <w:tcBorders>
              <w:top w:val="nil"/>
              <w:left w:val="nil"/>
              <w:bottom w:val="single" w:color="000000" w:sz="8" w:space="0"/>
              <w:right w:val="single" w:color="000000" w:sz="8" w:space="0"/>
            </w:tcBorders>
            <w:shd w:val="clear" w:color="auto" w:fill="auto"/>
            <w:vAlign w:val="center"/>
          </w:tcPr>
          <w:p w14:paraId="6B1A3A5A">
            <w:pPr>
              <w:jc w:val="center"/>
              <w:rPr>
                <w:rFonts w:hint="eastAsia" w:ascii="宋体" w:hAnsi="宋体" w:cs="宋体"/>
                <w:color w:val="000000" w:themeColor="text1"/>
                <w:sz w:val="24"/>
                <w14:textFill>
                  <w14:solidFill>
                    <w14:schemeClr w14:val="tx1"/>
                  </w14:solidFill>
                </w14:textFill>
              </w:rPr>
            </w:pPr>
          </w:p>
        </w:tc>
        <w:tc>
          <w:tcPr>
            <w:tcW w:w="535" w:type="pct"/>
            <w:vMerge w:val="continue"/>
            <w:tcBorders>
              <w:top w:val="nil"/>
              <w:left w:val="nil"/>
              <w:bottom w:val="single" w:color="000000" w:sz="8" w:space="0"/>
              <w:right w:val="single" w:color="000000" w:sz="8" w:space="0"/>
            </w:tcBorders>
            <w:shd w:val="clear" w:color="auto" w:fill="auto"/>
            <w:vAlign w:val="center"/>
          </w:tcPr>
          <w:p w14:paraId="683D6D07">
            <w:pPr>
              <w:jc w:val="left"/>
              <w:rPr>
                <w:rFonts w:hint="eastAsia" w:ascii="宋体" w:hAnsi="宋体" w:cs="宋体"/>
                <w:color w:val="000000" w:themeColor="text1"/>
                <w:sz w:val="24"/>
                <w14:textFill>
                  <w14:solidFill>
                    <w14:schemeClr w14:val="tx1"/>
                  </w14:solidFill>
                </w14:textFill>
              </w:rPr>
            </w:pPr>
          </w:p>
        </w:tc>
        <w:tc>
          <w:tcPr>
            <w:tcW w:w="939" w:type="pct"/>
            <w:gridSpan w:val="3"/>
            <w:tcBorders>
              <w:top w:val="nil"/>
              <w:left w:val="nil"/>
              <w:bottom w:val="single" w:color="000000" w:sz="8" w:space="0"/>
              <w:right w:val="single" w:color="000000" w:sz="8" w:space="0"/>
            </w:tcBorders>
            <w:shd w:val="clear" w:color="auto" w:fill="auto"/>
            <w:vAlign w:val="center"/>
          </w:tcPr>
          <w:p w14:paraId="178C99C2">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常委会会议</w:t>
            </w:r>
          </w:p>
        </w:tc>
        <w:tc>
          <w:tcPr>
            <w:tcW w:w="2547" w:type="pct"/>
            <w:vMerge w:val="continue"/>
            <w:tcBorders>
              <w:top w:val="nil"/>
              <w:left w:val="nil"/>
              <w:bottom w:val="single" w:color="000000" w:sz="8" w:space="0"/>
              <w:right w:val="single" w:color="000000" w:sz="8" w:space="0"/>
            </w:tcBorders>
            <w:shd w:val="clear" w:color="auto" w:fill="auto"/>
            <w:vAlign w:val="center"/>
          </w:tcPr>
          <w:p w14:paraId="07F376C1">
            <w:pPr>
              <w:jc w:val="left"/>
              <w:rPr>
                <w:rFonts w:hint="eastAsia" w:ascii="宋体" w:hAnsi="宋体" w:cs="宋体"/>
                <w:color w:val="000000" w:themeColor="text1"/>
                <w:sz w:val="24"/>
                <w14:textFill>
                  <w14:solidFill>
                    <w14:schemeClr w14:val="tx1"/>
                  </w14:solidFill>
                </w14:textFill>
              </w:rPr>
            </w:pPr>
          </w:p>
        </w:tc>
      </w:tr>
      <w:tr w14:paraId="6FAF89E4">
        <w:tblPrEx>
          <w:tblCellMar>
            <w:top w:w="0" w:type="dxa"/>
            <w:left w:w="108" w:type="dxa"/>
            <w:bottom w:w="0" w:type="dxa"/>
            <w:right w:w="108" w:type="dxa"/>
          </w:tblCellMar>
        </w:tblPrEx>
        <w:trPr>
          <w:gridAfter w:val="1"/>
          <w:wAfter w:w="104" w:type="pct"/>
          <w:trHeight w:val="327" w:hRule="atLeast"/>
        </w:trPr>
        <w:tc>
          <w:tcPr>
            <w:tcW w:w="338" w:type="pct"/>
            <w:tcBorders>
              <w:top w:val="nil"/>
              <w:left w:val="single" w:color="000000" w:sz="8" w:space="0"/>
              <w:bottom w:val="single" w:color="000000" w:sz="8" w:space="0"/>
              <w:right w:val="single" w:color="000000" w:sz="8" w:space="0"/>
            </w:tcBorders>
            <w:shd w:val="clear" w:color="auto" w:fill="auto"/>
            <w:noWrap/>
            <w:vAlign w:val="center"/>
          </w:tcPr>
          <w:p w14:paraId="2E248FE4">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24</w:t>
            </w:r>
          </w:p>
        </w:tc>
        <w:tc>
          <w:tcPr>
            <w:tcW w:w="534" w:type="pct"/>
            <w:vMerge w:val="continue"/>
            <w:tcBorders>
              <w:top w:val="nil"/>
              <w:left w:val="nil"/>
              <w:bottom w:val="single" w:color="000000" w:sz="8" w:space="0"/>
              <w:right w:val="single" w:color="000000" w:sz="8" w:space="0"/>
            </w:tcBorders>
            <w:shd w:val="clear" w:color="auto" w:fill="auto"/>
            <w:vAlign w:val="center"/>
          </w:tcPr>
          <w:p w14:paraId="4BB0DD97">
            <w:pPr>
              <w:jc w:val="center"/>
              <w:rPr>
                <w:rFonts w:hint="eastAsia" w:ascii="宋体" w:hAnsi="宋体" w:cs="宋体"/>
                <w:color w:val="000000" w:themeColor="text1"/>
                <w:sz w:val="24"/>
                <w14:textFill>
                  <w14:solidFill>
                    <w14:schemeClr w14:val="tx1"/>
                  </w14:solidFill>
                </w14:textFill>
              </w:rPr>
            </w:pPr>
          </w:p>
        </w:tc>
        <w:tc>
          <w:tcPr>
            <w:tcW w:w="535" w:type="pct"/>
            <w:vMerge w:val="continue"/>
            <w:tcBorders>
              <w:top w:val="nil"/>
              <w:left w:val="nil"/>
              <w:bottom w:val="single" w:color="000000" w:sz="8" w:space="0"/>
              <w:right w:val="single" w:color="000000" w:sz="8" w:space="0"/>
            </w:tcBorders>
            <w:shd w:val="clear" w:color="auto" w:fill="auto"/>
            <w:vAlign w:val="center"/>
          </w:tcPr>
          <w:p w14:paraId="5B31D9CC">
            <w:pPr>
              <w:jc w:val="left"/>
              <w:rPr>
                <w:rFonts w:hint="eastAsia" w:ascii="宋体" w:hAnsi="宋体" w:cs="宋体"/>
                <w:color w:val="000000" w:themeColor="text1"/>
                <w:sz w:val="24"/>
                <w14:textFill>
                  <w14:solidFill>
                    <w14:schemeClr w14:val="tx1"/>
                  </w14:solidFill>
                </w14:textFill>
              </w:rPr>
            </w:pPr>
          </w:p>
        </w:tc>
        <w:tc>
          <w:tcPr>
            <w:tcW w:w="939" w:type="pct"/>
            <w:gridSpan w:val="3"/>
            <w:tcBorders>
              <w:top w:val="nil"/>
              <w:left w:val="nil"/>
              <w:bottom w:val="single" w:color="000000" w:sz="8" w:space="0"/>
              <w:right w:val="single" w:color="000000" w:sz="8" w:space="0"/>
            </w:tcBorders>
            <w:shd w:val="clear" w:color="auto" w:fill="auto"/>
            <w:vAlign w:val="center"/>
          </w:tcPr>
          <w:p w14:paraId="227D4F30">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专题询问</w:t>
            </w:r>
          </w:p>
        </w:tc>
        <w:tc>
          <w:tcPr>
            <w:tcW w:w="2547" w:type="pct"/>
            <w:vMerge w:val="continue"/>
            <w:tcBorders>
              <w:top w:val="nil"/>
              <w:left w:val="nil"/>
              <w:bottom w:val="single" w:color="000000" w:sz="8" w:space="0"/>
              <w:right w:val="single" w:color="000000" w:sz="8" w:space="0"/>
            </w:tcBorders>
            <w:shd w:val="clear" w:color="auto" w:fill="auto"/>
            <w:vAlign w:val="center"/>
          </w:tcPr>
          <w:p w14:paraId="3C53A361">
            <w:pPr>
              <w:jc w:val="left"/>
              <w:rPr>
                <w:rFonts w:hint="eastAsia" w:ascii="宋体" w:hAnsi="宋体" w:cs="宋体"/>
                <w:color w:val="000000" w:themeColor="text1"/>
                <w:sz w:val="24"/>
                <w14:textFill>
                  <w14:solidFill>
                    <w14:schemeClr w14:val="tx1"/>
                  </w14:solidFill>
                </w14:textFill>
              </w:rPr>
            </w:pPr>
          </w:p>
        </w:tc>
      </w:tr>
      <w:tr w14:paraId="4DD9B55B">
        <w:tblPrEx>
          <w:tblCellMar>
            <w:top w:w="0" w:type="dxa"/>
            <w:left w:w="108" w:type="dxa"/>
            <w:bottom w:w="0" w:type="dxa"/>
            <w:right w:w="108" w:type="dxa"/>
          </w:tblCellMar>
        </w:tblPrEx>
        <w:trPr>
          <w:gridAfter w:val="1"/>
          <w:wAfter w:w="104" w:type="pct"/>
          <w:trHeight w:val="327" w:hRule="atLeast"/>
        </w:trPr>
        <w:tc>
          <w:tcPr>
            <w:tcW w:w="338" w:type="pct"/>
            <w:tcBorders>
              <w:top w:val="nil"/>
              <w:left w:val="single" w:color="000000" w:sz="8" w:space="0"/>
              <w:bottom w:val="single" w:color="000000" w:sz="8" w:space="0"/>
              <w:right w:val="single" w:color="000000" w:sz="8" w:space="0"/>
            </w:tcBorders>
            <w:shd w:val="clear" w:color="auto" w:fill="auto"/>
            <w:noWrap/>
            <w:vAlign w:val="center"/>
          </w:tcPr>
          <w:p w14:paraId="3C49DEDF">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25</w:t>
            </w:r>
          </w:p>
        </w:tc>
        <w:tc>
          <w:tcPr>
            <w:tcW w:w="534" w:type="pct"/>
            <w:vMerge w:val="continue"/>
            <w:tcBorders>
              <w:top w:val="nil"/>
              <w:left w:val="nil"/>
              <w:bottom w:val="single" w:color="000000" w:sz="8" w:space="0"/>
              <w:right w:val="single" w:color="000000" w:sz="8" w:space="0"/>
            </w:tcBorders>
            <w:shd w:val="clear" w:color="auto" w:fill="auto"/>
            <w:vAlign w:val="center"/>
          </w:tcPr>
          <w:p w14:paraId="78F7F257">
            <w:pPr>
              <w:jc w:val="center"/>
              <w:rPr>
                <w:rFonts w:hint="eastAsia" w:ascii="宋体" w:hAnsi="宋体" w:cs="宋体"/>
                <w:color w:val="000000" w:themeColor="text1"/>
                <w:sz w:val="24"/>
                <w14:textFill>
                  <w14:solidFill>
                    <w14:schemeClr w14:val="tx1"/>
                  </w14:solidFill>
                </w14:textFill>
              </w:rPr>
            </w:pPr>
          </w:p>
        </w:tc>
        <w:tc>
          <w:tcPr>
            <w:tcW w:w="535" w:type="pct"/>
            <w:vMerge w:val="continue"/>
            <w:tcBorders>
              <w:top w:val="nil"/>
              <w:left w:val="nil"/>
              <w:bottom w:val="single" w:color="000000" w:sz="8" w:space="0"/>
              <w:right w:val="single" w:color="000000" w:sz="8" w:space="0"/>
            </w:tcBorders>
            <w:shd w:val="clear" w:color="auto" w:fill="auto"/>
            <w:vAlign w:val="center"/>
          </w:tcPr>
          <w:p w14:paraId="5B18F1EF">
            <w:pPr>
              <w:jc w:val="left"/>
              <w:rPr>
                <w:rFonts w:hint="eastAsia" w:ascii="宋体" w:hAnsi="宋体" w:cs="宋体"/>
                <w:color w:val="000000" w:themeColor="text1"/>
                <w:sz w:val="24"/>
                <w14:textFill>
                  <w14:solidFill>
                    <w14:schemeClr w14:val="tx1"/>
                  </w14:solidFill>
                </w14:textFill>
              </w:rPr>
            </w:pPr>
          </w:p>
        </w:tc>
        <w:tc>
          <w:tcPr>
            <w:tcW w:w="939" w:type="pct"/>
            <w:gridSpan w:val="3"/>
            <w:tcBorders>
              <w:top w:val="nil"/>
              <w:left w:val="nil"/>
              <w:bottom w:val="single" w:color="000000" w:sz="8" w:space="0"/>
              <w:right w:val="single" w:color="000000" w:sz="8" w:space="0"/>
            </w:tcBorders>
            <w:shd w:val="clear" w:color="auto" w:fill="auto"/>
            <w:vAlign w:val="center"/>
          </w:tcPr>
          <w:p w14:paraId="67064141">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常委会测评</w:t>
            </w:r>
          </w:p>
        </w:tc>
        <w:tc>
          <w:tcPr>
            <w:tcW w:w="2547" w:type="pct"/>
            <w:vMerge w:val="continue"/>
            <w:tcBorders>
              <w:top w:val="nil"/>
              <w:left w:val="nil"/>
              <w:bottom w:val="single" w:color="000000" w:sz="8" w:space="0"/>
              <w:right w:val="single" w:color="000000" w:sz="8" w:space="0"/>
            </w:tcBorders>
            <w:shd w:val="clear" w:color="auto" w:fill="auto"/>
            <w:vAlign w:val="center"/>
          </w:tcPr>
          <w:p w14:paraId="760235DF">
            <w:pPr>
              <w:jc w:val="left"/>
              <w:rPr>
                <w:rFonts w:hint="eastAsia" w:ascii="宋体" w:hAnsi="宋体" w:cs="宋体"/>
                <w:color w:val="000000" w:themeColor="text1"/>
                <w:sz w:val="24"/>
                <w14:textFill>
                  <w14:solidFill>
                    <w14:schemeClr w14:val="tx1"/>
                  </w14:solidFill>
                </w14:textFill>
              </w:rPr>
            </w:pPr>
          </w:p>
        </w:tc>
      </w:tr>
      <w:tr w14:paraId="5EE41F1B">
        <w:tblPrEx>
          <w:tblCellMar>
            <w:top w:w="0" w:type="dxa"/>
            <w:left w:w="108" w:type="dxa"/>
            <w:bottom w:w="0" w:type="dxa"/>
            <w:right w:w="108" w:type="dxa"/>
          </w:tblCellMar>
        </w:tblPrEx>
        <w:trPr>
          <w:gridAfter w:val="1"/>
          <w:wAfter w:w="104" w:type="pct"/>
          <w:trHeight w:val="327" w:hRule="atLeast"/>
        </w:trPr>
        <w:tc>
          <w:tcPr>
            <w:tcW w:w="338" w:type="pct"/>
            <w:tcBorders>
              <w:top w:val="nil"/>
              <w:left w:val="single" w:color="000000" w:sz="8" w:space="0"/>
              <w:bottom w:val="single" w:color="000000" w:sz="8" w:space="0"/>
              <w:right w:val="single" w:color="000000" w:sz="8" w:space="0"/>
            </w:tcBorders>
            <w:shd w:val="clear" w:color="auto" w:fill="auto"/>
            <w:noWrap/>
            <w:vAlign w:val="center"/>
          </w:tcPr>
          <w:p w14:paraId="340F3BF3">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26</w:t>
            </w:r>
          </w:p>
        </w:tc>
        <w:tc>
          <w:tcPr>
            <w:tcW w:w="534" w:type="pct"/>
            <w:vMerge w:val="continue"/>
            <w:tcBorders>
              <w:top w:val="nil"/>
              <w:left w:val="nil"/>
              <w:bottom w:val="single" w:color="000000" w:sz="8" w:space="0"/>
              <w:right w:val="single" w:color="000000" w:sz="8" w:space="0"/>
            </w:tcBorders>
            <w:shd w:val="clear" w:color="auto" w:fill="auto"/>
            <w:vAlign w:val="center"/>
          </w:tcPr>
          <w:p w14:paraId="477BB597">
            <w:pPr>
              <w:jc w:val="center"/>
              <w:rPr>
                <w:rFonts w:hint="eastAsia" w:ascii="宋体" w:hAnsi="宋体" w:cs="宋体"/>
                <w:color w:val="000000" w:themeColor="text1"/>
                <w:sz w:val="24"/>
                <w14:textFill>
                  <w14:solidFill>
                    <w14:schemeClr w14:val="tx1"/>
                  </w14:solidFill>
                </w14:textFill>
              </w:rPr>
            </w:pPr>
          </w:p>
        </w:tc>
        <w:tc>
          <w:tcPr>
            <w:tcW w:w="535" w:type="pct"/>
            <w:vMerge w:val="continue"/>
            <w:tcBorders>
              <w:top w:val="nil"/>
              <w:left w:val="nil"/>
              <w:bottom w:val="single" w:color="000000" w:sz="8" w:space="0"/>
              <w:right w:val="single" w:color="000000" w:sz="8" w:space="0"/>
            </w:tcBorders>
            <w:shd w:val="clear" w:color="auto" w:fill="auto"/>
            <w:vAlign w:val="center"/>
          </w:tcPr>
          <w:p w14:paraId="6FF2334D">
            <w:pPr>
              <w:jc w:val="left"/>
              <w:rPr>
                <w:rFonts w:hint="eastAsia" w:ascii="宋体" w:hAnsi="宋体" w:cs="宋体"/>
                <w:color w:val="000000" w:themeColor="text1"/>
                <w:sz w:val="24"/>
                <w14:textFill>
                  <w14:solidFill>
                    <w14:schemeClr w14:val="tx1"/>
                  </w14:solidFill>
                </w14:textFill>
              </w:rPr>
            </w:pPr>
          </w:p>
        </w:tc>
        <w:tc>
          <w:tcPr>
            <w:tcW w:w="939" w:type="pct"/>
            <w:gridSpan w:val="3"/>
            <w:tcBorders>
              <w:top w:val="nil"/>
              <w:left w:val="nil"/>
              <w:bottom w:val="single" w:color="000000" w:sz="8" w:space="0"/>
              <w:right w:val="single" w:color="000000" w:sz="8" w:space="0"/>
            </w:tcBorders>
            <w:shd w:val="clear" w:color="auto" w:fill="auto"/>
            <w:vAlign w:val="center"/>
          </w:tcPr>
          <w:p w14:paraId="39A6FBD2">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形成审议意见</w:t>
            </w:r>
          </w:p>
        </w:tc>
        <w:tc>
          <w:tcPr>
            <w:tcW w:w="2547" w:type="pct"/>
            <w:vMerge w:val="continue"/>
            <w:tcBorders>
              <w:top w:val="nil"/>
              <w:left w:val="nil"/>
              <w:bottom w:val="single" w:color="000000" w:sz="8" w:space="0"/>
              <w:right w:val="single" w:color="000000" w:sz="8" w:space="0"/>
            </w:tcBorders>
            <w:shd w:val="clear" w:color="auto" w:fill="auto"/>
            <w:vAlign w:val="center"/>
          </w:tcPr>
          <w:p w14:paraId="56178207">
            <w:pPr>
              <w:jc w:val="left"/>
              <w:rPr>
                <w:rFonts w:hint="eastAsia" w:ascii="宋体" w:hAnsi="宋体" w:cs="宋体"/>
                <w:color w:val="000000" w:themeColor="text1"/>
                <w:sz w:val="24"/>
                <w14:textFill>
                  <w14:solidFill>
                    <w14:schemeClr w14:val="tx1"/>
                  </w14:solidFill>
                </w14:textFill>
              </w:rPr>
            </w:pPr>
          </w:p>
        </w:tc>
      </w:tr>
      <w:tr w14:paraId="0C68675C">
        <w:tblPrEx>
          <w:tblCellMar>
            <w:top w:w="0" w:type="dxa"/>
            <w:left w:w="108" w:type="dxa"/>
            <w:bottom w:w="0" w:type="dxa"/>
            <w:right w:w="108" w:type="dxa"/>
          </w:tblCellMar>
        </w:tblPrEx>
        <w:trPr>
          <w:gridAfter w:val="1"/>
          <w:wAfter w:w="104" w:type="pct"/>
          <w:trHeight w:val="327" w:hRule="atLeast"/>
        </w:trPr>
        <w:tc>
          <w:tcPr>
            <w:tcW w:w="338" w:type="pct"/>
            <w:tcBorders>
              <w:top w:val="nil"/>
              <w:left w:val="single" w:color="000000" w:sz="8" w:space="0"/>
              <w:bottom w:val="single" w:color="000000" w:sz="8" w:space="0"/>
              <w:right w:val="single" w:color="000000" w:sz="8" w:space="0"/>
            </w:tcBorders>
            <w:shd w:val="clear" w:color="auto" w:fill="auto"/>
            <w:noWrap/>
            <w:vAlign w:val="center"/>
          </w:tcPr>
          <w:p w14:paraId="708A4378">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27</w:t>
            </w:r>
          </w:p>
        </w:tc>
        <w:tc>
          <w:tcPr>
            <w:tcW w:w="534" w:type="pct"/>
            <w:vMerge w:val="continue"/>
            <w:tcBorders>
              <w:top w:val="nil"/>
              <w:left w:val="nil"/>
              <w:bottom w:val="single" w:color="000000" w:sz="8" w:space="0"/>
              <w:right w:val="single" w:color="000000" w:sz="8" w:space="0"/>
            </w:tcBorders>
            <w:shd w:val="clear" w:color="auto" w:fill="auto"/>
            <w:vAlign w:val="center"/>
          </w:tcPr>
          <w:p w14:paraId="034B4BAF">
            <w:pPr>
              <w:jc w:val="center"/>
              <w:rPr>
                <w:rFonts w:hint="eastAsia" w:ascii="宋体" w:hAnsi="宋体" w:cs="宋体"/>
                <w:color w:val="000000" w:themeColor="text1"/>
                <w:sz w:val="24"/>
                <w14:textFill>
                  <w14:solidFill>
                    <w14:schemeClr w14:val="tx1"/>
                  </w14:solidFill>
                </w14:textFill>
              </w:rPr>
            </w:pPr>
          </w:p>
        </w:tc>
        <w:tc>
          <w:tcPr>
            <w:tcW w:w="535" w:type="pct"/>
            <w:vMerge w:val="restart"/>
            <w:tcBorders>
              <w:top w:val="nil"/>
              <w:left w:val="nil"/>
              <w:bottom w:val="single" w:color="000000" w:sz="8" w:space="0"/>
              <w:right w:val="single" w:color="000000" w:sz="8" w:space="0"/>
            </w:tcBorders>
            <w:shd w:val="clear" w:color="auto" w:fill="auto"/>
            <w:vAlign w:val="center"/>
          </w:tcPr>
          <w:p w14:paraId="7AA31A10">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意见处理</w:t>
            </w:r>
          </w:p>
        </w:tc>
        <w:tc>
          <w:tcPr>
            <w:tcW w:w="939" w:type="pct"/>
            <w:gridSpan w:val="3"/>
            <w:tcBorders>
              <w:top w:val="nil"/>
              <w:left w:val="nil"/>
              <w:bottom w:val="single" w:color="000000" w:sz="8" w:space="0"/>
              <w:right w:val="single" w:color="000000" w:sz="8" w:space="0"/>
            </w:tcBorders>
            <w:shd w:val="clear" w:color="auto" w:fill="auto"/>
            <w:vAlign w:val="center"/>
          </w:tcPr>
          <w:p w14:paraId="5E2BDF6F">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审议意见送达</w:t>
            </w:r>
          </w:p>
        </w:tc>
        <w:tc>
          <w:tcPr>
            <w:tcW w:w="2547" w:type="pct"/>
            <w:vMerge w:val="restart"/>
            <w:tcBorders>
              <w:top w:val="nil"/>
              <w:left w:val="nil"/>
              <w:bottom w:val="single" w:color="000000" w:sz="8" w:space="0"/>
              <w:right w:val="single" w:color="000000" w:sz="8" w:space="0"/>
            </w:tcBorders>
            <w:shd w:val="clear" w:color="auto" w:fill="auto"/>
            <w:vAlign w:val="center"/>
          </w:tcPr>
          <w:p w14:paraId="54278D66">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录入审议意见后的意见处理情况</w:t>
            </w:r>
          </w:p>
        </w:tc>
      </w:tr>
      <w:tr w14:paraId="760DE93D">
        <w:tblPrEx>
          <w:tblCellMar>
            <w:top w:w="0" w:type="dxa"/>
            <w:left w:w="108" w:type="dxa"/>
            <w:bottom w:w="0" w:type="dxa"/>
            <w:right w:w="108" w:type="dxa"/>
          </w:tblCellMar>
        </w:tblPrEx>
        <w:trPr>
          <w:gridAfter w:val="1"/>
          <w:wAfter w:w="104" w:type="pct"/>
          <w:trHeight w:val="327" w:hRule="atLeast"/>
        </w:trPr>
        <w:tc>
          <w:tcPr>
            <w:tcW w:w="338" w:type="pct"/>
            <w:tcBorders>
              <w:top w:val="nil"/>
              <w:left w:val="single" w:color="000000" w:sz="8" w:space="0"/>
              <w:bottom w:val="single" w:color="000000" w:sz="8" w:space="0"/>
              <w:right w:val="single" w:color="000000" w:sz="8" w:space="0"/>
            </w:tcBorders>
            <w:shd w:val="clear" w:color="auto" w:fill="auto"/>
            <w:noWrap/>
            <w:vAlign w:val="center"/>
          </w:tcPr>
          <w:p w14:paraId="1C51FE14">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28</w:t>
            </w:r>
          </w:p>
        </w:tc>
        <w:tc>
          <w:tcPr>
            <w:tcW w:w="534" w:type="pct"/>
            <w:vMerge w:val="continue"/>
            <w:tcBorders>
              <w:top w:val="nil"/>
              <w:left w:val="nil"/>
              <w:bottom w:val="single" w:color="000000" w:sz="8" w:space="0"/>
              <w:right w:val="single" w:color="000000" w:sz="8" w:space="0"/>
            </w:tcBorders>
            <w:shd w:val="clear" w:color="auto" w:fill="auto"/>
            <w:vAlign w:val="center"/>
          </w:tcPr>
          <w:p w14:paraId="108D0DF3">
            <w:pPr>
              <w:jc w:val="center"/>
              <w:rPr>
                <w:rFonts w:hint="eastAsia" w:ascii="宋体" w:hAnsi="宋体" w:cs="宋体"/>
                <w:color w:val="000000" w:themeColor="text1"/>
                <w:sz w:val="24"/>
                <w14:textFill>
                  <w14:solidFill>
                    <w14:schemeClr w14:val="tx1"/>
                  </w14:solidFill>
                </w14:textFill>
              </w:rPr>
            </w:pPr>
          </w:p>
        </w:tc>
        <w:tc>
          <w:tcPr>
            <w:tcW w:w="535" w:type="pct"/>
            <w:vMerge w:val="continue"/>
            <w:tcBorders>
              <w:top w:val="nil"/>
              <w:left w:val="nil"/>
              <w:bottom w:val="single" w:color="000000" w:sz="8" w:space="0"/>
              <w:right w:val="single" w:color="000000" w:sz="8" w:space="0"/>
            </w:tcBorders>
            <w:shd w:val="clear" w:color="auto" w:fill="auto"/>
            <w:vAlign w:val="center"/>
          </w:tcPr>
          <w:p w14:paraId="0E5CDE19">
            <w:pPr>
              <w:jc w:val="left"/>
              <w:rPr>
                <w:rFonts w:hint="eastAsia" w:ascii="宋体" w:hAnsi="宋体" w:cs="宋体"/>
                <w:color w:val="000000" w:themeColor="text1"/>
                <w:sz w:val="24"/>
                <w14:textFill>
                  <w14:solidFill>
                    <w14:schemeClr w14:val="tx1"/>
                  </w14:solidFill>
                </w14:textFill>
              </w:rPr>
            </w:pPr>
          </w:p>
        </w:tc>
        <w:tc>
          <w:tcPr>
            <w:tcW w:w="939" w:type="pct"/>
            <w:gridSpan w:val="3"/>
            <w:tcBorders>
              <w:top w:val="nil"/>
              <w:left w:val="nil"/>
              <w:bottom w:val="single" w:color="000000" w:sz="8" w:space="0"/>
              <w:right w:val="single" w:color="000000" w:sz="8" w:space="0"/>
            </w:tcBorders>
            <w:shd w:val="clear" w:color="auto" w:fill="auto"/>
            <w:vAlign w:val="center"/>
          </w:tcPr>
          <w:p w14:paraId="1BC12F1D">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处理情况书面报常委会</w:t>
            </w:r>
          </w:p>
        </w:tc>
        <w:tc>
          <w:tcPr>
            <w:tcW w:w="2547" w:type="pct"/>
            <w:vMerge w:val="continue"/>
            <w:tcBorders>
              <w:top w:val="nil"/>
              <w:left w:val="nil"/>
              <w:bottom w:val="single" w:color="000000" w:sz="8" w:space="0"/>
              <w:right w:val="single" w:color="000000" w:sz="8" w:space="0"/>
            </w:tcBorders>
            <w:shd w:val="clear" w:color="auto" w:fill="auto"/>
            <w:vAlign w:val="center"/>
          </w:tcPr>
          <w:p w14:paraId="5D3930B1">
            <w:pPr>
              <w:jc w:val="left"/>
              <w:rPr>
                <w:rFonts w:hint="eastAsia" w:ascii="宋体" w:hAnsi="宋体" w:cs="宋体"/>
                <w:color w:val="000000" w:themeColor="text1"/>
                <w:sz w:val="24"/>
                <w14:textFill>
                  <w14:solidFill>
                    <w14:schemeClr w14:val="tx1"/>
                  </w14:solidFill>
                </w14:textFill>
              </w:rPr>
            </w:pPr>
          </w:p>
        </w:tc>
      </w:tr>
      <w:tr w14:paraId="55C8C6BE">
        <w:tblPrEx>
          <w:tblCellMar>
            <w:top w:w="0" w:type="dxa"/>
            <w:left w:w="108" w:type="dxa"/>
            <w:bottom w:w="0" w:type="dxa"/>
            <w:right w:w="108" w:type="dxa"/>
          </w:tblCellMar>
        </w:tblPrEx>
        <w:trPr>
          <w:gridAfter w:val="1"/>
          <w:wAfter w:w="104" w:type="pct"/>
          <w:trHeight w:val="327" w:hRule="atLeast"/>
        </w:trPr>
        <w:tc>
          <w:tcPr>
            <w:tcW w:w="338" w:type="pct"/>
            <w:tcBorders>
              <w:top w:val="nil"/>
              <w:left w:val="single" w:color="000000" w:sz="8" w:space="0"/>
              <w:bottom w:val="single" w:color="000000" w:sz="8" w:space="0"/>
              <w:right w:val="single" w:color="000000" w:sz="8" w:space="0"/>
            </w:tcBorders>
            <w:shd w:val="clear" w:color="auto" w:fill="auto"/>
            <w:noWrap/>
            <w:vAlign w:val="center"/>
          </w:tcPr>
          <w:p w14:paraId="0EB9BB6E">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29</w:t>
            </w:r>
          </w:p>
        </w:tc>
        <w:tc>
          <w:tcPr>
            <w:tcW w:w="534" w:type="pct"/>
            <w:vMerge w:val="continue"/>
            <w:tcBorders>
              <w:top w:val="nil"/>
              <w:left w:val="nil"/>
              <w:bottom w:val="single" w:color="000000" w:sz="8" w:space="0"/>
              <w:right w:val="single" w:color="000000" w:sz="8" w:space="0"/>
            </w:tcBorders>
            <w:shd w:val="clear" w:color="auto" w:fill="auto"/>
            <w:vAlign w:val="center"/>
          </w:tcPr>
          <w:p w14:paraId="06581E97">
            <w:pPr>
              <w:jc w:val="center"/>
              <w:rPr>
                <w:rFonts w:hint="eastAsia" w:ascii="宋体" w:hAnsi="宋体" w:cs="宋体"/>
                <w:color w:val="000000" w:themeColor="text1"/>
                <w:sz w:val="24"/>
                <w14:textFill>
                  <w14:solidFill>
                    <w14:schemeClr w14:val="tx1"/>
                  </w14:solidFill>
                </w14:textFill>
              </w:rPr>
            </w:pPr>
          </w:p>
        </w:tc>
        <w:tc>
          <w:tcPr>
            <w:tcW w:w="535" w:type="pct"/>
            <w:vMerge w:val="continue"/>
            <w:tcBorders>
              <w:top w:val="nil"/>
              <w:left w:val="nil"/>
              <w:bottom w:val="single" w:color="000000" w:sz="8" w:space="0"/>
              <w:right w:val="single" w:color="000000" w:sz="8" w:space="0"/>
            </w:tcBorders>
            <w:shd w:val="clear" w:color="auto" w:fill="auto"/>
            <w:vAlign w:val="center"/>
          </w:tcPr>
          <w:p w14:paraId="7D9A4019">
            <w:pPr>
              <w:jc w:val="left"/>
              <w:rPr>
                <w:rFonts w:hint="eastAsia" w:ascii="宋体" w:hAnsi="宋体" w:cs="宋体"/>
                <w:color w:val="000000" w:themeColor="text1"/>
                <w:sz w:val="24"/>
                <w14:textFill>
                  <w14:solidFill>
                    <w14:schemeClr w14:val="tx1"/>
                  </w14:solidFill>
                </w14:textFill>
              </w:rPr>
            </w:pPr>
          </w:p>
        </w:tc>
        <w:tc>
          <w:tcPr>
            <w:tcW w:w="939" w:type="pct"/>
            <w:gridSpan w:val="3"/>
            <w:tcBorders>
              <w:top w:val="nil"/>
              <w:left w:val="nil"/>
              <w:bottom w:val="single" w:color="000000" w:sz="8" w:space="0"/>
              <w:right w:val="single" w:color="000000" w:sz="8" w:space="0"/>
            </w:tcBorders>
            <w:shd w:val="clear" w:color="auto" w:fill="auto"/>
            <w:vAlign w:val="center"/>
          </w:tcPr>
          <w:p w14:paraId="2199F698">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通报公布（工作公开）</w:t>
            </w:r>
          </w:p>
        </w:tc>
        <w:tc>
          <w:tcPr>
            <w:tcW w:w="2547" w:type="pct"/>
            <w:vMerge w:val="continue"/>
            <w:tcBorders>
              <w:top w:val="nil"/>
              <w:left w:val="nil"/>
              <w:bottom w:val="single" w:color="000000" w:sz="8" w:space="0"/>
              <w:right w:val="single" w:color="000000" w:sz="8" w:space="0"/>
            </w:tcBorders>
            <w:shd w:val="clear" w:color="auto" w:fill="auto"/>
            <w:vAlign w:val="center"/>
          </w:tcPr>
          <w:p w14:paraId="2A95F445">
            <w:pPr>
              <w:jc w:val="left"/>
              <w:rPr>
                <w:rFonts w:hint="eastAsia" w:ascii="宋体" w:hAnsi="宋体" w:cs="宋体"/>
                <w:color w:val="000000" w:themeColor="text1"/>
                <w:sz w:val="24"/>
                <w14:textFill>
                  <w14:solidFill>
                    <w14:schemeClr w14:val="tx1"/>
                  </w14:solidFill>
                </w14:textFill>
              </w:rPr>
            </w:pPr>
          </w:p>
        </w:tc>
      </w:tr>
      <w:tr w14:paraId="45E8DF9A">
        <w:tblPrEx>
          <w:tblCellMar>
            <w:top w:w="0" w:type="dxa"/>
            <w:left w:w="108" w:type="dxa"/>
            <w:bottom w:w="0" w:type="dxa"/>
            <w:right w:w="108" w:type="dxa"/>
          </w:tblCellMar>
        </w:tblPrEx>
        <w:trPr>
          <w:gridAfter w:val="1"/>
          <w:wAfter w:w="104" w:type="pct"/>
          <w:trHeight w:val="327" w:hRule="atLeast"/>
        </w:trPr>
        <w:tc>
          <w:tcPr>
            <w:tcW w:w="338" w:type="pct"/>
            <w:tcBorders>
              <w:top w:val="nil"/>
              <w:left w:val="single" w:color="000000" w:sz="8" w:space="0"/>
              <w:bottom w:val="single" w:color="000000" w:sz="8" w:space="0"/>
              <w:right w:val="single" w:color="000000" w:sz="8" w:space="0"/>
            </w:tcBorders>
            <w:shd w:val="clear" w:color="auto" w:fill="auto"/>
            <w:noWrap/>
            <w:vAlign w:val="center"/>
          </w:tcPr>
          <w:p w14:paraId="127D5266">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30</w:t>
            </w:r>
          </w:p>
        </w:tc>
        <w:tc>
          <w:tcPr>
            <w:tcW w:w="534" w:type="pct"/>
            <w:vMerge w:val="continue"/>
            <w:tcBorders>
              <w:top w:val="nil"/>
              <w:left w:val="nil"/>
              <w:bottom w:val="single" w:color="000000" w:sz="8" w:space="0"/>
              <w:right w:val="single" w:color="000000" w:sz="8" w:space="0"/>
            </w:tcBorders>
            <w:shd w:val="clear" w:color="auto" w:fill="auto"/>
            <w:vAlign w:val="center"/>
          </w:tcPr>
          <w:p w14:paraId="6CCED1B1">
            <w:pPr>
              <w:jc w:val="center"/>
              <w:rPr>
                <w:rFonts w:hint="eastAsia" w:ascii="宋体" w:hAnsi="宋体" w:cs="宋体"/>
                <w:color w:val="000000" w:themeColor="text1"/>
                <w:sz w:val="24"/>
                <w14:textFill>
                  <w14:solidFill>
                    <w14:schemeClr w14:val="tx1"/>
                  </w14:solidFill>
                </w14:textFill>
              </w:rPr>
            </w:pPr>
          </w:p>
        </w:tc>
        <w:tc>
          <w:tcPr>
            <w:tcW w:w="535" w:type="pct"/>
            <w:vMerge w:val="continue"/>
            <w:tcBorders>
              <w:top w:val="nil"/>
              <w:left w:val="nil"/>
              <w:bottom w:val="single" w:color="000000" w:sz="8" w:space="0"/>
              <w:right w:val="single" w:color="000000" w:sz="8" w:space="0"/>
            </w:tcBorders>
            <w:shd w:val="clear" w:color="auto" w:fill="auto"/>
            <w:vAlign w:val="center"/>
          </w:tcPr>
          <w:p w14:paraId="554F6DCF">
            <w:pPr>
              <w:jc w:val="left"/>
              <w:rPr>
                <w:rFonts w:hint="eastAsia" w:ascii="宋体" w:hAnsi="宋体" w:cs="宋体"/>
                <w:color w:val="000000" w:themeColor="text1"/>
                <w:sz w:val="24"/>
                <w14:textFill>
                  <w14:solidFill>
                    <w14:schemeClr w14:val="tx1"/>
                  </w14:solidFill>
                </w14:textFill>
              </w:rPr>
            </w:pPr>
          </w:p>
        </w:tc>
        <w:tc>
          <w:tcPr>
            <w:tcW w:w="939" w:type="pct"/>
            <w:gridSpan w:val="3"/>
            <w:tcBorders>
              <w:top w:val="nil"/>
              <w:left w:val="nil"/>
              <w:bottom w:val="single" w:color="000000" w:sz="8" w:space="0"/>
              <w:right w:val="single" w:color="000000" w:sz="8" w:space="0"/>
            </w:tcBorders>
            <w:shd w:val="clear" w:color="auto" w:fill="auto"/>
            <w:vAlign w:val="center"/>
          </w:tcPr>
          <w:p w14:paraId="63347770">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常委会审议</w:t>
            </w:r>
          </w:p>
        </w:tc>
        <w:tc>
          <w:tcPr>
            <w:tcW w:w="2547" w:type="pct"/>
            <w:vMerge w:val="continue"/>
            <w:tcBorders>
              <w:top w:val="nil"/>
              <w:left w:val="nil"/>
              <w:bottom w:val="single" w:color="000000" w:sz="8" w:space="0"/>
              <w:right w:val="single" w:color="000000" w:sz="8" w:space="0"/>
            </w:tcBorders>
            <w:shd w:val="clear" w:color="auto" w:fill="auto"/>
            <w:vAlign w:val="center"/>
          </w:tcPr>
          <w:p w14:paraId="6ED6EA56">
            <w:pPr>
              <w:jc w:val="left"/>
              <w:rPr>
                <w:rFonts w:hint="eastAsia" w:ascii="宋体" w:hAnsi="宋体" w:cs="宋体"/>
                <w:color w:val="000000" w:themeColor="text1"/>
                <w:sz w:val="24"/>
                <w14:textFill>
                  <w14:solidFill>
                    <w14:schemeClr w14:val="tx1"/>
                  </w14:solidFill>
                </w14:textFill>
              </w:rPr>
            </w:pPr>
          </w:p>
        </w:tc>
      </w:tr>
      <w:tr w14:paraId="7C923146">
        <w:tblPrEx>
          <w:tblCellMar>
            <w:top w:w="0" w:type="dxa"/>
            <w:left w:w="108" w:type="dxa"/>
            <w:bottom w:w="0" w:type="dxa"/>
            <w:right w:w="108" w:type="dxa"/>
          </w:tblCellMar>
        </w:tblPrEx>
        <w:trPr>
          <w:gridAfter w:val="1"/>
          <w:wAfter w:w="104" w:type="pct"/>
          <w:trHeight w:val="327" w:hRule="atLeast"/>
        </w:trPr>
        <w:tc>
          <w:tcPr>
            <w:tcW w:w="338" w:type="pct"/>
            <w:tcBorders>
              <w:top w:val="nil"/>
              <w:left w:val="single" w:color="000000" w:sz="8" w:space="0"/>
              <w:bottom w:val="single" w:color="000000" w:sz="8" w:space="0"/>
              <w:right w:val="single" w:color="000000" w:sz="8" w:space="0"/>
            </w:tcBorders>
            <w:shd w:val="clear" w:color="auto" w:fill="auto"/>
            <w:noWrap/>
            <w:vAlign w:val="center"/>
          </w:tcPr>
          <w:p w14:paraId="11D6E240">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31</w:t>
            </w:r>
          </w:p>
        </w:tc>
        <w:tc>
          <w:tcPr>
            <w:tcW w:w="534" w:type="pct"/>
            <w:vMerge w:val="continue"/>
            <w:tcBorders>
              <w:top w:val="nil"/>
              <w:left w:val="nil"/>
              <w:bottom w:val="single" w:color="000000" w:sz="8" w:space="0"/>
              <w:right w:val="single" w:color="000000" w:sz="8" w:space="0"/>
            </w:tcBorders>
            <w:shd w:val="clear" w:color="auto" w:fill="auto"/>
            <w:vAlign w:val="center"/>
          </w:tcPr>
          <w:p w14:paraId="7BB279C7">
            <w:pPr>
              <w:jc w:val="center"/>
              <w:rPr>
                <w:rFonts w:hint="eastAsia" w:ascii="宋体" w:hAnsi="宋体" w:cs="宋体"/>
                <w:color w:val="000000" w:themeColor="text1"/>
                <w:sz w:val="24"/>
                <w14:textFill>
                  <w14:solidFill>
                    <w14:schemeClr w14:val="tx1"/>
                  </w14:solidFill>
                </w14:textFill>
              </w:rPr>
            </w:pPr>
          </w:p>
        </w:tc>
        <w:tc>
          <w:tcPr>
            <w:tcW w:w="535" w:type="pct"/>
            <w:vMerge w:val="continue"/>
            <w:tcBorders>
              <w:top w:val="nil"/>
              <w:left w:val="nil"/>
              <w:bottom w:val="single" w:color="000000" w:sz="8" w:space="0"/>
              <w:right w:val="single" w:color="000000" w:sz="8" w:space="0"/>
            </w:tcBorders>
            <w:shd w:val="clear" w:color="auto" w:fill="auto"/>
            <w:vAlign w:val="center"/>
          </w:tcPr>
          <w:p w14:paraId="08F6C0E8">
            <w:pPr>
              <w:jc w:val="left"/>
              <w:rPr>
                <w:rFonts w:hint="eastAsia" w:ascii="宋体" w:hAnsi="宋体" w:cs="宋体"/>
                <w:color w:val="000000" w:themeColor="text1"/>
                <w:sz w:val="24"/>
                <w14:textFill>
                  <w14:solidFill>
                    <w14:schemeClr w14:val="tx1"/>
                  </w14:solidFill>
                </w14:textFill>
              </w:rPr>
            </w:pPr>
          </w:p>
        </w:tc>
        <w:tc>
          <w:tcPr>
            <w:tcW w:w="939" w:type="pct"/>
            <w:gridSpan w:val="3"/>
            <w:tcBorders>
              <w:top w:val="nil"/>
              <w:left w:val="nil"/>
              <w:bottom w:val="single" w:color="000000" w:sz="8" w:space="0"/>
              <w:right w:val="single" w:color="000000" w:sz="8" w:space="0"/>
            </w:tcBorders>
            <w:shd w:val="clear" w:color="auto" w:fill="auto"/>
            <w:vAlign w:val="center"/>
          </w:tcPr>
          <w:p w14:paraId="7D533043">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跟踪检查</w:t>
            </w:r>
          </w:p>
        </w:tc>
        <w:tc>
          <w:tcPr>
            <w:tcW w:w="2547" w:type="pct"/>
            <w:vMerge w:val="continue"/>
            <w:tcBorders>
              <w:top w:val="nil"/>
              <w:left w:val="nil"/>
              <w:bottom w:val="single" w:color="000000" w:sz="8" w:space="0"/>
              <w:right w:val="single" w:color="000000" w:sz="8" w:space="0"/>
            </w:tcBorders>
            <w:shd w:val="clear" w:color="auto" w:fill="auto"/>
            <w:vAlign w:val="center"/>
          </w:tcPr>
          <w:p w14:paraId="7B6F6C14">
            <w:pPr>
              <w:jc w:val="left"/>
              <w:rPr>
                <w:rFonts w:hint="eastAsia" w:ascii="宋体" w:hAnsi="宋体" w:cs="宋体"/>
                <w:color w:val="000000" w:themeColor="text1"/>
                <w:sz w:val="24"/>
                <w14:textFill>
                  <w14:solidFill>
                    <w14:schemeClr w14:val="tx1"/>
                  </w14:solidFill>
                </w14:textFill>
              </w:rPr>
            </w:pPr>
          </w:p>
        </w:tc>
      </w:tr>
      <w:tr w14:paraId="17C55C3D">
        <w:tblPrEx>
          <w:tblCellMar>
            <w:top w:w="0" w:type="dxa"/>
            <w:left w:w="108" w:type="dxa"/>
            <w:bottom w:w="0" w:type="dxa"/>
            <w:right w:w="108" w:type="dxa"/>
          </w:tblCellMar>
        </w:tblPrEx>
        <w:trPr>
          <w:gridAfter w:val="1"/>
          <w:wAfter w:w="104" w:type="pct"/>
          <w:trHeight w:val="327" w:hRule="atLeast"/>
        </w:trPr>
        <w:tc>
          <w:tcPr>
            <w:tcW w:w="338" w:type="pct"/>
            <w:tcBorders>
              <w:top w:val="nil"/>
              <w:left w:val="single" w:color="000000" w:sz="8" w:space="0"/>
              <w:bottom w:val="single" w:color="000000" w:sz="8" w:space="0"/>
              <w:right w:val="single" w:color="000000" w:sz="8" w:space="0"/>
            </w:tcBorders>
            <w:shd w:val="clear" w:color="auto" w:fill="auto"/>
            <w:noWrap/>
            <w:vAlign w:val="center"/>
          </w:tcPr>
          <w:p w14:paraId="0F794DEF">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32</w:t>
            </w:r>
          </w:p>
        </w:tc>
        <w:tc>
          <w:tcPr>
            <w:tcW w:w="534" w:type="pct"/>
            <w:vMerge w:val="continue"/>
            <w:tcBorders>
              <w:top w:val="nil"/>
              <w:left w:val="nil"/>
              <w:bottom w:val="single" w:color="000000" w:sz="8" w:space="0"/>
              <w:right w:val="single" w:color="000000" w:sz="8" w:space="0"/>
            </w:tcBorders>
            <w:shd w:val="clear" w:color="auto" w:fill="auto"/>
            <w:vAlign w:val="center"/>
          </w:tcPr>
          <w:p w14:paraId="3BAF74E9">
            <w:pPr>
              <w:jc w:val="center"/>
              <w:rPr>
                <w:rFonts w:hint="eastAsia" w:ascii="宋体" w:hAnsi="宋体" w:cs="宋体"/>
                <w:color w:val="000000" w:themeColor="text1"/>
                <w:sz w:val="24"/>
                <w14:textFill>
                  <w14:solidFill>
                    <w14:schemeClr w14:val="tx1"/>
                  </w14:solidFill>
                </w14:textFill>
              </w:rPr>
            </w:pPr>
          </w:p>
        </w:tc>
        <w:tc>
          <w:tcPr>
            <w:tcW w:w="535" w:type="pct"/>
            <w:vMerge w:val="restart"/>
            <w:tcBorders>
              <w:top w:val="nil"/>
              <w:left w:val="nil"/>
              <w:bottom w:val="single" w:color="000000" w:sz="8" w:space="0"/>
              <w:right w:val="single" w:color="000000" w:sz="8" w:space="0"/>
            </w:tcBorders>
            <w:shd w:val="clear" w:color="auto" w:fill="auto"/>
            <w:vAlign w:val="center"/>
          </w:tcPr>
          <w:p w14:paraId="5524D321">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先期调研及交换意见</w:t>
            </w:r>
          </w:p>
        </w:tc>
        <w:tc>
          <w:tcPr>
            <w:tcW w:w="939" w:type="pct"/>
            <w:gridSpan w:val="3"/>
            <w:tcBorders>
              <w:top w:val="nil"/>
              <w:left w:val="nil"/>
              <w:bottom w:val="single" w:color="000000" w:sz="8" w:space="0"/>
              <w:right w:val="single" w:color="000000" w:sz="8" w:space="0"/>
            </w:tcBorders>
            <w:shd w:val="clear" w:color="auto" w:fill="auto"/>
            <w:vAlign w:val="center"/>
          </w:tcPr>
          <w:p w14:paraId="00C47395">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相关单位数据对接</w:t>
            </w:r>
          </w:p>
        </w:tc>
        <w:tc>
          <w:tcPr>
            <w:tcW w:w="2547" w:type="pct"/>
            <w:vMerge w:val="restart"/>
            <w:tcBorders>
              <w:top w:val="nil"/>
              <w:left w:val="nil"/>
              <w:bottom w:val="single" w:color="000000" w:sz="8" w:space="0"/>
              <w:right w:val="single" w:color="000000" w:sz="8" w:space="0"/>
            </w:tcBorders>
            <w:shd w:val="clear" w:color="auto" w:fill="auto"/>
            <w:vAlign w:val="center"/>
          </w:tcPr>
          <w:p w14:paraId="0B92BF66">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和其他相关单位相关的数据信息</w:t>
            </w:r>
          </w:p>
        </w:tc>
      </w:tr>
      <w:tr w14:paraId="1F1FF3E9">
        <w:tblPrEx>
          <w:tblCellMar>
            <w:top w:w="0" w:type="dxa"/>
            <w:left w:w="108" w:type="dxa"/>
            <w:bottom w:w="0" w:type="dxa"/>
            <w:right w:w="108" w:type="dxa"/>
          </w:tblCellMar>
        </w:tblPrEx>
        <w:trPr>
          <w:gridAfter w:val="1"/>
          <w:wAfter w:w="104" w:type="pct"/>
          <w:trHeight w:val="327" w:hRule="atLeast"/>
        </w:trPr>
        <w:tc>
          <w:tcPr>
            <w:tcW w:w="338" w:type="pct"/>
            <w:tcBorders>
              <w:top w:val="nil"/>
              <w:left w:val="single" w:color="000000" w:sz="8" w:space="0"/>
              <w:bottom w:val="single" w:color="000000" w:sz="8" w:space="0"/>
              <w:right w:val="single" w:color="000000" w:sz="8" w:space="0"/>
            </w:tcBorders>
            <w:shd w:val="clear" w:color="auto" w:fill="auto"/>
            <w:noWrap/>
            <w:vAlign w:val="center"/>
          </w:tcPr>
          <w:p w14:paraId="09704746">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33</w:t>
            </w:r>
          </w:p>
        </w:tc>
        <w:tc>
          <w:tcPr>
            <w:tcW w:w="534" w:type="pct"/>
            <w:vMerge w:val="continue"/>
            <w:tcBorders>
              <w:top w:val="nil"/>
              <w:left w:val="nil"/>
              <w:bottom w:val="single" w:color="000000" w:sz="8" w:space="0"/>
              <w:right w:val="single" w:color="000000" w:sz="8" w:space="0"/>
            </w:tcBorders>
            <w:shd w:val="clear" w:color="auto" w:fill="auto"/>
            <w:vAlign w:val="center"/>
          </w:tcPr>
          <w:p w14:paraId="336AFF9E">
            <w:pPr>
              <w:jc w:val="center"/>
              <w:rPr>
                <w:rFonts w:hint="eastAsia" w:ascii="宋体" w:hAnsi="宋体" w:cs="宋体"/>
                <w:color w:val="000000" w:themeColor="text1"/>
                <w:sz w:val="24"/>
                <w14:textFill>
                  <w14:solidFill>
                    <w14:schemeClr w14:val="tx1"/>
                  </w14:solidFill>
                </w14:textFill>
              </w:rPr>
            </w:pPr>
          </w:p>
        </w:tc>
        <w:tc>
          <w:tcPr>
            <w:tcW w:w="535" w:type="pct"/>
            <w:vMerge w:val="continue"/>
            <w:tcBorders>
              <w:top w:val="nil"/>
              <w:left w:val="nil"/>
              <w:bottom w:val="single" w:color="000000" w:sz="8" w:space="0"/>
              <w:right w:val="single" w:color="000000" w:sz="8" w:space="0"/>
            </w:tcBorders>
            <w:shd w:val="clear" w:color="auto" w:fill="auto"/>
            <w:vAlign w:val="center"/>
          </w:tcPr>
          <w:p w14:paraId="2ADD0E8E">
            <w:pPr>
              <w:jc w:val="left"/>
              <w:rPr>
                <w:rFonts w:hint="eastAsia" w:ascii="宋体" w:hAnsi="宋体" w:cs="宋体"/>
                <w:color w:val="000000" w:themeColor="text1"/>
                <w:sz w:val="24"/>
                <w14:textFill>
                  <w14:solidFill>
                    <w14:schemeClr w14:val="tx1"/>
                  </w14:solidFill>
                </w14:textFill>
              </w:rPr>
            </w:pPr>
          </w:p>
        </w:tc>
        <w:tc>
          <w:tcPr>
            <w:tcW w:w="939" w:type="pct"/>
            <w:gridSpan w:val="3"/>
            <w:tcBorders>
              <w:top w:val="nil"/>
              <w:left w:val="nil"/>
              <w:bottom w:val="single" w:color="000000" w:sz="8" w:space="0"/>
              <w:right w:val="single" w:color="000000" w:sz="8" w:space="0"/>
            </w:tcBorders>
            <w:shd w:val="clear" w:color="auto" w:fill="auto"/>
            <w:vAlign w:val="center"/>
          </w:tcPr>
          <w:p w14:paraId="7D84179D">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制定实施方案</w:t>
            </w:r>
          </w:p>
        </w:tc>
        <w:tc>
          <w:tcPr>
            <w:tcW w:w="2547" w:type="pct"/>
            <w:vMerge w:val="continue"/>
            <w:tcBorders>
              <w:top w:val="nil"/>
              <w:left w:val="nil"/>
              <w:bottom w:val="single" w:color="000000" w:sz="8" w:space="0"/>
              <w:right w:val="single" w:color="000000" w:sz="8" w:space="0"/>
            </w:tcBorders>
            <w:shd w:val="clear" w:color="auto" w:fill="auto"/>
            <w:vAlign w:val="center"/>
          </w:tcPr>
          <w:p w14:paraId="4F8AE92B">
            <w:pPr>
              <w:jc w:val="left"/>
              <w:rPr>
                <w:rFonts w:hint="eastAsia" w:ascii="宋体" w:hAnsi="宋体" w:cs="宋体"/>
                <w:color w:val="000000" w:themeColor="text1"/>
                <w:sz w:val="24"/>
                <w14:textFill>
                  <w14:solidFill>
                    <w14:schemeClr w14:val="tx1"/>
                  </w14:solidFill>
                </w14:textFill>
              </w:rPr>
            </w:pPr>
          </w:p>
        </w:tc>
      </w:tr>
      <w:tr w14:paraId="3C59EAE0">
        <w:tblPrEx>
          <w:tblCellMar>
            <w:top w:w="0" w:type="dxa"/>
            <w:left w:w="108" w:type="dxa"/>
            <w:bottom w:w="0" w:type="dxa"/>
            <w:right w:w="108" w:type="dxa"/>
          </w:tblCellMar>
        </w:tblPrEx>
        <w:trPr>
          <w:gridAfter w:val="1"/>
          <w:wAfter w:w="104" w:type="pct"/>
          <w:trHeight w:val="327" w:hRule="atLeast"/>
        </w:trPr>
        <w:tc>
          <w:tcPr>
            <w:tcW w:w="338" w:type="pct"/>
            <w:tcBorders>
              <w:top w:val="nil"/>
              <w:left w:val="single" w:color="000000" w:sz="8" w:space="0"/>
              <w:bottom w:val="single" w:color="000000" w:sz="8" w:space="0"/>
              <w:right w:val="single" w:color="000000" w:sz="8" w:space="0"/>
            </w:tcBorders>
            <w:shd w:val="clear" w:color="auto" w:fill="auto"/>
            <w:noWrap/>
            <w:vAlign w:val="center"/>
          </w:tcPr>
          <w:p w14:paraId="27DCEA98">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34</w:t>
            </w:r>
          </w:p>
        </w:tc>
        <w:tc>
          <w:tcPr>
            <w:tcW w:w="534" w:type="pct"/>
            <w:vMerge w:val="continue"/>
            <w:tcBorders>
              <w:top w:val="nil"/>
              <w:left w:val="nil"/>
              <w:bottom w:val="single" w:color="000000" w:sz="8" w:space="0"/>
              <w:right w:val="single" w:color="000000" w:sz="8" w:space="0"/>
            </w:tcBorders>
            <w:shd w:val="clear" w:color="auto" w:fill="auto"/>
            <w:vAlign w:val="center"/>
          </w:tcPr>
          <w:p w14:paraId="61207E7E">
            <w:pPr>
              <w:jc w:val="center"/>
              <w:rPr>
                <w:rFonts w:hint="eastAsia" w:ascii="宋体" w:hAnsi="宋体" w:cs="宋体"/>
                <w:color w:val="000000" w:themeColor="text1"/>
                <w:sz w:val="24"/>
                <w14:textFill>
                  <w14:solidFill>
                    <w14:schemeClr w14:val="tx1"/>
                  </w14:solidFill>
                </w14:textFill>
              </w:rPr>
            </w:pPr>
          </w:p>
        </w:tc>
        <w:tc>
          <w:tcPr>
            <w:tcW w:w="535" w:type="pct"/>
            <w:vMerge w:val="continue"/>
            <w:tcBorders>
              <w:top w:val="nil"/>
              <w:left w:val="nil"/>
              <w:bottom w:val="single" w:color="000000" w:sz="8" w:space="0"/>
              <w:right w:val="single" w:color="000000" w:sz="8" w:space="0"/>
            </w:tcBorders>
            <w:shd w:val="clear" w:color="auto" w:fill="auto"/>
            <w:vAlign w:val="center"/>
          </w:tcPr>
          <w:p w14:paraId="36A1873C">
            <w:pPr>
              <w:jc w:val="left"/>
              <w:rPr>
                <w:rFonts w:hint="eastAsia" w:ascii="宋体" w:hAnsi="宋体" w:cs="宋体"/>
                <w:color w:val="000000" w:themeColor="text1"/>
                <w:sz w:val="24"/>
                <w14:textFill>
                  <w14:solidFill>
                    <w14:schemeClr w14:val="tx1"/>
                  </w14:solidFill>
                </w14:textFill>
              </w:rPr>
            </w:pPr>
          </w:p>
        </w:tc>
        <w:tc>
          <w:tcPr>
            <w:tcW w:w="939" w:type="pct"/>
            <w:gridSpan w:val="3"/>
            <w:tcBorders>
              <w:top w:val="nil"/>
              <w:left w:val="nil"/>
              <w:bottom w:val="single" w:color="000000" w:sz="8" w:space="0"/>
              <w:right w:val="single" w:color="000000" w:sz="8" w:space="0"/>
            </w:tcBorders>
            <w:shd w:val="clear" w:color="auto" w:fill="auto"/>
            <w:vAlign w:val="center"/>
          </w:tcPr>
          <w:p w14:paraId="6DCDCC01">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专题调研</w:t>
            </w:r>
          </w:p>
        </w:tc>
        <w:tc>
          <w:tcPr>
            <w:tcW w:w="2547" w:type="pct"/>
            <w:vMerge w:val="continue"/>
            <w:tcBorders>
              <w:top w:val="nil"/>
              <w:left w:val="nil"/>
              <w:bottom w:val="single" w:color="000000" w:sz="8" w:space="0"/>
              <w:right w:val="single" w:color="000000" w:sz="8" w:space="0"/>
            </w:tcBorders>
            <w:shd w:val="clear" w:color="auto" w:fill="auto"/>
            <w:vAlign w:val="center"/>
          </w:tcPr>
          <w:p w14:paraId="0B183FF2">
            <w:pPr>
              <w:jc w:val="left"/>
              <w:rPr>
                <w:rFonts w:hint="eastAsia" w:ascii="宋体" w:hAnsi="宋体" w:cs="宋体"/>
                <w:color w:val="000000" w:themeColor="text1"/>
                <w:sz w:val="24"/>
                <w14:textFill>
                  <w14:solidFill>
                    <w14:schemeClr w14:val="tx1"/>
                  </w14:solidFill>
                </w14:textFill>
              </w:rPr>
            </w:pPr>
          </w:p>
        </w:tc>
      </w:tr>
      <w:tr w14:paraId="7DD3BDFD">
        <w:tblPrEx>
          <w:tblCellMar>
            <w:top w:w="0" w:type="dxa"/>
            <w:left w:w="108" w:type="dxa"/>
            <w:bottom w:w="0" w:type="dxa"/>
            <w:right w:w="108" w:type="dxa"/>
          </w:tblCellMar>
        </w:tblPrEx>
        <w:trPr>
          <w:gridAfter w:val="1"/>
          <w:wAfter w:w="104" w:type="pct"/>
          <w:trHeight w:val="327" w:hRule="atLeast"/>
        </w:trPr>
        <w:tc>
          <w:tcPr>
            <w:tcW w:w="338" w:type="pct"/>
            <w:tcBorders>
              <w:top w:val="nil"/>
              <w:left w:val="single" w:color="000000" w:sz="8" w:space="0"/>
              <w:bottom w:val="single" w:color="000000" w:sz="8" w:space="0"/>
              <w:right w:val="single" w:color="000000" w:sz="8" w:space="0"/>
            </w:tcBorders>
            <w:shd w:val="clear" w:color="auto" w:fill="auto"/>
            <w:noWrap/>
            <w:vAlign w:val="center"/>
          </w:tcPr>
          <w:p w14:paraId="6094638C">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35</w:t>
            </w:r>
          </w:p>
        </w:tc>
        <w:tc>
          <w:tcPr>
            <w:tcW w:w="534" w:type="pct"/>
            <w:vMerge w:val="continue"/>
            <w:tcBorders>
              <w:top w:val="nil"/>
              <w:left w:val="nil"/>
              <w:bottom w:val="single" w:color="000000" w:sz="8" w:space="0"/>
              <w:right w:val="single" w:color="000000" w:sz="8" w:space="0"/>
            </w:tcBorders>
            <w:shd w:val="clear" w:color="auto" w:fill="auto"/>
            <w:vAlign w:val="center"/>
          </w:tcPr>
          <w:p w14:paraId="37BBD956">
            <w:pPr>
              <w:jc w:val="center"/>
              <w:rPr>
                <w:rFonts w:hint="eastAsia" w:ascii="宋体" w:hAnsi="宋体" w:cs="宋体"/>
                <w:color w:val="000000" w:themeColor="text1"/>
                <w:sz w:val="24"/>
                <w14:textFill>
                  <w14:solidFill>
                    <w14:schemeClr w14:val="tx1"/>
                  </w14:solidFill>
                </w14:textFill>
              </w:rPr>
            </w:pPr>
          </w:p>
        </w:tc>
        <w:tc>
          <w:tcPr>
            <w:tcW w:w="535" w:type="pct"/>
            <w:vMerge w:val="continue"/>
            <w:tcBorders>
              <w:top w:val="nil"/>
              <w:left w:val="nil"/>
              <w:bottom w:val="single" w:color="000000" w:sz="8" w:space="0"/>
              <w:right w:val="single" w:color="000000" w:sz="8" w:space="0"/>
            </w:tcBorders>
            <w:shd w:val="clear" w:color="auto" w:fill="auto"/>
            <w:vAlign w:val="center"/>
          </w:tcPr>
          <w:p w14:paraId="3C8D8C2A">
            <w:pPr>
              <w:jc w:val="left"/>
              <w:rPr>
                <w:rFonts w:hint="eastAsia" w:ascii="宋体" w:hAnsi="宋体" w:cs="宋体"/>
                <w:color w:val="000000" w:themeColor="text1"/>
                <w:sz w:val="24"/>
                <w14:textFill>
                  <w14:solidFill>
                    <w14:schemeClr w14:val="tx1"/>
                  </w14:solidFill>
                </w14:textFill>
              </w:rPr>
            </w:pPr>
          </w:p>
        </w:tc>
        <w:tc>
          <w:tcPr>
            <w:tcW w:w="939" w:type="pct"/>
            <w:gridSpan w:val="3"/>
            <w:tcBorders>
              <w:top w:val="nil"/>
              <w:left w:val="nil"/>
              <w:bottom w:val="single" w:color="000000" w:sz="8" w:space="0"/>
              <w:right w:val="single" w:color="000000" w:sz="8" w:space="0"/>
            </w:tcBorders>
            <w:shd w:val="clear" w:color="auto" w:fill="auto"/>
            <w:vAlign w:val="center"/>
          </w:tcPr>
          <w:p w14:paraId="1D46EB85">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汇总问题交报告机关研究</w:t>
            </w:r>
          </w:p>
        </w:tc>
        <w:tc>
          <w:tcPr>
            <w:tcW w:w="2547" w:type="pct"/>
            <w:vMerge w:val="continue"/>
            <w:tcBorders>
              <w:top w:val="nil"/>
              <w:left w:val="nil"/>
              <w:bottom w:val="single" w:color="000000" w:sz="8" w:space="0"/>
              <w:right w:val="single" w:color="000000" w:sz="8" w:space="0"/>
            </w:tcBorders>
            <w:shd w:val="clear" w:color="auto" w:fill="auto"/>
            <w:vAlign w:val="center"/>
          </w:tcPr>
          <w:p w14:paraId="44C61300">
            <w:pPr>
              <w:jc w:val="left"/>
              <w:rPr>
                <w:rFonts w:hint="eastAsia" w:ascii="宋体" w:hAnsi="宋体" w:cs="宋体"/>
                <w:color w:val="000000" w:themeColor="text1"/>
                <w:sz w:val="24"/>
                <w14:textFill>
                  <w14:solidFill>
                    <w14:schemeClr w14:val="tx1"/>
                  </w14:solidFill>
                </w14:textFill>
              </w:rPr>
            </w:pPr>
          </w:p>
        </w:tc>
      </w:tr>
      <w:tr w14:paraId="40CE075F">
        <w:tblPrEx>
          <w:tblCellMar>
            <w:top w:w="0" w:type="dxa"/>
            <w:left w:w="108" w:type="dxa"/>
            <w:bottom w:w="0" w:type="dxa"/>
            <w:right w:w="108" w:type="dxa"/>
          </w:tblCellMar>
        </w:tblPrEx>
        <w:trPr>
          <w:gridAfter w:val="1"/>
          <w:wAfter w:w="104" w:type="pct"/>
          <w:trHeight w:val="327" w:hRule="atLeast"/>
        </w:trPr>
        <w:tc>
          <w:tcPr>
            <w:tcW w:w="338" w:type="pct"/>
            <w:tcBorders>
              <w:top w:val="nil"/>
              <w:left w:val="single" w:color="000000" w:sz="8" w:space="0"/>
              <w:bottom w:val="single" w:color="000000" w:sz="8" w:space="0"/>
              <w:right w:val="single" w:color="000000" w:sz="8" w:space="0"/>
            </w:tcBorders>
            <w:shd w:val="clear" w:color="auto" w:fill="auto"/>
            <w:noWrap/>
            <w:vAlign w:val="center"/>
          </w:tcPr>
          <w:p w14:paraId="3F2C8EB1">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36</w:t>
            </w:r>
          </w:p>
        </w:tc>
        <w:tc>
          <w:tcPr>
            <w:tcW w:w="534" w:type="pct"/>
            <w:vMerge w:val="continue"/>
            <w:tcBorders>
              <w:top w:val="nil"/>
              <w:left w:val="nil"/>
              <w:bottom w:val="single" w:color="000000" w:sz="8" w:space="0"/>
              <w:right w:val="single" w:color="000000" w:sz="8" w:space="0"/>
            </w:tcBorders>
            <w:shd w:val="clear" w:color="auto" w:fill="auto"/>
            <w:vAlign w:val="center"/>
          </w:tcPr>
          <w:p w14:paraId="2B6AF8D7">
            <w:pPr>
              <w:jc w:val="center"/>
              <w:rPr>
                <w:rFonts w:hint="eastAsia" w:ascii="宋体" w:hAnsi="宋体" w:cs="宋体"/>
                <w:color w:val="000000" w:themeColor="text1"/>
                <w:sz w:val="24"/>
                <w14:textFill>
                  <w14:solidFill>
                    <w14:schemeClr w14:val="tx1"/>
                  </w14:solidFill>
                </w14:textFill>
              </w:rPr>
            </w:pPr>
          </w:p>
        </w:tc>
        <w:tc>
          <w:tcPr>
            <w:tcW w:w="535" w:type="pct"/>
            <w:vMerge w:val="continue"/>
            <w:tcBorders>
              <w:top w:val="nil"/>
              <w:left w:val="nil"/>
              <w:bottom w:val="single" w:color="000000" w:sz="8" w:space="0"/>
              <w:right w:val="single" w:color="000000" w:sz="8" w:space="0"/>
            </w:tcBorders>
            <w:shd w:val="clear" w:color="auto" w:fill="auto"/>
            <w:vAlign w:val="center"/>
          </w:tcPr>
          <w:p w14:paraId="41D91018">
            <w:pPr>
              <w:jc w:val="left"/>
              <w:rPr>
                <w:rFonts w:hint="eastAsia" w:ascii="宋体" w:hAnsi="宋体" w:cs="宋体"/>
                <w:color w:val="000000" w:themeColor="text1"/>
                <w:sz w:val="24"/>
                <w14:textFill>
                  <w14:solidFill>
                    <w14:schemeClr w14:val="tx1"/>
                  </w14:solidFill>
                </w14:textFill>
              </w:rPr>
            </w:pPr>
          </w:p>
        </w:tc>
        <w:tc>
          <w:tcPr>
            <w:tcW w:w="939" w:type="pct"/>
            <w:gridSpan w:val="3"/>
            <w:tcBorders>
              <w:top w:val="nil"/>
              <w:left w:val="nil"/>
              <w:bottom w:val="single" w:color="000000" w:sz="8" w:space="0"/>
              <w:right w:val="single" w:color="000000" w:sz="8" w:space="0"/>
            </w:tcBorders>
            <w:shd w:val="clear" w:color="auto" w:fill="auto"/>
            <w:vAlign w:val="center"/>
          </w:tcPr>
          <w:p w14:paraId="3F4B4734">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征求专项报告意见</w:t>
            </w:r>
          </w:p>
        </w:tc>
        <w:tc>
          <w:tcPr>
            <w:tcW w:w="2547" w:type="pct"/>
            <w:vMerge w:val="continue"/>
            <w:tcBorders>
              <w:top w:val="nil"/>
              <w:left w:val="nil"/>
              <w:bottom w:val="single" w:color="000000" w:sz="8" w:space="0"/>
              <w:right w:val="single" w:color="000000" w:sz="8" w:space="0"/>
            </w:tcBorders>
            <w:shd w:val="clear" w:color="auto" w:fill="auto"/>
            <w:vAlign w:val="center"/>
          </w:tcPr>
          <w:p w14:paraId="45F7719A">
            <w:pPr>
              <w:jc w:val="left"/>
              <w:rPr>
                <w:rFonts w:hint="eastAsia" w:ascii="宋体" w:hAnsi="宋体" w:cs="宋体"/>
                <w:color w:val="000000" w:themeColor="text1"/>
                <w:sz w:val="24"/>
                <w14:textFill>
                  <w14:solidFill>
                    <w14:schemeClr w14:val="tx1"/>
                  </w14:solidFill>
                </w14:textFill>
              </w:rPr>
            </w:pPr>
          </w:p>
        </w:tc>
      </w:tr>
      <w:tr w14:paraId="17BEEFD3">
        <w:tblPrEx>
          <w:tblCellMar>
            <w:top w:w="0" w:type="dxa"/>
            <w:left w:w="108" w:type="dxa"/>
            <w:bottom w:w="0" w:type="dxa"/>
            <w:right w:w="108" w:type="dxa"/>
          </w:tblCellMar>
        </w:tblPrEx>
        <w:trPr>
          <w:gridAfter w:val="1"/>
          <w:wAfter w:w="104" w:type="pct"/>
          <w:trHeight w:val="327" w:hRule="atLeast"/>
        </w:trPr>
        <w:tc>
          <w:tcPr>
            <w:tcW w:w="338" w:type="pct"/>
            <w:tcBorders>
              <w:top w:val="nil"/>
              <w:left w:val="single" w:color="000000" w:sz="8" w:space="0"/>
              <w:bottom w:val="single" w:color="000000" w:sz="8" w:space="0"/>
              <w:right w:val="single" w:color="000000" w:sz="8" w:space="0"/>
            </w:tcBorders>
            <w:shd w:val="clear" w:color="auto" w:fill="auto"/>
            <w:noWrap/>
            <w:vAlign w:val="center"/>
          </w:tcPr>
          <w:p w14:paraId="3AFDACF7">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37</w:t>
            </w:r>
          </w:p>
        </w:tc>
        <w:tc>
          <w:tcPr>
            <w:tcW w:w="534" w:type="pct"/>
            <w:vMerge w:val="continue"/>
            <w:tcBorders>
              <w:top w:val="nil"/>
              <w:left w:val="nil"/>
              <w:bottom w:val="single" w:color="000000" w:sz="8" w:space="0"/>
              <w:right w:val="single" w:color="000000" w:sz="8" w:space="0"/>
            </w:tcBorders>
            <w:shd w:val="clear" w:color="auto" w:fill="auto"/>
            <w:vAlign w:val="center"/>
          </w:tcPr>
          <w:p w14:paraId="30E15753">
            <w:pPr>
              <w:jc w:val="center"/>
              <w:rPr>
                <w:rFonts w:hint="eastAsia" w:ascii="宋体" w:hAnsi="宋体" w:cs="宋体"/>
                <w:color w:val="000000" w:themeColor="text1"/>
                <w:sz w:val="24"/>
                <w14:textFill>
                  <w14:solidFill>
                    <w14:schemeClr w14:val="tx1"/>
                  </w14:solidFill>
                </w14:textFill>
              </w:rPr>
            </w:pPr>
          </w:p>
        </w:tc>
        <w:tc>
          <w:tcPr>
            <w:tcW w:w="535" w:type="pct"/>
            <w:vMerge w:val="restart"/>
            <w:tcBorders>
              <w:top w:val="nil"/>
              <w:left w:val="nil"/>
              <w:bottom w:val="single" w:color="000000" w:sz="8" w:space="0"/>
              <w:right w:val="single" w:color="000000" w:sz="8" w:space="0"/>
            </w:tcBorders>
            <w:shd w:val="clear" w:color="auto" w:fill="auto"/>
            <w:vAlign w:val="center"/>
          </w:tcPr>
          <w:p w14:paraId="4FDFCB97">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听取和审议报告</w:t>
            </w:r>
          </w:p>
        </w:tc>
        <w:tc>
          <w:tcPr>
            <w:tcW w:w="939" w:type="pct"/>
            <w:gridSpan w:val="3"/>
            <w:tcBorders>
              <w:top w:val="nil"/>
              <w:left w:val="nil"/>
              <w:bottom w:val="single" w:color="000000" w:sz="8" w:space="0"/>
              <w:right w:val="single" w:color="000000" w:sz="8" w:space="0"/>
            </w:tcBorders>
            <w:shd w:val="clear" w:color="auto" w:fill="auto"/>
            <w:vAlign w:val="center"/>
          </w:tcPr>
          <w:p w14:paraId="579241C9">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提交工作报告</w:t>
            </w:r>
          </w:p>
        </w:tc>
        <w:tc>
          <w:tcPr>
            <w:tcW w:w="2547" w:type="pct"/>
            <w:vMerge w:val="restart"/>
            <w:tcBorders>
              <w:top w:val="nil"/>
              <w:left w:val="nil"/>
              <w:bottom w:val="single" w:color="000000" w:sz="8" w:space="0"/>
              <w:right w:val="single" w:color="000000" w:sz="8" w:space="0"/>
            </w:tcBorders>
            <w:shd w:val="clear" w:color="auto" w:fill="auto"/>
            <w:vAlign w:val="center"/>
          </w:tcPr>
          <w:p w14:paraId="20F2A55F">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录入听取和审议过程中的报告信息</w:t>
            </w:r>
          </w:p>
        </w:tc>
      </w:tr>
      <w:tr w14:paraId="224F0352">
        <w:tblPrEx>
          <w:tblCellMar>
            <w:top w:w="0" w:type="dxa"/>
            <w:left w:w="108" w:type="dxa"/>
            <w:bottom w:w="0" w:type="dxa"/>
            <w:right w:w="108" w:type="dxa"/>
          </w:tblCellMar>
        </w:tblPrEx>
        <w:trPr>
          <w:gridAfter w:val="1"/>
          <w:wAfter w:w="104" w:type="pct"/>
          <w:trHeight w:val="327" w:hRule="atLeast"/>
        </w:trPr>
        <w:tc>
          <w:tcPr>
            <w:tcW w:w="338" w:type="pct"/>
            <w:tcBorders>
              <w:top w:val="nil"/>
              <w:left w:val="single" w:color="000000" w:sz="8" w:space="0"/>
              <w:bottom w:val="single" w:color="000000" w:sz="8" w:space="0"/>
              <w:right w:val="single" w:color="000000" w:sz="8" w:space="0"/>
            </w:tcBorders>
            <w:shd w:val="clear" w:color="auto" w:fill="auto"/>
            <w:noWrap/>
            <w:vAlign w:val="center"/>
          </w:tcPr>
          <w:p w14:paraId="130341FB">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38</w:t>
            </w:r>
          </w:p>
        </w:tc>
        <w:tc>
          <w:tcPr>
            <w:tcW w:w="534" w:type="pct"/>
            <w:vMerge w:val="continue"/>
            <w:tcBorders>
              <w:top w:val="nil"/>
              <w:left w:val="nil"/>
              <w:bottom w:val="single" w:color="000000" w:sz="8" w:space="0"/>
              <w:right w:val="single" w:color="000000" w:sz="8" w:space="0"/>
            </w:tcBorders>
            <w:shd w:val="clear" w:color="auto" w:fill="auto"/>
            <w:vAlign w:val="center"/>
          </w:tcPr>
          <w:p w14:paraId="7F06E2DE">
            <w:pPr>
              <w:jc w:val="center"/>
              <w:rPr>
                <w:rFonts w:hint="eastAsia" w:ascii="宋体" w:hAnsi="宋体" w:cs="宋体"/>
                <w:color w:val="000000" w:themeColor="text1"/>
                <w:sz w:val="24"/>
                <w14:textFill>
                  <w14:solidFill>
                    <w14:schemeClr w14:val="tx1"/>
                  </w14:solidFill>
                </w14:textFill>
              </w:rPr>
            </w:pPr>
          </w:p>
        </w:tc>
        <w:tc>
          <w:tcPr>
            <w:tcW w:w="535" w:type="pct"/>
            <w:vMerge w:val="continue"/>
            <w:tcBorders>
              <w:top w:val="nil"/>
              <w:left w:val="nil"/>
              <w:bottom w:val="single" w:color="000000" w:sz="8" w:space="0"/>
              <w:right w:val="single" w:color="000000" w:sz="8" w:space="0"/>
            </w:tcBorders>
            <w:shd w:val="clear" w:color="auto" w:fill="auto"/>
            <w:vAlign w:val="center"/>
          </w:tcPr>
          <w:p w14:paraId="463A50B0">
            <w:pPr>
              <w:jc w:val="left"/>
              <w:rPr>
                <w:rFonts w:hint="eastAsia" w:ascii="宋体" w:hAnsi="宋体" w:cs="宋体"/>
                <w:color w:val="000000" w:themeColor="text1"/>
                <w:sz w:val="24"/>
                <w14:textFill>
                  <w14:solidFill>
                    <w14:schemeClr w14:val="tx1"/>
                  </w14:solidFill>
                </w14:textFill>
              </w:rPr>
            </w:pPr>
          </w:p>
        </w:tc>
        <w:tc>
          <w:tcPr>
            <w:tcW w:w="939" w:type="pct"/>
            <w:gridSpan w:val="3"/>
            <w:tcBorders>
              <w:top w:val="nil"/>
              <w:left w:val="nil"/>
              <w:bottom w:val="single" w:color="000000" w:sz="8" w:space="0"/>
              <w:right w:val="single" w:color="000000" w:sz="8" w:space="0"/>
            </w:tcBorders>
            <w:shd w:val="clear" w:color="auto" w:fill="auto"/>
            <w:vAlign w:val="center"/>
          </w:tcPr>
          <w:p w14:paraId="46365B76">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听取工作报告</w:t>
            </w:r>
          </w:p>
        </w:tc>
        <w:tc>
          <w:tcPr>
            <w:tcW w:w="2547" w:type="pct"/>
            <w:vMerge w:val="continue"/>
            <w:tcBorders>
              <w:top w:val="nil"/>
              <w:left w:val="nil"/>
              <w:bottom w:val="single" w:color="000000" w:sz="8" w:space="0"/>
              <w:right w:val="single" w:color="000000" w:sz="8" w:space="0"/>
            </w:tcBorders>
            <w:shd w:val="clear" w:color="auto" w:fill="auto"/>
            <w:vAlign w:val="center"/>
          </w:tcPr>
          <w:p w14:paraId="2E5F8A72">
            <w:pPr>
              <w:jc w:val="left"/>
              <w:rPr>
                <w:rFonts w:hint="eastAsia" w:ascii="宋体" w:hAnsi="宋体" w:cs="宋体"/>
                <w:color w:val="000000" w:themeColor="text1"/>
                <w:sz w:val="24"/>
                <w14:textFill>
                  <w14:solidFill>
                    <w14:schemeClr w14:val="tx1"/>
                  </w14:solidFill>
                </w14:textFill>
              </w:rPr>
            </w:pPr>
          </w:p>
        </w:tc>
      </w:tr>
      <w:tr w14:paraId="1941EADF">
        <w:tblPrEx>
          <w:tblCellMar>
            <w:top w:w="0" w:type="dxa"/>
            <w:left w:w="108" w:type="dxa"/>
            <w:bottom w:w="0" w:type="dxa"/>
            <w:right w:w="108" w:type="dxa"/>
          </w:tblCellMar>
        </w:tblPrEx>
        <w:trPr>
          <w:gridAfter w:val="1"/>
          <w:wAfter w:w="104" w:type="pct"/>
          <w:trHeight w:val="327" w:hRule="atLeast"/>
        </w:trPr>
        <w:tc>
          <w:tcPr>
            <w:tcW w:w="338" w:type="pct"/>
            <w:tcBorders>
              <w:top w:val="nil"/>
              <w:left w:val="single" w:color="000000" w:sz="8" w:space="0"/>
              <w:bottom w:val="single" w:color="000000" w:sz="8" w:space="0"/>
              <w:right w:val="single" w:color="000000" w:sz="8" w:space="0"/>
            </w:tcBorders>
            <w:shd w:val="clear" w:color="auto" w:fill="auto"/>
            <w:noWrap/>
            <w:vAlign w:val="center"/>
          </w:tcPr>
          <w:p w14:paraId="4C3F1457">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39</w:t>
            </w:r>
          </w:p>
        </w:tc>
        <w:tc>
          <w:tcPr>
            <w:tcW w:w="534" w:type="pct"/>
            <w:vMerge w:val="continue"/>
            <w:tcBorders>
              <w:top w:val="nil"/>
              <w:left w:val="nil"/>
              <w:bottom w:val="single" w:color="000000" w:sz="8" w:space="0"/>
              <w:right w:val="single" w:color="000000" w:sz="8" w:space="0"/>
            </w:tcBorders>
            <w:shd w:val="clear" w:color="auto" w:fill="auto"/>
            <w:vAlign w:val="center"/>
          </w:tcPr>
          <w:p w14:paraId="2AFC263F">
            <w:pPr>
              <w:jc w:val="center"/>
              <w:rPr>
                <w:rFonts w:hint="eastAsia" w:ascii="宋体" w:hAnsi="宋体" w:cs="宋体"/>
                <w:color w:val="000000" w:themeColor="text1"/>
                <w:sz w:val="24"/>
                <w14:textFill>
                  <w14:solidFill>
                    <w14:schemeClr w14:val="tx1"/>
                  </w14:solidFill>
                </w14:textFill>
              </w:rPr>
            </w:pPr>
          </w:p>
        </w:tc>
        <w:tc>
          <w:tcPr>
            <w:tcW w:w="535" w:type="pct"/>
            <w:vMerge w:val="continue"/>
            <w:tcBorders>
              <w:top w:val="nil"/>
              <w:left w:val="nil"/>
              <w:bottom w:val="single" w:color="000000" w:sz="8" w:space="0"/>
              <w:right w:val="single" w:color="000000" w:sz="8" w:space="0"/>
            </w:tcBorders>
            <w:shd w:val="clear" w:color="auto" w:fill="auto"/>
            <w:vAlign w:val="center"/>
          </w:tcPr>
          <w:p w14:paraId="26541428">
            <w:pPr>
              <w:jc w:val="left"/>
              <w:rPr>
                <w:rFonts w:hint="eastAsia" w:ascii="宋体" w:hAnsi="宋体" w:cs="宋体"/>
                <w:color w:val="000000" w:themeColor="text1"/>
                <w:sz w:val="24"/>
                <w14:textFill>
                  <w14:solidFill>
                    <w14:schemeClr w14:val="tx1"/>
                  </w14:solidFill>
                </w14:textFill>
              </w:rPr>
            </w:pPr>
          </w:p>
        </w:tc>
        <w:tc>
          <w:tcPr>
            <w:tcW w:w="939" w:type="pct"/>
            <w:gridSpan w:val="3"/>
            <w:tcBorders>
              <w:top w:val="nil"/>
              <w:left w:val="nil"/>
              <w:bottom w:val="single" w:color="000000" w:sz="8" w:space="0"/>
              <w:right w:val="single" w:color="000000" w:sz="8" w:space="0"/>
            </w:tcBorders>
            <w:shd w:val="clear" w:color="auto" w:fill="auto"/>
            <w:vAlign w:val="center"/>
          </w:tcPr>
          <w:p w14:paraId="02961123">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审议工作报告</w:t>
            </w:r>
          </w:p>
        </w:tc>
        <w:tc>
          <w:tcPr>
            <w:tcW w:w="2547" w:type="pct"/>
            <w:vMerge w:val="continue"/>
            <w:tcBorders>
              <w:top w:val="nil"/>
              <w:left w:val="nil"/>
              <w:bottom w:val="single" w:color="000000" w:sz="8" w:space="0"/>
              <w:right w:val="single" w:color="000000" w:sz="8" w:space="0"/>
            </w:tcBorders>
            <w:shd w:val="clear" w:color="auto" w:fill="auto"/>
            <w:vAlign w:val="center"/>
          </w:tcPr>
          <w:p w14:paraId="521C0D95">
            <w:pPr>
              <w:jc w:val="left"/>
              <w:rPr>
                <w:rFonts w:hint="eastAsia" w:ascii="宋体" w:hAnsi="宋体" w:cs="宋体"/>
                <w:color w:val="000000" w:themeColor="text1"/>
                <w:sz w:val="24"/>
                <w14:textFill>
                  <w14:solidFill>
                    <w14:schemeClr w14:val="tx1"/>
                  </w14:solidFill>
                </w14:textFill>
              </w:rPr>
            </w:pPr>
          </w:p>
        </w:tc>
      </w:tr>
      <w:tr w14:paraId="209D5AC7">
        <w:tblPrEx>
          <w:tblCellMar>
            <w:top w:w="0" w:type="dxa"/>
            <w:left w:w="108" w:type="dxa"/>
            <w:bottom w:w="0" w:type="dxa"/>
            <w:right w:w="108" w:type="dxa"/>
          </w:tblCellMar>
        </w:tblPrEx>
        <w:trPr>
          <w:gridAfter w:val="1"/>
          <w:wAfter w:w="104" w:type="pct"/>
          <w:trHeight w:val="327" w:hRule="atLeast"/>
        </w:trPr>
        <w:tc>
          <w:tcPr>
            <w:tcW w:w="338" w:type="pct"/>
            <w:tcBorders>
              <w:top w:val="nil"/>
              <w:left w:val="single" w:color="000000" w:sz="8" w:space="0"/>
              <w:bottom w:val="single" w:color="000000" w:sz="8" w:space="0"/>
              <w:right w:val="single" w:color="000000" w:sz="8" w:space="0"/>
            </w:tcBorders>
            <w:shd w:val="clear" w:color="auto" w:fill="auto"/>
            <w:noWrap/>
            <w:vAlign w:val="center"/>
          </w:tcPr>
          <w:p w14:paraId="10DC1A0C">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40</w:t>
            </w:r>
          </w:p>
        </w:tc>
        <w:tc>
          <w:tcPr>
            <w:tcW w:w="534" w:type="pct"/>
            <w:vMerge w:val="continue"/>
            <w:tcBorders>
              <w:top w:val="nil"/>
              <w:left w:val="nil"/>
              <w:bottom w:val="single" w:color="000000" w:sz="8" w:space="0"/>
              <w:right w:val="single" w:color="000000" w:sz="8" w:space="0"/>
            </w:tcBorders>
            <w:shd w:val="clear" w:color="auto" w:fill="auto"/>
            <w:vAlign w:val="center"/>
          </w:tcPr>
          <w:p w14:paraId="66DFF834">
            <w:pPr>
              <w:jc w:val="center"/>
              <w:rPr>
                <w:rFonts w:hint="eastAsia" w:ascii="宋体" w:hAnsi="宋体" w:cs="宋体"/>
                <w:color w:val="000000" w:themeColor="text1"/>
                <w:sz w:val="24"/>
                <w14:textFill>
                  <w14:solidFill>
                    <w14:schemeClr w14:val="tx1"/>
                  </w14:solidFill>
                </w14:textFill>
              </w:rPr>
            </w:pPr>
          </w:p>
        </w:tc>
        <w:tc>
          <w:tcPr>
            <w:tcW w:w="535" w:type="pct"/>
            <w:vMerge w:val="continue"/>
            <w:tcBorders>
              <w:top w:val="nil"/>
              <w:left w:val="nil"/>
              <w:bottom w:val="single" w:color="000000" w:sz="8" w:space="0"/>
              <w:right w:val="single" w:color="000000" w:sz="8" w:space="0"/>
            </w:tcBorders>
            <w:shd w:val="clear" w:color="auto" w:fill="auto"/>
            <w:vAlign w:val="center"/>
          </w:tcPr>
          <w:p w14:paraId="3941C56C">
            <w:pPr>
              <w:jc w:val="left"/>
              <w:rPr>
                <w:rFonts w:hint="eastAsia" w:ascii="宋体" w:hAnsi="宋体" w:cs="宋体"/>
                <w:color w:val="000000" w:themeColor="text1"/>
                <w:sz w:val="24"/>
                <w14:textFill>
                  <w14:solidFill>
                    <w14:schemeClr w14:val="tx1"/>
                  </w14:solidFill>
                </w14:textFill>
              </w:rPr>
            </w:pPr>
          </w:p>
        </w:tc>
        <w:tc>
          <w:tcPr>
            <w:tcW w:w="939" w:type="pct"/>
            <w:gridSpan w:val="3"/>
            <w:tcBorders>
              <w:top w:val="nil"/>
              <w:left w:val="nil"/>
              <w:bottom w:val="single" w:color="000000" w:sz="8" w:space="0"/>
              <w:right w:val="single" w:color="000000" w:sz="8" w:space="0"/>
            </w:tcBorders>
            <w:shd w:val="clear" w:color="auto" w:fill="auto"/>
            <w:vAlign w:val="center"/>
          </w:tcPr>
          <w:p w14:paraId="2B3F949B">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形成审议意见书</w:t>
            </w:r>
          </w:p>
        </w:tc>
        <w:tc>
          <w:tcPr>
            <w:tcW w:w="2547" w:type="pct"/>
            <w:vMerge w:val="continue"/>
            <w:tcBorders>
              <w:top w:val="nil"/>
              <w:left w:val="nil"/>
              <w:bottom w:val="single" w:color="000000" w:sz="8" w:space="0"/>
              <w:right w:val="single" w:color="000000" w:sz="8" w:space="0"/>
            </w:tcBorders>
            <w:shd w:val="clear" w:color="auto" w:fill="auto"/>
            <w:vAlign w:val="center"/>
          </w:tcPr>
          <w:p w14:paraId="4134C604">
            <w:pPr>
              <w:jc w:val="left"/>
              <w:rPr>
                <w:rFonts w:hint="eastAsia" w:ascii="宋体" w:hAnsi="宋体" w:cs="宋体"/>
                <w:color w:val="000000" w:themeColor="text1"/>
                <w:sz w:val="24"/>
                <w14:textFill>
                  <w14:solidFill>
                    <w14:schemeClr w14:val="tx1"/>
                  </w14:solidFill>
                </w14:textFill>
              </w:rPr>
            </w:pPr>
          </w:p>
        </w:tc>
      </w:tr>
      <w:tr w14:paraId="36284223">
        <w:tblPrEx>
          <w:tblCellMar>
            <w:top w:w="0" w:type="dxa"/>
            <w:left w:w="108" w:type="dxa"/>
            <w:bottom w:w="0" w:type="dxa"/>
            <w:right w:w="108" w:type="dxa"/>
          </w:tblCellMar>
        </w:tblPrEx>
        <w:trPr>
          <w:gridAfter w:val="1"/>
          <w:wAfter w:w="104" w:type="pct"/>
          <w:trHeight w:val="327" w:hRule="atLeast"/>
        </w:trPr>
        <w:tc>
          <w:tcPr>
            <w:tcW w:w="338" w:type="pct"/>
            <w:tcBorders>
              <w:top w:val="nil"/>
              <w:left w:val="single" w:color="000000" w:sz="8" w:space="0"/>
              <w:bottom w:val="single" w:color="000000" w:sz="8" w:space="0"/>
              <w:right w:val="single" w:color="000000" w:sz="8" w:space="0"/>
            </w:tcBorders>
            <w:shd w:val="clear" w:color="auto" w:fill="auto"/>
            <w:noWrap/>
            <w:vAlign w:val="center"/>
          </w:tcPr>
          <w:p w14:paraId="4FB0372B">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41</w:t>
            </w:r>
          </w:p>
        </w:tc>
        <w:tc>
          <w:tcPr>
            <w:tcW w:w="534" w:type="pct"/>
            <w:vMerge w:val="continue"/>
            <w:tcBorders>
              <w:top w:val="nil"/>
              <w:left w:val="nil"/>
              <w:bottom w:val="single" w:color="000000" w:sz="8" w:space="0"/>
              <w:right w:val="single" w:color="000000" w:sz="8" w:space="0"/>
            </w:tcBorders>
            <w:shd w:val="clear" w:color="auto" w:fill="auto"/>
            <w:vAlign w:val="center"/>
          </w:tcPr>
          <w:p w14:paraId="36415346">
            <w:pPr>
              <w:jc w:val="center"/>
              <w:rPr>
                <w:rFonts w:hint="eastAsia" w:ascii="宋体" w:hAnsi="宋体" w:cs="宋体"/>
                <w:color w:val="000000" w:themeColor="text1"/>
                <w:sz w:val="24"/>
                <w14:textFill>
                  <w14:solidFill>
                    <w14:schemeClr w14:val="tx1"/>
                  </w14:solidFill>
                </w14:textFill>
              </w:rPr>
            </w:pPr>
          </w:p>
        </w:tc>
        <w:tc>
          <w:tcPr>
            <w:tcW w:w="535" w:type="pct"/>
            <w:vMerge w:val="restart"/>
            <w:tcBorders>
              <w:top w:val="nil"/>
              <w:left w:val="nil"/>
              <w:bottom w:val="single" w:color="000000" w:sz="8" w:space="0"/>
              <w:right w:val="single" w:color="000000" w:sz="8" w:space="0"/>
            </w:tcBorders>
            <w:shd w:val="clear" w:color="auto" w:fill="auto"/>
            <w:vAlign w:val="center"/>
          </w:tcPr>
          <w:p w14:paraId="0324786E">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转办审议意见</w:t>
            </w:r>
          </w:p>
        </w:tc>
        <w:tc>
          <w:tcPr>
            <w:tcW w:w="939" w:type="pct"/>
            <w:gridSpan w:val="3"/>
            <w:tcBorders>
              <w:top w:val="nil"/>
              <w:left w:val="nil"/>
              <w:bottom w:val="single" w:color="000000" w:sz="8" w:space="0"/>
              <w:right w:val="single" w:color="000000" w:sz="8" w:space="0"/>
            </w:tcBorders>
            <w:shd w:val="clear" w:color="auto" w:fill="auto"/>
            <w:vAlign w:val="center"/>
          </w:tcPr>
          <w:p w14:paraId="292CB8D4">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意见反馈</w:t>
            </w:r>
          </w:p>
        </w:tc>
        <w:tc>
          <w:tcPr>
            <w:tcW w:w="2547" w:type="pct"/>
            <w:vMerge w:val="restart"/>
            <w:tcBorders>
              <w:top w:val="nil"/>
              <w:left w:val="nil"/>
              <w:bottom w:val="single" w:color="000000" w:sz="8" w:space="0"/>
              <w:right w:val="single" w:color="000000" w:sz="8" w:space="0"/>
            </w:tcBorders>
            <w:shd w:val="clear" w:color="auto" w:fill="auto"/>
            <w:vAlign w:val="center"/>
          </w:tcPr>
          <w:p w14:paraId="33BB5E95">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意见的反馈及后续监督</w:t>
            </w:r>
          </w:p>
        </w:tc>
      </w:tr>
      <w:tr w14:paraId="0C8A16B5">
        <w:tblPrEx>
          <w:tblCellMar>
            <w:top w:w="0" w:type="dxa"/>
            <w:left w:w="108" w:type="dxa"/>
            <w:bottom w:w="0" w:type="dxa"/>
            <w:right w:w="108" w:type="dxa"/>
          </w:tblCellMar>
        </w:tblPrEx>
        <w:trPr>
          <w:gridAfter w:val="1"/>
          <w:wAfter w:w="104" w:type="pct"/>
          <w:trHeight w:val="327" w:hRule="atLeast"/>
        </w:trPr>
        <w:tc>
          <w:tcPr>
            <w:tcW w:w="338" w:type="pct"/>
            <w:tcBorders>
              <w:top w:val="nil"/>
              <w:left w:val="single" w:color="000000" w:sz="8" w:space="0"/>
              <w:bottom w:val="single" w:color="000000" w:sz="8" w:space="0"/>
              <w:right w:val="single" w:color="000000" w:sz="8" w:space="0"/>
            </w:tcBorders>
            <w:shd w:val="clear" w:color="auto" w:fill="auto"/>
            <w:noWrap/>
            <w:vAlign w:val="center"/>
          </w:tcPr>
          <w:p w14:paraId="417E018C">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42</w:t>
            </w:r>
          </w:p>
        </w:tc>
        <w:tc>
          <w:tcPr>
            <w:tcW w:w="534" w:type="pct"/>
            <w:vMerge w:val="continue"/>
            <w:tcBorders>
              <w:top w:val="nil"/>
              <w:left w:val="nil"/>
              <w:bottom w:val="single" w:color="000000" w:sz="8" w:space="0"/>
              <w:right w:val="single" w:color="000000" w:sz="8" w:space="0"/>
            </w:tcBorders>
            <w:shd w:val="clear" w:color="auto" w:fill="auto"/>
            <w:vAlign w:val="center"/>
          </w:tcPr>
          <w:p w14:paraId="1A0E209E">
            <w:pPr>
              <w:jc w:val="center"/>
              <w:rPr>
                <w:rFonts w:hint="eastAsia" w:ascii="宋体" w:hAnsi="宋体" w:cs="宋体"/>
                <w:color w:val="000000" w:themeColor="text1"/>
                <w:sz w:val="24"/>
                <w14:textFill>
                  <w14:solidFill>
                    <w14:schemeClr w14:val="tx1"/>
                  </w14:solidFill>
                </w14:textFill>
              </w:rPr>
            </w:pPr>
          </w:p>
        </w:tc>
        <w:tc>
          <w:tcPr>
            <w:tcW w:w="535" w:type="pct"/>
            <w:vMerge w:val="continue"/>
            <w:tcBorders>
              <w:top w:val="nil"/>
              <w:left w:val="nil"/>
              <w:bottom w:val="single" w:color="000000" w:sz="8" w:space="0"/>
              <w:right w:val="single" w:color="000000" w:sz="8" w:space="0"/>
            </w:tcBorders>
            <w:shd w:val="clear" w:color="auto" w:fill="auto"/>
            <w:vAlign w:val="center"/>
          </w:tcPr>
          <w:p w14:paraId="2B060F30">
            <w:pPr>
              <w:jc w:val="left"/>
              <w:rPr>
                <w:rFonts w:hint="eastAsia" w:ascii="宋体" w:hAnsi="宋体" w:cs="宋体"/>
                <w:color w:val="000000" w:themeColor="text1"/>
                <w:sz w:val="24"/>
                <w14:textFill>
                  <w14:solidFill>
                    <w14:schemeClr w14:val="tx1"/>
                  </w14:solidFill>
                </w14:textFill>
              </w:rPr>
            </w:pPr>
          </w:p>
        </w:tc>
        <w:tc>
          <w:tcPr>
            <w:tcW w:w="939" w:type="pct"/>
            <w:gridSpan w:val="3"/>
            <w:tcBorders>
              <w:top w:val="nil"/>
              <w:left w:val="nil"/>
              <w:bottom w:val="single" w:color="000000" w:sz="8" w:space="0"/>
              <w:right w:val="single" w:color="000000" w:sz="8" w:space="0"/>
            </w:tcBorders>
            <w:shd w:val="clear" w:color="auto" w:fill="auto"/>
            <w:vAlign w:val="center"/>
          </w:tcPr>
          <w:p w14:paraId="22816A59">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跟踪监督</w:t>
            </w:r>
          </w:p>
        </w:tc>
        <w:tc>
          <w:tcPr>
            <w:tcW w:w="2547" w:type="pct"/>
            <w:vMerge w:val="continue"/>
            <w:tcBorders>
              <w:top w:val="nil"/>
              <w:left w:val="nil"/>
              <w:bottom w:val="single" w:color="000000" w:sz="8" w:space="0"/>
              <w:right w:val="single" w:color="000000" w:sz="8" w:space="0"/>
            </w:tcBorders>
            <w:shd w:val="clear" w:color="auto" w:fill="auto"/>
            <w:vAlign w:val="center"/>
          </w:tcPr>
          <w:p w14:paraId="59D99DDD">
            <w:pPr>
              <w:jc w:val="left"/>
              <w:rPr>
                <w:rFonts w:hint="eastAsia" w:ascii="宋体" w:hAnsi="宋体" w:cs="宋体"/>
                <w:color w:val="000000" w:themeColor="text1"/>
                <w:sz w:val="24"/>
                <w14:textFill>
                  <w14:solidFill>
                    <w14:schemeClr w14:val="tx1"/>
                  </w14:solidFill>
                </w14:textFill>
              </w:rPr>
            </w:pPr>
          </w:p>
        </w:tc>
      </w:tr>
      <w:tr w14:paraId="0C656419">
        <w:tblPrEx>
          <w:tblCellMar>
            <w:top w:w="0" w:type="dxa"/>
            <w:left w:w="108" w:type="dxa"/>
            <w:bottom w:w="0" w:type="dxa"/>
            <w:right w:w="108" w:type="dxa"/>
          </w:tblCellMar>
        </w:tblPrEx>
        <w:trPr>
          <w:gridAfter w:val="1"/>
          <w:wAfter w:w="104" w:type="pct"/>
          <w:trHeight w:val="327" w:hRule="atLeast"/>
        </w:trPr>
        <w:tc>
          <w:tcPr>
            <w:tcW w:w="338" w:type="pct"/>
            <w:tcBorders>
              <w:top w:val="nil"/>
              <w:left w:val="single" w:color="000000" w:sz="8" w:space="0"/>
              <w:bottom w:val="single" w:color="000000" w:sz="8" w:space="0"/>
              <w:right w:val="single" w:color="000000" w:sz="8" w:space="0"/>
            </w:tcBorders>
            <w:shd w:val="clear" w:color="auto" w:fill="auto"/>
            <w:noWrap/>
            <w:vAlign w:val="center"/>
          </w:tcPr>
          <w:p w14:paraId="2895D50E">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43</w:t>
            </w:r>
          </w:p>
        </w:tc>
        <w:tc>
          <w:tcPr>
            <w:tcW w:w="2009" w:type="pct"/>
            <w:gridSpan w:val="5"/>
            <w:vMerge w:val="restart"/>
            <w:tcBorders>
              <w:top w:val="nil"/>
              <w:left w:val="nil"/>
              <w:bottom w:val="single" w:color="000000" w:sz="8" w:space="0"/>
              <w:right w:val="single" w:color="000000" w:sz="8" w:space="0"/>
            </w:tcBorders>
            <w:shd w:val="clear" w:color="auto" w:fill="auto"/>
            <w:vAlign w:val="center"/>
          </w:tcPr>
          <w:p w14:paraId="171B2F83">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代表在线应用场景应用</w:t>
            </w:r>
          </w:p>
        </w:tc>
        <w:tc>
          <w:tcPr>
            <w:tcW w:w="2547" w:type="pct"/>
            <w:tcBorders>
              <w:top w:val="nil"/>
              <w:left w:val="nil"/>
              <w:bottom w:val="single" w:color="000000" w:sz="8" w:space="0"/>
              <w:right w:val="single" w:color="000000" w:sz="8" w:space="0"/>
            </w:tcBorders>
            <w:shd w:val="clear" w:color="auto" w:fill="auto"/>
            <w:vAlign w:val="center"/>
          </w:tcPr>
          <w:p w14:paraId="08FA7BA0">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需完成系统从现有的云平台迁移部署至算力云上并将按照新版本云部署的达梦数据库替换原ecs部署的达梦数据库，包括数据版本间差异的适配，以及不同部署形式数据库之间的迁移适配工作。主要工作内容包括对代表码、履职云、监督在线、建议在线、联民在线、学习在线、积分在线这7个功能模块的测试、数据迁移及完成密码测评、密码方案评审、密码应用服务、渗透测试等保二级测评、信创测评等相关工作。</w:t>
            </w:r>
          </w:p>
        </w:tc>
      </w:tr>
      <w:tr w14:paraId="6E6AFF52">
        <w:tblPrEx>
          <w:tblCellMar>
            <w:top w:w="0" w:type="dxa"/>
            <w:left w:w="108" w:type="dxa"/>
            <w:bottom w:w="0" w:type="dxa"/>
            <w:right w:w="108" w:type="dxa"/>
          </w:tblCellMar>
        </w:tblPrEx>
        <w:trPr>
          <w:gridAfter w:val="1"/>
          <w:wAfter w:w="104" w:type="pct"/>
          <w:trHeight w:val="327" w:hRule="atLeast"/>
        </w:trPr>
        <w:tc>
          <w:tcPr>
            <w:tcW w:w="338" w:type="pct"/>
            <w:tcBorders>
              <w:top w:val="nil"/>
              <w:left w:val="single" w:color="000000" w:sz="8" w:space="0"/>
              <w:bottom w:val="single" w:color="000000" w:sz="8" w:space="0"/>
              <w:right w:val="single" w:color="000000" w:sz="8" w:space="0"/>
            </w:tcBorders>
            <w:shd w:val="clear" w:color="auto" w:fill="auto"/>
            <w:noWrap/>
            <w:vAlign w:val="center"/>
          </w:tcPr>
          <w:p w14:paraId="28BDC4B0">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44</w:t>
            </w:r>
          </w:p>
        </w:tc>
        <w:tc>
          <w:tcPr>
            <w:tcW w:w="2009" w:type="pct"/>
            <w:gridSpan w:val="5"/>
            <w:vMerge w:val="continue"/>
            <w:tcBorders>
              <w:top w:val="nil"/>
              <w:left w:val="nil"/>
              <w:bottom w:val="single" w:color="000000" w:sz="8" w:space="0"/>
              <w:right w:val="single" w:color="000000" w:sz="8" w:space="0"/>
            </w:tcBorders>
            <w:shd w:val="clear" w:color="auto" w:fill="auto"/>
            <w:vAlign w:val="center"/>
          </w:tcPr>
          <w:p w14:paraId="132F50DB">
            <w:pPr>
              <w:jc w:val="center"/>
              <w:rPr>
                <w:rFonts w:hint="eastAsia" w:ascii="宋体" w:hAnsi="宋体" w:cs="宋体"/>
                <w:color w:val="000000" w:themeColor="text1"/>
                <w:sz w:val="24"/>
                <w14:textFill>
                  <w14:solidFill>
                    <w14:schemeClr w14:val="tx1"/>
                  </w14:solidFill>
                </w14:textFill>
              </w:rPr>
            </w:pPr>
          </w:p>
        </w:tc>
        <w:tc>
          <w:tcPr>
            <w:tcW w:w="2547" w:type="pct"/>
            <w:tcBorders>
              <w:top w:val="nil"/>
              <w:left w:val="nil"/>
              <w:bottom w:val="single" w:color="000000" w:sz="8" w:space="0"/>
              <w:right w:val="single" w:color="000000" w:sz="8" w:space="0"/>
            </w:tcBorders>
            <w:shd w:val="clear" w:color="auto" w:fill="auto"/>
            <w:vAlign w:val="center"/>
          </w:tcPr>
          <w:p w14:paraId="193DAEE3">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按照一单位一平台的建设要求，完成统一用户管理的对接、消息对接，待办对接，以及应用第一层UI风格与平台保持一致。</w:t>
            </w:r>
          </w:p>
        </w:tc>
      </w:tr>
      <w:tr w14:paraId="784C88D6">
        <w:tblPrEx>
          <w:tblCellMar>
            <w:top w:w="0" w:type="dxa"/>
            <w:left w:w="108" w:type="dxa"/>
            <w:bottom w:w="0" w:type="dxa"/>
            <w:right w:w="108" w:type="dxa"/>
          </w:tblCellMar>
        </w:tblPrEx>
        <w:trPr>
          <w:gridAfter w:val="1"/>
          <w:wAfter w:w="104" w:type="pct"/>
          <w:trHeight w:val="327" w:hRule="atLeast"/>
        </w:trPr>
        <w:tc>
          <w:tcPr>
            <w:tcW w:w="338" w:type="pct"/>
            <w:tcBorders>
              <w:top w:val="nil"/>
              <w:left w:val="single" w:color="000000" w:sz="8" w:space="0"/>
              <w:bottom w:val="single" w:color="000000" w:sz="8" w:space="0"/>
              <w:right w:val="single" w:color="000000" w:sz="8" w:space="0"/>
            </w:tcBorders>
            <w:shd w:val="clear" w:color="auto" w:fill="auto"/>
            <w:noWrap/>
            <w:vAlign w:val="center"/>
          </w:tcPr>
          <w:p w14:paraId="19D1EA39">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45</w:t>
            </w:r>
          </w:p>
        </w:tc>
        <w:tc>
          <w:tcPr>
            <w:tcW w:w="2009" w:type="pct"/>
            <w:gridSpan w:val="5"/>
            <w:vMerge w:val="restart"/>
            <w:tcBorders>
              <w:top w:val="nil"/>
              <w:left w:val="nil"/>
              <w:bottom w:val="single" w:color="000000" w:sz="8" w:space="0"/>
              <w:right w:val="single" w:color="000000" w:sz="8" w:space="0"/>
            </w:tcBorders>
            <w:shd w:val="clear" w:color="auto" w:fill="auto"/>
            <w:vAlign w:val="center"/>
          </w:tcPr>
          <w:p w14:paraId="251342E2">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民生实事项目监督系统</w:t>
            </w:r>
          </w:p>
        </w:tc>
        <w:tc>
          <w:tcPr>
            <w:tcW w:w="2547" w:type="pct"/>
            <w:tcBorders>
              <w:top w:val="nil"/>
              <w:left w:val="nil"/>
              <w:bottom w:val="single" w:color="000000" w:sz="8" w:space="0"/>
              <w:right w:val="single" w:color="000000" w:sz="8" w:space="0"/>
            </w:tcBorders>
            <w:shd w:val="clear" w:color="auto" w:fill="auto"/>
            <w:vAlign w:val="center"/>
          </w:tcPr>
          <w:p w14:paraId="6EF99816">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需完成系统从现有的云平台迁移部署至算力云上并将按照新版本云部署的达梦数据库替换原ecs部署的达梦数据库，包括数据版本间差异的适配，以及不同部署形式数据库之间的迁移适配工作。主要工作内容对项目征集、项目票决、项目登记、项目实施进度公开、民生地图、跟踪监督、满意度测评这7个功能模块的测试及数据迁移，系统迁移及完成密码测评、密码方案评审、密码应用服务、渗透测试等保二级测评、信创测评等相关工作。</w:t>
            </w:r>
          </w:p>
        </w:tc>
      </w:tr>
      <w:tr w14:paraId="7BC33C7C">
        <w:tblPrEx>
          <w:tblCellMar>
            <w:top w:w="0" w:type="dxa"/>
            <w:left w:w="108" w:type="dxa"/>
            <w:bottom w:w="0" w:type="dxa"/>
            <w:right w:w="108" w:type="dxa"/>
          </w:tblCellMar>
        </w:tblPrEx>
        <w:trPr>
          <w:gridAfter w:val="1"/>
          <w:wAfter w:w="104" w:type="pct"/>
          <w:trHeight w:val="327" w:hRule="atLeast"/>
        </w:trPr>
        <w:tc>
          <w:tcPr>
            <w:tcW w:w="338" w:type="pct"/>
            <w:tcBorders>
              <w:top w:val="nil"/>
              <w:left w:val="single" w:color="000000" w:sz="8" w:space="0"/>
              <w:bottom w:val="single" w:color="000000" w:sz="8" w:space="0"/>
              <w:right w:val="single" w:color="000000" w:sz="8" w:space="0"/>
            </w:tcBorders>
            <w:shd w:val="clear" w:color="auto" w:fill="auto"/>
            <w:noWrap/>
            <w:vAlign w:val="center"/>
          </w:tcPr>
          <w:p w14:paraId="2B2A7BE5">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46</w:t>
            </w:r>
          </w:p>
        </w:tc>
        <w:tc>
          <w:tcPr>
            <w:tcW w:w="2009" w:type="pct"/>
            <w:gridSpan w:val="5"/>
            <w:vMerge w:val="continue"/>
            <w:tcBorders>
              <w:top w:val="nil"/>
              <w:left w:val="nil"/>
              <w:bottom w:val="single" w:color="000000" w:sz="8" w:space="0"/>
              <w:right w:val="single" w:color="000000" w:sz="8" w:space="0"/>
            </w:tcBorders>
            <w:shd w:val="clear" w:color="auto" w:fill="auto"/>
            <w:vAlign w:val="center"/>
          </w:tcPr>
          <w:p w14:paraId="17DFC74D">
            <w:pPr>
              <w:jc w:val="center"/>
              <w:rPr>
                <w:rFonts w:hint="eastAsia" w:ascii="宋体" w:hAnsi="宋体" w:cs="宋体"/>
                <w:color w:val="000000" w:themeColor="text1"/>
                <w:sz w:val="24"/>
                <w14:textFill>
                  <w14:solidFill>
                    <w14:schemeClr w14:val="tx1"/>
                  </w14:solidFill>
                </w14:textFill>
              </w:rPr>
            </w:pPr>
          </w:p>
        </w:tc>
        <w:tc>
          <w:tcPr>
            <w:tcW w:w="2547" w:type="pct"/>
            <w:tcBorders>
              <w:top w:val="nil"/>
              <w:left w:val="nil"/>
              <w:bottom w:val="single" w:color="000000" w:sz="8" w:space="0"/>
              <w:right w:val="single" w:color="000000" w:sz="8" w:space="0"/>
            </w:tcBorders>
            <w:shd w:val="clear" w:color="auto" w:fill="auto"/>
            <w:vAlign w:val="center"/>
          </w:tcPr>
          <w:p w14:paraId="7EED96E8">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按照一单位一平台的建设要求，完成统一用户管理的对接、消息对接，待办对接，以及应用第一层UI风格与平台保持一致。</w:t>
            </w:r>
          </w:p>
        </w:tc>
      </w:tr>
      <w:tr w14:paraId="474CE681">
        <w:tblPrEx>
          <w:tblCellMar>
            <w:top w:w="0" w:type="dxa"/>
            <w:left w:w="108" w:type="dxa"/>
            <w:bottom w:w="0" w:type="dxa"/>
            <w:right w:w="108" w:type="dxa"/>
          </w:tblCellMar>
        </w:tblPrEx>
        <w:trPr>
          <w:gridAfter w:val="1"/>
          <w:wAfter w:w="104" w:type="pct"/>
          <w:trHeight w:val="327" w:hRule="atLeast"/>
        </w:trPr>
        <w:tc>
          <w:tcPr>
            <w:tcW w:w="338" w:type="pct"/>
            <w:tcBorders>
              <w:top w:val="nil"/>
              <w:left w:val="single" w:color="000000" w:sz="8" w:space="0"/>
              <w:bottom w:val="single" w:color="000000" w:sz="8" w:space="0"/>
              <w:right w:val="single" w:color="000000" w:sz="8" w:space="0"/>
            </w:tcBorders>
            <w:shd w:val="clear" w:color="auto" w:fill="auto"/>
            <w:noWrap/>
            <w:vAlign w:val="center"/>
          </w:tcPr>
          <w:p w14:paraId="0BF46B25">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47</w:t>
            </w:r>
          </w:p>
        </w:tc>
        <w:tc>
          <w:tcPr>
            <w:tcW w:w="1106" w:type="pct"/>
            <w:gridSpan w:val="3"/>
            <w:vMerge w:val="restart"/>
            <w:tcBorders>
              <w:top w:val="nil"/>
              <w:left w:val="nil"/>
              <w:bottom w:val="single" w:color="000000" w:sz="8" w:space="0"/>
              <w:right w:val="single" w:color="000000" w:sz="8" w:space="0"/>
            </w:tcBorders>
            <w:shd w:val="clear" w:color="auto" w:fill="auto"/>
            <w:vAlign w:val="center"/>
          </w:tcPr>
          <w:p w14:paraId="3ABF14ED">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代表联系群众、意见处理反馈系统</w:t>
            </w:r>
          </w:p>
        </w:tc>
        <w:tc>
          <w:tcPr>
            <w:tcW w:w="3450" w:type="pct"/>
            <w:gridSpan w:val="3"/>
            <w:tcBorders>
              <w:top w:val="nil"/>
              <w:left w:val="nil"/>
              <w:bottom w:val="single" w:color="000000" w:sz="8" w:space="0"/>
              <w:right w:val="single" w:color="000000" w:sz="8" w:space="0"/>
            </w:tcBorders>
            <w:shd w:val="clear" w:color="auto" w:fill="auto"/>
            <w:vAlign w:val="center"/>
          </w:tcPr>
          <w:p w14:paraId="4F92A190">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完成系统从现有的云平台迁移部署至算力云上并将按照新版本云部署的达梦数据库替换原ecs部署的达梦数据库，包括数据版本间差异的适配，以及不同部署形式数据库之间的迁移适配工作。主要工作内容对群众码上询、代表掌上应用、镇街道人大审核、区人大审核、联络站实时督、人大机关全程督、对接省基层治理四平台这7个功能模块的测试及数据迁移，系统迁移及完成密码测评、密码方案评审、密码应用服务、渗透测试等保二级测评、信创测评等相关工作。</w:t>
            </w:r>
          </w:p>
        </w:tc>
      </w:tr>
      <w:tr w14:paraId="4E2BB188">
        <w:tblPrEx>
          <w:tblCellMar>
            <w:top w:w="0" w:type="dxa"/>
            <w:left w:w="108" w:type="dxa"/>
            <w:bottom w:w="0" w:type="dxa"/>
            <w:right w:w="108" w:type="dxa"/>
          </w:tblCellMar>
        </w:tblPrEx>
        <w:trPr>
          <w:gridAfter w:val="1"/>
          <w:wAfter w:w="104" w:type="pct"/>
          <w:trHeight w:val="327" w:hRule="atLeast"/>
        </w:trPr>
        <w:tc>
          <w:tcPr>
            <w:tcW w:w="338" w:type="pct"/>
            <w:tcBorders>
              <w:top w:val="nil"/>
              <w:left w:val="single" w:color="000000" w:sz="8" w:space="0"/>
              <w:bottom w:val="single" w:color="000000" w:sz="8" w:space="0"/>
              <w:right w:val="single" w:color="000000" w:sz="8" w:space="0"/>
            </w:tcBorders>
            <w:shd w:val="clear" w:color="auto" w:fill="auto"/>
            <w:noWrap/>
            <w:vAlign w:val="center"/>
          </w:tcPr>
          <w:p w14:paraId="6C33D0DB">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48</w:t>
            </w:r>
          </w:p>
        </w:tc>
        <w:tc>
          <w:tcPr>
            <w:tcW w:w="1106" w:type="pct"/>
            <w:gridSpan w:val="3"/>
            <w:vMerge w:val="continue"/>
            <w:tcBorders>
              <w:top w:val="nil"/>
              <w:left w:val="nil"/>
              <w:bottom w:val="single" w:color="000000" w:sz="8" w:space="0"/>
              <w:right w:val="single" w:color="000000" w:sz="8" w:space="0"/>
            </w:tcBorders>
            <w:shd w:val="clear" w:color="auto" w:fill="auto"/>
            <w:vAlign w:val="center"/>
          </w:tcPr>
          <w:p w14:paraId="1AE05447">
            <w:pPr>
              <w:jc w:val="center"/>
              <w:rPr>
                <w:rFonts w:hint="eastAsia" w:ascii="宋体" w:hAnsi="宋体" w:cs="宋体"/>
                <w:color w:val="000000" w:themeColor="text1"/>
                <w:sz w:val="24"/>
                <w14:textFill>
                  <w14:solidFill>
                    <w14:schemeClr w14:val="tx1"/>
                  </w14:solidFill>
                </w14:textFill>
              </w:rPr>
            </w:pPr>
          </w:p>
        </w:tc>
        <w:tc>
          <w:tcPr>
            <w:tcW w:w="3450" w:type="pct"/>
            <w:gridSpan w:val="3"/>
            <w:tcBorders>
              <w:top w:val="nil"/>
              <w:left w:val="nil"/>
              <w:bottom w:val="single" w:color="000000" w:sz="8" w:space="0"/>
              <w:right w:val="single" w:color="000000" w:sz="8" w:space="0"/>
            </w:tcBorders>
            <w:shd w:val="clear" w:color="auto" w:fill="auto"/>
            <w:vAlign w:val="center"/>
          </w:tcPr>
          <w:p w14:paraId="2B0DDEDE">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按照一单位一平台的建设要求，完成统一用户管理的对接、消息对接，待办对接，以及应用第一层UI风格与平台保持一致。</w:t>
            </w:r>
          </w:p>
        </w:tc>
      </w:tr>
      <w:tr w14:paraId="07492B65">
        <w:tblPrEx>
          <w:tblCellMar>
            <w:top w:w="0" w:type="dxa"/>
            <w:left w:w="108" w:type="dxa"/>
            <w:bottom w:w="0" w:type="dxa"/>
            <w:right w:w="108" w:type="dxa"/>
          </w:tblCellMar>
        </w:tblPrEx>
        <w:trPr>
          <w:gridAfter w:val="1"/>
          <w:wAfter w:w="104" w:type="pct"/>
          <w:trHeight w:val="327" w:hRule="atLeast"/>
        </w:trPr>
        <w:tc>
          <w:tcPr>
            <w:tcW w:w="338" w:type="pct"/>
            <w:tcBorders>
              <w:top w:val="nil"/>
              <w:left w:val="single" w:color="000000" w:sz="8" w:space="0"/>
              <w:bottom w:val="single" w:color="000000" w:sz="8" w:space="0"/>
              <w:right w:val="single" w:color="000000" w:sz="8" w:space="0"/>
            </w:tcBorders>
            <w:shd w:val="clear" w:color="auto" w:fill="auto"/>
            <w:noWrap/>
            <w:vAlign w:val="center"/>
          </w:tcPr>
          <w:p w14:paraId="7D4681CC">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49</w:t>
            </w:r>
          </w:p>
        </w:tc>
        <w:tc>
          <w:tcPr>
            <w:tcW w:w="1106" w:type="pct"/>
            <w:gridSpan w:val="3"/>
            <w:vMerge w:val="restart"/>
            <w:tcBorders>
              <w:top w:val="nil"/>
              <w:left w:val="nil"/>
              <w:bottom w:val="single" w:color="000000" w:sz="8" w:space="0"/>
              <w:right w:val="single" w:color="000000" w:sz="8" w:space="0"/>
            </w:tcBorders>
            <w:shd w:val="clear" w:color="auto" w:fill="auto"/>
            <w:vAlign w:val="center"/>
          </w:tcPr>
          <w:p w14:paraId="14EE75AF">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议案建议办理应用场景应用</w:t>
            </w:r>
          </w:p>
        </w:tc>
        <w:tc>
          <w:tcPr>
            <w:tcW w:w="3450" w:type="pct"/>
            <w:gridSpan w:val="3"/>
            <w:tcBorders>
              <w:top w:val="nil"/>
              <w:left w:val="nil"/>
              <w:bottom w:val="single" w:color="000000" w:sz="8" w:space="0"/>
              <w:right w:val="single" w:color="000000" w:sz="8" w:space="0"/>
            </w:tcBorders>
            <w:shd w:val="clear" w:color="auto" w:fill="auto"/>
            <w:vAlign w:val="center"/>
          </w:tcPr>
          <w:p w14:paraId="1B2576BF">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需完成系统从现有的云平台迁移部署至算力云上并将按照新版本云部署的达梦数据库替换原ecs部署的达梦数据库，包括数据版本间差异的适配，以及不同部署形式数据库之间的迁移适配工作。需完成数据迁移，系统迁移及完成密码测评、密码方案评审、密码应用服务、渗透测试等保二级测评、信创测评等相关工作。</w:t>
            </w:r>
          </w:p>
        </w:tc>
      </w:tr>
      <w:tr w14:paraId="6400B443">
        <w:tblPrEx>
          <w:tblCellMar>
            <w:top w:w="0" w:type="dxa"/>
            <w:left w:w="108" w:type="dxa"/>
            <w:bottom w:w="0" w:type="dxa"/>
            <w:right w:w="108" w:type="dxa"/>
          </w:tblCellMar>
        </w:tblPrEx>
        <w:trPr>
          <w:gridAfter w:val="1"/>
          <w:wAfter w:w="104" w:type="pct"/>
          <w:trHeight w:val="327" w:hRule="atLeast"/>
        </w:trPr>
        <w:tc>
          <w:tcPr>
            <w:tcW w:w="338" w:type="pct"/>
            <w:tcBorders>
              <w:top w:val="nil"/>
              <w:left w:val="single" w:color="000000" w:sz="8" w:space="0"/>
              <w:bottom w:val="single" w:color="000000" w:sz="8" w:space="0"/>
              <w:right w:val="single" w:color="000000" w:sz="8" w:space="0"/>
            </w:tcBorders>
            <w:shd w:val="clear" w:color="auto" w:fill="auto"/>
            <w:noWrap/>
            <w:vAlign w:val="center"/>
          </w:tcPr>
          <w:p w14:paraId="1D128966">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50</w:t>
            </w:r>
          </w:p>
        </w:tc>
        <w:tc>
          <w:tcPr>
            <w:tcW w:w="1106" w:type="pct"/>
            <w:gridSpan w:val="3"/>
            <w:vMerge w:val="continue"/>
            <w:tcBorders>
              <w:top w:val="nil"/>
              <w:left w:val="nil"/>
              <w:bottom w:val="single" w:color="000000" w:sz="8" w:space="0"/>
              <w:right w:val="single" w:color="000000" w:sz="8" w:space="0"/>
            </w:tcBorders>
            <w:shd w:val="clear" w:color="auto" w:fill="auto"/>
            <w:vAlign w:val="center"/>
          </w:tcPr>
          <w:p w14:paraId="6B2DE15F">
            <w:pPr>
              <w:jc w:val="center"/>
              <w:rPr>
                <w:rFonts w:hint="eastAsia" w:ascii="宋体" w:hAnsi="宋体" w:cs="宋体"/>
                <w:color w:val="000000" w:themeColor="text1"/>
                <w:sz w:val="24"/>
                <w14:textFill>
                  <w14:solidFill>
                    <w14:schemeClr w14:val="tx1"/>
                  </w14:solidFill>
                </w14:textFill>
              </w:rPr>
            </w:pPr>
          </w:p>
        </w:tc>
        <w:tc>
          <w:tcPr>
            <w:tcW w:w="3450" w:type="pct"/>
            <w:gridSpan w:val="3"/>
            <w:tcBorders>
              <w:top w:val="nil"/>
              <w:left w:val="nil"/>
              <w:bottom w:val="single" w:color="000000" w:sz="8" w:space="0"/>
              <w:right w:val="single" w:color="000000" w:sz="8" w:space="0"/>
            </w:tcBorders>
            <w:shd w:val="clear" w:color="auto" w:fill="auto"/>
            <w:vAlign w:val="center"/>
          </w:tcPr>
          <w:p w14:paraId="5A2BF91D">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按照一单位一平台的建设要求，完成统一用户管理的对接、消息对接，待办对接，以及应用第一层UI风格与平台保持一致。</w:t>
            </w:r>
          </w:p>
        </w:tc>
      </w:tr>
      <w:tr w14:paraId="1845478B">
        <w:tblPrEx>
          <w:tblCellMar>
            <w:top w:w="0" w:type="dxa"/>
            <w:left w:w="108" w:type="dxa"/>
            <w:bottom w:w="0" w:type="dxa"/>
            <w:right w:w="108" w:type="dxa"/>
          </w:tblCellMar>
        </w:tblPrEx>
        <w:trPr>
          <w:gridAfter w:val="1"/>
          <w:wAfter w:w="104" w:type="pct"/>
          <w:trHeight w:val="327" w:hRule="atLeast"/>
        </w:trPr>
        <w:tc>
          <w:tcPr>
            <w:tcW w:w="338" w:type="pct"/>
            <w:tcBorders>
              <w:top w:val="nil"/>
              <w:left w:val="single" w:color="000000" w:sz="8" w:space="0"/>
              <w:bottom w:val="single" w:color="000000" w:sz="8" w:space="0"/>
              <w:right w:val="single" w:color="000000" w:sz="8" w:space="0"/>
            </w:tcBorders>
            <w:shd w:val="clear" w:color="auto" w:fill="auto"/>
            <w:noWrap/>
            <w:vAlign w:val="center"/>
          </w:tcPr>
          <w:p w14:paraId="0A10494E">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51</w:t>
            </w:r>
          </w:p>
        </w:tc>
        <w:tc>
          <w:tcPr>
            <w:tcW w:w="1106" w:type="pct"/>
            <w:gridSpan w:val="3"/>
            <w:vMerge w:val="restart"/>
            <w:tcBorders>
              <w:top w:val="nil"/>
              <w:left w:val="nil"/>
              <w:bottom w:val="single" w:color="000000" w:sz="8" w:space="0"/>
              <w:right w:val="single" w:color="000000" w:sz="8" w:space="0"/>
            </w:tcBorders>
            <w:shd w:val="clear" w:color="auto" w:fill="auto"/>
            <w:vAlign w:val="center"/>
          </w:tcPr>
          <w:p w14:paraId="2DD8FC72">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财经综合监督系统应用</w:t>
            </w:r>
          </w:p>
        </w:tc>
        <w:tc>
          <w:tcPr>
            <w:tcW w:w="3450" w:type="pct"/>
            <w:gridSpan w:val="3"/>
            <w:tcBorders>
              <w:top w:val="nil"/>
              <w:left w:val="nil"/>
              <w:bottom w:val="single" w:color="000000" w:sz="8" w:space="0"/>
              <w:right w:val="single" w:color="000000" w:sz="8" w:space="0"/>
            </w:tcBorders>
            <w:shd w:val="clear" w:color="auto" w:fill="auto"/>
            <w:vAlign w:val="center"/>
          </w:tcPr>
          <w:p w14:paraId="78596359">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算监督子系统、国资监管子系统、经济运行监督子系统、重大项目监督子系统、审计监督子系统等功能测试、数据迁移及完成密码测评、密码方案评审、密码应用服务、渗透测试等保二级测评、信创测评等相关工作。</w:t>
            </w:r>
          </w:p>
        </w:tc>
      </w:tr>
      <w:tr w14:paraId="11C3BD3B">
        <w:tblPrEx>
          <w:tblCellMar>
            <w:top w:w="0" w:type="dxa"/>
            <w:left w:w="108" w:type="dxa"/>
            <w:bottom w:w="0" w:type="dxa"/>
            <w:right w:w="108" w:type="dxa"/>
          </w:tblCellMar>
        </w:tblPrEx>
        <w:trPr>
          <w:gridAfter w:val="1"/>
          <w:wAfter w:w="104" w:type="pct"/>
          <w:trHeight w:val="327" w:hRule="atLeast"/>
        </w:trPr>
        <w:tc>
          <w:tcPr>
            <w:tcW w:w="338" w:type="pct"/>
            <w:tcBorders>
              <w:top w:val="nil"/>
              <w:left w:val="single" w:color="000000" w:sz="8" w:space="0"/>
              <w:bottom w:val="single" w:color="000000" w:sz="8" w:space="0"/>
              <w:right w:val="single" w:color="000000" w:sz="8" w:space="0"/>
            </w:tcBorders>
            <w:shd w:val="clear" w:color="auto" w:fill="auto"/>
            <w:noWrap/>
            <w:vAlign w:val="center"/>
          </w:tcPr>
          <w:p w14:paraId="34D65CDD">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52</w:t>
            </w:r>
          </w:p>
        </w:tc>
        <w:tc>
          <w:tcPr>
            <w:tcW w:w="1106" w:type="pct"/>
            <w:gridSpan w:val="3"/>
            <w:vMerge w:val="continue"/>
            <w:tcBorders>
              <w:top w:val="nil"/>
              <w:left w:val="nil"/>
              <w:bottom w:val="single" w:color="000000" w:sz="8" w:space="0"/>
              <w:right w:val="single" w:color="000000" w:sz="8" w:space="0"/>
            </w:tcBorders>
            <w:shd w:val="clear" w:color="auto" w:fill="auto"/>
            <w:vAlign w:val="center"/>
          </w:tcPr>
          <w:p w14:paraId="1EB55B0F">
            <w:pPr>
              <w:jc w:val="center"/>
              <w:rPr>
                <w:rFonts w:hint="eastAsia" w:ascii="宋体" w:hAnsi="宋体" w:cs="宋体"/>
                <w:color w:val="000000" w:themeColor="text1"/>
                <w:sz w:val="24"/>
                <w14:textFill>
                  <w14:solidFill>
                    <w14:schemeClr w14:val="tx1"/>
                  </w14:solidFill>
                </w14:textFill>
              </w:rPr>
            </w:pPr>
          </w:p>
        </w:tc>
        <w:tc>
          <w:tcPr>
            <w:tcW w:w="3450" w:type="pct"/>
            <w:gridSpan w:val="3"/>
            <w:tcBorders>
              <w:top w:val="nil"/>
              <w:left w:val="nil"/>
              <w:bottom w:val="single" w:color="000000" w:sz="8" w:space="0"/>
              <w:right w:val="single" w:color="000000" w:sz="8" w:space="0"/>
            </w:tcBorders>
            <w:shd w:val="clear" w:color="auto" w:fill="auto"/>
            <w:vAlign w:val="center"/>
          </w:tcPr>
          <w:p w14:paraId="2E7320F2">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按照一单位一平台的建设要求，完成统一用户管理的对接、消息对接，待办对接，以及应用第一层UI风格与平台保持一致。</w:t>
            </w:r>
          </w:p>
        </w:tc>
      </w:tr>
      <w:tr w14:paraId="0E4E8857">
        <w:tblPrEx>
          <w:tblCellMar>
            <w:top w:w="0" w:type="dxa"/>
            <w:left w:w="108" w:type="dxa"/>
            <w:bottom w:w="0" w:type="dxa"/>
            <w:right w:w="108" w:type="dxa"/>
          </w:tblCellMar>
        </w:tblPrEx>
        <w:trPr>
          <w:gridAfter w:val="1"/>
          <w:wAfter w:w="104" w:type="pct"/>
          <w:trHeight w:val="327" w:hRule="atLeast"/>
        </w:trPr>
        <w:tc>
          <w:tcPr>
            <w:tcW w:w="338" w:type="pct"/>
            <w:tcBorders>
              <w:top w:val="nil"/>
              <w:left w:val="single" w:color="000000" w:sz="8" w:space="0"/>
              <w:bottom w:val="single" w:color="000000" w:sz="8" w:space="0"/>
              <w:right w:val="single" w:color="000000" w:sz="8" w:space="0"/>
            </w:tcBorders>
            <w:shd w:val="clear" w:color="auto" w:fill="auto"/>
            <w:noWrap/>
            <w:vAlign w:val="center"/>
          </w:tcPr>
          <w:p w14:paraId="1D3F47B1">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53</w:t>
            </w:r>
          </w:p>
        </w:tc>
        <w:tc>
          <w:tcPr>
            <w:tcW w:w="534" w:type="pct"/>
            <w:vMerge w:val="restart"/>
            <w:tcBorders>
              <w:top w:val="nil"/>
              <w:left w:val="nil"/>
              <w:bottom w:val="single" w:color="000000" w:sz="8" w:space="0"/>
              <w:right w:val="single" w:color="000000" w:sz="8" w:space="0"/>
            </w:tcBorders>
            <w:shd w:val="clear" w:color="auto" w:fill="auto"/>
            <w:vAlign w:val="center"/>
          </w:tcPr>
          <w:p w14:paraId="1FAE212D">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人大数据仓应用场景</w:t>
            </w:r>
          </w:p>
        </w:tc>
        <w:tc>
          <w:tcPr>
            <w:tcW w:w="571" w:type="pct"/>
            <w:gridSpan w:val="2"/>
            <w:tcBorders>
              <w:top w:val="nil"/>
              <w:left w:val="nil"/>
              <w:bottom w:val="single" w:color="000000" w:sz="8" w:space="0"/>
              <w:right w:val="single" w:color="000000" w:sz="8" w:space="0"/>
            </w:tcBorders>
            <w:shd w:val="clear" w:color="auto" w:fill="auto"/>
            <w:vAlign w:val="center"/>
          </w:tcPr>
          <w:p w14:paraId="763B86F3">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数据目录</w:t>
            </w:r>
          </w:p>
        </w:tc>
        <w:tc>
          <w:tcPr>
            <w:tcW w:w="3450" w:type="pct"/>
            <w:gridSpan w:val="3"/>
            <w:tcBorders>
              <w:top w:val="nil"/>
              <w:left w:val="nil"/>
              <w:bottom w:val="single" w:color="000000" w:sz="8" w:space="0"/>
              <w:right w:val="single" w:color="000000" w:sz="8" w:space="0"/>
            </w:tcBorders>
            <w:shd w:val="clear" w:color="auto" w:fill="auto"/>
            <w:vAlign w:val="center"/>
          </w:tcPr>
          <w:p w14:paraId="64B4FCAE">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对数据仓内所有目录进行管理，支持新增目录；支持目录的编辑；支持对编目完成后的目录生成不同类型的数据库建表语句，支持对数据的分层管理；对目录所需要的属性规范进行管理，包含目录的基础属性以及数据项属性。支持属性的新增、编辑、删除；支持模板的下载与模板导入。</w:t>
            </w:r>
          </w:p>
        </w:tc>
      </w:tr>
      <w:tr w14:paraId="70842CCA">
        <w:tblPrEx>
          <w:tblCellMar>
            <w:top w:w="0" w:type="dxa"/>
            <w:left w:w="108" w:type="dxa"/>
            <w:bottom w:w="0" w:type="dxa"/>
            <w:right w:w="108" w:type="dxa"/>
          </w:tblCellMar>
        </w:tblPrEx>
        <w:trPr>
          <w:gridAfter w:val="1"/>
          <w:wAfter w:w="104" w:type="pct"/>
          <w:trHeight w:val="327" w:hRule="atLeast"/>
        </w:trPr>
        <w:tc>
          <w:tcPr>
            <w:tcW w:w="338" w:type="pct"/>
            <w:tcBorders>
              <w:top w:val="nil"/>
              <w:left w:val="single" w:color="000000" w:sz="8" w:space="0"/>
              <w:bottom w:val="single" w:color="000000" w:sz="8" w:space="0"/>
              <w:right w:val="single" w:color="000000" w:sz="8" w:space="0"/>
            </w:tcBorders>
            <w:shd w:val="clear" w:color="auto" w:fill="auto"/>
            <w:noWrap/>
            <w:vAlign w:val="center"/>
          </w:tcPr>
          <w:p w14:paraId="75D11F02">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54</w:t>
            </w:r>
          </w:p>
        </w:tc>
        <w:tc>
          <w:tcPr>
            <w:tcW w:w="534" w:type="pct"/>
            <w:vMerge w:val="continue"/>
            <w:tcBorders>
              <w:top w:val="nil"/>
              <w:left w:val="nil"/>
              <w:bottom w:val="single" w:color="000000" w:sz="8" w:space="0"/>
              <w:right w:val="single" w:color="000000" w:sz="8" w:space="0"/>
            </w:tcBorders>
            <w:shd w:val="clear" w:color="auto" w:fill="auto"/>
            <w:vAlign w:val="center"/>
          </w:tcPr>
          <w:p w14:paraId="729F92C6">
            <w:pPr>
              <w:jc w:val="center"/>
              <w:rPr>
                <w:rFonts w:hint="eastAsia" w:ascii="宋体" w:hAnsi="宋体" w:cs="宋体"/>
                <w:color w:val="000000" w:themeColor="text1"/>
                <w:sz w:val="24"/>
                <w14:textFill>
                  <w14:solidFill>
                    <w14:schemeClr w14:val="tx1"/>
                  </w14:solidFill>
                </w14:textFill>
              </w:rPr>
            </w:pPr>
          </w:p>
        </w:tc>
        <w:tc>
          <w:tcPr>
            <w:tcW w:w="571" w:type="pct"/>
            <w:gridSpan w:val="2"/>
            <w:tcBorders>
              <w:top w:val="nil"/>
              <w:left w:val="nil"/>
              <w:bottom w:val="single" w:color="000000" w:sz="8" w:space="0"/>
              <w:right w:val="single" w:color="000000" w:sz="8" w:space="0"/>
            </w:tcBorders>
            <w:shd w:val="clear" w:color="auto" w:fill="auto"/>
            <w:vAlign w:val="center"/>
          </w:tcPr>
          <w:p w14:paraId="6ECEAA4A">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数据归集</w:t>
            </w:r>
          </w:p>
        </w:tc>
        <w:tc>
          <w:tcPr>
            <w:tcW w:w="3450" w:type="pct"/>
            <w:gridSpan w:val="3"/>
            <w:tcBorders>
              <w:top w:val="nil"/>
              <w:left w:val="nil"/>
              <w:bottom w:val="single" w:color="000000" w:sz="8" w:space="0"/>
              <w:right w:val="single" w:color="000000" w:sz="8" w:space="0"/>
            </w:tcBorders>
            <w:shd w:val="clear" w:color="auto" w:fill="auto"/>
            <w:vAlign w:val="center"/>
          </w:tcPr>
          <w:p w14:paraId="0967DC89">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支持数据库、接口、存储、文件、消息队列5种类型的数据源配置与管理。支持数据源的新建、编辑、克隆、心跳测试与删除。</w:t>
            </w:r>
          </w:p>
        </w:tc>
      </w:tr>
      <w:tr w14:paraId="2DE7E568">
        <w:tblPrEx>
          <w:tblCellMar>
            <w:top w:w="0" w:type="dxa"/>
            <w:left w:w="108" w:type="dxa"/>
            <w:bottom w:w="0" w:type="dxa"/>
            <w:right w:w="108" w:type="dxa"/>
          </w:tblCellMar>
        </w:tblPrEx>
        <w:trPr>
          <w:gridAfter w:val="1"/>
          <w:wAfter w:w="104" w:type="pct"/>
          <w:trHeight w:val="327" w:hRule="atLeast"/>
        </w:trPr>
        <w:tc>
          <w:tcPr>
            <w:tcW w:w="338" w:type="pct"/>
            <w:tcBorders>
              <w:top w:val="nil"/>
              <w:left w:val="single" w:color="000000" w:sz="8" w:space="0"/>
              <w:bottom w:val="single" w:color="000000" w:sz="8" w:space="0"/>
              <w:right w:val="single" w:color="000000" w:sz="8" w:space="0"/>
            </w:tcBorders>
            <w:shd w:val="clear" w:color="auto" w:fill="auto"/>
            <w:noWrap/>
            <w:vAlign w:val="center"/>
          </w:tcPr>
          <w:p w14:paraId="19B723FE">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55</w:t>
            </w:r>
          </w:p>
        </w:tc>
        <w:tc>
          <w:tcPr>
            <w:tcW w:w="534" w:type="pct"/>
            <w:vMerge w:val="continue"/>
            <w:tcBorders>
              <w:top w:val="nil"/>
              <w:left w:val="nil"/>
              <w:bottom w:val="single" w:color="000000" w:sz="8" w:space="0"/>
              <w:right w:val="single" w:color="000000" w:sz="8" w:space="0"/>
            </w:tcBorders>
            <w:shd w:val="clear" w:color="auto" w:fill="auto"/>
            <w:vAlign w:val="center"/>
          </w:tcPr>
          <w:p w14:paraId="21EC7C40">
            <w:pPr>
              <w:jc w:val="center"/>
              <w:rPr>
                <w:rFonts w:hint="eastAsia" w:ascii="宋体" w:hAnsi="宋体" w:cs="宋体"/>
                <w:color w:val="000000" w:themeColor="text1"/>
                <w:sz w:val="24"/>
                <w14:textFill>
                  <w14:solidFill>
                    <w14:schemeClr w14:val="tx1"/>
                  </w14:solidFill>
                </w14:textFill>
              </w:rPr>
            </w:pPr>
          </w:p>
        </w:tc>
        <w:tc>
          <w:tcPr>
            <w:tcW w:w="571" w:type="pct"/>
            <w:gridSpan w:val="2"/>
            <w:tcBorders>
              <w:top w:val="nil"/>
              <w:left w:val="nil"/>
              <w:bottom w:val="single" w:color="000000" w:sz="8" w:space="0"/>
              <w:right w:val="single" w:color="000000" w:sz="8" w:space="0"/>
            </w:tcBorders>
            <w:shd w:val="clear" w:color="auto" w:fill="auto"/>
            <w:vAlign w:val="center"/>
          </w:tcPr>
          <w:p w14:paraId="086766D7">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数据质量</w:t>
            </w:r>
          </w:p>
        </w:tc>
        <w:tc>
          <w:tcPr>
            <w:tcW w:w="3450" w:type="pct"/>
            <w:gridSpan w:val="3"/>
            <w:tcBorders>
              <w:top w:val="nil"/>
              <w:left w:val="nil"/>
              <w:bottom w:val="single" w:color="000000" w:sz="8" w:space="0"/>
              <w:right w:val="single" w:color="000000" w:sz="8" w:space="0"/>
            </w:tcBorders>
            <w:shd w:val="clear" w:color="auto" w:fill="auto"/>
            <w:vAlign w:val="center"/>
          </w:tcPr>
          <w:p w14:paraId="01E0F371">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根据规则对归集数据字段进行质量检测，系统自动清除不合规数据，保证数据归集整体质量。</w:t>
            </w:r>
          </w:p>
        </w:tc>
      </w:tr>
      <w:tr w14:paraId="13DC1962">
        <w:tblPrEx>
          <w:tblCellMar>
            <w:top w:w="0" w:type="dxa"/>
            <w:left w:w="108" w:type="dxa"/>
            <w:bottom w:w="0" w:type="dxa"/>
            <w:right w:w="108" w:type="dxa"/>
          </w:tblCellMar>
        </w:tblPrEx>
        <w:trPr>
          <w:gridAfter w:val="1"/>
          <w:wAfter w:w="104" w:type="pct"/>
          <w:trHeight w:val="327" w:hRule="atLeast"/>
        </w:trPr>
        <w:tc>
          <w:tcPr>
            <w:tcW w:w="338" w:type="pct"/>
            <w:tcBorders>
              <w:top w:val="nil"/>
              <w:left w:val="single" w:color="000000" w:sz="8" w:space="0"/>
              <w:bottom w:val="single" w:color="000000" w:sz="8" w:space="0"/>
              <w:right w:val="single" w:color="000000" w:sz="8" w:space="0"/>
            </w:tcBorders>
            <w:shd w:val="clear" w:color="auto" w:fill="auto"/>
            <w:noWrap/>
            <w:vAlign w:val="center"/>
          </w:tcPr>
          <w:p w14:paraId="345898D5">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56</w:t>
            </w:r>
          </w:p>
        </w:tc>
        <w:tc>
          <w:tcPr>
            <w:tcW w:w="534" w:type="pct"/>
            <w:vMerge w:val="continue"/>
            <w:tcBorders>
              <w:top w:val="nil"/>
              <w:left w:val="nil"/>
              <w:bottom w:val="single" w:color="000000" w:sz="8" w:space="0"/>
              <w:right w:val="single" w:color="000000" w:sz="8" w:space="0"/>
            </w:tcBorders>
            <w:shd w:val="clear" w:color="auto" w:fill="auto"/>
            <w:vAlign w:val="center"/>
          </w:tcPr>
          <w:p w14:paraId="45EBE9E3">
            <w:pPr>
              <w:jc w:val="center"/>
              <w:rPr>
                <w:rFonts w:hint="eastAsia" w:ascii="宋体" w:hAnsi="宋体" w:cs="宋体"/>
                <w:color w:val="000000" w:themeColor="text1"/>
                <w:sz w:val="24"/>
                <w14:textFill>
                  <w14:solidFill>
                    <w14:schemeClr w14:val="tx1"/>
                  </w14:solidFill>
                </w14:textFill>
              </w:rPr>
            </w:pPr>
          </w:p>
        </w:tc>
        <w:tc>
          <w:tcPr>
            <w:tcW w:w="571" w:type="pct"/>
            <w:gridSpan w:val="2"/>
            <w:tcBorders>
              <w:top w:val="nil"/>
              <w:left w:val="nil"/>
              <w:bottom w:val="single" w:color="000000" w:sz="8" w:space="0"/>
              <w:right w:val="single" w:color="000000" w:sz="8" w:space="0"/>
            </w:tcBorders>
            <w:shd w:val="clear" w:color="auto" w:fill="auto"/>
            <w:vAlign w:val="center"/>
          </w:tcPr>
          <w:p w14:paraId="06788063">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数据开发</w:t>
            </w:r>
          </w:p>
        </w:tc>
        <w:tc>
          <w:tcPr>
            <w:tcW w:w="3450" w:type="pct"/>
            <w:gridSpan w:val="3"/>
            <w:tcBorders>
              <w:top w:val="nil"/>
              <w:left w:val="nil"/>
              <w:bottom w:val="single" w:color="000000" w:sz="8" w:space="0"/>
              <w:right w:val="single" w:color="000000" w:sz="8" w:space="0"/>
            </w:tcBorders>
            <w:shd w:val="clear" w:color="auto" w:fill="auto"/>
            <w:vAlign w:val="center"/>
          </w:tcPr>
          <w:p w14:paraId="57E1FE0D">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通过对原始数据的采集、清洗、转换等一系列处理，将分散、杂乱的数据转化为结构化、高质量的数据资产，存储在数据仓库中，以支持决策分析。</w:t>
            </w:r>
          </w:p>
        </w:tc>
      </w:tr>
      <w:tr w14:paraId="47F4ACCE">
        <w:tblPrEx>
          <w:tblCellMar>
            <w:top w:w="0" w:type="dxa"/>
            <w:left w:w="108" w:type="dxa"/>
            <w:bottom w:w="0" w:type="dxa"/>
            <w:right w:w="108" w:type="dxa"/>
          </w:tblCellMar>
        </w:tblPrEx>
        <w:trPr>
          <w:gridAfter w:val="1"/>
          <w:wAfter w:w="104" w:type="pct"/>
          <w:trHeight w:val="327" w:hRule="atLeast"/>
        </w:trPr>
        <w:tc>
          <w:tcPr>
            <w:tcW w:w="338" w:type="pct"/>
            <w:tcBorders>
              <w:top w:val="nil"/>
              <w:left w:val="single" w:color="000000" w:sz="8" w:space="0"/>
              <w:bottom w:val="single" w:color="000000" w:sz="8" w:space="0"/>
              <w:right w:val="single" w:color="000000" w:sz="8" w:space="0"/>
            </w:tcBorders>
            <w:shd w:val="clear" w:color="auto" w:fill="auto"/>
            <w:noWrap/>
            <w:vAlign w:val="center"/>
          </w:tcPr>
          <w:p w14:paraId="7DC68436">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57</w:t>
            </w:r>
          </w:p>
        </w:tc>
        <w:tc>
          <w:tcPr>
            <w:tcW w:w="534" w:type="pct"/>
            <w:vMerge w:val="continue"/>
            <w:tcBorders>
              <w:top w:val="nil"/>
              <w:left w:val="nil"/>
              <w:bottom w:val="single" w:color="000000" w:sz="8" w:space="0"/>
              <w:right w:val="single" w:color="000000" w:sz="8" w:space="0"/>
            </w:tcBorders>
            <w:shd w:val="clear" w:color="auto" w:fill="auto"/>
            <w:vAlign w:val="center"/>
          </w:tcPr>
          <w:p w14:paraId="43CB13FD">
            <w:pPr>
              <w:jc w:val="center"/>
              <w:rPr>
                <w:rFonts w:hint="eastAsia" w:ascii="宋体" w:hAnsi="宋体" w:cs="宋体"/>
                <w:color w:val="000000" w:themeColor="text1"/>
                <w:sz w:val="24"/>
                <w14:textFill>
                  <w14:solidFill>
                    <w14:schemeClr w14:val="tx1"/>
                  </w14:solidFill>
                </w14:textFill>
              </w:rPr>
            </w:pPr>
          </w:p>
        </w:tc>
        <w:tc>
          <w:tcPr>
            <w:tcW w:w="571" w:type="pct"/>
            <w:gridSpan w:val="2"/>
            <w:tcBorders>
              <w:top w:val="nil"/>
              <w:left w:val="nil"/>
              <w:bottom w:val="single" w:color="000000" w:sz="8" w:space="0"/>
              <w:right w:val="single" w:color="000000" w:sz="8" w:space="0"/>
            </w:tcBorders>
            <w:shd w:val="clear" w:color="auto" w:fill="auto"/>
            <w:vAlign w:val="center"/>
          </w:tcPr>
          <w:p w14:paraId="60CA9ADD">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数据服务</w:t>
            </w:r>
          </w:p>
        </w:tc>
        <w:tc>
          <w:tcPr>
            <w:tcW w:w="3450" w:type="pct"/>
            <w:gridSpan w:val="3"/>
            <w:tcBorders>
              <w:top w:val="nil"/>
              <w:left w:val="nil"/>
              <w:bottom w:val="single" w:color="000000" w:sz="8" w:space="0"/>
              <w:right w:val="single" w:color="000000" w:sz="8" w:space="0"/>
            </w:tcBorders>
            <w:shd w:val="clear" w:color="auto" w:fill="auto"/>
            <w:vAlign w:val="center"/>
          </w:tcPr>
          <w:p w14:paraId="57A3F4D6">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支持数据推送任务的配置管理。支持推送任务的新建、编辑、克隆与删除，通过配置字段映射、数据过滤等条件，配置生成数据的推送任务提供调度任务的新建、编辑以及所有调度任务的管理和配置功能。</w:t>
            </w:r>
          </w:p>
        </w:tc>
      </w:tr>
      <w:tr w14:paraId="4C4BFB33">
        <w:tblPrEx>
          <w:tblCellMar>
            <w:top w:w="0" w:type="dxa"/>
            <w:left w:w="108" w:type="dxa"/>
            <w:bottom w:w="0" w:type="dxa"/>
            <w:right w:w="108" w:type="dxa"/>
          </w:tblCellMar>
        </w:tblPrEx>
        <w:trPr>
          <w:gridAfter w:val="1"/>
          <w:wAfter w:w="104" w:type="pct"/>
          <w:trHeight w:val="327" w:hRule="atLeast"/>
        </w:trPr>
        <w:tc>
          <w:tcPr>
            <w:tcW w:w="338" w:type="pct"/>
            <w:tcBorders>
              <w:top w:val="nil"/>
              <w:left w:val="single" w:color="000000" w:sz="8" w:space="0"/>
              <w:bottom w:val="single" w:color="000000" w:sz="8" w:space="0"/>
              <w:right w:val="single" w:color="000000" w:sz="8" w:space="0"/>
            </w:tcBorders>
            <w:shd w:val="clear" w:color="auto" w:fill="auto"/>
            <w:noWrap/>
            <w:vAlign w:val="center"/>
          </w:tcPr>
          <w:p w14:paraId="1096265E">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58</w:t>
            </w:r>
          </w:p>
        </w:tc>
        <w:tc>
          <w:tcPr>
            <w:tcW w:w="534" w:type="pct"/>
            <w:vMerge w:val="continue"/>
            <w:tcBorders>
              <w:top w:val="nil"/>
              <w:left w:val="nil"/>
              <w:bottom w:val="single" w:color="000000" w:sz="8" w:space="0"/>
              <w:right w:val="single" w:color="000000" w:sz="8" w:space="0"/>
            </w:tcBorders>
            <w:shd w:val="clear" w:color="auto" w:fill="auto"/>
            <w:vAlign w:val="center"/>
          </w:tcPr>
          <w:p w14:paraId="6B4A9B38">
            <w:pPr>
              <w:jc w:val="center"/>
              <w:rPr>
                <w:rFonts w:hint="eastAsia" w:ascii="宋体" w:hAnsi="宋体" w:cs="宋体"/>
                <w:color w:val="000000" w:themeColor="text1"/>
                <w:sz w:val="24"/>
                <w14:textFill>
                  <w14:solidFill>
                    <w14:schemeClr w14:val="tx1"/>
                  </w14:solidFill>
                </w14:textFill>
              </w:rPr>
            </w:pPr>
          </w:p>
        </w:tc>
        <w:tc>
          <w:tcPr>
            <w:tcW w:w="571" w:type="pct"/>
            <w:gridSpan w:val="2"/>
            <w:tcBorders>
              <w:top w:val="nil"/>
              <w:left w:val="nil"/>
              <w:bottom w:val="single" w:color="000000" w:sz="8" w:space="0"/>
              <w:right w:val="single" w:color="000000" w:sz="8" w:space="0"/>
            </w:tcBorders>
            <w:shd w:val="clear" w:color="auto" w:fill="auto"/>
            <w:vAlign w:val="center"/>
          </w:tcPr>
          <w:p w14:paraId="2831A097">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作业调度</w:t>
            </w:r>
          </w:p>
        </w:tc>
        <w:tc>
          <w:tcPr>
            <w:tcW w:w="3450" w:type="pct"/>
            <w:gridSpan w:val="3"/>
            <w:tcBorders>
              <w:top w:val="nil"/>
              <w:left w:val="nil"/>
              <w:bottom w:val="single" w:color="000000" w:sz="8" w:space="0"/>
              <w:right w:val="single" w:color="000000" w:sz="8" w:space="0"/>
            </w:tcBorders>
            <w:shd w:val="clear" w:color="auto" w:fill="auto"/>
            <w:vAlign w:val="center"/>
          </w:tcPr>
          <w:p w14:paraId="12EA9467">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提供调度任务的新建、编辑以及所有调度任务的管理和配置功能提供调度任务的新建、编辑以及所有调度任务的管理和配置功能。</w:t>
            </w:r>
          </w:p>
        </w:tc>
      </w:tr>
      <w:tr w14:paraId="7617B6A7">
        <w:tblPrEx>
          <w:tblCellMar>
            <w:top w:w="0" w:type="dxa"/>
            <w:left w:w="108" w:type="dxa"/>
            <w:bottom w:w="0" w:type="dxa"/>
            <w:right w:w="108" w:type="dxa"/>
          </w:tblCellMar>
        </w:tblPrEx>
        <w:trPr>
          <w:gridAfter w:val="1"/>
          <w:wAfter w:w="104" w:type="pct"/>
          <w:trHeight w:val="327" w:hRule="atLeast"/>
        </w:trPr>
        <w:tc>
          <w:tcPr>
            <w:tcW w:w="338" w:type="pct"/>
            <w:tcBorders>
              <w:top w:val="nil"/>
              <w:left w:val="single" w:color="000000" w:sz="8" w:space="0"/>
              <w:bottom w:val="single" w:color="000000" w:sz="8" w:space="0"/>
              <w:right w:val="single" w:color="000000" w:sz="8" w:space="0"/>
            </w:tcBorders>
            <w:shd w:val="clear" w:color="auto" w:fill="auto"/>
            <w:noWrap/>
            <w:vAlign w:val="center"/>
          </w:tcPr>
          <w:p w14:paraId="19F0ADD2">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59</w:t>
            </w:r>
          </w:p>
        </w:tc>
        <w:tc>
          <w:tcPr>
            <w:tcW w:w="534" w:type="pct"/>
            <w:vMerge w:val="continue"/>
            <w:tcBorders>
              <w:top w:val="nil"/>
              <w:left w:val="nil"/>
              <w:bottom w:val="single" w:color="000000" w:sz="8" w:space="0"/>
              <w:right w:val="single" w:color="000000" w:sz="8" w:space="0"/>
            </w:tcBorders>
            <w:shd w:val="clear" w:color="auto" w:fill="auto"/>
            <w:vAlign w:val="center"/>
          </w:tcPr>
          <w:p w14:paraId="4149000B">
            <w:pPr>
              <w:jc w:val="center"/>
              <w:rPr>
                <w:rFonts w:hint="eastAsia" w:ascii="宋体" w:hAnsi="宋体" w:cs="宋体"/>
                <w:color w:val="000000" w:themeColor="text1"/>
                <w:sz w:val="24"/>
                <w14:textFill>
                  <w14:solidFill>
                    <w14:schemeClr w14:val="tx1"/>
                  </w14:solidFill>
                </w14:textFill>
              </w:rPr>
            </w:pPr>
          </w:p>
        </w:tc>
        <w:tc>
          <w:tcPr>
            <w:tcW w:w="571" w:type="pct"/>
            <w:gridSpan w:val="2"/>
            <w:tcBorders>
              <w:top w:val="nil"/>
              <w:left w:val="nil"/>
              <w:bottom w:val="single" w:color="000000" w:sz="8" w:space="0"/>
              <w:right w:val="single" w:color="000000" w:sz="8" w:space="0"/>
            </w:tcBorders>
            <w:shd w:val="clear" w:color="auto" w:fill="auto"/>
            <w:vAlign w:val="center"/>
          </w:tcPr>
          <w:p w14:paraId="28938D06">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数据资产</w:t>
            </w:r>
          </w:p>
        </w:tc>
        <w:tc>
          <w:tcPr>
            <w:tcW w:w="3450" w:type="pct"/>
            <w:gridSpan w:val="3"/>
            <w:tcBorders>
              <w:top w:val="nil"/>
              <w:left w:val="nil"/>
              <w:bottom w:val="single" w:color="000000" w:sz="8" w:space="0"/>
              <w:right w:val="single" w:color="000000" w:sz="8" w:space="0"/>
            </w:tcBorders>
            <w:shd w:val="clear" w:color="auto" w:fill="auto"/>
            <w:vAlign w:val="center"/>
          </w:tcPr>
          <w:p w14:paraId="3F95EFA7">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接入系统的数据节点、数据库等相关信息查看。</w:t>
            </w:r>
          </w:p>
        </w:tc>
      </w:tr>
      <w:tr w14:paraId="7E43966C">
        <w:tblPrEx>
          <w:tblCellMar>
            <w:top w:w="0" w:type="dxa"/>
            <w:left w:w="108" w:type="dxa"/>
            <w:bottom w:w="0" w:type="dxa"/>
            <w:right w:w="108" w:type="dxa"/>
          </w:tblCellMar>
        </w:tblPrEx>
        <w:trPr>
          <w:gridAfter w:val="1"/>
          <w:wAfter w:w="104" w:type="pct"/>
          <w:trHeight w:val="327" w:hRule="atLeast"/>
        </w:trPr>
        <w:tc>
          <w:tcPr>
            <w:tcW w:w="338" w:type="pct"/>
            <w:tcBorders>
              <w:top w:val="nil"/>
              <w:left w:val="single" w:color="000000" w:sz="8" w:space="0"/>
              <w:bottom w:val="single" w:color="000000" w:sz="8" w:space="0"/>
              <w:right w:val="single" w:color="000000" w:sz="8" w:space="0"/>
            </w:tcBorders>
            <w:shd w:val="clear" w:color="auto" w:fill="auto"/>
            <w:noWrap/>
            <w:vAlign w:val="center"/>
          </w:tcPr>
          <w:p w14:paraId="06C70E78">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60</w:t>
            </w:r>
          </w:p>
        </w:tc>
        <w:tc>
          <w:tcPr>
            <w:tcW w:w="534" w:type="pct"/>
            <w:vMerge w:val="continue"/>
            <w:tcBorders>
              <w:top w:val="nil"/>
              <w:left w:val="nil"/>
              <w:bottom w:val="single" w:color="000000" w:sz="8" w:space="0"/>
              <w:right w:val="single" w:color="000000" w:sz="8" w:space="0"/>
            </w:tcBorders>
            <w:shd w:val="clear" w:color="auto" w:fill="auto"/>
            <w:vAlign w:val="center"/>
          </w:tcPr>
          <w:p w14:paraId="1D82D75B">
            <w:pPr>
              <w:jc w:val="center"/>
              <w:rPr>
                <w:rFonts w:hint="eastAsia" w:ascii="宋体" w:hAnsi="宋体" w:cs="宋体"/>
                <w:color w:val="000000" w:themeColor="text1"/>
                <w:sz w:val="24"/>
                <w14:textFill>
                  <w14:solidFill>
                    <w14:schemeClr w14:val="tx1"/>
                  </w14:solidFill>
                </w14:textFill>
              </w:rPr>
            </w:pPr>
          </w:p>
        </w:tc>
        <w:tc>
          <w:tcPr>
            <w:tcW w:w="571" w:type="pct"/>
            <w:gridSpan w:val="2"/>
            <w:tcBorders>
              <w:top w:val="nil"/>
              <w:left w:val="nil"/>
              <w:bottom w:val="single" w:color="000000" w:sz="8" w:space="0"/>
              <w:right w:val="single" w:color="000000" w:sz="8" w:space="0"/>
            </w:tcBorders>
            <w:shd w:val="clear" w:color="auto" w:fill="auto"/>
            <w:vAlign w:val="center"/>
          </w:tcPr>
          <w:p w14:paraId="3F8C75A8">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消息通知</w:t>
            </w:r>
          </w:p>
        </w:tc>
        <w:tc>
          <w:tcPr>
            <w:tcW w:w="3450" w:type="pct"/>
            <w:gridSpan w:val="3"/>
            <w:tcBorders>
              <w:top w:val="nil"/>
              <w:left w:val="nil"/>
              <w:bottom w:val="single" w:color="000000" w:sz="8" w:space="0"/>
              <w:right w:val="single" w:color="000000" w:sz="8" w:space="0"/>
            </w:tcBorders>
            <w:shd w:val="clear" w:color="auto" w:fill="auto"/>
            <w:vAlign w:val="center"/>
          </w:tcPr>
          <w:p w14:paraId="0A8A7F55">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支持对作业异常，或者编目异常的消息推送通知，支持消息的选择已读和全部已读。</w:t>
            </w:r>
          </w:p>
        </w:tc>
      </w:tr>
      <w:tr w14:paraId="441BB3EA">
        <w:tblPrEx>
          <w:tblCellMar>
            <w:top w:w="0" w:type="dxa"/>
            <w:left w:w="108" w:type="dxa"/>
            <w:bottom w:w="0" w:type="dxa"/>
            <w:right w:w="108" w:type="dxa"/>
          </w:tblCellMar>
        </w:tblPrEx>
        <w:trPr>
          <w:gridAfter w:val="1"/>
          <w:wAfter w:w="104" w:type="pct"/>
          <w:trHeight w:val="327" w:hRule="atLeast"/>
        </w:trPr>
        <w:tc>
          <w:tcPr>
            <w:tcW w:w="338" w:type="pct"/>
            <w:tcBorders>
              <w:top w:val="nil"/>
              <w:left w:val="single" w:color="000000" w:sz="8" w:space="0"/>
              <w:bottom w:val="single" w:color="000000" w:sz="8" w:space="0"/>
              <w:right w:val="single" w:color="000000" w:sz="8" w:space="0"/>
            </w:tcBorders>
            <w:shd w:val="clear" w:color="auto" w:fill="auto"/>
            <w:noWrap/>
            <w:vAlign w:val="center"/>
          </w:tcPr>
          <w:p w14:paraId="01EEB66F">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61</w:t>
            </w:r>
          </w:p>
        </w:tc>
        <w:tc>
          <w:tcPr>
            <w:tcW w:w="534" w:type="pct"/>
            <w:vMerge w:val="continue"/>
            <w:tcBorders>
              <w:top w:val="nil"/>
              <w:left w:val="nil"/>
              <w:bottom w:val="single" w:color="000000" w:sz="8" w:space="0"/>
              <w:right w:val="single" w:color="000000" w:sz="8" w:space="0"/>
            </w:tcBorders>
            <w:shd w:val="clear" w:color="auto" w:fill="auto"/>
            <w:vAlign w:val="center"/>
          </w:tcPr>
          <w:p w14:paraId="3DD963EA">
            <w:pPr>
              <w:jc w:val="center"/>
              <w:rPr>
                <w:rFonts w:hint="eastAsia" w:ascii="宋体" w:hAnsi="宋体" w:cs="宋体"/>
                <w:color w:val="000000" w:themeColor="text1"/>
                <w:sz w:val="24"/>
                <w14:textFill>
                  <w14:solidFill>
                    <w14:schemeClr w14:val="tx1"/>
                  </w14:solidFill>
                </w14:textFill>
              </w:rPr>
            </w:pPr>
          </w:p>
        </w:tc>
        <w:tc>
          <w:tcPr>
            <w:tcW w:w="571" w:type="pct"/>
            <w:gridSpan w:val="2"/>
            <w:tcBorders>
              <w:top w:val="nil"/>
              <w:left w:val="nil"/>
              <w:bottom w:val="single" w:color="000000" w:sz="8" w:space="0"/>
              <w:right w:val="single" w:color="000000" w:sz="8" w:space="0"/>
            </w:tcBorders>
            <w:shd w:val="clear" w:color="auto" w:fill="auto"/>
            <w:vAlign w:val="center"/>
          </w:tcPr>
          <w:p w14:paraId="57DAEC90">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系统日志</w:t>
            </w:r>
          </w:p>
        </w:tc>
        <w:tc>
          <w:tcPr>
            <w:tcW w:w="3450" w:type="pct"/>
            <w:gridSpan w:val="3"/>
            <w:tcBorders>
              <w:top w:val="nil"/>
              <w:left w:val="nil"/>
              <w:bottom w:val="single" w:color="000000" w:sz="8" w:space="0"/>
              <w:right w:val="single" w:color="000000" w:sz="8" w:space="0"/>
            </w:tcBorders>
            <w:shd w:val="clear" w:color="auto" w:fill="auto"/>
            <w:vAlign w:val="center"/>
          </w:tcPr>
          <w:p w14:paraId="04B23804">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系统管理操作等日志记录。</w:t>
            </w:r>
          </w:p>
        </w:tc>
      </w:tr>
      <w:tr w14:paraId="3E011C85">
        <w:tblPrEx>
          <w:tblCellMar>
            <w:top w:w="0" w:type="dxa"/>
            <w:left w:w="108" w:type="dxa"/>
            <w:bottom w:w="0" w:type="dxa"/>
            <w:right w:w="108" w:type="dxa"/>
          </w:tblCellMar>
        </w:tblPrEx>
        <w:trPr>
          <w:gridAfter w:val="1"/>
          <w:wAfter w:w="104" w:type="pct"/>
          <w:trHeight w:val="327" w:hRule="atLeast"/>
        </w:trPr>
        <w:tc>
          <w:tcPr>
            <w:tcW w:w="338" w:type="pct"/>
            <w:tcBorders>
              <w:top w:val="nil"/>
              <w:left w:val="single" w:color="000000" w:sz="8" w:space="0"/>
              <w:bottom w:val="single" w:color="000000" w:sz="8" w:space="0"/>
              <w:right w:val="single" w:color="000000" w:sz="8" w:space="0"/>
            </w:tcBorders>
            <w:shd w:val="clear" w:color="auto" w:fill="auto"/>
            <w:noWrap/>
            <w:vAlign w:val="center"/>
          </w:tcPr>
          <w:p w14:paraId="75D1F644">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62</w:t>
            </w:r>
          </w:p>
        </w:tc>
        <w:tc>
          <w:tcPr>
            <w:tcW w:w="534" w:type="pct"/>
            <w:vMerge w:val="continue"/>
            <w:tcBorders>
              <w:top w:val="nil"/>
              <w:left w:val="nil"/>
              <w:bottom w:val="single" w:color="000000" w:sz="8" w:space="0"/>
              <w:right w:val="single" w:color="000000" w:sz="8" w:space="0"/>
            </w:tcBorders>
            <w:shd w:val="clear" w:color="auto" w:fill="auto"/>
            <w:vAlign w:val="center"/>
          </w:tcPr>
          <w:p w14:paraId="12E17BE0">
            <w:pPr>
              <w:jc w:val="center"/>
              <w:rPr>
                <w:rFonts w:hint="eastAsia" w:ascii="宋体" w:hAnsi="宋体" w:cs="宋体"/>
                <w:color w:val="000000" w:themeColor="text1"/>
                <w:sz w:val="24"/>
                <w14:textFill>
                  <w14:solidFill>
                    <w14:schemeClr w14:val="tx1"/>
                  </w14:solidFill>
                </w14:textFill>
              </w:rPr>
            </w:pPr>
          </w:p>
        </w:tc>
        <w:tc>
          <w:tcPr>
            <w:tcW w:w="571" w:type="pct"/>
            <w:gridSpan w:val="2"/>
            <w:tcBorders>
              <w:top w:val="nil"/>
              <w:left w:val="nil"/>
              <w:bottom w:val="single" w:color="000000" w:sz="8" w:space="0"/>
              <w:right w:val="single" w:color="000000" w:sz="8" w:space="0"/>
            </w:tcBorders>
            <w:shd w:val="clear" w:color="auto" w:fill="auto"/>
            <w:vAlign w:val="center"/>
          </w:tcPr>
          <w:p w14:paraId="6F5A0CE0">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数据库适配</w:t>
            </w:r>
          </w:p>
        </w:tc>
        <w:tc>
          <w:tcPr>
            <w:tcW w:w="3450" w:type="pct"/>
            <w:gridSpan w:val="3"/>
            <w:tcBorders>
              <w:top w:val="nil"/>
              <w:left w:val="nil"/>
              <w:bottom w:val="single" w:color="000000" w:sz="8" w:space="0"/>
              <w:right w:val="single" w:color="000000" w:sz="8" w:space="0"/>
            </w:tcBorders>
            <w:shd w:val="clear" w:color="auto" w:fill="auto"/>
            <w:vAlign w:val="center"/>
          </w:tcPr>
          <w:p w14:paraId="6CACD8AB">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数据库适配使用目标新版本的云部署的达梦数据库替换原ecs部署的达梦数据库，并随之完成存量数据的迁移工作。</w:t>
            </w:r>
          </w:p>
        </w:tc>
      </w:tr>
      <w:tr w14:paraId="0AA5E7FA">
        <w:tblPrEx>
          <w:tblCellMar>
            <w:top w:w="0" w:type="dxa"/>
            <w:left w:w="108" w:type="dxa"/>
            <w:bottom w:w="0" w:type="dxa"/>
            <w:right w:w="108" w:type="dxa"/>
          </w:tblCellMar>
        </w:tblPrEx>
        <w:trPr>
          <w:gridAfter w:val="1"/>
          <w:wAfter w:w="104" w:type="pct"/>
          <w:trHeight w:val="327" w:hRule="atLeast"/>
        </w:trPr>
        <w:tc>
          <w:tcPr>
            <w:tcW w:w="338" w:type="pct"/>
            <w:tcBorders>
              <w:top w:val="nil"/>
              <w:left w:val="single" w:color="000000" w:sz="8" w:space="0"/>
              <w:bottom w:val="single" w:color="000000" w:sz="8" w:space="0"/>
              <w:right w:val="single" w:color="000000" w:sz="8" w:space="0"/>
            </w:tcBorders>
            <w:shd w:val="clear" w:color="auto" w:fill="auto"/>
            <w:noWrap/>
            <w:vAlign w:val="center"/>
          </w:tcPr>
          <w:p w14:paraId="4BAFF2A8">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63</w:t>
            </w:r>
          </w:p>
        </w:tc>
        <w:tc>
          <w:tcPr>
            <w:tcW w:w="534" w:type="pct"/>
            <w:vMerge w:val="continue"/>
            <w:tcBorders>
              <w:top w:val="nil"/>
              <w:left w:val="nil"/>
              <w:bottom w:val="single" w:color="000000" w:sz="8" w:space="0"/>
              <w:right w:val="single" w:color="000000" w:sz="8" w:space="0"/>
            </w:tcBorders>
            <w:shd w:val="clear" w:color="auto" w:fill="auto"/>
            <w:vAlign w:val="center"/>
          </w:tcPr>
          <w:p w14:paraId="37FCF6CA">
            <w:pPr>
              <w:jc w:val="center"/>
              <w:rPr>
                <w:rFonts w:hint="eastAsia" w:ascii="宋体" w:hAnsi="宋体" w:cs="宋体"/>
                <w:color w:val="000000" w:themeColor="text1"/>
                <w:sz w:val="24"/>
                <w14:textFill>
                  <w14:solidFill>
                    <w14:schemeClr w14:val="tx1"/>
                  </w14:solidFill>
                </w14:textFill>
              </w:rPr>
            </w:pPr>
          </w:p>
        </w:tc>
        <w:tc>
          <w:tcPr>
            <w:tcW w:w="571" w:type="pct"/>
            <w:gridSpan w:val="2"/>
            <w:tcBorders>
              <w:top w:val="nil"/>
              <w:left w:val="nil"/>
              <w:bottom w:val="single" w:color="000000" w:sz="8" w:space="0"/>
              <w:right w:val="single" w:color="000000" w:sz="8" w:space="0"/>
            </w:tcBorders>
            <w:shd w:val="clear" w:color="auto" w:fill="auto"/>
            <w:vAlign w:val="center"/>
          </w:tcPr>
          <w:p w14:paraId="7E948277">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安全工作</w:t>
            </w:r>
          </w:p>
        </w:tc>
        <w:tc>
          <w:tcPr>
            <w:tcW w:w="3450" w:type="pct"/>
            <w:gridSpan w:val="3"/>
            <w:tcBorders>
              <w:top w:val="nil"/>
              <w:left w:val="nil"/>
              <w:bottom w:val="single" w:color="000000" w:sz="8" w:space="0"/>
              <w:right w:val="single" w:color="000000" w:sz="8" w:space="0"/>
            </w:tcBorders>
            <w:shd w:val="clear" w:color="auto" w:fill="auto"/>
            <w:vAlign w:val="center"/>
          </w:tcPr>
          <w:p w14:paraId="225DFC54">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完成密码测评、密码方案评审、密码应用服务、渗透测试等保二级测评、信创测评等相关工作。</w:t>
            </w:r>
          </w:p>
        </w:tc>
      </w:tr>
      <w:tr w14:paraId="528C52C6">
        <w:tblPrEx>
          <w:tblCellMar>
            <w:top w:w="0" w:type="dxa"/>
            <w:left w:w="108" w:type="dxa"/>
            <w:bottom w:w="0" w:type="dxa"/>
            <w:right w:w="108" w:type="dxa"/>
          </w:tblCellMar>
        </w:tblPrEx>
        <w:trPr>
          <w:gridAfter w:val="1"/>
          <w:wAfter w:w="104" w:type="pct"/>
          <w:trHeight w:val="327" w:hRule="atLeast"/>
        </w:trPr>
        <w:tc>
          <w:tcPr>
            <w:tcW w:w="338" w:type="pct"/>
            <w:tcBorders>
              <w:top w:val="nil"/>
              <w:left w:val="single" w:color="000000" w:sz="8" w:space="0"/>
              <w:bottom w:val="single" w:color="000000" w:sz="8" w:space="0"/>
              <w:right w:val="single" w:color="000000" w:sz="8" w:space="0"/>
            </w:tcBorders>
            <w:shd w:val="clear" w:color="auto" w:fill="auto"/>
            <w:noWrap/>
            <w:vAlign w:val="center"/>
          </w:tcPr>
          <w:p w14:paraId="19C123E9">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64</w:t>
            </w:r>
          </w:p>
        </w:tc>
        <w:tc>
          <w:tcPr>
            <w:tcW w:w="534" w:type="pct"/>
            <w:vMerge w:val="continue"/>
            <w:tcBorders>
              <w:top w:val="nil"/>
              <w:left w:val="nil"/>
              <w:bottom w:val="single" w:color="000000" w:sz="8" w:space="0"/>
              <w:right w:val="single" w:color="000000" w:sz="8" w:space="0"/>
            </w:tcBorders>
            <w:shd w:val="clear" w:color="auto" w:fill="auto"/>
            <w:vAlign w:val="center"/>
          </w:tcPr>
          <w:p w14:paraId="218B5D11">
            <w:pPr>
              <w:jc w:val="center"/>
              <w:rPr>
                <w:rFonts w:hint="eastAsia" w:ascii="宋体" w:hAnsi="宋体" w:cs="宋体"/>
                <w:color w:val="000000" w:themeColor="text1"/>
                <w:sz w:val="24"/>
                <w14:textFill>
                  <w14:solidFill>
                    <w14:schemeClr w14:val="tx1"/>
                  </w14:solidFill>
                </w14:textFill>
              </w:rPr>
            </w:pPr>
          </w:p>
        </w:tc>
        <w:tc>
          <w:tcPr>
            <w:tcW w:w="571" w:type="pct"/>
            <w:gridSpan w:val="2"/>
            <w:tcBorders>
              <w:top w:val="nil"/>
              <w:left w:val="nil"/>
              <w:bottom w:val="single" w:color="000000" w:sz="8" w:space="0"/>
              <w:right w:val="single" w:color="000000" w:sz="8" w:space="0"/>
            </w:tcBorders>
            <w:shd w:val="clear" w:color="auto" w:fill="auto"/>
            <w:vAlign w:val="center"/>
          </w:tcPr>
          <w:p w14:paraId="7A7E0A39">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w:t>
            </w:r>
          </w:p>
        </w:tc>
        <w:tc>
          <w:tcPr>
            <w:tcW w:w="3450" w:type="pct"/>
            <w:gridSpan w:val="3"/>
            <w:tcBorders>
              <w:top w:val="nil"/>
              <w:left w:val="nil"/>
              <w:bottom w:val="single" w:color="000000" w:sz="8" w:space="0"/>
              <w:right w:val="single" w:color="000000" w:sz="8" w:space="0"/>
            </w:tcBorders>
            <w:shd w:val="clear" w:color="auto" w:fill="auto"/>
            <w:vAlign w:val="center"/>
          </w:tcPr>
          <w:p w14:paraId="505B1DA0">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按照一单位一平台的建设要求，完成统一用户管理的对接、消息对接，待办对接，以及应用第一层UI风格与平台保持一致。</w:t>
            </w:r>
          </w:p>
        </w:tc>
      </w:tr>
      <w:tr w14:paraId="07AA0791">
        <w:tblPrEx>
          <w:tblCellMar>
            <w:top w:w="0" w:type="dxa"/>
            <w:left w:w="108" w:type="dxa"/>
            <w:bottom w:w="0" w:type="dxa"/>
            <w:right w:w="108" w:type="dxa"/>
          </w:tblCellMar>
        </w:tblPrEx>
        <w:trPr>
          <w:trHeight w:val="327" w:hRule="atLeast"/>
        </w:trPr>
        <w:tc>
          <w:tcPr>
            <w:tcW w:w="338" w:type="pct"/>
            <w:tcBorders>
              <w:top w:val="nil"/>
              <w:left w:val="single" w:color="000000" w:sz="8" w:space="0"/>
              <w:bottom w:val="single" w:color="000000" w:sz="8" w:space="0"/>
              <w:right w:val="single" w:color="000000" w:sz="8" w:space="0"/>
            </w:tcBorders>
            <w:shd w:val="clear" w:color="auto" w:fill="auto"/>
            <w:noWrap/>
            <w:vAlign w:val="center"/>
          </w:tcPr>
          <w:p w14:paraId="6C5052FD">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65</w:t>
            </w:r>
          </w:p>
        </w:tc>
        <w:tc>
          <w:tcPr>
            <w:tcW w:w="534" w:type="pct"/>
            <w:vMerge w:val="restart"/>
            <w:tcBorders>
              <w:top w:val="nil"/>
              <w:left w:val="nil"/>
              <w:bottom w:val="single" w:color="000000" w:sz="8" w:space="0"/>
              <w:right w:val="single" w:color="000000" w:sz="8" w:space="0"/>
            </w:tcBorders>
            <w:shd w:val="clear" w:color="auto" w:fill="auto"/>
            <w:vAlign w:val="center"/>
          </w:tcPr>
          <w:p w14:paraId="608CA4AD">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人大代表联络站数字总站应用场景应用</w:t>
            </w:r>
          </w:p>
        </w:tc>
        <w:tc>
          <w:tcPr>
            <w:tcW w:w="535" w:type="pct"/>
            <w:vMerge w:val="restart"/>
            <w:tcBorders>
              <w:top w:val="nil"/>
              <w:left w:val="nil"/>
              <w:bottom w:val="single" w:color="000000" w:sz="8" w:space="0"/>
              <w:right w:val="single" w:color="000000" w:sz="8" w:space="0"/>
            </w:tcBorders>
            <w:shd w:val="clear" w:color="auto" w:fill="auto"/>
            <w:vAlign w:val="center"/>
          </w:tcPr>
          <w:p w14:paraId="0E9668ED">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应用功能改造</w:t>
            </w:r>
          </w:p>
        </w:tc>
        <w:tc>
          <w:tcPr>
            <w:tcW w:w="140" w:type="pct"/>
            <w:gridSpan w:val="2"/>
            <w:tcBorders>
              <w:top w:val="nil"/>
              <w:left w:val="nil"/>
              <w:bottom w:val="single" w:color="000000" w:sz="8" w:space="0"/>
              <w:right w:val="single" w:color="000000" w:sz="8" w:space="0"/>
            </w:tcBorders>
            <w:shd w:val="clear" w:color="auto" w:fill="auto"/>
            <w:vAlign w:val="center"/>
          </w:tcPr>
          <w:p w14:paraId="3B440B0A">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云上互联</w:t>
            </w:r>
          </w:p>
        </w:tc>
        <w:tc>
          <w:tcPr>
            <w:tcW w:w="3450" w:type="pct"/>
            <w:gridSpan w:val="3"/>
            <w:tcBorders>
              <w:top w:val="single" w:color="000000" w:sz="8" w:space="0"/>
              <w:left w:val="nil"/>
              <w:bottom w:val="single" w:color="000000" w:sz="8" w:space="0"/>
              <w:right w:val="single" w:color="000000" w:sz="8" w:space="0"/>
            </w:tcBorders>
            <w:shd w:val="clear" w:color="auto" w:fill="auto"/>
            <w:vAlign w:val="center"/>
          </w:tcPr>
          <w:p w14:paraId="3C68484A">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云上互联模块，提供云会议、云培训、云接待、云监督、云议事服务。</w:t>
            </w:r>
          </w:p>
        </w:tc>
      </w:tr>
      <w:tr w14:paraId="4A189EAF">
        <w:tblPrEx>
          <w:tblCellMar>
            <w:top w:w="0" w:type="dxa"/>
            <w:left w:w="108" w:type="dxa"/>
            <w:bottom w:w="0" w:type="dxa"/>
            <w:right w:w="108" w:type="dxa"/>
          </w:tblCellMar>
        </w:tblPrEx>
        <w:trPr>
          <w:trHeight w:val="327" w:hRule="atLeast"/>
        </w:trPr>
        <w:tc>
          <w:tcPr>
            <w:tcW w:w="338" w:type="pct"/>
            <w:tcBorders>
              <w:top w:val="nil"/>
              <w:left w:val="single" w:color="000000" w:sz="8" w:space="0"/>
              <w:bottom w:val="single" w:color="000000" w:sz="8" w:space="0"/>
              <w:right w:val="single" w:color="000000" w:sz="8" w:space="0"/>
            </w:tcBorders>
            <w:shd w:val="clear" w:color="auto" w:fill="auto"/>
            <w:noWrap/>
            <w:vAlign w:val="center"/>
          </w:tcPr>
          <w:p w14:paraId="20F1007F">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66</w:t>
            </w:r>
          </w:p>
        </w:tc>
        <w:tc>
          <w:tcPr>
            <w:tcW w:w="534" w:type="pct"/>
            <w:vMerge w:val="continue"/>
            <w:tcBorders>
              <w:top w:val="nil"/>
              <w:left w:val="nil"/>
              <w:bottom w:val="single" w:color="000000" w:sz="8" w:space="0"/>
              <w:right w:val="single" w:color="000000" w:sz="8" w:space="0"/>
            </w:tcBorders>
            <w:shd w:val="clear" w:color="auto" w:fill="auto"/>
            <w:vAlign w:val="center"/>
          </w:tcPr>
          <w:p w14:paraId="58ACD22A">
            <w:pPr>
              <w:jc w:val="center"/>
              <w:rPr>
                <w:rFonts w:hint="eastAsia" w:ascii="宋体" w:hAnsi="宋体" w:cs="宋体"/>
                <w:color w:val="000000" w:themeColor="text1"/>
                <w:sz w:val="24"/>
                <w14:textFill>
                  <w14:solidFill>
                    <w14:schemeClr w14:val="tx1"/>
                  </w14:solidFill>
                </w14:textFill>
              </w:rPr>
            </w:pPr>
          </w:p>
        </w:tc>
        <w:tc>
          <w:tcPr>
            <w:tcW w:w="535" w:type="pct"/>
            <w:vMerge w:val="continue"/>
            <w:tcBorders>
              <w:top w:val="nil"/>
              <w:left w:val="nil"/>
              <w:bottom w:val="single" w:color="000000" w:sz="8" w:space="0"/>
              <w:right w:val="single" w:color="000000" w:sz="8" w:space="0"/>
            </w:tcBorders>
            <w:shd w:val="clear" w:color="auto" w:fill="auto"/>
            <w:vAlign w:val="center"/>
          </w:tcPr>
          <w:p w14:paraId="790780C7">
            <w:pPr>
              <w:jc w:val="center"/>
              <w:rPr>
                <w:rFonts w:hint="eastAsia" w:ascii="宋体" w:hAnsi="宋体" w:cs="宋体"/>
                <w:color w:val="000000" w:themeColor="text1"/>
                <w:sz w:val="24"/>
                <w14:textFill>
                  <w14:solidFill>
                    <w14:schemeClr w14:val="tx1"/>
                  </w14:solidFill>
                </w14:textFill>
              </w:rPr>
            </w:pPr>
          </w:p>
        </w:tc>
        <w:tc>
          <w:tcPr>
            <w:tcW w:w="140" w:type="pct"/>
            <w:gridSpan w:val="2"/>
            <w:tcBorders>
              <w:top w:val="nil"/>
              <w:left w:val="nil"/>
              <w:bottom w:val="single" w:color="000000" w:sz="8" w:space="0"/>
              <w:right w:val="single" w:color="000000" w:sz="8" w:space="0"/>
            </w:tcBorders>
            <w:shd w:val="clear" w:color="auto" w:fill="auto"/>
            <w:vAlign w:val="center"/>
          </w:tcPr>
          <w:p w14:paraId="2FE4453C">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指挥协调</w:t>
            </w:r>
          </w:p>
        </w:tc>
        <w:tc>
          <w:tcPr>
            <w:tcW w:w="3450" w:type="pct"/>
            <w:gridSpan w:val="3"/>
            <w:tcBorders>
              <w:top w:val="nil"/>
              <w:left w:val="nil"/>
              <w:bottom w:val="single" w:color="000000" w:sz="8" w:space="0"/>
              <w:right w:val="single" w:color="000000" w:sz="8" w:space="0"/>
            </w:tcBorders>
            <w:shd w:val="clear" w:color="auto" w:fill="auto"/>
            <w:vAlign w:val="center"/>
          </w:tcPr>
          <w:p w14:paraId="6340DAD9">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市、县、乡三级任务统筹联动空间，包括任务联动、任务下达、站点联系、站点视频、vr展示等内容。</w:t>
            </w:r>
          </w:p>
        </w:tc>
      </w:tr>
      <w:tr w14:paraId="6D8FAFD0">
        <w:tblPrEx>
          <w:tblCellMar>
            <w:top w:w="0" w:type="dxa"/>
            <w:left w:w="108" w:type="dxa"/>
            <w:bottom w:w="0" w:type="dxa"/>
            <w:right w:w="108" w:type="dxa"/>
          </w:tblCellMar>
        </w:tblPrEx>
        <w:trPr>
          <w:trHeight w:val="327" w:hRule="atLeast"/>
        </w:trPr>
        <w:tc>
          <w:tcPr>
            <w:tcW w:w="338" w:type="pct"/>
            <w:tcBorders>
              <w:top w:val="nil"/>
              <w:left w:val="single" w:color="000000" w:sz="8" w:space="0"/>
              <w:bottom w:val="single" w:color="000000" w:sz="8" w:space="0"/>
              <w:right w:val="single" w:color="000000" w:sz="8" w:space="0"/>
            </w:tcBorders>
            <w:shd w:val="clear" w:color="auto" w:fill="auto"/>
            <w:noWrap/>
            <w:vAlign w:val="center"/>
          </w:tcPr>
          <w:p w14:paraId="2D8C6FF9">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67</w:t>
            </w:r>
          </w:p>
        </w:tc>
        <w:tc>
          <w:tcPr>
            <w:tcW w:w="534" w:type="pct"/>
            <w:vMerge w:val="continue"/>
            <w:tcBorders>
              <w:top w:val="nil"/>
              <w:left w:val="nil"/>
              <w:bottom w:val="single" w:color="000000" w:sz="8" w:space="0"/>
              <w:right w:val="single" w:color="000000" w:sz="8" w:space="0"/>
            </w:tcBorders>
            <w:shd w:val="clear" w:color="auto" w:fill="auto"/>
            <w:vAlign w:val="center"/>
          </w:tcPr>
          <w:p w14:paraId="7FB07979">
            <w:pPr>
              <w:jc w:val="center"/>
              <w:rPr>
                <w:rFonts w:hint="eastAsia" w:ascii="宋体" w:hAnsi="宋体" w:cs="宋体"/>
                <w:color w:val="000000" w:themeColor="text1"/>
                <w:sz w:val="24"/>
                <w14:textFill>
                  <w14:solidFill>
                    <w14:schemeClr w14:val="tx1"/>
                  </w14:solidFill>
                </w14:textFill>
              </w:rPr>
            </w:pPr>
          </w:p>
        </w:tc>
        <w:tc>
          <w:tcPr>
            <w:tcW w:w="535" w:type="pct"/>
            <w:vMerge w:val="continue"/>
            <w:tcBorders>
              <w:top w:val="nil"/>
              <w:left w:val="nil"/>
              <w:bottom w:val="single" w:color="000000" w:sz="8" w:space="0"/>
              <w:right w:val="single" w:color="000000" w:sz="8" w:space="0"/>
            </w:tcBorders>
            <w:shd w:val="clear" w:color="auto" w:fill="auto"/>
            <w:vAlign w:val="center"/>
          </w:tcPr>
          <w:p w14:paraId="303104E1">
            <w:pPr>
              <w:jc w:val="center"/>
              <w:rPr>
                <w:rFonts w:hint="eastAsia" w:ascii="宋体" w:hAnsi="宋体" w:cs="宋体"/>
                <w:color w:val="000000" w:themeColor="text1"/>
                <w:sz w:val="24"/>
                <w14:textFill>
                  <w14:solidFill>
                    <w14:schemeClr w14:val="tx1"/>
                  </w14:solidFill>
                </w14:textFill>
              </w:rPr>
            </w:pPr>
          </w:p>
        </w:tc>
        <w:tc>
          <w:tcPr>
            <w:tcW w:w="140" w:type="pct"/>
            <w:gridSpan w:val="2"/>
            <w:tcBorders>
              <w:top w:val="nil"/>
              <w:left w:val="nil"/>
              <w:bottom w:val="single" w:color="000000" w:sz="8" w:space="0"/>
              <w:right w:val="single" w:color="000000" w:sz="8" w:space="0"/>
            </w:tcBorders>
            <w:shd w:val="clear" w:color="auto" w:fill="auto"/>
            <w:vAlign w:val="center"/>
          </w:tcPr>
          <w:p w14:paraId="6394F132">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民意大脑</w:t>
            </w:r>
          </w:p>
        </w:tc>
        <w:tc>
          <w:tcPr>
            <w:tcW w:w="3450" w:type="pct"/>
            <w:gridSpan w:val="3"/>
            <w:tcBorders>
              <w:top w:val="nil"/>
              <w:left w:val="nil"/>
              <w:bottom w:val="single" w:color="000000" w:sz="8" w:space="0"/>
              <w:right w:val="single" w:color="000000" w:sz="8" w:space="0"/>
            </w:tcBorders>
            <w:shd w:val="clear" w:color="auto" w:fill="auto"/>
            <w:vAlign w:val="center"/>
          </w:tcPr>
          <w:p w14:paraId="63F5F39D">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通过人大私域大模型分析民情民意数据，汇总民意热词、聚焦热点动态做到民意实时预警；监测全市民情民意汇集情况，一键生成民情民意报告，掌握民声动向；跟踪督办代表建议和民意办理情况，强化人大监督能力。</w:t>
            </w:r>
          </w:p>
        </w:tc>
      </w:tr>
      <w:tr w14:paraId="453ADD5D">
        <w:tblPrEx>
          <w:tblCellMar>
            <w:top w:w="0" w:type="dxa"/>
            <w:left w:w="108" w:type="dxa"/>
            <w:bottom w:w="0" w:type="dxa"/>
            <w:right w:w="108" w:type="dxa"/>
          </w:tblCellMar>
        </w:tblPrEx>
        <w:trPr>
          <w:trHeight w:val="327" w:hRule="atLeast"/>
        </w:trPr>
        <w:tc>
          <w:tcPr>
            <w:tcW w:w="338" w:type="pct"/>
            <w:tcBorders>
              <w:top w:val="nil"/>
              <w:left w:val="single" w:color="000000" w:sz="8" w:space="0"/>
              <w:bottom w:val="single" w:color="000000" w:sz="8" w:space="0"/>
              <w:right w:val="single" w:color="000000" w:sz="8" w:space="0"/>
            </w:tcBorders>
            <w:shd w:val="clear" w:color="auto" w:fill="auto"/>
            <w:noWrap/>
            <w:vAlign w:val="center"/>
          </w:tcPr>
          <w:p w14:paraId="3C58C057">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68</w:t>
            </w:r>
          </w:p>
        </w:tc>
        <w:tc>
          <w:tcPr>
            <w:tcW w:w="534" w:type="pct"/>
            <w:vMerge w:val="continue"/>
            <w:tcBorders>
              <w:top w:val="nil"/>
              <w:left w:val="nil"/>
              <w:bottom w:val="single" w:color="000000" w:sz="8" w:space="0"/>
              <w:right w:val="single" w:color="000000" w:sz="8" w:space="0"/>
            </w:tcBorders>
            <w:shd w:val="clear" w:color="auto" w:fill="auto"/>
            <w:vAlign w:val="center"/>
          </w:tcPr>
          <w:p w14:paraId="33D79429">
            <w:pPr>
              <w:jc w:val="center"/>
              <w:rPr>
                <w:rFonts w:hint="eastAsia" w:ascii="宋体" w:hAnsi="宋体" w:cs="宋体"/>
                <w:color w:val="000000" w:themeColor="text1"/>
                <w:sz w:val="24"/>
                <w14:textFill>
                  <w14:solidFill>
                    <w14:schemeClr w14:val="tx1"/>
                  </w14:solidFill>
                </w14:textFill>
              </w:rPr>
            </w:pPr>
          </w:p>
        </w:tc>
        <w:tc>
          <w:tcPr>
            <w:tcW w:w="535" w:type="pct"/>
            <w:vMerge w:val="continue"/>
            <w:tcBorders>
              <w:top w:val="nil"/>
              <w:left w:val="nil"/>
              <w:bottom w:val="single" w:color="000000" w:sz="8" w:space="0"/>
              <w:right w:val="single" w:color="000000" w:sz="8" w:space="0"/>
            </w:tcBorders>
            <w:shd w:val="clear" w:color="auto" w:fill="auto"/>
            <w:vAlign w:val="center"/>
          </w:tcPr>
          <w:p w14:paraId="705BB877">
            <w:pPr>
              <w:jc w:val="center"/>
              <w:rPr>
                <w:rFonts w:hint="eastAsia" w:ascii="宋体" w:hAnsi="宋体" w:cs="宋体"/>
                <w:color w:val="000000" w:themeColor="text1"/>
                <w:sz w:val="24"/>
                <w14:textFill>
                  <w14:solidFill>
                    <w14:schemeClr w14:val="tx1"/>
                  </w14:solidFill>
                </w14:textFill>
              </w:rPr>
            </w:pPr>
          </w:p>
        </w:tc>
        <w:tc>
          <w:tcPr>
            <w:tcW w:w="140" w:type="pct"/>
            <w:gridSpan w:val="2"/>
            <w:tcBorders>
              <w:top w:val="nil"/>
              <w:left w:val="nil"/>
              <w:bottom w:val="single" w:color="000000" w:sz="8" w:space="0"/>
              <w:right w:val="single" w:color="000000" w:sz="8" w:space="0"/>
            </w:tcBorders>
            <w:shd w:val="clear" w:color="auto" w:fill="auto"/>
            <w:vAlign w:val="center"/>
          </w:tcPr>
          <w:p w14:paraId="09C0A9B1">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运行管理</w:t>
            </w:r>
          </w:p>
        </w:tc>
        <w:tc>
          <w:tcPr>
            <w:tcW w:w="3450" w:type="pct"/>
            <w:gridSpan w:val="3"/>
            <w:tcBorders>
              <w:top w:val="nil"/>
              <w:left w:val="nil"/>
              <w:bottom w:val="single" w:color="000000" w:sz="8" w:space="0"/>
              <w:right w:val="single" w:color="000000" w:sz="8" w:space="0"/>
            </w:tcBorders>
            <w:shd w:val="clear" w:color="auto" w:fill="auto"/>
            <w:vAlign w:val="center"/>
          </w:tcPr>
          <w:p w14:paraId="3F3A938A">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公示公开各联络站举办主题活动情况、参与立法监督情况、国家机关进站点情况、督政议事情况；展示民生实事项目信息。</w:t>
            </w:r>
          </w:p>
        </w:tc>
      </w:tr>
      <w:tr w14:paraId="4955764B">
        <w:tblPrEx>
          <w:tblCellMar>
            <w:top w:w="0" w:type="dxa"/>
            <w:left w:w="108" w:type="dxa"/>
            <w:bottom w:w="0" w:type="dxa"/>
            <w:right w:w="108" w:type="dxa"/>
          </w:tblCellMar>
        </w:tblPrEx>
        <w:trPr>
          <w:gridAfter w:val="1"/>
          <w:wAfter w:w="104" w:type="pct"/>
          <w:trHeight w:val="327" w:hRule="atLeast"/>
        </w:trPr>
        <w:tc>
          <w:tcPr>
            <w:tcW w:w="338" w:type="pct"/>
            <w:tcBorders>
              <w:top w:val="nil"/>
              <w:left w:val="single" w:color="000000" w:sz="8" w:space="0"/>
              <w:bottom w:val="single" w:color="000000" w:sz="8" w:space="0"/>
              <w:right w:val="single" w:color="000000" w:sz="8" w:space="0"/>
            </w:tcBorders>
            <w:shd w:val="clear" w:color="auto" w:fill="auto"/>
            <w:noWrap/>
            <w:vAlign w:val="center"/>
          </w:tcPr>
          <w:p w14:paraId="7E4B1684">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69</w:t>
            </w:r>
          </w:p>
        </w:tc>
        <w:tc>
          <w:tcPr>
            <w:tcW w:w="534" w:type="pct"/>
            <w:vMerge w:val="continue"/>
            <w:tcBorders>
              <w:top w:val="nil"/>
              <w:left w:val="nil"/>
              <w:bottom w:val="single" w:color="000000" w:sz="8" w:space="0"/>
              <w:right w:val="single" w:color="000000" w:sz="8" w:space="0"/>
            </w:tcBorders>
            <w:shd w:val="clear" w:color="auto" w:fill="auto"/>
            <w:vAlign w:val="center"/>
          </w:tcPr>
          <w:p w14:paraId="21ABCF13">
            <w:pPr>
              <w:jc w:val="center"/>
              <w:rPr>
                <w:rFonts w:hint="eastAsia" w:ascii="宋体" w:hAnsi="宋体" w:cs="宋体"/>
                <w:color w:val="000000" w:themeColor="text1"/>
                <w:sz w:val="24"/>
                <w14:textFill>
                  <w14:solidFill>
                    <w14:schemeClr w14:val="tx1"/>
                  </w14:solidFill>
                </w14:textFill>
              </w:rPr>
            </w:pPr>
          </w:p>
        </w:tc>
        <w:tc>
          <w:tcPr>
            <w:tcW w:w="571" w:type="pct"/>
            <w:gridSpan w:val="2"/>
            <w:tcBorders>
              <w:top w:val="nil"/>
              <w:left w:val="nil"/>
              <w:bottom w:val="single" w:color="000000" w:sz="8" w:space="0"/>
              <w:right w:val="single" w:color="000000" w:sz="8" w:space="0"/>
            </w:tcBorders>
            <w:shd w:val="clear" w:color="auto" w:fill="auto"/>
            <w:vAlign w:val="center"/>
          </w:tcPr>
          <w:p w14:paraId="5733CEF6">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安全工作</w:t>
            </w:r>
          </w:p>
        </w:tc>
        <w:tc>
          <w:tcPr>
            <w:tcW w:w="3450" w:type="pct"/>
            <w:gridSpan w:val="3"/>
            <w:tcBorders>
              <w:top w:val="nil"/>
              <w:left w:val="nil"/>
              <w:bottom w:val="single" w:color="000000" w:sz="8" w:space="0"/>
              <w:right w:val="single" w:color="000000" w:sz="8" w:space="0"/>
            </w:tcBorders>
            <w:shd w:val="clear" w:color="auto" w:fill="auto"/>
            <w:vAlign w:val="center"/>
          </w:tcPr>
          <w:p w14:paraId="7997A302">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完成密码测评、密码方案评审、密码应用服务、渗透测试等保二级测评、信创测评等相关工作。</w:t>
            </w:r>
          </w:p>
        </w:tc>
      </w:tr>
      <w:tr w14:paraId="361B26BD">
        <w:tblPrEx>
          <w:tblCellMar>
            <w:top w:w="0" w:type="dxa"/>
            <w:left w:w="108" w:type="dxa"/>
            <w:bottom w:w="0" w:type="dxa"/>
            <w:right w:w="108" w:type="dxa"/>
          </w:tblCellMar>
        </w:tblPrEx>
        <w:trPr>
          <w:gridAfter w:val="1"/>
          <w:wAfter w:w="104" w:type="pct"/>
          <w:trHeight w:val="327" w:hRule="atLeast"/>
        </w:trPr>
        <w:tc>
          <w:tcPr>
            <w:tcW w:w="338" w:type="pct"/>
            <w:tcBorders>
              <w:top w:val="nil"/>
              <w:left w:val="single" w:color="000000" w:sz="8" w:space="0"/>
              <w:bottom w:val="single" w:color="000000" w:sz="8" w:space="0"/>
              <w:right w:val="single" w:color="000000" w:sz="8" w:space="0"/>
            </w:tcBorders>
            <w:shd w:val="clear" w:color="auto" w:fill="auto"/>
            <w:noWrap/>
            <w:vAlign w:val="center"/>
          </w:tcPr>
          <w:p w14:paraId="6EA7EABE">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70</w:t>
            </w:r>
          </w:p>
        </w:tc>
        <w:tc>
          <w:tcPr>
            <w:tcW w:w="534" w:type="pct"/>
            <w:vMerge w:val="continue"/>
            <w:tcBorders>
              <w:top w:val="nil"/>
              <w:left w:val="nil"/>
              <w:bottom w:val="single" w:color="000000" w:sz="8" w:space="0"/>
              <w:right w:val="single" w:color="000000" w:sz="8" w:space="0"/>
            </w:tcBorders>
            <w:shd w:val="clear" w:color="auto" w:fill="auto"/>
            <w:vAlign w:val="center"/>
          </w:tcPr>
          <w:p w14:paraId="3AE57083">
            <w:pPr>
              <w:jc w:val="center"/>
              <w:rPr>
                <w:rFonts w:hint="eastAsia" w:ascii="宋体" w:hAnsi="宋体" w:cs="宋体"/>
                <w:color w:val="000000" w:themeColor="text1"/>
                <w:sz w:val="24"/>
                <w14:textFill>
                  <w14:solidFill>
                    <w14:schemeClr w14:val="tx1"/>
                  </w14:solidFill>
                </w14:textFill>
              </w:rPr>
            </w:pPr>
          </w:p>
        </w:tc>
        <w:tc>
          <w:tcPr>
            <w:tcW w:w="571" w:type="pct"/>
            <w:gridSpan w:val="2"/>
            <w:tcBorders>
              <w:top w:val="nil"/>
              <w:left w:val="nil"/>
              <w:bottom w:val="single" w:color="000000" w:sz="8" w:space="0"/>
              <w:right w:val="single" w:color="000000" w:sz="8" w:space="0"/>
            </w:tcBorders>
            <w:shd w:val="clear" w:color="auto" w:fill="auto"/>
            <w:vAlign w:val="center"/>
          </w:tcPr>
          <w:p w14:paraId="0F1A243D">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w:t>
            </w:r>
          </w:p>
        </w:tc>
        <w:tc>
          <w:tcPr>
            <w:tcW w:w="3450" w:type="pct"/>
            <w:gridSpan w:val="3"/>
            <w:tcBorders>
              <w:top w:val="nil"/>
              <w:left w:val="nil"/>
              <w:bottom w:val="single" w:color="000000" w:sz="8" w:space="0"/>
              <w:right w:val="single" w:color="000000" w:sz="8" w:space="0"/>
            </w:tcBorders>
            <w:shd w:val="clear" w:color="auto" w:fill="auto"/>
            <w:vAlign w:val="center"/>
          </w:tcPr>
          <w:p w14:paraId="78ECF90B">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按照一单位一平台的建设要求，完成统一用户管理的对接。</w:t>
            </w:r>
          </w:p>
        </w:tc>
      </w:tr>
      <w:tr w14:paraId="7C54E76F">
        <w:tblPrEx>
          <w:tblCellMar>
            <w:top w:w="0" w:type="dxa"/>
            <w:left w:w="108" w:type="dxa"/>
            <w:bottom w:w="0" w:type="dxa"/>
            <w:right w:w="108" w:type="dxa"/>
          </w:tblCellMar>
        </w:tblPrEx>
        <w:trPr>
          <w:gridAfter w:val="1"/>
          <w:wAfter w:w="104" w:type="pct"/>
          <w:trHeight w:val="327" w:hRule="atLeast"/>
        </w:trPr>
        <w:tc>
          <w:tcPr>
            <w:tcW w:w="338" w:type="pct"/>
            <w:tcBorders>
              <w:top w:val="nil"/>
              <w:left w:val="single" w:color="000000" w:sz="8" w:space="0"/>
              <w:bottom w:val="single" w:color="000000" w:sz="8" w:space="0"/>
              <w:right w:val="single" w:color="000000" w:sz="8" w:space="0"/>
            </w:tcBorders>
            <w:shd w:val="clear" w:color="auto" w:fill="auto"/>
            <w:noWrap/>
            <w:vAlign w:val="center"/>
          </w:tcPr>
          <w:p w14:paraId="4AA9F15C">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71</w:t>
            </w:r>
          </w:p>
        </w:tc>
        <w:tc>
          <w:tcPr>
            <w:tcW w:w="1106" w:type="pct"/>
            <w:gridSpan w:val="3"/>
            <w:tcBorders>
              <w:top w:val="nil"/>
              <w:left w:val="nil"/>
              <w:bottom w:val="single" w:color="000000" w:sz="8" w:space="0"/>
              <w:right w:val="single" w:color="000000" w:sz="8" w:space="0"/>
            </w:tcBorders>
            <w:shd w:val="clear" w:color="auto" w:fill="auto"/>
            <w:vAlign w:val="center"/>
          </w:tcPr>
          <w:p w14:paraId="749D21F2">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“数字人大”平台</w:t>
            </w:r>
          </w:p>
        </w:tc>
        <w:tc>
          <w:tcPr>
            <w:tcW w:w="3450" w:type="pct"/>
            <w:gridSpan w:val="3"/>
            <w:tcBorders>
              <w:top w:val="nil"/>
              <w:left w:val="nil"/>
              <w:bottom w:val="single" w:color="000000" w:sz="8" w:space="0"/>
              <w:right w:val="single" w:color="000000" w:sz="8" w:space="0"/>
            </w:tcBorders>
            <w:shd w:val="clear" w:color="auto" w:fill="auto"/>
            <w:vAlign w:val="center"/>
          </w:tcPr>
          <w:p w14:paraId="4B2C44B6">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实现街道上城区街道人大工作系统、执法检查、听取审议专项报告系统、代表在线应用场景应用、民生实事项目监督系统、代表联系群众、意见处理反馈系统、议案建议办理应用场景应用、财经综合监督系统应用、人大数据仓应用场景应用、人大代表联络站数字总站应用场景应用的门户集成，实现统一用户、权限、接口及接入管理。</w:t>
            </w:r>
          </w:p>
        </w:tc>
      </w:tr>
    </w:tbl>
    <w:p w14:paraId="603F8E0D">
      <w:pPr>
        <w:adjustRightInd/>
        <w:spacing w:after="0" w:line="240" w:lineRule="auto"/>
        <w:rPr>
          <w:rFonts w:hint="eastAsia" w:ascii="宋体" w:hAnsi="宋体"/>
          <w:b/>
          <w:bCs/>
          <w:color w:val="000000" w:themeColor="text1"/>
          <w:sz w:val="24"/>
          <w14:textFill>
            <w14:solidFill>
              <w14:schemeClr w14:val="tx1"/>
            </w14:solidFill>
          </w14:textFill>
        </w:rPr>
      </w:pPr>
    </w:p>
    <w:p w14:paraId="013964F7">
      <w:pPr>
        <w:adjustRightInd/>
        <w:spacing w:after="0" w:line="360" w:lineRule="auto"/>
        <w:outlineLvl w:val="1"/>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三、其他需求</w:t>
      </w:r>
    </w:p>
    <w:p w14:paraId="11E2FBD9">
      <w:pPr>
        <w:numPr>
          <w:ilvl w:val="0"/>
          <w:numId w:val="2"/>
        </w:numPr>
        <w:adjustRightInd/>
        <w:spacing w:after="0"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IRS应用编目</w:t>
      </w:r>
    </w:p>
    <w:p w14:paraId="4BE47C70">
      <w:pPr>
        <w:ind w:firstLine="480" w:firstLineChars="200"/>
        <w:rPr>
          <w:rFonts w:hint="eastAsia" w:ascii="宋体" w:hAnsi="宋体"/>
          <w:color w:val="000000" w:themeColor="text1"/>
          <w:sz w:val="24"/>
          <w:szCs w:val="32"/>
          <w14:textFill>
            <w14:solidFill>
              <w14:schemeClr w14:val="tx1"/>
            </w14:solidFill>
          </w14:textFill>
        </w:rPr>
      </w:pPr>
      <w:r>
        <w:rPr>
          <w:rFonts w:hint="eastAsia" w:ascii="宋体" w:hAnsi="宋体"/>
          <w:color w:val="000000" w:themeColor="text1"/>
          <w:sz w:val="24"/>
          <w:szCs w:val="32"/>
          <w14:textFill>
            <w14:solidFill>
              <w14:schemeClr w14:val="tx1"/>
            </w14:solidFill>
          </w14:textFill>
        </w:rPr>
        <w:t>按照《应用目录编制规范（试行）》做好应用及数字资源规范编目，根据项目进程动态调整资源状态，建设厂商入驻ISV。</w:t>
      </w:r>
    </w:p>
    <w:p w14:paraId="1786BA68">
      <w:pPr>
        <w:numPr>
          <w:ilvl w:val="0"/>
          <w:numId w:val="2"/>
        </w:numPr>
        <w:adjustRightInd/>
        <w:spacing w:after="0"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数据源头贯标</w:t>
      </w:r>
    </w:p>
    <w:p w14:paraId="26A9DE2E">
      <w:pPr>
        <w:adjustRightInd/>
        <w:snapToGrid w:val="0"/>
        <w:spacing w:after="0" w:line="360" w:lineRule="auto"/>
        <w:ind w:firstLine="480" w:firstLineChars="200"/>
        <w:contextualSpacing/>
        <w:rPr>
          <w:rFonts w:hint="eastAsia" w:ascii="宋体" w:hAnsi="宋体" w:cs="仿宋"/>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根据“一数一源一标准”要求和“有标贯标、无标立标、以标控质、达标入库”原则，实施源头贯标工作。</w:t>
      </w:r>
    </w:p>
    <w:p w14:paraId="5DBD5F9A">
      <w:pPr>
        <w:numPr>
          <w:ilvl w:val="0"/>
          <w:numId w:val="2"/>
        </w:numPr>
        <w:adjustRightInd/>
        <w:spacing w:after="0"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国产化部署环境</w:t>
      </w:r>
    </w:p>
    <w:p w14:paraId="45098F6E">
      <w:pPr>
        <w:adjustRightInd/>
        <w:snapToGrid w:val="0"/>
        <w:spacing w:after="0" w:line="360" w:lineRule="auto"/>
        <w:ind w:firstLine="480" w:firstLineChars="200"/>
        <w:contextualSpacing/>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本项目需使用国产化服务器、操作系统，数据库及中间等。</w:t>
      </w:r>
    </w:p>
    <w:p w14:paraId="1AD04BCD">
      <w:pPr>
        <w:numPr>
          <w:ilvl w:val="0"/>
          <w:numId w:val="2"/>
        </w:numPr>
        <w:adjustRightInd/>
        <w:spacing w:after="0"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数据归集共享</w:t>
      </w:r>
    </w:p>
    <w:p w14:paraId="43F8ACF9">
      <w:pPr>
        <w:adjustRightInd/>
        <w:spacing w:after="0"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按需完成数据“全量全要素”归集；加强源头治理、系统治理，提升数据质量；通过省IRS申请使用公共数据，重视数据利用成效；依法合规对外开放数据比例不应低于30%。</w:t>
      </w:r>
    </w:p>
    <w:p w14:paraId="36109A75">
      <w:pPr>
        <w:numPr>
          <w:ilvl w:val="0"/>
          <w:numId w:val="2"/>
        </w:numPr>
        <w:adjustRightInd/>
        <w:spacing w:after="0"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组件利用</w:t>
      </w:r>
    </w:p>
    <w:p w14:paraId="360257B7">
      <w:pPr>
        <w:adjustRightInd/>
        <w:spacing w:after="0"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项目中的应用系统必须通过省组件超市至少使用1个强制类组件，按需使用全省组件超市的各类共享组件。</w:t>
      </w:r>
    </w:p>
    <w:p w14:paraId="12EBDFD3">
      <w:pPr>
        <w:numPr>
          <w:ilvl w:val="0"/>
          <w:numId w:val="2"/>
        </w:numPr>
        <w:adjustRightInd/>
        <w:spacing w:after="0"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应用接入“浙里办、浙政钉”</w:t>
      </w:r>
    </w:p>
    <w:p w14:paraId="7DF65B0B">
      <w:pPr>
        <w:adjustRightInd/>
        <w:spacing w:after="0"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做好应用“浙里办、浙政钉”两端发布工作，其中浙政钉端必须达到100%治理侧应用发布。</w:t>
      </w:r>
    </w:p>
    <w:p w14:paraId="6F0FBA71">
      <w:pPr>
        <w:numPr>
          <w:ilvl w:val="0"/>
          <w:numId w:val="2"/>
        </w:numPr>
        <w:adjustRightInd/>
        <w:spacing w:after="0"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入驻应用工厂</w:t>
      </w:r>
    </w:p>
    <w:p w14:paraId="49706E39">
      <w:pPr>
        <w:adjustRightInd/>
        <w:spacing w:after="0"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应用代码规范接入省应用工厂，开展安全扫描并及时整改必修问题和漏洞。</w:t>
      </w:r>
    </w:p>
    <w:p w14:paraId="79414D35">
      <w:pPr>
        <w:numPr>
          <w:ilvl w:val="0"/>
          <w:numId w:val="2"/>
        </w:numPr>
        <w:adjustRightInd/>
        <w:spacing w:after="0"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业务保障需求</w:t>
      </w:r>
    </w:p>
    <w:p w14:paraId="593BD58D">
      <w:pPr>
        <w:adjustRightInd/>
        <w:spacing w:after="0"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对于信创改造项目，可用性分析主要涉及对系统进行渗透测试、信息安全等级保护二级测评、信创测评、</w:t>
      </w:r>
      <w:r>
        <w:rPr>
          <w:rFonts w:hint="eastAsia" w:ascii="宋体" w:hAnsi="宋体" w:cs="宋体"/>
          <w:color w:val="000000" w:themeColor="text1"/>
          <w:sz w:val="24"/>
          <w14:textFill>
            <w14:solidFill>
              <w14:schemeClr w14:val="tx1"/>
            </w14:solidFill>
          </w14:textFill>
        </w:rPr>
        <w:t>密码应用、密码方案评审、密码测评</w:t>
      </w:r>
      <w:r>
        <w:rPr>
          <w:rFonts w:hint="eastAsia" w:ascii="宋体" w:hAnsi="宋体"/>
          <w:color w:val="000000" w:themeColor="text1"/>
          <w:sz w:val="24"/>
          <w14:textFill>
            <w14:solidFill>
              <w14:schemeClr w14:val="tx1"/>
            </w14:solidFill>
          </w14:textFill>
        </w:rPr>
        <w:t>等，以确保数据的完整性、可用性及安全性。信创测评和渗透测试，由中标人负责邀请具备专业资质的第三方检测机构，并出具检测报告（第三方机构须经采购人确认）。</w:t>
      </w:r>
    </w:p>
    <w:p w14:paraId="677C6041">
      <w:pPr>
        <w:adjustRightInd/>
        <w:spacing w:after="0" w:line="360" w:lineRule="auto"/>
        <w:outlineLvl w:val="1"/>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四、人员要求</w:t>
      </w:r>
    </w:p>
    <w:p w14:paraId="29859C3E">
      <w:pPr>
        <w:adjustRightInd/>
        <w:spacing w:before="120" w:beforeLines="50" w:after="0" w:line="360" w:lineRule="auto"/>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中标人应在投标文件中提供一份详细的投入本项目组成人员名单，包括所有项目组核心成员构成、各项目组人员资质及项目经验介绍，并承诺一旦中标，未经采购人书面同意，项目组核心成员不得变更。投标人要充分考虑项目实施的经验、技术方面的因素，提供优质的项目组人员。</w:t>
      </w:r>
    </w:p>
    <w:p w14:paraId="05C7CF51">
      <w:pPr>
        <w:adjustRightInd/>
        <w:spacing w:after="0" w:line="360" w:lineRule="auto"/>
        <w:outlineLvl w:val="1"/>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五、软件调测、实施及文档要求</w:t>
      </w:r>
    </w:p>
    <w:p w14:paraId="5D691344">
      <w:pPr>
        <w:numPr>
          <w:ilvl w:val="0"/>
          <w:numId w:val="3"/>
        </w:numPr>
        <w:adjustRightInd/>
        <w:snapToGrid w:val="0"/>
        <w:spacing w:after="0" w:line="360" w:lineRule="auto"/>
        <w:ind w:firstLine="480" w:firstLineChars="200"/>
        <w:contextualSpacing/>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中标人应向采购单位提交测试内容和方法。移交测试计划和技术内容由中标人拟定，经采购人确认。</w:t>
      </w:r>
    </w:p>
    <w:p w14:paraId="2315046D">
      <w:pPr>
        <w:numPr>
          <w:ilvl w:val="0"/>
          <w:numId w:val="3"/>
        </w:numPr>
        <w:adjustRightInd/>
        <w:snapToGrid w:val="0"/>
        <w:spacing w:after="0" w:line="360" w:lineRule="auto"/>
        <w:ind w:firstLine="480" w:firstLineChars="200"/>
        <w:contextualSpacing/>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实施要求：</w:t>
      </w:r>
    </w:p>
    <w:p w14:paraId="78579293">
      <w:pPr>
        <w:adjustRightInd/>
        <w:spacing w:before="120" w:beforeLines="50" w:after="0" w:line="360" w:lineRule="auto"/>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a.中标人应在实施前提供详细的实施方案，并提交采购人认可。</w:t>
      </w:r>
    </w:p>
    <w:p w14:paraId="529F0E75">
      <w:pPr>
        <w:adjustRightInd/>
        <w:spacing w:before="120" w:beforeLines="50" w:after="0" w:line="360" w:lineRule="auto"/>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b.实施过程应严格执行相关的规范，并保证安全。</w:t>
      </w:r>
    </w:p>
    <w:p w14:paraId="3AFA7E7D">
      <w:pPr>
        <w:adjustRightInd/>
        <w:spacing w:before="120" w:beforeLines="50" w:after="0" w:line="360" w:lineRule="auto"/>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c.中标人应根据采购人的需要，在规定的时间内，保证质量，完成系统建设。</w:t>
      </w:r>
    </w:p>
    <w:p w14:paraId="36D34F09">
      <w:pPr>
        <w:adjustRightInd/>
        <w:spacing w:before="120" w:beforeLines="50" w:after="0" w:line="360" w:lineRule="auto"/>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d.实施过程中应科学、合理地掌握与其他工作界面的协调、交叉。</w:t>
      </w:r>
    </w:p>
    <w:p w14:paraId="638BED00">
      <w:pPr>
        <w:adjustRightInd/>
        <w:spacing w:before="120" w:beforeLines="50" w:after="0" w:line="360" w:lineRule="auto"/>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中标人提供的书面技术资料应能满足确保系统正常运行所需的管理、运营及维护有关的全套文件。</w:t>
      </w:r>
    </w:p>
    <w:p w14:paraId="0A1005F3">
      <w:pPr>
        <w:numPr>
          <w:ilvl w:val="0"/>
          <w:numId w:val="3"/>
        </w:numPr>
        <w:adjustRightInd/>
        <w:snapToGrid w:val="0"/>
        <w:spacing w:after="0" w:line="360" w:lineRule="auto"/>
        <w:ind w:firstLine="480" w:firstLineChars="200"/>
        <w:contextualSpacing/>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中标人应对采购人的网络信息资料严格保密，否则将负法律责任。</w:t>
      </w:r>
    </w:p>
    <w:p w14:paraId="23C0F2CD">
      <w:pPr>
        <w:adjustRightInd/>
        <w:spacing w:after="0" w:line="360" w:lineRule="auto"/>
        <w:outlineLvl w:val="1"/>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六、培训要求</w:t>
      </w:r>
    </w:p>
    <w:p w14:paraId="3C2F6CCD">
      <w:pPr>
        <w:numPr>
          <w:ilvl w:val="0"/>
          <w:numId w:val="4"/>
        </w:numPr>
        <w:adjustRightInd/>
        <w:snapToGrid w:val="0"/>
        <w:spacing w:after="0" w:line="360" w:lineRule="auto"/>
        <w:ind w:firstLine="480" w:firstLineChars="200"/>
        <w:contextualSpacing/>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中标人必须为招标人提供系统使用、系统操作和管理维护培训，培训形式包括现场操作培训、上机操作培训、理论基础知识培训等。</w:t>
      </w:r>
    </w:p>
    <w:p w14:paraId="026DD582">
      <w:pPr>
        <w:numPr>
          <w:ilvl w:val="0"/>
          <w:numId w:val="4"/>
        </w:numPr>
        <w:adjustRightInd/>
        <w:snapToGrid w:val="0"/>
        <w:spacing w:after="0" w:line="360" w:lineRule="auto"/>
        <w:ind w:firstLine="480" w:firstLineChars="200"/>
        <w:contextualSpacing/>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投标人应在投标文件中提供详细的培训计划，包括培训项目、人数、地点、日程、资料、其他等详细内容，为所有被培训人员提供培训用文字资料和讲义等相关用品。</w:t>
      </w:r>
    </w:p>
    <w:p w14:paraId="4AA49852">
      <w:pPr>
        <w:numPr>
          <w:ilvl w:val="0"/>
          <w:numId w:val="4"/>
        </w:numPr>
        <w:adjustRightInd/>
        <w:snapToGrid w:val="0"/>
        <w:spacing w:after="0" w:line="360" w:lineRule="auto"/>
        <w:ind w:firstLine="480" w:firstLineChars="200"/>
        <w:contextualSpacing/>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培训目的：达到使管理方员工在培训后能够独立地使用和操作系统，使管理方系统维护人员能够独立进行系统管理、维护的效果。</w:t>
      </w:r>
    </w:p>
    <w:p w14:paraId="27744F32">
      <w:pPr>
        <w:numPr>
          <w:ilvl w:val="0"/>
          <w:numId w:val="4"/>
        </w:numPr>
        <w:adjustRightInd/>
        <w:snapToGrid w:val="0"/>
        <w:spacing w:after="0" w:line="360" w:lineRule="auto"/>
        <w:ind w:firstLine="480" w:firstLineChars="200"/>
        <w:contextualSpacing/>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中标人培训人员必须是公司的资深工程师</w:t>
      </w:r>
      <w:r>
        <w:rPr>
          <w:rFonts w:ascii="宋体" w:hAnsi="宋体"/>
          <w:color w:val="000000" w:themeColor="text1"/>
          <w:sz w:val="24"/>
          <w14:textFill>
            <w14:solidFill>
              <w14:schemeClr w14:val="tx1"/>
            </w14:solidFill>
          </w14:textFill>
        </w:rPr>
        <w:t>,应保证提供有参与系统开发和丰富授课经验的教员。</w:t>
      </w:r>
    </w:p>
    <w:p w14:paraId="340EEDA2">
      <w:pPr>
        <w:numPr>
          <w:ilvl w:val="0"/>
          <w:numId w:val="4"/>
        </w:numPr>
        <w:adjustRightInd/>
        <w:snapToGrid w:val="0"/>
        <w:spacing w:after="0" w:line="360" w:lineRule="auto"/>
        <w:ind w:firstLine="480" w:firstLineChars="200"/>
        <w:contextualSpacing/>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培训总时间要求：建设基本完工后，项目试运行培训要求不少于</w:t>
      </w:r>
      <w:r>
        <w:rPr>
          <w:rFonts w:ascii="宋体" w:hAnsi="宋体"/>
          <w:color w:val="000000" w:themeColor="text1"/>
          <w:sz w:val="24"/>
          <w14:textFill>
            <w14:solidFill>
              <w14:schemeClr w14:val="tx1"/>
            </w14:solidFill>
          </w14:textFill>
        </w:rPr>
        <w:t>1次。</w:t>
      </w:r>
    </w:p>
    <w:p w14:paraId="3BBF29BB">
      <w:pPr>
        <w:numPr>
          <w:ilvl w:val="0"/>
          <w:numId w:val="4"/>
        </w:numPr>
        <w:adjustRightInd/>
        <w:snapToGrid w:val="0"/>
        <w:spacing w:after="0" w:line="360" w:lineRule="auto"/>
        <w:ind w:firstLine="480" w:firstLineChars="200"/>
        <w:contextualSpacing/>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应准备培训教材和培训资料的电子材料和纸质材料，培训教材和培训资料的语言应为简体中文。所有培训费用（含培训教材费），已包括在投标总价中。</w:t>
      </w:r>
    </w:p>
    <w:p w14:paraId="2FB0C885">
      <w:pPr>
        <w:numPr>
          <w:ilvl w:val="0"/>
          <w:numId w:val="4"/>
        </w:numPr>
        <w:adjustRightInd/>
        <w:snapToGrid w:val="0"/>
        <w:spacing w:after="0" w:line="360" w:lineRule="auto"/>
        <w:ind w:firstLine="480" w:firstLineChars="200"/>
        <w:contextualSpacing/>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每次培训需在杭州市范围内举行，如需对培训次数、培训场地等变更，则实际培训时间、人数和地点按中标人与项目招标人商定的为准。培训人数应满足管理方的实际需要。</w:t>
      </w:r>
    </w:p>
    <w:p w14:paraId="2C096B23">
      <w:pPr>
        <w:adjustRightInd/>
        <w:spacing w:after="0" w:line="360" w:lineRule="auto"/>
        <w:outlineLvl w:val="1"/>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七、保密要求</w:t>
      </w:r>
    </w:p>
    <w:p w14:paraId="005FE8DF">
      <w:pPr>
        <w:numPr>
          <w:ilvl w:val="0"/>
          <w:numId w:val="5"/>
        </w:numPr>
        <w:adjustRightInd/>
        <w:snapToGrid w:val="0"/>
        <w:spacing w:after="0" w:line="360" w:lineRule="auto"/>
        <w:ind w:firstLine="480" w:firstLineChars="200"/>
        <w:contextualSpacing/>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在项目开发过程和系统运行过程中，投标人所获得的、有关采购人或属于采购人的商业秘密包括生产管理的方式方法与资料、产品技术资料、客户名单、销售渠道、企业战略及其他被认为是秘密的信息，未经采购人同意，不得泄露给任何第三方。</w:t>
      </w:r>
    </w:p>
    <w:p w14:paraId="7A756D9A">
      <w:pPr>
        <w:numPr>
          <w:ilvl w:val="0"/>
          <w:numId w:val="5"/>
        </w:numPr>
        <w:adjustRightInd/>
        <w:snapToGrid w:val="0"/>
        <w:spacing w:after="0" w:line="360" w:lineRule="auto"/>
        <w:ind w:firstLine="480" w:firstLineChars="200"/>
        <w:contextualSpacing/>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任何一方为本项目需要，向任何人透露有关资料或信息且认为是其秘密信息，应事先予以注明。</w:t>
      </w:r>
    </w:p>
    <w:p w14:paraId="05FAAECD">
      <w:pPr>
        <w:numPr>
          <w:ilvl w:val="0"/>
          <w:numId w:val="5"/>
        </w:numPr>
        <w:adjustRightInd/>
        <w:snapToGrid w:val="0"/>
        <w:spacing w:after="0" w:line="360" w:lineRule="auto"/>
        <w:ind w:firstLine="480" w:firstLineChars="200"/>
        <w:contextualSpacing/>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上述秘密信息，投标人只能将该信息用于服务本项目，而且只能由相应的工程技术人员使用。</w:t>
      </w:r>
    </w:p>
    <w:p w14:paraId="7D10A817">
      <w:pPr>
        <w:numPr>
          <w:ilvl w:val="0"/>
          <w:numId w:val="5"/>
        </w:numPr>
        <w:adjustRightInd/>
        <w:snapToGrid w:val="0"/>
        <w:spacing w:after="0" w:line="360" w:lineRule="auto"/>
        <w:ind w:firstLine="480" w:firstLineChars="200"/>
        <w:contextualSpacing/>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投标人应遵循采购人各项安全保密制度和规章，所有信息数据在迁移、处理等过程中严禁私自复制、传输，完成建设任务后，档案信息数据必须物理清除。</w:t>
      </w:r>
    </w:p>
    <w:p w14:paraId="030D6E59">
      <w:pPr>
        <w:numPr>
          <w:ilvl w:val="0"/>
          <w:numId w:val="5"/>
        </w:numPr>
        <w:adjustRightInd/>
        <w:snapToGrid w:val="0"/>
        <w:spacing w:after="0" w:line="360" w:lineRule="auto"/>
        <w:ind w:firstLine="480" w:firstLineChars="200"/>
        <w:contextualSpacing/>
        <w:rPr>
          <w:rFonts w:ascii="宋体" w:hAnsi="宋体" w:cs="仿宋"/>
          <w:bCs/>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在投标文件中应对该项内容提交书面承诺书，作为签订项目保密协议的依据，并作为合同密不可分的一部分。</w:t>
      </w:r>
    </w:p>
    <w:p w14:paraId="6A9B7C06">
      <w:pPr>
        <w:spacing w:after="0" w:line="360" w:lineRule="auto"/>
        <w:jc w:val="left"/>
        <w:rPr>
          <w:rFonts w:hint="eastAsia" w:ascii="宋体" w:hAnsi="宋体" w:cs="仿宋"/>
          <w:b/>
          <w:bCs/>
          <w:sz w:val="24"/>
        </w:rPr>
      </w:pPr>
      <w:r>
        <w:rPr>
          <w:rFonts w:hint="eastAsia" w:ascii="宋体" w:hAnsi="宋体" w:cs="仿宋"/>
          <w:b/>
          <w:bCs/>
          <w:sz w:val="24"/>
        </w:rPr>
        <w:t>八、运维能力要求</w:t>
      </w:r>
    </w:p>
    <w:p w14:paraId="69F1EF9B">
      <w:pPr>
        <w:widowControl/>
        <w:spacing w:after="0" w:line="360" w:lineRule="auto"/>
        <w:ind w:left="40" w:firstLine="480" w:firstLineChars="200"/>
        <w:jc w:val="left"/>
        <w:rPr>
          <w:rFonts w:hint="eastAsia" w:ascii="宋体" w:hAnsi="宋体" w:cs="仿宋"/>
          <w:sz w:val="24"/>
        </w:rPr>
      </w:pPr>
      <w:r>
        <w:rPr>
          <w:rFonts w:hint="eastAsia" w:ascii="宋体" w:hAnsi="宋体" w:cs="仿宋"/>
          <w:sz w:val="24"/>
        </w:rPr>
        <w:t>能够统筹整合现有平台运维资源，为甲方提供整体集成化、单包型服务。需具备科学规范的管理能力、扎实的专业技术能力和高效的组织执行能力，同时注重系统运行风险防控。应建立完善的软硬件故障应急处理机制，具备快速技术响应能力，有效缩短系统恢复时间，实现对信息化系统的主动式管理与预防性监测，确保业务应用系统安全、稳定、高效运行。</w:t>
      </w:r>
    </w:p>
    <w:p w14:paraId="354F06B4">
      <w:pPr>
        <w:adjustRightInd/>
        <w:spacing w:after="0" w:line="360" w:lineRule="auto"/>
        <w:outlineLvl w:val="1"/>
        <w:rPr>
          <w:rFonts w:hint="eastAsia" w:ascii="宋体" w:hAnsi="宋体"/>
          <w:b/>
          <w:bCs/>
          <w:color w:val="000000" w:themeColor="text1"/>
          <w:sz w:val="24"/>
          <w:lang w:eastAsia="zh-Hans"/>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九</w:t>
      </w:r>
      <w:r>
        <w:rPr>
          <w:rFonts w:hint="eastAsia" w:ascii="宋体" w:hAnsi="宋体"/>
          <w:b/>
          <w:bCs/>
          <w:color w:val="000000" w:themeColor="text1"/>
          <w:sz w:val="24"/>
          <w14:textFill>
            <w14:solidFill>
              <w14:schemeClr w14:val="tx1"/>
            </w14:solidFill>
          </w14:textFill>
        </w:rPr>
        <w:t>、</w:t>
      </w:r>
      <w:r>
        <w:rPr>
          <w:rFonts w:hint="eastAsia" w:ascii="宋体" w:hAnsi="宋体"/>
          <w:b/>
          <w:bCs/>
          <w:color w:val="000000" w:themeColor="text1"/>
          <w:sz w:val="24"/>
          <w:lang w:eastAsia="zh-Hans"/>
          <w14:textFill>
            <w14:solidFill>
              <w14:schemeClr w14:val="tx1"/>
            </w14:solidFill>
          </w14:textFill>
        </w:rPr>
        <w:t>售后服务与质量保证</w:t>
      </w:r>
    </w:p>
    <w:p w14:paraId="33C0EDFA">
      <w:pPr>
        <w:tabs>
          <w:tab w:val="left" w:pos="840"/>
        </w:tabs>
        <w:adjustRightInd/>
        <w:spacing w:after="0" w:line="360" w:lineRule="auto"/>
        <w:ind w:right="-512"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1、质保期要求</w:t>
      </w:r>
    </w:p>
    <w:p w14:paraId="0B765E59">
      <w:pPr>
        <w:widowControl/>
        <w:adjustRightInd/>
        <w:spacing w:after="0" w:line="360" w:lineRule="auto"/>
        <w:ind w:firstLine="480" w:firstLineChars="200"/>
        <w:jc w:val="left"/>
        <w:rPr>
          <w:rFonts w:hint="eastAsia" w:ascii="宋体" w:hAnsi="宋体" w:cs="宋体"/>
          <w:color w:val="000000" w:themeColor="text1"/>
          <w:kern w:val="0"/>
          <w:sz w:val="24"/>
          <w14:textFill>
            <w14:solidFill>
              <w14:schemeClr w14:val="tx1"/>
            </w14:solidFill>
          </w14:textFill>
        </w:rPr>
      </w:pPr>
      <w:bookmarkStart w:id="45" w:name="_Hlk200556263"/>
      <w:r>
        <w:rPr>
          <w:rFonts w:hint="eastAsia" w:ascii="宋体" w:hAnsi="宋体" w:cs="宋体"/>
          <w:color w:val="000000" w:themeColor="text1"/>
          <w:kern w:val="0"/>
          <w:sz w:val="24"/>
          <w14:textFill>
            <w14:solidFill>
              <w14:schemeClr w14:val="tx1"/>
            </w14:solidFill>
          </w14:textFill>
        </w:rPr>
        <w:t>项目验收后，中标人为本项目提供2年免费运维服务，投标人针对各类故障必须提供7*24小时立即响应服务，在出现系统问题的1小时内给予问题的反馈，如需现场解决，如需现场解决，在故障发生的2小时内，派技术人员到达现场；承诺尽力在最短时间内恢复系统正常运行，并分析故障原因，提出书面故障分析报告及防范措施，如果故障不能在24小时内排除，则应提供技术团队到现场进行处理。中标人每月应对系统进行现场巡检，如巡检中发现软硬件问题，应及时诊断修复,提交故障报告并附上解决措施</w:t>
      </w:r>
      <w:bookmarkEnd w:id="45"/>
      <w:r>
        <w:rPr>
          <w:rFonts w:hint="eastAsia" w:ascii="宋体" w:hAnsi="宋体" w:cs="宋体"/>
          <w:color w:val="000000" w:themeColor="text1"/>
          <w:kern w:val="0"/>
          <w:sz w:val="24"/>
          <w14:textFill>
            <w14:solidFill>
              <w14:schemeClr w14:val="tx1"/>
            </w14:solidFill>
          </w14:textFill>
        </w:rPr>
        <w:t>。</w:t>
      </w:r>
    </w:p>
    <w:p w14:paraId="570E3D98">
      <w:pPr>
        <w:tabs>
          <w:tab w:val="left" w:pos="840"/>
        </w:tabs>
        <w:adjustRightInd/>
        <w:spacing w:after="0" w:line="360" w:lineRule="auto"/>
        <w:ind w:right="-512"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2、质量保证</w:t>
      </w:r>
    </w:p>
    <w:p w14:paraId="585DD213">
      <w:pPr>
        <w:widowControl/>
        <w:adjustRightInd/>
        <w:spacing w:after="0" w:line="360" w:lineRule="auto"/>
        <w:ind w:firstLine="480" w:firstLineChars="200"/>
        <w:jc w:val="left"/>
        <w:rPr>
          <w:rFonts w:hint="eastAsia" w:ascii="宋体" w:hAnsi="宋体" w:cs="??"/>
          <w:color w:val="000000" w:themeColor="text1"/>
          <w:kern w:val="0"/>
          <w:sz w:val="24"/>
          <w14:textFill>
            <w14:solidFill>
              <w14:schemeClr w14:val="tx1"/>
            </w14:solidFill>
          </w14:textFill>
        </w:rPr>
      </w:pPr>
      <w:r>
        <w:rPr>
          <w:rFonts w:hint="eastAsia" w:ascii="宋体" w:hAnsi="宋体" w:cs="??"/>
          <w:color w:val="000000" w:themeColor="text1"/>
          <w:kern w:val="0"/>
          <w:sz w:val="24"/>
          <w14:textFill>
            <w14:solidFill>
              <w14:schemeClr w14:val="tx1"/>
            </w14:solidFill>
          </w14:textFill>
        </w:rPr>
        <w:t>1)投标人须保证所提供产品符合国家有关规定。投标人须保证所提供的软硬件产品为全新设备且具有合法的版权或使用权，本项目采购的产品，如在本项目范围内使用过程中出现版权或使用权纠纷，应由投标人负责，采购人不承担责任。</w:t>
      </w:r>
    </w:p>
    <w:p w14:paraId="22510549">
      <w:pPr>
        <w:widowControl/>
        <w:adjustRightInd/>
        <w:spacing w:after="0" w:line="360" w:lineRule="auto"/>
        <w:ind w:firstLine="480" w:firstLineChars="200"/>
        <w:jc w:val="left"/>
        <w:rPr>
          <w:rFonts w:hint="eastAsia" w:ascii="宋体" w:hAnsi="宋体" w:cs="??"/>
          <w:color w:val="000000" w:themeColor="text1"/>
          <w:kern w:val="0"/>
          <w:sz w:val="24"/>
          <w14:textFill>
            <w14:solidFill>
              <w14:schemeClr w14:val="tx1"/>
            </w14:solidFill>
          </w14:textFill>
        </w:rPr>
      </w:pPr>
      <w:r>
        <w:rPr>
          <w:rFonts w:hint="eastAsia" w:ascii="宋体" w:hAnsi="宋体" w:cs="??"/>
          <w:color w:val="000000" w:themeColor="text1"/>
          <w:kern w:val="0"/>
          <w:sz w:val="24"/>
          <w14:textFill>
            <w14:solidFill>
              <w14:schemeClr w14:val="tx1"/>
            </w14:solidFill>
          </w14:textFill>
        </w:rPr>
        <w:t>2)投标人必须保证解决项目所涉及的技术问题，如因技术原因无法满足采购人需求，由此产生的风险由投标人承担。</w:t>
      </w:r>
    </w:p>
    <w:p w14:paraId="194487F4">
      <w:pPr>
        <w:widowControl/>
        <w:adjustRightInd/>
        <w:spacing w:after="0" w:line="360" w:lineRule="auto"/>
        <w:ind w:firstLine="480" w:firstLineChars="200"/>
        <w:jc w:val="left"/>
        <w:rPr>
          <w:rFonts w:hint="eastAsia" w:ascii="宋体" w:hAnsi="宋体" w:cs="??"/>
          <w:color w:val="000000" w:themeColor="text1"/>
          <w:kern w:val="0"/>
          <w:sz w:val="24"/>
          <w14:textFill>
            <w14:solidFill>
              <w14:schemeClr w14:val="tx1"/>
            </w14:solidFill>
          </w14:textFill>
        </w:rPr>
      </w:pPr>
      <w:r>
        <w:rPr>
          <w:rFonts w:hint="eastAsia" w:ascii="宋体" w:hAnsi="宋体" w:cs="??"/>
          <w:color w:val="000000" w:themeColor="text1"/>
          <w:kern w:val="0"/>
          <w:sz w:val="24"/>
          <w14:textFill>
            <w14:solidFill>
              <w14:schemeClr w14:val="tx1"/>
            </w14:solidFill>
          </w14:textFill>
        </w:rPr>
        <w:t>3)投标人在质保期内，如遇软件产品升级、改版，应免费提供更新、升级服务。</w:t>
      </w:r>
    </w:p>
    <w:p w14:paraId="75206B96">
      <w:pPr>
        <w:widowControl/>
        <w:adjustRightInd/>
        <w:spacing w:after="0" w:line="360" w:lineRule="auto"/>
        <w:ind w:firstLine="480" w:firstLineChars="200"/>
        <w:jc w:val="left"/>
        <w:rPr>
          <w:rFonts w:hint="eastAsia" w:ascii="宋体" w:hAnsi="宋体" w:cs="??"/>
          <w:color w:val="000000" w:themeColor="text1"/>
          <w:kern w:val="0"/>
          <w:sz w:val="24"/>
          <w14:textFill>
            <w14:solidFill>
              <w14:schemeClr w14:val="tx1"/>
            </w14:solidFill>
          </w14:textFill>
        </w:rPr>
      </w:pPr>
      <w:r>
        <w:rPr>
          <w:rFonts w:hint="eastAsia" w:ascii="宋体" w:hAnsi="宋体" w:cs="??"/>
          <w:color w:val="000000" w:themeColor="text1"/>
          <w:kern w:val="0"/>
          <w:sz w:val="24"/>
          <w14:textFill>
            <w14:solidFill>
              <w14:schemeClr w14:val="tx1"/>
            </w14:solidFill>
          </w14:textFill>
        </w:rPr>
        <w:t>4)特别提示1：中标人有义务保证采购人系统的完整性，如项目实施过程中因缺少设备、配件或服务导致采购人系统无法正常运行，中标人须承诺免费提供。</w:t>
      </w:r>
    </w:p>
    <w:p w14:paraId="77CC526C">
      <w:pPr>
        <w:widowControl/>
        <w:adjustRightInd/>
        <w:spacing w:after="0" w:line="360" w:lineRule="auto"/>
        <w:ind w:firstLine="480" w:firstLineChars="200"/>
        <w:jc w:val="left"/>
        <w:rPr>
          <w:rFonts w:hint="eastAsia" w:ascii="宋体" w:hAnsi="宋体" w:cs="??"/>
          <w:color w:val="000000" w:themeColor="text1"/>
          <w:kern w:val="0"/>
          <w:sz w:val="24"/>
          <w14:textFill>
            <w14:solidFill>
              <w14:schemeClr w14:val="tx1"/>
            </w14:solidFill>
          </w14:textFill>
        </w:rPr>
      </w:pPr>
      <w:r>
        <w:rPr>
          <w:rFonts w:hint="eastAsia" w:ascii="宋体" w:hAnsi="宋体" w:cs="??"/>
          <w:color w:val="000000" w:themeColor="text1"/>
          <w:kern w:val="0"/>
          <w:sz w:val="24"/>
          <w14:textFill>
            <w14:solidFill>
              <w14:schemeClr w14:val="tx1"/>
            </w14:solidFill>
          </w14:textFill>
        </w:rPr>
        <w:t>5)特别提示2：采购人需求在试运行期内，仍有可能不断完善，投标人须承诺在采购需求或政策法规范围内，随着采购人需求的变动随时作出响应。正式验收通过后，若有需求变动，在免费维护期内，投标人须承诺在采购需求和政策法规范围内，仍应免费按采购人需求对整个系统做出相应修改，以满足采购人的需求。版权归采购人所有。</w:t>
      </w:r>
    </w:p>
    <w:bookmarkEnd w:id="43"/>
    <w:p w14:paraId="74830007">
      <w:pPr>
        <w:adjustRightInd/>
        <w:spacing w:after="0" w:line="360" w:lineRule="auto"/>
        <w:outlineLvl w:val="1"/>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十</w:t>
      </w:r>
      <w:r>
        <w:rPr>
          <w:rFonts w:hint="eastAsia" w:ascii="宋体" w:hAnsi="宋体"/>
          <w:b/>
          <w:bCs/>
          <w:color w:val="000000" w:themeColor="text1"/>
          <w:sz w:val="24"/>
          <w14:textFill>
            <w14:solidFill>
              <w14:schemeClr w14:val="tx1"/>
            </w14:solidFill>
          </w14:textFill>
        </w:rPr>
        <w:t>、验收</w:t>
      </w:r>
    </w:p>
    <w:p w14:paraId="60A5040D">
      <w:pPr>
        <w:tabs>
          <w:tab w:val="left" w:pos="0"/>
        </w:tabs>
        <w:spacing w:line="360" w:lineRule="auto"/>
        <w:ind w:firstLine="480" w:firstLineChars="200"/>
        <w:rPr>
          <w:rFonts w:hint="eastAsia" w:ascii="宋体" w:hAnsi="宋体" w:cs="Helvetica"/>
          <w:color w:val="000000" w:themeColor="text1"/>
          <w:kern w:val="0"/>
          <w:sz w:val="24"/>
          <w14:textFill>
            <w14:solidFill>
              <w14:schemeClr w14:val="tx1"/>
            </w14:solidFill>
          </w14:textFill>
        </w:rPr>
      </w:pPr>
      <w:r>
        <w:rPr>
          <w:rFonts w:hint="eastAsia" w:ascii="宋体" w:hAnsi="宋体" w:cs="Helvetica"/>
          <w:color w:val="000000" w:themeColor="text1"/>
          <w:kern w:val="0"/>
          <w:sz w:val="24"/>
          <w14:textFill>
            <w14:solidFill>
              <w14:schemeClr w14:val="tx1"/>
            </w14:solidFill>
          </w14:textFill>
        </w:rPr>
        <w:t>1、验收标准</w:t>
      </w:r>
    </w:p>
    <w:p w14:paraId="35995C23">
      <w:pPr>
        <w:tabs>
          <w:tab w:val="left" w:pos="0"/>
        </w:tabs>
        <w:spacing w:line="360" w:lineRule="auto"/>
        <w:ind w:left="420" w:leftChars="200" w:firstLine="480" w:firstLineChars="200"/>
        <w:rPr>
          <w:rFonts w:hint="eastAsia" w:ascii="宋体" w:hAnsi="宋体" w:cs="Helvetica"/>
          <w:color w:val="000000" w:themeColor="text1"/>
          <w:kern w:val="0"/>
          <w:sz w:val="24"/>
          <w14:textFill>
            <w14:solidFill>
              <w14:schemeClr w14:val="tx1"/>
            </w14:solidFill>
          </w14:textFill>
        </w:rPr>
      </w:pPr>
      <w:r>
        <w:rPr>
          <w:rFonts w:hint="eastAsia" w:ascii="宋体" w:hAnsi="宋体" w:cs="Helvetica"/>
          <w:color w:val="000000" w:themeColor="text1"/>
          <w:kern w:val="0"/>
          <w:sz w:val="24"/>
          <w14:textFill>
            <w14:solidFill>
              <w14:schemeClr w14:val="tx1"/>
            </w14:solidFill>
          </w14:textFill>
        </w:rPr>
        <w:t>（1）供应商完成采购文件要求的全部服务，内容、数量达到采购文件要求；</w:t>
      </w:r>
    </w:p>
    <w:p w14:paraId="57707664">
      <w:pPr>
        <w:tabs>
          <w:tab w:val="left" w:pos="0"/>
        </w:tabs>
        <w:spacing w:after="0" w:line="360" w:lineRule="auto"/>
        <w:ind w:left="420" w:leftChars="200"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Helvetica"/>
          <w:color w:val="000000" w:themeColor="text1"/>
          <w:kern w:val="0"/>
          <w:sz w:val="24"/>
          <w14:textFill>
            <w14:solidFill>
              <w14:schemeClr w14:val="tx1"/>
            </w14:solidFill>
          </w14:textFill>
        </w:rPr>
        <w:t>（2）</w:t>
      </w:r>
      <w:r>
        <w:rPr>
          <w:rFonts w:hint="eastAsia" w:ascii="宋体" w:hAnsi="宋体" w:cs="仿宋"/>
          <w:color w:val="000000" w:themeColor="text1"/>
          <w:sz w:val="24"/>
          <w14:textFill>
            <w14:solidFill>
              <w14:schemeClr w14:val="tx1"/>
            </w14:solidFill>
          </w14:textFill>
        </w:rPr>
        <w:t>在最终验收之前，应用系统要求通过由采购人组织的测评；</w:t>
      </w:r>
    </w:p>
    <w:p w14:paraId="107AC5B4">
      <w:pPr>
        <w:tabs>
          <w:tab w:val="left" w:pos="0"/>
        </w:tabs>
        <w:spacing w:after="0" w:line="360" w:lineRule="auto"/>
        <w:ind w:left="420" w:leftChars="200" w:firstLine="480" w:firstLineChars="200"/>
        <w:rPr>
          <w:rFonts w:hint="eastAsia" w:ascii="宋体" w:hAnsi="宋体" w:cs="Helvetica"/>
          <w:color w:val="000000" w:themeColor="text1"/>
          <w:kern w:val="0"/>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（3）项目最终验收时，中标人将所有项目文档完整移交采购人。</w:t>
      </w:r>
    </w:p>
    <w:p w14:paraId="50FF4908">
      <w:pPr>
        <w:tabs>
          <w:tab w:val="left" w:pos="0"/>
        </w:tabs>
        <w:spacing w:line="360" w:lineRule="auto"/>
        <w:ind w:firstLine="480" w:firstLineChars="200"/>
        <w:rPr>
          <w:rFonts w:hint="eastAsia" w:ascii="宋体" w:hAnsi="宋体" w:cs="Helvetica"/>
          <w:color w:val="000000" w:themeColor="text1"/>
          <w:kern w:val="0"/>
          <w:sz w:val="24"/>
          <w14:textFill>
            <w14:solidFill>
              <w14:schemeClr w14:val="tx1"/>
            </w14:solidFill>
          </w14:textFill>
        </w:rPr>
      </w:pPr>
      <w:r>
        <w:rPr>
          <w:rFonts w:hint="eastAsia" w:ascii="宋体" w:hAnsi="宋体" w:cs="Helvetica"/>
          <w:color w:val="000000" w:themeColor="text1"/>
          <w:kern w:val="0"/>
          <w:sz w:val="24"/>
          <w14:textFill>
            <w14:solidFill>
              <w14:schemeClr w14:val="tx1"/>
            </w14:solidFill>
          </w14:textFill>
        </w:rPr>
        <w:t>2、验收方法：验收小组验收。</w:t>
      </w:r>
    </w:p>
    <w:p w14:paraId="6CA18C0C">
      <w:pPr>
        <w:tabs>
          <w:tab w:val="left" w:pos="0"/>
        </w:tabs>
        <w:spacing w:line="360" w:lineRule="auto"/>
        <w:ind w:firstLine="480" w:firstLineChars="200"/>
        <w:rPr>
          <w:rFonts w:hint="eastAsia" w:ascii="宋体" w:hAnsi="宋体" w:cs="Helvetica"/>
          <w:color w:val="000000" w:themeColor="text1"/>
          <w:kern w:val="0"/>
          <w:sz w:val="24"/>
          <w14:textFill>
            <w14:solidFill>
              <w14:schemeClr w14:val="tx1"/>
            </w14:solidFill>
          </w14:textFill>
        </w:rPr>
      </w:pPr>
      <w:r>
        <w:rPr>
          <w:rFonts w:hint="eastAsia" w:ascii="宋体" w:hAnsi="宋体" w:cs="Helvetica"/>
          <w:color w:val="000000" w:themeColor="text1"/>
          <w:kern w:val="0"/>
          <w:sz w:val="24"/>
          <w14:textFill>
            <w14:solidFill>
              <w14:schemeClr w14:val="tx1"/>
            </w14:solidFill>
          </w14:textFill>
        </w:rPr>
        <w:t>3、验收小组组建方式：项目验收负责人组织验收小组，验收小组由相关专家和用户代表按相关规定组成。验收小组负责实施具体的验收活动。采购人可以邀请其他单位的相关专业人员参加验收小组。验收小组推选一名组长，主持验收小组的工作。</w:t>
      </w:r>
    </w:p>
    <w:p w14:paraId="0C86A7E4">
      <w:pPr>
        <w:tabs>
          <w:tab w:val="left" w:pos="0"/>
        </w:tabs>
        <w:spacing w:line="360" w:lineRule="auto"/>
        <w:ind w:firstLine="480" w:firstLineChars="200"/>
        <w:rPr>
          <w:rFonts w:hint="eastAsia" w:ascii="宋体" w:hAnsi="宋体" w:cs="Helvetica"/>
          <w:color w:val="000000" w:themeColor="text1"/>
          <w:kern w:val="0"/>
          <w:sz w:val="24"/>
          <w14:textFill>
            <w14:solidFill>
              <w14:schemeClr w14:val="tx1"/>
            </w14:solidFill>
          </w14:textFill>
        </w:rPr>
      </w:pPr>
      <w:r>
        <w:rPr>
          <w:rFonts w:hint="eastAsia" w:ascii="宋体" w:hAnsi="宋体" w:cs="Helvetica"/>
          <w:color w:val="000000" w:themeColor="text1"/>
          <w:kern w:val="0"/>
          <w:sz w:val="24"/>
          <w14:textFill>
            <w14:solidFill>
              <w14:schemeClr w14:val="tx1"/>
            </w14:solidFill>
          </w14:textFill>
        </w:rPr>
        <w:t>4、验收流程：</w:t>
      </w:r>
    </w:p>
    <w:p w14:paraId="24E38F4D">
      <w:pPr>
        <w:tabs>
          <w:tab w:val="left" w:pos="0"/>
        </w:tabs>
        <w:spacing w:line="360" w:lineRule="auto"/>
        <w:ind w:firstLine="720" w:firstLineChars="300"/>
        <w:rPr>
          <w:rFonts w:hint="eastAsia" w:ascii="宋体" w:hAnsi="宋体" w:cs="Helvetica"/>
          <w:color w:val="000000" w:themeColor="text1"/>
          <w:kern w:val="0"/>
          <w:sz w:val="24"/>
          <w14:textFill>
            <w14:solidFill>
              <w14:schemeClr w14:val="tx1"/>
            </w14:solidFill>
          </w14:textFill>
        </w:rPr>
      </w:pPr>
      <w:r>
        <w:rPr>
          <w:rFonts w:hint="eastAsia" w:ascii="宋体" w:hAnsi="宋体" w:cs="Helvetica"/>
          <w:color w:val="000000" w:themeColor="text1"/>
          <w:kern w:val="0"/>
          <w:sz w:val="24"/>
          <w14:textFill>
            <w14:solidFill>
              <w14:schemeClr w14:val="tx1"/>
            </w14:solidFill>
          </w14:textFill>
        </w:rPr>
        <w:t>（1）项目验收负责人根据验收方案组织验收小组现场验收，并准备验收材料并通知各验收参与方在指定时间指定地点联合验收，包括采购人、供应商、验收小组、其他验收参与方等。</w:t>
      </w:r>
    </w:p>
    <w:p w14:paraId="48FD3CA9">
      <w:pPr>
        <w:tabs>
          <w:tab w:val="left" w:pos="0"/>
        </w:tabs>
        <w:spacing w:line="360" w:lineRule="auto"/>
        <w:ind w:firstLine="480" w:firstLineChars="200"/>
        <w:rPr>
          <w:rFonts w:hint="eastAsia" w:ascii="宋体" w:hAnsi="宋体" w:cs="Helvetica"/>
          <w:color w:val="000000" w:themeColor="text1"/>
          <w:kern w:val="0"/>
          <w:sz w:val="24"/>
          <w14:textFill>
            <w14:solidFill>
              <w14:schemeClr w14:val="tx1"/>
            </w14:solidFill>
          </w14:textFill>
        </w:rPr>
      </w:pPr>
      <w:r>
        <w:rPr>
          <w:rFonts w:hint="eastAsia" w:ascii="宋体" w:hAnsi="宋体" w:cs="Helvetica"/>
          <w:color w:val="000000" w:themeColor="text1"/>
          <w:kern w:val="0"/>
          <w:sz w:val="24"/>
          <w14:textFill>
            <w14:solidFill>
              <w14:schemeClr w14:val="tx1"/>
            </w14:solidFill>
          </w14:textFill>
        </w:rPr>
        <w:t>（2）验收小组应当按照验收方案独立开展验收，对供应商提供的服务按照采购文件、投标文件、政府采购合同进行核对、验收，并做好验收记录。在验收过程中，验收小组成员不得擅自公开验收信息。验收小组可以对验收方案进行必要的修改。验收小组对验收方案作出实质性修改的，应当报经采购人同意。</w:t>
      </w:r>
    </w:p>
    <w:p w14:paraId="360D085F">
      <w:pPr>
        <w:tabs>
          <w:tab w:val="left" w:pos="0"/>
        </w:tabs>
        <w:spacing w:line="360" w:lineRule="auto"/>
        <w:ind w:firstLine="480" w:firstLineChars="200"/>
        <w:rPr>
          <w:rFonts w:hint="eastAsia" w:ascii="宋体" w:hAnsi="宋体" w:cs="Helvetica"/>
          <w:color w:val="000000" w:themeColor="text1"/>
          <w:kern w:val="0"/>
          <w:sz w:val="24"/>
          <w14:textFill>
            <w14:solidFill>
              <w14:schemeClr w14:val="tx1"/>
            </w14:solidFill>
          </w14:textFill>
        </w:rPr>
      </w:pPr>
      <w:r>
        <w:rPr>
          <w:rFonts w:hint="eastAsia" w:ascii="宋体" w:hAnsi="宋体" w:cs="Helvetica"/>
          <w:color w:val="000000" w:themeColor="text1"/>
          <w:kern w:val="0"/>
          <w:sz w:val="24"/>
          <w14:textFill>
            <w14:solidFill>
              <w14:schemeClr w14:val="tx1"/>
            </w14:solidFill>
          </w14:textFill>
        </w:rPr>
        <w:t>（3）供应商配合验收工作，并就验收实施过程中的疑问进行解答和澄清。项目验收过程中，供应商不认可验收意见的，按照合同约定的方式解决，合同未作约定的，按照《中华人民共和国民法典》等相关规定处理。</w:t>
      </w:r>
    </w:p>
    <w:p w14:paraId="2D06EA59">
      <w:pPr>
        <w:tabs>
          <w:tab w:val="left" w:pos="0"/>
        </w:tabs>
        <w:spacing w:line="360" w:lineRule="auto"/>
        <w:ind w:firstLine="480" w:firstLineChars="200"/>
        <w:rPr>
          <w:rFonts w:hint="eastAsia" w:ascii="宋体" w:hAnsi="宋体" w:cs="Helvetica"/>
          <w:color w:val="000000" w:themeColor="text1"/>
          <w:kern w:val="0"/>
          <w:sz w:val="24"/>
          <w14:textFill>
            <w14:solidFill>
              <w14:schemeClr w14:val="tx1"/>
            </w14:solidFill>
          </w14:textFill>
        </w:rPr>
      </w:pPr>
      <w:r>
        <w:rPr>
          <w:rFonts w:hint="eastAsia" w:ascii="宋体" w:hAnsi="宋体" w:cs="Helvetica"/>
          <w:color w:val="000000" w:themeColor="text1"/>
          <w:kern w:val="0"/>
          <w:sz w:val="24"/>
          <w14:textFill>
            <w14:solidFill>
              <w14:schemeClr w14:val="tx1"/>
            </w14:solidFill>
          </w14:textFill>
        </w:rPr>
        <w:t>（4）出具验收报告。验收结束后，验收小组应当出具验收报告，报告采购人。验收报告应当根据验收方案制作，以书面形式作出结论性意见，并经验收小组全体成员签字。验收小组成员对验收报告载明的结论有异议的，应当在验收报告上签署不同意并说明理由，否则视为同意验收结论。</w:t>
      </w:r>
    </w:p>
    <w:p w14:paraId="7D5916E5">
      <w:pPr>
        <w:tabs>
          <w:tab w:val="left" w:pos="0"/>
        </w:tabs>
        <w:spacing w:line="360" w:lineRule="auto"/>
        <w:ind w:firstLine="480" w:firstLineChars="200"/>
        <w:rPr>
          <w:rFonts w:hint="eastAsia" w:ascii="宋体" w:hAnsi="宋体" w:cs="Helvetica"/>
          <w:color w:val="000000" w:themeColor="text1"/>
          <w:kern w:val="0"/>
          <w:sz w:val="24"/>
          <w14:textFill>
            <w14:solidFill>
              <w14:schemeClr w14:val="tx1"/>
            </w14:solidFill>
          </w14:textFill>
        </w:rPr>
      </w:pPr>
      <w:r>
        <w:rPr>
          <w:rFonts w:hint="eastAsia" w:ascii="宋体" w:hAnsi="宋体" w:cs="Helvetica"/>
          <w:color w:val="000000" w:themeColor="text1"/>
          <w:kern w:val="0"/>
          <w:sz w:val="24"/>
          <w14:textFill>
            <w14:solidFill>
              <w14:schemeClr w14:val="tx1"/>
            </w14:solidFill>
          </w14:textFill>
        </w:rPr>
        <w:t>（5）验收不合格的，采购人应责令供应商采取补救措施，向供应商发出整改通知书，并依法及时处理。整改结束后，由供应商通知采购人或其委托的验收组织机构重新验收。</w:t>
      </w:r>
    </w:p>
    <w:p w14:paraId="5DD042BB">
      <w:pPr>
        <w:tabs>
          <w:tab w:val="left" w:pos="0"/>
        </w:tabs>
        <w:spacing w:line="360" w:lineRule="auto"/>
        <w:ind w:firstLine="480" w:firstLineChars="200"/>
        <w:rPr>
          <w:rFonts w:hint="eastAsia" w:ascii="宋体" w:hAnsi="宋体" w:cs="Helvetica"/>
          <w:color w:val="000000" w:themeColor="text1"/>
          <w:kern w:val="0"/>
          <w:sz w:val="24"/>
          <w14:textFill>
            <w14:solidFill>
              <w14:schemeClr w14:val="tx1"/>
            </w14:solidFill>
          </w14:textFill>
        </w:rPr>
      </w:pPr>
      <w:r>
        <w:rPr>
          <w:rFonts w:hint="eastAsia" w:ascii="宋体" w:hAnsi="宋体" w:cs="Helvetica"/>
          <w:color w:val="000000" w:themeColor="text1"/>
          <w:kern w:val="0"/>
          <w:sz w:val="24"/>
          <w14:textFill>
            <w14:solidFill>
              <w14:schemeClr w14:val="tx1"/>
            </w14:solidFill>
          </w14:textFill>
        </w:rPr>
        <w:t>（6）交付标准：完成项目立项批复、建设方案、合同要求的全部建设内容，且符合项目的建设目标，通过采购人组织的项目初验；项目的功能、性能等指标达到项目设计的要求，并取得等保、信创等测评报告；获得一体化数字资源系统自动生成的“试运行报告”。</w:t>
      </w:r>
    </w:p>
    <w:p w14:paraId="199CDD5F">
      <w:pPr>
        <w:adjustRightInd/>
        <w:spacing w:after="0" w:line="360" w:lineRule="auto"/>
        <w:outlineLvl w:val="1"/>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十</w:t>
      </w:r>
      <w:r>
        <w:rPr>
          <w:rFonts w:hint="eastAsia" w:ascii="宋体" w:hAnsi="宋体"/>
          <w:b/>
          <w:bCs/>
          <w:color w:val="000000" w:themeColor="text1"/>
          <w:sz w:val="24"/>
          <w:lang w:val="en-US" w:eastAsia="zh-CN"/>
          <w14:textFill>
            <w14:solidFill>
              <w14:schemeClr w14:val="tx1"/>
            </w14:solidFill>
          </w14:textFill>
        </w:rPr>
        <w:t>一</w:t>
      </w:r>
      <w:r>
        <w:rPr>
          <w:rFonts w:hint="eastAsia" w:ascii="宋体" w:hAnsi="宋体"/>
          <w:b/>
          <w:bCs/>
          <w:color w:val="000000" w:themeColor="text1"/>
          <w:sz w:val="24"/>
          <w14:textFill>
            <w14:solidFill>
              <w14:schemeClr w14:val="tx1"/>
            </w14:solidFill>
          </w14:textFill>
        </w:rPr>
        <w:t>、服务标准</w:t>
      </w:r>
    </w:p>
    <w:p w14:paraId="31E54C65">
      <w:pPr>
        <w:tabs>
          <w:tab w:val="left" w:pos="0"/>
        </w:tabs>
        <w:spacing w:line="360" w:lineRule="auto"/>
        <w:ind w:firstLine="480" w:firstLineChars="200"/>
        <w:rPr>
          <w:rFonts w:hint="eastAsia" w:ascii="宋体" w:hAnsi="宋体" w:cs="Helvetica"/>
          <w:color w:val="000000" w:themeColor="text1"/>
          <w:kern w:val="0"/>
          <w:sz w:val="24"/>
          <w14:textFill>
            <w14:solidFill>
              <w14:schemeClr w14:val="tx1"/>
            </w14:solidFill>
          </w14:textFill>
        </w:rPr>
      </w:pPr>
      <w:r>
        <w:rPr>
          <w:rFonts w:hint="eastAsia" w:ascii="宋体" w:hAnsi="宋体" w:cs="Helvetica"/>
          <w:color w:val="000000" w:themeColor="text1"/>
          <w:kern w:val="0"/>
          <w:sz w:val="24"/>
          <w14:textFill>
            <w14:solidFill>
              <w14:schemeClr w14:val="tx1"/>
            </w14:solidFill>
          </w14:textFill>
        </w:rPr>
        <w:t>1．本次采购的服务所涉及的标准、规范、验收标准、规范，应符合国家有关条例及规范。如有新的标准应采纳新标准；若同时有几个标准（国际标准、国家标准、行业标准、企业标准等），则按最高层次的标准执行。</w:t>
      </w:r>
    </w:p>
    <w:p w14:paraId="44B09216">
      <w:pPr>
        <w:tabs>
          <w:tab w:val="left" w:pos="0"/>
        </w:tabs>
        <w:spacing w:line="360" w:lineRule="auto"/>
        <w:ind w:firstLine="480" w:firstLineChars="200"/>
        <w:rPr>
          <w:rFonts w:hint="eastAsia" w:ascii="宋体" w:hAnsi="宋体" w:cs="Helvetica"/>
          <w:color w:val="000000" w:themeColor="text1"/>
          <w:kern w:val="0"/>
          <w:sz w:val="24"/>
          <w14:textFill>
            <w14:solidFill>
              <w14:schemeClr w14:val="tx1"/>
            </w14:solidFill>
          </w14:textFill>
        </w:rPr>
      </w:pPr>
      <w:r>
        <w:rPr>
          <w:rFonts w:hint="eastAsia" w:ascii="宋体" w:hAnsi="宋体" w:cs="Helvetica"/>
          <w:color w:val="000000" w:themeColor="text1"/>
          <w:kern w:val="0"/>
          <w:sz w:val="24"/>
          <w14:textFill>
            <w14:solidFill>
              <w14:schemeClr w14:val="tx1"/>
            </w14:solidFill>
          </w14:textFill>
        </w:rPr>
        <w:t>2．中国国家标准及其它被普遍认可的标准，由采购人认可的其他国家的其他权威标准；原有规范若已被废弃，则以相应的新规范为准。</w:t>
      </w:r>
    </w:p>
    <w:p w14:paraId="44E13633">
      <w:pPr>
        <w:tabs>
          <w:tab w:val="left" w:pos="0"/>
        </w:tabs>
        <w:spacing w:line="360" w:lineRule="auto"/>
        <w:ind w:firstLine="480" w:firstLineChars="200"/>
        <w:rPr>
          <w:rFonts w:hint="eastAsia" w:ascii="宋体" w:hAnsi="宋体" w:cs="Helvetica"/>
          <w:color w:val="000000" w:themeColor="text1"/>
          <w:kern w:val="0"/>
          <w:sz w:val="24"/>
          <w14:textFill>
            <w14:solidFill>
              <w14:schemeClr w14:val="tx1"/>
            </w14:solidFill>
          </w14:textFill>
        </w:rPr>
      </w:pPr>
      <w:r>
        <w:rPr>
          <w:rFonts w:hint="eastAsia" w:ascii="宋体" w:hAnsi="宋体" w:cs="Helvetica"/>
          <w:color w:val="000000" w:themeColor="text1"/>
          <w:kern w:val="0"/>
          <w:sz w:val="24"/>
          <w14:textFill>
            <w14:solidFill>
              <w14:schemeClr w14:val="tx1"/>
            </w14:solidFill>
          </w14:textFill>
        </w:rPr>
        <w:t>3．供应商提供的服务必须满足招标文件中提出的相关要求。</w:t>
      </w:r>
    </w:p>
    <w:bookmarkEnd w:id="44"/>
    <w:p w14:paraId="0EE92510">
      <w:pPr>
        <w:snapToGrid w:val="0"/>
        <w:spacing w:line="360" w:lineRule="auto"/>
        <w:ind w:left="120" w:firstLine="482" w:firstLineChars="200"/>
        <w:rPr>
          <w:rFonts w:hint="eastAsia" w:ascii="宋体" w:hAnsi="宋体"/>
          <w:snapToGrid w:val="0"/>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br w:type="page"/>
      </w:r>
    </w:p>
    <w:p w14:paraId="213F84D2">
      <w:pPr>
        <w:spacing w:line="360" w:lineRule="auto"/>
        <w:ind w:left="120" w:firstLine="22" w:firstLineChars="6"/>
        <w:jc w:val="center"/>
        <w:outlineLvl w:val="0"/>
        <w:rPr>
          <w:rFonts w:hint="eastAsia"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 xml:space="preserve">第四部分   </w:t>
      </w:r>
      <w:bookmarkStart w:id="46" w:name="_Toc184310325"/>
      <w:bookmarkEnd w:id="46"/>
      <w:bookmarkStart w:id="47" w:name="_Toc184308054"/>
      <w:bookmarkEnd w:id="47"/>
      <w:bookmarkStart w:id="48" w:name="_Toc184308085"/>
      <w:bookmarkEnd w:id="48"/>
      <w:bookmarkStart w:id="49" w:name="_Toc184314438"/>
      <w:bookmarkEnd w:id="49"/>
      <w:bookmarkStart w:id="50" w:name="_Toc184313287"/>
      <w:bookmarkEnd w:id="50"/>
      <w:bookmarkStart w:id="51" w:name="_Toc184310341"/>
      <w:bookmarkEnd w:id="51"/>
      <w:bookmarkStart w:id="52" w:name="_Toc184310319"/>
      <w:bookmarkEnd w:id="52"/>
      <w:bookmarkStart w:id="53" w:name="_Toc184313266"/>
      <w:bookmarkEnd w:id="53"/>
      <w:bookmarkStart w:id="54" w:name="_Toc184314416"/>
      <w:bookmarkEnd w:id="54"/>
      <w:bookmarkStart w:id="55" w:name="_Toc184308064"/>
      <w:bookmarkEnd w:id="55"/>
      <w:bookmarkStart w:id="56" w:name="_Toc184312071"/>
      <w:bookmarkEnd w:id="56"/>
      <w:bookmarkStart w:id="57" w:name="_Toc184314432"/>
      <w:bookmarkEnd w:id="57"/>
      <w:bookmarkStart w:id="58" w:name="_Toc184308090"/>
      <w:bookmarkEnd w:id="58"/>
      <w:bookmarkStart w:id="59" w:name="_Toc184308080"/>
      <w:bookmarkEnd w:id="59"/>
      <w:bookmarkStart w:id="60" w:name="_Toc184313303"/>
      <w:bookmarkEnd w:id="60"/>
      <w:bookmarkStart w:id="61" w:name="_Toc184310309"/>
      <w:bookmarkEnd w:id="61"/>
      <w:bookmarkStart w:id="62" w:name="_Toc184314456"/>
      <w:bookmarkEnd w:id="62"/>
      <w:bookmarkStart w:id="63" w:name="_Toc184313257"/>
      <w:bookmarkEnd w:id="63"/>
      <w:bookmarkStart w:id="64" w:name="_Toc184310336"/>
      <w:bookmarkEnd w:id="64"/>
      <w:bookmarkStart w:id="65" w:name="_Toc184313239"/>
      <w:bookmarkEnd w:id="65"/>
      <w:bookmarkStart w:id="66" w:name="_Toc184308042"/>
      <w:bookmarkEnd w:id="66"/>
      <w:bookmarkStart w:id="67" w:name="_Toc184308097"/>
      <w:bookmarkEnd w:id="67"/>
      <w:bookmarkStart w:id="68" w:name="_Toc184312118"/>
      <w:bookmarkEnd w:id="68"/>
      <w:bookmarkStart w:id="69" w:name="_Toc184314443"/>
      <w:bookmarkEnd w:id="69"/>
      <w:bookmarkStart w:id="70" w:name="_Toc184310322"/>
      <w:bookmarkEnd w:id="70"/>
      <w:bookmarkStart w:id="71" w:name="_Toc184314466"/>
      <w:bookmarkEnd w:id="71"/>
      <w:bookmarkStart w:id="72" w:name="_Toc184313309"/>
      <w:bookmarkEnd w:id="72"/>
      <w:bookmarkStart w:id="73" w:name="_Toc184313297"/>
      <w:bookmarkEnd w:id="73"/>
      <w:bookmarkStart w:id="74" w:name="_Toc184308058"/>
      <w:bookmarkEnd w:id="74"/>
      <w:bookmarkStart w:id="75" w:name="_Toc184310340"/>
      <w:bookmarkEnd w:id="75"/>
      <w:bookmarkStart w:id="76" w:name="_Toc184310303"/>
      <w:bookmarkEnd w:id="76"/>
      <w:bookmarkStart w:id="77" w:name="_Toc184308078"/>
      <w:bookmarkEnd w:id="77"/>
      <w:bookmarkStart w:id="78" w:name="_Toc184312068"/>
      <w:bookmarkEnd w:id="78"/>
      <w:bookmarkStart w:id="79" w:name="_Toc184310285"/>
      <w:bookmarkEnd w:id="79"/>
      <w:bookmarkStart w:id="80" w:name="_Toc184310312"/>
      <w:bookmarkEnd w:id="80"/>
      <w:bookmarkStart w:id="81" w:name="_Toc184312104"/>
      <w:bookmarkEnd w:id="81"/>
      <w:bookmarkStart w:id="82" w:name="_Toc184314445"/>
      <w:bookmarkEnd w:id="82"/>
      <w:bookmarkStart w:id="83" w:name="_Toc184314469"/>
      <w:bookmarkEnd w:id="83"/>
      <w:bookmarkStart w:id="84" w:name="_Toc184313288"/>
      <w:bookmarkEnd w:id="84"/>
      <w:bookmarkStart w:id="85" w:name="_Toc184313242"/>
      <w:bookmarkEnd w:id="85"/>
      <w:bookmarkStart w:id="86" w:name="_Toc184308036"/>
      <w:bookmarkEnd w:id="86"/>
      <w:bookmarkStart w:id="87" w:name="_Toc184310280"/>
      <w:bookmarkEnd w:id="87"/>
      <w:bookmarkStart w:id="88" w:name="_Toc184308048"/>
      <w:bookmarkEnd w:id="88"/>
      <w:bookmarkStart w:id="89" w:name="_Toc184314442"/>
      <w:bookmarkEnd w:id="89"/>
      <w:bookmarkStart w:id="90" w:name="_Toc184310282"/>
      <w:bookmarkEnd w:id="90"/>
      <w:bookmarkStart w:id="91" w:name="_Toc184313282"/>
      <w:bookmarkEnd w:id="91"/>
      <w:bookmarkStart w:id="92" w:name="_Toc184313267"/>
      <w:bookmarkEnd w:id="92"/>
      <w:bookmarkStart w:id="93" w:name="_Toc184312129"/>
      <w:bookmarkEnd w:id="93"/>
      <w:bookmarkStart w:id="94" w:name="_Toc184312126"/>
      <w:bookmarkEnd w:id="94"/>
      <w:bookmarkStart w:id="95" w:name="_Toc184310334"/>
      <w:bookmarkEnd w:id="95"/>
      <w:bookmarkStart w:id="96" w:name="_Toc184314427"/>
      <w:bookmarkEnd w:id="96"/>
      <w:bookmarkStart w:id="97" w:name="_Toc184312081"/>
      <w:bookmarkEnd w:id="97"/>
      <w:bookmarkStart w:id="98" w:name="_Toc184313296"/>
      <w:bookmarkEnd w:id="98"/>
      <w:bookmarkStart w:id="99" w:name="_Toc184314461"/>
      <w:bookmarkEnd w:id="99"/>
      <w:bookmarkStart w:id="100" w:name="_Toc184308092"/>
      <w:bookmarkEnd w:id="100"/>
      <w:bookmarkStart w:id="101" w:name="_Toc184313246"/>
      <w:bookmarkEnd w:id="101"/>
      <w:bookmarkStart w:id="102" w:name="_Toc184312074"/>
      <w:bookmarkEnd w:id="102"/>
      <w:bookmarkStart w:id="103" w:name="_Toc184310279"/>
      <w:bookmarkEnd w:id="103"/>
      <w:bookmarkStart w:id="104" w:name="_Toc184313271"/>
      <w:bookmarkEnd w:id="104"/>
      <w:bookmarkStart w:id="105" w:name="_Toc184308041"/>
      <w:bookmarkEnd w:id="105"/>
      <w:bookmarkStart w:id="106" w:name="_Toc184313307"/>
      <w:bookmarkEnd w:id="106"/>
      <w:bookmarkStart w:id="107" w:name="_Toc184312085"/>
      <w:bookmarkEnd w:id="107"/>
      <w:bookmarkStart w:id="108" w:name="_Toc184312100"/>
      <w:bookmarkEnd w:id="108"/>
      <w:bookmarkStart w:id="109" w:name="_Toc184313293"/>
      <w:bookmarkEnd w:id="109"/>
      <w:bookmarkStart w:id="110" w:name="_Toc184314446"/>
      <w:bookmarkEnd w:id="110"/>
      <w:bookmarkStart w:id="111" w:name="_Toc184314479"/>
      <w:bookmarkEnd w:id="111"/>
      <w:bookmarkStart w:id="112" w:name="_Toc184312102"/>
      <w:bookmarkEnd w:id="112"/>
      <w:bookmarkStart w:id="113" w:name="_Toc184310328"/>
      <w:bookmarkEnd w:id="113"/>
      <w:bookmarkStart w:id="114" w:name="_Toc184313301"/>
      <w:bookmarkEnd w:id="114"/>
      <w:bookmarkStart w:id="115" w:name="_Toc184312113"/>
      <w:bookmarkEnd w:id="115"/>
      <w:bookmarkStart w:id="116" w:name="_Toc184308071"/>
      <w:bookmarkEnd w:id="116"/>
      <w:bookmarkStart w:id="117" w:name="_Toc184312095"/>
      <w:bookmarkEnd w:id="117"/>
      <w:bookmarkStart w:id="118" w:name="_Toc184312067"/>
      <w:bookmarkEnd w:id="118"/>
      <w:bookmarkStart w:id="119" w:name="_Toc184308065"/>
      <w:bookmarkEnd w:id="119"/>
      <w:bookmarkStart w:id="120" w:name="_Toc184313300"/>
      <w:bookmarkEnd w:id="120"/>
      <w:bookmarkStart w:id="121" w:name="_Toc184313281"/>
      <w:bookmarkEnd w:id="121"/>
      <w:bookmarkStart w:id="122" w:name="_Toc184308051"/>
      <w:bookmarkEnd w:id="122"/>
      <w:bookmarkStart w:id="123" w:name="_Toc184313275"/>
      <w:bookmarkEnd w:id="123"/>
      <w:bookmarkStart w:id="124" w:name="_Toc184312084"/>
      <w:bookmarkEnd w:id="124"/>
      <w:bookmarkStart w:id="125" w:name="_Toc184314410"/>
      <w:bookmarkEnd w:id="125"/>
      <w:bookmarkStart w:id="126" w:name="_Toc184314413"/>
      <w:bookmarkEnd w:id="126"/>
      <w:bookmarkStart w:id="127" w:name="_Toc184310276"/>
      <w:bookmarkEnd w:id="127"/>
      <w:bookmarkStart w:id="128" w:name="_Toc184312116"/>
      <w:bookmarkEnd w:id="128"/>
      <w:bookmarkStart w:id="129" w:name="_Toc184312133"/>
      <w:bookmarkEnd w:id="129"/>
      <w:bookmarkStart w:id="130" w:name="_Toc184314415"/>
      <w:bookmarkEnd w:id="130"/>
      <w:bookmarkStart w:id="131" w:name="_Toc184314449"/>
      <w:bookmarkEnd w:id="131"/>
      <w:bookmarkStart w:id="132" w:name="_Toc184314455"/>
      <w:bookmarkEnd w:id="132"/>
      <w:bookmarkStart w:id="133" w:name="_Toc184312089"/>
      <w:bookmarkEnd w:id="133"/>
      <w:bookmarkStart w:id="134" w:name="_Toc184313304"/>
      <w:bookmarkEnd w:id="134"/>
      <w:bookmarkStart w:id="135" w:name="_Toc184312135"/>
      <w:bookmarkEnd w:id="135"/>
      <w:bookmarkStart w:id="136" w:name="_Toc184308063"/>
      <w:bookmarkEnd w:id="136"/>
      <w:bookmarkStart w:id="137" w:name="_Toc184310289"/>
      <w:bookmarkEnd w:id="137"/>
      <w:bookmarkStart w:id="138" w:name="_Toc184312099"/>
      <w:bookmarkEnd w:id="138"/>
      <w:bookmarkStart w:id="139" w:name="_Toc184314471"/>
      <w:bookmarkEnd w:id="139"/>
      <w:bookmarkStart w:id="140" w:name="_Toc184312123"/>
      <w:bookmarkEnd w:id="140"/>
      <w:bookmarkStart w:id="141" w:name="_Toc184308047"/>
      <w:bookmarkEnd w:id="141"/>
      <w:bookmarkStart w:id="142" w:name="_Toc184310321"/>
      <w:bookmarkEnd w:id="142"/>
      <w:bookmarkStart w:id="143" w:name="_Toc184313254"/>
      <w:bookmarkEnd w:id="143"/>
      <w:bookmarkStart w:id="144" w:name="_Toc184310291"/>
      <w:bookmarkEnd w:id="144"/>
      <w:bookmarkStart w:id="145" w:name="_Toc184313298"/>
      <w:bookmarkEnd w:id="145"/>
      <w:bookmarkStart w:id="146" w:name="_Toc184313268"/>
      <w:bookmarkEnd w:id="146"/>
      <w:bookmarkStart w:id="147" w:name="_Toc184308068"/>
      <w:bookmarkEnd w:id="147"/>
      <w:bookmarkStart w:id="148" w:name="_Toc184308061"/>
      <w:bookmarkEnd w:id="148"/>
      <w:bookmarkStart w:id="149" w:name="_Toc184314459"/>
      <w:bookmarkEnd w:id="149"/>
      <w:bookmarkStart w:id="150" w:name="_Toc184313258"/>
      <w:bookmarkEnd w:id="150"/>
      <w:bookmarkStart w:id="151" w:name="_Toc184314419"/>
      <w:bookmarkEnd w:id="151"/>
      <w:bookmarkStart w:id="152" w:name="_Toc184308057"/>
      <w:bookmarkEnd w:id="152"/>
      <w:bookmarkStart w:id="153" w:name="_Toc184312139"/>
      <w:bookmarkEnd w:id="153"/>
      <w:bookmarkStart w:id="154" w:name="_Toc184314457"/>
      <w:bookmarkEnd w:id="154"/>
      <w:bookmarkStart w:id="155" w:name="_Toc184314467"/>
      <w:bookmarkEnd w:id="155"/>
      <w:bookmarkStart w:id="156" w:name="_Toc184313241"/>
      <w:bookmarkEnd w:id="156"/>
      <w:bookmarkStart w:id="157" w:name="_Toc184313238"/>
      <w:bookmarkEnd w:id="157"/>
      <w:bookmarkStart w:id="158" w:name="_Toc184313243"/>
      <w:bookmarkEnd w:id="158"/>
      <w:bookmarkStart w:id="159" w:name="_Toc184310284"/>
      <w:bookmarkEnd w:id="159"/>
      <w:bookmarkStart w:id="160" w:name="_Toc184313249"/>
      <w:bookmarkEnd w:id="160"/>
      <w:bookmarkStart w:id="161" w:name="_Toc184308070"/>
      <w:bookmarkEnd w:id="161"/>
      <w:bookmarkStart w:id="162" w:name="_Toc184308087"/>
      <w:bookmarkEnd w:id="162"/>
      <w:bookmarkStart w:id="163" w:name="_Toc184310299"/>
      <w:bookmarkEnd w:id="163"/>
      <w:bookmarkStart w:id="164" w:name="_Toc184313286"/>
      <w:bookmarkEnd w:id="164"/>
      <w:bookmarkStart w:id="165" w:name="_Toc184312109"/>
      <w:bookmarkEnd w:id="165"/>
      <w:bookmarkStart w:id="166" w:name="_Toc184312115"/>
      <w:bookmarkEnd w:id="166"/>
      <w:bookmarkStart w:id="167" w:name="_Toc184308100"/>
      <w:bookmarkEnd w:id="167"/>
      <w:bookmarkStart w:id="168" w:name="_Toc184313277"/>
      <w:bookmarkEnd w:id="168"/>
      <w:bookmarkStart w:id="169" w:name="_Toc184313263"/>
      <w:bookmarkEnd w:id="169"/>
      <w:bookmarkStart w:id="170" w:name="_Toc184310308"/>
      <w:bookmarkEnd w:id="170"/>
      <w:bookmarkStart w:id="171" w:name="_Toc184314412"/>
      <w:bookmarkEnd w:id="171"/>
      <w:bookmarkStart w:id="172" w:name="_Toc184308101"/>
      <w:bookmarkEnd w:id="172"/>
      <w:bookmarkStart w:id="173" w:name="_Toc184312117"/>
      <w:bookmarkEnd w:id="173"/>
      <w:bookmarkStart w:id="174" w:name="_Toc184308084"/>
      <w:bookmarkEnd w:id="174"/>
      <w:bookmarkStart w:id="175" w:name="_Toc184312092"/>
      <w:bookmarkEnd w:id="175"/>
      <w:bookmarkStart w:id="176" w:name="_Toc184312112"/>
      <w:bookmarkEnd w:id="176"/>
      <w:bookmarkStart w:id="177" w:name="_Toc184314435"/>
      <w:bookmarkEnd w:id="177"/>
      <w:bookmarkStart w:id="178" w:name="_Toc184310320"/>
      <w:bookmarkEnd w:id="178"/>
      <w:bookmarkStart w:id="179" w:name="_Toc184310293"/>
      <w:bookmarkEnd w:id="179"/>
      <w:bookmarkStart w:id="180" w:name="_Toc184313245"/>
      <w:bookmarkEnd w:id="180"/>
      <w:bookmarkStart w:id="181" w:name="_Toc184308095"/>
      <w:bookmarkEnd w:id="181"/>
      <w:bookmarkStart w:id="182" w:name="_Toc184312103"/>
      <w:bookmarkEnd w:id="182"/>
      <w:bookmarkStart w:id="183" w:name="_Toc184310342"/>
      <w:bookmarkEnd w:id="183"/>
      <w:bookmarkStart w:id="184" w:name="_Toc184312077"/>
      <w:bookmarkEnd w:id="184"/>
      <w:bookmarkStart w:id="185" w:name="_Toc184310286"/>
      <w:bookmarkEnd w:id="185"/>
      <w:bookmarkStart w:id="186" w:name="_Toc184310343"/>
      <w:bookmarkEnd w:id="186"/>
      <w:bookmarkStart w:id="187" w:name="_Toc184312075"/>
      <w:bookmarkEnd w:id="187"/>
      <w:bookmarkStart w:id="188" w:name="_Toc184312137"/>
      <w:bookmarkEnd w:id="188"/>
      <w:bookmarkStart w:id="189" w:name="_Toc184312106"/>
      <w:bookmarkEnd w:id="189"/>
      <w:bookmarkStart w:id="190" w:name="_Toc184312105"/>
      <w:bookmarkEnd w:id="190"/>
      <w:bookmarkStart w:id="191" w:name="_Toc184313290"/>
      <w:bookmarkEnd w:id="191"/>
      <w:bookmarkStart w:id="192" w:name="_Toc184310323"/>
      <w:bookmarkEnd w:id="192"/>
      <w:bookmarkStart w:id="193" w:name="_Toc184310329"/>
      <w:bookmarkEnd w:id="193"/>
      <w:bookmarkStart w:id="194" w:name="_Toc184313259"/>
      <w:bookmarkEnd w:id="194"/>
      <w:bookmarkStart w:id="195" w:name="_Toc184310339"/>
      <w:bookmarkEnd w:id="195"/>
      <w:bookmarkStart w:id="196" w:name="_Toc184310338"/>
      <w:bookmarkEnd w:id="196"/>
      <w:bookmarkStart w:id="197" w:name="_Toc184310316"/>
      <w:bookmarkEnd w:id="197"/>
      <w:bookmarkStart w:id="198" w:name="_Toc184310344"/>
      <w:bookmarkEnd w:id="198"/>
      <w:bookmarkStart w:id="199" w:name="_Toc184308038"/>
      <w:bookmarkEnd w:id="199"/>
      <w:bookmarkStart w:id="200" w:name="_Toc184312082"/>
      <w:bookmarkEnd w:id="200"/>
      <w:bookmarkStart w:id="201" w:name="_Toc184314460"/>
      <w:bookmarkEnd w:id="201"/>
      <w:bookmarkStart w:id="202" w:name="_Toc184312101"/>
      <w:bookmarkEnd w:id="202"/>
      <w:bookmarkStart w:id="203" w:name="_Toc184312111"/>
      <w:bookmarkEnd w:id="203"/>
      <w:bookmarkStart w:id="204" w:name="_Toc184314411"/>
      <w:bookmarkEnd w:id="204"/>
      <w:bookmarkStart w:id="205" w:name="_Toc184313294"/>
      <w:bookmarkEnd w:id="205"/>
      <w:bookmarkStart w:id="206" w:name="_Toc184308082"/>
      <w:bookmarkEnd w:id="206"/>
      <w:bookmarkStart w:id="207" w:name="_Toc184314422"/>
      <w:bookmarkEnd w:id="207"/>
      <w:bookmarkStart w:id="208" w:name="_Toc184312083"/>
      <w:bookmarkEnd w:id="208"/>
      <w:bookmarkStart w:id="209" w:name="_Toc184314452"/>
      <w:bookmarkEnd w:id="209"/>
      <w:bookmarkStart w:id="210" w:name="_Toc184314476"/>
      <w:bookmarkEnd w:id="210"/>
      <w:bookmarkStart w:id="211" w:name="_Toc184314423"/>
      <w:bookmarkEnd w:id="211"/>
      <w:bookmarkStart w:id="212" w:name="_Toc184312072"/>
      <w:bookmarkEnd w:id="212"/>
      <w:bookmarkStart w:id="213" w:name="_Toc184312070"/>
      <w:bookmarkEnd w:id="213"/>
      <w:bookmarkStart w:id="214" w:name="_Toc184310311"/>
      <w:bookmarkEnd w:id="214"/>
      <w:bookmarkStart w:id="215" w:name="_Toc184313292"/>
      <w:bookmarkEnd w:id="215"/>
      <w:bookmarkStart w:id="216" w:name="_Toc184310318"/>
      <w:bookmarkEnd w:id="216"/>
      <w:bookmarkStart w:id="217" w:name="_Toc184313272"/>
      <w:bookmarkEnd w:id="217"/>
      <w:bookmarkStart w:id="218" w:name="_Toc184310330"/>
      <w:bookmarkEnd w:id="218"/>
      <w:bookmarkStart w:id="219" w:name="_Toc184313289"/>
      <w:bookmarkEnd w:id="219"/>
      <w:bookmarkStart w:id="220" w:name="_Toc184312128"/>
      <w:bookmarkEnd w:id="220"/>
      <w:bookmarkStart w:id="221" w:name="_Toc184313270"/>
      <w:bookmarkEnd w:id="221"/>
      <w:bookmarkStart w:id="222" w:name="_Toc184310337"/>
      <w:bookmarkEnd w:id="222"/>
      <w:bookmarkStart w:id="223" w:name="_Toc184310273"/>
      <w:bookmarkEnd w:id="223"/>
      <w:bookmarkStart w:id="224" w:name="_Toc184314480"/>
      <w:bookmarkEnd w:id="224"/>
      <w:bookmarkStart w:id="225" w:name="_Toc184313280"/>
      <w:bookmarkEnd w:id="225"/>
      <w:bookmarkStart w:id="226" w:name="_Toc184314481"/>
      <w:bookmarkEnd w:id="226"/>
      <w:bookmarkStart w:id="227" w:name="_Toc184310292"/>
      <w:bookmarkEnd w:id="227"/>
      <w:bookmarkStart w:id="228" w:name="_Toc184308074"/>
      <w:bookmarkEnd w:id="228"/>
      <w:bookmarkStart w:id="229" w:name="_Toc184308083"/>
      <w:bookmarkEnd w:id="229"/>
      <w:bookmarkStart w:id="230" w:name="_Toc184308089"/>
      <w:bookmarkEnd w:id="230"/>
      <w:bookmarkStart w:id="231" w:name="_Toc184308037"/>
      <w:bookmarkEnd w:id="231"/>
      <w:bookmarkStart w:id="232" w:name="_Toc184314433"/>
      <w:bookmarkEnd w:id="232"/>
      <w:bookmarkStart w:id="233" w:name="_Toc184313269"/>
      <w:bookmarkEnd w:id="233"/>
      <w:bookmarkStart w:id="234" w:name="_Toc184312076"/>
      <w:bookmarkEnd w:id="234"/>
      <w:bookmarkStart w:id="235" w:name="_Toc184314454"/>
      <w:bookmarkEnd w:id="235"/>
      <w:bookmarkStart w:id="236" w:name="_Toc184310327"/>
      <w:bookmarkEnd w:id="236"/>
      <w:bookmarkStart w:id="237" w:name="_Toc184308108"/>
      <w:bookmarkEnd w:id="237"/>
      <w:bookmarkStart w:id="238" w:name="_Toc184308039"/>
      <w:bookmarkEnd w:id="238"/>
      <w:bookmarkStart w:id="239" w:name="_Toc184308107"/>
      <w:bookmarkEnd w:id="239"/>
      <w:bookmarkStart w:id="240" w:name="_Toc184308088"/>
      <w:bookmarkEnd w:id="240"/>
      <w:bookmarkStart w:id="241" w:name="_Toc184314448"/>
      <w:bookmarkEnd w:id="241"/>
      <w:bookmarkStart w:id="242" w:name="_Toc184313264"/>
      <w:bookmarkEnd w:id="242"/>
      <w:bookmarkStart w:id="243" w:name="_Toc184313276"/>
      <w:bookmarkEnd w:id="243"/>
      <w:bookmarkStart w:id="244" w:name="_Toc184314428"/>
      <w:bookmarkEnd w:id="244"/>
      <w:bookmarkStart w:id="245" w:name="_Toc184310275"/>
      <w:bookmarkEnd w:id="245"/>
      <w:bookmarkStart w:id="246" w:name="_Toc184314444"/>
      <w:bookmarkEnd w:id="246"/>
      <w:bookmarkStart w:id="247" w:name="_Toc184312086"/>
      <w:bookmarkEnd w:id="247"/>
      <w:bookmarkStart w:id="248" w:name="_Toc184314472"/>
      <w:bookmarkEnd w:id="248"/>
      <w:bookmarkStart w:id="249" w:name="_Toc184312122"/>
      <w:bookmarkEnd w:id="249"/>
      <w:bookmarkStart w:id="250" w:name="_Toc184313299"/>
      <w:bookmarkEnd w:id="250"/>
      <w:bookmarkStart w:id="251" w:name="_Toc184310295"/>
      <w:bookmarkEnd w:id="251"/>
      <w:bookmarkStart w:id="252" w:name="_Toc184314470"/>
      <w:bookmarkEnd w:id="252"/>
      <w:bookmarkStart w:id="253" w:name="_Toc184314473"/>
      <w:bookmarkEnd w:id="253"/>
      <w:bookmarkStart w:id="254" w:name="_Toc184314437"/>
      <w:bookmarkEnd w:id="254"/>
      <w:bookmarkStart w:id="255" w:name="_Toc184310304"/>
      <w:bookmarkEnd w:id="255"/>
      <w:bookmarkStart w:id="256" w:name="_Toc184314453"/>
      <w:bookmarkEnd w:id="256"/>
      <w:bookmarkStart w:id="257" w:name="_Toc184312136"/>
      <w:bookmarkEnd w:id="257"/>
      <w:bookmarkStart w:id="258" w:name="_Toc184313261"/>
      <w:bookmarkEnd w:id="258"/>
      <w:bookmarkStart w:id="259" w:name="_Toc184313250"/>
      <w:bookmarkEnd w:id="259"/>
      <w:bookmarkStart w:id="260" w:name="_Toc184312119"/>
      <w:bookmarkEnd w:id="260"/>
      <w:bookmarkStart w:id="261" w:name="_Toc184308094"/>
      <w:bookmarkEnd w:id="261"/>
      <w:bookmarkStart w:id="262" w:name="_Toc184314430"/>
      <w:bookmarkEnd w:id="262"/>
      <w:bookmarkStart w:id="263" w:name="_Toc184308075"/>
      <w:bookmarkEnd w:id="263"/>
      <w:bookmarkStart w:id="264" w:name="_Toc184308049"/>
      <w:bookmarkEnd w:id="264"/>
      <w:bookmarkStart w:id="265" w:name="_Toc184314426"/>
      <w:bookmarkEnd w:id="265"/>
      <w:bookmarkStart w:id="266" w:name="_Toc184313306"/>
      <w:bookmarkEnd w:id="266"/>
      <w:bookmarkStart w:id="267" w:name="_Toc184314425"/>
      <w:bookmarkEnd w:id="267"/>
      <w:bookmarkStart w:id="268" w:name="_Toc184314475"/>
      <w:bookmarkEnd w:id="268"/>
      <w:bookmarkStart w:id="269" w:name="_Toc184310313"/>
      <w:bookmarkEnd w:id="269"/>
      <w:bookmarkStart w:id="270" w:name="_Toc184313251"/>
      <w:bookmarkEnd w:id="270"/>
      <w:bookmarkStart w:id="271" w:name="_Toc184308066"/>
      <w:bookmarkEnd w:id="271"/>
      <w:bookmarkStart w:id="272" w:name="_Toc184310310"/>
      <w:bookmarkEnd w:id="272"/>
      <w:bookmarkStart w:id="273" w:name="_Toc184314421"/>
      <w:bookmarkEnd w:id="273"/>
      <w:bookmarkStart w:id="274" w:name="_Toc184314417"/>
      <w:bookmarkEnd w:id="274"/>
      <w:bookmarkStart w:id="275" w:name="_Toc184310324"/>
      <w:bookmarkEnd w:id="275"/>
      <w:bookmarkStart w:id="276" w:name="_Toc184310296"/>
      <w:bookmarkEnd w:id="276"/>
      <w:bookmarkStart w:id="277" w:name="_Toc184313279"/>
      <w:bookmarkEnd w:id="277"/>
      <w:bookmarkStart w:id="278" w:name="_Toc184310307"/>
      <w:bookmarkEnd w:id="278"/>
      <w:bookmarkStart w:id="279" w:name="_Toc184308103"/>
      <w:bookmarkEnd w:id="279"/>
      <w:bookmarkStart w:id="280" w:name="_Toc184308062"/>
      <w:bookmarkEnd w:id="280"/>
      <w:bookmarkStart w:id="281" w:name="_Toc184310272"/>
      <w:bookmarkEnd w:id="281"/>
      <w:bookmarkStart w:id="282" w:name="_Toc184312132"/>
      <w:bookmarkEnd w:id="282"/>
      <w:bookmarkStart w:id="283" w:name="_Toc184310290"/>
      <w:bookmarkEnd w:id="283"/>
      <w:bookmarkStart w:id="284" w:name="_Toc184308086"/>
      <w:bookmarkEnd w:id="284"/>
      <w:bookmarkStart w:id="285" w:name="_Toc184310298"/>
      <w:bookmarkEnd w:id="285"/>
      <w:bookmarkStart w:id="286" w:name="_Toc184314429"/>
      <w:bookmarkEnd w:id="286"/>
      <w:bookmarkStart w:id="287" w:name="_Toc184310288"/>
      <w:bookmarkEnd w:id="287"/>
      <w:bookmarkStart w:id="288" w:name="_Toc184310314"/>
      <w:bookmarkEnd w:id="288"/>
      <w:bookmarkStart w:id="289" w:name="_Toc184313244"/>
      <w:bookmarkEnd w:id="289"/>
      <w:bookmarkStart w:id="290" w:name="_Toc184313283"/>
      <w:bookmarkEnd w:id="290"/>
      <w:bookmarkStart w:id="291" w:name="_Toc184308098"/>
      <w:bookmarkEnd w:id="291"/>
      <w:bookmarkStart w:id="292" w:name="_Toc184308076"/>
      <w:bookmarkEnd w:id="292"/>
      <w:bookmarkStart w:id="293" w:name="_Toc184310333"/>
      <w:bookmarkEnd w:id="293"/>
      <w:bookmarkStart w:id="294" w:name="_Toc184308040"/>
      <w:bookmarkEnd w:id="294"/>
      <w:bookmarkStart w:id="295" w:name="_Toc184313256"/>
      <w:bookmarkEnd w:id="295"/>
      <w:bookmarkStart w:id="296" w:name="_Toc184314439"/>
      <w:bookmarkEnd w:id="296"/>
      <w:bookmarkStart w:id="297" w:name="_Toc184308052"/>
      <w:bookmarkEnd w:id="297"/>
      <w:bookmarkStart w:id="298" w:name="_Toc184313310"/>
      <w:bookmarkEnd w:id="298"/>
      <w:bookmarkStart w:id="299" w:name="_Toc184308102"/>
      <w:bookmarkEnd w:id="299"/>
      <w:bookmarkStart w:id="300" w:name="_Toc184308044"/>
      <w:bookmarkEnd w:id="300"/>
      <w:bookmarkStart w:id="301" w:name="_Toc184313248"/>
      <w:bookmarkEnd w:id="301"/>
      <w:bookmarkStart w:id="302" w:name="_Toc184308096"/>
      <w:bookmarkEnd w:id="302"/>
      <w:bookmarkStart w:id="303" w:name="_Toc184312120"/>
      <w:bookmarkEnd w:id="303"/>
      <w:bookmarkStart w:id="304" w:name="_Toc184312125"/>
      <w:bookmarkEnd w:id="304"/>
      <w:bookmarkStart w:id="305" w:name="_Toc184313291"/>
      <w:bookmarkEnd w:id="305"/>
      <w:bookmarkStart w:id="306" w:name="_Toc184314465"/>
      <w:bookmarkEnd w:id="306"/>
      <w:bookmarkStart w:id="307" w:name="_Toc184313260"/>
      <w:bookmarkEnd w:id="307"/>
      <w:bookmarkStart w:id="308" w:name="_Toc184308099"/>
      <w:bookmarkEnd w:id="308"/>
      <w:bookmarkStart w:id="309" w:name="_Toc184314458"/>
      <w:bookmarkEnd w:id="309"/>
      <w:bookmarkStart w:id="310" w:name="_Toc184310302"/>
      <w:bookmarkEnd w:id="310"/>
      <w:bookmarkStart w:id="311" w:name="_Toc184314440"/>
      <w:bookmarkEnd w:id="311"/>
      <w:bookmarkStart w:id="312" w:name="_Toc184313278"/>
      <w:bookmarkEnd w:id="312"/>
      <w:bookmarkStart w:id="313" w:name="_Toc184314462"/>
      <w:bookmarkEnd w:id="313"/>
      <w:bookmarkStart w:id="314" w:name="_Toc184310332"/>
      <w:bookmarkEnd w:id="314"/>
      <w:bookmarkStart w:id="315" w:name="_Toc184314424"/>
      <w:bookmarkEnd w:id="315"/>
      <w:bookmarkStart w:id="316" w:name="_Toc184310305"/>
      <w:bookmarkEnd w:id="316"/>
      <w:bookmarkStart w:id="317" w:name="_Toc184314418"/>
      <w:bookmarkEnd w:id="317"/>
      <w:bookmarkStart w:id="318" w:name="_Toc184313284"/>
      <w:bookmarkEnd w:id="318"/>
      <w:bookmarkStart w:id="319" w:name="_Toc184308046"/>
      <w:bookmarkEnd w:id="319"/>
      <w:bookmarkStart w:id="320" w:name="_Toc184314463"/>
      <w:bookmarkEnd w:id="320"/>
      <w:bookmarkStart w:id="321" w:name="_Toc184312090"/>
      <w:bookmarkEnd w:id="321"/>
      <w:bookmarkStart w:id="322" w:name="_Toc184313273"/>
      <w:bookmarkEnd w:id="322"/>
      <w:bookmarkStart w:id="323" w:name="_Toc184313262"/>
      <w:bookmarkEnd w:id="323"/>
      <w:bookmarkStart w:id="324" w:name="_Toc184313265"/>
      <w:bookmarkEnd w:id="324"/>
      <w:bookmarkStart w:id="325" w:name="_Toc184312088"/>
      <w:bookmarkEnd w:id="325"/>
      <w:bookmarkStart w:id="326" w:name="_Toc184310277"/>
      <w:bookmarkEnd w:id="326"/>
      <w:bookmarkStart w:id="327" w:name="_Toc184308106"/>
      <w:bookmarkEnd w:id="327"/>
      <w:bookmarkStart w:id="328" w:name="_Toc184312080"/>
      <w:bookmarkEnd w:id="328"/>
      <w:bookmarkStart w:id="329" w:name="_Toc184312073"/>
      <w:bookmarkEnd w:id="329"/>
      <w:bookmarkStart w:id="330" w:name="_Toc184314420"/>
      <w:bookmarkEnd w:id="330"/>
      <w:bookmarkStart w:id="331" w:name="_Toc184308072"/>
      <w:bookmarkEnd w:id="331"/>
      <w:bookmarkStart w:id="332" w:name="_Toc184314464"/>
      <w:bookmarkEnd w:id="332"/>
      <w:bookmarkStart w:id="333" w:name="_Toc184308091"/>
      <w:bookmarkEnd w:id="333"/>
      <w:bookmarkStart w:id="334" w:name="_Toc184314451"/>
      <w:bookmarkEnd w:id="334"/>
      <w:bookmarkStart w:id="335" w:name="_Toc184308053"/>
      <w:bookmarkEnd w:id="335"/>
      <w:bookmarkStart w:id="336" w:name="_Toc184310281"/>
      <w:bookmarkEnd w:id="336"/>
      <w:bookmarkStart w:id="337" w:name="_Toc184314414"/>
      <w:bookmarkEnd w:id="337"/>
      <w:bookmarkStart w:id="338" w:name="_Toc184314478"/>
      <w:bookmarkEnd w:id="338"/>
      <w:bookmarkStart w:id="339" w:name="_Toc184310331"/>
      <w:bookmarkEnd w:id="339"/>
      <w:bookmarkStart w:id="340" w:name="_Toc184310274"/>
      <w:bookmarkEnd w:id="340"/>
      <w:bookmarkStart w:id="341" w:name="_Toc184310278"/>
      <w:bookmarkEnd w:id="341"/>
      <w:bookmarkStart w:id="342" w:name="_Toc184314482"/>
      <w:bookmarkEnd w:id="342"/>
      <w:bookmarkStart w:id="343" w:name="_Toc184313305"/>
      <w:bookmarkEnd w:id="343"/>
      <w:bookmarkStart w:id="344" w:name="_Toc184308059"/>
      <w:bookmarkEnd w:id="344"/>
      <w:bookmarkStart w:id="345" w:name="_Toc184312138"/>
      <w:bookmarkEnd w:id="345"/>
      <w:bookmarkStart w:id="346" w:name="_Toc184314434"/>
      <w:bookmarkEnd w:id="346"/>
      <w:bookmarkStart w:id="347" w:name="_Toc184312079"/>
      <w:bookmarkEnd w:id="347"/>
      <w:bookmarkStart w:id="348" w:name="_Toc184314477"/>
      <w:bookmarkEnd w:id="348"/>
      <w:bookmarkStart w:id="349" w:name="_Toc184313274"/>
      <w:bookmarkEnd w:id="349"/>
      <w:bookmarkStart w:id="350" w:name="_Toc184314447"/>
      <w:bookmarkEnd w:id="350"/>
      <w:bookmarkStart w:id="351" w:name="_Toc184314441"/>
      <w:bookmarkEnd w:id="351"/>
      <w:bookmarkStart w:id="352" w:name="_Toc184310283"/>
      <w:bookmarkEnd w:id="352"/>
      <w:bookmarkStart w:id="353" w:name="_Toc184312069"/>
      <w:bookmarkEnd w:id="353"/>
      <w:bookmarkStart w:id="354" w:name="_Toc184308105"/>
      <w:bookmarkEnd w:id="354"/>
      <w:bookmarkStart w:id="355" w:name="_Toc184312114"/>
      <w:bookmarkEnd w:id="355"/>
      <w:bookmarkStart w:id="356" w:name="_Toc184310315"/>
      <w:bookmarkEnd w:id="356"/>
      <w:bookmarkStart w:id="357" w:name="_Toc184313295"/>
      <w:bookmarkEnd w:id="357"/>
      <w:bookmarkStart w:id="358" w:name="_Toc184308043"/>
      <w:bookmarkEnd w:id="358"/>
      <w:bookmarkStart w:id="359" w:name="_Toc184314450"/>
      <w:bookmarkEnd w:id="359"/>
      <w:bookmarkStart w:id="360" w:name="_Toc184308104"/>
      <w:bookmarkEnd w:id="360"/>
      <w:bookmarkStart w:id="361" w:name="_Toc184308077"/>
      <w:bookmarkEnd w:id="361"/>
      <w:bookmarkStart w:id="362" w:name="_Toc184310297"/>
      <w:bookmarkEnd w:id="362"/>
      <w:bookmarkStart w:id="363" w:name="_Toc184313252"/>
      <w:bookmarkEnd w:id="363"/>
      <w:bookmarkStart w:id="364" w:name="_Toc184312124"/>
      <w:bookmarkEnd w:id="364"/>
      <w:bookmarkStart w:id="365" w:name="_Toc184312134"/>
      <w:bookmarkEnd w:id="365"/>
      <w:bookmarkStart w:id="366" w:name="_Toc184308050"/>
      <w:bookmarkEnd w:id="366"/>
      <w:bookmarkStart w:id="367" w:name="_Toc184312098"/>
      <w:bookmarkEnd w:id="367"/>
      <w:bookmarkStart w:id="368" w:name="_Toc184314474"/>
      <w:bookmarkEnd w:id="368"/>
      <w:bookmarkStart w:id="369" w:name="_Toc184313255"/>
      <w:bookmarkEnd w:id="369"/>
      <w:bookmarkStart w:id="370" w:name="_Toc184312097"/>
      <w:bookmarkEnd w:id="370"/>
      <w:bookmarkStart w:id="371" w:name="_Toc184308093"/>
      <w:bookmarkEnd w:id="371"/>
      <w:bookmarkStart w:id="372" w:name="_Toc184312078"/>
      <w:bookmarkEnd w:id="372"/>
      <w:bookmarkStart w:id="373" w:name="_Toc184312130"/>
      <w:bookmarkEnd w:id="373"/>
      <w:bookmarkStart w:id="374" w:name="_Toc184308079"/>
      <w:bookmarkEnd w:id="374"/>
      <w:bookmarkStart w:id="375" w:name="_Toc184313247"/>
      <w:bookmarkEnd w:id="375"/>
      <w:bookmarkStart w:id="376" w:name="_Toc184313302"/>
      <w:bookmarkEnd w:id="376"/>
      <w:bookmarkStart w:id="377" w:name="_Toc184308073"/>
      <w:bookmarkEnd w:id="377"/>
      <w:bookmarkStart w:id="378" w:name="_Toc184314436"/>
      <w:bookmarkEnd w:id="378"/>
      <w:bookmarkStart w:id="379" w:name="_Toc184313308"/>
      <w:bookmarkEnd w:id="379"/>
      <w:bookmarkStart w:id="380" w:name="_Toc184308067"/>
      <w:bookmarkEnd w:id="380"/>
      <w:bookmarkStart w:id="381" w:name="_Toc184308056"/>
      <w:bookmarkEnd w:id="381"/>
      <w:bookmarkStart w:id="382" w:name="_Toc184312131"/>
      <w:bookmarkEnd w:id="382"/>
      <w:bookmarkStart w:id="383" w:name="_Toc184310301"/>
      <w:bookmarkEnd w:id="383"/>
      <w:bookmarkStart w:id="384" w:name="_Toc184312093"/>
      <w:bookmarkEnd w:id="384"/>
      <w:bookmarkStart w:id="385" w:name="_Toc184313253"/>
      <w:bookmarkEnd w:id="385"/>
      <w:bookmarkStart w:id="386" w:name="_Toc184310335"/>
      <w:bookmarkEnd w:id="386"/>
      <w:bookmarkStart w:id="387" w:name="_Toc184308081"/>
      <w:bookmarkEnd w:id="387"/>
      <w:bookmarkStart w:id="388" w:name="_Toc184310287"/>
      <w:bookmarkEnd w:id="388"/>
      <w:bookmarkStart w:id="389" w:name="_Toc184310294"/>
      <w:bookmarkEnd w:id="389"/>
      <w:bookmarkStart w:id="390" w:name="_Toc184312108"/>
      <w:bookmarkEnd w:id="390"/>
      <w:bookmarkStart w:id="391" w:name="_Toc184313285"/>
      <w:bookmarkEnd w:id="391"/>
      <w:bookmarkStart w:id="392" w:name="_Toc184312107"/>
      <w:bookmarkEnd w:id="392"/>
      <w:bookmarkStart w:id="393" w:name="_Toc184312127"/>
      <w:bookmarkEnd w:id="393"/>
      <w:bookmarkStart w:id="394" w:name="_Toc184310300"/>
      <w:bookmarkEnd w:id="394"/>
      <w:bookmarkStart w:id="395" w:name="_Toc184308069"/>
      <w:bookmarkEnd w:id="395"/>
      <w:bookmarkStart w:id="396" w:name="_Toc184308055"/>
      <w:bookmarkEnd w:id="396"/>
      <w:bookmarkStart w:id="397" w:name="_Toc184312096"/>
      <w:bookmarkEnd w:id="397"/>
      <w:bookmarkStart w:id="398" w:name="_Toc184312110"/>
      <w:bookmarkEnd w:id="398"/>
      <w:bookmarkStart w:id="399" w:name="_Toc184314431"/>
      <w:bookmarkEnd w:id="399"/>
      <w:bookmarkStart w:id="400" w:name="_Toc184312094"/>
      <w:bookmarkEnd w:id="400"/>
      <w:bookmarkStart w:id="401" w:name="_Toc184312087"/>
      <w:bookmarkEnd w:id="401"/>
      <w:bookmarkStart w:id="402" w:name="_Toc184312091"/>
      <w:bookmarkEnd w:id="402"/>
      <w:bookmarkStart w:id="403" w:name="_Toc184308060"/>
      <w:bookmarkEnd w:id="403"/>
      <w:bookmarkStart w:id="404" w:name="_Toc184314468"/>
      <w:bookmarkEnd w:id="404"/>
      <w:bookmarkStart w:id="405" w:name="_Toc184310306"/>
      <w:bookmarkEnd w:id="405"/>
      <w:bookmarkStart w:id="406" w:name="_Toc184310326"/>
      <w:bookmarkEnd w:id="406"/>
      <w:bookmarkStart w:id="407" w:name="_Toc184308045"/>
      <w:bookmarkEnd w:id="407"/>
      <w:bookmarkStart w:id="408" w:name="_Toc184312121"/>
      <w:bookmarkEnd w:id="408"/>
      <w:bookmarkStart w:id="409" w:name="_Toc184313240"/>
      <w:bookmarkEnd w:id="409"/>
      <w:bookmarkStart w:id="410" w:name="_Toc184310317"/>
      <w:bookmarkEnd w:id="410"/>
      <w:r>
        <w:rPr>
          <w:rFonts w:hint="eastAsia" w:ascii="宋体" w:hAnsi="宋体" w:cs="宋体"/>
          <w:b/>
          <w:color w:val="000000" w:themeColor="text1"/>
          <w:sz w:val="36"/>
          <w:szCs w:val="36"/>
          <w14:textFill>
            <w14:solidFill>
              <w14:schemeClr w14:val="tx1"/>
            </w14:solidFill>
          </w14:textFill>
        </w:rPr>
        <w:t>评标办法</w:t>
      </w:r>
    </w:p>
    <w:p w14:paraId="1CD733FF">
      <w:pPr>
        <w:snapToGrid w:val="0"/>
        <w:spacing w:line="360" w:lineRule="auto"/>
        <w:ind w:left="120" w:firstLine="19" w:firstLineChars="6"/>
        <w:jc w:val="center"/>
        <w:outlineLvl w:val="1"/>
        <w:rPr>
          <w:rFonts w:hint="eastAsia"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评标办法前附表</w:t>
      </w:r>
    </w:p>
    <w:tbl>
      <w:tblPr>
        <w:tblStyle w:val="63"/>
        <w:tblW w:w="5265" w:type="pct"/>
        <w:tblInd w:w="-436" w:type="dxa"/>
        <w:tblLayout w:type="fixed"/>
        <w:tblCellMar>
          <w:top w:w="0" w:type="dxa"/>
          <w:left w:w="108" w:type="dxa"/>
          <w:bottom w:w="0" w:type="dxa"/>
          <w:right w:w="108" w:type="dxa"/>
        </w:tblCellMar>
      </w:tblPr>
      <w:tblGrid>
        <w:gridCol w:w="993"/>
        <w:gridCol w:w="1256"/>
        <w:gridCol w:w="5103"/>
        <w:gridCol w:w="778"/>
        <w:gridCol w:w="913"/>
        <w:gridCol w:w="1036"/>
      </w:tblGrid>
      <w:tr w14:paraId="0AEBA5BA">
        <w:tblPrEx>
          <w:tblCellMar>
            <w:top w:w="0" w:type="dxa"/>
            <w:left w:w="108" w:type="dxa"/>
            <w:bottom w:w="0" w:type="dxa"/>
            <w:right w:w="108" w:type="dxa"/>
          </w:tblCellMar>
        </w:tblPrEx>
        <w:trPr>
          <w:trHeight w:val="879" w:hRule="atLeast"/>
        </w:trPr>
        <w:tc>
          <w:tcPr>
            <w:tcW w:w="49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F290F6">
            <w:pPr>
              <w:widowControl/>
              <w:spacing w:line="360" w:lineRule="auto"/>
              <w:jc w:val="center"/>
              <w:textAlignment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序号</w:t>
            </w:r>
          </w:p>
        </w:tc>
        <w:tc>
          <w:tcPr>
            <w:tcW w:w="622" w:type="pct"/>
            <w:tcBorders>
              <w:top w:val="single" w:color="000000" w:sz="8" w:space="0"/>
              <w:left w:val="nil"/>
              <w:bottom w:val="single" w:color="000000" w:sz="8" w:space="0"/>
              <w:right w:val="single" w:color="000000" w:sz="8" w:space="0"/>
            </w:tcBorders>
            <w:shd w:val="clear" w:color="auto" w:fill="auto"/>
            <w:vAlign w:val="center"/>
          </w:tcPr>
          <w:p w14:paraId="22AFE03F">
            <w:pPr>
              <w:widowControl/>
              <w:spacing w:line="360" w:lineRule="auto"/>
              <w:jc w:val="center"/>
              <w:textAlignment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评分内容</w:t>
            </w:r>
          </w:p>
        </w:tc>
        <w:tc>
          <w:tcPr>
            <w:tcW w:w="2531" w:type="pct"/>
            <w:tcBorders>
              <w:top w:val="single" w:color="000000" w:sz="8" w:space="0"/>
              <w:left w:val="nil"/>
              <w:bottom w:val="single" w:color="000000" w:sz="8" w:space="0"/>
              <w:right w:val="single" w:color="000000" w:sz="8" w:space="0"/>
            </w:tcBorders>
            <w:shd w:val="clear" w:color="auto" w:fill="auto"/>
            <w:vAlign w:val="center"/>
          </w:tcPr>
          <w:p w14:paraId="503A912D">
            <w:pPr>
              <w:widowControl/>
              <w:spacing w:line="360" w:lineRule="auto"/>
              <w:jc w:val="center"/>
              <w:textAlignment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评分标准</w:t>
            </w:r>
          </w:p>
        </w:tc>
        <w:tc>
          <w:tcPr>
            <w:tcW w:w="385" w:type="pct"/>
            <w:tcBorders>
              <w:top w:val="single" w:color="000000" w:sz="8" w:space="0"/>
              <w:left w:val="nil"/>
              <w:bottom w:val="single" w:color="000000" w:sz="8" w:space="0"/>
              <w:right w:val="single" w:color="000000" w:sz="8" w:space="0"/>
            </w:tcBorders>
            <w:shd w:val="clear" w:color="auto" w:fill="auto"/>
            <w:vAlign w:val="center"/>
          </w:tcPr>
          <w:p w14:paraId="71E03F57">
            <w:pPr>
              <w:widowControl/>
              <w:spacing w:line="360" w:lineRule="auto"/>
              <w:jc w:val="center"/>
              <w:textAlignment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分值</w:t>
            </w:r>
          </w:p>
        </w:tc>
        <w:tc>
          <w:tcPr>
            <w:tcW w:w="452" w:type="pct"/>
            <w:tcBorders>
              <w:top w:val="single" w:color="000000" w:sz="8" w:space="0"/>
              <w:left w:val="nil"/>
              <w:bottom w:val="single" w:color="000000" w:sz="8" w:space="0"/>
              <w:right w:val="single" w:color="000000" w:sz="8" w:space="0"/>
            </w:tcBorders>
            <w:shd w:val="clear" w:color="auto" w:fill="auto"/>
            <w:vAlign w:val="center"/>
          </w:tcPr>
          <w:p w14:paraId="42EADE32">
            <w:pPr>
              <w:widowControl/>
              <w:spacing w:line="360" w:lineRule="auto"/>
              <w:jc w:val="center"/>
              <w:textAlignment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主观分/客观分属性</w:t>
            </w:r>
          </w:p>
        </w:tc>
        <w:tc>
          <w:tcPr>
            <w:tcW w:w="513" w:type="pct"/>
            <w:tcBorders>
              <w:top w:val="single" w:color="000000" w:sz="8" w:space="0"/>
              <w:left w:val="nil"/>
              <w:bottom w:val="single" w:color="000000" w:sz="8" w:space="0"/>
              <w:right w:val="single" w:color="000000" w:sz="8" w:space="0"/>
            </w:tcBorders>
            <w:shd w:val="clear" w:color="auto" w:fill="auto"/>
            <w:vAlign w:val="center"/>
          </w:tcPr>
          <w:p w14:paraId="475B0C17">
            <w:pPr>
              <w:widowControl/>
              <w:spacing w:line="360" w:lineRule="auto"/>
              <w:jc w:val="center"/>
              <w:textAlignment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投标文件中评标标准相应的商务技术资料目录*</w:t>
            </w:r>
          </w:p>
        </w:tc>
      </w:tr>
      <w:tr w14:paraId="66271D0B">
        <w:tblPrEx>
          <w:tblCellMar>
            <w:top w:w="0" w:type="dxa"/>
            <w:left w:w="108" w:type="dxa"/>
            <w:bottom w:w="0" w:type="dxa"/>
            <w:right w:w="108" w:type="dxa"/>
          </w:tblCellMar>
        </w:tblPrEx>
        <w:trPr>
          <w:trHeight w:val="1167" w:hRule="atLeast"/>
        </w:trPr>
        <w:tc>
          <w:tcPr>
            <w:tcW w:w="492" w:type="pct"/>
            <w:tcBorders>
              <w:top w:val="nil"/>
              <w:left w:val="single" w:color="000000" w:sz="8" w:space="0"/>
              <w:bottom w:val="single" w:color="auto" w:sz="4" w:space="0"/>
              <w:right w:val="single" w:color="000000" w:sz="8" w:space="0"/>
            </w:tcBorders>
            <w:shd w:val="clear" w:color="auto" w:fill="auto"/>
            <w:noWrap/>
            <w:vAlign w:val="center"/>
          </w:tcPr>
          <w:p w14:paraId="0D417C1B">
            <w:pPr>
              <w:widowControl/>
              <w:spacing w:line="360" w:lineRule="auto"/>
              <w:jc w:val="center"/>
              <w:textAlignment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1</w:t>
            </w:r>
          </w:p>
        </w:tc>
        <w:tc>
          <w:tcPr>
            <w:tcW w:w="622" w:type="pct"/>
            <w:tcBorders>
              <w:top w:val="nil"/>
              <w:left w:val="nil"/>
              <w:bottom w:val="single" w:color="000000" w:sz="8" w:space="0"/>
              <w:right w:val="single" w:color="000000" w:sz="8" w:space="0"/>
            </w:tcBorders>
            <w:shd w:val="clear" w:color="auto" w:fill="auto"/>
            <w:vAlign w:val="center"/>
          </w:tcPr>
          <w:p w14:paraId="2442DFBE">
            <w:pPr>
              <w:widowControl/>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投标人的业绩情况</w:t>
            </w:r>
          </w:p>
        </w:tc>
        <w:tc>
          <w:tcPr>
            <w:tcW w:w="2531" w:type="pct"/>
            <w:tcBorders>
              <w:top w:val="nil"/>
              <w:left w:val="nil"/>
              <w:bottom w:val="single" w:color="000000" w:sz="8" w:space="0"/>
              <w:right w:val="single" w:color="000000" w:sz="8" w:space="0"/>
            </w:tcBorders>
            <w:shd w:val="clear" w:color="auto" w:fill="auto"/>
            <w:vAlign w:val="center"/>
          </w:tcPr>
          <w:p w14:paraId="348E3DE3">
            <w:pPr>
              <w:widowControl/>
              <w:spacing w:line="360" w:lineRule="auto"/>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投标人自2022年1月1日以来（以合同签订时间为准），承担过软件系统开发（或软件集成）项目业绩的，得1分。（证明材料：须提供合同复印件，否则不得分）</w:t>
            </w:r>
          </w:p>
        </w:tc>
        <w:tc>
          <w:tcPr>
            <w:tcW w:w="385" w:type="pct"/>
            <w:tcBorders>
              <w:top w:val="nil"/>
              <w:left w:val="nil"/>
              <w:bottom w:val="single" w:color="000000" w:sz="8" w:space="0"/>
              <w:right w:val="single" w:color="000000" w:sz="8" w:space="0"/>
            </w:tcBorders>
            <w:shd w:val="clear" w:color="auto" w:fill="auto"/>
            <w:vAlign w:val="center"/>
          </w:tcPr>
          <w:p w14:paraId="4FE8FA57">
            <w:pPr>
              <w:widowControl/>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w:t>
            </w:r>
          </w:p>
        </w:tc>
        <w:tc>
          <w:tcPr>
            <w:tcW w:w="452" w:type="pct"/>
            <w:tcBorders>
              <w:top w:val="nil"/>
              <w:left w:val="nil"/>
              <w:bottom w:val="single" w:color="000000" w:sz="8" w:space="0"/>
              <w:right w:val="single" w:color="000000" w:sz="8" w:space="0"/>
            </w:tcBorders>
            <w:shd w:val="clear" w:color="auto" w:fill="auto"/>
            <w:vAlign w:val="center"/>
          </w:tcPr>
          <w:p w14:paraId="37D8C362">
            <w:pPr>
              <w:widowControl/>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客观分</w:t>
            </w:r>
          </w:p>
        </w:tc>
        <w:tc>
          <w:tcPr>
            <w:tcW w:w="513" w:type="pct"/>
            <w:tcBorders>
              <w:top w:val="nil"/>
              <w:left w:val="nil"/>
              <w:bottom w:val="single" w:color="000000" w:sz="8" w:space="0"/>
              <w:right w:val="single" w:color="000000" w:sz="8" w:space="0"/>
            </w:tcBorders>
            <w:shd w:val="clear" w:color="auto" w:fill="auto"/>
            <w:vAlign w:val="center"/>
          </w:tcPr>
          <w:p w14:paraId="11CC5009">
            <w:pPr>
              <w:spacing w:line="360" w:lineRule="auto"/>
              <w:rPr>
                <w:rFonts w:hint="eastAsia" w:ascii="宋体" w:hAnsi="宋体" w:cs="宋体"/>
                <w:color w:val="000000" w:themeColor="text1"/>
                <w:sz w:val="24"/>
                <w14:textFill>
                  <w14:solidFill>
                    <w14:schemeClr w14:val="tx1"/>
                  </w14:solidFill>
                </w14:textFill>
              </w:rPr>
            </w:pPr>
          </w:p>
        </w:tc>
      </w:tr>
      <w:tr w14:paraId="6FC32DC3">
        <w:tblPrEx>
          <w:tblCellMar>
            <w:top w:w="0" w:type="dxa"/>
            <w:left w:w="108" w:type="dxa"/>
            <w:bottom w:w="0" w:type="dxa"/>
            <w:right w:w="108" w:type="dxa"/>
          </w:tblCellMar>
        </w:tblPrEx>
        <w:trPr>
          <w:trHeight w:val="879" w:hRule="atLeast"/>
        </w:trPr>
        <w:tc>
          <w:tcPr>
            <w:tcW w:w="492" w:type="pct"/>
            <w:tcBorders>
              <w:top w:val="single" w:color="auto" w:sz="4" w:space="0"/>
              <w:left w:val="single" w:color="000000" w:sz="8" w:space="0"/>
              <w:bottom w:val="single" w:color="000000" w:sz="8" w:space="0"/>
              <w:right w:val="single" w:color="000000" w:sz="8" w:space="0"/>
            </w:tcBorders>
            <w:shd w:val="clear" w:color="auto" w:fill="auto"/>
            <w:noWrap/>
            <w:vAlign w:val="center"/>
          </w:tcPr>
          <w:p w14:paraId="05921C8C">
            <w:pPr>
              <w:widowControl/>
              <w:spacing w:line="360" w:lineRule="auto"/>
              <w:jc w:val="center"/>
              <w:textAlignment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2</w:t>
            </w:r>
          </w:p>
        </w:tc>
        <w:tc>
          <w:tcPr>
            <w:tcW w:w="622" w:type="pct"/>
            <w:tcBorders>
              <w:top w:val="nil"/>
              <w:left w:val="nil"/>
              <w:bottom w:val="single" w:color="000000" w:sz="8" w:space="0"/>
              <w:right w:val="single" w:color="000000" w:sz="8" w:space="0"/>
            </w:tcBorders>
            <w:shd w:val="clear" w:color="auto" w:fill="auto"/>
            <w:vAlign w:val="center"/>
          </w:tcPr>
          <w:p w14:paraId="515DC967">
            <w:pPr>
              <w:widowControl/>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项目服务期</w:t>
            </w:r>
          </w:p>
        </w:tc>
        <w:tc>
          <w:tcPr>
            <w:tcW w:w="2531" w:type="pct"/>
            <w:tcBorders>
              <w:top w:val="nil"/>
              <w:left w:val="nil"/>
              <w:bottom w:val="single" w:color="000000" w:sz="8" w:space="0"/>
              <w:right w:val="single" w:color="000000" w:sz="8" w:space="0"/>
            </w:tcBorders>
            <w:shd w:val="clear" w:color="auto" w:fill="auto"/>
            <w:vAlign w:val="center"/>
          </w:tcPr>
          <w:p w14:paraId="16044425">
            <w:pPr>
              <w:widowControl/>
              <w:spacing w:line="360" w:lineRule="auto"/>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投标人承诺项目服务期（建设期或运维期）等于或优于招标文件要求的，得2分，否则不得分。（证明材料：须提供承诺函并加盖公章，格式自拟）</w:t>
            </w:r>
          </w:p>
        </w:tc>
        <w:tc>
          <w:tcPr>
            <w:tcW w:w="385" w:type="pct"/>
            <w:tcBorders>
              <w:top w:val="nil"/>
              <w:left w:val="nil"/>
              <w:bottom w:val="single" w:color="000000" w:sz="8" w:space="0"/>
              <w:right w:val="single" w:color="000000" w:sz="8" w:space="0"/>
            </w:tcBorders>
            <w:shd w:val="clear" w:color="auto" w:fill="auto"/>
            <w:vAlign w:val="center"/>
          </w:tcPr>
          <w:p w14:paraId="3CB6FD1C">
            <w:pPr>
              <w:widowControl/>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w:t>
            </w:r>
          </w:p>
        </w:tc>
        <w:tc>
          <w:tcPr>
            <w:tcW w:w="452" w:type="pct"/>
            <w:tcBorders>
              <w:top w:val="nil"/>
              <w:left w:val="nil"/>
              <w:bottom w:val="single" w:color="000000" w:sz="8" w:space="0"/>
              <w:right w:val="single" w:color="000000" w:sz="8" w:space="0"/>
            </w:tcBorders>
            <w:shd w:val="clear" w:color="auto" w:fill="auto"/>
            <w:vAlign w:val="center"/>
          </w:tcPr>
          <w:p w14:paraId="5318E174">
            <w:pPr>
              <w:widowControl/>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客观分</w:t>
            </w:r>
          </w:p>
        </w:tc>
        <w:tc>
          <w:tcPr>
            <w:tcW w:w="513" w:type="pct"/>
            <w:tcBorders>
              <w:top w:val="nil"/>
              <w:left w:val="nil"/>
              <w:bottom w:val="single" w:color="000000" w:sz="8" w:space="0"/>
              <w:right w:val="single" w:color="000000" w:sz="8" w:space="0"/>
            </w:tcBorders>
            <w:shd w:val="clear" w:color="auto" w:fill="auto"/>
            <w:vAlign w:val="center"/>
          </w:tcPr>
          <w:p w14:paraId="7C8E0783">
            <w:pPr>
              <w:spacing w:line="360" w:lineRule="auto"/>
              <w:rPr>
                <w:rFonts w:hint="eastAsia" w:ascii="宋体" w:hAnsi="宋体" w:cs="宋体"/>
                <w:color w:val="000000" w:themeColor="text1"/>
                <w:sz w:val="24"/>
                <w14:textFill>
                  <w14:solidFill>
                    <w14:schemeClr w14:val="tx1"/>
                  </w14:solidFill>
                </w14:textFill>
              </w:rPr>
            </w:pPr>
          </w:p>
        </w:tc>
      </w:tr>
      <w:tr w14:paraId="407789F7">
        <w:tblPrEx>
          <w:tblCellMar>
            <w:top w:w="0" w:type="dxa"/>
            <w:left w:w="108" w:type="dxa"/>
            <w:bottom w:w="0" w:type="dxa"/>
            <w:right w:w="108" w:type="dxa"/>
          </w:tblCellMar>
        </w:tblPrEx>
        <w:trPr>
          <w:trHeight w:val="1455" w:hRule="atLeast"/>
        </w:trPr>
        <w:tc>
          <w:tcPr>
            <w:tcW w:w="492" w:type="pct"/>
            <w:vMerge w:val="restart"/>
            <w:tcBorders>
              <w:top w:val="nil"/>
              <w:left w:val="single" w:color="000000" w:sz="8" w:space="0"/>
              <w:bottom w:val="single" w:color="auto" w:sz="4" w:space="0"/>
              <w:right w:val="single" w:color="000000" w:sz="8" w:space="0"/>
            </w:tcBorders>
            <w:shd w:val="clear" w:color="auto" w:fill="auto"/>
            <w:noWrap/>
            <w:vAlign w:val="center"/>
          </w:tcPr>
          <w:p w14:paraId="2DBF97BD">
            <w:pPr>
              <w:widowControl/>
              <w:spacing w:line="360" w:lineRule="auto"/>
              <w:jc w:val="center"/>
              <w:textAlignment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3</w:t>
            </w:r>
          </w:p>
        </w:tc>
        <w:tc>
          <w:tcPr>
            <w:tcW w:w="622" w:type="pct"/>
            <w:vMerge w:val="restart"/>
            <w:tcBorders>
              <w:top w:val="nil"/>
              <w:left w:val="nil"/>
              <w:right w:val="single" w:color="000000" w:sz="8" w:space="0"/>
            </w:tcBorders>
            <w:shd w:val="clear" w:color="auto" w:fill="auto"/>
            <w:vAlign w:val="center"/>
          </w:tcPr>
          <w:p w14:paraId="2A2CF7EA">
            <w:pPr>
              <w:widowControl/>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整体方案</w:t>
            </w:r>
          </w:p>
        </w:tc>
        <w:tc>
          <w:tcPr>
            <w:tcW w:w="2531" w:type="pct"/>
            <w:tcBorders>
              <w:top w:val="nil"/>
              <w:left w:val="nil"/>
              <w:bottom w:val="single" w:color="000000" w:sz="8" w:space="0"/>
              <w:right w:val="single" w:color="000000" w:sz="8" w:space="0"/>
            </w:tcBorders>
            <w:shd w:val="clear" w:color="auto" w:fill="auto"/>
            <w:vAlign w:val="center"/>
          </w:tcPr>
          <w:p w14:paraId="1A2FA613">
            <w:pPr>
              <w:widowControl/>
              <w:spacing w:line="360" w:lineRule="auto"/>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（1）投标人符合上城区人大常委会“数字人大”平台</w:t>
            </w:r>
            <w:r>
              <w:rPr>
                <w:rFonts w:hint="eastAsia" w:ascii="宋体" w:hAnsi="宋体" w:cs="宋体"/>
                <w:color w:val="000000" w:themeColor="text1"/>
                <w:kern w:val="0"/>
                <w:sz w:val="24"/>
                <w:lang w:val="en-US" w:eastAsia="zh-CN" w:bidi="ar"/>
                <w14:textFill>
                  <w14:solidFill>
                    <w14:schemeClr w14:val="tx1"/>
                  </w14:solidFill>
                </w14:textFill>
              </w:rPr>
              <w:t>系统</w:t>
            </w:r>
            <w:r>
              <w:rPr>
                <w:rFonts w:hint="eastAsia" w:ascii="宋体" w:hAnsi="宋体" w:cs="宋体"/>
                <w:color w:val="000000" w:themeColor="text1"/>
                <w:kern w:val="0"/>
                <w:sz w:val="24"/>
                <w:lang w:bidi="ar"/>
                <w14:textFill>
                  <w14:solidFill>
                    <w14:schemeClr w14:val="tx1"/>
                  </w14:solidFill>
                </w14:textFill>
              </w:rPr>
              <w:t>改造项目建设</w:t>
            </w:r>
            <w:r>
              <w:rPr>
                <w:rFonts w:hint="eastAsia" w:ascii="宋体" w:hAnsi="宋体" w:cs="宋体"/>
                <w:color w:val="000000" w:themeColor="text1"/>
                <w:kern w:val="0"/>
                <w:sz w:val="24"/>
                <w:lang w:val="en-US" w:eastAsia="zh-CN" w:bidi="ar"/>
                <w14:textFill>
                  <w14:solidFill>
                    <w14:schemeClr w14:val="tx1"/>
                  </w14:solidFill>
                </w14:textFill>
              </w:rPr>
              <w:t>系统</w:t>
            </w:r>
            <w:r>
              <w:rPr>
                <w:rFonts w:hint="eastAsia" w:ascii="宋体" w:hAnsi="宋体" w:cs="宋体"/>
                <w:color w:val="000000" w:themeColor="text1"/>
                <w:kern w:val="0"/>
                <w:sz w:val="24"/>
                <w:lang w:bidi="ar"/>
                <w14:textFill>
                  <w14:solidFill>
                    <w14:schemeClr w14:val="tx1"/>
                  </w14:solidFill>
                </w14:textFill>
              </w:rPr>
              <w:t>改造背景、总体规划、核心价值。方案清晰、完整响应。（得分：5、4、3、2、1、0）</w:t>
            </w:r>
          </w:p>
        </w:tc>
        <w:tc>
          <w:tcPr>
            <w:tcW w:w="385" w:type="pct"/>
            <w:tcBorders>
              <w:top w:val="nil"/>
              <w:left w:val="nil"/>
              <w:bottom w:val="single" w:color="000000" w:sz="8" w:space="0"/>
              <w:right w:val="single" w:color="000000" w:sz="8" w:space="0"/>
            </w:tcBorders>
            <w:shd w:val="clear" w:color="auto" w:fill="auto"/>
            <w:vAlign w:val="center"/>
          </w:tcPr>
          <w:p w14:paraId="3102E71E">
            <w:pPr>
              <w:widowControl/>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w:t>
            </w:r>
          </w:p>
        </w:tc>
        <w:tc>
          <w:tcPr>
            <w:tcW w:w="452" w:type="pct"/>
            <w:tcBorders>
              <w:top w:val="nil"/>
              <w:left w:val="nil"/>
              <w:bottom w:val="single" w:color="000000" w:sz="8" w:space="0"/>
              <w:right w:val="single" w:color="000000" w:sz="8" w:space="0"/>
            </w:tcBorders>
            <w:shd w:val="clear" w:color="auto" w:fill="auto"/>
            <w:vAlign w:val="center"/>
          </w:tcPr>
          <w:p w14:paraId="576936EC">
            <w:pPr>
              <w:widowControl/>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主</w:t>
            </w:r>
            <w:r>
              <w:rPr>
                <w:rFonts w:hint="eastAsia" w:ascii="宋体" w:hAnsi="宋体" w:cs="宋体"/>
                <w:color w:val="000000" w:themeColor="text1"/>
                <w:kern w:val="0"/>
                <w:sz w:val="24"/>
                <w:lang w:bidi="ar"/>
                <w14:textFill>
                  <w14:solidFill>
                    <w14:schemeClr w14:val="tx1"/>
                  </w14:solidFill>
                </w14:textFill>
              </w:rPr>
              <w:t>观分</w:t>
            </w:r>
          </w:p>
        </w:tc>
        <w:tc>
          <w:tcPr>
            <w:tcW w:w="513" w:type="pct"/>
            <w:tcBorders>
              <w:top w:val="nil"/>
              <w:left w:val="nil"/>
              <w:bottom w:val="single" w:color="000000" w:sz="8" w:space="0"/>
              <w:right w:val="single" w:color="000000" w:sz="8" w:space="0"/>
            </w:tcBorders>
            <w:shd w:val="clear" w:color="auto" w:fill="auto"/>
            <w:vAlign w:val="center"/>
          </w:tcPr>
          <w:p w14:paraId="7A6CF172">
            <w:pPr>
              <w:spacing w:line="360" w:lineRule="auto"/>
              <w:rPr>
                <w:rFonts w:hint="eastAsia" w:ascii="宋体" w:hAnsi="宋体" w:cs="宋体"/>
                <w:color w:val="000000" w:themeColor="text1"/>
                <w:sz w:val="24"/>
                <w14:textFill>
                  <w14:solidFill>
                    <w14:schemeClr w14:val="tx1"/>
                  </w14:solidFill>
                </w14:textFill>
              </w:rPr>
            </w:pPr>
          </w:p>
        </w:tc>
      </w:tr>
      <w:tr w14:paraId="2E3FDB2E">
        <w:tblPrEx>
          <w:tblCellMar>
            <w:top w:w="0" w:type="dxa"/>
            <w:left w:w="108" w:type="dxa"/>
            <w:bottom w:w="0" w:type="dxa"/>
            <w:right w:w="108" w:type="dxa"/>
          </w:tblCellMar>
        </w:tblPrEx>
        <w:trPr>
          <w:trHeight w:val="1419" w:hRule="atLeast"/>
        </w:trPr>
        <w:tc>
          <w:tcPr>
            <w:tcW w:w="492"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14:paraId="44F4A3C5">
            <w:pPr>
              <w:spacing w:line="360" w:lineRule="auto"/>
              <w:jc w:val="center"/>
              <w:rPr>
                <w:rFonts w:hint="eastAsia" w:ascii="宋体" w:hAnsi="宋体" w:cs="宋体"/>
                <w:b/>
                <w:bCs/>
                <w:color w:val="000000" w:themeColor="text1"/>
                <w:sz w:val="24"/>
                <w14:textFill>
                  <w14:solidFill>
                    <w14:schemeClr w14:val="tx1"/>
                  </w14:solidFill>
                </w14:textFill>
              </w:rPr>
            </w:pPr>
          </w:p>
        </w:tc>
        <w:tc>
          <w:tcPr>
            <w:tcW w:w="622" w:type="pct"/>
            <w:vMerge w:val="continue"/>
            <w:tcBorders>
              <w:left w:val="nil"/>
              <w:bottom w:val="single" w:color="auto" w:sz="4" w:space="0"/>
              <w:right w:val="single" w:color="000000" w:sz="8" w:space="0"/>
            </w:tcBorders>
            <w:shd w:val="clear" w:color="auto" w:fill="auto"/>
            <w:vAlign w:val="center"/>
          </w:tcPr>
          <w:p w14:paraId="783B8AA3">
            <w:pPr>
              <w:spacing w:line="360" w:lineRule="auto"/>
              <w:jc w:val="center"/>
              <w:rPr>
                <w:rFonts w:hint="eastAsia" w:ascii="宋体" w:hAnsi="宋体" w:cs="宋体"/>
                <w:color w:val="000000" w:themeColor="text1"/>
                <w:sz w:val="24"/>
                <w14:textFill>
                  <w14:solidFill>
                    <w14:schemeClr w14:val="tx1"/>
                  </w14:solidFill>
                </w14:textFill>
              </w:rPr>
            </w:pPr>
          </w:p>
        </w:tc>
        <w:tc>
          <w:tcPr>
            <w:tcW w:w="2531" w:type="pct"/>
            <w:tcBorders>
              <w:top w:val="nil"/>
              <w:left w:val="nil"/>
              <w:bottom w:val="single" w:color="auto" w:sz="4" w:space="0"/>
              <w:right w:val="single" w:color="000000" w:sz="8" w:space="0"/>
            </w:tcBorders>
            <w:shd w:val="clear" w:color="auto" w:fill="auto"/>
            <w:vAlign w:val="center"/>
          </w:tcPr>
          <w:p w14:paraId="1F4299C2">
            <w:pPr>
              <w:widowControl/>
              <w:spacing w:line="360" w:lineRule="auto"/>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（2）与需求的符合情况：包括①需求分析、②功能性能满足、③信创专项符合程度，根据方案的完整性、符合性进行打分。（得分：5、4、3、2、1、0）</w:t>
            </w:r>
          </w:p>
        </w:tc>
        <w:tc>
          <w:tcPr>
            <w:tcW w:w="385" w:type="pct"/>
            <w:tcBorders>
              <w:top w:val="nil"/>
              <w:left w:val="nil"/>
              <w:bottom w:val="single" w:color="auto" w:sz="4" w:space="0"/>
              <w:right w:val="single" w:color="000000" w:sz="8" w:space="0"/>
            </w:tcBorders>
            <w:shd w:val="clear" w:color="auto" w:fill="auto"/>
            <w:vAlign w:val="center"/>
          </w:tcPr>
          <w:p w14:paraId="59117BC5">
            <w:pPr>
              <w:widowControl/>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w:t>
            </w:r>
          </w:p>
        </w:tc>
        <w:tc>
          <w:tcPr>
            <w:tcW w:w="452" w:type="pct"/>
            <w:tcBorders>
              <w:top w:val="nil"/>
              <w:left w:val="nil"/>
              <w:bottom w:val="single" w:color="auto" w:sz="4" w:space="0"/>
              <w:right w:val="single" w:color="000000" w:sz="8" w:space="0"/>
            </w:tcBorders>
            <w:shd w:val="clear" w:color="auto" w:fill="auto"/>
            <w:vAlign w:val="center"/>
          </w:tcPr>
          <w:p w14:paraId="0EC61BAC">
            <w:pPr>
              <w:widowControl/>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主观分</w:t>
            </w:r>
          </w:p>
        </w:tc>
        <w:tc>
          <w:tcPr>
            <w:tcW w:w="513" w:type="pct"/>
            <w:tcBorders>
              <w:top w:val="nil"/>
              <w:left w:val="nil"/>
              <w:bottom w:val="single" w:color="auto" w:sz="4" w:space="0"/>
              <w:right w:val="single" w:color="000000" w:sz="8" w:space="0"/>
            </w:tcBorders>
            <w:shd w:val="clear" w:color="auto" w:fill="auto"/>
            <w:vAlign w:val="center"/>
          </w:tcPr>
          <w:p w14:paraId="61204690">
            <w:pPr>
              <w:spacing w:line="360" w:lineRule="auto"/>
              <w:rPr>
                <w:rFonts w:hint="eastAsia" w:ascii="宋体" w:hAnsi="宋体" w:cs="宋体"/>
                <w:color w:val="000000" w:themeColor="text1"/>
                <w:sz w:val="24"/>
                <w14:textFill>
                  <w14:solidFill>
                    <w14:schemeClr w14:val="tx1"/>
                  </w14:solidFill>
                </w14:textFill>
              </w:rPr>
            </w:pPr>
          </w:p>
        </w:tc>
      </w:tr>
      <w:tr w14:paraId="17473E54">
        <w:tblPrEx>
          <w:tblCellMar>
            <w:top w:w="0" w:type="dxa"/>
            <w:left w:w="108" w:type="dxa"/>
            <w:bottom w:w="0" w:type="dxa"/>
            <w:right w:w="108" w:type="dxa"/>
          </w:tblCellMar>
        </w:tblPrEx>
        <w:trPr>
          <w:trHeight w:val="1455" w:hRule="atLeast"/>
        </w:trPr>
        <w:tc>
          <w:tcPr>
            <w:tcW w:w="492" w:type="pct"/>
            <w:vMerge w:val="restart"/>
            <w:tcBorders>
              <w:top w:val="single" w:color="auto" w:sz="4" w:space="0"/>
              <w:left w:val="single" w:color="000000" w:sz="8" w:space="0"/>
              <w:right w:val="single" w:color="000000" w:sz="8" w:space="0"/>
            </w:tcBorders>
            <w:shd w:val="clear" w:color="auto" w:fill="auto"/>
            <w:noWrap/>
            <w:vAlign w:val="center"/>
          </w:tcPr>
          <w:p w14:paraId="62C83785">
            <w:pPr>
              <w:spacing w:line="360" w:lineRule="auto"/>
              <w:jc w:val="center"/>
              <w:textAlignment w:val="center"/>
              <w:rPr>
                <w:rFonts w:hint="eastAsia" w:ascii="宋体" w:hAnsi="宋体" w:cs="宋体"/>
                <w:b/>
                <w:bCs/>
                <w:color w:val="000000" w:themeColor="text1"/>
                <w:sz w:val="24"/>
                <w14:textFill>
                  <w14:solidFill>
                    <w14:schemeClr w14:val="tx1"/>
                  </w14:solidFill>
                </w14:textFill>
              </w:rPr>
            </w:pPr>
          </w:p>
        </w:tc>
        <w:tc>
          <w:tcPr>
            <w:tcW w:w="622" w:type="pct"/>
            <w:vMerge w:val="restart"/>
            <w:tcBorders>
              <w:top w:val="single" w:color="auto" w:sz="4" w:space="0"/>
              <w:left w:val="nil"/>
              <w:right w:val="single" w:color="000000" w:sz="8" w:space="0"/>
            </w:tcBorders>
            <w:shd w:val="clear" w:color="auto" w:fill="auto"/>
            <w:vAlign w:val="center"/>
          </w:tcPr>
          <w:p w14:paraId="3606D1EB">
            <w:pPr>
              <w:spacing w:line="360" w:lineRule="auto"/>
              <w:jc w:val="center"/>
              <w:textAlignment w:val="center"/>
              <w:rPr>
                <w:rFonts w:hint="eastAsia" w:ascii="宋体" w:hAnsi="宋体" w:cs="宋体"/>
                <w:color w:val="000000" w:themeColor="text1"/>
                <w:sz w:val="24"/>
                <w14:textFill>
                  <w14:solidFill>
                    <w14:schemeClr w14:val="tx1"/>
                  </w14:solidFill>
                </w14:textFill>
              </w:rPr>
            </w:pPr>
          </w:p>
        </w:tc>
        <w:tc>
          <w:tcPr>
            <w:tcW w:w="2531" w:type="pct"/>
            <w:tcBorders>
              <w:top w:val="single" w:color="auto" w:sz="4" w:space="0"/>
              <w:left w:val="nil"/>
              <w:bottom w:val="single" w:color="000000" w:sz="8" w:space="0"/>
              <w:right w:val="single" w:color="000000" w:sz="8" w:space="0"/>
            </w:tcBorders>
            <w:shd w:val="clear" w:color="auto" w:fill="auto"/>
            <w:vAlign w:val="center"/>
          </w:tcPr>
          <w:p w14:paraId="3EAFEDBA">
            <w:pPr>
              <w:widowControl/>
              <w:spacing w:line="360" w:lineRule="auto"/>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（3）技术路线，包括：</w:t>
            </w:r>
          </w:p>
          <w:p w14:paraId="7E3FCBBD">
            <w:pPr>
              <w:widowControl/>
              <w:spacing w:line="360" w:lineRule="auto"/>
              <w:ind w:firstLine="480" w:firstLineChars="200"/>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1）采用主流且经过验证的技术栈</w:t>
            </w:r>
          </w:p>
          <w:p w14:paraId="70780353">
            <w:pPr>
              <w:widowControl/>
              <w:spacing w:line="360" w:lineRule="auto"/>
              <w:ind w:firstLine="480" w:firstLineChars="200"/>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2）兼容现有系统，支持与外部系统快速集成</w:t>
            </w:r>
          </w:p>
          <w:p w14:paraId="4724761F">
            <w:pPr>
              <w:widowControl/>
              <w:spacing w:line="360" w:lineRule="auto"/>
              <w:ind w:firstLine="480" w:firstLineChars="200"/>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根据方案的完整性、符合性进行打分。（得分：5、4、3、2、1、0）</w:t>
            </w:r>
          </w:p>
        </w:tc>
        <w:tc>
          <w:tcPr>
            <w:tcW w:w="385" w:type="pct"/>
            <w:tcBorders>
              <w:top w:val="single" w:color="auto" w:sz="4" w:space="0"/>
              <w:left w:val="nil"/>
              <w:bottom w:val="single" w:color="auto" w:sz="4" w:space="0"/>
              <w:right w:val="single" w:color="000000" w:sz="8" w:space="0"/>
            </w:tcBorders>
            <w:shd w:val="clear" w:color="auto" w:fill="auto"/>
            <w:vAlign w:val="center"/>
          </w:tcPr>
          <w:p w14:paraId="5CD45D8D">
            <w:pPr>
              <w:widowControl/>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w:t>
            </w:r>
          </w:p>
        </w:tc>
        <w:tc>
          <w:tcPr>
            <w:tcW w:w="452" w:type="pct"/>
            <w:tcBorders>
              <w:top w:val="single" w:color="auto" w:sz="4" w:space="0"/>
              <w:left w:val="nil"/>
              <w:bottom w:val="single" w:color="auto" w:sz="4" w:space="0"/>
              <w:right w:val="single" w:color="000000" w:sz="8" w:space="0"/>
            </w:tcBorders>
            <w:shd w:val="clear" w:color="auto" w:fill="auto"/>
            <w:vAlign w:val="center"/>
          </w:tcPr>
          <w:p w14:paraId="5A15BF57">
            <w:pPr>
              <w:widowControl/>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主观分</w:t>
            </w:r>
          </w:p>
        </w:tc>
        <w:tc>
          <w:tcPr>
            <w:tcW w:w="513" w:type="pct"/>
            <w:tcBorders>
              <w:top w:val="single" w:color="auto" w:sz="4" w:space="0"/>
              <w:left w:val="nil"/>
              <w:bottom w:val="single" w:color="auto" w:sz="4" w:space="0"/>
              <w:right w:val="single" w:color="000000" w:sz="8" w:space="0"/>
            </w:tcBorders>
            <w:shd w:val="clear" w:color="auto" w:fill="auto"/>
            <w:vAlign w:val="center"/>
          </w:tcPr>
          <w:p w14:paraId="0F5A53A3">
            <w:pPr>
              <w:spacing w:line="360" w:lineRule="auto"/>
              <w:jc w:val="center"/>
              <w:rPr>
                <w:rFonts w:hint="eastAsia" w:ascii="宋体" w:hAnsi="宋体" w:cs="宋体"/>
                <w:color w:val="000000" w:themeColor="text1"/>
                <w:sz w:val="24"/>
                <w14:textFill>
                  <w14:solidFill>
                    <w14:schemeClr w14:val="tx1"/>
                  </w14:solidFill>
                </w14:textFill>
              </w:rPr>
            </w:pPr>
          </w:p>
        </w:tc>
      </w:tr>
      <w:tr w14:paraId="0C93170A">
        <w:tblPrEx>
          <w:tblCellMar>
            <w:top w:w="0" w:type="dxa"/>
            <w:left w:w="108" w:type="dxa"/>
            <w:bottom w:w="0" w:type="dxa"/>
            <w:right w:w="108" w:type="dxa"/>
          </w:tblCellMar>
        </w:tblPrEx>
        <w:trPr>
          <w:trHeight w:val="1171" w:hRule="atLeast"/>
        </w:trPr>
        <w:tc>
          <w:tcPr>
            <w:tcW w:w="492" w:type="pct"/>
            <w:vMerge w:val="continue"/>
            <w:tcBorders>
              <w:left w:val="single" w:color="000000" w:sz="8" w:space="0"/>
              <w:right w:val="single" w:color="000000" w:sz="8" w:space="0"/>
            </w:tcBorders>
            <w:shd w:val="clear" w:color="auto" w:fill="auto"/>
            <w:noWrap/>
            <w:vAlign w:val="center"/>
          </w:tcPr>
          <w:p w14:paraId="232ED324">
            <w:pPr>
              <w:spacing w:line="360" w:lineRule="auto"/>
              <w:jc w:val="center"/>
              <w:rPr>
                <w:rFonts w:hint="eastAsia" w:ascii="宋体" w:hAnsi="宋体" w:cs="宋体"/>
                <w:b/>
                <w:bCs/>
                <w:color w:val="000000" w:themeColor="text1"/>
                <w:sz w:val="24"/>
                <w14:textFill>
                  <w14:solidFill>
                    <w14:schemeClr w14:val="tx1"/>
                  </w14:solidFill>
                </w14:textFill>
              </w:rPr>
            </w:pPr>
          </w:p>
        </w:tc>
        <w:tc>
          <w:tcPr>
            <w:tcW w:w="622" w:type="pct"/>
            <w:vMerge w:val="continue"/>
            <w:tcBorders>
              <w:left w:val="nil"/>
              <w:right w:val="single" w:color="000000" w:sz="8" w:space="0"/>
            </w:tcBorders>
            <w:shd w:val="clear" w:color="auto" w:fill="auto"/>
            <w:vAlign w:val="center"/>
          </w:tcPr>
          <w:p w14:paraId="5666CF83">
            <w:pPr>
              <w:spacing w:line="360" w:lineRule="auto"/>
              <w:jc w:val="center"/>
              <w:rPr>
                <w:rFonts w:hint="eastAsia" w:ascii="宋体" w:hAnsi="宋体" w:cs="宋体"/>
                <w:color w:val="000000" w:themeColor="text1"/>
                <w:sz w:val="24"/>
                <w14:textFill>
                  <w14:solidFill>
                    <w14:schemeClr w14:val="tx1"/>
                  </w14:solidFill>
                </w14:textFill>
              </w:rPr>
            </w:pPr>
          </w:p>
        </w:tc>
        <w:tc>
          <w:tcPr>
            <w:tcW w:w="2531" w:type="pct"/>
            <w:tcBorders>
              <w:top w:val="nil"/>
              <w:left w:val="nil"/>
              <w:bottom w:val="single" w:color="auto" w:sz="4" w:space="0"/>
              <w:right w:val="single" w:color="000000" w:sz="8" w:space="0"/>
            </w:tcBorders>
            <w:shd w:val="clear" w:color="auto" w:fill="auto"/>
            <w:vAlign w:val="center"/>
          </w:tcPr>
          <w:p w14:paraId="4133C0B6">
            <w:pPr>
              <w:widowControl/>
              <w:spacing w:line="360" w:lineRule="auto"/>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（4）系统架构设计，包括：</w:t>
            </w:r>
          </w:p>
          <w:p w14:paraId="7974E413">
            <w:pPr>
              <w:widowControl/>
              <w:spacing w:line="360" w:lineRule="auto"/>
              <w:ind w:firstLine="480" w:firstLineChars="200"/>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1)展示层、服务层、数据层等分层清晰</w:t>
            </w:r>
          </w:p>
          <w:p w14:paraId="145EA491">
            <w:pPr>
              <w:spacing w:line="360" w:lineRule="auto"/>
              <w:ind w:firstLine="480" w:firstLineChars="200"/>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2）并发量、响应时间满足业务需求</w:t>
            </w:r>
          </w:p>
          <w:p w14:paraId="0DDC054D">
            <w:pPr>
              <w:spacing w:line="360" w:lineRule="auto"/>
              <w:ind w:firstLine="480" w:firstLineChars="200"/>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根据方案的完整性、符合性进行打分。（得分：4、3、2、1、0）</w:t>
            </w:r>
          </w:p>
        </w:tc>
        <w:tc>
          <w:tcPr>
            <w:tcW w:w="385" w:type="pct"/>
            <w:tcBorders>
              <w:top w:val="single" w:color="auto" w:sz="4" w:space="0"/>
              <w:left w:val="nil"/>
              <w:bottom w:val="single" w:color="auto" w:sz="4" w:space="0"/>
              <w:right w:val="single" w:color="000000" w:sz="8" w:space="0"/>
            </w:tcBorders>
            <w:shd w:val="clear" w:color="auto" w:fill="auto"/>
            <w:vAlign w:val="center"/>
          </w:tcPr>
          <w:p w14:paraId="4CC41E68">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w:t>
            </w:r>
          </w:p>
        </w:tc>
        <w:tc>
          <w:tcPr>
            <w:tcW w:w="452" w:type="pct"/>
            <w:tcBorders>
              <w:top w:val="single" w:color="auto" w:sz="4" w:space="0"/>
              <w:left w:val="nil"/>
              <w:bottom w:val="single" w:color="auto" w:sz="4" w:space="0"/>
              <w:right w:val="single" w:color="000000" w:sz="8" w:space="0"/>
            </w:tcBorders>
            <w:shd w:val="clear" w:color="auto" w:fill="auto"/>
            <w:vAlign w:val="center"/>
          </w:tcPr>
          <w:p w14:paraId="1ACF67E8">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主观分</w:t>
            </w:r>
          </w:p>
        </w:tc>
        <w:tc>
          <w:tcPr>
            <w:tcW w:w="513" w:type="pct"/>
            <w:tcBorders>
              <w:top w:val="single" w:color="auto" w:sz="4" w:space="0"/>
              <w:left w:val="nil"/>
              <w:bottom w:val="single" w:color="auto" w:sz="4" w:space="0"/>
              <w:right w:val="single" w:color="000000" w:sz="8" w:space="0"/>
            </w:tcBorders>
            <w:shd w:val="clear" w:color="auto" w:fill="auto"/>
            <w:vAlign w:val="center"/>
          </w:tcPr>
          <w:p w14:paraId="21D1E6E1">
            <w:pPr>
              <w:spacing w:line="360" w:lineRule="auto"/>
              <w:jc w:val="center"/>
              <w:rPr>
                <w:rFonts w:hint="eastAsia" w:ascii="宋体" w:hAnsi="宋体" w:cs="宋体"/>
                <w:color w:val="000000" w:themeColor="text1"/>
                <w:sz w:val="24"/>
                <w14:textFill>
                  <w14:solidFill>
                    <w14:schemeClr w14:val="tx1"/>
                  </w14:solidFill>
                </w14:textFill>
              </w:rPr>
            </w:pPr>
          </w:p>
        </w:tc>
      </w:tr>
      <w:tr w14:paraId="5CD98755">
        <w:tblPrEx>
          <w:tblCellMar>
            <w:top w:w="0" w:type="dxa"/>
            <w:left w:w="108" w:type="dxa"/>
            <w:bottom w:w="0" w:type="dxa"/>
            <w:right w:w="108" w:type="dxa"/>
          </w:tblCellMar>
        </w:tblPrEx>
        <w:trPr>
          <w:trHeight w:val="1978" w:hRule="atLeast"/>
        </w:trPr>
        <w:tc>
          <w:tcPr>
            <w:tcW w:w="492" w:type="pct"/>
            <w:vMerge w:val="continue"/>
            <w:tcBorders>
              <w:left w:val="single" w:color="000000" w:sz="8" w:space="0"/>
              <w:bottom w:val="single" w:color="auto" w:sz="4" w:space="0"/>
              <w:right w:val="single" w:color="000000" w:sz="8" w:space="0"/>
            </w:tcBorders>
            <w:shd w:val="clear" w:color="auto" w:fill="auto"/>
            <w:noWrap/>
            <w:vAlign w:val="center"/>
          </w:tcPr>
          <w:p w14:paraId="01E7912F">
            <w:pPr>
              <w:spacing w:line="360" w:lineRule="auto"/>
              <w:jc w:val="center"/>
              <w:rPr>
                <w:rFonts w:hint="eastAsia" w:ascii="宋体" w:hAnsi="宋体" w:cs="宋体"/>
                <w:b/>
                <w:bCs/>
                <w:color w:val="000000" w:themeColor="text1"/>
                <w:sz w:val="24"/>
                <w14:textFill>
                  <w14:solidFill>
                    <w14:schemeClr w14:val="tx1"/>
                  </w14:solidFill>
                </w14:textFill>
              </w:rPr>
            </w:pPr>
          </w:p>
        </w:tc>
        <w:tc>
          <w:tcPr>
            <w:tcW w:w="622" w:type="pct"/>
            <w:vMerge w:val="continue"/>
            <w:tcBorders>
              <w:left w:val="nil"/>
              <w:bottom w:val="single" w:color="auto" w:sz="4" w:space="0"/>
              <w:right w:val="single" w:color="000000" w:sz="8" w:space="0"/>
            </w:tcBorders>
            <w:shd w:val="clear" w:color="auto" w:fill="auto"/>
            <w:vAlign w:val="center"/>
          </w:tcPr>
          <w:p w14:paraId="2BB9748B">
            <w:pPr>
              <w:spacing w:line="360" w:lineRule="auto"/>
              <w:jc w:val="center"/>
              <w:rPr>
                <w:rFonts w:hint="eastAsia" w:ascii="宋体" w:hAnsi="宋体" w:cs="宋体"/>
                <w:color w:val="000000" w:themeColor="text1"/>
                <w:sz w:val="24"/>
                <w14:textFill>
                  <w14:solidFill>
                    <w14:schemeClr w14:val="tx1"/>
                  </w14:solidFill>
                </w14:textFill>
              </w:rPr>
            </w:pPr>
          </w:p>
        </w:tc>
        <w:tc>
          <w:tcPr>
            <w:tcW w:w="2531" w:type="pct"/>
            <w:tcBorders>
              <w:top w:val="single" w:color="auto" w:sz="4" w:space="0"/>
              <w:left w:val="nil"/>
              <w:bottom w:val="single" w:color="auto" w:sz="4" w:space="0"/>
              <w:right w:val="single" w:color="000000" w:sz="8" w:space="0"/>
            </w:tcBorders>
            <w:shd w:val="clear" w:color="auto" w:fill="auto"/>
            <w:vAlign w:val="center"/>
          </w:tcPr>
          <w:p w14:paraId="04B8C262">
            <w:pPr>
              <w:widowControl/>
              <w:spacing w:line="360" w:lineRule="auto"/>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（5）信息数据设计，包括：</w:t>
            </w:r>
          </w:p>
          <w:p w14:paraId="3F05D177">
            <w:pPr>
              <w:spacing w:line="360" w:lineRule="auto"/>
              <w:ind w:firstLine="480" w:firstLineChars="200"/>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1)数据存储符合国产化数据库相关标准与要求</w:t>
            </w:r>
          </w:p>
          <w:p w14:paraId="5D418DFB">
            <w:pPr>
              <w:widowControl/>
              <w:spacing w:line="360" w:lineRule="auto"/>
              <w:ind w:firstLine="480" w:firstLineChars="200"/>
              <w:textAlignment w:val="center"/>
              <w:rPr>
                <w:rFonts w:hint="eastAsia" w:ascii="宋体" w:hAnsi="宋体"/>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2)数据结构设计合理，紧贴业务需求</w:t>
            </w:r>
          </w:p>
          <w:p w14:paraId="36F0C886">
            <w:pPr>
              <w:spacing w:line="360" w:lineRule="auto"/>
              <w:ind w:firstLine="480" w:firstLineChars="200"/>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根据方案的完整性、符合性进行打分。（得分：4、3、2、1、0）</w:t>
            </w:r>
          </w:p>
        </w:tc>
        <w:tc>
          <w:tcPr>
            <w:tcW w:w="385" w:type="pct"/>
            <w:tcBorders>
              <w:top w:val="single" w:color="auto" w:sz="4" w:space="0"/>
              <w:left w:val="nil"/>
              <w:bottom w:val="single" w:color="auto" w:sz="4" w:space="0"/>
              <w:right w:val="single" w:color="000000" w:sz="8" w:space="0"/>
            </w:tcBorders>
            <w:shd w:val="clear" w:color="auto" w:fill="auto"/>
            <w:vAlign w:val="center"/>
          </w:tcPr>
          <w:p w14:paraId="4E499D90">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w:t>
            </w:r>
          </w:p>
        </w:tc>
        <w:tc>
          <w:tcPr>
            <w:tcW w:w="452" w:type="pct"/>
            <w:tcBorders>
              <w:top w:val="single" w:color="auto" w:sz="4" w:space="0"/>
              <w:left w:val="nil"/>
              <w:bottom w:val="single" w:color="auto" w:sz="4" w:space="0"/>
              <w:right w:val="single" w:color="000000" w:sz="8" w:space="0"/>
            </w:tcBorders>
            <w:shd w:val="clear" w:color="auto" w:fill="auto"/>
            <w:vAlign w:val="center"/>
          </w:tcPr>
          <w:p w14:paraId="792E71D4">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主观分</w:t>
            </w:r>
          </w:p>
        </w:tc>
        <w:tc>
          <w:tcPr>
            <w:tcW w:w="513" w:type="pct"/>
            <w:tcBorders>
              <w:top w:val="single" w:color="auto" w:sz="4" w:space="0"/>
              <w:left w:val="nil"/>
              <w:bottom w:val="single" w:color="auto" w:sz="4" w:space="0"/>
              <w:right w:val="single" w:color="000000" w:sz="8" w:space="0"/>
            </w:tcBorders>
            <w:shd w:val="clear" w:color="auto" w:fill="auto"/>
            <w:vAlign w:val="center"/>
          </w:tcPr>
          <w:p w14:paraId="05D1CE07">
            <w:pPr>
              <w:spacing w:line="360" w:lineRule="auto"/>
              <w:jc w:val="center"/>
              <w:rPr>
                <w:rFonts w:hint="eastAsia" w:ascii="宋体" w:hAnsi="宋体" w:cs="宋体"/>
                <w:color w:val="000000" w:themeColor="text1"/>
                <w:sz w:val="24"/>
                <w14:textFill>
                  <w14:solidFill>
                    <w14:schemeClr w14:val="tx1"/>
                  </w14:solidFill>
                </w14:textFill>
              </w:rPr>
            </w:pPr>
          </w:p>
        </w:tc>
      </w:tr>
      <w:tr w14:paraId="62DB0BED">
        <w:tblPrEx>
          <w:tblCellMar>
            <w:top w:w="0" w:type="dxa"/>
            <w:left w:w="108" w:type="dxa"/>
            <w:bottom w:w="0" w:type="dxa"/>
            <w:right w:w="108" w:type="dxa"/>
          </w:tblCellMar>
        </w:tblPrEx>
        <w:trPr>
          <w:trHeight w:val="1167" w:hRule="atLeast"/>
        </w:trPr>
        <w:tc>
          <w:tcPr>
            <w:tcW w:w="492" w:type="pct"/>
            <w:vMerge w:val="restart"/>
            <w:tcBorders>
              <w:top w:val="single" w:color="auto" w:sz="4" w:space="0"/>
              <w:left w:val="single" w:color="000000" w:sz="8" w:space="0"/>
              <w:bottom w:val="single" w:color="000000" w:sz="8" w:space="0"/>
              <w:right w:val="single" w:color="000000" w:sz="8" w:space="0"/>
            </w:tcBorders>
            <w:shd w:val="clear" w:color="auto" w:fill="auto"/>
            <w:noWrap/>
            <w:vAlign w:val="center"/>
          </w:tcPr>
          <w:p w14:paraId="2029A8D7">
            <w:pPr>
              <w:widowControl/>
              <w:spacing w:line="360" w:lineRule="auto"/>
              <w:jc w:val="center"/>
              <w:textAlignment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4</w:t>
            </w:r>
          </w:p>
        </w:tc>
        <w:tc>
          <w:tcPr>
            <w:tcW w:w="622" w:type="pct"/>
            <w:vMerge w:val="restart"/>
            <w:tcBorders>
              <w:top w:val="single" w:color="auto" w:sz="4" w:space="0"/>
              <w:left w:val="nil"/>
              <w:bottom w:val="single" w:color="000000" w:sz="8" w:space="0"/>
              <w:right w:val="single" w:color="000000" w:sz="8" w:space="0"/>
            </w:tcBorders>
            <w:shd w:val="clear" w:color="auto" w:fill="auto"/>
            <w:vAlign w:val="center"/>
          </w:tcPr>
          <w:p w14:paraId="793EF53A">
            <w:pPr>
              <w:widowControl/>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功能响应符合性</w:t>
            </w:r>
          </w:p>
        </w:tc>
        <w:tc>
          <w:tcPr>
            <w:tcW w:w="2531" w:type="pct"/>
            <w:tcBorders>
              <w:top w:val="single" w:color="auto" w:sz="4" w:space="0"/>
              <w:left w:val="nil"/>
              <w:bottom w:val="single" w:color="000000" w:sz="8" w:space="0"/>
              <w:right w:val="single" w:color="000000" w:sz="8" w:space="0"/>
            </w:tcBorders>
            <w:shd w:val="clear" w:color="auto" w:fill="auto"/>
            <w:vAlign w:val="center"/>
          </w:tcPr>
          <w:p w14:paraId="7F52A9F4">
            <w:pPr>
              <w:widowControl/>
              <w:spacing w:line="360" w:lineRule="auto"/>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投标人详细阐述对软件功能实现方面的理解情况和所采取的技术水平，以及整体功能的完整性情况，投标人针对本项目系统建设需求模块功能模块提供文字、图片进行设计描述。</w:t>
            </w:r>
          </w:p>
        </w:tc>
        <w:tc>
          <w:tcPr>
            <w:tcW w:w="385" w:type="pct"/>
            <w:tcBorders>
              <w:top w:val="single" w:color="auto" w:sz="4" w:space="0"/>
              <w:left w:val="nil"/>
              <w:bottom w:val="single" w:color="auto" w:sz="4" w:space="0"/>
              <w:right w:val="single" w:color="000000" w:sz="8" w:space="0"/>
            </w:tcBorders>
            <w:shd w:val="clear" w:color="auto" w:fill="auto"/>
            <w:vAlign w:val="center"/>
          </w:tcPr>
          <w:p w14:paraId="214EE775">
            <w:pPr>
              <w:widowControl/>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w:t>
            </w:r>
          </w:p>
        </w:tc>
        <w:tc>
          <w:tcPr>
            <w:tcW w:w="452" w:type="pct"/>
            <w:tcBorders>
              <w:top w:val="single" w:color="auto" w:sz="4" w:space="0"/>
              <w:left w:val="nil"/>
              <w:bottom w:val="single" w:color="auto" w:sz="4" w:space="0"/>
              <w:right w:val="single" w:color="000000" w:sz="8" w:space="0"/>
            </w:tcBorders>
            <w:shd w:val="clear" w:color="auto" w:fill="auto"/>
            <w:vAlign w:val="center"/>
          </w:tcPr>
          <w:p w14:paraId="6B124A0B">
            <w:pPr>
              <w:widowControl/>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w:t>
            </w:r>
          </w:p>
        </w:tc>
        <w:tc>
          <w:tcPr>
            <w:tcW w:w="513" w:type="pct"/>
            <w:tcBorders>
              <w:top w:val="single" w:color="auto" w:sz="4" w:space="0"/>
              <w:left w:val="nil"/>
              <w:bottom w:val="single" w:color="auto" w:sz="4" w:space="0"/>
              <w:right w:val="single" w:color="000000" w:sz="8" w:space="0"/>
            </w:tcBorders>
            <w:shd w:val="clear" w:color="auto" w:fill="auto"/>
            <w:vAlign w:val="center"/>
          </w:tcPr>
          <w:p w14:paraId="37AF8055">
            <w:pPr>
              <w:spacing w:line="360" w:lineRule="auto"/>
              <w:rPr>
                <w:rFonts w:hint="eastAsia" w:ascii="宋体" w:hAnsi="宋体" w:cs="宋体"/>
                <w:color w:val="000000" w:themeColor="text1"/>
                <w:sz w:val="24"/>
                <w14:textFill>
                  <w14:solidFill>
                    <w14:schemeClr w14:val="tx1"/>
                  </w14:solidFill>
                </w14:textFill>
              </w:rPr>
            </w:pPr>
          </w:p>
        </w:tc>
      </w:tr>
      <w:tr w14:paraId="1B60F777">
        <w:tblPrEx>
          <w:tblCellMar>
            <w:top w:w="0" w:type="dxa"/>
            <w:left w:w="108" w:type="dxa"/>
            <w:bottom w:w="0" w:type="dxa"/>
            <w:right w:w="108" w:type="dxa"/>
          </w:tblCellMar>
        </w:tblPrEx>
        <w:trPr>
          <w:trHeight w:val="591" w:hRule="atLeast"/>
        </w:trPr>
        <w:tc>
          <w:tcPr>
            <w:tcW w:w="492" w:type="pct"/>
            <w:vMerge w:val="continue"/>
            <w:tcBorders>
              <w:top w:val="nil"/>
              <w:left w:val="single" w:color="000000" w:sz="8" w:space="0"/>
              <w:bottom w:val="single" w:color="000000" w:sz="8" w:space="0"/>
              <w:right w:val="single" w:color="000000" w:sz="8" w:space="0"/>
            </w:tcBorders>
            <w:shd w:val="clear" w:color="auto" w:fill="auto"/>
            <w:noWrap/>
            <w:vAlign w:val="center"/>
          </w:tcPr>
          <w:p w14:paraId="08657524">
            <w:pPr>
              <w:spacing w:line="360" w:lineRule="auto"/>
              <w:jc w:val="center"/>
              <w:rPr>
                <w:rFonts w:hint="eastAsia" w:ascii="宋体" w:hAnsi="宋体" w:cs="宋体"/>
                <w:b/>
                <w:bCs/>
                <w:color w:val="000000" w:themeColor="text1"/>
                <w:sz w:val="24"/>
                <w14:textFill>
                  <w14:solidFill>
                    <w14:schemeClr w14:val="tx1"/>
                  </w14:solidFill>
                </w14:textFill>
              </w:rPr>
            </w:pPr>
          </w:p>
        </w:tc>
        <w:tc>
          <w:tcPr>
            <w:tcW w:w="622" w:type="pct"/>
            <w:vMerge w:val="continue"/>
            <w:tcBorders>
              <w:top w:val="nil"/>
              <w:left w:val="nil"/>
              <w:bottom w:val="single" w:color="000000" w:sz="8" w:space="0"/>
              <w:right w:val="single" w:color="000000" w:sz="8" w:space="0"/>
            </w:tcBorders>
            <w:shd w:val="clear" w:color="auto" w:fill="auto"/>
            <w:vAlign w:val="center"/>
          </w:tcPr>
          <w:p w14:paraId="374BAB17">
            <w:pPr>
              <w:spacing w:line="360" w:lineRule="auto"/>
              <w:jc w:val="center"/>
              <w:rPr>
                <w:rFonts w:hint="eastAsia" w:ascii="宋体" w:hAnsi="宋体" w:cs="宋体"/>
                <w:color w:val="000000" w:themeColor="text1"/>
                <w:sz w:val="24"/>
                <w14:textFill>
                  <w14:solidFill>
                    <w14:schemeClr w14:val="tx1"/>
                  </w14:solidFill>
                </w14:textFill>
              </w:rPr>
            </w:pPr>
          </w:p>
        </w:tc>
        <w:tc>
          <w:tcPr>
            <w:tcW w:w="2531" w:type="pct"/>
            <w:tcBorders>
              <w:top w:val="nil"/>
              <w:left w:val="nil"/>
              <w:bottom w:val="single" w:color="000000" w:sz="8" w:space="0"/>
              <w:right w:val="single" w:color="000000" w:sz="8" w:space="0"/>
            </w:tcBorders>
            <w:shd w:val="clear" w:color="auto" w:fill="auto"/>
            <w:vAlign w:val="center"/>
          </w:tcPr>
          <w:p w14:paraId="6CEF4FFE">
            <w:pPr>
              <w:widowControl/>
              <w:spacing w:line="360" w:lineRule="auto"/>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（1）上城区街道人大工作系统，包括：数据晾晒、区街联动、监督工作、居民议事模块，根据方案的完整性、符合性进行打分。（得分：3、2、1、0）</w:t>
            </w:r>
          </w:p>
        </w:tc>
        <w:tc>
          <w:tcPr>
            <w:tcW w:w="385" w:type="pct"/>
            <w:tcBorders>
              <w:top w:val="single" w:color="auto" w:sz="4" w:space="0"/>
              <w:left w:val="nil"/>
              <w:bottom w:val="single" w:color="auto" w:sz="4" w:space="0"/>
              <w:right w:val="single" w:color="000000" w:sz="8" w:space="0"/>
            </w:tcBorders>
            <w:shd w:val="clear" w:color="auto" w:fill="auto"/>
            <w:vAlign w:val="center"/>
          </w:tcPr>
          <w:p w14:paraId="33DCBDC8">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w:t>
            </w:r>
          </w:p>
        </w:tc>
        <w:tc>
          <w:tcPr>
            <w:tcW w:w="452" w:type="pct"/>
            <w:tcBorders>
              <w:top w:val="single" w:color="auto" w:sz="4" w:space="0"/>
              <w:left w:val="nil"/>
              <w:bottom w:val="single" w:color="auto" w:sz="4" w:space="0"/>
              <w:right w:val="single" w:color="000000" w:sz="8" w:space="0"/>
            </w:tcBorders>
            <w:shd w:val="clear" w:color="auto" w:fill="auto"/>
            <w:vAlign w:val="center"/>
          </w:tcPr>
          <w:p w14:paraId="36697AE6">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主观分</w:t>
            </w:r>
          </w:p>
        </w:tc>
        <w:tc>
          <w:tcPr>
            <w:tcW w:w="513" w:type="pct"/>
            <w:tcBorders>
              <w:top w:val="single" w:color="auto" w:sz="4" w:space="0"/>
              <w:left w:val="nil"/>
              <w:bottom w:val="single" w:color="auto" w:sz="4" w:space="0"/>
              <w:right w:val="single" w:color="000000" w:sz="8" w:space="0"/>
            </w:tcBorders>
            <w:shd w:val="clear" w:color="auto" w:fill="auto"/>
            <w:vAlign w:val="center"/>
          </w:tcPr>
          <w:p w14:paraId="079C89D9">
            <w:pPr>
              <w:spacing w:line="360" w:lineRule="auto"/>
              <w:rPr>
                <w:rFonts w:hint="eastAsia" w:ascii="宋体" w:hAnsi="宋体" w:cs="宋体"/>
                <w:color w:val="000000" w:themeColor="text1"/>
                <w:sz w:val="24"/>
                <w14:textFill>
                  <w14:solidFill>
                    <w14:schemeClr w14:val="tx1"/>
                  </w14:solidFill>
                </w14:textFill>
              </w:rPr>
            </w:pPr>
          </w:p>
        </w:tc>
      </w:tr>
      <w:tr w14:paraId="7D6A7D40">
        <w:tblPrEx>
          <w:tblCellMar>
            <w:top w:w="0" w:type="dxa"/>
            <w:left w:w="108" w:type="dxa"/>
            <w:bottom w:w="0" w:type="dxa"/>
            <w:right w:w="108" w:type="dxa"/>
          </w:tblCellMar>
        </w:tblPrEx>
        <w:trPr>
          <w:trHeight w:val="1167" w:hRule="atLeast"/>
        </w:trPr>
        <w:tc>
          <w:tcPr>
            <w:tcW w:w="492" w:type="pct"/>
            <w:vMerge w:val="continue"/>
            <w:tcBorders>
              <w:top w:val="nil"/>
              <w:left w:val="single" w:color="000000" w:sz="8" w:space="0"/>
              <w:bottom w:val="single" w:color="000000" w:sz="8" w:space="0"/>
              <w:right w:val="single" w:color="000000" w:sz="8" w:space="0"/>
            </w:tcBorders>
            <w:shd w:val="clear" w:color="auto" w:fill="auto"/>
            <w:noWrap/>
            <w:vAlign w:val="center"/>
          </w:tcPr>
          <w:p w14:paraId="72025B75">
            <w:pPr>
              <w:spacing w:line="360" w:lineRule="auto"/>
              <w:jc w:val="center"/>
              <w:rPr>
                <w:rFonts w:hint="eastAsia" w:ascii="宋体" w:hAnsi="宋体" w:cs="宋体"/>
                <w:b/>
                <w:bCs/>
                <w:color w:val="000000" w:themeColor="text1"/>
                <w:sz w:val="24"/>
                <w14:textFill>
                  <w14:solidFill>
                    <w14:schemeClr w14:val="tx1"/>
                  </w14:solidFill>
                </w14:textFill>
              </w:rPr>
            </w:pPr>
          </w:p>
        </w:tc>
        <w:tc>
          <w:tcPr>
            <w:tcW w:w="622" w:type="pct"/>
            <w:vMerge w:val="continue"/>
            <w:tcBorders>
              <w:top w:val="nil"/>
              <w:left w:val="nil"/>
              <w:bottom w:val="single" w:color="000000" w:sz="8" w:space="0"/>
              <w:right w:val="single" w:color="000000" w:sz="8" w:space="0"/>
            </w:tcBorders>
            <w:shd w:val="clear" w:color="auto" w:fill="auto"/>
            <w:vAlign w:val="center"/>
          </w:tcPr>
          <w:p w14:paraId="5F7B7F6E">
            <w:pPr>
              <w:spacing w:line="360" w:lineRule="auto"/>
              <w:jc w:val="center"/>
              <w:rPr>
                <w:rFonts w:hint="eastAsia" w:ascii="宋体" w:hAnsi="宋体" w:cs="宋体"/>
                <w:color w:val="000000" w:themeColor="text1"/>
                <w:sz w:val="24"/>
                <w14:textFill>
                  <w14:solidFill>
                    <w14:schemeClr w14:val="tx1"/>
                  </w14:solidFill>
                </w14:textFill>
              </w:rPr>
            </w:pPr>
          </w:p>
        </w:tc>
        <w:tc>
          <w:tcPr>
            <w:tcW w:w="2531" w:type="pct"/>
            <w:tcBorders>
              <w:top w:val="nil"/>
              <w:left w:val="nil"/>
              <w:bottom w:val="single" w:color="000000" w:sz="8" w:space="0"/>
              <w:right w:val="single" w:color="000000" w:sz="8" w:space="0"/>
            </w:tcBorders>
            <w:shd w:val="clear" w:color="auto" w:fill="auto"/>
            <w:vAlign w:val="center"/>
          </w:tcPr>
          <w:p w14:paraId="1FD47668">
            <w:pPr>
              <w:widowControl/>
              <w:spacing w:line="360" w:lineRule="auto"/>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执法检查、听取审议专项报告系统，包括：议题确认、前期准备、现场检查、会议审议、意见处理、先期调研及交换意见、听取和审议报告、专班审议意见，根据方案的完整性、符合性进行打分。（得分：3、2、1、0）</w:t>
            </w:r>
          </w:p>
        </w:tc>
        <w:tc>
          <w:tcPr>
            <w:tcW w:w="385" w:type="pct"/>
            <w:tcBorders>
              <w:top w:val="single" w:color="auto" w:sz="4" w:space="0"/>
              <w:left w:val="nil"/>
              <w:bottom w:val="single" w:color="auto" w:sz="4" w:space="0"/>
              <w:right w:val="single" w:color="000000" w:sz="8" w:space="0"/>
            </w:tcBorders>
            <w:shd w:val="clear" w:color="auto" w:fill="auto"/>
            <w:vAlign w:val="center"/>
          </w:tcPr>
          <w:p w14:paraId="34CF2649">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w:t>
            </w:r>
          </w:p>
        </w:tc>
        <w:tc>
          <w:tcPr>
            <w:tcW w:w="452" w:type="pct"/>
            <w:tcBorders>
              <w:top w:val="single" w:color="auto" w:sz="4" w:space="0"/>
              <w:left w:val="nil"/>
              <w:bottom w:val="single" w:color="auto" w:sz="4" w:space="0"/>
              <w:right w:val="single" w:color="000000" w:sz="8" w:space="0"/>
            </w:tcBorders>
            <w:shd w:val="clear" w:color="auto" w:fill="auto"/>
            <w:vAlign w:val="center"/>
          </w:tcPr>
          <w:p w14:paraId="09FC8255">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主观分</w:t>
            </w:r>
          </w:p>
        </w:tc>
        <w:tc>
          <w:tcPr>
            <w:tcW w:w="513" w:type="pct"/>
            <w:tcBorders>
              <w:top w:val="single" w:color="auto" w:sz="4" w:space="0"/>
              <w:left w:val="nil"/>
              <w:bottom w:val="single" w:color="auto" w:sz="4" w:space="0"/>
              <w:right w:val="single" w:color="000000" w:sz="8" w:space="0"/>
            </w:tcBorders>
            <w:shd w:val="clear" w:color="auto" w:fill="auto"/>
            <w:vAlign w:val="center"/>
          </w:tcPr>
          <w:p w14:paraId="3720B91E">
            <w:pPr>
              <w:spacing w:line="360" w:lineRule="auto"/>
              <w:rPr>
                <w:rFonts w:hint="eastAsia" w:ascii="宋体" w:hAnsi="宋体" w:cs="宋体"/>
                <w:color w:val="000000" w:themeColor="text1"/>
                <w:sz w:val="24"/>
                <w14:textFill>
                  <w14:solidFill>
                    <w14:schemeClr w14:val="tx1"/>
                  </w14:solidFill>
                </w14:textFill>
              </w:rPr>
            </w:pPr>
          </w:p>
        </w:tc>
      </w:tr>
      <w:tr w14:paraId="3EDFE302">
        <w:tblPrEx>
          <w:tblCellMar>
            <w:top w:w="0" w:type="dxa"/>
            <w:left w:w="108" w:type="dxa"/>
            <w:bottom w:w="0" w:type="dxa"/>
            <w:right w:w="108" w:type="dxa"/>
          </w:tblCellMar>
        </w:tblPrEx>
        <w:trPr>
          <w:trHeight w:val="879" w:hRule="atLeast"/>
        </w:trPr>
        <w:tc>
          <w:tcPr>
            <w:tcW w:w="492" w:type="pct"/>
            <w:vMerge w:val="continue"/>
            <w:tcBorders>
              <w:top w:val="nil"/>
              <w:left w:val="single" w:color="000000" w:sz="8" w:space="0"/>
              <w:bottom w:val="single" w:color="000000" w:sz="8" w:space="0"/>
              <w:right w:val="single" w:color="000000" w:sz="8" w:space="0"/>
            </w:tcBorders>
            <w:shd w:val="clear" w:color="auto" w:fill="auto"/>
            <w:noWrap/>
            <w:vAlign w:val="center"/>
          </w:tcPr>
          <w:p w14:paraId="7953F9C8">
            <w:pPr>
              <w:spacing w:line="360" w:lineRule="auto"/>
              <w:jc w:val="center"/>
              <w:rPr>
                <w:rFonts w:hint="eastAsia" w:ascii="宋体" w:hAnsi="宋体" w:cs="宋体"/>
                <w:b/>
                <w:bCs/>
                <w:color w:val="000000" w:themeColor="text1"/>
                <w:sz w:val="24"/>
                <w14:textFill>
                  <w14:solidFill>
                    <w14:schemeClr w14:val="tx1"/>
                  </w14:solidFill>
                </w14:textFill>
              </w:rPr>
            </w:pPr>
          </w:p>
        </w:tc>
        <w:tc>
          <w:tcPr>
            <w:tcW w:w="622" w:type="pct"/>
            <w:vMerge w:val="continue"/>
            <w:tcBorders>
              <w:top w:val="nil"/>
              <w:left w:val="nil"/>
              <w:bottom w:val="single" w:color="000000" w:sz="8" w:space="0"/>
              <w:right w:val="single" w:color="000000" w:sz="8" w:space="0"/>
            </w:tcBorders>
            <w:shd w:val="clear" w:color="auto" w:fill="auto"/>
            <w:vAlign w:val="center"/>
          </w:tcPr>
          <w:p w14:paraId="25A25F79">
            <w:pPr>
              <w:spacing w:line="360" w:lineRule="auto"/>
              <w:jc w:val="center"/>
              <w:rPr>
                <w:rFonts w:hint="eastAsia" w:ascii="宋体" w:hAnsi="宋体" w:cs="宋体"/>
                <w:color w:val="000000" w:themeColor="text1"/>
                <w:sz w:val="24"/>
                <w14:textFill>
                  <w14:solidFill>
                    <w14:schemeClr w14:val="tx1"/>
                  </w14:solidFill>
                </w14:textFill>
              </w:rPr>
            </w:pPr>
          </w:p>
        </w:tc>
        <w:tc>
          <w:tcPr>
            <w:tcW w:w="2531" w:type="pct"/>
            <w:tcBorders>
              <w:top w:val="nil"/>
              <w:left w:val="nil"/>
              <w:bottom w:val="single" w:color="000000" w:sz="8" w:space="0"/>
              <w:right w:val="single" w:color="000000" w:sz="8" w:space="0"/>
            </w:tcBorders>
            <w:shd w:val="clear" w:color="auto" w:fill="auto"/>
            <w:vAlign w:val="center"/>
          </w:tcPr>
          <w:p w14:paraId="61357B7F">
            <w:pPr>
              <w:widowControl/>
              <w:spacing w:line="360" w:lineRule="auto"/>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（3）代表在线应用场景应用，包括：</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代表码、履职云、监督在线、建议在线、联民在线、学习在线、积分在线，根据方案的完整性、符合性进行打分。（得分：3、2、1、0）</w:t>
            </w:r>
          </w:p>
        </w:tc>
        <w:tc>
          <w:tcPr>
            <w:tcW w:w="385" w:type="pct"/>
            <w:tcBorders>
              <w:top w:val="single" w:color="auto" w:sz="4" w:space="0"/>
              <w:left w:val="nil"/>
              <w:bottom w:val="single" w:color="auto" w:sz="4" w:space="0"/>
              <w:right w:val="single" w:color="000000" w:sz="8" w:space="0"/>
            </w:tcBorders>
            <w:shd w:val="clear" w:color="auto" w:fill="auto"/>
            <w:vAlign w:val="center"/>
          </w:tcPr>
          <w:p w14:paraId="5BCFAF78">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w:t>
            </w:r>
          </w:p>
        </w:tc>
        <w:tc>
          <w:tcPr>
            <w:tcW w:w="452" w:type="pct"/>
            <w:tcBorders>
              <w:top w:val="single" w:color="auto" w:sz="4" w:space="0"/>
              <w:left w:val="nil"/>
              <w:bottom w:val="single" w:color="auto" w:sz="4" w:space="0"/>
              <w:right w:val="single" w:color="000000" w:sz="8" w:space="0"/>
            </w:tcBorders>
            <w:shd w:val="clear" w:color="auto" w:fill="auto"/>
            <w:vAlign w:val="center"/>
          </w:tcPr>
          <w:p w14:paraId="498B83DB">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主观分</w:t>
            </w:r>
          </w:p>
        </w:tc>
        <w:tc>
          <w:tcPr>
            <w:tcW w:w="513" w:type="pct"/>
            <w:tcBorders>
              <w:top w:val="single" w:color="auto" w:sz="4" w:space="0"/>
              <w:left w:val="nil"/>
              <w:bottom w:val="single" w:color="auto" w:sz="4" w:space="0"/>
              <w:right w:val="single" w:color="000000" w:sz="8" w:space="0"/>
            </w:tcBorders>
            <w:shd w:val="clear" w:color="auto" w:fill="auto"/>
            <w:vAlign w:val="center"/>
          </w:tcPr>
          <w:p w14:paraId="084E4CAB">
            <w:pPr>
              <w:spacing w:line="360" w:lineRule="auto"/>
              <w:rPr>
                <w:rFonts w:hint="eastAsia" w:ascii="宋体" w:hAnsi="宋体" w:cs="宋体"/>
                <w:color w:val="000000" w:themeColor="text1"/>
                <w:sz w:val="24"/>
                <w14:textFill>
                  <w14:solidFill>
                    <w14:schemeClr w14:val="tx1"/>
                  </w14:solidFill>
                </w14:textFill>
              </w:rPr>
            </w:pPr>
          </w:p>
        </w:tc>
      </w:tr>
      <w:tr w14:paraId="2A2D5D17">
        <w:tblPrEx>
          <w:tblCellMar>
            <w:top w:w="0" w:type="dxa"/>
            <w:left w:w="108" w:type="dxa"/>
            <w:bottom w:w="0" w:type="dxa"/>
            <w:right w:w="108" w:type="dxa"/>
          </w:tblCellMar>
        </w:tblPrEx>
        <w:trPr>
          <w:trHeight w:val="879" w:hRule="atLeast"/>
        </w:trPr>
        <w:tc>
          <w:tcPr>
            <w:tcW w:w="492" w:type="pct"/>
            <w:vMerge w:val="continue"/>
            <w:tcBorders>
              <w:top w:val="nil"/>
              <w:left w:val="single" w:color="000000" w:sz="8" w:space="0"/>
              <w:bottom w:val="single" w:color="000000" w:sz="8" w:space="0"/>
              <w:right w:val="single" w:color="000000" w:sz="8" w:space="0"/>
            </w:tcBorders>
            <w:shd w:val="clear" w:color="auto" w:fill="auto"/>
            <w:noWrap/>
            <w:vAlign w:val="center"/>
          </w:tcPr>
          <w:p w14:paraId="2E14A7FB">
            <w:pPr>
              <w:spacing w:line="360" w:lineRule="auto"/>
              <w:jc w:val="center"/>
              <w:rPr>
                <w:rFonts w:hint="eastAsia" w:ascii="宋体" w:hAnsi="宋体" w:cs="宋体"/>
                <w:b/>
                <w:bCs/>
                <w:color w:val="000000" w:themeColor="text1"/>
                <w:sz w:val="24"/>
                <w14:textFill>
                  <w14:solidFill>
                    <w14:schemeClr w14:val="tx1"/>
                  </w14:solidFill>
                </w14:textFill>
              </w:rPr>
            </w:pPr>
          </w:p>
        </w:tc>
        <w:tc>
          <w:tcPr>
            <w:tcW w:w="622" w:type="pct"/>
            <w:vMerge w:val="continue"/>
            <w:tcBorders>
              <w:top w:val="nil"/>
              <w:left w:val="nil"/>
              <w:bottom w:val="single" w:color="000000" w:sz="8" w:space="0"/>
              <w:right w:val="single" w:color="000000" w:sz="8" w:space="0"/>
            </w:tcBorders>
            <w:shd w:val="clear" w:color="auto" w:fill="auto"/>
            <w:vAlign w:val="center"/>
          </w:tcPr>
          <w:p w14:paraId="697D235E">
            <w:pPr>
              <w:spacing w:line="360" w:lineRule="auto"/>
              <w:jc w:val="center"/>
              <w:rPr>
                <w:rFonts w:hint="eastAsia" w:ascii="宋体" w:hAnsi="宋体" w:cs="宋体"/>
                <w:color w:val="000000" w:themeColor="text1"/>
                <w:sz w:val="24"/>
                <w14:textFill>
                  <w14:solidFill>
                    <w14:schemeClr w14:val="tx1"/>
                  </w14:solidFill>
                </w14:textFill>
              </w:rPr>
            </w:pPr>
          </w:p>
        </w:tc>
        <w:tc>
          <w:tcPr>
            <w:tcW w:w="2531" w:type="pct"/>
            <w:tcBorders>
              <w:top w:val="nil"/>
              <w:left w:val="nil"/>
              <w:bottom w:val="single" w:color="000000" w:sz="8" w:space="0"/>
              <w:right w:val="single" w:color="000000" w:sz="8" w:space="0"/>
            </w:tcBorders>
            <w:shd w:val="clear" w:color="auto" w:fill="auto"/>
            <w:vAlign w:val="center"/>
          </w:tcPr>
          <w:p w14:paraId="00C2CF87">
            <w:pPr>
              <w:widowControl/>
              <w:spacing w:line="360" w:lineRule="auto"/>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（4）民生实事项目监督系统，包括：</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项目征集、项目票决、项目登记、项目实施进度公开、民生地图、跟踪监督、满意度测评，根据方案的完整性、符合性进行打分。（得分：3、2、1、0）</w:t>
            </w:r>
          </w:p>
        </w:tc>
        <w:tc>
          <w:tcPr>
            <w:tcW w:w="385" w:type="pct"/>
            <w:tcBorders>
              <w:top w:val="single" w:color="auto" w:sz="4" w:space="0"/>
              <w:left w:val="nil"/>
              <w:bottom w:val="single" w:color="auto" w:sz="4" w:space="0"/>
              <w:right w:val="single" w:color="000000" w:sz="8" w:space="0"/>
            </w:tcBorders>
            <w:shd w:val="clear" w:color="auto" w:fill="auto"/>
            <w:vAlign w:val="center"/>
          </w:tcPr>
          <w:p w14:paraId="4CA0239E">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w:t>
            </w:r>
          </w:p>
        </w:tc>
        <w:tc>
          <w:tcPr>
            <w:tcW w:w="452" w:type="pct"/>
            <w:tcBorders>
              <w:top w:val="single" w:color="auto" w:sz="4" w:space="0"/>
              <w:left w:val="nil"/>
              <w:bottom w:val="single" w:color="auto" w:sz="4" w:space="0"/>
              <w:right w:val="single" w:color="000000" w:sz="8" w:space="0"/>
            </w:tcBorders>
            <w:shd w:val="clear" w:color="auto" w:fill="auto"/>
            <w:vAlign w:val="center"/>
          </w:tcPr>
          <w:p w14:paraId="3683395F">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主观分</w:t>
            </w:r>
          </w:p>
        </w:tc>
        <w:tc>
          <w:tcPr>
            <w:tcW w:w="513" w:type="pct"/>
            <w:tcBorders>
              <w:top w:val="single" w:color="auto" w:sz="4" w:space="0"/>
              <w:left w:val="nil"/>
              <w:bottom w:val="single" w:color="auto" w:sz="4" w:space="0"/>
              <w:right w:val="single" w:color="000000" w:sz="8" w:space="0"/>
            </w:tcBorders>
            <w:shd w:val="clear" w:color="auto" w:fill="auto"/>
            <w:vAlign w:val="center"/>
          </w:tcPr>
          <w:p w14:paraId="633CAFB3">
            <w:pPr>
              <w:spacing w:line="360" w:lineRule="auto"/>
              <w:rPr>
                <w:rFonts w:hint="eastAsia" w:ascii="宋体" w:hAnsi="宋体" w:cs="宋体"/>
                <w:color w:val="000000" w:themeColor="text1"/>
                <w:sz w:val="24"/>
                <w14:textFill>
                  <w14:solidFill>
                    <w14:schemeClr w14:val="tx1"/>
                  </w14:solidFill>
                </w14:textFill>
              </w:rPr>
            </w:pPr>
          </w:p>
        </w:tc>
      </w:tr>
      <w:tr w14:paraId="1D3D5CA1">
        <w:tblPrEx>
          <w:tblCellMar>
            <w:top w:w="0" w:type="dxa"/>
            <w:left w:w="108" w:type="dxa"/>
            <w:bottom w:w="0" w:type="dxa"/>
            <w:right w:w="108" w:type="dxa"/>
          </w:tblCellMar>
        </w:tblPrEx>
        <w:trPr>
          <w:trHeight w:val="879" w:hRule="atLeast"/>
        </w:trPr>
        <w:tc>
          <w:tcPr>
            <w:tcW w:w="492" w:type="pct"/>
            <w:vMerge w:val="continue"/>
            <w:tcBorders>
              <w:top w:val="nil"/>
              <w:left w:val="single" w:color="000000" w:sz="8" w:space="0"/>
              <w:bottom w:val="single" w:color="000000" w:sz="8" w:space="0"/>
              <w:right w:val="single" w:color="000000" w:sz="8" w:space="0"/>
            </w:tcBorders>
            <w:shd w:val="clear" w:color="auto" w:fill="auto"/>
            <w:noWrap/>
            <w:vAlign w:val="center"/>
          </w:tcPr>
          <w:p w14:paraId="295906E3">
            <w:pPr>
              <w:spacing w:line="360" w:lineRule="auto"/>
              <w:jc w:val="center"/>
              <w:rPr>
                <w:rFonts w:hint="eastAsia" w:ascii="宋体" w:hAnsi="宋体" w:cs="宋体"/>
                <w:b/>
                <w:bCs/>
                <w:color w:val="000000" w:themeColor="text1"/>
                <w:sz w:val="24"/>
                <w14:textFill>
                  <w14:solidFill>
                    <w14:schemeClr w14:val="tx1"/>
                  </w14:solidFill>
                </w14:textFill>
              </w:rPr>
            </w:pPr>
          </w:p>
        </w:tc>
        <w:tc>
          <w:tcPr>
            <w:tcW w:w="622" w:type="pct"/>
            <w:vMerge w:val="continue"/>
            <w:tcBorders>
              <w:top w:val="nil"/>
              <w:left w:val="nil"/>
              <w:bottom w:val="single" w:color="000000" w:sz="8" w:space="0"/>
              <w:right w:val="single" w:color="000000" w:sz="8" w:space="0"/>
            </w:tcBorders>
            <w:shd w:val="clear" w:color="auto" w:fill="auto"/>
            <w:vAlign w:val="center"/>
          </w:tcPr>
          <w:p w14:paraId="5769E989">
            <w:pPr>
              <w:spacing w:line="360" w:lineRule="auto"/>
              <w:jc w:val="center"/>
              <w:rPr>
                <w:rFonts w:hint="eastAsia" w:ascii="宋体" w:hAnsi="宋体" w:cs="宋体"/>
                <w:color w:val="000000" w:themeColor="text1"/>
                <w:sz w:val="24"/>
                <w14:textFill>
                  <w14:solidFill>
                    <w14:schemeClr w14:val="tx1"/>
                  </w14:solidFill>
                </w14:textFill>
              </w:rPr>
            </w:pPr>
          </w:p>
        </w:tc>
        <w:tc>
          <w:tcPr>
            <w:tcW w:w="2531" w:type="pct"/>
            <w:tcBorders>
              <w:top w:val="nil"/>
              <w:left w:val="nil"/>
              <w:bottom w:val="single" w:color="000000" w:sz="8" w:space="0"/>
              <w:right w:val="single" w:color="000000" w:sz="8" w:space="0"/>
            </w:tcBorders>
            <w:shd w:val="clear" w:color="auto" w:fill="auto"/>
            <w:vAlign w:val="center"/>
          </w:tcPr>
          <w:p w14:paraId="15311A05">
            <w:pPr>
              <w:widowControl/>
              <w:spacing w:line="360" w:lineRule="auto"/>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代表联系群众、意见处理反馈系统，包括：群众码上询、代表掌上应用、镇街道人大审核、区人大审核、联络站实时督、人大机关全程督、对接省基层治理四平台，根据方案的完整性、符合性进行打分。（得分：3、2、1、0）</w:t>
            </w:r>
          </w:p>
        </w:tc>
        <w:tc>
          <w:tcPr>
            <w:tcW w:w="385" w:type="pct"/>
            <w:tcBorders>
              <w:top w:val="single" w:color="auto" w:sz="4" w:space="0"/>
              <w:left w:val="nil"/>
              <w:bottom w:val="single" w:color="auto" w:sz="4" w:space="0"/>
              <w:right w:val="single" w:color="000000" w:sz="8" w:space="0"/>
            </w:tcBorders>
            <w:shd w:val="clear" w:color="auto" w:fill="auto"/>
            <w:vAlign w:val="center"/>
          </w:tcPr>
          <w:p w14:paraId="17BFDEDA">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w:t>
            </w:r>
          </w:p>
        </w:tc>
        <w:tc>
          <w:tcPr>
            <w:tcW w:w="452" w:type="pct"/>
            <w:tcBorders>
              <w:top w:val="single" w:color="auto" w:sz="4" w:space="0"/>
              <w:left w:val="nil"/>
              <w:bottom w:val="single" w:color="auto" w:sz="4" w:space="0"/>
              <w:right w:val="single" w:color="000000" w:sz="8" w:space="0"/>
            </w:tcBorders>
            <w:shd w:val="clear" w:color="auto" w:fill="auto"/>
            <w:vAlign w:val="center"/>
          </w:tcPr>
          <w:p w14:paraId="36D50B0A">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主观分</w:t>
            </w:r>
          </w:p>
        </w:tc>
        <w:tc>
          <w:tcPr>
            <w:tcW w:w="513" w:type="pct"/>
            <w:tcBorders>
              <w:top w:val="single" w:color="auto" w:sz="4" w:space="0"/>
              <w:left w:val="nil"/>
              <w:bottom w:val="single" w:color="auto" w:sz="4" w:space="0"/>
              <w:right w:val="single" w:color="000000" w:sz="8" w:space="0"/>
            </w:tcBorders>
            <w:shd w:val="clear" w:color="auto" w:fill="auto"/>
            <w:vAlign w:val="center"/>
          </w:tcPr>
          <w:p w14:paraId="2615612A">
            <w:pPr>
              <w:spacing w:line="360" w:lineRule="auto"/>
              <w:rPr>
                <w:rFonts w:hint="eastAsia" w:ascii="宋体" w:hAnsi="宋体" w:cs="宋体"/>
                <w:color w:val="000000" w:themeColor="text1"/>
                <w:sz w:val="24"/>
                <w14:textFill>
                  <w14:solidFill>
                    <w14:schemeClr w14:val="tx1"/>
                  </w14:solidFill>
                </w14:textFill>
              </w:rPr>
            </w:pPr>
          </w:p>
        </w:tc>
      </w:tr>
      <w:tr w14:paraId="33D654B9">
        <w:tblPrEx>
          <w:tblCellMar>
            <w:top w:w="0" w:type="dxa"/>
            <w:left w:w="108" w:type="dxa"/>
            <w:bottom w:w="0" w:type="dxa"/>
            <w:right w:w="108" w:type="dxa"/>
          </w:tblCellMar>
        </w:tblPrEx>
        <w:trPr>
          <w:trHeight w:val="879" w:hRule="atLeast"/>
        </w:trPr>
        <w:tc>
          <w:tcPr>
            <w:tcW w:w="492" w:type="pct"/>
            <w:vMerge w:val="continue"/>
            <w:tcBorders>
              <w:top w:val="nil"/>
              <w:left w:val="single" w:color="000000" w:sz="8" w:space="0"/>
              <w:bottom w:val="single" w:color="000000" w:sz="8" w:space="0"/>
              <w:right w:val="single" w:color="000000" w:sz="8" w:space="0"/>
            </w:tcBorders>
            <w:shd w:val="clear" w:color="auto" w:fill="auto"/>
            <w:noWrap/>
            <w:vAlign w:val="center"/>
          </w:tcPr>
          <w:p w14:paraId="56175432">
            <w:pPr>
              <w:spacing w:line="360" w:lineRule="auto"/>
              <w:jc w:val="center"/>
              <w:rPr>
                <w:rFonts w:hint="eastAsia" w:ascii="宋体" w:hAnsi="宋体" w:cs="宋体"/>
                <w:b/>
                <w:bCs/>
                <w:color w:val="000000" w:themeColor="text1"/>
                <w:sz w:val="24"/>
                <w14:textFill>
                  <w14:solidFill>
                    <w14:schemeClr w14:val="tx1"/>
                  </w14:solidFill>
                </w14:textFill>
              </w:rPr>
            </w:pPr>
          </w:p>
        </w:tc>
        <w:tc>
          <w:tcPr>
            <w:tcW w:w="622" w:type="pct"/>
            <w:vMerge w:val="continue"/>
            <w:tcBorders>
              <w:top w:val="nil"/>
              <w:left w:val="nil"/>
              <w:bottom w:val="single" w:color="000000" w:sz="8" w:space="0"/>
              <w:right w:val="single" w:color="000000" w:sz="8" w:space="0"/>
            </w:tcBorders>
            <w:shd w:val="clear" w:color="auto" w:fill="auto"/>
            <w:vAlign w:val="center"/>
          </w:tcPr>
          <w:p w14:paraId="5805D57C">
            <w:pPr>
              <w:spacing w:line="360" w:lineRule="auto"/>
              <w:jc w:val="center"/>
              <w:rPr>
                <w:rFonts w:hint="eastAsia" w:ascii="宋体" w:hAnsi="宋体" w:cs="宋体"/>
                <w:color w:val="000000" w:themeColor="text1"/>
                <w:sz w:val="24"/>
                <w14:textFill>
                  <w14:solidFill>
                    <w14:schemeClr w14:val="tx1"/>
                  </w14:solidFill>
                </w14:textFill>
              </w:rPr>
            </w:pPr>
          </w:p>
        </w:tc>
        <w:tc>
          <w:tcPr>
            <w:tcW w:w="2531" w:type="pct"/>
            <w:tcBorders>
              <w:top w:val="nil"/>
              <w:left w:val="nil"/>
              <w:bottom w:val="single" w:color="000000" w:sz="8" w:space="0"/>
              <w:right w:val="single" w:color="000000" w:sz="8" w:space="0"/>
            </w:tcBorders>
            <w:shd w:val="clear" w:color="auto" w:fill="auto"/>
            <w:vAlign w:val="center"/>
          </w:tcPr>
          <w:p w14:paraId="72DBCF49">
            <w:pPr>
              <w:widowControl/>
              <w:spacing w:line="360" w:lineRule="auto"/>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（6）议案建议办理应用场景应用，包括：云平台迁移、数据库适配，根据方案的完整性、符合性进行打分。（得分：3、2、1、0）</w:t>
            </w:r>
          </w:p>
        </w:tc>
        <w:tc>
          <w:tcPr>
            <w:tcW w:w="385" w:type="pct"/>
            <w:tcBorders>
              <w:top w:val="single" w:color="auto" w:sz="4" w:space="0"/>
              <w:left w:val="nil"/>
              <w:bottom w:val="single" w:color="auto" w:sz="4" w:space="0"/>
              <w:right w:val="single" w:color="000000" w:sz="8" w:space="0"/>
            </w:tcBorders>
            <w:shd w:val="clear" w:color="auto" w:fill="auto"/>
            <w:vAlign w:val="center"/>
          </w:tcPr>
          <w:p w14:paraId="75AC0A2B">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w:t>
            </w:r>
          </w:p>
        </w:tc>
        <w:tc>
          <w:tcPr>
            <w:tcW w:w="452" w:type="pct"/>
            <w:tcBorders>
              <w:top w:val="single" w:color="auto" w:sz="4" w:space="0"/>
              <w:left w:val="nil"/>
              <w:bottom w:val="single" w:color="auto" w:sz="4" w:space="0"/>
              <w:right w:val="single" w:color="000000" w:sz="8" w:space="0"/>
            </w:tcBorders>
            <w:shd w:val="clear" w:color="auto" w:fill="auto"/>
            <w:vAlign w:val="center"/>
          </w:tcPr>
          <w:p w14:paraId="640F0E21">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主观分</w:t>
            </w:r>
          </w:p>
        </w:tc>
        <w:tc>
          <w:tcPr>
            <w:tcW w:w="513" w:type="pct"/>
            <w:tcBorders>
              <w:top w:val="single" w:color="auto" w:sz="4" w:space="0"/>
              <w:left w:val="nil"/>
              <w:bottom w:val="single" w:color="auto" w:sz="4" w:space="0"/>
              <w:right w:val="single" w:color="000000" w:sz="8" w:space="0"/>
            </w:tcBorders>
            <w:shd w:val="clear" w:color="auto" w:fill="auto"/>
            <w:vAlign w:val="center"/>
          </w:tcPr>
          <w:p w14:paraId="309DE13B">
            <w:pPr>
              <w:spacing w:line="360" w:lineRule="auto"/>
              <w:rPr>
                <w:rFonts w:hint="eastAsia" w:ascii="宋体" w:hAnsi="宋体" w:cs="宋体"/>
                <w:color w:val="000000" w:themeColor="text1"/>
                <w:sz w:val="24"/>
                <w14:textFill>
                  <w14:solidFill>
                    <w14:schemeClr w14:val="tx1"/>
                  </w14:solidFill>
                </w14:textFill>
              </w:rPr>
            </w:pPr>
          </w:p>
        </w:tc>
      </w:tr>
      <w:tr w14:paraId="23AD7C5F">
        <w:tblPrEx>
          <w:tblCellMar>
            <w:top w:w="0" w:type="dxa"/>
            <w:left w:w="108" w:type="dxa"/>
            <w:bottom w:w="0" w:type="dxa"/>
            <w:right w:w="108" w:type="dxa"/>
          </w:tblCellMar>
        </w:tblPrEx>
        <w:trPr>
          <w:trHeight w:val="879" w:hRule="atLeast"/>
        </w:trPr>
        <w:tc>
          <w:tcPr>
            <w:tcW w:w="492" w:type="pct"/>
            <w:vMerge w:val="continue"/>
            <w:tcBorders>
              <w:top w:val="nil"/>
              <w:left w:val="single" w:color="000000" w:sz="8" w:space="0"/>
              <w:bottom w:val="single" w:color="000000" w:sz="8" w:space="0"/>
              <w:right w:val="single" w:color="000000" w:sz="8" w:space="0"/>
            </w:tcBorders>
            <w:shd w:val="clear" w:color="auto" w:fill="auto"/>
            <w:noWrap/>
            <w:vAlign w:val="center"/>
          </w:tcPr>
          <w:p w14:paraId="407D1134">
            <w:pPr>
              <w:spacing w:line="360" w:lineRule="auto"/>
              <w:jc w:val="center"/>
              <w:rPr>
                <w:rFonts w:hint="eastAsia" w:ascii="宋体" w:hAnsi="宋体" w:cs="宋体"/>
                <w:b/>
                <w:bCs/>
                <w:color w:val="000000" w:themeColor="text1"/>
                <w:sz w:val="24"/>
                <w14:textFill>
                  <w14:solidFill>
                    <w14:schemeClr w14:val="tx1"/>
                  </w14:solidFill>
                </w14:textFill>
              </w:rPr>
            </w:pPr>
          </w:p>
        </w:tc>
        <w:tc>
          <w:tcPr>
            <w:tcW w:w="622" w:type="pct"/>
            <w:vMerge w:val="continue"/>
            <w:tcBorders>
              <w:top w:val="nil"/>
              <w:left w:val="nil"/>
              <w:bottom w:val="single" w:color="000000" w:sz="8" w:space="0"/>
              <w:right w:val="single" w:color="000000" w:sz="8" w:space="0"/>
            </w:tcBorders>
            <w:shd w:val="clear" w:color="auto" w:fill="auto"/>
            <w:vAlign w:val="center"/>
          </w:tcPr>
          <w:p w14:paraId="1909C31F">
            <w:pPr>
              <w:spacing w:line="360" w:lineRule="auto"/>
              <w:jc w:val="center"/>
              <w:rPr>
                <w:rFonts w:hint="eastAsia" w:ascii="宋体" w:hAnsi="宋体" w:cs="宋体"/>
                <w:color w:val="000000" w:themeColor="text1"/>
                <w:sz w:val="24"/>
                <w14:textFill>
                  <w14:solidFill>
                    <w14:schemeClr w14:val="tx1"/>
                  </w14:solidFill>
                </w14:textFill>
              </w:rPr>
            </w:pPr>
          </w:p>
        </w:tc>
        <w:tc>
          <w:tcPr>
            <w:tcW w:w="2531" w:type="pct"/>
            <w:tcBorders>
              <w:top w:val="nil"/>
              <w:left w:val="nil"/>
              <w:bottom w:val="single" w:color="000000" w:sz="8" w:space="0"/>
              <w:right w:val="single" w:color="000000" w:sz="8" w:space="0"/>
            </w:tcBorders>
            <w:shd w:val="clear" w:color="auto" w:fill="auto"/>
            <w:vAlign w:val="center"/>
          </w:tcPr>
          <w:p w14:paraId="268F3DD3">
            <w:pPr>
              <w:widowControl/>
              <w:spacing w:line="360" w:lineRule="auto"/>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（7）财经综合监督系统应用，包括：</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预算监督子系统、国资监管子系统、经济运行监督子系统、重大项目监督子系统、审计监督子系统，根据方案的完整性、符合性进行打分。（得分：3、2、1、0）</w:t>
            </w:r>
          </w:p>
        </w:tc>
        <w:tc>
          <w:tcPr>
            <w:tcW w:w="385" w:type="pct"/>
            <w:tcBorders>
              <w:top w:val="single" w:color="auto" w:sz="4" w:space="0"/>
              <w:left w:val="nil"/>
              <w:bottom w:val="single" w:color="auto" w:sz="4" w:space="0"/>
              <w:right w:val="single" w:color="000000" w:sz="8" w:space="0"/>
            </w:tcBorders>
            <w:shd w:val="clear" w:color="auto" w:fill="auto"/>
            <w:vAlign w:val="center"/>
          </w:tcPr>
          <w:p w14:paraId="60439F04">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w:t>
            </w:r>
          </w:p>
        </w:tc>
        <w:tc>
          <w:tcPr>
            <w:tcW w:w="452" w:type="pct"/>
            <w:tcBorders>
              <w:top w:val="single" w:color="auto" w:sz="4" w:space="0"/>
              <w:left w:val="nil"/>
              <w:bottom w:val="single" w:color="auto" w:sz="4" w:space="0"/>
              <w:right w:val="single" w:color="000000" w:sz="8" w:space="0"/>
            </w:tcBorders>
            <w:shd w:val="clear" w:color="auto" w:fill="auto"/>
            <w:vAlign w:val="center"/>
          </w:tcPr>
          <w:p w14:paraId="1D3854B7">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主观分</w:t>
            </w:r>
          </w:p>
        </w:tc>
        <w:tc>
          <w:tcPr>
            <w:tcW w:w="513" w:type="pct"/>
            <w:tcBorders>
              <w:top w:val="single" w:color="auto" w:sz="4" w:space="0"/>
              <w:left w:val="nil"/>
              <w:bottom w:val="single" w:color="auto" w:sz="4" w:space="0"/>
              <w:right w:val="single" w:color="000000" w:sz="8" w:space="0"/>
            </w:tcBorders>
            <w:shd w:val="clear" w:color="auto" w:fill="auto"/>
            <w:vAlign w:val="center"/>
          </w:tcPr>
          <w:p w14:paraId="1516B86A">
            <w:pPr>
              <w:spacing w:line="360" w:lineRule="auto"/>
              <w:rPr>
                <w:rFonts w:hint="eastAsia" w:ascii="宋体" w:hAnsi="宋体" w:cs="宋体"/>
                <w:color w:val="000000" w:themeColor="text1"/>
                <w:sz w:val="24"/>
                <w14:textFill>
                  <w14:solidFill>
                    <w14:schemeClr w14:val="tx1"/>
                  </w14:solidFill>
                </w14:textFill>
              </w:rPr>
            </w:pPr>
          </w:p>
        </w:tc>
      </w:tr>
      <w:tr w14:paraId="60231234">
        <w:tblPrEx>
          <w:tblCellMar>
            <w:top w:w="0" w:type="dxa"/>
            <w:left w:w="108" w:type="dxa"/>
            <w:bottom w:w="0" w:type="dxa"/>
            <w:right w:w="108" w:type="dxa"/>
          </w:tblCellMar>
        </w:tblPrEx>
        <w:trPr>
          <w:trHeight w:val="879" w:hRule="atLeast"/>
        </w:trPr>
        <w:tc>
          <w:tcPr>
            <w:tcW w:w="492" w:type="pct"/>
            <w:vMerge w:val="continue"/>
            <w:tcBorders>
              <w:top w:val="nil"/>
              <w:left w:val="single" w:color="000000" w:sz="8" w:space="0"/>
              <w:bottom w:val="single" w:color="000000" w:sz="8" w:space="0"/>
              <w:right w:val="single" w:color="000000" w:sz="8" w:space="0"/>
            </w:tcBorders>
            <w:shd w:val="clear" w:color="auto" w:fill="auto"/>
            <w:noWrap/>
            <w:vAlign w:val="center"/>
          </w:tcPr>
          <w:p w14:paraId="51891563">
            <w:pPr>
              <w:spacing w:line="360" w:lineRule="auto"/>
              <w:jc w:val="center"/>
              <w:rPr>
                <w:rFonts w:hint="eastAsia" w:ascii="宋体" w:hAnsi="宋体" w:cs="宋体"/>
                <w:b/>
                <w:bCs/>
                <w:color w:val="000000" w:themeColor="text1"/>
                <w:sz w:val="24"/>
                <w14:textFill>
                  <w14:solidFill>
                    <w14:schemeClr w14:val="tx1"/>
                  </w14:solidFill>
                </w14:textFill>
              </w:rPr>
            </w:pPr>
          </w:p>
        </w:tc>
        <w:tc>
          <w:tcPr>
            <w:tcW w:w="622" w:type="pct"/>
            <w:vMerge w:val="continue"/>
            <w:tcBorders>
              <w:top w:val="nil"/>
              <w:left w:val="nil"/>
              <w:bottom w:val="single" w:color="000000" w:sz="8" w:space="0"/>
              <w:right w:val="single" w:color="000000" w:sz="8" w:space="0"/>
            </w:tcBorders>
            <w:shd w:val="clear" w:color="auto" w:fill="auto"/>
            <w:vAlign w:val="center"/>
          </w:tcPr>
          <w:p w14:paraId="13065EBE">
            <w:pPr>
              <w:spacing w:line="360" w:lineRule="auto"/>
              <w:jc w:val="center"/>
              <w:rPr>
                <w:rFonts w:hint="eastAsia" w:ascii="宋体" w:hAnsi="宋体" w:cs="宋体"/>
                <w:color w:val="000000" w:themeColor="text1"/>
                <w:sz w:val="24"/>
                <w14:textFill>
                  <w14:solidFill>
                    <w14:schemeClr w14:val="tx1"/>
                  </w14:solidFill>
                </w14:textFill>
              </w:rPr>
            </w:pPr>
          </w:p>
        </w:tc>
        <w:tc>
          <w:tcPr>
            <w:tcW w:w="2531" w:type="pct"/>
            <w:tcBorders>
              <w:top w:val="nil"/>
              <w:left w:val="nil"/>
              <w:bottom w:val="single" w:color="000000" w:sz="8" w:space="0"/>
              <w:right w:val="single" w:color="000000" w:sz="8" w:space="0"/>
            </w:tcBorders>
            <w:shd w:val="clear" w:color="auto" w:fill="auto"/>
            <w:vAlign w:val="center"/>
          </w:tcPr>
          <w:p w14:paraId="766D6873">
            <w:pPr>
              <w:widowControl/>
              <w:spacing w:line="360" w:lineRule="auto"/>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（8）人大数据仓应用场景应用，包括：数据目录、数据归集、数据服务、作业调度、消息通知，根据方案的完整性、符合性进行打分。（得分：3、2、1、0）</w:t>
            </w:r>
          </w:p>
        </w:tc>
        <w:tc>
          <w:tcPr>
            <w:tcW w:w="385" w:type="pct"/>
            <w:tcBorders>
              <w:top w:val="single" w:color="auto" w:sz="4" w:space="0"/>
              <w:left w:val="nil"/>
              <w:bottom w:val="single" w:color="auto" w:sz="4" w:space="0"/>
              <w:right w:val="single" w:color="000000" w:sz="8" w:space="0"/>
            </w:tcBorders>
            <w:shd w:val="clear" w:color="auto" w:fill="auto"/>
            <w:vAlign w:val="center"/>
          </w:tcPr>
          <w:p w14:paraId="5E4D0447">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w:t>
            </w:r>
          </w:p>
        </w:tc>
        <w:tc>
          <w:tcPr>
            <w:tcW w:w="452" w:type="pct"/>
            <w:tcBorders>
              <w:top w:val="single" w:color="auto" w:sz="4" w:space="0"/>
              <w:left w:val="nil"/>
              <w:bottom w:val="single" w:color="auto" w:sz="4" w:space="0"/>
              <w:right w:val="single" w:color="000000" w:sz="8" w:space="0"/>
            </w:tcBorders>
            <w:shd w:val="clear" w:color="auto" w:fill="auto"/>
            <w:vAlign w:val="center"/>
          </w:tcPr>
          <w:p w14:paraId="4BAA056A">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主观分</w:t>
            </w:r>
          </w:p>
        </w:tc>
        <w:tc>
          <w:tcPr>
            <w:tcW w:w="513" w:type="pct"/>
            <w:tcBorders>
              <w:top w:val="single" w:color="auto" w:sz="4" w:space="0"/>
              <w:left w:val="nil"/>
              <w:bottom w:val="single" w:color="auto" w:sz="4" w:space="0"/>
              <w:right w:val="single" w:color="000000" w:sz="8" w:space="0"/>
            </w:tcBorders>
            <w:shd w:val="clear" w:color="auto" w:fill="auto"/>
            <w:vAlign w:val="center"/>
          </w:tcPr>
          <w:p w14:paraId="549E8361">
            <w:pPr>
              <w:spacing w:line="360" w:lineRule="auto"/>
              <w:rPr>
                <w:rFonts w:hint="eastAsia" w:ascii="宋体" w:hAnsi="宋体" w:cs="宋体"/>
                <w:color w:val="000000" w:themeColor="text1"/>
                <w:sz w:val="24"/>
                <w14:textFill>
                  <w14:solidFill>
                    <w14:schemeClr w14:val="tx1"/>
                  </w14:solidFill>
                </w14:textFill>
              </w:rPr>
            </w:pPr>
          </w:p>
        </w:tc>
      </w:tr>
      <w:tr w14:paraId="2FB25E49">
        <w:tblPrEx>
          <w:tblCellMar>
            <w:top w:w="0" w:type="dxa"/>
            <w:left w:w="108" w:type="dxa"/>
            <w:bottom w:w="0" w:type="dxa"/>
            <w:right w:w="108" w:type="dxa"/>
          </w:tblCellMar>
        </w:tblPrEx>
        <w:trPr>
          <w:trHeight w:val="879" w:hRule="atLeast"/>
        </w:trPr>
        <w:tc>
          <w:tcPr>
            <w:tcW w:w="492" w:type="pct"/>
            <w:vMerge w:val="continue"/>
            <w:tcBorders>
              <w:top w:val="nil"/>
              <w:left w:val="single" w:color="000000" w:sz="8" w:space="0"/>
              <w:bottom w:val="single" w:color="000000" w:sz="8" w:space="0"/>
              <w:right w:val="single" w:color="000000" w:sz="8" w:space="0"/>
            </w:tcBorders>
            <w:shd w:val="clear" w:color="auto" w:fill="auto"/>
            <w:noWrap/>
            <w:vAlign w:val="center"/>
          </w:tcPr>
          <w:p w14:paraId="3C7E394C">
            <w:pPr>
              <w:spacing w:line="360" w:lineRule="auto"/>
              <w:jc w:val="center"/>
              <w:rPr>
                <w:rFonts w:hint="eastAsia" w:ascii="宋体" w:hAnsi="宋体" w:cs="宋体"/>
                <w:b/>
                <w:bCs/>
                <w:color w:val="000000" w:themeColor="text1"/>
                <w:sz w:val="24"/>
                <w14:textFill>
                  <w14:solidFill>
                    <w14:schemeClr w14:val="tx1"/>
                  </w14:solidFill>
                </w14:textFill>
              </w:rPr>
            </w:pPr>
          </w:p>
        </w:tc>
        <w:tc>
          <w:tcPr>
            <w:tcW w:w="622" w:type="pct"/>
            <w:vMerge w:val="continue"/>
            <w:tcBorders>
              <w:top w:val="nil"/>
              <w:left w:val="nil"/>
              <w:bottom w:val="single" w:color="000000" w:sz="8" w:space="0"/>
              <w:right w:val="single" w:color="000000" w:sz="8" w:space="0"/>
            </w:tcBorders>
            <w:shd w:val="clear" w:color="auto" w:fill="auto"/>
            <w:vAlign w:val="center"/>
          </w:tcPr>
          <w:p w14:paraId="5168DB5F">
            <w:pPr>
              <w:spacing w:line="360" w:lineRule="auto"/>
              <w:jc w:val="center"/>
              <w:rPr>
                <w:rFonts w:hint="eastAsia" w:ascii="宋体" w:hAnsi="宋体" w:cs="宋体"/>
                <w:color w:val="000000" w:themeColor="text1"/>
                <w:sz w:val="24"/>
                <w14:textFill>
                  <w14:solidFill>
                    <w14:schemeClr w14:val="tx1"/>
                  </w14:solidFill>
                </w14:textFill>
              </w:rPr>
            </w:pPr>
          </w:p>
        </w:tc>
        <w:tc>
          <w:tcPr>
            <w:tcW w:w="2531" w:type="pct"/>
            <w:tcBorders>
              <w:top w:val="nil"/>
              <w:left w:val="nil"/>
              <w:bottom w:val="single" w:color="000000" w:sz="8" w:space="0"/>
              <w:right w:val="single" w:color="000000" w:sz="8" w:space="0"/>
            </w:tcBorders>
            <w:shd w:val="clear" w:color="auto" w:fill="auto"/>
            <w:vAlign w:val="center"/>
          </w:tcPr>
          <w:p w14:paraId="3EB49F48">
            <w:pPr>
              <w:widowControl/>
              <w:spacing w:line="360" w:lineRule="auto"/>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（9）人大代表联络站数字总站应用场景应用，包括：云上互联、指挥协调、民意大脑、运行管理，根据方案的完整性、符合性进行打分。（得分：3、2、1、0）</w:t>
            </w:r>
          </w:p>
        </w:tc>
        <w:tc>
          <w:tcPr>
            <w:tcW w:w="385" w:type="pct"/>
            <w:tcBorders>
              <w:top w:val="single" w:color="auto" w:sz="4" w:space="0"/>
              <w:left w:val="nil"/>
              <w:bottom w:val="single" w:color="auto" w:sz="4" w:space="0"/>
              <w:right w:val="single" w:color="000000" w:sz="8" w:space="0"/>
            </w:tcBorders>
            <w:shd w:val="clear" w:color="auto" w:fill="auto"/>
            <w:vAlign w:val="center"/>
          </w:tcPr>
          <w:p w14:paraId="324F69D8">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w:t>
            </w:r>
          </w:p>
        </w:tc>
        <w:tc>
          <w:tcPr>
            <w:tcW w:w="452" w:type="pct"/>
            <w:tcBorders>
              <w:top w:val="single" w:color="auto" w:sz="4" w:space="0"/>
              <w:left w:val="nil"/>
              <w:bottom w:val="single" w:color="auto" w:sz="4" w:space="0"/>
              <w:right w:val="single" w:color="000000" w:sz="8" w:space="0"/>
            </w:tcBorders>
            <w:shd w:val="clear" w:color="auto" w:fill="auto"/>
            <w:vAlign w:val="center"/>
          </w:tcPr>
          <w:p w14:paraId="2B9C5165">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主观分</w:t>
            </w:r>
          </w:p>
        </w:tc>
        <w:tc>
          <w:tcPr>
            <w:tcW w:w="513" w:type="pct"/>
            <w:tcBorders>
              <w:top w:val="single" w:color="auto" w:sz="4" w:space="0"/>
              <w:left w:val="nil"/>
              <w:bottom w:val="single" w:color="auto" w:sz="4" w:space="0"/>
              <w:right w:val="single" w:color="000000" w:sz="8" w:space="0"/>
            </w:tcBorders>
            <w:shd w:val="clear" w:color="auto" w:fill="auto"/>
            <w:vAlign w:val="center"/>
          </w:tcPr>
          <w:p w14:paraId="26EB65F0">
            <w:pPr>
              <w:spacing w:line="360" w:lineRule="auto"/>
              <w:rPr>
                <w:rFonts w:hint="eastAsia" w:ascii="宋体" w:hAnsi="宋体" w:cs="宋体"/>
                <w:color w:val="000000" w:themeColor="text1"/>
                <w:sz w:val="24"/>
                <w14:textFill>
                  <w14:solidFill>
                    <w14:schemeClr w14:val="tx1"/>
                  </w14:solidFill>
                </w14:textFill>
              </w:rPr>
            </w:pPr>
          </w:p>
        </w:tc>
      </w:tr>
      <w:tr w14:paraId="2002AC88">
        <w:tblPrEx>
          <w:tblCellMar>
            <w:top w:w="0" w:type="dxa"/>
            <w:left w:w="108" w:type="dxa"/>
            <w:bottom w:w="0" w:type="dxa"/>
            <w:right w:w="108" w:type="dxa"/>
          </w:tblCellMar>
        </w:tblPrEx>
        <w:trPr>
          <w:trHeight w:val="1532" w:hRule="atLeast"/>
        </w:trPr>
        <w:tc>
          <w:tcPr>
            <w:tcW w:w="492" w:type="pct"/>
            <w:vMerge w:val="continue"/>
            <w:tcBorders>
              <w:top w:val="nil"/>
              <w:left w:val="single" w:color="000000" w:sz="8" w:space="0"/>
              <w:bottom w:val="single" w:color="000000" w:sz="8" w:space="0"/>
              <w:right w:val="single" w:color="000000" w:sz="8" w:space="0"/>
            </w:tcBorders>
            <w:shd w:val="clear" w:color="auto" w:fill="auto"/>
            <w:noWrap/>
            <w:vAlign w:val="center"/>
          </w:tcPr>
          <w:p w14:paraId="68D7F5E7">
            <w:pPr>
              <w:spacing w:line="360" w:lineRule="auto"/>
              <w:jc w:val="center"/>
              <w:rPr>
                <w:rFonts w:hint="eastAsia" w:ascii="宋体" w:hAnsi="宋体" w:cs="宋体"/>
                <w:b/>
                <w:bCs/>
                <w:color w:val="000000" w:themeColor="text1"/>
                <w:sz w:val="24"/>
                <w14:textFill>
                  <w14:solidFill>
                    <w14:schemeClr w14:val="tx1"/>
                  </w14:solidFill>
                </w14:textFill>
              </w:rPr>
            </w:pPr>
          </w:p>
        </w:tc>
        <w:tc>
          <w:tcPr>
            <w:tcW w:w="622" w:type="pct"/>
            <w:vMerge w:val="continue"/>
            <w:tcBorders>
              <w:top w:val="nil"/>
              <w:left w:val="nil"/>
              <w:bottom w:val="single" w:color="000000" w:sz="8" w:space="0"/>
              <w:right w:val="single" w:color="000000" w:sz="8" w:space="0"/>
            </w:tcBorders>
            <w:shd w:val="clear" w:color="auto" w:fill="auto"/>
            <w:vAlign w:val="center"/>
          </w:tcPr>
          <w:p w14:paraId="40018186">
            <w:pPr>
              <w:spacing w:line="360" w:lineRule="auto"/>
              <w:jc w:val="center"/>
              <w:rPr>
                <w:rFonts w:hint="eastAsia" w:ascii="宋体" w:hAnsi="宋体" w:cs="宋体"/>
                <w:color w:val="000000" w:themeColor="text1"/>
                <w:sz w:val="24"/>
                <w14:textFill>
                  <w14:solidFill>
                    <w14:schemeClr w14:val="tx1"/>
                  </w14:solidFill>
                </w14:textFill>
              </w:rPr>
            </w:pPr>
          </w:p>
        </w:tc>
        <w:tc>
          <w:tcPr>
            <w:tcW w:w="2531" w:type="pct"/>
            <w:tcBorders>
              <w:top w:val="nil"/>
              <w:left w:val="nil"/>
              <w:right w:val="single" w:color="000000" w:sz="8" w:space="0"/>
            </w:tcBorders>
            <w:shd w:val="clear" w:color="auto" w:fill="auto"/>
            <w:vAlign w:val="center"/>
          </w:tcPr>
          <w:p w14:paraId="14D2CD05">
            <w:pPr>
              <w:widowControl/>
              <w:spacing w:line="360" w:lineRule="auto"/>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（10）“数字人大”平台，包括：</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统一用户、授权、集成、安全、资源、消息管理、工作台门户、用户中心、认证中心、消息中心，根据方案的完整性、符合性进行打分。（得分：3、2、1、0）</w:t>
            </w:r>
          </w:p>
        </w:tc>
        <w:tc>
          <w:tcPr>
            <w:tcW w:w="385" w:type="pct"/>
            <w:tcBorders>
              <w:top w:val="single" w:color="auto" w:sz="4" w:space="0"/>
              <w:left w:val="nil"/>
              <w:bottom w:val="single" w:color="auto" w:sz="4" w:space="0"/>
              <w:right w:val="single" w:color="000000" w:sz="8" w:space="0"/>
            </w:tcBorders>
            <w:shd w:val="clear" w:color="auto" w:fill="auto"/>
            <w:vAlign w:val="center"/>
          </w:tcPr>
          <w:p w14:paraId="760FFC66">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w:t>
            </w:r>
          </w:p>
        </w:tc>
        <w:tc>
          <w:tcPr>
            <w:tcW w:w="452" w:type="pct"/>
            <w:tcBorders>
              <w:top w:val="single" w:color="auto" w:sz="4" w:space="0"/>
              <w:left w:val="nil"/>
              <w:bottom w:val="single" w:color="auto" w:sz="4" w:space="0"/>
              <w:right w:val="single" w:color="000000" w:sz="8" w:space="0"/>
            </w:tcBorders>
            <w:shd w:val="clear" w:color="auto" w:fill="auto"/>
            <w:vAlign w:val="center"/>
          </w:tcPr>
          <w:p w14:paraId="5E52CF1D">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主观分</w:t>
            </w:r>
          </w:p>
        </w:tc>
        <w:tc>
          <w:tcPr>
            <w:tcW w:w="513" w:type="pct"/>
            <w:tcBorders>
              <w:top w:val="single" w:color="auto" w:sz="4" w:space="0"/>
              <w:left w:val="nil"/>
              <w:bottom w:val="single" w:color="auto" w:sz="4" w:space="0"/>
              <w:right w:val="single" w:color="000000" w:sz="8" w:space="0"/>
            </w:tcBorders>
            <w:shd w:val="clear" w:color="auto" w:fill="auto"/>
            <w:vAlign w:val="center"/>
          </w:tcPr>
          <w:p w14:paraId="29E06154">
            <w:pPr>
              <w:spacing w:line="360" w:lineRule="auto"/>
              <w:rPr>
                <w:rFonts w:hint="eastAsia" w:ascii="宋体" w:hAnsi="宋体" w:cs="宋体"/>
                <w:color w:val="000000" w:themeColor="text1"/>
                <w:sz w:val="24"/>
                <w14:textFill>
                  <w14:solidFill>
                    <w14:schemeClr w14:val="tx1"/>
                  </w14:solidFill>
                </w14:textFill>
              </w:rPr>
            </w:pPr>
          </w:p>
        </w:tc>
      </w:tr>
      <w:tr w14:paraId="547DEC96">
        <w:tblPrEx>
          <w:tblCellMar>
            <w:top w:w="0" w:type="dxa"/>
            <w:left w:w="108" w:type="dxa"/>
            <w:bottom w:w="0" w:type="dxa"/>
            <w:right w:w="108" w:type="dxa"/>
          </w:tblCellMar>
        </w:tblPrEx>
        <w:trPr>
          <w:trHeight w:val="2607" w:hRule="atLeast"/>
        </w:trPr>
        <w:tc>
          <w:tcPr>
            <w:tcW w:w="492" w:type="pct"/>
            <w:tcBorders>
              <w:top w:val="single" w:color="auto" w:sz="4" w:space="0"/>
              <w:left w:val="single" w:color="000000" w:sz="8" w:space="0"/>
              <w:bottom w:val="single" w:color="000000" w:sz="8" w:space="0"/>
              <w:right w:val="single" w:color="000000" w:sz="8" w:space="0"/>
            </w:tcBorders>
            <w:shd w:val="clear" w:color="auto" w:fill="auto"/>
            <w:noWrap/>
            <w:vAlign w:val="center"/>
          </w:tcPr>
          <w:p w14:paraId="21A1AF28">
            <w:pPr>
              <w:widowControl/>
              <w:spacing w:line="360" w:lineRule="auto"/>
              <w:jc w:val="center"/>
              <w:textAlignment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5</w:t>
            </w:r>
          </w:p>
        </w:tc>
        <w:tc>
          <w:tcPr>
            <w:tcW w:w="622" w:type="pct"/>
            <w:tcBorders>
              <w:top w:val="single" w:color="auto" w:sz="4" w:space="0"/>
              <w:left w:val="nil"/>
              <w:bottom w:val="single" w:color="000000" w:sz="8" w:space="0"/>
              <w:right w:val="single" w:color="000000" w:sz="8" w:space="0"/>
            </w:tcBorders>
            <w:shd w:val="clear" w:color="auto" w:fill="auto"/>
            <w:vAlign w:val="center"/>
          </w:tcPr>
          <w:p w14:paraId="52C94B86">
            <w:pPr>
              <w:widowControl/>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数据迁移</w:t>
            </w:r>
          </w:p>
        </w:tc>
        <w:tc>
          <w:tcPr>
            <w:tcW w:w="2531" w:type="pct"/>
            <w:tcBorders>
              <w:top w:val="single" w:color="auto" w:sz="4" w:space="0"/>
              <w:left w:val="nil"/>
              <w:bottom w:val="single" w:color="000000" w:sz="8" w:space="0"/>
              <w:right w:val="single" w:color="000000" w:sz="8" w:space="0"/>
            </w:tcBorders>
            <w:shd w:val="clear" w:color="auto" w:fill="auto"/>
            <w:vAlign w:val="center"/>
          </w:tcPr>
          <w:p w14:paraId="0F634426">
            <w:pPr>
              <w:widowControl/>
              <w:spacing w:line="360" w:lineRule="auto"/>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提供针对本项目建设内容的历史数据迁移方案，内容包括但不限于数据迁移需求分析、软硬件环境现状、系统容量需求分析、数据迁移风险、数据迁移实施方案等方面，根据方案的完整性、符合性进行打分。（得分：4、3、2、1、0）</w:t>
            </w:r>
          </w:p>
        </w:tc>
        <w:tc>
          <w:tcPr>
            <w:tcW w:w="385" w:type="pct"/>
            <w:tcBorders>
              <w:top w:val="single" w:color="auto" w:sz="4" w:space="0"/>
              <w:left w:val="nil"/>
              <w:bottom w:val="single" w:color="000000" w:sz="8" w:space="0"/>
              <w:right w:val="single" w:color="000000" w:sz="8" w:space="0"/>
            </w:tcBorders>
            <w:shd w:val="clear" w:color="auto" w:fill="auto"/>
            <w:vAlign w:val="center"/>
          </w:tcPr>
          <w:p w14:paraId="6E3A31EE">
            <w:pPr>
              <w:widowControl/>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w:t>
            </w:r>
          </w:p>
        </w:tc>
        <w:tc>
          <w:tcPr>
            <w:tcW w:w="452" w:type="pct"/>
            <w:tcBorders>
              <w:top w:val="single" w:color="auto" w:sz="4" w:space="0"/>
              <w:left w:val="nil"/>
              <w:bottom w:val="single" w:color="000000" w:sz="8" w:space="0"/>
              <w:right w:val="single" w:color="000000" w:sz="8" w:space="0"/>
            </w:tcBorders>
            <w:shd w:val="clear" w:color="auto" w:fill="auto"/>
            <w:vAlign w:val="center"/>
          </w:tcPr>
          <w:p w14:paraId="499A6648">
            <w:pPr>
              <w:widowControl/>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主观分</w:t>
            </w:r>
          </w:p>
        </w:tc>
        <w:tc>
          <w:tcPr>
            <w:tcW w:w="513" w:type="pct"/>
            <w:tcBorders>
              <w:top w:val="single" w:color="auto" w:sz="4" w:space="0"/>
              <w:left w:val="nil"/>
              <w:bottom w:val="single" w:color="000000" w:sz="8" w:space="0"/>
              <w:right w:val="single" w:color="000000" w:sz="8" w:space="0"/>
            </w:tcBorders>
            <w:shd w:val="clear" w:color="auto" w:fill="auto"/>
            <w:vAlign w:val="center"/>
          </w:tcPr>
          <w:p w14:paraId="4352A482">
            <w:pPr>
              <w:spacing w:line="360" w:lineRule="auto"/>
              <w:rPr>
                <w:rFonts w:hint="eastAsia" w:ascii="宋体" w:hAnsi="宋体" w:cs="宋体"/>
                <w:color w:val="000000" w:themeColor="text1"/>
                <w:sz w:val="24"/>
                <w14:textFill>
                  <w14:solidFill>
                    <w14:schemeClr w14:val="tx1"/>
                  </w14:solidFill>
                </w14:textFill>
              </w:rPr>
            </w:pPr>
          </w:p>
        </w:tc>
      </w:tr>
      <w:tr w14:paraId="1334B3ED">
        <w:tblPrEx>
          <w:tblCellMar>
            <w:top w:w="0" w:type="dxa"/>
            <w:left w:w="108" w:type="dxa"/>
            <w:bottom w:w="0" w:type="dxa"/>
            <w:right w:w="108" w:type="dxa"/>
          </w:tblCellMar>
        </w:tblPrEx>
        <w:trPr>
          <w:trHeight w:val="2044" w:hRule="atLeast"/>
        </w:trPr>
        <w:tc>
          <w:tcPr>
            <w:tcW w:w="492" w:type="pct"/>
            <w:tcBorders>
              <w:top w:val="nil"/>
              <w:left w:val="single" w:color="000000" w:sz="8" w:space="0"/>
              <w:bottom w:val="single" w:color="000000" w:sz="8" w:space="0"/>
              <w:right w:val="single" w:color="000000" w:sz="8" w:space="0"/>
            </w:tcBorders>
            <w:shd w:val="clear" w:color="auto" w:fill="auto"/>
            <w:noWrap/>
            <w:vAlign w:val="center"/>
          </w:tcPr>
          <w:p w14:paraId="7DEA1CC4">
            <w:pPr>
              <w:widowControl/>
              <w:spacing w:line="360" w:lineRule="auto"/>
              <w:jc w:val="center"/>
              <w:textAlignment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6</w:t>
            </w:r>
          </w:p>
        </w:tc>
        <w:tc>
          <w:tcPr>
            <w:tcW w:w="622" w:type="pct"/>
            <w:tcBorders>
              <w:top w:val="nil"/>
              <w:left w:val="nil"/>
              <w:bottom w:val="single" w:color="000000" w:sz="8" w:space="0"/>
              <w:right w:val="single" w:color="000000" w:sz="8" w:space="0"/>
            </w:tcBorders>
            <w:shd w:val="clear" w:color="auto" w:fill="auto"/>
            <w:vAlign w:val="center"/>
          </w:tcPr>
          <w:p w14:paraId="195E8916">
            <w:pPr>
              <w:widowControl/>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质量保障</w:t>
            </w:r>
          </w:p>
        </w:tc>
        <w:tc>
          <w:tcPr>
            <w:tcW w:w="2531" w:type="pct"/>
            <w:tcBorders>
              <w:top w:val="nil"/>
              <w:left w:val="nil"/>
              <w:bottom w:val="single" w:color="auto" w:sz="4" w:space="0"/>
              <w:right w:val="single" w:color="000000" w:sz="8" w:space="0"/>
            </w:tcBorders>
            <w:shd w:val="clear" w:color="auto" w:fill="auto"/>
            <w:vAlign w:val="center"/>
          </w:tcPr>
          <w:p w14:paraId="5ABDCA76">
            <w:pPr>
              <w:widowControl/>
              <w:spacing w:line="360" w:lineRule="auto"/>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投标人按采购人要求</w:t>
            </w:r>
          </w:p>
          <w:p w14:paraId="3E0CF6EC">
            <w:pPr>
              <w:widowControl/>
              <w:spacing w:line="360" w:lineRule="auto"/>
              <w:ind w:firstLine="480" w:firstLineChars="200"/>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①具有明确的建设质量目标</w:t>
            </w:r>
          </w:p>
          <w:p w14:paraId="12697E59">
            <w:pPr>
              <w:widowControl/>
              <w:spacing w:line="360" w:lineRule="auto"/>
              <w:ind w:firstLine="480" w:firstLineChars="200"/>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②具有质量保证措施</w:t>
            </w:r>
          </w:p>
          <w:p w14:paraId="7420E22A">
            <w:pPr>
              <w:widowControl/>
              <w:spacing w:line="360" w:lineRule="auto"/>
              <w:ind w:firstLine="480" w:firstLineChars="200"/>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③具有详细可行的实施内容等。</w:t>
            </w:r>
          </w:p>
          <w:p w14:paraId="2C914A30">
            <w:pPr>
              <w:spacing w:after="0" w:line="360" w:lineRule="auto"/>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根据方案的完整性、符合性进行打分。（得分：3、2、1、0）</w:t>
            </w:r>
          </w:p>
        </w:tc>
        <w:tc>
          <w:tcPr>
            <w:tcW w:w="385" w:type="pct"/>
            <w:tcBorders>
              <w:top w:val="nil"/>
              <w:left w:val="nil"/>
              <w:bottom w:val="single" w:color="000000" w:sz="8" w:space="0"/>
              <w:right w:val="single" w:color="000000" w:sz="8" w:space="0"/>
            </w:tcBorders>
            <w:shd w:val="clear" w:color="auto" w:fill="auto"/>
            <w:vAlign w:val="center"/>
          </w:tcPr>
          <w:p w14:paraId="5CD7E0B0">
            <w:pPr>
              <w:widowControl/>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w:t>
            </w:r>
          </w:p>
        </w:tc>
        <w:tc>
          <w:tcPr>
            <w:tcW w:w="452" w:type="pct"/>
            <w:tcBorders>
              <w:top w:val="nil"/>
              <w:left w:val="nil"/>
              <w:bottom w:val="single" w:color="000000" w:sz="8" w:space="0"/>
              <w:right w:val="single" w:color="000000" w:sz="8" w:space="0"/>
            </w:tcBorders>
            <w:shd w:val="clear" w:color="auto" w:fill="auto"/>
            <w:vAlign w:val="center"/>
          </w:tcPr>
          <w:p w14:paraId="60D3A431">
            <w:pPr>
              <w:widowControl/>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主观分</w:t>
            </w:r>
          </w:p>
        </w:tc>
        <w:tc>
          <w:tcPr>
            <w:tcW w:w="513" w:type="pct"/>
            <w:tcBorders>
              <w:top w:val="nil"/>
              <w:left w:val="nil"/>
              <w:bottom w:val="single" w:color="000000" w:sz="8" w:space="0"/>
              <w:right w:val="single" w:color="000000" w:sz="8" w:space="0"/>
            </w:tcBorders>
            <w:shd w:val="clear" w:color="auto" w:fill="auto"/>
            <w:vAlign w:val="center"/>
          </w:tcPr>
          <w:p w14:paraId="324EC6FD">
            <w:pPr>
              <w:spacing w:line="360" w:lineRule="auto"/>
              <w:rPr>
                <w:rFonts w:hint="eastAsia" w:ascii="宋体" w:hAnsi="宋体" w:cs="宋体"/>
                <w:color w:val="000000" w:themeColor="text1"/>
                <w:sz w:val="24"/>
                <w14:textFill>
                  <w14:solidFill>
                    <w14:schemeClr w14:val="tx1"/>
                  </w14:solidFill>
                </w14:textFill>
              </w:rPr>
            </w:pPr>
          </w:p>
        </w:tc>
      </w:tr>
      <w:tr w14:paraId="00C73A4E">
        <w:tblPrEx>
          <w:tblCellMar>
            <w:top w:w="0" w:type="dxa"/>
            <w:left w:w="108" w:type="dxa"/>
            <w:bottom w:w="0" w:type="dxa"/>
            <w:right w:w="108" w:type="dxa"/>
          </w:tblCellMar>
        </w:tblPrEx>
        <w:trPr>
          <w:trHeight w:val="2101" w:hRule="atLeast"/>
        </w:trPr>
        <w:tc>
          <w:tcPr>
            <w:tcW w:w="492" w:type="pct"/>
            <w:tcBorders>
              <w:top w:val="nil"/>
              <w:left w:val="single" w:color="000000" w:sz="8" w:space="0"/>
              <w:bottom w:val="single" w:color="000000" w:sz="8" w:space="0"/>
              <w:right w:val="single" w:color="000000" w:sz="8" w:space="0"/>
            </w:tcBorders>
            <w:shd w:val="clear" w:color="auto" w:fill="auto"/>
            <w:noWrap/>
            <w:vAlign w:val="center"/>
          </w:tcPr>
          <w:p w14:paraId="67E740AB">
            <w:pPr>
              <w:widowControl/>
              <w:spacing w:line="360" w:lineRule="auto"/>
              <w:jc w:val="center"/>
              <w:textAlignment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7</w:t>
            </w:r>
          </w:p>
        </w:tc>
        <w:tc>
          <w:tcPr>
            <w:tcW w:w="622" w:type="pct"/>
            <w:tcBorders>
              <w:top w:val="nil"/>
              <w:left w:val="nil"/>
              <w:bottom w:val="single" w:color="000000" w:sz="8" w:space="0"/>
              <w:right w:val="single" w:color="000000" w:sz="8" w:space="0"/>
            </w:tcBorders>
            <w:shd w:val="clear" w:color="auto" w:fill="auto"/>
            <w:vAlign w:val="center"/>
          </w:tcPr>
          <w:p w14:paraId="2DA8DB74">
            <w:pPr>
              <w:widowControl/>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进度保障</w:t>
            </w:r>
          </w:p>
        </w:tc>
        <w:tc>
          <w:tcPr>
            <w:tcW w:w="2531" w:type="pct"/>
            <w:tcBorders>
              <w:top w:val="single" w:color="auto" w:sz="4" w:space="0"/>
              <w:left w:val="nil"/>
              <w:bottom w:val="single" w:color="auto" w:sz="4" w:space="0"/>
              <w:right w:val="single" w:color="000000" w:sz="8" w:space="0"/>
            </w:tcBorders>
            <w:shd w:val="clear" w:color="auto" w:fill="auto"/>
            <w:vAlign w:val="center"/>
          </w:tcPr>
          <w:p w14:paraId="41F7CA3B">
            <w:pPr>
              <w:widowControl/>
              <w:spacing w:line="360" w:lineRule="auto"/>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投标人按采购人要求</w:t>
            </w:r>
          </w:p>
          <w:p w14:paraId="5A161226">
            <w:pPr>
              <w:widowControl/>
              <w:spacing w:line="360" w:lineRule="auto"/>
              <w:ind w:firstLine="480" w:firstLineChars="200"/>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①具有明确的实施计划</w:t>
            </w:r>
          </w:p>
          <w:p w14:paraId="1BC3180B">
            <w:pPr>
              <w:widowControl/>
              <w:spacing w:line="360" w:lineRule="auto"/>
              <w:ind w:firstLine="480" w:firstLineChars="200"/>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②具有进度保证措施</w:t>
            </w:r>
          </w:p>
          <w:p w14:paraId="267E287A">
            <w:pPr>
              <w:widowControl/>
              <w:spacing w:line="360" w:lineRule="auto"/>
              <w:ind w:firstLine="480" w:firstLineChars="200"/>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③具有详细可行的实施内容等。</w:t>
            </w:r>
          </w:p>
          <w:p w14:paraId="50E398ED">
            <w:pPr>
              <w:spacing w:after="0" w:line="360" w:lineRule="auto"/>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根据方案的完整性、符合性进行打分。（得分：3、2、1、0）</w:t>
            </w:r>
          </w:p>
        </w:tc>
        <w:tc>
          <w:tcPr>
            <w:tcW w:w="385" w:type="pct"/>
            <w:tcBorders>
              <w:top w:val="nil"/>
              <w:left w:val="nil"/>
              <w:bottom w:val="single" w:color="000000" w:sz="8" w:space="0"/>
              <w:right w:val="single" w:color="000000" w:sz="8" w:space="0"/>
            </w:tcBorders>
            <w:shd w:val="clear" w:color="auto" w:fill="auto"/>
            <w:vAlign w:val="center"/>
          </w:tcPr>
          <w:p w14:paraId="466E9650">
            <w:pPr>
              <w:widowControl/>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w:t>
            </w:r>
          </w:p>
        </w:tc>
        <w:tc>
          <w:tcPr>
            <w:tcW w:w="452" w:type="pct"/>
            <w:tcBorders>
              <w:top w:val="nil"/>
              <w:left w:val="nil"/>
              <w:bottom w:val="single" w:color="000000" w:sz="8" w:space="0"/>
              <w:right w:val="single" w:color="000000" w:sz="8" w:space="0"/>
            </w:tcBorders>
            <w:shd w:val="clear" w:color="auto" w:fill="auto"/>
            <w:vAlign w:val="center"/>
          </w:tcPr>
          <w:p w14:paraId="1B894937">
            <w:pPr>
              <w:widowControl/>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主观分</w:t>
            </w:r>
          </w:p>
        </w:tc>
        <w:tc>
          <w:tcPr>
            <w:tcW w:w="513" w:type="pct"/>
            <w:tcBorders>
              <w:top w:val="nil"/>
              <w:left w:val="nil"/>
              <w:bottom w:val="single" w:color="000000" w:sz="8" w:space="0"/>
              <w:right w:val="single" w:color="000000" w:sz="8" w:space="0"/>
            </w:tcBorders>
            <w:shd w:val="clear" w:color="auto" w:fill="auto"/>
            <w:vAlign w:val="center"/>
          </w:tcPr>
          <w:p w14:paraId="7CCA87C3">
            <w:pPr>
              <w:spacing w:line="360" w:lineRule="auto"/>
              <w:rPr>
                <w:rFonts w:hint="eastAsia" w:ascii="宋体" w:hAnsi="宋体" w:cs="宋体"/>
                <w:color w:val="000000" w:themeColor="text1"/>
                <w:sz w:val="24"/>
                <w14:textFill>
                  <w14:solidFill>
                    <w14:schemeClr w14:val="tx1"/>
                  </w14:solidFill>
                </w14:textFill>
              </w:rPr>
            </w:pPr>
          </w:p>
        </w:tc>
      </w:tr>
      <w:tr w14:paraId="03001225">
        <w:tblPrEx>
          <w:tblCellMar>
            <w:top w:w="0" w:type="dxa"/>
            <w:left w:w="108" w:type="dxa"/>
            <w:bottom w:w="0" w:type="dxa"/>
            <w:right w:w="108" w:type="dxa"/>
          </w:tblCellMar>
        </w:tblPrEx>
        <w:trPr>
          <w:trHeight w:val="1882" w:hRule="atLeast"/>
        </w:trPr>
        <w:tc>
          <w:tcPr>
            <w:tcW w:w="492" w:type="pct"/>
            <w:tcBorders>
              <w:top w:val="nil"/>
              <w:left w:val="single" w:color="000000" w:sz="8" w:space="0"/>
              <w:bottom w:val="single" w:color="000000" w:sz="8" w:space="0"/>
              <w:right w:val="single" w:color="000000" w:sz="8" w:space="0"/>
            </w:tcBorders>
            <w:shd w:val="clear" w:color="auto" w:fill="auto"/>
            <w:noWrap/>
            <w:vAlign w:val="center"/>
          </w:tcPr>
          <w:p w14:paraId="76147C8D">
            <w:pPr>
              <w:widowControl/>
              <w:spacing w:line="360" w:lineRule="auto"/>
              <w:jc w:val="center"/>
              <w:textAlignment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8</w:t>
            </w:r>
          </w:p>
        </w:tc>
        <w:tc>
          <w:tcPr>
            <w:tcW w:w="622" w:type="pct"/>
            <w:tcBorders>
              <w:top w:val="nil"/>
              <w:left w:val="nil"/>
              <w:bottom w:val="single" w:color="000000" w:sz="8" w:space="0"/>
              <w:right w:val="single" w:color="000000" w:sz="8" w:space="0"/>
            </w:tcBorders>
            <w:shd w:val="clear" w:color="auto" w:fill="auto"/>
            <w:vAlign w:val="center"/>
          </w:tcPr>
          <w:p w14:paraId="0AFB329A">
            <w:pPr>
              <w:widowControl/>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培训方案</w:t>
            </w:r>
          </w:p>
        </w:tc>
        <w:tc>
          <w:tcPr>
            <w:tcW w:w="2531" w:type="pct"/>
            <w:tcBorders>
              <w:top w:val="single" w:color="auto" w:sz="4" w:space="0"/>
              <w:left w:val="nil"/>
              <w:bottom w:val="single" w:color="auto" w:sz="4" w:space="0"/>
              <w:right w:val="single" w:color="000000" w:sz="8" w:space="0"/>
            </w:tcBorders>
            <w:shd w:val="clear" w:color="auto" w:fill="auto"/>
            <w:vAlign w:val="center"/>
          </w:tcPr>
          <w:p w14:paraId="61D0E2E2">
            <w:pPr>
              <w:widowControl/>
              <w:spacing w:line="360" w:lineRule="auto"/>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培训计划包括①培训内容、②培训时间地点、③培训对象，④培训师资力量等；</w:t>
            </w:r>
          </w:p>
          <w:p w14:paraId="259CE6FF">
            <w:pPr>
              <w:spacing w:after="0" w:line="360" w:lineRule="auto"/>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根据方案的完整性、符合性进行打分。（得分：4、3、2、1、0）</w:t>
            </w:r>
          </w:p>
        </w:tc>
        <w:tc>
          <w:tcPr>
            <w:tcW w:w="385" w:type="pct"/>
            <w:tcBorders>
              <w:top w:val="nil"/>
              <w:left w:val="nil"/>
              <w:bottom w:val="single" w:color="000000" w:sz="8" w:space="0"/>
              <w:right w:val="single" w:color="000000" w:sz="8" w:space="0"/>
            </w:tcBorders>
            <w:shd w:val="clear" w:color="auto" w:fill="auto"/>
            <w:vAlign w:val="center"/>
          </w:tcPr>
          <w:p w14:paraId="0F5697E3">
            <w:pPr>
              <w:widowControl/>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w:t>
            </w:r>
          </w:p>
        </w:tc>
        <w:tc>
          <w:tcPr>
            <w:tcW w:w="452" w:type="pct"/>
            <w:tcBorders>
              <w:top w:val="nil"/>
              <w:left w:val="nil"/>
              <w:bottom w:val="single" w:color="000000" w:sz="8" w:space="0"/>
              <w:right w:val="single" w:color="000000" w:sz="8" w:space="0"/>
            </w:tcBorders>
            <w:shd w:val="clear" w:color="auto" w:fill="auto"/>
            <w:vAlign w:val="center"/>
          </w:tcPr>
          <w:p w14:paraId="080D8B60">
            <w:pPr>
              <w:widowControl/>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主观分</w:t>
            </w:r>
          </w:p>
        </w:tc>
        <w:tc>
          <w:tcPr>
            <w:tcW w:w="513" w:type="pct"/>
            <w:tcBorders>
              <w:top w:val="nil"/>
              <w:left w:val="nil"/>
              <w:bottom w:val="single" w:color="000000" w:sz="8" w:space="0"/>
              <w:right w:val="single" w:color="000000" w:sz="8" w:space="0"/>
            </w:tcBorders>
            <w:shd w:val="clear" w:color="auto" w:fill="auto"/>
            <w:vAlign w:val="center"/>
          </w:tcPr>
          <w:p w14:paraId="0AA8A64A">
            <w:pPr>
              <w:spacing w:line="360" w:lineRule="auto"/>
              <w:rPr>
                <w:rFonts w:hint="eastAsia" w:ascii="宋体" w:hAnsi="宋体" w:cs="宋体"/>
                <w:color w:val="000000" w:themeColor="text1"/>
                <w:sz w:val="24"/>
                <w14:textFill>
                  <w14:solidFill>
                    <w14:schemeClr w14:val="tx1"/>
                  </w14:solidFill>
                </w14:textFill>
              </w:rPr>
            </w:pPr>
          </w:p>
        </w:tc>
      </w:tr>
      <w:tr w14:paraId="2743C69E">
        <w:tblPrEx>
          <w:tblCellMar>
            <w:top w:w="0" w:type="dxa"/>
            <w:left w:w="108" w:type="dxa"/>
            <w:bottom w:w="0" w:type="dxa"/>
            <w:right w:w="108" w:type="dxa"/>
          </w:tblCellMar>
        </w:tblPrEx>
        <w:trPr>
          <w:trHeight w:val="1493" w:hRule="atLeast"/>
        </w:trPr>
        <w:tc>
          <w:tcPr>
            <w:tcW w:w="492" w:type="pct"/>
            <w:tcBorders>
              <w:top w:val="nil"/>
              <w:left w:val="single" w:color="000000" w:sz="8" w:space="0"/>
              <w:bottom w:val="single" w:color="000000" w:sz="8" w:space="0"/>
              <w:right w:val="single" w:color="000000" w:sz="8" w:space="0"/>
            </w:tcBorders>
            <w:shd w:val="clear" w:color="auto" w:fill="auto"/>
            <w:noWrap/>
            <w:vAlign w:val="center"/>
          </w:tcPr>
          <w:p w14:paraId="34C4BDD4">
            <w:pPr>
              <w:widowControl/>
              <w:spacing w:line="360" w:lineRule="auto"/>
              <w:jc w:val="center"/>
              <w:textAlignment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9</w:t>
            </w:r>
          </w:p>
        </w:tc>
        <w:tc>
          <w:tcPr>
            <w:tcW w:w="622" w:type="pct"/>
            <w:tcBorders>
              <w:top w:val="nil"/>
              <w:left w:val="nil"/>
              <w:bottom w:val="single" w:color="000000" w:sz="8" w:space="0"/>
              <w:right w:val="single" w:color="000000" w:sz="8" w:space="0"/>
            </w:tcBorders>
            <w:shd w:val="clear" w:color="auto" w:fill="auto"/>
            <w:vAlign w:val="center"/>
          </w:tcPr>
          <w:p w14:paraId="7AB3442F">
            <w:pPr>
              <w:widowControl/>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验收方案</w:t>
            </w:r>
          </w:p>
        </w:tc>
        <w:tc>
          <w:tcPr>
            <w:tcW w:w="2531" w:type="pct"/>
            <w:tcBorders>
              <w:top w:val="single" w:color="auto" w:sz="4" w:space="0"/>
              <w:left w:val="nil"/>
              <w:bottom w:val="single" w:color="000000" w:sz="8" w:space="0"/>
              <w:right w:val="single" w:color="000000" w:sz="8" w:space="0"/>
            </w:tcBorders>
            <w:shd w:val="clear" w:color="auto" w:fill="auto"/>
            <w:vAlign w:val="center"/>
          </w:tcPr>
          <w:p w14:paraId="4A4BAB92">
            <w:pPr>
              <w:widowControl/>
              <w:spacing w:line="360" w:lineRule="auto"/>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验收方案包括①提供渗透测试报告、信创测评报告信息安全等级保护二级测评报告、②通过密评、③配合验收小组验收,根据方案的完整性、符合性进行打分。（得分：4、3、2、1、0）</w:t>
            </w:r>
          </w:p>
        </w:tc>
        <w:tc>
          <w:tcPr>
            <w:tcW w:w="385" w:type="pct"/>
            <w:tcBorders>
              <w:top w:val="nil"/>
              <w:left w:val="nil"/>
              <w:bottom w:val="single" w:color="000000" w:sz="8" w:space="0"/>
              <w:right w:val="single" w:color="000000" w:sz="8" w:space="0"/>
            </w:tcBorders>
            <w:shd w:val="clear" w:color="auto" w:fill="auto"/>
            <w:vAlign w:val="center"/>
          </w:tcPr>
          <w:p w14:paraId="5401DA7A">
            <w:pPr>
              <w:widowControl/>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w:t>
            </w:r>
          </w:p>
        </w:tc>
        <w:tc>
          <w:tcPr>
            <w:tcW w:w="452" w:type="pct"/>
            <w:tcBorders>
              <w:top w:val="nil"/>
              <w:left w:val="nil"/>
              <w:bottom w:val="single" w:color="000000" w:sz="8" w:space="0"/>
              <w:right w:val="single" w:color="000000" w:sz="8" w:space="0"/>
            </w:tcBorders>
            <w:shd w:val="clear" w:color="auto" w:fill="auto"/>
            <w:vAlign w:val="center"/>
          </w:tcPr>
          <w:p w14:paraId="66275D60">
            <w:pPr>
              <w:widowControl/>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主观分</w:t>
            </w:r>
          </w:p>
        </w:tc>
        <w:tc>
          <w:tcPr>
            <w:tcW w:w="513" w:type="pct"/>
            <w:tcBorders>
              <w:top w:val="nil"/>
              <w:left w:val="nil"/>
              <w:bottom w:val="single" w:color="000000" w:sz="8" w:space="0"/>
              <w:right w:val="single" w:color="000000" w:sz="8" w:space="0"/>
            </w:tcBorders>
            <w:shd w:val="clear" w:color="auto" w:fill="auto"/>
            <w:vAlign w:val="center"/>
          </w:tcPr>
          <w:p w14:paraId="0F360AAA">
            <w:pPr>
              <w:spacing w:line="360" w:lineRule="auto"/>
              <w:rPr>
                <w:rFonts w:hint="eastAsia" w:ascii="宋体" w:hAnsi="宋体" w:cs="宋体"/>
                <w:color w:val="000000" w:themeColor="text1"/>
                <w:sz w:val="24"/>
                <w14:textFill>
                  <w14:solidFill>
                    <w14:schemeClr w14:val="tx1"/>
                  </w14:solidFill>
                </w14:textFill>
              </w:rPr>
            </w:pPr>
          </w:p>
        </w:tc>
      </w:tr>
      <w:tr w14:paraId="11F70231">
        <w:tblPrEx>
          <w:tblCellMar>
            <w:top w:w="0" w:type="dxa"/>
            <w:left w:w="108" w:type="dxa"/>
            <w:bottom w:w="0" w:type="dxa"/>
            <w:right w:w="108" w:type="dxa"/>
          </w:tblCellMar>
        </w:tblPrEx>
        <w:trPr>
          <w:trHeight w:val="1455" w:hRule="atLeast"/>
        </w:trPr>
        <w:tc>
          <w:tcPr>
            <w:tcW w:w="492" w:type="pct"/>
            <w:tcBorders>
              <w:top w:val="nil"/>
              <w:left w:val="single" w:color="000000" w:sz="8" w:space="0"/>
              <w:bottom w:val="single" w:color="000000" w:sz="8" w:space="0"/>
              <w:right w:val="single" w:color="000000" w:sz="8" w:space="0"/>
            </w:tcBorders>
            <w:shd w:val="clear" w:color="auto" w:fill="auto"/>
            <w:noWrap/>
            <w:vAlign w:val="center"/>
          </w:tcPr>
          <w:p w14:paraId="6E277157">
            <w:pPr>
              <w:widowControl/>
              <w:spacing w:line="360" w:lineRule="auto"/>
              <w:jc w:val="center"/>
              <w:textAlignment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10</w:t>
            </w:r>
          </w:p>
        </w:tc>
        <w:tc>
          <w:tcPr>
            <w:tcW w:w="622" w:type="pct"/>
            <w:tcBorders>
              <w:top w:val="nil"/>
              <w:left w:val="nil"/>
              <w:bottom w:val="single" w:color="000000" w:sz="8" w:space="0"/>
              <w:right w:val="single" w:color="000000" w:sz="8" w:space="0"/>
            </w:tcBorders>
            <w:shd w:val="clear" w:color="auto" w:fill="auto"/>
            <w:vAlign w:val="center"/>
          </w:tcPr>
          <w:p w14:paraId="7A33FD8E">
            <w:pPr>
              <w:widowControl/>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应急预案</w:t>
            </w:r>
          </w:p>
        </w:tc>
        <w:tc>
          <w:tcPr>
            <w:tcW w:w="2531" w:type="pct"/>
            <w:tcBorders>
              <w:top w:val="nil"/>
              <w:left w:val="nil"/>
              <w:bottom w:val="single" w:color="000000" w:sz="8" w:space="0"/>
              <w:right w:val="single" w:color="000000" w:sz="8" w:space="0"/>
            </w:tcBorders>
            <w:shd w:val="clear" w:color="auto" w:fill="auto"/>
            <w:vAlign w:val="center"/>
          </w:tcPr>
          <w:p w14:paraId="3793209B">
            <w:pPr>
              <w:widowControl/>
              <w:spacing w:line="360" w:lineRule="auto"/>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应急预案包括①预案完整性、②快速响应机制、③容灾与备份。根据方案的完整性、符合性进行打分。（得分：4、3、2、1、0）</w:t>
            </w:r>
          </w:p>
        </w:tc>
        <w:tc>
          <w:tcPr>
            <w:tcW w:w="385" w:type="pct"/>
            <w:tcBorders>
              <w:top w:val="nil"/>
              <w:left w:val="nil"/>
              <w:bottom w:val="single" w:color="000000" w:sz="8" w:space="0"/>
              <w:right w:val="single" w:color="000000" w:sz="8" w:space="0"/>
            </w:tcBorders>
            <w:shd w:val="clear" w:color="auto" w:fill="auto"/>
            <w:vAlign w:val="center"/>
          </w:tcPr>
          <w:p w14:paraId="2256A311">
            <w:pPr>
              <w:widowControl/>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w:t>
            </w:r>
          </w:p>
        </w:tc>
        <w:tc>
          <w:tcPr>
            <w:tcW w:w="452" w:type="pct"/>
            <w:tcBorders>
              <w:top w:val="nil"/>
              <w:left w:val="nil"/>
              <w:bottom w:val="single" w:color="000000" w:sz="8" w:space="0"/>
              <w:right w:val="single" w:color="000000" w:sz="8" w:space="0"/>
            </w:tcBorders>
            <w:shd w:val="clear" w:color="auto" w:fill="auto"/>
            <w:vAlign w:val="center"/>
          </w:tcPr>
          <w:p w14:paraId="70BA84F6">
            <w:pPr>
              <w:widowControl/>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主观分</w:t>
            </w:r>
          </w:p>
        </w:tc>
        <w:tc>
          <w:tcPr>
            <w:tcW w:w="513" w:type="pct"/>
            <w:tcBorders>
              <w:top w:val="nil"/>
              <w:left w:val="nil"/>
              <w:bottom w:val="single" w:color="000000" w:sz="8" w:space="0"/>
              <w:right w:val="single" w:color="000000" w:sz="8" w:space="0"/>
            </w:tcBorders>
            <w:shd w:val="clear" w:color="auto" w:fill="auto"/>
            <w:vAlign w:val="center"/>
          </w:tcPr>
          <w:p w14:paraId="3E8BBDA4">
            <w:pPr>
              <w:spacing w:line="360" w:lineRule="auto"/>
              <w:rPr>
                <w:rFonts w:hint="eastAsia" w:ascii="宋体" w:hAnsi="宋体" w:cs="宋体"/>
                <w:color w:val="000000" w:themeColor="text1"/>
                <w:sz w:val="24"/>
                <w14:textFill>
                  <w14:solidFill>
                    <w14:schemeClr w14:val="tx1"/>
                  </w14:solidFill>
                </w14:textFill>
              </w:rPr>
            </w:pPr>
          </w:p>
        </w:tc>
      </w:tr>
      <w:tr w14:paraId="4117A805">
        <w:tblPrEx>
          <w:tblCellMar>
            <w:top w:w="0" w:type="dxa"/>
            <w:left w:w="108" w:type="dxa"/>
            <w:bottom w:w="0" w:type="dxa"/>
            <w:right w:w="108" w:type="dxa"/>
          </w:tblCellMar>
        </w:tblPrEx>
        <w:trPr>
          <w:trHeight w:val="1743" w:hRule="atLeast"/>
        </w:trPr>
        <w:tc>
          <w:tcPr>
            <w:tcW w:w="492" w:type="pct"/>
            <w:tcBorders>
              <w:top w:val="nil"/>
              <w:left w:val="single" w:color="000000" w:sz="8" w:space="0"/>
              <w:bottom w:val="single" w:color="000000" w:sz="8" w:space="0"/>
              <w:right w:val="single" w:color="000000" w:sz="8" w:space="0"/>
            </w:tcBorders>
            <w:shd w:val="clear" w:color="auto" w:fill="auto"/>
            <w:noWrap/>
            <w:vAlign w:val="center"/>
          </w:tcPr>
          <w:p w14:paraId="4C1BBB76">
            <w:pPr>
              <w:widowControl/>
              <w:spacing w:line="360" w:lineRule="auto"/>
              <w:jc w:val="center"/>
              <w:textAlignment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11</w:t>
            </w:r>
          </w:p>
        </w:tc>
        <w:tc>
          <w:tcPr>
            <w:tcW w:w="622" w:type="pct"/>
            <w:tcBorders>
              <w:top w:val="nil"/>
              <w:left w:val="nil"/>
              <w:bottom w:val="single" w:color="000000" w:sz="8" w:space="0"/>
              <w:right w:val="single" w:color="000000" w:sz="8" w:space="0"/>
            </w:tcBorders>
            <w:shd w:val="clear" w:color="auto" w:fill="auto"/>
            <w:vAlign w:val="center"/>
          </w:tcPr>
          <w:p w14:paraId="5EF37768">
            <w:pPr>
              <w:widowControl/>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安全保障</w:t>
            </w:r>
          </w:p>
        </w:tc>
        <w:tc>
          <w:tcPr>
            <w:tcW w:w="2531" w:type="pct"/>
            <w:tcBorders>
              <w:top w:val="nil"/>
              <w:left w:val="nil"/>
              <w:bottom w:val="single" w:color="000000" w:sz="8" w:space="0"/>
              <w:right w:val="single" w:color="000000" w:sz="8" w:space="0"/>
            </w:tcBorders>
            <w:shd w:val="clear" w:color="auto" w:fill="auto"/>
            <w:vAlign w:val="center"/>
          </w:tcPr>
          <w:p w14:paraId="3D38ACF2">
            <w:pPr>
              <w:widowControl/>
              <w:spacing w:line="360" w:lineRule="auto"/>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安全保障①安全访问控制、②数据与网络安全、③安全审计与监控。根据方案的完整性、符合性进行打分。（得分：4、3、2、1、0）</w:t>
            </w:r>
          </w:p>
        </w:tc>
        <w:tc>
          <w:tcPr>
            <w:tcW w:w="385" w:type="pct"/>
            <w:tcBorders>
              <w:top w:val="nil"/>
              <w:left w:val="nil"/>
              <w:bottom w:val="single" w:color="000000" w:sz="8" w:space="0"/>
              <w:right w:val="single" w:color="000000" w:sz="8" w:space="0"/>
            </w:tcBorders>
            <w:shd w:val="clear" w:color="auto" w:fill="auto"/>
            <w:vAlign w:val="center"/>
          </w:tcPr>
          <w:p w14:paraId="424F836D">
            <w:pPr>
              <w:widowControl/>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w:t>
            </w:r>
          </w:p>
        </w:tc>
        <w:tc>
          <w:tcPr>
            <w:tcW w:w="452" w:type="pct"/>
            <w:tcBorders>
              <w:top w:val="nil"/>
              <w:left w:val="nil"/>
              <w:bottom w:val="single" w:color="000000" w:sz="8" w:space="0"/>
              <w:right w:val="single" w:color="000000" w:sz="8" w:space="0"/>
            </w:tcBorders>
            <w:shd w:val="clear" w:color="auto" w:fill="auto"/>
            <w:vAlign w:val="center"/>
          </w:tcPr>
          <w:p w14:paraId="7F71B952">
            <w:pPr>
              <w:widowControl/>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主观分</w:t>
            </w:r>
          </w:p>
        </w:tc>
        <w:tc>
          <w:tcPr>
            <w:tcW w:w="513" w:type="pct"/>
            <w:tcBorders>
              <w:top w:val="nil"/>
              <w:left w:val="nil"/>
              <w:bottom w:val="single" w:color="000000" w:sz="8" w:space="0"/>
              <w:right w:val="single" w:color="000000" w:sz="8" w:space="0"/>
            </w:tcBorders>
            <w:shd w:val="clear" w:color="auto" w:fill="auto"/>
            <w:vAlign w:val="center"/>
          </w:tcPr>
          <w:p w14:paraId="48DF7EFE">
            <w:pPr>
              <w:spacing w:line="360" w:lineRule="auto"/>
              <w:rPr>
                <w:rFonts w:hint="eastAsia" w:ascii="宋体" w:hAnsi="宋体" w:cs="宋体"/>
                <w:color w:val="000000" w:themeColor="text1"/>
                <w:sz w:val="24"/>
                <w14:textFill>
                  <w14:solidFill>
                    <w14:schemeClr w14:val="tx1"/>
                  </w14:solidFill>
                </w14:textFill>
              </w:rPr>
            </w:pPr>
          </w:p>
        </w:tc>
      </w:tr>
      <w:tr w14:paraId="091D9F18">
        <w:tblPrEx>
          <w:tblCellMar>
            <w:top w:w="0" w:type="dxa"/>
            <w:left w:w="108" w:type="dxa"/>
            <w:bottom w:w="0" w:type="dxa"/>
            <w:right w:w="108" w:type="dxa"/>
          </w:tblCellMar>
        </w:tblPrEx>
        <w:trPr>
          <w:trHeight w:val="3183" w:hRule="atLeast"/>
        </w:trPr>
        <w:tc>
          <w:tcPr>
            <w:tcW w:w="492" w:type="pct"/>
            <w:tcBorders>
              <w:top w:val="nil"/>
              <w:left w:val="single" w:color="000000" w:sz="8" w:space="0"/>
              <w:bottom w:val="single" w:color="000000" w:sz="8" w:space="0"/>
              <w:right w:val="single" w:color="000000" w:sz="8" w:space="0"/>
            </w:tcBorders>
            <w:shd w:val="clear" w:color="auto" w:fill="auto"/>
            <w:noWrap/>
            <w:vAlign w:val="center"/>
          </w:tcPr>
          <w:p w14:paraId="4395A82D">
            <w:pPr>
              <w:widowControl/>
              <w:spacing w:line="360" w:lineRule="auto"/>
              <w:jc w:val="center"/>
              <w:textAlignment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12</w:t>
            </w:r>
          </w:p>
        </w:tc>
        <w:tc>
          <w:tcPr>
            <w:tcW w:w="622" w:type="pct"/>
            <w:tcBorders>
              <w:top w:val="nil"/>
              <w:left w:val="nil"/>
              <w:bottom w:val="single" w:color="000000" w:sz="8" w:space="0"/>
              <w:right w:val="single" w:color="000000" w:sz="8" w:space="0"/>
            </w:tcBorders>
            <w:shd w:val="clear" w:color="auto" w:fill="auto"/>
            <w:vAlign w:val="center"/>
          </w:tcPr>
          <w:p w14:paraId="5F619073">
            <w:pPr>
              <w:widowControl/>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售后服务方案</w:t>
            </w:r>
          </w:p>
        </w:tc>
        <w:tc>
          <w:tcPr>
            <w:tcW w:w="2531" w:type="pct"/>
            <w:tcBorders>
              <w:top w:val="nil"/>
              <w:left w:val="nil"/>
              <w:bottom w:val="single" w:color="000000" w:sz="8" w:space="0"/>
              <w:right w:val="single" w:color="000000" w:sz="8" w:space="0"/>
            </w:tcBorders>
            <w:shd w:val="clear" w:color="auto" w:fill="auto"/>
            <w:vAlign w:val="center"/>
          </w:tcPr>
          <w:p w14:paraId="3CEF7E45">
            <w:pPr>
              <w:widowControl/>
              <w:spacing w:line="360" w:lineRule="auto"/>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提供完整详尽的售后服务方案，服务内容包括：①投标人针对各类故障必须提供7*24小时立即响应服务，承诺一般故障在2小时内解决，复杂故障在24小时内解决，如果故障不能在24小时内排除，则应提供技术团队到现场进行处理。②投标人每月应对系统进行现场巡检，如巡检中发现软硬件问题，应及时诊断修复并提交故障报告及附解决措施；提供承诺或方案，符合要求得3分，不符合要求不得分。</w:t>
            </w:r>
          </w:p>
        </w:tc>
        <w:tc>
          <w:tcPr>
            <w:tcW w:w="385" w:type="pct"/>
            <w:tcBorders>
              <w:top w:val="nil"/>
              <w:left w:val="nil"/>
              <w:bottom w:val="single" w:color="000000" w:sz="8" w:space="0"/>
              <w:right w:val="single" w:color="000000" w:sz="8" w:space="0"/>
            </w:tcBorders>
            <w:shd w:val="clear" w:color="auto" w:fill="auto"/>
            <w:vAlign w:val="center"/>
          </w:tcPr>
          <w:p w14:paraId="4ACBE586">
            <w:pPr>
              <w:widowControl/>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w:t>
            </w:r>
          </w:p>
        </w:tc>
        <w:tc>
          <w:tcPr>
            <w:tcW w:w="452" w:type="pct"/>
            <w:tcBorders>
              <w:top w:val="nil"/>
              <w:left w:val="nil"/>
              <w:bottom w:val="single" w:color="000000" w:sz="8" w:space="0"/>
              <w:right w:val="single" w:color="000000" w:sz="8" w:space="0"/>
            </w:tcBorders>
            <w:shd w:val="clear" w:color="auto" w:fill="auto"/>
            <w:vAlign w:val="center"/>
          </w:tcPr>
          <w:p w14:paraId="0B3111F6">
            <w:pPr>
              <w:widowControl/>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客观分</w:t>
            </w:r>
          </w:p>
        </w:tc>
        <w:tc>
          <w:tcPr>
            <w:tcW w:w="513" w:type="pct"/>
            <w:tcBorders>
              <w:top w:val="nil"/>
              <w:left w:val="nil"/>
              <w:bottom w:val="single" w:color="000000" w:sz="8" w:space="0"/>
              <w:right w:val="single" w:color="000000" w:sz="8" w:space="0"/>
            </w:tcBorders>
            <w:shd w:val="clear" w:color="auto" w:fill="auto"/>
            <w:vAlign w:val="center"/>
          </w:tcPr>
          <w:p w14:paraId="748ABA65">
            <w:pPr>
              <w:spacing w:line="360" w:lineRule="auto"/>
              <w:rPr>
                <w:rFonts w:hint="eastAsia" w:ascii="宋体" w:hAnsi="宋体" w:cs="宋体"/>
                <w:color w:val="000000" w:themeColor="text1"/>
                <w:sz w:val="24"/>
                <w14:textFill>
                  <w14:solidFill>
                    <w14:schemeClr w14:val="tx1"/>
                  </w14:solidFill>
                </w14:textFill>
              </w:rPr>
            </w:pPr>
          </w:p>
        </w:tc>
      </w:tr>
      <w:tr w14:paraId="4F521B13">
        <w:tblPrEx>
          <w:tblCellMar>
            <w:top w:w="0" w:type="dxa"/>
            <w:left w:w="108" w:type="dxa"/>
            <w:bottom w:w="0" w:type="dxa"/>
            <w:right w:w="108" w:type="dxa"/>
          </w:tblCellMar>
        </w:tblPrEx>
        <w:trPr>
          <w:trHeight w:val="591" w:hRule="atLeast"/>
        </w:trPr>
        <w:tc>
          <w:tcPr>
            <w:tcW w:w="492" w:type="pct"/>
            <w:vMerge w:val="restart"/>
            <w:tcBorders>
              <w:top w:val="nil"/>
              <w:left w:val="single" w:color="000000" w:sz="8" w:space="0"/>
              <w:bottom w:val="single" w:color="000000" w:sz="8" w:space="0"/>
              <w:right w:val="single" w:color="000000" w:sz="8" w:space="0"/>
            </w:tcBorders>
            <w:shd w:val="clear" w:color="auto" w:fill="auto"/>
            <w:noWrap/>
            <w:vAlign w:val="center"/>
          </w:tcPr>
          <w:p w14:paraId="506D0C7F">
            <w:pPr>
              <w:widowControl/>
              <w:spacing w:line="360" w:lineRule="auto"/>
              <w:jc w:val="center"/>
              <w:textAlignment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13</w:t>
            </w:r>
          </w:p>
        </w:tc>
        <w:tc>
          <w:tcPr>
            <w:tcW w:w="622" w:type="pct"/>
            <w:vMerge w:val="restart"/>
            <w:tcBorders>
              <w:top w:val="nil"/>
              <w:left w:val="nil"/>
              <w:bottom w:val="single" w:color="000000" w:sz="8" w:space="0"/>
              <w:right w:val="single" w:color="000000" w:sz="8" w:space="0"/>
            </w:tcBorders>
            <w:shd w:val="clear" w:color="auto" w:fill="auto"/>
            <w:vAlign w:val="center"/>
          </w:tcPr>
          <w:p w14:paraId="0285477F">
            <w:pPr>
              <w:widowControl/>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系统方案演示</w:t>
            </w:r>
          </w:p>
        </w:tc>
        <w:tc>
          <w:tcPr>
            <w:tcW w:w="2531" w:type="pct"/>
            <w:tcBorders>
              <w:top w:val="nil"/>
              <w:left w:val="nil"/>
              <w:bottom w:val="single" w:color="000000" w:sz="8" w:space="0"/>
              <w:right w:val="single" w:color="000000" w:sz="8" w:space="0"/>
            </w:tcBorders>
            <w:shd w:val="clear" w:color="auto" w:fill="auto"/>
            <w:vAlign w:val="center"/>
          </w:tcPr>
          <w:p w14:paraId="4E148111">
            <w:pPr>
              <w:widowControl/>
              <w:spacing w:line="360" w:lineRule="auto"/>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针对上城区人大常委会</w:t>
            </w:r>
            <w:r>
              <w:rPr>
                <w:rFonts w:hint="eastAsia" w:ascii="宋体" w:hAnsi="宋体" w:cs="宋体"/>
                <w:b w:val="0"/>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数字人大”平台系统改造项目</w:t>
            </w:r>
            <w:r>
              <w:rPr>
                <w:rFonts w:hint="eastAsia" w:ascii="宋体" w:hAnsi="宋体" w:cs="宋体"/>
                <w:color w:val="000000"/>
                <w:kern w:val="0"/>
                <w:sz w:val="24"/>
                <w:lang w:bidi="ar"/>
              </w:rPr>
              <w:t>的演示：</w:t>
            </w:r>
          </w:p>
        </w:tc>
        <w:tc>
          <w:tcPr>
            <w:tcW w:w="385" w:type="pct"/>
            <w:tcBorders>
              <w:top w:val="nil"/>
              <w:left w:val="nil"/>
              <w:bottom w:val="single" w:color="000000" w:sz="8" w:space="0"/>
              <w:right w:val="single" w:color="000000" w:sz="8" w:space="0"/>
            </w:tcBorders>
            <w:shd w:val="clear" w:color="auto" w:fill="auto"/>
            <w:vAlign w:val="center"/>
          </w:tcPr>
          <w:p w14:paraId="03A85049">
            <w:pPr>
              <w:widowControl/>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w:t>
            </w:r>
          </w:p>
        </w:tc>
        <w:tc>
          <w:tcPr>
            <w:tcW w:w="452" w:type="pct"/>
            <w:tcBorders>
              <w:top w:val="nil"/>
              <w:left w:val="nil"/>
              <w:bottom w:val="single" w:color="000000" w:sz="8" w:space="0"/>
              <w:right w:val="single" w:color="000000" w:sz="8" w:space="0"/>
            </w:tcBorders>
            <w:shd w:val="clear" w:color="auto" w:fill="auto"/>
            <w:vAlign w:val="center"/>
          </w:tcPr>
          <w:p w14:paraId="6B1CA23C">
            <w:pPr>
              <w:widowControl/>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w:t>
            </w:r>
          </w:p>
        </w:tc>
        <w:tc>
          <w:tcPr>
            <w:tcW w:w="513" w:type="pct"/>
            <w:tcBorders>
              <w:top w:val="nil"/>
              <w:left w:val="nil"/>
              <w:bottom w:val="single" w:color="000000" w:sz="8" w:space="0"/>
              <w:right w:val="single" w:color="000000" w:sz="8" w:space="0"/>
            </w:tcBorders>
            <w:shd w:val="clear" w:color="auto" w:fill="auto"/>
            <w:vAlign w:val="center"/>
          </w:tcPr>
          <w:p w14:paraId="4488CDF5">
            <w:pPr>
              <w:widowControl/>
              <w:spacing w:line="360" w:lineRule="auto"/>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w:t>
            </w:r>
          </w:p>
        </w:tc>
      </w:tr>
      <w:tr w14:paraId="20CA0071">
        <w:tblPrEx>
          <w:tblCellMar>
            <w:top w:w="0" w:type="dxa"/>
            <w:left w:w="108" w:type="dxa"/>
            <w:bottom w:w="0" w:type="dxa"/>
            <w:right w:w="108" w:type="dxa"/>
          </w:tblCellMar>
        </w:tblPrEx>
        <w:trPr>
          <w:trHeight w:val="879" w:hRule="atLeast"/>
        </w:trPr>
        <w:tc>
          <w:tcPr>
            <w:tcW w:w="492" w:type="pct"/>
            <w:vMerge w:val="continue"/>
            <w:tcBorders>
              <w:top w:val="nil"/>
              <w:left w:val="single" w:color="000000" w:sz="8" w:space="0"/>
              <w:bottom w:val="single" w:color="000000" w:sz="8" w:space="0"/>
              <w:right w:val="single" w:color="000000" w:sz="8" w:space="0"/>
            </w:tcBorders>
            <w:shd w:val="clear" w:color="auto" w:fill="auto"/>
            <w:noWrap/>
            <w:vAlign w:val="center"/>
          </w:tcPr>
          <w:p w14:paraId="1BE59766">
            <w:pPr>
              <w:spacing w:line="360" w:lineRule="auto"/>
              <w:jc w:val="center"/>
              <w:rPr>
                <w:rFonts w:hint="eastAsia" w:ascii="宋体" w:hAnsi="宋体" w:cs="宋体"/>
                <w:b/>
                <w:bCs/>
                <w:color w:val="000000" w:themeColor="text1"/>
                <w:sz w:val="24"/>
                <w14:textFill>
                  <w14:solidFill>
                    <w14:schemeClr w14:val="tx1"/>
                  </w14:solidFill>
                </w14:textFill>
              </w:rPr>
            </w:pPr>
          </w:p>
        </w:tc>
        <w:tc>
          <w:tcPr>
            <w:tcW w:w="622" w:type="pct"/>
            <w:vMerge w:val="continue"/>
            <w:tcBorders>
              <w:top w:val="nil"/>
              <w:left w:val="nil"/>
              <w:bottom w:val="single" w:color="000000" w:sz="8" w:space="0"/>
              <w:right w:val="single" w:color="000000" w:sz="8" w:space="0"/>
            </w:tcBorders>
            <w:shd w:val="clear" w:color="auto" w:fill="auto"/>
            <w:vAlign w:val="center"/>
          </w:tcPr>
          <w:p w14:paraId="51EDE252">
            <w:pPr>
              <w:spacing w:line="360" w:lineRule="auto"/>
              <w:jc w:val="center"/>
              <w:rPr>
                <w:rFonts w:hint="eastAsia" w:ascii="宋体" w:hAnsi="宋体" w:cs="宋体"/>
                <w:color w:val="000000" w:themeColor="text1"/>
                <w:sz w:val="24"/>
                <w14:textFill>
                  <w14:solidFill>
                    <w14:schemeClr w14:val="tx1"/>
                  </w14:solidFill>
                </w14:textFill>
              </w:rPr>
            </w:pPr>
          </w:p>
        </w:tc>
        <w:tc>
          <w:tcPr>
            <w:tcW w:w="2531" w:type="pct"/>
            <w:tcBorders>
              <w:top w:val="nil"/>
              <w:left w:val="nil"/>
              <w:bottom w:val="single" w:color="000000" w:sz="8" w:space="0"/>
              <w:right w:val="single" w:color="000000" w:sz="8" w:space="0"/>
            </w:tcBorders>
            <w:shd w:val="clear" w:color="auto" w:fill="auto"/>
            <w:vAlign w:val="center"/>
          </w:tcPr>
          <w:p w14:paraId="2E103B75">
            <w:pPr>
              <w:widowControl/>
              <w:spacing w:line="360" w:lineRule="auto"/>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（1）上城区街道人大工作系统（1分）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包含街道工委驾驶舱、区人大全景视窗等信息，根据演示的完整性、符合性进行打分。（</w:t>
            </w:r>
            <w:r>
              <w:rPr>
                <w:rFonts w:hint="eastAsia" w:ascii="宋体" w:hAnsi="宋体" w:cs="宋体"/>
                <w:color w:val="000000" w:themeColor="text1"/>
                <w:kern w:val="0"/>
                <w:sz w:val="24"/>
                <w:lang w:bidi="ar"/>
                <w14:textFill>
                  <w14:solidFill>
                    <w14:schemeClr w14:val="tx1"/>
                  </w14:solidFill>
                </w14:textFill>
              </w:rPr>
              <w:t>得分：</w:t>
            </w:r>
            <w:r>
              <w:rPr>
                <w:rFonts w:hint="eastAsia" w:ascii="宋体" w:hAnsi="宋体" w:cs="宋体"/>
                <w:color w:val="000000"/>
                <w:kern w:val="0"/>
                <w:sz w:val="24"/>
                <w:lang w:bidi="ar"/>
              </w:rPr>
              <w:t>1、0.5、0）</w:t>
            </w:r>
          </w:p>
        </w:tc>
        <w:tc>
          <w:tcPr>
            <w:tcW w:w="385" w:type="pct"/>
            <w:tcBorders>
              <w:top w:val="nil"/>
              <w:left w:val="nil"/>
              <w:bottom w:val="single" w:color="000000" w:sz="8" w:space="0"/>
              <w:right w:val="single" w:color="000000" w:sz="8" w:space="0"/>
            </w:tcBorders>
            <w:shd w:val="clear" w:color="auto" w:fill="auto"/>
            <w:vAlign w:val="center"/>
          </w:tcPr>
          <w:p w14:paraId="3FC5BEE9">
            <w:pPr>
              <w:widowControl/>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1</w:t>
            </w:r>
          </w:p>
        </w:tc>
        <w:tc>
          <w:tcPr>
            <w:tcW w:w="452" w:type="pct"/>
            <w:tcBorders>
              <w:top w:val="nil"/>
              <w:left w:val="nil"/>
              <w:bottom w:val="single" w:color="000000" w:sz="8" w:space="0"/>
              <w:right w:val="single" w:color="000000" w:sz="8" w:space="0"/>
            </w:tcBorders>
            <w:shd w:val="clear" w:color="auto" w:fill="auto"/>
            <w:vAlign w:val="center"/>
          </w:tcPr>
          <w:p w14:paraId="2039CE75">
            <w:pPr>
              <w:widowControl/>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主观分</w:t>
            </w:r>
          </w:p>
        </w:tc>
        <w:tc>
          <w:tcPr>
            <w:tcW w:w="513" w:type="pct"/>
            <w:tcBorders>
              <w:top w:val="nil"/>
              <w:left w:val="nil"/>
              <w:bottom w:val="single" w:color="000000" w:sz="8" w:space="0"/>
              <w:right w:val="single" w:color="000000" w:sz="8" w:space="0"/>
            </w:tcBorders>
            <w:shd w:val="clear" w:color="auto" w:fill="auto"/>
            <w:vAlign w:val="center"/>
          </w:tcPr>
          <w:p w14:paraId="64B221DD">
            <w:pPr>
              <w:spacing w:line="360" w:lineRule="auto"/>
              <w:rPr>
                <w:rFonts w:hint="eastAsia" w:ascii="宋体" w:hAnsi="宋体" w:cs="宋体"/>
                <w:color w:val="000000" w:themeColor="text1"/>
                <w:sz w:val="24"/>
                <w14:textFill>
                  <w14:solidFill>
                    <w14:schemeClr w14:val="tx1"/>
                  </w14:solidFill>
                </w14:textFill>
              </w:rPr>
            </w:pPr>
          </w:p>
        </w:tc>
      </w:tr>
      <w:tr w14:paraId="4C011784">
        <w:tblPrEx>
          <w:tblCellMar>
            <w:top w:w="0" w:type="dxa"/>
            <w:left w:w="108" w:type="dxa"/>
            <w:bottom w:w="0" w:type="dxa"/>
            <w:right w:w="108" w:type="dxa"/>
          </w:tblCellMar>
        </w:tblPrEx>
        <w:trPr>
          <w:trHeight w:val="1167" w:hRule="atLeast"/>
        </w:trPr>
        <w:tc>
          <w:tcPr>
            <w:tcW w:w="492" w:type="pct"/>
            <w:vMerge w:val="continue"/>
            <w:tcBorders>
              <w:top w:val="nil"/>
              <w:left w:val="single" w:color="000000" w:sz="8" w:space="0"/>
              <w:bottom w:val="single" w:color="000000" w:sz="8" w:space="0"/>
              <w:right w:val="single" w:color="000000" w:sz="8" w:space="0"/>
            </w:tcBorders>
            <w:shd w:val="clear" w:color="auto" w:fill="auto"/>
            <w:noWrap/>
            <w:vAlign w:val="center"/>
          </w:tcPr>
          <w:p w14:paraId="007FAAC6">
            <w:pPr>
              <w:spacing w:line="360" w:lineRule="auto"/>
              <w:jc w:val="center"/>
              <w:rPr>
                <w:rFonts w:hint="eastAsia" w:ascii="宋体" w:hAnsi="宋体" w:cs="宋体"/>
                <w:b/>
                <w:bCs/>
                <w:color w:val="000000" w:themeColor="text1"/>
                <w:sz w:val="24"/>
                <w14:textFill>
                  <w14:solidFill>
                    <w14:schemeClr w14:val="tx1"/>
                  </w14:solidFill>
                </w14:textFill>
              </w:rPr>
            </w:pPr>
          </w:p>
        </w:tc>
        <w:tc>
          <w:tcPr>
            <w:tcW w:w="622" w:type="pct"/>
            <w:vMerge w:val="continue"/>
            <w:tcBorders>
              <w:top w:val="nil"/>
              <w:left w:val="nil"/>
              <w:bottom w:val="single" w:color="000000" w:sz="8" w:space="0"/>
              <w:right w:val="single" w:color="000000" w:sz="8" w:space="0"/>
            </w:tcBorders>
            <w:shd w:val="clear" w:color="auto" w:fill="auto"/>
            <w:vAlign w:val="center"/>
          </w:tcPr>
          <w:p w14:paraId="3CC7187D">
            <w:pPr>
              <w:spacing w:line="360" w:lineRule="auto"/>
              <w:jc w:val="center"/>
              <w:rPr>
                <w:rFonts w:hint="eastAsia" w:ascii="宋体" w:hAnsi="宋体" w:cs="宋体"/>
                <w:color w:val="000000" w:themeColor="text1"/>
                <w:sz w:val="24"/>
                <w14:textFill>
                  <w14:solidFill>
                    <w14:schemeClr w14:val="tx1"/>
                  </w14:solidFill>
                </w14:textFill>
              </w:rPr>
            </w:pPr>
          </w:p>
        </w:tc>
        <w:tc>
          <w:tcPr>
            <w:tcW w:w="2531" w:type="pct"/>
            <w:tcBorders>
              <w:top w:val="nil"/>
              <w:left w:val="nil"/>
              <w:bottom w:val="single" w:color="000000" w:sz="8" w:space="0"/>
              <w:right w:val="single" w:color="000000" w:sz="8" w:space="0"/>
            </w:tcBorders>
            <w:shd w:val="clear" w:color="auto" w:fill="auto"/>
            <w:vAlign w:val="center"/>
          </w:tcPr>
          <w:p w14:paraId="30A53530">
            <w:pPr>
              <w:widowControl/>
              <w:spacing w:line="360" w:lineRule="auto"/>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（2）议案建议办理应用场景应用</w:t>
            </w:r>
          </w:p>
          <w:p w14:paraId="3D0353D8">
            <w:pPr>
              <w:widowControl/>
              <w:spacing w:line="360" w:lineRule="auto"/>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代表移动端起草议案建议。根据演示的完整性、符合性进行打分。（</w:t>
            </w:r>
            <w:r>
              <w:rPr>
                <w:rFonts w:hint="eastAsia" w:ascii="宋体" w:hAnsi="宋体" w:cs="宋体"/>
                <w:color w:val="000000" w:themeColor="text1"/>
                <w:kern w:val="0"/>
                <w:sz w:val="24"/>
                <w:lang w:bidi="ar"/>
                <w14:textFill>
                  <w14:solidFill>
                    <w14:schemeClr w14:val="tx1"/>
                  </w14:solidFill>
                </w14:textFill>
              </w:rPr>
              <w:t>得分：</w:t>
            </w:r>
            <w:r>
              <w:rPr>
                <w:rFonts w:hint="eastAsia" w:ascii="宋体" w:hAnsi="宋体" w:cs="宋体"/>
                <w:color w:val="000000"/>
                <w:kern w:val="0"/>
                <w:sz w:val="24"/>
                <w:lang w:bidi="ar"/>
              </w:rPr>
              <w:t>1、0.5、0）</w:t>
            </w:r>
          </w:p>
        </w:tc>
        <w:tc>
          <w:tcPr>
            <w:tcW w:w="385" w:type="pct"/>
            <w:tcBorders>
              <w:top w:val="nil"/>
              <w:left w:val="nil"/>
              <w:bottom w:val="single" w:color="000000" w:sz="8" w:space="0"/>
              <w:right w:val="single" w:color="000000" w:sz="8" w:space="0"/>
            </w:tcBorders>
            <w:shd w:val="clear" w:color="auto" w:fill="auto"/>
            <w:vAlign w:val="center"/>
          </w:tcPr>
          <w:p w14:paraId="43B46201">
            <w:pPr>
              <w:widowControl/>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1</w:t>
            </w:r>
          </w:p>
        </w:tc>
        <w:tc>
          <w:tcPr>
            <w:tcW w:w="452" w:type="pct"/>
            <w:tcBorders>
              <w:top w:val="nil"/>
              <w:left w:val="nil"/>
              <w:bottom w:val="single" w:color="000000" w:sz="8" w:space="0"/>
              <w:right w:val="single" w:color="000000" w:sz="8" w:space="0"/>
            </w:tcBorders>
            <w:shd w:val="clear" w:color="auto" w:fill="auto"/>
            <w:vAlign w:val="center"/>
          </w:tcPr>
          <w:p w14:paraId="7A20A6B6">
            <w:pPr>
              <w:widowControl/>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主观分</w:t>
            </w:r>
          </w:p>
        </w:tc>
        <w:tc>
          <w:tcPr>
            <w:tcW w:w="513" w:type="pct"/>
            <w:tcBorders>
              <w:top w:val="nil"/>
              <w:left w:val="nil"/>
              <w:bottom w:val="single" w:color="000000" w:sz="8" w:space="0"/>
              <w:right w:val="single" w:color="000000" w:sz="8" w:space="0"/>
            </w:tcBorders>
            <w:shd w:val="clear" w:color="auto" w:fill="auto"/>
            <w:vAlign w:val="center"/>
          </w:tcPr>
          <w:p w14:paraId="51A898F7">
            <w:pPr>
              <w:spacing w:line="360" w:lineRule="auto"/>
              <w:jc w:val="center"/>
              <w:rPr>
                <w:rFonts w:hint="eastAsia" w:ascii="宋体" w:hAnsi="宋体" w:cs="宋体"/>
                <w:color w:val="000000" w:themeColor="text1"/>
                <w:sz w:val="24"/>
                <w14:textFill>
                  <w14:solidFill>
                    <w14:schemeClr w14:val="tx1"/>
                  </w14:solidFill>
                </w14:textFill>
              </w:rPr>
            </w:pPr>
          </w:p>
        </w:tc>
      </w:tr>
      <w:tr w14:paraId="3CE4F088">
        <w:tblPrEx>
          <w:tblCellMar>
            <w:top w:w="0" w:type="dxa"/>
            <w:left w:w="108" w:type="dxa"/>
            <w:bottom w:w="0" w:type="dxa"/>
            <w:right w:w="108" w:type="dxa"/>
          </w:tblCellMar>
        </w:tblPrEx>
        <w:trPr>
          <w:trHeight w:val="288" w:hRule="atLeast"/>
        </w:trPr>
        <w:tc>
          <w:tcPr>
            <w:tcW w:w="492" w:type="pct"/>
            <w:vMerge w:val="continue"/>
            <w:tcBorders>
              <w:top w:val="nil"/>
              <w:left w:val="single" w:color="000000" w:sz="8" w:space="0"/>
              <w:bottom w:val="single" w:color="000000" w:sz="8" w:space="0"/>
              <w:right w:val="single" w:color="000000" w:sz="8" w:space="0"/>
            </w:tcBorders>
            <w:shd w:val="clear" w:color="auto" w:fill="auto"/>
            <w:noWrap/>
            <w:vAlign w:val="center"/>
          </w:tcPr>
          <w:p w14:paraId="60F01059">
            <w:pPr>
              <w:spacing w:line="360" w:lineRule="auto"/>
              <w:jc w:val="center"/>
              <w:rPr>
                <w:rFonts w:hint="eastAsia" w:ascii="宋体" w:hAnsi="宋体" w:cs="宋体"/>
                <w:b/>
                <w:bCs/>
                <w:color w:val="000000" w:themeColor="text1"/>
                <w:sz w:val="24"/>
                <w14:textFill>
                  <w14:solidFill>
                    <w14:schemeClr w14:val="tx1"/>
                  </w14:solidFill>
                </w14:textFill>
              </w:rPr>
            </w:pPr>
          </w:p>
        </w:tc>
        <w:tc>
          <w:tcPr>
            <w:tcW w:w="622" w:type="pct"/>
            <w:vMerge w:val="continue"/>
            <w:tcBorders>
              <w:top w:val="nil"/>
              <w:left w:val="nil"/>
              <w:bottom w:val="single" w:color="000000" w:sz="8" w:space="0"/>
              <w:right w:val="single" w:color="000000" w:sz="8" w:space="0"/>
            </w:tcBorders>
            <w:shd w:val="clear" w:color="auto" w:fill="auto"/>
            <w:vAlign w:val="center"/>
          </w:tcPr>
          <w:p w14:paraId="74B007A9">
            <w:pPr>
              <w:spacing w:line="360" w:lineRule="auto"/>
              <w:jc w:val="center"/>
              <w:rPr>
                <w:rFonts w:hint="eastAsia" w:ascii="宋体" w:hAnsi="宋体" w:cs="宋体"/>
                <w:color w:val="000000" w:themeColor="text1"/>
                <w:sz w:val="24"/>
                <w14:textFill>
                  <w14:solidFill>
                    <w14:schemeClr w14:val="tx1"/>
                  </w14:solidFill>
                </w14:textFill>
              </w:rPr>
            </w:pPr>
          </w:p>
        </w:tc>
        <w:tc>
          <w:tcPr>
            <w:tcW w:w="2531" w:type="pct"/>
            <w:tcBorders>
              <w:top w:val="nil"/>
              <w:left w:val="nil"/>
              <w:bottom w:val="single" w:color="000000" w:sz="8" w:space="0"/>
              <w:right w:val="single" w:color="000000" w:sz="8" w:space="0"/>
            </w:tcBorders>
            <w:shd w:val="clear" w:color="auto" w:fill="auto"/>
            <w:vAlign w:val="center"/>
          </w:tcPr>
          <w:p w14:paraId="2022DCBA">
            <w:pPr>
              <w:widowControl/>
              <w:spacing w:line="360" w:lineRule="auto"/>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（3）代表联系群众、意见处理反馈系统（2分）</w:t>
            </w:r>
          </w:p>
        </w:tc>
        <w:tc>
          <w:tcPr>
            <w:tcW w:w="385" w:type="pct"/>
            <w:vMerge w:val="restart"/>
            <w:tcBorders>
              <w:top w:val="nil"/>
              <w:left w:val="nil"/>
              <w:bottom w:val="single" w:color="000000" w:sz="8" w:space="0"/>
              <w:right w:val="single" w:color="000000" w:sz="8" w:space="0"/>
            </w:tcBorders>
            <w:shd w:val="clear" w:color="auto" w:fill="auto"/>
            <w:vAlign w:val="center"/>
          </w:tcPr>
          <w:p w14:paraId="747A88A2">
            <w:pPr>
              <w:widowControl/>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2</w:t>
            </w:r>
          </w:p>
        </w:tc>
        <w:tc>
          <w:tcPr>
            <w:tcW w:w="452" w:type="pct"/>
            <w:vMerge w:val="restart"/>
            <w:tcBorders>
              <w:top w:val="nil"/>
              <w:left w:val="nil"/>
              <w:bottom w:val="single" w:color="000000" w:sz="8" w:space="0"/>
              <w:right w:val="single" w:color="000000" w:sz="8" w:space="0"/>
            </w:tcBorders>
            <w:shd w:val="clear" w:color="auto" w:fill="auto"/>
            <w:vAlign w:val="center"/>
          </w:tcPr>
          <w:p w14:paraId="1BD8B07B">
            <w:pPr>
              <w:widowControl/>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主观分</w:t>
            </w:r>
          </w:p>
        </w:tc>
        <w:tc>
          <w:tcPr>
            <w:tcW w:w="513" w:type="pct"/>
            <w:vMerge w:val="restart"/>
            <w:tcBorders>
              <w:top w:val="nil"/>
              <w:left w:val="nil"/>
              <w:bottom w:val="single" w:color="000000" w:sz="8" w:space="0"/>
              <w:right w:val="single" w:color="000000" w:sz="8" w:space="0"/>
            </w:tcBorders>
            <w:shd w:val="clear" w:color="auto" w:fill="auto"/>
            <w:vAlign w:val="center"/>
          </w:tcPr>
          <w:p w14:paraId="62F71B73">
            <w:pPr>
              <w:spacing w:line="360" w:lineRule="auto"/>
              <w:rPr>
                <w:rFonts w:hint="eastAsia" w:ascii="宋体" w:hAnsi="宋体" w:cs="宋体"/>
                <w:color w:val="000000" w:themeColor="text1"/>
                <w:sz w:val="24"/>
                <w14:textFill>
                  <w14:solidFill>
                    <w14:schemeClr w14:val="tx1"/>
                  </w14:solidFill>
                </w14:textFill>
              </w:rPr>
            </w:pPr>
          </w:p>
        </w:tc>
      </w:tr>
      <w:tr w14:paraId="37001724">
        <w:tblPrEx>
          <w:tblCellMar>
            <w:top w:w="0" w:type="dxa"/>
            <w:left w:w="108" w:type="dxa"/>
            <w:bottom w:w="0" w:type="dxa"/>
            <w:right w:w="108" w:type="dxa"/>
          </w:tblCellMar>
        </w:tblPrEx>
        <w:trPr>
          <w:trHeight w:val="591" w:hRule="atLeast"/>
        </w:trPr>
        <w:tc>
          <w:tcPr>
            <w:tcW w:w="492" w:type="pct"/>
            <w:vMerge w:val="continue"/>
            <w:tcBorders>
              <w:top w:val="nil"/>
              <w:left w:val="single" w:color="000000" w:sz="8" w:space="0"/>
              <w:bottom w:val="single" w:color="000000" w:sz="8" w:space="0"/>
              <w:right w:val="single" w:color="000000" w:sz="8" w:space="0"/>
            </w:tcBorders>
            <w:shd w:val="clear" w:color="auto" w:fill="auto"/>
            <w:noWrap/>
            <w:vAlign w:val="center"/>
          </w:tcPr>
          <w:p w14:paraId="35EC5E82">
            <w:pPr>
              <w:spacing w:line="360" w:lineRule="auto"/>
              <w:jc w:val="center"/>
              <w:rPr>
                <w:rFonts w:hint="eastAsia" w:ascii="宋体" w:hAnsi="宋体" w:cs="宋体"/>
                <w:b/>
                <w:bCs/>
                <w:color w:val="000000" w:themeColor="text1"/>
                <w:sz w:val="24"/>
                <w14:textFill>
                  <w14:solidFill>
                    <w14:schemeClr w14:val="tx1"/>
                  </w14:solidFill>
                </w14:textFill>
              </w:rPr>
            </w:pPr>
          </w:p>
        </w:tc>
        <w:tc>
          <w:tcPr>
            <w:tcW w:w="622" w:type="pct"/>
            <w:vMerge w:val="continue"/>
            <w:tcBorders>
              <w:top w:val="nil"/>
              <w:left w:val="nil"/>
              <w:bottom w:val="single" w:color="000000" w:sz="8" w:space="0"/>
              <w:right w:val="single" w:color="000000" w:sz="8" w:space="0"/>
            </w:tcBorders>
            <w:shd w:val="clear" w:color="auto" w:fill="auto"/>
            <w:vAlign w:val="center"/>
          </w:tcPr>
          <w:p w14:paraId="47F2778B">
            <w:pPr>
              <w:spacing w:line="360" w:lineRule="auto"/>
              <w:jc w:val="center"/>
              <w:rPr>
                <w:rFonts w:hint="eastAsia" w:ascii="宋体" w:hAnsi="宋体" w:cs="宋体"/>
                <w:color w:val="000000" w:themeColor="text1"/>
                <w:sz w:val="24"/>
                <w14:textFill>
                  <w14:solidFill>
                    <w14:schemeClr w14:val="tx1"/>
                  </w14:solidFill>
                </w14:textFill>
              </w:rPr>
            </w:pPr>
          </w:p>
        </w:tc>
        <w:tc>
          <w:tcPr>
            <w:tcW w:w="2531" w:type="pct"/>
            <w:tcBorders>
              <w:top w:val="nil"/>
              <w:left w:val="nil"/>
              <w:bottom w:val="single" w:color="000000" w:sz="8" w:space="0"/>
              <w:right w:val="single" w:color="000000" w:sz="8" w:space="0"/>
            </w:tcBorders>
            <w:shd w:val="clear" w:color="auto" w:fill="auto"/>
            <w:vAlign w:val="center"/>
          </w:tcPr>
          <w:p w14:paraId="3BE0F2ED">
            <w:pPr>
              <w:widowControl/>
              <w:spacing w:line="360" w:lineRule="auto"/>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1）群众码上询。支持群众扫码上询，根据演示的完整性、符合性进行打分。（</w:t>
            </w:r>
            <w:r>
              <w:rPr>
                <w:rFonts w:hint="eastAsia" w:ascii="宋体" w:hAnsi="宋体" w:cs="宋体"/>
                <w:color w:val="000000" w:themeColor="text1"/>
                <w:kern w:val="0"/>
                <w:sz w:val="24"/>
                <w:lang w:bidi="ar"/>
                <w14:textFill>
                  <w14:solidFill>
                    <w14:schemeClr w14:val="tx1"/>
                  </w14:solidFill>
                </w14:textFill>
              </w:rPr>
              <w:t>得分：1、</w:t>
            </w:r>
            <w:r>
              <w:rPr>
                <w:rFonts w:hint="eastAsia" w:ascii="宋体" w:hAnsi="宋体" w:cs="宋体"/>
                <w:color w:val="000000"/>
                <w:kern w:val="0"/>
                <w:sz w:val="24"/>
                <w:lang w:bidi="ar"/>
              </w:rPr>
              <w:t>0.5、0）</w:t>
            </w:r>
          </w:p>
        </w:tc>
        <w:tc>
          <w:tcPr>
            <w:tcW w:w="385" w:type="pct"/>
            <w:vMerge w:val="continue"/>
            <w:tcBorders>
              <w:top w:val="nil"/>
              <w:left w:val="nil"/>
              <w:bottom w:val="single" w:color="000000" w:sz="8" w:space="0"/>
              <w:right w:val="single" w:color="000000" w:sz="8" w:space="0"/>
            </w:tcBorders>
            <w:shd w:val="clear" w:color="auto" w:fill="auto"/>
            <w:vAlign w:val="center"/>
          </w:tcPr>
          <w:p w14:paraId="3FD4495C">
            <w:pPr>
              <w:spacing w:line="360" w:lineRule="auto"/>
              <w:jc w:val="center"/>
              <w:rPr>
                <w:rFonts w:hint="eastAsia" w:ascii="宋体" w:hAnsi="宋体" w:cs="宋体"/>
                <w:color w:val="000000" w:themeColor="text1"/>
                <w:sz w:val="24"/>
                <w14:textFill>
                  <w14:solidFill>
                    <w14:schemeClr w14:val="tx1"/>
                  </w14:solidFill>
                </w14:textFill>
              </w:rPr>
            </w:pPr>
          </w:p>
        </w:tc>
        <w:tc>
          <w:tcPr>
            <w:tcW w:w="452" w:type="pct"/>
            <w:vMerge w:val="continue"/>
            <w:tcBorders>
              <w:top w:val="nil"/>
              <w:left w:val="nil"/>
              <w:bottom w:val="single" w:color="000000" w:sz="8" w:space="0"/>
              <w:right w:val="single" w:color="000000" w:sz="8" w:space="0"/>
            </w:tcBorders>
            <w:shd w:val="clear" w:color="auto" w:fill="auto"/>
            <w:vAlign w:val="center"/>
          </w:tcPr>
          <w:p w14:paraId="4E0F3167">
            <w:pPr>
              <w:spacing w:line="360" w:lineRule="auto"/>
              <w:jc w:val="center"/>
              <w:rPr>
                <w:rFonts w:hint="eastAsia" w:ascii="宋体" w:hAnsi="宋体" w:cs="宋体"/>
                <w:color w:val="000000" w:themeColor="text1"/>
                <w:sz w:val="24"/>
                <w14:textFill>
                  <w14:solidFill>
                    <w14:schemeClr w14:val="tx1"/>
                  </w14:solidFill>
                </w14:textFill>
              </w:rPr>
            </w:pPr>
          </w:p>
        </w:tc>
        <w:tc>
          <w:tcPr>
            <w:tcW w:w="513" w:type="pct"/>
            <w:vMerge w:val="continue"/>
            <w:tcBorders>
              <w:top w:val="nil"/>
              <w:left w:val="nil"/>
              <w:bottom w:val="single" w:color="000000" w:sz="8" w:space="0"/>
              <w:right w:val="single" w:color="000000" w:sz="8" w:space="0"/>
            </w:tcBorders>
            <w:shd w:val="clear" w:color="auto" w:fill="auto"/>
            <w:vAlign w:val="center"/>
          </w:tcPr>
          <w:p w14:paraId="37E7143C">
            <w:pPr>
              <w:spacing w:line="360" w:lineRule="auto"/>
              <w:rPr>
                <w:rFonts w:hint="eastAsia" w:ascii="宋体" w:hAnsi="宋体" w:cs="宋体"/>
                <w:color w:val="000000" w:themeColor="text1"/>
                <w:sz w:val="24"/>
                <w14:textFill>
                  <w14:solidFill>
                    <w14:schemeClr w14:val="tx1"/>
                  </w14:solidFill>
                </w14:textFill>
              </w:rPr>
            </w:pPr>
          </w:p>
        </w:tc>
      </w:tr>
      <w:tr w14:paraId="3A4D3764">
        <w:tblPrEx>
          <w:tblCellMar>
            <w:top w:w="0" w:type="dxa"/>
            <w:left w:w="108" w:type="dxa"/>
            <w:bottom w:w="0" w:type="dxa"/>
            <w:right w:w="108" w:type="dxa"/>
          </w:tblCellMar>
        </w:tblPrEx>
        <w:trPr>
          <w:trHeight w:val="591" w:hRule="atLeast"/>
        </w:trPr>
        <w:tc>
          <w:tcPr>
            <w:tcW w:w="492" w:type="pct"/>
            <w:vMerge w:val="continue"/>
            <w:tcBorders>
              <w:top w:val="nil"/>
              <w:left w:val="single" w:color="000000" w:sz="8" w:space="0"/>
              <w:bottom w:val="single" w:color="000000" w:sz="8" w:space="0"/>
              <w:right w:val="single" w:color="000000" w:sz="8" w:space="0"/>
            </w:tcBorders>
            <w:shd w:val="clear" w:color="auto" w:fill="auto"/>
            <w:noWrap/>
            <w:vAlign w:val="center"/>
          </w:tcPr>
          <w:p w14:paraId="198495A6">
            <w:pPr>
              <w:spacing w:line="360" w:lineRule="auto"/>
              <w:jc w:val="center"/>
              <w:rPr>
                <w:rFonts w:hint="eastAsia" w:ascii="宋体" w:hAnsi="宋体" w:cs="宋体"/>
                <w:b/>
                <w:bCs/>
                <w:color w:val="000000" w:themeColor="text1"/>
                <w:sz w:val="24"/>
                <w14:textFill>
                  <w14:solidFill>
                    <w14:schemeClr w14:val="tx1"/>
                  </w14:solidFill>
                </w14:textFill>
              </w:rPr>
            </w:pPr>
          </w:p>
        </w:tc>
        <w:tc>
          <w:tcPr>
            <w:tcW w:w="622" w:type="pct"/>
            <w:vMerge w:val="continue"/>
            <w:tcBorders>
              <w:top w:val="nil"/>
              <w:left w:val="nil"/>
              <w:bottom w:val="single" w:color="000000" w:sz="8" w:space="0"/>
              <w:right w:val="single" w:color="000000" w:sz="8" w:space="0"/>
            </w:tcBorders>
            <w:shd w:val="clear" w:color="auto" w:fill="auto"/>
            <w:vAlign w:val="center"/>
          </w:tcPr>
          <w:p w14:paraId="0E6DC56B">
            <w:pPr>
              <w:spacing w:line="360" w:lineRule="auto"/>
              <w:jc w:val="center"/>
              <w:rPr>
                <w:rFonts w:hint="eastAsia" w:ascii="宋体" w:hAnsi="宋体" w:cs="宋体"/>
                <w:color w:val="000000" w:themeColor="text1"/>
                <w:sz w:val="24"/>
                <w14:textFill>
                  <w14:solidFill>
                    <w14:schemeClr w14:val="tx1"/>
                  </w14:solidFill>
                </w14:textFill>
              </w:rPr>
            </w:pPr>
          </w:p>
        </w:tc>
        <w:tc>
          <w:tcPr>
            <w:tcW w:w="2531" w:type="pct"/>
            <w:tcBorders>
              <w:top w:val="nil"/>
              <w:left w:val="nil"/>
              <w:bottom w:val="single" w:color="000000" w:sz="8" w:space="0"/>
              <w:right w:val="single" w:color="000000" w:sz="8" w:space="0"/>
            </w:tcBorders>
            <w:shd w:val="clear" w:color="auto" w:fill="auto"/>
            <w:vAlign w:val="center"/>
          </w:tcPr>
          <w:p w14:paraId="243B519F">
            <w:pPr>
              <w:widowControl/>
              <w:spacing w:line="360" w:lineRule="auto"/>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2）代表掌上应用。移动端演示，根据演示的完整性、符合性进行打分。（</w:t>
            </w:r>
            <w:r>
              <w:rPr>
                <w:rFonts w:hint="eastAsia" w:ascii="宋体" w:hAnsi="宋体" w:cs="宋体"/>
                <w:color w:val="000000" w:themeColor="text1"/>
                <w:kern w:val="0"/>
                <w:sz w:val="24"/>
                <w:lang w:bidi="ar"/>
                <w14:textFill>
                  <w14:solidFill>
                    <w14:schemeClr w14:val="tx1"/>
                  </w14:solidFill>
                </w14:textFill>
              </w:rPr>
              <w:t>得分：1、</w:t>
            </w:r>
            <w:r>
              <w:rPr>
                <w:rFonts w:hint="eastAsia" w:ascii="宋体" w:hAnsi="宋体" w:cs="宋体"/>
                <w:color w:val="000000"/>
                <w:kern w:val="0"/>
                <w:sz w:val="24"/>
                <w:lang w:bidi="ar"/>
              </w:rPr>
              <w:t>0.5、0）</w:t>
            </w:r>
          </w:p>
        </w:tc>
        <w:tc>
          <w:tcPr>
            <w:tcW w:w="385" w:type="pct"/>
            <w:vMerge w:val="continue"/>
            <w:tcBorders>
              <w:top w:val="nil"/>
              <w:left w:val="nil"/>
              <w:bottom w:val="single" w:color="000000" w:sz="8" w:space="0"/>
              <w:right w:val="single" w:color="000000" w:sz="8" w:space="0"/>
            </w:tcBorders>
            <w:shd w:val="clear" w:color="auto" w:fill="auto"/>
            <w:vAlign w:val="center"/>
          </w:tcPr>
          <w:p w14:paraId="12B6F9A3">
            <w:pPr>
              <w:spacing w:line="360" w:lineRule="auto"/>
              <w:jc w:val="center"/>
              <w:rPr>
                <w:rFonts w:hint="eastAsia" w:ascii="宋体" w:hAnsi="宋体" w:cs="宋体"/>
                <w:color w:val="000000" w:themeColor="text1"/>
                <w:sz w:val="24"/>
                <w14:textFill>
                  <w14:solidFill>
                    <w14:schemeClr w14:val="tx1"/>
                  </w14:solidFill>
                </w14:textFill>
              </w:rPr>
            </w:pPr>
          </w:p>
        </w:tc>
        <w:tc>
          <w:tcPr>
            <w:tcW w:w="452" w:type="pct"/>
            <w:vMerge w:val="continue"/>
            <w:tcBorders>
              <w:top w:val="nil"/>
              <w:left w:val="nil"/>
              <w:bottom w:val="single" w:color="000000" w:sz="8" w:space="0"/>
              <w:right w:val="single" w:color="000000" w:sz="8" w:space="0"/>
            </w:tcBorders>
            <w:shd w:val="clear" w:color="auto" w:fill="auto"/>
            <w:vAlign w:val="center"/>
          </w:tcPr>
          <w:p w14:paraId="10939086">
            <w:pPr>
              <w:spacing w:line="360" w:lineRule="auto"/>
              <w:jc w:val="center"/>
              <w:rPr>
                <w:rFonts w:hint="eastAsia" w:ascii="宋体" w:hAnsi="宋体" w:cs="宋体"/>
                <w:color w:val="000000" w:themeColor="text1"/>
                <w:sz w:val="24"/>
                <w14:textFill>
                  <w14:solidFill>
                    <w14:schemeClr w14:val="tx1"/>
                  </w14:solidFill>
                </w14:textFill>
              </w:rPr>
            </w:pPr>
          </w:p>
        </w:tc>
        <w:tc>
          <w:tcPr>
            <w:tcW w:w="513" w:type="pct"/>
            <w:vMerge w:val="continue"/>
            <w:tcBorders>
              <w:top w:val="nil"/>
              <w:left w:val="nil"/>
              <w:bottom w:val="single" w:color="000000" w:sz="8" w:space="0"/>
              <w:right w:val="single" w:color="000000" w:sz="8" w:space="0"/>
            </w:tcBorders>
            <w:shd w:val="clear" w:color="auto" w:fill="auto"/>
            <w:vAlign w:val="center"/>
          </w:tcPr>
          <w:p w14:paraId="081C21E6">
            <w:pPr>
              <w:spacing w:line="360" w:lineRule="auto"/>
              <w:rPr>
                <w:rFonts w:hint="eastAsia" w:ascii="宋体" w:hAnsi="宋体" w:cs="宋体"/>
                <w:color w:val="000000" w:themeColor="text1"/>
                <w:sz w:val="24"/>
                <w14:textFill>
                  <w14:solidFill>
                    <w14:schemeClr w14:val="tx1"/>
                  </w14:solidFill>
                </w14:textFill>
              </w:rPr>
            </w:pPr>
          </w:p>
        </w:tc>
      </w:tr>
      <w:tr w14:paraId="592C674C">
        <w:tblPrEx>
          <w:tblCellMar>
            <w:top w:w="0" w:type="dxa"/>
            <w:left w:w="108" w:type="dxa"/>
            <w:bottom w:w="0" w:type="dxa"/>
            <w:right w:w="108" w:type="dxa"/>
          </w:tblCellMar>
        </w:tblPrEx>
        <w:trPr>
          <w:trHeight w:val="591" w:hRule="atLeast"/>
        </w:trPr>
        <w:tc>
          <w:tcPr>
            <w:tcW w:w="492" w:type="pct"/>
            <w:vMerge w:val="continue"/>
            <w:tcBorders>
              <w:top w:val="nil"/>
              <w:left w:val="single" w:color="000000" w:sz="8" w:space="0"/>
              <w:bottom w:val="single" w:color="000000" w:sz="8" w:space="0"/>
              <w:right w:val="single" w:color="000000" w:sz="8" w:space="0"/>
            </w:tcBorders>
            <w:shd w:val="clear" w:color="auto" w:fill="auto"/>
            <w:noWrap/>
            <w:vAlign w:val="center"/>
          </w:tcPr>
          <w:p w14:paraId="3F52D211">
            <w:pPr>
              <w:spacing w:line="360" w:lineRule="auto"/>
              <w:jc w:val="center"/>
              <w:rPr>
                <w:rFonts w:hint="eastAsia" w:ascii="宋体" w:hAnsi="宋体" w:cs="宋体"/>
                <w:b/>
                <w:bCs/>
                <w:color w:val="000000" w:themeColor="text1"/>
                <w:sz w:val="24"/>
                <w14:textFill>
                  <w14:solidFill>
                    <w14:schemeClr w14:val="tx1"/>
                  </w14:solidFill>
                </w14:textFill>
              </w:rPr>
            </w:pPr>
          </w:p>
        </w:tc>
        <w:tc>
          <w:tcPr>
            <w:tcW w:w="622" w:type="pct"/>
            <w:vMerge w:val="continue"/>
            <w:tcBorders>
              <w:top w:val="nil"/>
              <w:left w:val="nil"/>
              <w:bottom w:val="single" w:color="000000" w:sz="8" w:space="0"/>
              <w:right w:val="single" w:color="000000" w:sz="8" w:space="0"/>
            </w:tcBorders>
            <w:shd w:val="clear" w:color="auto" w:fill="auto"/>
            <w:vAlign w:val="center"/>
          </w:tcPr>
          <w:p w14:paraId="6751AEBD">
            <w:pPr>
              <w:spacing w:line="360" w:lineRule="auto"/>
              <w:jc w:val="center"/>
              <w:rPr>
                <w:rFonts w:hint="eastAsia" w:ascii="宋体" w:hAnsi="宋体" w:cs="宋体"/>
                <w:color w:val="000000" w:themeColor="text1"/>
                <w:sz w:val="24"/>
                <w14:textFill>
                  <w14:solidFill>
                    <w14:schemeClr w14:val="tx1"/>
                  </w14:solidFill>
                </w14:textFill>
              </w:rPr>
            </w:pPr>
          </w:p>
        </w:tc>
        <w:tc>
          <w:tcPr>
            <w:tcW w:w="2531" w:type="pct"/>
            <w:tcBorders>
              <w:top w:val="nil"/>
              <w:left w:val="nil"/>
              <w:bottom w:val="single" w:color="000000" w:sz="8" w:space="0"/>
              <w:right w:val="single" w:color="000000" w:sz="8" w:space="0"/>
            </w:tcBorders>
            <w:shd w:val="clear" w:color="auto" w:fill="auto"/>
            <w:vAlign w:val="center"/>
          </w:tcPr>
          <w:p w14:paraId="43A97D53">
            <w:pPr>
              <w:widowControl/>
              <w:spacing w:line="360" w:lineRule="auto"/>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（4）执法检查、听取审议专项报告系统（1分）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包含系统驾驶舱、年度监督工作计划、通报公布根据演示的完整性、符合性进行打分。（</w:t>
            </w:r>
            <w:r>
              <w:rPr>
                <w:rFonts w:hint="eastAsia" w:ascii="宋体" w:hAnsi="宋体" w:cs="宋体"/>
                <w:color w:val="000000" w:themeColor="text1"/>
                <w:kern w:val="0"/>
                <w:sz w:val="24"/>
                <w:lang w:bidi="ar"/>
                <w14:textFill>
                  <w14:solidFill>
                    <w14:schemeClr w14:val="tx1"/>
                  </w14:solidFill>
                </w14:textFill>
              </w:rPr>
              <w:t>得分：</w:t>
            </w:r>
            <w:r>
              <w:rPr>
                <w:rFonts w:hint="eastAsia" w:ascii="宋体" w:hAnsi="宋体" w:cs="宋体"/>
                <w:color w:val="000000"/>
                <w:kern w:val="0"/>
                <w:sz w:val="24"/>
                <w:lang w:bidi="ar"/>
              </w:rPr>
              <w:t>1、0.5、0）</w:t>
            </w:r>
          </w:p>
        </w:tc>
        <w:tc>
          <w:tcPr>
            <w:tcW w:w="385" w:type="pct"/>
            <w:tcBorders>
              <w:top w:val="nil"/>
              <w:left w:val="nil"/>
              <w:bottom w:val="single" w:color="000000" w:sz="8" w:space="0"/>
              <w:right w:val="single" w:color="000000" w:sz="8" w:space="0"/>
            </w:tcBorders>
            <w:shd w:val="clear" w:color="auto" w:fill="auto"/>
            <w:vAlign w:val="center"/>
          </w:tcPr>
          <w:p w14:paraId="5839ABDF">
            <w:pPr>
              <w:widowControl/>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1</w:t>
            </w:r>
          </w:p>
        </w:tc>
        <w:tc>
          <w:tcPr>
            <w:tcW w:w="452" w:type="pct"/>
            <w:tcBorders>
              <w:top w:val="nil"/>
              <w:left w:val="nil"/>
              <w:bottom w:val="single" w:color="000000" w:sz="8" w:space="0"/>
              <w:right w:val="single" w:color="000000" w:sz="8" w:space="0"/>
            </w:tcBorders>
            <w:shd w:val="clear" w:color="auto" w:fill="auto"/>
            <w:vAlign w:val="center"/>
          </w:tcPr>
          <w:p w14:paraId="3783783B">
            <w:pPr>
              <w:widowControl/>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主观分</w:t>
            </w:r>
          </w:p>
        </w:tc>
        <w:tc>
          <w:tcPr>
            <w:tcW w:w="513" w:type="pct"/>
            <w:tcBorders>
              <w:top w:val="nil"/>
              <w:left w:val="nil"/>
              <w:bottom w:val="single" w:color="000000" w:sz="8" w:space="0"/>
              <w:right w:val="single" w:color="000000" w:sz="8" w:space="0"/>
            </w:tcBorders>
            <w:shd w:val="clear" w:color="auto" w:fill="auto"/>
            <w:vAlign w:val="center"/>
          </w:tcPr>
          <w:p w14:paraId="49A850B1">
            <w:pPr>
              <w:spacing w:line="360" w:lineRule="auto"/>
              <w:rPr>
                <w:rFonts w:hint="eastAsia" w:ascii="宋体" w:hAnsi="宋体" w:cs="宋体"/>
                <w:color w:val="000000" w:themeColor="text1"/>
                <w:sz w:val="24"/>
                <w14:textFill>
                  <w14:solidFill>
                    <w14:schemeClr w14:val="tx1"/>
                  </w14:solidFill>
                </w14:textFill>
              </w:rPr>
            </w:pPr>
          </w:p>
        </w:tc>
      </w:tr>
      <w:tr w14:paraId="1DF6C76F">
        <w:tblPrEx>
          <w:tblCellMar>
            <w:top w:w="0" w:type="dxa"/>
            <w:left w:w="108" w:type="dxa"/>
            <w:bottom w:w="0" w:type="dxa"/>
            <w:right w:w="108" w:type="dxa"/>
          </w:tblCellMar>
        </w:tblPrEx>
        <w:trPr>
          <w:trHeight w:val="879" w:hRule="atLeast"/>
        </w:trPr>
        <w:tc>
          <w:tcPr>
            <w:tcW w:w="492" w:type="pct"/>
            <w:vMerge w:val="continue"/>
            <w:tcBorders>
              <w:top w:val="nil"/>
              <w:left w:val="single" w:color="000000" w:sz="8" w:space="0"/>
              <w:bottom w:val="single" w:color="000000" w:sz="8" w:space="0"/>
              <w:right w:val="single" w:color="000000" w:sz="8" w:space="0"/>
            </w:tcBorders>
            <w:shd w:val="clear" w:color="auto" w:fill="auto"/>
            <w:noWrap/>
            <w:vAlign w:val="center"/>
          </w:tcPr>
          <w:p w14:paraId="1783B603">
            <w:pPr>
              <w:spacing w:line="360" w:lineRule="auto"/>
              <w:jc w:val="center"/>
              <w:rPr>
                <w:rFonts w:hint="eastAsia" w:ascii="宋体" w:hAnsi="宋体" w:cs="宋体"/>
                <w:b/>
                <w:bCs/>
                <w:color w:val="000000" w:themeColor="text1"/>
                <w:sz w:val="24"/>
                <w14:textFill>
                  <w14:solidFill>
                    <w14:schemeClr w14:val="tx1"/>
                  </w14:solidFill>
                </w14:textFill>
              </w:rPr>
            </w:pPr>
          </w:p>
        </w:tc>
        <w:tc>
          <w:tcPr>
            <w:tcW w:w="622" w:type="pct"/>
            <w:vMerge w:val="continue"/>
            <w:tcBorders>
              <w:top w:val="nil"/>
              <w:left w:val="nil"/>
              <w:bottom w:val="single" w:color="000000" w:sz="8" w:space="0"/>
              <w:right w:val="single" w:color="000000" w:sz="8" w:space="0"/>
            </w:tcBorders>
            <w:shd w:val="clear" w:color="auto" w:fill="auto"/>
            <w:vAlign w:val="center"/>
          </w:tcPr>
          <w:p w14:paraId="32EA5E0B">
            <w:pPr>
              <w:spacing w:line="360" w:lineRule="auto"/>
              <w:jc w:val="center"/>
              <w:rPr>
                <w:rFonts w:hint="eastAsia" w:ascii="宋体" w:hAnsi="宋体" w:cs="宋体"/>
                <w:color w:val="000000" w:themeColor="text1"/>
                <w:sz w:val="24"/>
                <w14:textFill>
                  <w14:solidFill>
                    <w14:schemeClr w14:val="tx1"/>
                  </w14:solidFill>
                </w14:textFill>
              </w:rPr>
            </w:pPr>
          </w:p>
        </w:tc>
        <w:tc>
          <w:tcPr>
            <w:tcW w:w="2531" w:type="pct"/>
            <w:tcBorders>
              <w:top w:val="nil"/>
              <w:left w:val="nil"/>
              <w:bottom w:val="single" w:color="000000" w:sz="8" w:space="0"/>
              <w:right w:val="single" w:color="000000" w:sz="8" w:space="0"/>
            </w:tcBorders>
            <w:shd w:val="clear" w:color="auto" w:fill="auto"/>
            <w:vAlign w:val="center"/>
          </w:tcPr>
          <w:p w14:paraId="64269460">
            <w:pPr>
              <w:widowControl/>
              <w:spacing w:line="360" w:lineRule="auto"/>
              <w:textAlignment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演示时间不得超过15分钟。</w:t>
            </w:r>
          </w:p>
        </w:tc>
        <w:tc>
          <w:tcPr>
            <w:tcW w:w="385" w:type="pct"/>
            <w:tcBorders>
              <w:top w:val="nil"/>
              <w:left w:val="nil"/>
              <w:bottom w:val="single" w:color="000000" w:sz="8" w:space="0"/>
              <w:right w:val="single" w:color="000000" w:sz="8" w:space="0"/>
            </w:tcBorders>
            <w:shd w:val="clear" w:color="auto" w:fill="auto"/>
            <w:vAlign w:val="center"/>
          </w:tcPr>
          <w:p w14:paraId="3717128C">
            <w:pPr>
              <w:widowControl/>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w:t>
            </w:r>
          </w:p>
        </w:tc>
        <w:tc>
          <w:tcPr>
            <w:tcW w:w="452" w:type="pct"/>
            <w:tcBorders>
              <w:top w:val="nil"/>
              <w:left w:val="nil"/>
              <w:bottom w:val="single" w:color="000000" w:sz="8" w:space="0"/>
              <w:right w:val="single" w:color="000000" w:sz="8" w:space="0"/>
            </w:tcBorders>
            <w:shd w:val="clear" w:color="auto" w:fill="auto"/>
            <w:vAlign w:val="center"/>
          </w:tcPr>
          <w:p w14:paraId="0B2F5F60">
            <w:pPr>
              <w:widowControl/>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w:t>
            </w:r>
          </w:p>
        </w:tc>
        <w:tc>
          <w:tcPr>
            <w:tcW w:w="513" w:type="pct"/>
            <w:tcBorders>
              <w:top w:val="nil"/>
              <w:left w:val="nil"/>
              <w:bottom w:val="single" w:color="000000" w:sz="8" w:space="0"/>
              <w:right w:val="single" w:color="000000" w:sz="8" w:space="0"/>
            </w:tcBorders>
            <w:shd w:val="clear" w:color="auto" w:fill="auto"/>
            <w:vAlign w:val="center"/>
          </w:tcPr>
          <w:p w14:paraId="336AA989">
            <w:pPr>
              <w:widowControl/>
              <w:spacing w:line="360" w:lineRule="auto"/>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w:t>
            </w:r>
          </w:p>
        </w:tc>
      </w:tr>
      <w:tr w14:paraId="68519633">
        <w:tblPrEx>
          <w:tblCellMar>
            <w:top w:w="0" w:type="dxa"/>
            <w:left w:w="108" w:type="dxa"/>
            <w:bottom w:w="0" w:type="dxa"/>
            <w:right w:w="108" w:type="dxa"/>
          </w:tblCellMar>
        </w:tblPrEx>
        <w:trPr>
          <w:trHeight w:val="1872" w:hRule="atLeast"/>
        </w:trPr>
        <w:tc>
          <w:tcPr>
            <w:tcW w:w="492" w:type="pct"/>
            <w:tcBorders>
              <w:top w:val="nil"/>
              <w:left w:val="single" w:color="000000" w:sz="8" w:space="0"/>
              <w:bottom w:val="single" w:color="000000" w:sz="8" w:space="0"/>
              <w:right w:val="single" w:color="000000" w:sz="8" w:space="0"/>
            </w:tcBorders>
            <w:shd w:val="clear" w:color="auto" w:fill="auto"/>
            <w:noWrap/>
            <w:vAlign w:val="center"/>
          </w:tcPr>
          <w:p w14:paraId="1F4DBEEC">
            <w:pPr>
              <w:widowControl/>
              <w:spacing w:line="360" w:lineRule="auto"/>
              <w:jc w:val="center"/>
              <w:textAlignment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14</w:t>
            </w:r>
          </w:p>
        </w:tc>
        <w:tc>
          <w:tcPr>
            <w:tcW w:w="622" w:type="pct"/>
            <w:tcBorders>
              <w:top w:val="nil"/>
              <w:left w:val="nil"/>
              <w:bottom w:val="single" w:color="000000" w:sz="8" w:space="0"/>
              <w:right w:val="single" w:color="000000" w:sz="8" w:space="0"/>
            </w:tcBorders>
            <w:shd w:val="clear" w:color="auto" w:fill="auto"/>
            <w:vAlign w:val="center"/>
          </w:tcPr>
          <w:p w14:paraId="04A23629">
            <w:pPr>
              <w:widowControl/>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投标报价</w:t>
            </w:r>
          </w:p>
        </w:tc>
        <w:tc>
          <w:tcPr>
            <w:tcW w:w="2531" w:type="pct"/>
            <w:tcBorders>
              <w:top w:val="nil"/>
              <w:left w:val="nil"/>
              <w:bottom w:val="single" w:color="auto" w:sz="4" w:space="0"/>
              <w:right w:val="single" w:color="000000" w:sz="8" w:space="0"/>
            </w:tcBorders>
            <w:shd w:val="clear" w:color="auto" w:fill="auto"/>
            <w:vAlign w:val="center"/>
          </w:tcPr>
          <w:p w14:paraId="5E046EE0">
            <w:pPr>
              <w:widowControl/>
              <w:spacing w:line="360" w:lineRule="auto"/>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价格分采用低价优先法计算，即满足招标文件要求且投标价格最低的投标报价为评标基准价，其他投标人的价格分按照下列公式计算：价格分=（评标基准价/投标报价）×10%×100</w:t>
            </w:r>
          </w:p>
          <w:p w14:paraId="6B1E791D">
            <w:pPr>
              <w:spacing w:after="0" w:line="360" w:lineRule="auto"/>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评审过程中，不得去掉报价中的最高报价和最低报价。</w:t>
            </w:r>
          </w:p>
        </w:tc>
        <w:tc>
          <w:tcPr>
            <w:tcW w:w="385" w:type="pct"/>
            <w:tcBorders>
              <w:top w:val="nil"/>
              <w:left w:val="nil"/>
              <w:bottom w:val="single" w:color="000000" w:sz="8" w:space="0"/>
              <w:right w:val="single" w:color="000000" w:sz="8" w:space="0"/>
            </w:tcBorders>
            <w:shd w:val="clear" w:color="auto" w:fill="auto"/>
            <w:vAlign w:val="center"/>
          </w:tcPr>
          <w:p w14:paraId="0B194367">
            <w:pPr>
              <w:widowControl/>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10</w:t>
            </w:r>
          </w:p>
        </w:tc>
        <w:tc>
          <w:tcPr>
            <w:tcW w:w="452" w:type="pct"/>
            <w:tcBorders>
              <w:top w:val="nil"/>
              <w:left w:val="nil"/>
              <w:bottom w:val="single" w:color="000000" w:sz="8" w:space="0"/>
              <w:right w:val="single" w:color="000000" w:sz="8" w:space="0"/>
            </w:tcBorders>
            <w:shd w:val="clear" w:color="auto" w:fill="auto"/>
            <w:vAlign w:val="center"/>
          </w:tcPr>
          <w:p w14:paraId="633B6F41">
            <w:pPr>
              <w:widowControl/>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客观分</w:t>
            </w:r>
          </w:p>
        </w:tc>
        <w:tc>
          <w:tcPr>
            <w:tcW w:w="513" w:type="pct"/>
            <w:tcBorders>
              <w:top w:val="nil"/>
              <w:left w:val="nil"/>
              <w:bottom w:val="single" w:color="000000" w:sz="8" w:space="0"/>
              <w:right w:val="single" w:color="000000" w:sz="8" w:space="0"/>
            </w:tcBorders>
            <w:shd w:val="clear" w:color="auto" w:fill="auto"/>
            <w:vAlign w:val="center"/>
          </w:tcPr>
          <w:p w14:paraId="7A27EA39">
            <w:pPr>
              <w:spacing w:line="360" w:lineRule="auto"/>
              <w:jc w:val="center"/>
              <w:rPr>
                <w:rFonts w:hint="eastAsia" w:ascii="宋体" w:hAnsi="宋体" w:cs="宋体"/>
                <w:color w:val="000000" w:themeColor="text1"/>
                <w:sz w:val="24"/>
                <w14:textFill>
                  <w14:solidFill>
                    <w14:schemeClr w14:val="tx1"/>
                  </w14:solidFill>
                </w14:textFill>
              </w:rPr>
            </w:pPr>
          </w:p>
        </w:tc>
      </w:tr>
    </w:tbl>
    <w:p w14:paraId="1CFC085B">
      <w:pPr>
        <w:spacing w:line="360" w:lineRule="auto"/>
        <w:ind w:left="120" w:firstLine="22"/>
        <w:rPr>
          <w:rFonts w:hint="eastAsia" w:ascii="宋体" w:hAnsi="宋体" w:cs="宋体"/>
          <w:color w:val="000000" w:themeColor="text1"/>
          <w14:textFill>
            <w14:solidFill>
              <w14:schemeClr w14:val="tx1"/>
            </w14:solidFill>
          </w14:textFill>
        </w:rPr>
      </w:pPr>
    </w:p>
    <w:p w14:paraId="0BD95F22">
      <w:pPr>
        <w:snapToGrid w:val="0"/>
        <w:spacing w:line="360" w:lineRule="auto"/>
        <w:ind w:left="120" w:firstLine="400" w:firstLineChars="200"/>
        <w:rPr>
          <w:rFonts w:hint="eastAsia" w:ascii="宋体" w:hAnsi="宋体" w:cs="宋体"/>
          <w:b/>
          <w:color w:val="000000" w:themeColor="text1"/>
          <w:sz w:val="32"/>
          <w14:textFill>
            <w14:solidFill>
              <w14:schemeClr w14:val="tx1"/>
            </w14:solidFill>
          </w14:textFill>
        </w:rPr>
      </w:pPr>
      <w:r>
        <w:rPr>
          <w:rFonts w:hint="eastAsia" w:ascii="宋体" w:hAnsi="宋体" w:cs="宋体"/>
          <w:color w:val="000000" w:themeColor="text1"/>
          <w:sz w:val="20"/>
          <w:szCs w:val="20"/>
          <w:shd w:val="clear" w:color="auto" w:fill="FFFFFF"/>
          <w14:textFill>
            <w14:solidFill>
              <w14:schemeClr w14:val="tx1"/>
            </w14:solidFill>
          </w14:textFill>
        </w:rPr>
        <w:t> *</w:t>
      </w:r>
      <w:r>
        <w:rPr>
          <w:rFonts w:hint="eastAsia" w:ascii="宋体" w:hAnsi="宋体" w:cs="宋体"/>
          <w:b/>
          <w:color w:val="000000" w:themeColor="text1"/>
          <w:sz w:val="24"/>
          <w14:textFill>
            <w14:solidFill>
              <w14:schemeClr w14:val="tx1"/>
            </w14:solidFill>
          </w14:textFill>
        </w:rPr>
        <w:t>备注：</w:t>
      </w:r>
      <w:r>
        <w:rPr>
          <w:rFonts w:hint="eastAsia" w:ascii="宋体" w:hAnsi="宋体" w:cs="宋体"/>
          <w:color w:val="000000" w:themeColor="text1"/>
          <w:sz w:val="24"/>
          <w14:textFill>
            <w14:solidFill>
              <w14:schemeClr w14:val="tx1"/>
            </w14:solidFill>
          </w14:textFill>
        </w:rPr>
        <w:t>投标人编制投标文件（商务技术文件部分）时，建议按此目录（序号和内容）提供评标标准相应的商务技术资料。</w:t>
      </w:r>
    </w:p>
    <w:p w14:paraId="2D234730">
      <w:pPr>
        <w:adjustRightInd/>
        <w:spacing w:line="360" w:lineRule="auto"/>
        <w:ind w:left="120" w:firstLine="643" w:firstLineChars="200"/>
        <w:outlineLvl w:val="1"/>
        <w:rPr>
          <w:rFonts w:hint="eastAsia"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一、评标方法</w:t>
      </w:r>
    </w:p>
    <w:p w14:paraId="3D6EB9E1">
      <w:pPr>
        <w:adjustRightInd/>
        <w:spacing w:line="360" w:lineRule="auto"/>
        <w:ind w:left="120" w:firstLine="482"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本项目采用综合评分法。</w:t>
      </w:r>
      <w:r>
        <w:rPr>
          <w:rFonts w:hint="eastAsia" w:ascii="宋体" w:hAnsi="宋体" w:cs="宋体"/>
          <w:color w:val="000000" w:themeColor="text1"/>
          <w:kern w:val="0"/>
          <w:sz w:val="24"/>
          <w14:textFill>
            <w14:solidFill>
              <w14:schemeClr w14:val="tx1"/>
            </w14:solidFill>
          </w14:textFill>
        </w:rPr>
        <w:t>综合评分法，是指投标文件满足采购文件全部实质性要求，且按照评审因素的量化指标评审得分最高的投标人为中标候选人的评标方法。</w:t>
      </w:r>
    </w:p>
    <w:p w14:paraId="5BDDC47A">
      <w:pPr>
        <w:adjustRightInd/>
        <w:spacing w:line="360" w:lineRule="auto"/>
        <w:ind w:left="120" w:firstLine="643" w:firstLineChars="200"/>
        <w:outlineLvl w:val="1"/>
        <w:rPr>
          <w:rFonts w:hint="eastAsia"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二、评标标准</w:t>
      </w:r>
    </w:p>
    <w:p w14:paraId="65C7710E">
      <w:pPr>
        <w:spacing w:line="360" w:lineRule="auto"/>
        <w:ind w:left="120" w:firstLine="482"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评标标准：</w:t>
      </w:r>
      <w:r>
        <w:rPr>
          <w:rFonts w:hint="eastAsia" w:ascii="宋体" w:hAnsi="宋体" w:cs="宋体"/>
          <w:color w:val="000000" w:themeColor="text1"/>
          <w:kern w:val="0"/>
          <w:sz w:val="24"/>
          <w14:textFill>
            <w14:solidFill>
              <w14:schemeClr w14:val="tx1"/>
            </w14:solidFill>
          </w14:textFill>
        </w:rPr>
        <w:t>见评标办法前附表。</w:t>
      </w:r>
    </w:p>
    <w:p w14:paraId="2F492624">
      <w:pPr>
        <w:spacing w:line="360" w:lineRule="auto"/>
        <w:ind w:left="120" w:firstLine="723" w:firstLineChars="200"/>
        <w:outlineLvl w:val="1"/>
        <w:rPr>
          <w:rFonts w:hint="eastAsia"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三、评标程序</w:t>
      </w:r>
    </w:p>
    <w:p w14:paraId="2448F6D1">
      <w:pPr>
        <w:spacing w:line="360" w:lineRule="auto"/>
        <w:ind w:left="120" w:firstLine="482"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3.1符合性审查。</w:t>
      </w:r>
      <w:r>
        <w:rPr>
          <w:rFonts w:hint="eastAsia" w:ascii="宋体" w:hAnsi="宋体" w:cs="宋体"/>
          <w:color w:val="000000" w:themeColor="text1"/>
          <w:kern w:val="0"/>
          <w:sz w:val="24"/>
          <w14:textFill>
            <w14:solidFill>
              <w14:schemeClr w14:val="tx1"/>
            </w14:solidFill>
          </w14:textFill>
        </w:rPr>
        <w:t>评标委员会应当对符合资格的投标人的投标文件进行符合性审查，以确定其是否满足采购文件的实质性要求。不满足采购文件的实质性要求的，投标无效。</w:t>
      </w:r>
    </w:p>
    <w:p w14:paraId="1E316B32">
      <w:pPr>
        <w:spacing w:line="360" w:lineRule="auto"/>
        <w:ind w:left="120" w:firstLine="482"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3.2 比较与评价。</w:t>
      </w:r>
      <w:r>
        <w:rPr>
          <w:rFonts w:hint="eastAsia" w:ascii="宋体" w:hAnsi="宋体" w:cs="宋体"/>
          <w:color w:val="000000" w:themeColor="text1"/>
          <w:kern w:val="0"/>
          <w:sz w:val="24"/>
          <w14:textFill>
            <w14:solidFill>
              <w14:schemeClr w14:val="tx1"/>
            </w14:solidFill>
          </w14:textFill>
        </w:rPr>
        <w:t>评标委员会应当按照采购文件中规定的评标方法和标准，对符合性审查合格的投标文件进行商务和技术评估，综合比较与评价。</w:t>
      </w:r>
    </w:p>
    <w:p w14:paraId="68EA2AA3">
      <w:pPr>
        <w:spacing w:line="360" w:lineRule="auto"/>
        <w:ind w:left="120" w:firstLine="482"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3.3汇总商务技术得分。</w:t>
      </w:r>
      <w:r>
        <w:rPr>
          <w:rFonts w:hint="eastAsia" w:ascii="宋体" w:hAnsi="宋体" w:cs="宋体"/>
          <w:color w:val="000000" w:themeColor="text1"/>
          <w:kern w:val="0"/>
          <w:sz w:val="24"/>
          <w14:textFill>
            <w14:solidFill>
              <w14:schemeClr w14:val="tx1"/>
            </w14:solidFill>
          </w14:textFill>
        </w:rPr>
        <w:t>评标委员会各成员应当独立对每个投标人的商务和技术文件进行评价，并汇总商务技术得分情况。</w:t>
      </w:r>
    </w:p>
    <w:p w14:paraId="7A72A85F">
      <w:pPr>
        <w:spacing w:line="360" w:lineRule="auto"/>
        <w:ind w:left="120" w:firstLine="482" w:firstLineChars="200"/>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3.4报价评审。</w:t>
      </w:r>
    </w:p>
    <w:p w14:paraId="1BB239B4">
      <w:pPr>
        <w:pStyle w:val="132"/>
        <w:spacing w:before="0"/>
        <w:ind w:left="120"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3.4.1投标文件报价出现前后不一致的，按照下列规定修正：</w:t>
      </w:r>
    </w:p>
    <w:p w14:paraId="1F5C652A">
      <w:pPr>
        <w:pStyle w:val="132"/>
        <w:spacing w:before="0"/>
        <w:ind w:left="120" w:firstLine="48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3.4.1.1投标文件中开标一览表(报价表)内容与投标文件中相应内容不一致的，以开标一览表(报价表)为准;</w:t>
      </w:r>
    </w:p>
    <w:p w14:paraId="36A1CDA1">
      <w:pPr>
        <w:pStyle w:val="132"/>
        <w:spacing w:before="0"/>
        <w:ind w:left="120" w:firstLine="48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3.4.1.2大写金额和小写金额不一致的，以大写金额为准;</w:t>
      </w:r>
    </w:p>
    <w:p w14:paraId="785A7D5D">
      <w:pPr>
        <w:pStyle w:val="132"/>
        <w:spacing w:before="0"/>
        <w:ind w:left="120" w:firstLine="48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3.4.1.3单价金额小数点或者百分比有明显错位的，以开标一览表的总价为准，并修改单价;</w:t>
      </w:r>
    </w:p>
    <w:p w14:paraId="42885DDC">
      <w:pPr>
        <w:pStyle w:val="132"/>
        <w:spacing w:before="0"/>
        <w:ind w:left="120" w:firstLine="48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3.4.1.4总价金额与按单价汇总金额不一致的，以单价金额计算结果为准。</w:t>
      </w:r>
    </w:p>
    <w:p w14:paraId="04858B2E">
      <w:pPr>
        <w:pStyle w:val="132"/>
        <w:spacing w:before="0"/>
        <w:ind w:left="120" w:firstLine="48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1239176A">
      <w:pPr>
        <w:snapToGrid w:val="0"/>
        <w:spacing w:line="360" w:lineRule="auto"/>
        <w:ind w:left="120"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3.4.2投标文件出现不是唯一的、有选择性投标报价的，投标无效。</w:t>
      </w:r>
    </w:p>
    <w:p w14:paraId="3343FDB9">
      <w:pPr>
        <w:snapToGrid w:val="0"/>
        <w:spacing w:line="360" w:lineRule="auto"/>
        <w:ind w:left="120"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3.4.3投标报价超过采购文件中规定的预算金额或者最高限价的，投标无效。</w:t>
      </w:r>
    </w:p>
    <w:p w14:paraId="52696F3C">
      <w:pPr>
        <w:pStyle w:val="132"/>
        <w:spacing w:before="0"/>
        <w:ind w:left="120" w:firstLine="48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3.4.4评标委员会认为投标人的报价明显低于其他通过符合性审查的投标人的报价，有可能影响产品质量或者不能诚信履约的，应当要求其在合理的时间内提供书面说明，必要时提交相关证明材料;投标人不能证明其报价合理性的，评标委员会应当将其作为无效投标处理。</w:t>
      </w:r>
    </w:p>
    <w:p w14:paraId="31DD2026">
      <w:pPr>
        <w:pStyle w:val="132"/>
        <w:spacing w:before="0"/>
        <w:ind w:left="120" w:firstLine="48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3.4.5对于未预留份额专门面向中小企业的政府采购服务项目，以及预留份额政府采购服务项目中的非预留部分标项，对小型和微型企业的投标报价给予10%～</w:t>
      </w:r>
      <w:r>
        <w:rPr>
          <w:rFonts w:ascii="宋体" w:hAnsi="宋体" w:cs="宋体"/>
          <w:color w:val="000000" w:themeColor="text1"/>
          <w:kern w:val="0"/>
          <w:szCs w:val="24"/>
          <w14:textFill>
            <w14:solidFill>
              <w14:schemeClr w14:val="tx1"/>
            </w14:solidFill>
          </w14:textFill>
        </w:rPr>
        <w:t>20</w:t>
      </w:r>
      <w:r>
        <w:rPr>
          <w:rFonts w:hint="eastAsia" w:ascii="宋体" w:hAnsi="宋体" w:cs="宋体"/>
          <w:color w:val="000000" w:themeColor="text1"/>
          <w:kern w:val="0"/>
          <w:szCs w:val="24"/>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000000" w:themeColor="text1"/>
          <w:kern w:val="0"/>
          <w:szCs w:val="24"/>
          <w14:textFill>
            <w14:solidFill>
              <w14:schemeClr w14:val="tx1"/>
            </w14:solidFill>
          </w14:textFill>
        </w:rPr>
        <w:t>6</w:t>
      </w:r>
      <w:r>
        <w:rPr>
          <w:rFonts w:hint="eastAsia" w:ascii="宋体" w:hAnsi="宋体" w:cs="宋体"/>
          <w:color w:val="000000" w:themeColor="text1"/>
          <w:kern w:val="0"/>
          <w:szCs w:val="24"/>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0B2712FF">
      <w:pPr>
        <w:spacing w:line="360" w:lineRule="auto"/>
        <w:ind w:left="120" w:firstLine="482"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3.5排序与推荐。</w:t>
      </w:r>
      <w:r>
        <w:rPr>
          <w:rFonts w:hint="eastAsia" w:ascii="宋体" w:hAnsi="宋体" w:cs="宋体"/>
          <w:color w:val="000000" w:themeColor="text1"/>
          <w:kern w:val="0"/>
          <w:sz w:val="24"/>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000000" w:themeColor="text1"/>
          <w:kern w:val="0"/>
          <w:sz w:val="24"/>
          <w:lang w:val="en"/>
          <w14:textFill>
            <w14:solidFill>
              <w14:schemeClr w14:val="tx1"/>
            </w14:solidFill>
          </w14:textFill>
        </w:rPr>
        <w:t>本项目推荐的中标候选人数量：</w:t>
      </w:r>
      <w:r>
        <w:rPr>
          <w:rFonts w:hint="eastAsia" w:ascii="宋体" w:hAnsi="宋体" w:cs="宋体"/>
          <w:color w:val="000000" w:themeColor="text1"/>
          <w:kern w:val="0"/>
          <w:sz w:val="24"/>
          <w:u w:val="single"/>
          <w14:textFill>
            <w14:solidFill>
              <w14:schemeClr w14:val="tx1"/>
            </w14:solidFill>
          </w14:textFill>
        </w:rPr>
        <w:t xml:space="preserve"> 1名</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en"/>
          <w14:textFill>
            <w14:solidFill>
              <w14:schemeClr w14:val="tx1"/>
            </w14:solidFill>
          </w14:textFill>
        </w:rPr>
        <w:t>。</w:t>
      </w:r>
    </w:p>
    <w:p w14:paraId="75107529">
      <w:pPr>
        <w:spacing w:line="360" w:lineRule="auto"/>
        <w:ind w:left="120" w:firstLine="480" w:firstLineChars="200"/>
        <w:rPr>
          <w:rFonts w:hint="eastAsia" w:ascii="宋体" w:hAnsi="宋体" w:cs="宋体"/>
          <w:b/>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36B8C66">
      <w:pPr>
        <w:spacing w:line="360" w:lineRule="auto"/>
        <w:ind w:left="120" w:firstLine="482"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3.6编写评标报告。</w:t>
      </w:r>
      <w:r>
        <w:rPr>
          <w:rFonts w:hint="eastAsia" w:ascii="宋体" w:hAnsi="宋体" w:cs="宋体"/>
          <w:color w:val="000000" w:themeColor="text1"/>
          <w:kern w:val="0"/>
          <w:sz w:val="24"/>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FF5EB1D">
      <w:pPr>
        <w:widowControl/>
        <w:shd w:val="clear" w:color="auto" w:fill="FFFFFF"/>
        <w:adjustRightInd/>
        <w:spacing w:after="225" w:line="360" w:lineRule="auto"/>
        <w:ind w:left="120" w:firstLine="643" w:firstLineChars="200"/>
        <w:jc w:val="left"/>
        <w:outlineLvl w:val="1"/>
        <w:rPr>
          <w:rFonts w:hint="eastAsia"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四、评标中的其他事项</w:t>
      </w:r>
    </w:p>
    <w:p w14:paraId="38498B02">
      <w:pPr>
        <w:pStyle w:val="132"/>
        <w:spacing w:before="0"/>
        <w:ind w:left="120" w:firstLine="482"/>
        <w:rPr>
          <w:rFonts w:hint="eastAsia" w:ascii="宋体" w:hAnsi="宋体" w:cs="宋体"/>
          <w:color w:val="000000" w:themeColor="text1"/>
          <w:kern w:val="0"/>
          <w:szCs w:val="24"/>
          <w14:textFill>
            <w14:solidFill>
              <w14:schemeClr w14:val="tx1"/>
            </w14:solidFill>
          </w14:textFill>
        </w:rPr>
      </w:pPr>
      <w:r>
        <w:rPr>
          <w:rFonts w:hint="eastAsia" w:ascii="宋体" w:hAnsi="宋体" w:cs="宋体"/>
          <w:b/>
          <w:color w:val="000000" w:themeColor="text1"/>
          <w:kern w:val="0"/>
          <w:szCs w:val="24"/>
          <w14:textFill>
            <w14:solidFill>
              <w14:schemeClr w14:val="tx1"/>
            </w14:solidFill>
          </w14:textFill>
        </w:rPr>
        <w:t>4.1投标人澄清、说明或者补正。</w:t>
      </w:r>
      <w:r>
        <w:rPr>
          <w:rFonts w:hint="eastAsia" w:ascii="宋体" w:hAnsi="宋体" w:cs="宋体"/>
          <w:color w:val="000000" w:themeColor="text1"/>
          <w:kern w:val="0"/>
          <w:szCs w:val="24"/>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8668C89">
      <w:pPr>
        <w:pStyle w:val="25"/>
        <w:snapToGrid w:val="0"/>
        <w:spacing w:line="360" w:lineRule="auto"/>
        <w:ind w:left="120" w:firstLine="482"/>
        <w:rPr>
          <w:rFonts w:hint="eastAsia"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4.2投标无效。</w:t>
      </w:r>
      <w:r>
        <w:rPr>
          <w:rFonts w:hint="eastAsia" w:cs="宋体"/>
          <w:color w:val="000000" w:themeColor="text1"/>
          <w14:textFill>
            <w14:solidFill>
              <w14:schemeClr w14:val="tx1"/>
            </w14:solidFill>
          </w14:textFill>
        </w:rPr>
        <w:t>有下列情形之一的，投标无效：</w:t>
      </w:r>
    </w:p>
    <w:p w14:paraId="112A688C">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4.2.1投标人不具备招标文件中规定的资格要求的（投标人未提供有效的资格文件的，视为投标人不具备招标文件中规定的资格要求）；</w:t>
      </w:r>
    </w:p>
    <w:p w14:paraId="22F9713E">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4.2.2投标文件未按照招标文件要求签署、盖章的；</w:t>
      </w:r>
    </w:p>
    <w:p w14:paraId="567A1BB5">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2585D3D6">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4.2.4投标文件含有采购人不能接受的附加条件的；</w:t>
      </w:r>
    </w:p>
    <w:p w14:paraId="1A1C6D7F">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4.2.5投标文件中承诺的投标有效期少于招标文件中载明的投标有效期的；</w:t>
      </w:r>
    </w:p>
    <w:p w14:paraId="4FA14FD1">
      <w:pPr>
        <w:snapToGrid w:val="0"/>
        <w:spacing w:line="360" w:lineRule="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4.2.6投标文件出现不是唯一的、有选择性投标报价的;</w:t>
      </w:r>
    </w:p>
    <w:p w14:paraId="7A7FE4FB">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4.2.7投标报价超过招标文件中规定的预算金额或者最高限价的;</w:t>
      </w:r>
    </w:p>
    <w:p w14:paraId="17806C25">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4.2.8投标人对根据修正原则修正后的报价不确认的；</w:t>
      </w:r>
    </w:p>
    <w:p w14:paraId="34C17DC4">
      <w:pPr>
        <w:spacing w:line="360" w:lineRule="auto"/>
        <w:ind w:firstLine="480" w:firstLineChars="200"/>
        <w:rPr>
          <w:rFonts w:hint="eastAsia" w:ascii="宋体" w:hAnsi="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4.2.9投标人提供虚假材料投标的；</w:t>
      </w:r>
    </w:p>
    <w:p w14:paraId="7E029620">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4.2.10投标人有恶意串通、妨碍其他投标人的竞争行为、损害采购人或者其他投标人的合法权益情形的；</w:t>
      </w:r>
    </w:p>
    <w:p w14:paraId="4446463B">
      <w:pPr>
        <w:spacing w:line="360" w:lineRule="auto"/>
        <w:ind w:firstLine="480" w:firstLineChars="200"/>
        <w:rPr>
          <w:rFonts w:hint="eastAsia" w:ascii="宋体" w:hAnsi="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70121F8">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4.2.12投标人仅提交备份投标文件，未在电子交易平台传输递交投标文件的，投标无效；</w:t>
      </w:r>
    </w:p>
    <w:p w14:paraId="61810D72">
      <w:pPr>
        <w:spacing w:line="279" w:lineRule="auto"/>
        <w:ind w:left="420" w:leftChars="200"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4.2.13 投标文件不满足招标文件的其他实质性要求的；</w:t>
      </w:r>
    </w:p>
    <w:p w14:paraId="2EEDACE6">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4.2.14法律法规、规章（适用本市的）及省级以上规范性文件（适用本市的）规定的其他无效情形。</w:t>
      </w:r>
    </w:p>
    <w:p w14:paraId="6F0ECF44">
      <w:pPr>
        <w:pStyle w:val="25"/>
        <w:snapToGrid w:val="0"/>
        <w:spacing w:line="360" w:lineRule="auto"/>
        <w:ind w:left="120" w:firstLine="482"/>
        <w:rPr>
          <w:rFonts w:hint="eastAsia"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5.废标。</w:t>
      </w:r>
      <w:r>
        <w:rPr>
          <w:rFonts w:hint="eastAsia" w:cs="宋体"/>
          <w:color w:val="000000" w:themeColor="text1"/>
          <w14:textFill>
            <w14:solidFill>
              <w14:schemeClr w14:val="tx1"/>
            </w14:solidFill>
          </w14:textFill>
        </w:rPr>
        <w:t>根据《中华人民共和国政府采购法》第三十六条之规定，在采购中，出现下列情形之一的，应予废标：</w:t>
      </w:r>
    </w:p>
    <w:p w14:paraId="26324A22">
      <w:pPr>
        <w:pStyle w:val="25"/>
        <w:snapToGrid w:val="0"/>
        <w:spacing w:line="360" w:lineRule="auto"/>
        <w:ind w:left="120"/>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5.1符合专业条件的供应商或者对采购文件作实质响应的供应商不足3家的；</w:t>
      </w:r>
    </w:p>
    <w:p w14:paraId="7252B983">
      <w:pPr>
        <w:pStyle w:val="25"/>
        <w:snapToGrid w:val="0"/>
        <w:spacing w:line="360" w:lineRule="auto"/>
        <w:ind w:left="120"/>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5.2出现影响采购公正的违法、违规行为的；</w:t>
      </w:r>
    </w:p>
    <w:p w14:paraId="6AA3DB83">
      <w:pPr>
        <w:pStyle w:val="25"/>
        <w:snapToGrid w:val="0"/>
        <w:spacing w:line="360" w:lineRule="auto"/>
        <w:ind w:left="120"/>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5.3投标人的报价均超过了采购预算，采购人不能支付的；</w:t>
      </w:r>
    </w:p>
    <w:p w14:paraId="2B29136C">
      <w:pPr>
        <w:pStyle w:val="25"/>
        <w:snapToGrid w:val="0"/>
        <w:spacing w:line="360" w:lineRule="auto"/>
        <w:ind w:left="120"/>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5.4因重大变故，采购任务取消的。</w:t>
      </w:r>
    </w:p>
    <w:p w14:paraId="61DAE01D">
      <w:pPr>
        <w:pStyle w:val="25"/>
        <w:snapToGrid w:val="0"/>
        <w:spacing w:line="360" w:lineRule="auto"/>
        <w:ind w:left="120"/>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废标后，采购代理机构应当将废标理由通知所有投标人。</w:t>
      </w:r>
    </w:p>
    <w:p w14:paraId="24D4961F">
      <w:pPr>
        <w:pStyle w:val="25"/>
        <w:snapToGrid w:val="0"/>
        <w:spacing w:line="360" w:lineRule="auto"/>
        <w:ind w:left="120" w:firstLine="482"/>
        <w:rPr>
          <w:rFonts w:hint="eastAsia"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6.修改采购文件，重新组织采购活动。</w:t>
      </w:r>
      <w:r>
        <w:rPr>
          <w:rFonts w:hint="eastAsia" w:cs="宋体"/>
          <w:color w:val="000000" w:themeColor="text1"/>
          <w14:textFill>
            <w14:solidFill>
              <w14:schemeClr w14:val="tx1"/>
            </w14:solidFill>
          </w14:textFill>
        </w:rPr>
        <w:t>评标委员会发现采购文件存在歧义、重大缺陷导致评标工作无法进行，或者采购文件内容违反国家有关强制性规定的，将停止评标工作，并与采购人、采购代理机构沟通并作书面记录。采购人、采购代理机构确认后，将修改采购文件，重新组织采购活动。</w:t>
      </w:r>
    </w:p>
    <w:p w14:paraId="0A8FF816">
      <w:pPr>
        <w:pStyle w:val="25"/>
        <w:snapToGrid w:val="0"/>
        <w:spacing w:line="360" w:lineRule="auto"/>
        <w:ind w:left="120" w:firstLine="482"/>
        <w:rPr>
          <w:rFonts w:hint="eastAsia" w:cs="宋体"/>
          <w:color w:val="000000" w:themeColor="text1"/>
          <w14:textFill>
            <w14:solidFill>
              <w14:schemeClr w14:val="tx1"/>
            </w14:solidFill>
          </w14:textFill>
        </w:rPr>
      </w:pPr>
      <w:r>
        <w:rPr>
          <w:rFonts w:hint="eastAsia" w:cs="宋体"/>
          <w:b/>
          <w:color w:val="000000" w:themeColor="text1"/>
          <w:kern w:val="0"/>
          <w14:textFill>
            <w14:solidFill>
              <w14:schemeClr w14:val="tx1"/>
            </w14:solidFill>
          </w14:textFill>
        </w:rPr>
        <w:t>7.重新开展采购。</w:t>
      </w:r>
      <w:r>
        <w:rPr>
          <w:rFonts w:hint="eastAsia" w:cs="宋体"/>
          <w:color w:val="000000" w:themeColor="text1"/>
          <w14:textFill>
            <w14:solidFill>
              <w14:schemeClr w14:val="tx1"/>
            </w14:solidFill>
          </w14:textFill>
        </w:rPr>
        <w:t>有政府采购法第七十一条、第七十二条规定的违法行为之一，影响或者可能影响中标结果的，依照下列规定处理：</w:t>
      </w:r>
    </w:p>
    <w:p w14:paraId="502D08C8">
      <w:pPr>
        <w:pStyle w:val="25"/>
        <w:snapToGrid w:val="0"/>
        <w:spacing w:line="360" w:lineRule="auto"/>
        <w:ind w:left="120"/>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7.1未确定中标供应商的，终止本次政府采购活动，重新开展政府采购活动。</w:t>
      </w:r>
    </w:p>
    <w:p w14:paraId="6AB6C19C">
      <w:pPr>
        <w:pStyle w:val="25"/>
        <w:snapToGrid w:val="0"/>
        <w:spacing w:line="360" w:lineRule="auto"/>
        <w:ind w:left="120"/>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002E7F87">
      <w:pPr>
        <w:pStyle w:val="25"/>
        <w:snapToGrid w:val="0"/>
        <w:spacing w:line="360" w:lineRule="auto"/>
        <w:ind w:left="120"/>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12DF0934">
      <w:pPr>
        <w:pStyle w:val="25"/>
        <w:snapToGrid w:val="0"/>
        <w:spacing w:line="360" w:lineRule="auto"/>
        <w:ind w:left="120"/>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7.4政府采购合同已经履行，给采购人、供应商造成损失的，由责任人承担赔偿责任。</w:t>
      </w:r>
    </w:p>
    <w:p w14:paraId="1170DB59">
      <w:pPr>
        <w:pStyle w:val="25"/>
        <w:snapToGrid w:val="0"/>
        <w:spacing w:line="360" w:lineRule="auto"/>
        <w:ind w:left="120"/>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bookmarkEnd w:id="42"/>
    <w:p w14:paraId="319BA3CE">
      <w:pPr>
        <w:widowControl/>
        <w:numPr>
          <w:ilvl w:val="255"/>
          <w:numId w:val="0"/>
        </w:numPr>
        <w:adjustRightInd/>
        <w:spacing w:line="240" w:lineRule="auto"/>
        <w:jc w:val="left"/>
        <w:rPr>
          <w:rFonts w:hint="eastAsia" w:ascii="宋体" w:hAnsi="宋体"/>
          <w:color w:val="000000" w:themeColor="text1"/>
          <w14:textFill>
            <w14:solidFill>
              <w14:schemeClr w14:val="tx1"/>
            </w14:solidFill>
          </w14:textFill>
        </w:rPr>
      </w:pPr>
      <w:bookmarkStart w:id="411" w:name="第五部分"/>
      <w:bookmarkStart w:id="412" w:name="_Toc86217003"/>
    </w:p>
    <w:p w14:paraId="3AE7E3E5">
      <w:pPr>
        <w:widowControl/>
        <w:numPr>
          <w:ilvl w:val="255"/>
          <w:numId w:val="0"/>
        </w:numPr>
        <w:adjustRightInd/>
        <w:spacing w:line="360" w:lineRule="auto"/>
        <w:ind w:firstLine="723" w:firstLineChars="200"/>
        <w:jc w:val="center"/>
        <w:outlineLvl w:val="0"/>
        <w:rPr>
          <w:rFonts w:hint="eastAsia" w:ascii="宋体" w:hAnsi="宋体" w:cs="宋体"/>
          <w:b/>
          <w:color w:val="000000" w:themeColor="text1"/>
          <w:sz w:val="36"/>
          <w:szCs w:val="36"/>
          <w14:textFill>
            <w14:solidFill>
              <w14:schemeClr w14:val="tx1"/>
            </w14:solidFill>
          </w14:textFill>
        </w:rPr>
        <w:sectPr>
          <w:pgSz w:w="11907" w:h="16840"/>
          <w:pgMar w:top="680" w:right="1134" w:bottom="471" w:left="1417" w:header="851" w:footer="851" w:gutter="0"/>
          <w:cols w:space="720" w:num="1"/>
        </w:sectPr>
      </w:pPr>
    </w:p>
    <w:p w14:paraId="6D1E8DDF">
      <w:pPr>
        <w:widowControl/>
        <w:numPr>
          <w:ilvl w:val="255"/>
          <w:numId w:val="0"/>
        </w:numPr>
        <w:adjustRightInd/>
        <w:spacing w:line="360" w:lineRule="auto"/>
        <w:ind w:firstLine="723" w:firstLineChars="200"/>
        <w:jc w:val="center"/>
        <w:outlineLvl w:val="0"/>
        <w:rPr>
          <w:rFonts w:hint="eastAsia"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第五部分 拟签订的合同文本</w:t>
      </w:r>
    </w:p>
    <w:p w14:paraId="4835A15E">
      <w:pPr>
        <w:widowControl/>
        <w:numPr>
          <w:ilvl w:val="255"/>
          <w:numId w:val="0"/>
        </w:numPr>
        <w:adjustRightInd/>
        <w:spacing w:line="360" w:lineRule="auto"/>
        <w:ind w:firstLine="22"/>
        <w:jc w:val="left"/>
        <w:rPr>
          <w:rFonts w:hint="eastAsia" w:ascii="宋体" w:hAnsi="宋体" w:cs="宋体"/>
          <w:b/>
          <w:color w:val="000000" w:themeColor="text1"/>
          <w:sz w:val="36"/>
          <w:szCs w:val="36"/>
          <w14:textFill>
            <w14:solidFill>
              <w14:schemeClr w14:val="tx1"/>
            </w14:solidFill>
          </w14:textFill>
        </w:rPr>
      </w:pPr>
    </w:p>
    <w:p w14:paraId="4C7C68A4">
      <w:pPr>
        <w:spacing w:line="360" w:lineRule="auto"/>
        <w:ind w:left="120"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合同编号：</w:t>
      </w:r>
      <w:r>
        <w:rPr>
          <w:rFonts w:hint="eastAsia" w:ascii="宋体" w:hAnsi="宋体" w:cs="宋体"/>
          <w:color w:val="000000" w:themeColor="text1"/>
          <w:sz w:val="24"/>
          <w:u w:val="single"/>
          <w14:textFill>
            <w14:solidFill>
              <w14:schemeClr w14:val="tx1"/>
            </w14:solidFill>
          </w14:textFill>
        </w:rPr>
        <w:t xml:space="preserve">           </w:t>
      </w:r>
    </w:p>
    <w:p w14:paraId="5BC73F15">
      <w:pPr>
        <w:spacing w:line="360" w:lineRule="auto"/>
        <w:ind w:left="120" w:firstLine="22"/>
        <w:jc w:val="center"/>
        <w:rPr>
          <w:rFonts w:hint="eastAsia" w:ascii="宋体" w:hAnsi="宋体" w:cs="宋体"/>
          <w:b/>
          <w:color w:val="000000" w:themeColor="text1"/>
          <w:sz w:val="24"/>
          <w14:textFill>
            <w14:solidFill>
              <w14:schemeClr w14:val="tx1"/>
            </w14:solidFill>
          </w14:textFill>
        </w:rPr>
      </w:pPr>
    </w:p>
    <w:p w14:paraId="05CBEADD">
      <w:pPr>
        <w:spacing w:line="360" w:lineRule="auto"/>
        <w:ind w:left="120" w:firstLine="723" w:firstLineChars="200"/>
        <w:jc w:val="center"/>
        <w:rPr>
          <w:rFonts w:hint="eastAsia"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政府采购合同参考范本</w:t>
      </w:r>
    </w:p>
    <w:p w14:paraId="7AFDD8C7">
      <w:pPr>
        <w:spacing w:line="360" w:lineRule="auto"/>
        <w:ind w:left="120" w:firstLine="723" w:firstLineChars="200"/>
        <w:jc w:val="center"/>
        <w:rPr>
          <w:rFonts w:hint="eastAsia"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（服务类）</w:t>
      </w:r>
    </w:p>
    <w:p w14:paraId="777248D8">
      <w:pPr>
        <w:pStyle w:val="702"/>
        <w:ind w:firstLine="482"/>
        <w:outlineLvl w:val="1"/>
        <w:rPr>
          <w:rFonts w:hint="eastAsia"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第一部分 合同书</w:t>
      </w:r>
    </w:p>
    <w:p w14:paraId="76617EBA">
      <w:pPr>
        <w:spacing w:before="120"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u w:val="single"/>
          <w14:textFill>
            <w14:solidFill>
              <w14:schemeClr w14:val="tx1"/>
            </w14:solidFill>
          </w14:textFill>
        </w:rPr>
        <w:t xml:space="preserve">                                   </w:t>
      </w:r>
    </w:p>
    <w:p w14:paraId="154793F1">
      <w:pPr>
        <w:pStyle w:val="599"/>
        <w:spacing w:before="120"/>
        <w:ind w:left="120" w:firstLine="22"/>
        <w:rPr>
          <w:rFonts w:hint="eastAsia" w:ascii="宋体" w:hAnsi="宋体" w:eastAsia="宋体" w:cs="宋体"/>
          <w:color w:val="000000" w:themeColor="text1"/>
          <w:szCs w:val="24"/>
          <w14:textFill>
            <w14:solidFill>
              <w14:schemeClr w14:val="tx1"/>
            </w14:solidFill>
          </w14:textFill>
        </w:rPr>
      </w:pPr>
    </w:p>
    <w:p w14:paraId="76034D74">
      <w:pPr>
        <w:pStyle w:val="599"/>
        <w:spacing w:before="120"/>
        <w:ind w:left="120" w:firstLine="22"/>
        <w:rPr>
          <w:rFonts w:hint="eastAsia" w:ascii="宋体" w:hAnsi="宋体" w:eastAsia="宋体" w:cs="宋体"/>
          <w:color w:val="000000" w:themeColor="text1"/>
          <w:szCs w:val="24"/>
          <w14:textFill>
            <w14:solidFill>
              <w14:schemeClr w14:val="tx1"/>
            </w14:solidFill>
          </w14:textFill>
        </w:rPr>
      </w:pPr>
    </w:p>
    <w:p w14:paraId="77BF5139">
      <w:pPr>
        <w:spacing w:line="360" w:lineRule="auto"/>
        <w:ind w:left="120" w:firstLine="22"/>
        <w:rPr>
          <w:rFonts w:hint="eastAsia" w:ascii="宋体" w:hAnsi="宋体" w:cs="宋体"/>
          <w:color w:val="000000" w:themeColor="text1"/>
          <w:sz w:val="24"/>
          <w14:textFill>
            <w14:solidFill>
              <w14:schemeClr w14:val="tx1"/>
            </w14:solidFill>
          </w14:textFill>
        </w:rPr>
      </w:pPr>
    </w:p>
    <w:p w14:paraId="019C021B">
      <w:pPr>
        <w:spacing w:before="120" w:line="360" w:lineRule="auto"/>
        <w:ind w:left="120"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甲方：</w:t>
      </w:r>
      <w:r>
        <w:rPr>
          <w:rFonts w:hint="eastAsia" w:ascii="宋体" w:hAnsi="宋体" w:cs="宋体"/>
          <w:color w:val="000000" w:themeColor="text1"/>
          <w:sz w:val="24"/>
          <w:u w:val="single"/>
          <w14:textFill>
            <w14:solidFill>
              <w14:schemeClr w14:val="tx1"/>
            </w14:solidFill>
          </w14:textFill>
        </w:rPr>
        <w:t xml:space="preserve">                                       </w:t>
      </w:r>
    </w:p>
    <w:p w14:paraId="590965CD">
      <w:pPr>
        <w:spacing w:before="120" w:line="360" w:lineRule="auto"/>
        <w:ind w:left="120" w:firstLine="22"/>
        <w:rPr>
          <w:rFonts w:hint="eastAsia" w:ascii="宋体" w:hAnsi="宋体" w:cs="宋体"/>
          <w:color w:val="000000" w:themeColor="text1"/>
          <w:sz w:val="24"/>
          <w14:textFill>
            <w14:solidFill>
              <w14:schemeClr w14:val="tx1"/>
            </w14:solidFill>
          </w14:textFill>
        </w:rPr>
      </w:pPr>
    </w:p>
    <w:p w14:paraId="589358D1">
      <w:pPr>
        <w:spacing w:before="120" w:line="360" w:lineRule="auto"/>
        <w:ind w:left="120"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w:t>
      </w:r>
      <w:r>
        <w:rPr>
          <w:rFonts w:hint="eastAsia" w:ascii="宋体" w:hAnsi="宋体" w:cs="宋体"/>
          <w:color w:val="000000" w:themeColor="text1"/>
          <w:sz w:val="24"/>
          <w:u w:val="single"/>
          <w14:textFill>
            <w14:solidFill>
              <w14:schemeClr w14:val="tx1"/>
            </w14:solidFill>
          </w14:textFill>
        </w:rPr>
        <w:t xml:space="preserve">                                       </w:t>
      </w:r>
    </w:p>
    <w:p w14:paraId="27C32C15">
      <w:pPr>
        <w:spacing w:before="120" w:line="360" w:lineRule="auto"/>
        <w:ind w:left="120" w:firstLine="22"/>
        <w:rPr>
          <w:rFonts w:hint="eastAsia" w:ascii="宋体" w:hAnsi="宋体" w:cs="宋体"/>
          <w:color w:val="000000" w:themeColor="text1"/>
          <w:sz w:val="24"/>
          <w14:textFill>
            <w14:solidFill>
              <w14:schemeClr w14:val="tx1"/>
            </w14:solidFill>
          </w14:textFill>
        </w:rPr>
      </w:pPr>
    </w:p>
    <w:p w14:paraId="057EF986">
      <w:pPr>
        <w:spacing w:before="120" w:line="360" w:lineRule="auto"/>
        <w:ind w:left="120"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签订地：</w:t>
      </w:r>
      <w:r>
        <w:rPr>
          <w:rFonts w:hint="eastAsia" w:ascii="宋体" w:hAnsi="宋体" w:cs="宋体"/>
          <w:color w:val="000000" w:themeColor="text1"/>
          <w:sz w:val="24"/>
          <w:u w:val="single"/>
          <w14:textFill>
            <w14:solidFill>
              <w14:schemeClr w14:val="tx1"/>
            </w14:solidFill>
          </w14:textFill>
        </w:rPr>
        <w:t xml:space="preserve">                                     </w:t>
      </w:r>
    </w:p>
    <w:p w14:paraId="73373FA0">
      <w:pPr>
        <w:spacing w:before="120" w:line="360" w:lineRule="auto"/>
        <w:ind w:left="120" w:firstLine="22"/>
        <w:rPr>
          <w:rFonts w:hint="eastAsia" w:ascii="宋体" w:hAnsi="宋体" w:cs="宋体"/>
          <w:color w:val="000000" w:themeColor="text1"/>
          <w:sz w:val="24"/>
          <w14:textFill>
            <w14:solidFill>
              <w14:schemeClr w14:val="tx1"/>
            </w14:solidFill>
          </w14:textFill>
        </w:rPr>
      </w:pPr>
    </w:p>
    <w:p w14:paraId="2990D4F0">
      <w:pPr>
        <w:spacing w:before="120" w:line="360" w:lineRule="auto"/>
        <w:ind w:left="120"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签订日期：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3445BFBF">
      <w:pPr>
        <w:widowControl/>
        <w:spacing w:line="360" w:lineRule="auto"/>
        <w:ind w:left="120" w:firstLine="22"/>
        <w:jc w:val="left"/>
        <w:rPr>
          <w:rFonts w:hint="eastAsia" w:ascii="宋体" w:hAnsi="宋体" w:cs="宋体"/>
          <w:color w:val="000000" w:themeColor="text1"/>
          <w:kern w:val="0"/>
          <w:sz w:val="24"/>
          <w14:textFill>
            <w14:solidFill>
              <w14:schemeClr w14:val="tx1"/>
            </w14:solidFill>
          </w14:textFill>
        </w:rPr>
        <w:sectPr>
          <w:pgSz w:w="11907" w:h="16840"/>
          <w:pgMar w:top="680" w:right="1134" w:bottom="471" w:left="1417" w:header="851" w:footer="851" w:gutter="0"/>
          <w:cols w:space="720" w:num="1"/>
        </w:sectPr>
      </w:pPr>
    </w:p>
    <w:p w14:paraId="72D9E3F1">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lang w:val="zh-CN"/>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年</w:t>
      </w:r>
      <w:r>
        <w:rPr>
          <w:rFonts w:hint="eastAsia" w:ascii="宋体" w:hAnsi="宋体" w:cs="宋体"/>
          <w:color w:val="000000" w:themeColor="text1"/>
          <w:sz w:val="24"/>
          <w:u w:val="single"/>
          <w:lang w:val="zh-CN"/>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月</w:t>
      </w:r>
      <w:r>
        <w:rPr>
          <w:rFonts w:hint="eastAsia" w:ascii="宋体" w:hAnsi="宋体" w:cs="宋体"/>
          <w:color w:val="000000" w:themeColor="text1"/>
          <w:sz w:val="24"/>
          <w:u w:val="single"/>
          <w:lang w:val="zh-CN"/>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eastAsia="zh-CN"/>
          <w14:textFill>
            <w14:solidFill>
              <w14:schemeClr w14:val="tx1"/>
            </w14:solidFill>
          </w14:textFill>
        </w:rPr>
        <w:t>杭州市上城区人民代表大会常务委员会办公室</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以</w:t>
      </w:r>
      <w:r>
        <w:rPr>
          <w:rFonts w:hint="eastAsia" w:ascii="宋体" w:hAnsi="宋体" w:cs="宋体"/>
          <w:color w:val="000000" w:themeColor="text1"/>
          <w:sz w:val="24"/>
          <w:u w:val="single"/>
          <w14:textFill>
            <w14:solidFill>
              <w14:schemeClr w14:val="tx1"/>
            </w14:solidFill>
          </w14:textFill>
        </w:rPr>
        <w:t xml:space="preserve">   （政府采购方式）  </w:t>
      </w:r>
      <w:r>
        <w:rPr>
          <w:rFonts w:hint="eastAsia" w:ascii="宋体" w:hAnsi="宋体" w:cs="宋体"/>
          <w:color w:val="000000" w:themeColor="text1"/>
          <w:sz w:val="24"/>
          <w14:textFill>
            <w14:solidFill>
              <w14:schemeClr w14:val="tx1"/>
            </w14:solidFill>
          </w14:textFill>
        </w:rPr>
        <w:t>对</w:t>
      </w:r>
      <w:r>
        <w:rPr>
          <w:rFonts w:hint="eastAsia" w:ascii="宋体" w:hAnsi="宋体" w:cs="宋体"/>
          <w:color w:val="000000" w:themeColor="text1"/>
          <w:sz w:val="24"/>
          <w:u w:val="single"/>
          <w14:textFill>
            <w14:solidFill>
              <w14:schemeClr w14:val="tx1"/>
            </w14:solidFill>
          </w14:textFill>
        </w:rPr>
        <w:t xml:space="preserve">  “数字人大”平台系统改造项目</w:t>
      </w:r>
      <w:r>
        <w:rPr>
          <w:rFonts w:hint="eastAsia" w:ascii="宋体" w:hAnsi="宋体" w:cs="宋体"/>
          <w:color w:val="000000" w:themeColor="text1"/>
          <w:sz w:val="24"/>
          <w14:textFill>
            <w14:solidFill>
              <w14:schemeClr w14:val="tx1"/>
            </w14:solidFill>
          </w14:textFill>
        </w:rPr>
        <w:t>进行了采购。经</w:t>
      </w:r>
      <w:r>
        <w:rPr>
          <w:rFonts w:hint="eastAsia" w:ascii="宋体" w:hAnsi="宋体" w:cs="宋体"/>
          <w:color w:val="000000" w:themeColor="text1"/>
          <w:sz w:val="24"/>
          <w:u w:val="single"/>
          <w14:textFill>
            <w14:solidFill>
              <w14:schemeClr w14:val="tx1"/>
            </w14:solidFill>
          </w14:textFill>
        </w:rPr>
        <w:t xml:space="preserve">   （相关评定主体名称）   </w:t>
      </w:r>
      <w:r>
        <w:rPr>
          <w:rFonts w:hint="eastAsia" w:ascii="宋体" w:hAnsi="宋体" w:cs="宋体"/>
          <w:color w:val="000000" w:themeColor="text1"/>
          <w:sz w:val="24"/>
          <w14:textFill>
            <w14:solidFill>
              <w14:schemeClr w14:val="tx1"/>
            </w14:solidFill>
          </w14:textFill>
        </w:rPr>
        <w:t>评定，</w:t>
      </w:r>
      <w:r>
        <w:rPr>
          <w:rFonts w:hint="eastAsia" w:ascii="宋体" w:hAnsi="宋体" w:cs="宋体"/>
          <w:color w:val="000000" w:themeColor="text1"/>
          <w:sz w:val="24"/>
          <w:u w:val="single"/>
          <w14:textFill>
            <w14:solidFill>
              <w14:schemeClr w14:val="tx1"/>
            </w14:solidFill>
          </w14:textFill>
        </w:rPr>
        <w:t xml:space="preserve"> （中标或者成交供应商名称） </w:t>
      </w:r>
      <w:r>
        <w:rPr>
          <w:rFonts w:hint="eastAsia" w:ascii="宋体" w:hAnsi="宋体" w:cs="宋体"/>
          <w:color w:val="000000" w:themeColor="text1"/>
          <w:sz w:val="24"/>
          <w14:textFill>
            <w14:solidFill>
              <w14:schemeClr w14:val="tx1"/>
            </w14:solidFill>
          </w14:textFill>
        </w:rPr>
        <w:t>为该项目中标或者成交供应商。现于中标或者成交通知书发出之日起10个工作日内，按照采购文件确定的事项签订本合同。</w:t>
      </w:r>
    </w:p>
    <w:p w14:paraId="2C0A816C">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根据《中华人民共和国民法典》《中华人民共和国政府采购法》等相关法律法规之规定，按照平等、自愿、公平和诚实信用的原则，经</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eastAsia="zh-CN"/>
          <w14:textFill>
            <w14:solidFill>
              <w14:schemeClr w14:val="tx1"/>
            </w14:solidFill>
          </w14:textFill>
        </w:rPr>
        <w:t>杭州市上城区人民代表大会常务委员会办公室</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(以下简称：甲方)和</w:t>
      </w:r>
      <w:r>
        <w:rPr>
          <w:rFonts w:hint="eastAsia" w:ascii="宋体" w:hAnsi="宋体" w:cs="宋体"/>
          <w:color w:val="000000" w:themeColor="text1"/>
          <w:sz w:val="24"/>
          <w:u w:val="single"/>
          <w14:textFill>
            <w14:solidFill>
              <w14:schemeClr w14:val="tx1"/>
            </w14:solidFill>
          </w14:textFill>
        </w:rPr>
        <w:t xml:space="preserve">   （中</w:t>
      </w:r>
      <w:r>
        <w:rPr>
          <w:rFonts w:hint="eastAsia" w:ascii="宋体" w:hAnsi="宋体" w:cs="宋体"/>
          <w:color w:val="000000" w:themeColor="text1"/>
          <w:sz w:val="24"/>
          <w:u w:val="single"/>
          <w:lang w:val="en-US" w:eastAsia="zh-CN"/>
          <w14:textFill>
            <w14:solidFill>
              <w14:schemeClr w14:val="tx1"/>
            </w14:solidFill>
          </w14:textFill>
        </w:rPr>
        <w:t>标</w:t>
      </w:r>
      <w:r>
        <w:rPr>
          <w:rFonts w:hint="eastAsia" w:ascii="宋体" w:hAnsi="宋体" w:cs="宋体"/>
          <w:color w:val="000000" w:themeColor="text1"/>
          <w:sz w:val="24"/>
          <w:u w:val="single"/>
          <w14:textFill>
            <w14:solidFill>
              <w14:schemeClr w14:val="tx1"/>
            </w14:solidFill>
          </w14:textFill>
        </w:rPr>
        <w:t xml:space="preserve">或者成交标供应商名称）   </w:t>
      </w:r>
      <w:r>
        <w:rPr>
          <w:rFonts w:hint="eastAsia" w:ascii="宋体" w:hAnsi="宋体" w:cs="宋体"/>
          <w:color w:val="000000" w:themeColor="text1"/>
          <w:sz w:val="24"/>
          <w:lang w:val="zh-CN"/>
          <w14:textFill>
            <w14:solidFill>
              <w14:schemeClr w14:val="tx1"/>
            </w14:solidFill>
          </w14:textFill>
        </w:rPr>
        <w:t>(以下简称：乙方)协商一致，约定以下合同</w:t>
      </w:r>
      <w:r>
        <w:rPr>
          <w:rFonts w:hint="eastAsia" w:ascii="宋体" w:hAnsi="宋体" w:cs="宋体"/>
          <w:color w:val="000000" w:themeColor="text1"/>
          <w:sz w:val="24"/>
          <w14:textFill>
            <w14:solidFill>
              <w14:schemeClr w14:val="tx1"/>
            </w14:solidFill>
          </w14:textFill>
        </w:rPr>
        <w:t>条款，以兹共同遵守、全面履行。</w:t>
      </w:r>
    </w:p>
    <w:p w14:paraId="2A13E33A">
      <w:pPr>
        <w:spacing w:line="360" w:lineRule="auto"/>
        <w:ind w:left="120" w:firstLine="482" w:firstLineChars="200"/>
        <w:rPr>
          <w:rFonts w:hint="eastAsia" w:ascii="宋体" w:hAnsi="宋体" w:cs="宋体"/>
          <w:color w:val="000000" w:themeColor="text1"/>
          <w:sz w:val="24"/>
          <w14:textFill>
            <w14:solidFill>
              <w14:schemeClr w14:val="tx1"/>
            </w14:solidFill>
          </w14:textFill>
        </w:rPr>
      </w:pPr>
      <w:bookmarkStart w:id="413" w:name="_Toc15367"/>
      <w:bookmarkStart w:id="414" w:name="_Toc19273"/>
      <w:bookmarkStart w:id="415" w:name="_Toc28855"/>
      <w:bookmarkStart w:id="416" w:name="_Toc22967"/>
      <w:bookmarkStart w:id="417" w:name="_Toc20421"/>
      <w:r>
        <w:rPr>
          <w:rFonts w:hint="eastAsia" w:ascii="宋体" w:hAnsi="宋体" w:cs="宋体"/>
          <w:b/>
          <w:color w:val="000000" w:themeColor="text1"/>
          <w:sz w:val="24"/>
          <w14:textFill>
            <w14:solidFill>
              <w14:schemeClr w14:val="tx1"/>
            </w14:solidFill>
          </w14:textFill>
        </w:rPr>
        <w:t>1.1 合同组成部分</w:t>
      </w:r>
      <w:bookmarkEnd w:id="413"/>
      <w:bookmarkEnd w:id="414"/>
      <w:bookmarkEnd w:id="415"/>
      <w:bookmarkEnd w:id="416"/>
      <w:bookmarkEnd w:id="417"/>
    </w:p>
    <w:p w14:paraId="5800FD7D">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下列文件为本合同的组成部分，并构成一个整体，需综合解释、相互补充。如果下列文件内容出现不一致的情形，那么在保证按照采购文件确定的事项的前提下，组成本合同的多份文件的优先适用顺序如下：</w:t>
      </w:r>
    </w:p>
    <w:p w14:paraId="390980F3">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 本合同及其补充合同、变更协议；</w:t>
      </w:r>
    </w:p>
    <w:p w14:paraId="3CA4AA44">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 中标或者成交通知书；</w:t>
      </w:r>
    </w:p>
    <w:p w14:paraId="1424D131">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 投标或者响应文件（含澄清或者说明文件）；</w:t>
      </w:r>
    </w:p>
    <w:p w14:paraId="6379FA26">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1.1.4 采购文件（含澄清或者修改文件）；</w:t>
      </w:r>
    </w:p>
    <w:p w14:paraId="597E6A3B">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1.1.5 其他相关采购文件。</w:t>
      </w:r>
    </w:p>
    <w:p w14:paraId="61BE3EE3">
      <w:pPr>
        <w:spacing w:line="360" w:lineRule="auto"/>
        <w:ind w:left="120" w:firstLine="482" w:firstLineChars="200"/>
        <w:rPr>
          <w:rFonts w:hint="eastAsia" w:ascii="宋体" w:hAnsi="宋体" w:cs="宋体"/>
          <w:b/>
          <w:color w:val="000000" w:themeColor="text1"/>
          <w:sz w:val="24"/>
          <w14:textFill>
            <w14:solidFill>
              <w14:schemeClr w14:val="tx1"/>
            </w14:solidFill>
          </w14:textFill>
        </w:rPr>
      </w:pPr>
      <w:bookmarkStart w:id="418" w:name="_Toc6773"/>
      <w:bookmarkStart w:id="419" w:name="_Toc6311"/>
      <w:bookmarkStart w:id="420" w:name="_Toc22185"/>
      <w:bookmarkStart w:id="421" w:name="_Toc18585"/>
      <w:bookmarkStart w:id="422" w:name="_Toc2918"/>
      <w:r>
        <w:rPr>
          <w:rFonts w:hint="eastAsia" w:ascii="宋体" w:hAnsi="宋体" w:cs="宋体"/>
          <w:b/>
          <w:color w:val="000000" w:themeColor="text1"/>
          <w:sz w:val="24"/>
          <w14:textFill>
            <w14:solidFill>
              <w14:schemeClr w14:val="tx1"/>
            </w14:solidFill>
          </w14:textFill>
        </w:rPr>
        <w:t>1.2 标的</w:t>
      </w:r>
      <w:bookmarkEnd w:id="418"/>
      <w:bookmarkEnd w:id="419"/>
      <w:bookmarkEnd w:id="420"/>
      <w:bookmarkEnd w:id="421"/>
      <w:bookmarkEnd w:id="422"/>
    </w:p>
    <w:p w14:paraId="5A7F620E">
      <w:pPr>
        <w:spacing w:line="360" w:lineRule="auto"/>
        <w:ind w:left="420" w:firstLine="482" w:firstLineChars="200"/>
        <w:outlineLvl w:val="0"/>
        <w:rPr>
          <w:rFonts w:hint="eastAsia" w:ascii="宋体" w:hAnsi="宋体"/>
          <w:b/>
          <w:bCs/>
          <w:color w:val="000000" w:themeColor="text1"/>
          <w:sz w:val="24"/>
          <w14:textFill>
            <w14:solidFill>
              <w14:schemeClr w14:val="tx1"/>
            </w14:solidFill>
          </w14:textFill>
        </w:rPr>
      </w:pPr>
      <w:bookmarkStart w:id="423" w:name="_Toc11108"/>
      <w:bookmarkStart w:id="424" w:name="_Toc8772"/>
      <w:bookmarkStart w:id="425" w:name="_Toc1814"/>
      <w:bookmarkStart w:id="426" w:name="_Toc3625"/>
      <w:bookmarkStart w:id="427" w:name="_Toc10340"/>
      <w:bookmarkStart w:id="428" w:name="_Toc31421"/>
      <w:bookmarkStart w:id="429" w:name="_Toc22618"/>
      <w:bookmarkStart w:id="430" w:name="_Toc4760"/>
      <w:r>
        <w:rPr>
          <w:rFonts w:hint="eastAsia" w:ascii="宋体" w:hAnsi="宋体"/>
          <w:b/>
          <w:bCs/>
          <w:color w:val="000000" w:themeColor="text1"/>
          <w:sz w:val="24"/>
          <w14:textFill>
            <w14:solidFill>
              <w14:schemeClr w14:val="tx1"/>
            </w14:solidFill>
          </w14:textFill>
        </w:rPr>
        <w:t>1.2.1建设目标</w:t>
      </w:r>
    </w:p>
    <w:p w14:paraId="095CBDFD">
      <w:pPr>
        <w:adjustRightInd/>
        <w:spacing w:after="0" w:line="360" w:lineRule="auto"/>
        <w:ind w:firstLine="480" w:firstLineChars="200"/>
        <w:outlineLvl w:val="1"/>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杭州市上城区人民政府办公室关于印发上城区电子政务项目管理办法的通知》及区信创办《关于启动2025年度政务信息系统信创改造工作的通知》的要求，秉承“一网通办”理念，打造以人大服务一扇门、联动履职一张网、数据资源一盘棋、联系群众一座桥、网络安全一道岗为特征的一体化综合平台，覆盖全区各级人大代表、人大机关和“一府一委两院”及有关单位工作人员、社会公众三类服务群体，着力构建全区人大统一数据库，实现全区人大数据云上存储、开放共享，整合汇聚代表工作、监督工作、会议阅文、机关办公、公众参与等九大子系统，推动标准规范、网络安全、运维保障三大体系协同发展，确保系统安全稳定高效运转，以数字化技术赋能人大工作高质量发展，谱写全过程人民民主新篇章。</w:t>
      </w:r>
    </w:p>
    <w:p w14:paraId="125FBB0B">
      <w:pPr>
        <w:spacing w:line="360" w:lineRule="auto"/>
        <w:ind w:left="420" w:firstLine="482" w:firstLineChars="200"/>
        <w:outlineLvl w:val="0"/>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1.2.2建设内容</w:t>
      </w:r>
    </w:p>
    <w:p w14:paraId="7D97574E">
      <w:pPr>
        <w:pStyle w:val="1088"/>
        <w:numPr>
          <w:ilvl w:val="0"/>
          <w:numId w:val="6"/>
        </w:numPr>
        <w:adjustRightInd/>
        <w:spacing w:after="0" w:line="360" w:lineRule="auto"/>
        <w:ind w:firstLineChars="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上城区街道人大工作系统</w:t>
      </w:r>
    </w:p>
    <w:p w14:paraId="31FD4206">
      <w:pPr>
        <w:pStyle w:val="1088"/>
        <w:numPr>
          <w:ilvl w:val="0"/>
          <w:numId w:val="6"/>
        </w:numPr>
        <w:adjustRightInd/>
        <w:spacing w:after="0" w:line="360" w:lineRule="auto"/>
        <w:ind w:firstLineChars="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执法检查、听取审议专项报告系统</w:t>
      </w:r>
    </w:p>
    <w:p w14:paraId="5BDAAF3A">
      <w:pPr>
        <w:pStyle w:val="1088"/>
        <w:numPr>
          <w:ilvl w:val="0"/>
          <w:numId w:val="6"/>
        </w:numPr>
        <w:adjustRightInd/>
        <w:spacing w:after="0" w:line="360" w:lineRule="auto"/>
        <w:ind w:firstLineChars="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代表在线应用场景</w:t>
      </w:r>
    </w:p>
    <w:p w14:paraId="6F81361C">
      <w:pPr>
        <w:pStyle w:val="1088"/>
        <w:numPr>
          <w:ilvl w:val="0"/>
          <w:numId w:val="6"/>
        </w:numPr>
        <w:adjustRightInd/>
        <w:spacing w:after="0" w:line="360" w:lineRule="auto"/>
        <w:ind w:firstLineChars="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民生实事项目监督系统</w:t>
      </w:r>
    </w:p>
    <w:p w14:paraId="4B05BB8B">
      <w:pPr>
        <w:pStyle w:val="1088"/>
        <w:numPr>
          <w:ilvl w:val="0"/>
          <w:numId w:val="6"/>
        </w:numPr>
        <w:adjustRightInd/>
        <w:spacing w:after="0" w:line="360" w:lineRule="auto"/>
        <w:ind w:firstLineChars="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代表联系群众、意见处理反馈系统</w:t>
      </w:r>
    </w:p>
    <w:p w14:paraId="35F8A893">
      <w:pPr>
        <w:pStyle w:val="1088"/>
        <w:numPr>
          <w:ilvl w:val="0"/>
          <w:numId w:val="6"/>
        </w:numPr>
        <w:adjustRightInd/>
        <w:spacing w:after="0" w:line="360" w:lineRule="auto"/>
        <w:ind w:firstLineChars="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议案建议办理应用场景</w:t>
      </w:r>
    </w:p>
    <w:p w14:paraId="1F67EA84">
      <w:pPr>
        <w:pStyle w:val="1088"/>
        <w:numPr>
          <w:ilvl w:val="0"/>
          <w:numId w:val="6"/>
        </w:numPr>
        <w:adjustRightInd/>
        <w:spacing w:after="0" w:line="360" w:lineRule="auto"/>
        <w:ind w:firstLineChars="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财经综合监督系统</w:t>
      </w:r>
    </w:p>
    <w:p w14:paraId="709C9EFE">
      <w:pPr>
        <w:pStyle w:val="1088"/>
        <w:numPr>
          <w:ilvl w:val="0"/>
          <w:numId w:val="6"/>
        </w:numPr>
        <w:adjustRightInd/>
        <w:spacing w:after="0" w:line="360" w:lineRule="auto"/>
        <w:ind w:firstLineChars="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人大数据仓应用场景</w:t>
      </w:r>
    </w:p>
    <w:p w14:paraId="438C7CB2">
      <w:pPr>
        <w:pStyle w:val="1088"/>
        <w:numPr>
          <w:ilvl w:val="0"/>
          <w:numId w:val="6"/>
        </w:numPr>
        <w:adjustRightInd/>
        <w:spacing w:after="0" w:line="360" w:lineRule="auto"/>
        <w:ind w:firstLineChars="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人大代表联络站数字总站应用场景</w:t>
      </w:r>
    </w:p>
    <w:p w14:paraId="7F988D68">
      <w:pPr>
        <w:spacing w:after="0"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建设“数字人大”平台：实现上城区街道人大工作系统、执法检查、听取审议专项报告系统、代表在线应用场景应用、民生实事项目监督系统、代表联系群众、意见处理反馈系统、议案建议办理应用场景应用、财经综合监督系统应用、人大数据仓应用场景应用、人大代表联络站数字总站应用场景应用9个系统的门户集成，统一用户、权限、接口及接入管理。</w:t>
      </w:r>
    </w:p>
    <w:tbl>
      <w:tblPr>
        <w:tblStyle w:val="63"/>
        <w:tblW w:w="4999" w:type="pct"/>
        <w:tblInd w:w="0" w:type="dxa"/>
        <w:tblLayout w:type="autofit"/>
        <w:tblCellMar>
          <w:top w:w="0" w:type="dxa"/>
          <w:left w:w="108" w:type="dxa"/>
          <w:bottom w:w="0" w:type="dxa"/>
          <w:right w:w="108" w:type="dxa"/>
        </w:tblCellMar>
      </w:tblPr>
      <w:tblGrid>
        <w:gridCol w:w="876"/>
        <w:gridCol w:w="877"/>
        <w:gridCol w:w="877"/>
        <w:gridCol w:w="881"/>
        <w:gridCol w:w="5773"/>
      </w:tblGrid>
      <w:tr w14:paraId="71496FB3">
        <w:tblPrEx>
          <w:tblCellMar>
            <w:top w:w="0" w:type="dxa"/>
            <w:left w:w="108" w:type="dxa"/>
            <w:bottom w:w="0" w:type="dxa"/>
            <w:right w:w="108" w:type="dxa"/>
          </w:tblCellMar>
        </w:tblPrEx>
        <w:trPr>
          <w:trHeight w:val="327" w:hRule="atLeast"/>
        </w:trPr>
        <w:tc>
          <w:tcPr>
            <w:tcW w:w="47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75B955">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序号</w:t>
            </w:r>
          </w:p>
        </w:tc>
        <w:tc>
          <w:tcPr>
            <w:tcW w:w="1418" w:type="pct"/>
            <w:gridSpan w:val="3"/>
            <w:tcBorders>
              <w:top w:val="single" w:color="000000" w:sz="8" w:space="0"/>
              <w:left w:val="nil"/>
              <w:bottom w:val="single" w:color="000000" w:sz="8" w:space="0"/>
              <w:right w:val="single" w:color="000000" w:sz="8" w:space="0"/>
            </w:tcBorders>
            <w:shd w:val="clear" w:color="auto" w:fill="auto"/>
            <w:vAlign w:val="center"/>
          </w:tcPr>
          <w:p w14:paraId="3153B0BF">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模块</w:t>
            </w:r>
          </w:p>
        </w:tc>
        <w:tc>
          <w:tcPr>
            <w:tcW w:w="3108" w:type="pct"/>
            <w:tcBorders>
              <w:top w:val="single" w:color="000000" w:sz="8" w:space="0"/>
              <w:left w:val="nil"/>
              <w:bottom w:val="single" w:color="000000" w:sz="8" w:space="0"/>
              <w:right w:val="single" w:color="000000" w:sz="8" w:space="0"/>
            </w:tcBorders>
            <w:shd w:val="clear" w:color="auto" w:fill="auto"/>
            <w:vAlign w:val="center"/>
          </w:tcPr>
          <w:p w14:paraId="72B05212">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描述</w:t>
            </w:r>
          </w:p>
        </w:tc>
      </w:tr>
      <w:tr w14:paraId="6583EFB4">
        <w:tblPrEx>
          <w:tblCellMar>
            <w:top w:w="0" w:type="dxa"/>
            <w:left w:w="108" w:type="dxa"/>
            <w:bottom w:w="0" w:type="dxa"/>
            <w:right w:w="108" w:type="dxa"/>
          </w:tblCellMar>
        </w:tblPrEx>
        <w:trPr>
          <w:trHeight w:val="2823" w:hRule="atLeast"/>
        </w:trPr>
        <w:tc>
          <w:tcPr>
            <w:tcW w:w="472" w:type="pct"/>
            <w:tcBorders>
              <w:top w:val="nil"/>
              <w:left w:val="single" w:color="000000" w:sz="8" w:space="0"/>
              <w:bottom w:val="single" w:color="000000" w:sz="8" w:space="0"/>
              <w:right w:val="single" w:color="000000" w:sz="8" w:space="0"/>
            </w:tcBorders>
            <w:shd w:val="clear" w:color="auto" w:fill="auto"/>
            <w:noWrap/>
            <w:vAlign w:val="center"/>
          </w:tcPr>
          <w:p w14:paraId="294F2D46">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w:t>
            </w:r>
          </w:p>
        </w:tc>
        <w:tc>
          <w:tcPr>
            <w:tcW w:w="1418" w:type="pct"/>
            <w:gridSpan w:val="3"/>
            <w:vMerge w:val="restart"/>
            <w:tcBorders>
              <w:top w:val="nil"/>
              <w:left w:val="nil"/>
              <w:bottom w:val="single" w:color="000000" w:sz="8" w:space="0"/>
              <w:right w:val="single" w:color="000000" w:sz="8" w:space="0"/>
            </w:tcBorders>
            <w:shd w:val="clear" w:color="auto" w:fill="auto"/>
            <w:vAlign w:val="center"/>
          </w:tcPr>
          <w:p w14:paraId="5D88AB06">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上城区街道人大工作系统</w:t>
            </w:r>
          </w:p>
        </w:tc>
        <w:tc>
          <w:tcPr>
            <w:tcW w:w="3108" w:type="pct"/>
            <w:tcBorders>
              <w:top w:val="nil"/>
              <w:left w:val="nil"/>
              <w:bottom w:val="single" w:color="000000" w:sz="8" w:space="0"/>
              <w:right w:val="single" w:color="000000" w:sz="8" w:space="0"/>
            </w:tcBorders>
            <w:shd w:val="clear" w:color="auto" w:fill="auto"/>
            <w:vAlign w:val="center"/>
          </w:tcPr>
          <w:p w14:paraId="5F15E1CA">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优化现有系统功能，建设街道人大工作全景视窗、街道工委视窗，以及在业务管理端增设数据晾晒、区街联动、监督工作、居民议事模块，并在浙政钉移动端上线对应新设模块功能；需完成系统从现有的云平台迁移部署至算力云上并将按照新版本云部署的达梦数据库替换原ecs部署的达梦数据库，包括数据版本间差异的适配，以及不同部署形式数据库之间的迁移适配工作。需完成数据迁移、系统迁移及完成密码测评、密码方案评审、密码应用服务、渗透测试等保二级测评、信创测评相关工作。</w:t>
            </w:r>
          </w:p>
        </w:tc>
      </w:tr>
      <w:tr w14:paraId="4590C42C">
        <w:tblPrEx>
          <w:tblCellMar>
            <w:top w:w="0" w:type="dxa"/>
            <w:left w:w="108" w:type="dxa"/>
            <w:bottom w:w="0" w:type="dxa"/>
            <w:right w:w="108" w:type="dxa"/>
          </w:tblCellMar>
        </w:tblPrEx>
        <w:trPr>
          <w:trHeight w:val="951" w:hRule="atLeast"/>
        </w:trPr>
        <w:tc>
          <w:tcPr>
            <w:tcW w:w="472" w:type="pct"/>
            <w:tcBorders>
              <w:top w:val="nil"/>
              <w:left w:val="single" w:color="000000" w:sz="8" w:space="0"/>
              <w:bottom w:val="single" w:color="000000" w:sz="8" w:space="0"/>
              <w:right w:val="single" w:color="000000" w:sz="8" w:space="0"/>
            </w:tcBorders>
            <w:shd w:val="clear" w:color="auto" w:fill="auto"/>
            <w:noWrap/>
            <w:vAlign w:val="center"/>
          </w:tcPr>
          <w:p w14:paraId="118FA6C2">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w:t>
            </w:r>
          </w:p>
        </w:tc>
        <w:tc>
          <w:tcPr>
            <w:tcW w:w="1418" w:type="pct"/>
            <w:gridSpan w:val="3"/>
            <w:vMerge w:val="continue"/>
            <w:tcBorders>
              <w:top w:val="nil"/>
              <w:left w:val="nil"/>
              <w:bottom w:val="single" w:color="000000" w:sz="8" w:space="0"/>
              <w:right w:val="single" w:color="000000" w:sz="8" w:space="0"/>
            </w:tcBorders>
            <w:shd w:val="clear" w:color="auto" w:fill="auto"/>
            <w:vAlign w:val="center"/>
          </w:tcPr>
          <w:p w14:paraId="4EFD1633">
            <w:pPr>
              <w:jc w:val="center"/>
              <w:rPr>
                <w:rFonts w:hint="eastAsia" w:ascii="宋体" w:hAnsi="宋体" w:cs="宋体"/>
                <w:color w:val="000000" w:themeColor="text1"/>
                <w:sz w:val="24"/>
                <w14:textFill>
                  <w14:solidFill>
                    <w14:schemeClr w14:val="tx1"/>
                  </w14:solidFill>
                </w14:textFill>
              </w:rPr>
            </w:pPr>
          </w:p>
        </w:tc>
        <w:tc>
          <w:tcPr>
            <w:tcW w:w="3108" w:type="pct"/>
            <w:tcBorders>
              <w:top w:val="nil"/>
              <w:left w:val="nil"/>
              <w:bottom w:val="single" w:color="000000" w:sz="8" w:space="0"/>
              <w:right w:val="single" w:color="000000" w:sz="8" w:space="0"/>
            </w:tcBorders>
            <w:shd w:val="clear" w:color="auto" w:fill="auto"/>
            <w:vAlign w:val="center"/>
          </w:tcPr>
          <w:p w14:paraId="5E49856E">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按照一单位一平台的建设要求，完成统一用户管理的对接、消息对接、待办对接、以及应用第一层UI风格与平台保持一致。</w:t>
            </w:r>
          </w:p>
        </w:tc>
      </w:tr>
      <w:tr w14:paraId="47B1601D">
        <w:tblPrEx>
          <w:tblCellMar>
            <w:top w:w="0" w:type="dxa"/>
            <w:left w:w="108" w:type="dxa"/>
            <w:bottom w:w="0" w:type="dxa"/>
            <w:right w:w="108" w:type="dxa"/>
          </w:tblCellMar>
        </w:tblPrEx>
        <w:trPr>
          <w:trHeight w:val="2511" w:hRule="atLeast"/>
        </w:trPr>
        <w:tc>
          <w:tcPr>
            <w:tcW w:w="472" w:type="pct"/>
            <w:tcBorders>
              <w:top w:val="nil"/>
              <w:left w:val="single" w:color="000000" w:sz="8" w:space="0"/>
              <w:bottom w:val="single" w:color="000000" w:sz="8" w:space="0"/>
              <w:right w:val="single" w:color="000000" w:sz="8" w:space="0"/>
            </w:tcBorders>
            <w:shd w:val="clear" w:color="auto" w:fill="auto"/>
            <w:noWrap/>
            <w:vAlign w:val="center"/>
          </w:tcPr>
          <w:p w14:paraId="5DC2A572">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w:t>
            </w:r>
          </w:p>
        </w:tc>
        <w:tc>
          <w:tcPr>
            <w:tcW w:w="472" w:type="pct"/>
            <w:vMerge w:val="restart"/>
            <w:tcBorders>
              <w:top w:val="nil"/>
              <w:left w:val="nil"/>
              <w:bottom w:val="single" w:color="000000" w:sz="8" w:space="0"/>
              <w:right w:val="single" w:color="000000" w:sz="8" w:space="0"/>
            </w:tcBorders>
            <w:shd w:val="clear" w:color="auto" w:fill="auto"/>
            <w:vAlign w:val="center"/>
          </w:tcPr>
          <w:p w14:paraId="0F5201F9">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执法检查、听取审议专项报告系统</w:t>
            </w:r>
          </w:p>
        </w:tc>
        <w:tc>
          <w:tcPr>
            <w:tcW w:w="945" w:type="pct"/>
            <w:gridSpan w:val="2"/>
            <w:tcBorders>
              <w:top w:val="nil"/>
              <w:left w:val="nil"/>
              <w:bottom w:val="single" w:color="000000" w:sz="8" w:space="0"/>
              <w:right w:val="single" w:color="000000" w:sz="8" w:space="0"/>
            </w:tcBorders>
            <w:shd w:val="clear" w:color="auto" w:fill="auto"/>
            <w:vAlign w:val="center"/>
          </w:tcPr>
          <w:p w14:paraId="58227516">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数据库适配</w:t>
            </w:r>
          </w:p>
        </w:tc>
        <w:tc>
          <w:tcPr>
            <w:tcW w:w="3108" w:type="pct"/>
            <w:tcBorders>
              <w:top w:val="single" w:color="000000" w:sz="8" w:space="0"/>
              <w:left w:val="nil"/>
              <w:bottom w:val="single" w:color="000000" w:sz="8" w:space="0"/>
              <w:right w:val="single" w:color="000000" w:sz="8" w:space="0"/>
            </w:tcBorders>
            <w:shd w:val="clear" w:color="auto" w:fill="auto"/>
            <w:vAlign w:val="center"/>
          </w:tcPr>
          <w:p w14:paraId="3CF2BFB5">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执法检查、听取审议专项报告系统采用的有mysql(mariadb)数据库，因此将从数据类型、SQL语句、客户端SQL交互工具等进行适配操作，使平台的数据源对接、数据管理、表转服务等功能支持适配。</w:t>
            </w:r>
          </w:p>
        </w:tc>
      </w:tr>
      <w:tr w14:paraId="4EA49653">
        <w:tblPrEx>
          <w:tblCellMar>
            <w:top w:w="0" w:type="dxa"/>
            <w:left w:w="108" w:type="dxa"/>
            <w:bottom w:w="0" w:type="dxa"/>
            <w:right w:w="108" w:type="dxa"/>
          </w:tblCellMar>
        </w:tblPrEx>
        <w:trPr>
          <w:trHeight w:val="951" w:hRule="atLeast"/>
        </w:trPr>
        <w:tc>
          <w:tcPr>
            <w:tcW w:w="472" w:type="pct"/>
            <w:tcBorders>
              <w:top w:val="nil"/>
              <w:left w:val="single" w:color="000000" w:sz="8" w:space="0"/>
              <w:bottom w:val="single" w:color="000000" w:sz="8" w:space="0"/>
              <w:right w:val="single" w:color="000000" w:sz="8" w:space="0"/>
            </w:tcBorders>
            <w:shd w:val="clear" w:color="auto" w:fill="auto"/>
            <w:noWrap/>
            <w:vAlign w:val="center"/>
          </w:tcPr>
          <w:p w14:paraId="7AC11ECF">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w:t>
            </w:r>
          </w:p>
        </w:tc>
        <w:tc>
          <w:tcPr>
            <w:tcW w:w="472" w:type="pct"/>
            <w:vMerge w:val="continue"/>
            <w:tcBorders>
              <w:top w:val="nil"/>
              <w:left w:val="nil"/>
              <w:bottom w:val="single" w:color="000000" w:sz="8" w:space="0"/>
              <w:right w:val="single" w:color="000000" w:sz="8" w:space="0"/>
            </w:tcBorders>
            <w:shd w:val="clear" w:color="auto" w:fill="auto"/>
            <w:vAlign w:val="center"/>
          </w:tcPr>
          <w:p w14:paraId="5DC7E914">
            <w:pPr>
              <w:jc w:val="center"/>
              <w:rPr>
                <w:rFonts w:hint="eastAsia" w:ascii="宋体" w:hAnsi="宋体" w:cs="宋体"/>
                <w:color w:val="000000" w:themeColor="text1"/>
                <w:sz w:val="24"/>
                <w14:textFill>
                  <w14:solidFill>
                    <w14:schemeClr w14:val="tx1"/>
                  </w14:solidFill>
                </w14:textFill>
              </w:rPr>
            </w:pPr>
          </w:p>
        </w:tc>
        <w:tc>
          <w:tcPr>
            <w:tcW w:w="945" w:type="pct"/>
            <w:gridSpan w:val="2"/>
            <w:tcBorders>
              <w:top w:val="nil"/>
              <w:left w:val="nil"/>
              <w:bottom w:val="single" w:color="000000" w:sz="8" w:space="0"/>
              <w:right w:val="single" w:color="000000" w:sz="8" w:space="0"/>
            </w:tcBorders>
            <w:shd w:val="clear" w:color="auto" w:fill="auto"/>
            <w:vAlign w:val="center"/>
          </w:tcPr>
          <w:p w14:paraId="59458419">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中间件适配</w:t>
            </w:r>
          </w:p>
        </w:tc>
        <w:tc>
          <w:tcPr>
            <w:tcW w:w="3108" w:type="pct"/>
            <w:tcBorders>
              <w:top w:val="nil"/>
              <w:left w:val="nil"/>
              <w:bottom w:val="single" w:color="000000" w:sz="8" w:space="0"/>
              <w:right w:val="single" w:color="000000" w:sz="8" w:space="0"/>
            </w:tcBorders>
            <w:shd w:val="clear" w:color="auto" w:fill="auto"/>
            <w:vAlign w:val="center"/>
          </w:tcPr>
          <w:p w14:paraId="5AE99922">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将原先使用的web应用服务器迁移至国产化中间件上，如东方通应用服务器软件、中创应用服务器软件等。</w:t>
            </w:r>
          </w:p>
        </w:tc>
      </w:tr>
      <w:tr w14:paraId="73F3E477">
        <w:tblPrEx>
          <w:tblCellMar>
            <w:top w:w="0" w:type="dxa"/>
            <w:left w:w="108" w:type="dxa"/>
            <w:bottom w:w="0" w:type="dxa"/>
            <w:right w:w="108" w:type="dxa"/>
          </w:tblCellMar>
        </w:tblPrEx>
        <w:trPr>
          <w:trHeight w:val="2511" w:hRule="atLeast"/>
        </w:trPr>
        <w:tc>
          <w:tcPr>
            <w:tcW w:w="472" w:type="pct"/>
            <w:tcBorders>
              <w:top w:val="nil"/>
              <w:left w:val="single" w:color="000000" w:sz="8" w:space="0"/>
              <w:bottom w:val="single" w:color="000000" w:sz="8" w:space="0"/>
              <w:right w:val="single" w:color="000000" w:sz="8" w:space="0"/>
            </w:tcBorders>
            <w:shd w:val="clear" w:color="auto" w:fill="auto"/>
            <w:noWrap/>
            <w:vAlign w:val="center"/>
          </w:tcPr>
          <w:p w14:paraId="1B27DA5A">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w:t>
            </w:r>
          </w:p>
        </w:tc>
        <w:tc>
          <w:tcPr>
            <w:tcW w:w="472" w:type="pct"/>
            <w:vMerge w:val="continue"/>
            <w:tcBorders>
              <w:top w:val="nil"/>
              <w:left w:val="nil"/>
              <w:bottom w:val="single" w:color="000000" w:sz="8" w:space="0"/>
              <w:right w:val="single" w:color="000000" w:sz="8" w:space="0"/>
            </w:tcBorders>
            <w:shd w:val="clear" w:color="auto" w:fill="auto"/>
            <w:vAlign w:val="center"/>
          </w:tcPr>
          <w:p w14:paraId="62F06D42">
            <w:pPr>
              <w:jc w:val="center"/>
              <w:rPr>
                <w:rFonts w:hint="eastAsia" w:ascii="宋体" w:hAnsi="宋体" w:cs="宋体"/>
                <w:color w:val="000000" w:themeColor="text1"/>
                <w:sz w:val="24"/>
                <w14:textFill>
                  <w14:solidFill>
                    <w14:schemeClr w14:val="tx1"/>
                  </w14:solidFill>
                </w14:textFill>
              </w:rPr>
            </w:pPr>
          </w:p>
        </w:tc>
        <w:tc>
          <w:tcPr>
            <w:tcW w:w="945" w:type="pct"/>
            <w:gridSpan w:val="2"/>
            <w:tcBorders>
              <w:top w:val="nil"/>
              <w:left w:val="nil"/>
              <w:bottom w:val="single" w:color="000000" w:sz="8" w:space="0"/>
              <w:right w:val="single" w:color="000000" w:sz="8" w:space="0"/>
            </w:tcBorders>
            <w:shd w:val="clear" w:color="auto" w:fill="auto"/>
            <w:vAlign w:val="center"/>
          </w:tcPr>
          <w:p w14:paraId="3C9C7084">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操作系统适配</w:t>
            </w:r>
          </w:p>
        </w:tc>
        <w:tc>
          <w:tcPr>
            <w:tcW w:w="3108" w:type="pct"/>
            <w:tcBorders>
              <w:top w:val="nil"/>
              <w:left w:val="nil"/>
              <w:bottom w:val="single" w:color="000000" w:sz="8" w:space="0"/>
              <w:right w:val="single" w:color="000000" w:sz="8" w:space="0"/>
            </w:tcBorders>
            <w:shd w:val="clear" w:color="auto" w:fill="auto"/>
            <w:vAlign w:val="center"/>
          </w:tcPr>
          <w:p w14:paraId="5895553D">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执法检查、听取审议专项报告系统操作界面主要是浏览器，因此需将前端页面向国产化操作系统浏览器进行兼容性适配。保障前端页面正常显示，操作正常响应。</w:t>
            </w:r>
          </w:p>
        </w:tc>
      </w:tr>
      <w:tr w14:paraId="76A13644">
        <w:tblPrEx>
          <w:tblCellMar>
            <w:top w:w="0" w:type="dxa"/>
            <w:left w:w="108" w:type="dxa"/>
            <w:bottom w:w="0" w:type="dxa"/>
            <w:right w:w="108" w:type="dxa"/>
          </w:tblCellMar>
        </w:tblPrEx>
        <w:trPr>
          <w:trHeight w:val="951" w:hRule="atLeast"/>
        </w:trPr>
        <w:tc>
          <w:tcPr>
            <w:tcW w:w="472" w:type="pct"/>
            <w:tcBorders>
              <w:top w:val="nil"/>
              <w:left w:val="single" w:color="000000" w:sz="8" w:space="0"/>
              <w:bottom w:val="single" w:color="000000" w:sz="8" w:space="0"/>
              <w:right w:val="single" w:color="000000" w:sz="8" w:space="0"/>
            </w:tcBorders>
            <w:shd w:val="clear" w:color="auto" w:fill="auto"/>
            <w:noWrap/>
            <w:vAlign w:val="center"/>
          </w:tcPr>
          <w:p w14:paraId="6E90AB3B">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w:t>
            </w:r>
          </w:p>
        </w:tc>
        <w:tc>
          <w:tcPr>
            <w:tcW w:w="472" w:type="pct"/>
            <w:vMerge w:val="continue"/>
            <w:tcBorders>
              <w:top w:val="nil"/>
              <w:left w:val="nil"/>
              <w:bottom w:val="single" w:color="000000" w:sz="8" w:space="0"/>
              <w:right w:val="single" w:color="000000" w:sz="8" w:space="0"/>
            </w:tcBorders>
            <w:shd w:val="clear" w:color="auto" w:fill="auto"/>
            <w:vAlign w:val="center"/>
          </w:tcPr>
          <w:p w14:paraId="3F05D5F8">
            <w:pPr>
              <w:jc w:val="center"/>
              <w:rPr>
                <w:rFonts w:hint="eastAsia" w:ascii="宋体" w:hAnsi="宋体" w:cs="宋体"/>
                <w:color w:val="000000" w:themeColor="text1"/>
                <w:sz w:val="24"/>
                <w14:textFill>
                  <w14:solidFill>
                    <w14:schemeClr w14:val="tx1"/>
                  </w14:solidFill>
                </w14:textFill>
              </w:rPr>
            </w:pPr>
          </w:p>
        </w:tc>
        <w:tc>
          <w:tcPr>
            <w:tcW w:w="945" w:type="pct"/>
            <w:gridSpan w:val="2"/>
            <w:tcBorders>
              <w:top w:val="nil"/>
              <w:left w:val="nil"/>
              <w:bottom w:val="single" w:color="000000" w:sz="8" w:space="0"/>
              <w:right w:val="single" w:color="000000" w:sz="8" w:space="0"/>
            </w:tcBorders>
            <w:shd w:val="clear" w:color="auto" w:fill="auto"/>
            <w:vAlign w:val="center"/>
          </w:tcPr>
          <w:p w14:paraId="5DEE5559">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安全工作</w:t>
            </w:r>
          </w:p>
        </w:tc>
        <w:tc>
          <w:tcPr>
            <w:tcW w:w="3108" w:type="pct"/>
            <w:tcBorders>
              <w:top w:val="nil"/>
              <w:left w:val="nil"/>
              <w:bottom w:val="single" w:color="000000" w:sz="8" w:space="0"/>
              <w:right w:val="single" w:color="000000" w:sz="8" w:space="0"/>
            </w:tcBorders>
            <w:shd w:val="clear" w:color="auto" w:fill="auto"/>
            <w:vAlign w:val="center"/>
          </w:tcPr>
          <w:p w14:paraId="1B4D1166">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完成密码测评、密码方案评审、密码应用服务、渗透测试等保二级测评、信创测评等相关工作。</w:t>
            </w:r>
          </w:p>
        </w:tc>
      </w:tr>
      <w:tr w14:paraId="62BE30C8">
        <w:tblPrEx>
          <w:tblCellMar>
            <w:top w:w="0" w:type="dxa"/>
            <w:left w:w="108" w:type="dxa"/>
            <w:bottom w:w="0" w:type="dxa"/>
            <w:right w:w="108" w:type="dxa"/>
          </w:tblCellMar>
        </w:tblPrEx>
        <w:trPr>
          <w:trHeight w:val="2823" w:hRule="atLeast"/>
        </w:trPr>
        <w:tc>
          <w:tcPr>
            <w:tcW w:w="472" w:type="pct"/>
            <w:tcBorders>
              <w:top w:val="nil"/>
              <w:left w:val="single" w:color="000000" w:sz="8" w:space="0"/>
              <w:bottom w:val="single" w:color="000000" w:sz="8" w:space="0"/>
              <w:right w:val="single" w:color="000000" w:sz="8" w:space="0"/>
            </w:tcBorders>
            <w:shd w:val="clear" w:color="auto" w:fill="auto"/>
            <w:noWrap/>
            <w:vAlign w:val="center"/>
          </w:tcPr>
          <w:p w14:paraId="21ABC218">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7</w:t>
            </w:r>
          </w:p>
        </w:tc>
        <w:tc>
          <w:tcPr>
            <w:tcW w:w="472" w:type="pct"/>
            <w:vMerge w:val="continue"/>
            <w:tcBorders>
              <w:top w:val="nil"/>
              <w:left w:val="nil"/>
              <w:bottom w:val="single" w:color="000000" w:sz="8" w:space="0"/>
              <w:right w:val="single" w:color="000000" w:sz="8" w:space="0"/>
            </w:tcBorders>
            <w:shd w:val="clear" w:color="auto" w:fill="auto"/>
            <w:vAlign w:val="center"/>
          </w:tcPr>
          <w:p w14:paraId="5541E211">
            <w:pPr>
              <w:jc w:val="center"/>
              <w:rPr>
                <w:rFonts w:hint="eastAsia" w:ascii="宋体" w:hAnsi="宋体" w:cs="宋体"/>
                <w:color w:val="000000" w:themeColor="text1"/>
                <w:sz w:val="24"/>
                <w14:textFill>
                  <w14:solidFill>
                    <w14:schemeClr w14:val="tx1"/>
                  </w14:solidFill>
                </w14:textFill>
              </w:rPr>
            </w:pPr>
          </w:p>
        </w:tc>
        <w:tc>
          <w:tcPr>
            <w:tcW w:w="472" w:type="pct"/>
            <w:vMerge w:val="restart"/>
            <w:tcBorders>
              <w:top w:val="nil"/>
              <w:left w:val="nil"/>
              <w:bottom w:val="single" w:color="000000" w:sz="8" w:space="0"/>
              <w:right w:val="single" w:color="000000" w:sz="8" w:space="0"/>
            </w:tcBorders>
            <w:shd w:val="clear" w:color="auto" w:fill="auto"/>
            <w:vAlign w:val="center"/>
          </w:tcPr>
          <w:p w14:paraId="5B8A8DBA">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议题确认</w:t>
            </w:r>
          </w:p>
        </w:tc>
        <w:tc>
          <w:tcPr>
            <w:tcW w:w="472" w:type="pct"/>
            <w:tcBorders>
              <w:top w:val="nil"/>
              <w:left w:val="nil"/>
              <w:bottom w:val="single" w:color="000000" w:sz="8" w:space="0"/>
              <w:right w:val="single" w:color="000000" w:sz="8" w:space="0"/>
            </w:tcBorders>
            <w:shd w:val="clear" w:color="auto" w:fill="auto"/>
            <w:vAlign w:val="center"/>
          </w:tcPr>
          <w:p w14:paraId="6D6BF375">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议题来源</w:t>
            </w:r>
          </w:p>
        </w:tc>
        <w:tc>
          <w:tcPr>
            <w:tcW w:w="3108" w:type="pct"/>
            <w:vMerge w:val="restart"/>
            <w:tcBorders>
              <w:top w:val="single" w:color="000000" w:sz="8" w:space="0"/>
              <w:left w:val="nil"/>
              <w:bottom w:val="single" w:color="000000" w:sz="8" w:space="0"/>
              <w:right w:val="single" w:color="000000" w:sz="8" w:space="0"/>
            </w:tcBorders>
            <w:shd w:val="clear" w:color="auto" w:fill="auto"/>
            <w:vAlign w:val="center"/>
          </w:tcPr>
          <w:p w14:paraId="6167B601">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导入监督议题及议题相关信息</w:t>
            </w:r>
          </w:p>
        </w:tc>
      </w:tr>
      <w:tr w14:paraId="260C61A2">
        <w:tblPrEx>
          <w:tblCellMar>
            <w:top w:w="0" w:type="dxa"/>
            <w:left w:w="108" w:type="dxa"/>
            <w:bottom w:w="0" w:type="dxa"/>
            <w:right w:w="108" w:type="dxa"/>
          </w:tblCellMar>
        </w:tblPrEx>
        <w:trPr>
          <w:trHeight w:val="951" w:hRule="atLeast"/>
        </w:trPr>
        <w:tc>
          <w:tcPr>
            <w:tcW w:w="472" w:type="pct"/>
            <w:tcBorders>
              <w:top w:val="nil"/>
              <w:left w:val="single" w:color="000000" w:sz="8" w:space="0"/>
              <w:bottom w:val="single" w:color="000000" w:sz="8" w:space="0"/>
              <w:right w:val="single" w:color="000000" w:sz="8" w:space="0"/>
            </w:tcBorders>
            <w:shd w:val="clear" w:color="auto" w:fill="auto"/>
            <w:noWrap/>
            <w:vAlign w:val="center"/>
          </w:tcPr>
          <w:p w14:paraId="3562627E">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8</w:t>
            </w:r>
          </w:p>
        </w:tc>
        <w:tc>
          <w:tcPr>
            <w:tcW w:w="472" w:type="pct"/>
            <w:vMerge w:val="continue"/>
            <w:tcBorders>
              <w:top w:val="nil"/>
              <w:left w:val="nil"/>
              <w:bottom w:val="single" w:color="000000" w:sz="8" w:space="0"/>
              <w:right w:val="single" w:color="000000" w:sz="8" w:space="0"/>
            </w:tcBorders>
            <w:shd w:val="clear" w:color="auto" w:fill="auto"/>
            <w:vAlign w:val="center"/>
          </w:tcPr>
          <w:p w14:paraId="1A693C97">
            <w:pPr>
              <w:jc w:val="center"/>
              <w:rPr>
                <w:rFonts w:hint="eastAsia" w:ascii="宋体" w:hAnsi="宋体" w:cs="宋体"/>
                <w:color w:val="000000" w:themeColor="text1"/>
                <w:sz w:val="24"/>
                <w14:textFill>
                  <w14:solidFill>
                    <w14:schemeClr w14:val="tx1"/>
                  </w14:solidFill>
                </w14:textFill>
              </w:rPr>
            </w:pPr>
          </w:p>
        </w:tc>
        <w:tc>
          <w:tcPr>
            <w:tcW w:w="472" w:type="pct"/>
            <w:vMerge w:val="continue"/>
            <w:tcBorders>
              <w:top w:val="nil"/>
              <w:left w:val="nil"/>
              <w:bottom w:val="single" w:color="000000" w:sz="8" w:space="0"/>
              <w:right w:val="single" w:color="000000" w:sz="8" w:space="0"/>
            </w:tcBorders>
            <w:shd w:val="clear" w:color="auto" w:fill="auto"/>
            <w:vAlign w:val="center"/>
          </w:tcPr>
          <w:p w14:paraId="524624E7">
            <w:pPr>
              <w:jc w:val="left"/>
              <w:rPr>
                <w:rFonts w:hint="eastAsia" w:ascii="宋体" w:hAnsi="宋体" w:cs="宋体"/>
                <w:color w:val="000000" w:themeColor="text1"/>
                <w:sz w:val="24"/>
                <w14:textFill>
                  <w14:solidFill>
                    <w14:schemeClr w14:val="tx1"/>
                  </w14:solidFill>
                </w14:textFill>
              </w:rPr>
            </w:pPr>
          </w:p>
        </w:tc>
        <w:tc>
          <w:tcPr>
            <w:tcW w:w="472" w:type="pct"/>
            <w:tcBorders>
              <w:top w:val="nil"/>
              <w:left w:val="nil"/>
              <w:bottom w:val="single" w:color="000000" w:sz="8" w:space="0"/>
              <w:right w:val="single" w:color="000000" w:sz="8" w:space="0"/>
            </w:tcBorders>
            <w:shd w:val="clear" w:color="auto" w:fill="auto"/>
            <w:vAlign w:val="center"/>
          </w:tcPr>
          <w:p w14:paraId="680286A9">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专工委梳理提出建议</w:t>
            </w:r>
          </w:p>
        </w:tc>
        <w:tc>
          <w:tcPr>
            <w:tcW w:w="3108" w:type="pct"/>
            <w:vMerge w:val="continue"/>
            <w:tcBorders>
              <w:top w:val="single" w:color="000000" w:sz="8" w:space="0"/>
              <w:left w:val="nil"/>
              <w:bottom w:val="single" w:color="000000" w:sz="8" w:space="0"/>
              <w:right w:val="single" w:color="000000" w:sz="8" w:space="0"/>
            </w:tcBorders>
            <w:shd w:val="clear" w:color="auto" w:fill="auto"/>
            <w:vAlign w:val="center"/>
          </w:tcPr>
          <w:p w14:paraId="43F4EBF1">
            <w:pPr>
              <w:jc w:val="left"/>
              <w:rPr>
                <w:rFonts w:hint="eastAsia" w:ascii="宋体" w:hAnsi="宋体" w:cs="宋体"/>
                <w:color w:val="000000" w:themeColor="text1"/>
                <w:sz w:val="24"/>
                <w14:textFill>
                  <w14:solidFill>
                    <w14:schemeClr w14:val="tx1"/>
                  </w14:solidFill>
                </w14:textFill>
              </w:rPr>
            </w:pPr>
          </w:p>
        </w:tc>
      </w:tr>
      <w:tr w14:paraId="19554F2F">
        <w:tblPrEx>
          <w:tblCellMar>
            <w:top w:w="0" w:type="dxa"/>
            <w:left w:w="108" w:type="dxa"/>
            <w:bottom w:w="0" w:type="dxa"/>
            <w:right w:w="108" w:type="dxa"/>
          </w:tblCellMar>
        </w:tblPrEx>
        <w:trPr>
          <w:trHeight w:val="1887" w:hRule="atLeast"/>
        </w:trPr>
        <w:tc>
          <w:tcPr>
            <w:tcW w:w="472" w:type="pct"/>
            <w:tcBorders>
              <w:top w:val="nil"/>
              <w:left w:val="single" w:color="000000" w:sz="8" w:space="0"/>
              <w:bottom w:val="single" w:color="000000" w:sz="8" w:space="0"/>
              <w:right w:val="single" w:color="000000" w:sz="8" w:space="0"/>
            </w:tcBorders>
            <w:shd w:val="clear" w:color="auto" w:fill="auto"/>
            <w:noWrap/>
            <w:vAlign w:val="center"/>
          </w:tcPr>
          <w:p w14:paraId="440A389A">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9</w:t>
            </w:r>
          </w:p>
        </w:tc>
        <w:tc>
          <w:tcPr>
            <w:tcW w:w="472" w:type="pct"/>
            <w:vMerge w:val="continue"/>
            <w:tcBorders>
              <w:top w:val="nil"/>
              <w:left w:val="nil"/>
              <w:bottom w:val="single" w:color="000000" w:sz="8" w:space="0"/>
              <w:right w:val="single" w:color="000000" w:sz="8" w:space="0"/>
            </w:tcBorders>
            <w:shd w:val="clear" w:color="auto" w:fill="auto"/>
            <w:vAlign w:val="center"/>
          </w:tcPr>
          <w:p w14:paraId="572A40FD">
            <w:pPr>
              <w:jc w:val="center"/>
              <w:rPr>
                <w:rFonts w:hint="eastAsia" w:ascii="宋体" w:hAnsi="宋体" w:cs="宋体"/>
                <w:color w:val="000000" w:themeColor="text1"/>
                <w:sz w:val="24"/>
                <w14:textFill>
                  <w14:solidFill>
                    <w14:schemeClr w14:val="tx1"/>
                  </w14:solidFill>
                </w14:textFill>
              </w:rPr>
            </w:pPr>
          </w:p>
        </w:tc>
        <w:tc>
          <w:tcPr>
            <w:tcW w:w="472" w:type="pct"/>
            <w:vMerge w:val="continue"/>
            <w:tcBorders>
              <w:top w:val="nil"/>
              <w:left w:val="nil"/>
              <w:bottom w:val="single" w:color="000000" w:sz="8" w:space="0"/>
              <w:right w:val="single" w:color="000000" w:sz="8" w:space="0"/>
            </w:tcBorders>
            <w:shd w:val="clear" w:color="auto" w:fill="auto"/>
            <w:vAlign w:val="center"/>
          </w:tcPr>
          <w:p w14:paraId="0B0C09F9">
            <w:pPr>
              <w:jc w:val="left"/>
              <w:rPr>
                <w:rFonts w:hint="eastAsia" w:ascii="宋体" w:hAnsi="宋体" w:cs="宋体"/>
                <w:color w:val="000000" w:themeColor="text1"/>
                <w:sz w:val="24"/>
                <w14:textFill>
                  <w14:solidFill>
                    <w14:schemeClr w14:val="tx1"/>
                  </w14:solidFill>
                </w14:textFill>
              </w:rPr>
            </w:pPr>
          </w:p>
        </w:tc>
        <w:tc>
          <w:tcPr>
            <w:tcW w:w="472" w:type="pct"/>
            <w:tcBorders>
              <w:top w:val="nil"/>
              <w:left w:val="nil"/>
              <w:bottom w:val="single" w:color="000000" w:sz="8" w:space="0"/>
              <w:right w:val="single" w:color="000000" w:sz="8" w:space="0"/>
            </w:tcBorders>
            <w:shd w:val="clear" w:color="auto" w:fill="auto"/>
            <w:vAlign w:val="center"/>
          </w:tcPr>
          <w:p w14:paraId="67E743B0">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主任会议通过</w:t>
            </w:r>
          </w:p>
        </w:tc>
        <w:tc>
          <w:tcPr>
            <w:tcW w:w="3108" w:type="pct"/>
            <w:vMerge w:val="continue"/>
            <w:tcBorders>
              <w:top w:val="single" w:color="000000" w:sz="8" w:space="0"/>
              <w:left w:val="nil"/>
              <w:bottom w:val="single" w:color="000000" w:sz="8" w:space="0"/>
              <w:right w:val="single" w:color="000000" w:sz="8" w:space="0"/>
            </w:tcBorders>
            <w:shd w:val="clear" w:color="auto" w:fill="auto"/>
            <w:vAlign w:val="center"/>
          </w:tcPr>
          <w:p w14:paraId="2E1C938D">
            <w:pPr>
              <w:jc w:val="left"/>
              <w:rPr>
                <w:rFonts w:hint="eastAsia" w:ascii="宋体" w:hAnsi="宋体" w:cs="宋体"/>
                <w:color w:val="000000" w:themeColor="text1"/>
                <w:sz w:val="24"/>
                <w14:textFill>
                  <w14:solidFill>
                    <w14:schemeClr w14:val="tx1"/>
                  </w14:solidFill>
                </w14:textFill>
              </w:rPr>
            </w:pPr>
          </w:p>
        </w:tc>
      </w:tr>
      <w:tr w14:paraId="1205C52A">
        <w:tblPrEx>
          <w:tblCellMar>
            <w:top w:w="0" w:type="dxa"/>
            <w:left w:w="108" w:type="dxa"/>
            <w:bottom w:w="0" w:type="dxa"/>
            <w:right w:w="108" w:type="dxa"/>
          </w:tblCellMar>
        </w:tblPrEx>
        <w:trPr>
          <w:trHeight w:val="951" w:hRule="atLeast"/>
        </w:trPr>
        <w:tc>
          <w:tcPr>
            <w:tcW w:w="472" w:type="pct"/>
            <w:tcBorders>
              <w:top w:val="nil"/>
              <w:left w:val="single" w:color="000000" w:sz="8" w:space="0"/>
              <w:bottom w:val="single" w:color="000000" w:sz="8" w:space="0"/>
              <w:right w:val="single" w:color="000000" w:sz="8" w:space="0"/>
            </w:tcBorders>
            <w:shd w:val="clear" w:color="auto" w:fill="auto"/>
            <w:noWrap/>
            <w:vAlign w:val="center"/>
          </w:tcPr>
          <w:p w14:paraId="78CB7212">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10</w:t>
            </w:r>
          </w:p>
        </w:tc>
        <w:tc>
          <w:tcPr>
            <w:tcW w:w="472" w:type="pct"/>
            <w:vMerge w:val="continue"/>
            <w:tcBorders>
              <w:top w:val="nil"/>
              <w:left w:val="nil"/>
              <w:bottom w:val="single" w:color="000000" w:sz="8" w:space="0"/>
              <w:right w:val="single" w:color="000000" w:sz="8" w:space="0"/>
            </w:tcBorders>
            <w:shd w:val="clear" w:color="auto" w:fill="auto"/>
            <w:vAlign w:val="center"/>
          </w:tcPr>
          <w:p w14:paraId="2FE41EFE">
            <w:pPr>
              <w:jc w:val="center"/>
              <w:rPr>
                <w:rFonts w:hint="eastAsia" w:ascii="宋体" w:hAnsi="宋体" w:cs="宋体"/>
                <w:color w:val="000000" w:themeColor="text1"/>
                <w:sz w:val="24"/>
                <w14:textFill>
                  <w14:solidFill>
                    <w14:schemeClr w14:val="tx1"/>
                  </w14:solidFill>
                </w14:textFill>
              </w:rPr>
            </w:pPr>
          </w:p>
        </w:tc>
        <w:tc>
          <w:tcPr>
            <w:tcW w:w="472" w:type="pct"/>
            <w:vMerge w:val="continue"/>
            <w:tcBorders>
              <w:top w:val="nil"/>
              <w:left w:val="nil"/>
              <w:bottom w:val="single" w:color="000000" w:sz="8" w:space="0"/>
              <w:right w:val="single" w:color="000000" w:sz="8" w:space="0"/>
            </w:tcBorders>
            <w:shd w:val="clear" w:color="auto" w:fill="auto"/>
            <w:vAlign w:val="center"/>
          </w:tcPr>
          <w:p w14:paraId="5D85B2E4">
            <w:pPr>
              <w:jc w:val="left"/>
              <w:rPr>
                <w:rFonts w:hint="eastAsia" w:ascii="宋体" w:hAnsi="宋体" w:cs="宋体"/>
                <w:color w:val="000000" w:themeColor="text1"/>
                <w:sz w:val="24"/>
                <w14:textFill>
                  <w14:solidFill>
                    <w14:schemeClr w14:val="tx1"/>
                  </w14:solidFill>
                </w14:textFill>
              </w:rPr>
            </w:pPr>
          </w:p>
        </w:tc>
        <w:tc>
          <w:tcPr>
            <w:tcW w:w="472" w:type="pct"/>
            <w:tcBorders>
              <w:top w:val="nil"/>
              <w:left w:val="nil"/>
              <w:bottom w:val="single" w:color="000000" w:sz="8" w:space="0"/>
              <w:right w:val="single" w:color="000000" w:sz="8" w:space="0"/>
            </w:tcBorders>
            <w:shd w:val="clear" w:color="auto" w:fill="auto"/>
            <w:vAlign w:val="center"/>
          </w:tcPr>
          <w:p w14:paraId="6D2CACA4">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列入计划并公布</w:t>
            </w:r>
          </w:p>
        </w:tc>
        <w:tc>
          <w:tcPr>
            <w:tcW w:w="3108" w:type="pct"/>
            <w:vMerge w:val="continue"/>
            <w:tcBorders>
              <w:top w:val="single" w:color="000000" w:sz="8" w:space="0"/>
              <w:left w:val="nil"/>
              <w:bottom w:val="single" w:color="000000" w:sz="8" w:space="0"/>
              <w:right w:val="single" w:color="000000" w:sz="8" w:space="0"/>
            </w:tcBorders>
            <w:shd w:val="clear" w:color="auto" w:fill="auto"/>
            <w:vAlign w:val="center"/>
          </w:tcPr>
          <w:p w14:paraId="65E80B48">
            <w:pPr>
              <w:jc w:val="left"/>
              <w:rPr>
                <w:rFonts w:hint="eastAsia" w:ascii="宋体" w:hAnsi="宋体" w:cs="宋体"/>
                <w:color w:val="000000" w:themeColor="text1"/>
                <w:sz w:val="24"/>
                <w14:textFill>
                  <w14:solidFill>
                    <w14:schemeClr w14:val="tx1"/>
                  </w14:solidFill>
                </w14:textFill>
              </w:rPr>
            </w:pPr>
          </w:p>
        </w:tc>
      </w:tr>
      <w:tr w14:paraId="60B16603">
        <w:tblPrEx>
          <w:tblCellMar>
            <w:top w:w="0" w:type="dxa"/>
            <w:left w:w="108" w:type="dxa"/>
            <w:bottom w:w="0" w:type="dxa"/>
            <w:right w:w="108" w:type="dxa"/>
          </w:tblCellMar>
        </w:tblPrEx>
        <w:trPr>
          <w:trHeight w:val="1263" w:hRule="atLeast"/>
        </w:trPr>
        <w:tc>
          <w:tcPr>
            <w:tcW w:w="472" w:type="pct"/>
            <w:tcBorders>
              <w:top w:val="nil"/>
              <w:left w:val="single" w:color="000000" w:sz="8" w:space="0"/>
              <w:bottom w:val="single" w:color="000000" w:sz="8" w:space="0"/>
              <w:right w:val="single" w:color="000000" w:sz="8" w:space="0"/>
            </w:tcBorders>
            <w:shd w:val="clear" w:color="auto" w:fill="auto"/>
            <w:noWrap/>
            <w:vAlign w:val="center"/>
          </w:tcPr>
          <w:p w14:paraId="0269A757">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11</w:t>
            </w:r>
          </w:p>
        </w:tc>
        <w:tc>
          <w:tcPr>
            <w:tcW w:w="472" w:type="pct"/>
            <w:vMerge w:val="continue"/>
            <w:tcBorders>
              <w:top w:val="nil"/>
              <w:left w:val="nil"/>
              <w:bottom w:val="single" w:color="000000" w:sz="8" w:space="0"/>
              <w:right w:val="single" w:color="000000" w:sz="8" w:space="0"/>
            </w:tcBorders>
            <w:shd w:val="clear" w:color="auto" w:fill="auto"/>
            <w:vAlign w:val="center"/>
          </w:tcPr>
          <w:p w14:paraId="2A45683C">
            <w:pPr>
              <w:jc w:val="center"/>
              <w:rPr>
                <w:rFonts w:hint="eastAsia" w:ascii="宋体" w:hAnsi="宋体" w:cs="宋体"/>
                <w:color w:val="000000" w:themeColor="text1"/>
                <w:sz w:val="24"/>
                <w14:textFill>
                  <w14:solidFill>
                    <w14:schemeClr w14:val="tx1"/>
                  </w14:solidFill>
                </w14:textFill>
              </w:rPr>
            </w:pPr>
          </w:p>
        </w:tc>
        <w:tc>
          <w:tcPr>
            <w:tcW w:w="472" w:type="pct"/>
            <w:vMerge w:val="continue"/>
            <w:tcBorders>
              <w:top w:val="nil"/>
              <w:left w:val="nil"/>
              <w:bottom w:val="single" w:color="000000" w:sz="8" w:space="0"/>
              <w:right w:val="single" w:color="000000" w:sz="8" w:space="0"/>
            </w:tcBorders>
            <w:shd w:val="clear" w:color="auto" w:fill="auto"/>
            <w:vAlign w:val="center"/>
          </w:tcPr>
          <w:p w14:paraId="43BC7F0B">
            <w:pPr>
              <w:jc w:val="left"/>
              <w:rPr>
                <w:rFonts w:hint="eastAsia" w:ascii="宋体" w:hAnsi="宋体" w:cs="宋体"/>
                <w:color w:val="000000" w:themeColor="text1"/>
                <w:sz w:val="24"/>
                <w14:textFill>
                  <w14:solidFill>
                    <w14:schemeClr w14:val="tx1"/>
                  </w14:solidFill>
                </w14:textFill>
              </w:rPr>
            </w:pPr>
          </w:p>
        </w:tc>
        <w:tc>
          <w:tcPr>
            <w:tcW w:w="472" w:type="pct"/>
            <w:tcBorders>
              <w:top w:val="nil"/>
              <w:left w:val="nil"/>
              <w:bottom w:val="single" w:color="000000" w:sz="8" w:space="0"/>
              <w:right w:val="single" w:color="000000" w:sz="8" w:space="0"/>
            </w:tcBorders>
            <w:shd w:val="clear" w:color="auto" w:fill="auto"/>
            <w:vAlign w:val="center"/>
          </w:tcPr>
          <w:p w14:paraId="3162B126">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上级人大要求</w:t>
            </w:r>
          </w:p>
        </w:tc>
        <w:tc>
          <w:tcPr>
            <w:tcW w:w="3108" w:type="pct"/>
            <w:vMerge w:val="continue"/>
            <w:tcBorders>
              <w:top w:val="single" w:color="000000" w:sz="8" w:space="0"/>
              <w:left w:val="nil"/>
              <w:bottom w:val="single" w:color="000000" w:sz="8" w:space="0"/>
              <w:right w:val="single" w:color="000000" w:sz="8" w:space="0"/>
            </w:tcBorders>
            <w:shd w:val="clear" w:color="auto" w:fill="auto"/>
            <w:vAlign w:val="center"/>
          </w:tcPr>
          <w:p w14:paraId="3232C4B7">
            <w:pPr>
              <w:jc w:val="left"/>
              <w:rPr>
                <w:rFonts w:hint="eastAsia" w:ascii="宋体" w:hAnsi="宋体" w:cs="宋体"/>
                <w:color w:val="000000" w:themeColor="text1"/>
                <w:sz w:val="24"/>
                <w14:textFill>
                  <w14:solidFill>
                    <w14:schemeClr w14:val="tx1"/>
                  </w14:solidFill>
                </w14:textFill>
              </w:rPr>
            </w:pPr>
          </w:p>
        </w:tc>
      </w:tr>
      <w:tr w14:paraId="6A2D3065">
        <w:tblPrEx>
          <w:tblCellMar>
            <w:top w:w="0" w:type="dxa"/>
            <w:left w:w="108" w:type="dxa"/>
            <w:bottom w:w="0" w:type="dxa"/>
            <w:right w:w="108" w:type="dxa"/>
          </w:tblCellMar>
        </w:tblPrEx>
        <w:trPr>
          <w:trHeight w:val="639" w:hRule="atLeast"/>
        </w:trPr>
        <w:tc>
          <w:tcPr>
            <w:tcW w:w="472" w:type="pct"/>
            <w:tcBorders>
              <w:top w:val="nil"/>
              <w:left w:val="single" w:color="000000" w:sz="8" w:space="0"/>
              <w:bottom w:val="single" w:color="000000" w:sz="8" w:space="0"/>
              <w:right w:val="single" w:color="000000" w:sz="8" w:space="0"/>
            </w:tcBorders>
            <w:shd w:val="clear" w:color="auto" w:fill="auto"/>
            <w:noWrap/>
            <w:vAlign w:val="center"/>
          </w:tcPr>
          <w:p w14:paraId="10A37083">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12</w:t>
            </w:r>
          </w:p>
        </w:tc>
        <w:tc>
          <w:tcPr>
            <w:tcW w:w="472" w:type="pct"/>
            <w:vMerge w:val="continue"/>
            <w:tcBorders>
              <w:top w:val="nil"/>
              <w:left w:val="nil"/>
              <w:bottom w:val="single" w:color="000000" w:sz="8" w:space="0"/>
              <w:right w:val="single" w:color="000000" w:sz="8" w:space="0"/>
            </w:tcBorders>
            <w:shd w:val="clear" w:color="auto" w:fill="auto"/>
            <w:vAlign w:val="center"/>
          </w:tcPr>
          <w:p w14:paraId="692008E2">
            <w:pPr>
              <w:jc w:val="center"/>
              <w:rPr>
                <w:rFonts w:hint="eastAsia" w:ascii="宋体" w:hAnsi="宋体" w:cs="宋体"/>
                <w:color w:val="000000" w:themeColor="text1"/>
                <w:sz w:val="24"/>
                <w14:textFill>
                  <w14:solidFill>
                    <w14:schemeClr w14:val="tx1"/>
                  </w14:solidFill>
                </w14:textFill>
              </w:rPr>
            </w:pPr>
          </w:p>
        </w:tc>
        <w:tc>
          <w:tcPr>
            <w:tcW w:w="472" w:type="pct"/>
            <w:vMerge w:val="restart"/>
            <w:tcBorders>
              <w:top w:val="nil"/>
              <w:left w:val="nil"/>
              <w:bottom w:val="single" w:color="000000" w:sz="8" w:space="0"/>
              <w:right w:val="single" w:color="000000" w:sz="8" w:space="0"/>
            </w:tcBorders>
            <w:shd w:val="clear" w:color="auto" w:fill="auto"/>
            <w:vAlign w:val="center"/>
          </w:tcPr>
          <w:p w14:paraId="0D01C841">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前期准备</w:t>
            </w:r>
          </w:p>
        </w:tc>
        <w:tc>
          <w:tcPr>
            <w:tcW w:w="472" w:type="pct"/>
            <w:tcBorders>
              <w:top w:val="nil"/>
              <w:left w:val="nil"/>
              <w:bottom w:val="single" w:color="000000" w:sz="8" w:space="0"/>
              <w:right w:val="single" w:color="000000" w:sz="8" w:space="0"/>
            </w:tcBorders>
            <w:shd w:val="clear" w:color="auto" w:fill="auto"/>
            <w:vAlign w:val="center"/>
          </w:tcPr>
          <w:p w14:paraId="186C2CA6">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与政府部门对接</w:t>
            </w:r>
          </w:p>
        </w:tc>
        <w:tc>
          <w:tcPr>
            <w:tcW w:w="3108" w:type="pct"/>
            <w:vMerge w:val="restart"/>
            <w:tcBorders>
              <w:top w:val="nil"/>
              <w:left w:val="nil"/>
              <w:bottom w:val="single" w:color="000000" w:sz="8" w:space="0"/>
              <w:right w:val="single" w:color="000000" w:sz="8" w:space="0"/>
            </w:tcBorders>
            <w:shd w:val="clear" w:color="auto" w:fill="auto"/>
            <w:vAlign w:val="center"/>
          </w:tcPr>
          <w:p w14:paraId="08F99747">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导入前期监督的准备材料以及实施方案等</w:t>
            </w:r>
          </w:p>
        </w:tc>
      </w:tr>
      <w:tr w14:paraId="57E73D1F">
        <w:tblPrEx>
          <w:tblCellMar>
            <w:top w:w="0" w:type="dxa"/>
            <w:left w:w="108" w:type="dxa"/>
            <w:bottom w:w="0" w:type="dxa"/>
            <w:right w:w="108" w:type="dxa"/>
          </w:tblCellMar>
        </w:tblPrEx>
        <w:trPr>
          <w:trHeight w:val="951" w:hRule="atLeast"/>
        </w:trPr>
        <w:tc>
          <w:tcPr>
            <w:tcW w:w="472" w:type="pct"/>
            <w:tcBorders>
              <w:top w:val="nil"/>
              <w:left w:val="single" w:color="000000" w:sz="8" w:space="0"/>
              <w:bottom w:val="single" w:color="000000" w:sz="8" w:space="0"/>
              <w:right w:val="single" w:color="000000" w:sz="8" w:space="0"/>
            </w:tcBorders>
            <w:shd w:val="clear" w:color="auto" w:fill="auto"/>
            <w:noWrap/>
            <w:vAlign w:val="center"/>
          </w:tcPr>
          <w:p w14:paraId="62A675F8">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13</w:t>
            </w:r>
          </w:p>
        </w:tc>
        <w:tc>
          <w:tcPr>
            <w:tcW w:w="472" w:type="pct"/>
            <w:vMerge w:val="continue"/>
            <w:tcBorders>
              <w:top w:val="nil"/>
              <w:left w:val="nil"/>
              <w:bottom w:val="single" w:color="000000" w:sz="8" w:space="0"/>
              <w:right w:val="single" w:color="000000" w:sz="8" w:space="0"/>
            </w:tcBorders>
            <w:shd w:val="clear" w:color="auto" w:fill="auto"/>
            <w:vAlign w:val="center"/>
          </w:tcPr>
          <w:p w14:paraId="27089EC9">
            <w:pPr>
              <w:jc w:val="center"/>
              <w:rPr>
                <w:rFonts w:hint="eastAsia" w:ascii="宋体" w:hAnsi="宋体" w:cs="宋体"/>
                <w:color w:val="000000" w:themeColor="text1"/>
                <w:sz w:val="24"/>
                <w14:textFill>
                  <w14:solidFill>
                    <w14:schemeClr w14:val="tx1"/>
                  </w14:solidFill>
                </w14:textFill>
              </w:rPr>
            </w:pPr>
          </w:p>
        </w:tc>
        <w:tc>
          <w:tcPr>
            <w:tcW w:w="472" w:type="pct"/>
            <w:vMerge w:val="continue"/>
            <w:tcBorders>
              <w:top w:val="nil"/>
              <w:left w:val="nil"/>
              <w:bottom w:val="single" w:color="000000" w:sz="8" w:space="0"/>
              <w:right w:val="single" w:color="000000" w:sz="8" w:space="0"/>
            </w:tcBorders>
            <w:shd w:val="clear" w:color="auto" w:fill="auto"/>
            <w:vAlign w:val="center"/>
          </w:tcPr>
          <w:p w14:paraId="10C049E2">
            <w:pPr>
              <w:jc w:val="left"/>
              <w:rPr>
                <w:rFonts w:hint="eastAsia" w:ascii="宋体" w:hAnsi="宋体" w:cs="宋体"/>
                <w:color w:val="000000" w:themeColor="text1"/>
                <w:sz w:val="24"/>
                <w14:textFill>
                  <w14:solidFill>
                    <w14:schemeClr w14:val="tx1"/>
                  </w14:solidFill>
                </w14:textFill>
              </w:rPr>
            </w:pPr>
          </w:p>
        </w:tc>
        <w:tc>
          <w:tcPr>
            <w:tcW w:w="472" w:type="pct"/>
            <w:tcBorders>
              <w:top w:val="nil"/>
              <w:left w:val="nil"/>
              <w:bottom w:val="single" w:color="000000" w:sz="8" w:space="0"/>
              <w:right w:val="single" w:color="000000" w:sz="8" w:space="0"/>
            </w:tcBorders>
            <w:shd w:val="clear" w:color="auto" w:fill="auto"/>
            <w:vAlign w:val="center"/>
          </w:tcPr>
          <w:p w14:paraId="3BDF13CE">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制定实施方案</w:t>
            </w:r>
          </w:p>
        </w:tc>
        <w:tc>
          <w:tcPr>
            <w:tcW w:w="3108" w:type="pct"/>
            <w:vMerge w:val="continue"/>
            <w:tcBorders>
              <w:top w:val="nil"/>
              <w:left w:val="nil"/>
              <w:bottom w:val="single" w:color="000000" w:sz="8" w:space="0"/>
              <w:right w:val="single" w:color="000000" w:sz="8" w:space="0"/>
            </w:tcBorders>
            <w:shd w:val="clear" w:color="auto" w:fill="auto"/>
            <w:vAlign w:val="center"/>
          </w:tcPr>
          <w:p w14:paraId="7807A238">
            <w:pPr>
              <w:jc w:val="left"/>
              <w:rPr>
                <w:rFonts w:hint="eastAsia" w:ascii="宋体" w:hAnsi="宋体" w:cs="宋体"/>
                <w:color w:val="000000" w:themeColor="text1"/>
                <w:sz w:val="24"/>
                <w14:textFill>
                  <w14:solidFill>
                    <w14:schemeClr w14:val="tx1"/>
                  </w14:solidFill>
                </w14:textFill>
              </w:rPr>
            </w:pPr>
          </w:p>
        </w:tc>
      </w:tr>
      <w:tr w14:paraId="106BA0FC">
        <w:tblPrEx>
          <w:tblCellMar>
            <w:top w:w="0" w:type="dxa"/>
            <w:left w:w="108" w:type="dxa"/>
            <w:bottom w:w="0" w:type="dxa"/>
            <w:right w:w="108" w:type="dxa"/>
          </w:tblCellMar>
        </w:tblPrEx>
        <w:trPr>
          <w:trHeight w:val="639" w:hRule="atLeast"/>
        </w:trPr>
        <w:tc>
          <w:tcPr>
            <w:tcW w:w="472" w:type="pct"/>
            <w:tcBorders>
              <w:top w:val="nil"/>
              <w:left w:val="single" w:color="000000" w:sz="8" w:space="0"/>
              <w:bottom w:val="single" w:color="000000" w:sz="8" w:space="0"/>
              <w:right w:val="single" w:color="000000" w:sz="8" w:space="0"/>
            </w:tcBorders>
            <w:shd w:val="clear" w:color="auto" w:fill="auto"/>
            <w:noWrap/>
            <w:vAlign w:val="center"/>
          </w:tcPr>
          <w:p w14:paraId="5D20B4FD">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14</w:t>
            </w:r>
          </w:p>
        </w:tc>
        <w:tc>
          <w:tcPr>
            <w:tcW w:w="472" w:type="pct"/>
            <w:vMerge w:val="continue"/>
            <w:tcBorders>
              <w:top w:val="nil"/>
              <w:left w:val="nil"/>
              <w:bottom w:val="single" w:color="000000" w:sz="8" w:space="0"/>
              <w:right w:val="single" w:color="000000" w:sz="8" w:space="0"/>
            </w:tcBorders>
            <w:shd w:val="clear" w:color="auto" w:fill="auto"/>
            <w:vAlign w:val="center"/>
          </w:tcPr>
          <w:p w14:paraId="4ACC28DF">
            <w:pPr>
              <w:jc w:val="center"/>
              <w:rPr>
                <w:rFonts w:hint="eastAsia" w:ascii="宋体" w:hAnsi="宋体" w:cs="宋体"/>
                <w:color w:val="000000" w:themeColor="text1"/>
                <w:sz w:val="24"/>
                <w14:textFill>
                  <w14:solidFill>
                    <w14:schemeClr w14:val="tx1"/>
                  </w14:solidFill>
                </w14:textFill>
              </w:rPr>
            </w:pPr>
          </w:p>
        </w:tc>
        <w:tc>
          <w:tcPr>
            <w:tcW w:w="472" w:type="pct"/>
            <w:vMerge w:val="continue"/>
            <w:tcBorders>
              <w:top w:val="nil"/>
              <w:left w:val="nil"/>
              <w:bottom w:val="single" w:color="000000" w:sz="8" w:space="0"/>
              <w:right w:val="single" w:color="000000" w:sz="8" w:space="0"/>
            </w:tcBorders>
            <w:shd w:val="clear" w:color="auto" w:fill="auto"/>
            <w:vAlign w:val="center"/>
          </w:tcPr>
          <w:p w14:paraId="1548E07C">
            <w:pPr>
              <w:jc w:val="left"/>
              <w:rPr>
                <w:rFonts w:hint="eastAsia" w:ascii="宋体" w:hAnsi="宋体" w:cs="宋体"/>
                <w:color w:val="000000" w:themeColor="text1"/>
                <w:sz w:val="24"/>
                <w14:textFill>
                  <w14:solidFill>
                    <w14:schemeClr w14:val="tx1"/>
                  </w14:solidFill>
                </w14:textFill>
              </w:rPr>
            </w:pPr>
          </w:p>
        </w:tc>
        <w:tc>
          <w:tcPr>
            <w:tcW w:w="472" w:type="pct"/>
            <w:tcBorders>
              <w:top w:val="nil"/>
              <w:left w:val="nil"/>
              <w:bottom w:val="single" w:color="000000" w:sz="8" w:space="0"/>
              <w:right w:val="single" w:color="000000" w:sz="8" w:space="0"/>
            </w:tcBorders>
            <w:shd w:val="clear" w:color="auto" w:fill="auto"/>
            <w:vAlign w:val="center"/>
          </w:tcPr>
          <w:p w14:paraId="27D8B6FC">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主任会议通过并印发</w:t>
            </w:r>
          </w:p>
        </w:tc>
        <w:tc>
          <w:tcPr>
            <w:tcW w:w="3108" w:type="pct"/>
            <w:vMerge w:val="continue"/>
            <w:tcBorders>
              <w:top w:val="nil"/>
              <w:left w:val="nil"/>
              <w:bottom w:val="single" w:color="000000" w:sz="8" w:space="0"/>
              <w:right w:val="single" w:color="000000" w:sz="8" w:space="0"/>
            </w:tcBorders>
            <w:shd w:val="clear" w:color="auto" w:fill="auto"/>
            <w:vAlign w:val="center"/>
          </w:tcPr>
          <w:p w14:paraId="3FF0B564">
            <w:pPr>
              <w:jc w:val="left"/>
              <w:rPr>
                <w:rFonts w:hint="eastAsia" w:ascii="宋体" w:hAnsi="宋体" w:cs="宋体"/>
                <w:color w:val="000000" w:themeColor="text1"/>
                <w:sz w:val="24"/>
                <w14:textFill>
                  <w14:solidFill>
                    <w14:schemeClr w14:val="tx1"/>
                  </w14:solidFill>
                </w14:textFill>
              </w:rPr>
            </w:pPr>
          </w:p>
        </w:tc>
      </w:tr>
      <w:tr w14:paraId="7A1D26AE">
        <w:tblPrEx>
          <w:tblCellMar>
            <w:top w:w="0" w:type="dxa"/>
            <w:left w:w="108" w:type="dxa"/>
            <w:bottom w:w="0" w:type="dxa"/>
            <w:right w:w="108" w:type="dxa"/>
          </w:tblCellMar>
        </w:tblPrEx>
        <w:trPr>
          <w:trHeight w:val="639" w:hRule="atLeast"/>
        </w:trPr>
        <w:tc>
          <w:tcPr>
            <w:tcW w:w="472" w:type="pct"/>
            <w:tcBorders>
              <w:top w:val="nil"/>
              <w:left w:val="single" w:color="000000" w:sz="8" w:space="0"/>
              <w:bottom w:val="single" w:color="000000" w:sz="8" w:space="0"/>
              <w:right w:val="single" w:color="000000" w:sz="8" w:space="0"/>
            </w:tcBorders>
            <w:shd w:val="clear" w:color="auto" w:fill="auto"/>
            <w:noWrap/>
            <w:vAlign w:val="center"/>
          </w:tcPr>
          <w:p w14:paraId="0C0BAD5B">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15</w:t>
            </w:r>
          </w:p>
        </w:tc>
        <w:tc>
          <w:tcPr>
            <w:tcW w:w="472" w:type="pct"/>
            <w:vMerge w:val="continue"/>
            <w:tcBorders>
              <w:top w:val="nil"/>
              <w:left w:val="nil"/>
              <w:bottom w:val="single" w:color="000000" w:sz="8" w:space="0"/>
              <w:right w:val="single" w:color="000000" w:sz="8" w:space="0"/>
            </w:tcBorders>
            <w:shd w:val="clear" w:color="auto" w:fill="auto"/>
            <w:vAlign w:val="center"/>
          </w:tcPr>
          <w:p w14:paraId="37062C50">
            <w:pPr>
              <w:jc w:val="center"/>
              <w:rPr>
                <w:rFonts w:hint="eastAsia" w:ascii="宋体" w:hAnsi="宋体" w:cs="宋体"/>
                <w:color w:val="000000" w:themeColor="text1"/>
                <w:sz w:val="24"/>
                <w14:textFill>
                  <w14:solidFill>
                    <w14:schemeClr w14:val="tx1"/>
                  </w14:solidFill>
                </w14:textFill>
              </w:rPr>
            </w:pPr>
          </w:p>
        </w:tc>
        <w:tc>
          <w:tcPr>
            <w:tcW w:w="472" w:type="pct"/>
            <w:vMerge w:val="continue"/>
            <w:tcBorders>
              <w:top w:val="nil"/>
              <w:left w:val="nil"/>
              <w:bottom w:val="single" w:color="000000" w:sz="8" w:space="0"/>
              <w:right w:val="single" w:color="000000" w:sz="8" w:space="0"/>
            </w:tcBorders>
            <w:shd w:val="clear" w:color="auto" w:fill="auto"/>
            <w:vAlign w:val="center"/>
          </w:tcPr>
          <w:p w14:paraId="02DED202">
            <w:pPr>
              <w:jc w:val="left"/>
              <w:rPr>
                <w:rFonts w:hint="eastAsia" w:ascii="宋体" w:hAnsi="宋体" w:cs="宋体"/>
                <w:color w:val="000000" w:themeColor="text1"/>
                <w:sz w:val="24"/>
                <w14:textFill>
                  <w14:solidFill>
                    <w14:schemeClr w14:val="tx1"/>
                  </w14:solidFill>
                </w14:textFill>
              </w:rPr>
            </w:pPr>
          </w:p>
        </w:tc>
        <w:tc>
          <w:tcPr>
            <w:tcW w:w="472" w:type="pct"/>
            <w:tcBorders>
              <w:top w:val="nil"/>
              <w:left w:val="nil"/>
              <w:bottom w:val="single" w:color="000000" w:sz="8" w:space="0"/>
              <w:right w:val="single" w:color="000000" w:sz="8" w:space="0"/>
            </w:tcBorders>
            <w:shd w:val="clear" w:color="auto" w:fill="auto"/>
            <w:vAlign w:val="center"/>
          </w:tcPr>
          <w:p w14:paraId="392B3B24">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前期调研</w:t>
            </w:r>
          </w:p>
        </w:tc>
        <w:tc>
          <w:tcPr>
            <w:tcW w:w="3108" w:type="pct"/>
            <w:vMerge w:val="continue"/>
            <w:tcBorders>
              <w:top w:val="nil"/>
              <w:left w:val="nil"/>
              <w:bottom w:val="single" w:color="000000" w:sz="8" w:space="0"/>
              <w:right w:val="single" w:color="000000" w:sz="8" w:space="0"/>
            </w:tcBorders>
            <w:shd w:val="clear" w:color="auto" w:fill="auto"/>
            <w:vAlign w:val="center"/>
          </w:tcPr>
          <w:p w14:paraId="4A88B88F">
            <w:pPr>
              <w:jc w:val="left"/>
              <w:rPr>
                <w:rFonts w:hint="eastAsia" w:ascii="宋体" w:hAnsi="宋体" w:cs="宋体"/>
                <w:color w:val="000000" w:themeColor="text1"/>
                <w:sz w:val="24"/>
                <w14:textFill>
                  <w14:solidFill>
                    <w14:schemeClr w14:val="tx1"/>
                  </w14:solidFill>
                </w14:textFill>
              </w:rPr>
            </w:pPr>
          </w:p>
        </w:tc>
      </w:tr>
      <w:tr w14:paraId="0A9A7839">
        <w:tblPrEx>
          <w:tblCellMar>
            <w:top w:w="0" w:type="dxa"/>
            <w:left w:w="108" w:type="dxa"/>
            <w:bottom w:w="0" w:type="dxa"/>
            <w:right w:w="108" w:type="dxa"/>
          </w:tblCellMar>
        </w:tblPrEx>
        <w:trPr>
          <w:trHeight w:val="951" w:hRule="atLeast"/>
        </w:trPr>
        <w:tc>
          <w:tcPr>
            <w:tcW w:w="472" w:type="pct"/>
            <w:tcBorders>
              <w:top w:val="nil"/>
              <w:left w:val="single" w:color="000000" w:sz="8" w:space="0"/>
              <w:bottom w:val="single" w:color="000000" w:sz="8" w:space="0"/>
              <w:right w:val="single" w:color="000000" w:sz="8" w:space="0"/>
            </w:tcBorders>
            <w:shd w:val="clear" w:color="auto" w:fill="auto"/>
            <w:noWrap/>
            <w:vAlign w:val="center"/>
          </w:tcPr>
          <w:p w14:paraId="4B61CE28">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16</w:t>
            </w:r>
          </w:p>
        </w:tc>
        <w:tc>
          <w:tcPr>
            <w:tcW w:w="472" w:type="pct"/>
            <w:vMerge w:val="continue"/>
            <w:tcBorders>
              <w:top w:val="nil"/>
              <w:left w:val="nil"/>
              <w:bottom w:val="single" w:color="000000" w:sz="8" w:space="0"/>
              <w:right w:val="single" w:color="000000" w:sz="8" w:space="0"/>
            </w:tcBorders>
            <w:shd w:val="clear" w:color="auto" w:fill="auto"/>
            <w:vAlign w:val="center"/>
          </w:tcPr>
          <w:p w14:paraId="022EB292">
            <w:pPr>
              <w:jc w:val="center"/>
              <w:rPr>
                <w:rFonts w:hint="eastAsia" w:ascii="宋体" w:hAnsi="宋体" w:cs="宋体"/>
                <w:color w:val="000000" w:themeColor="text1"/>
                <w:sz w:val="24"/>
                <w14:textFill>
                  <w14:solidFill>
                    <w14:schemeClr w14:val="tx1"/>
                  </w14:solidFill>
                </w14:textFill>
              </w:rPr>
            </w:pPr>
          </w:p>
        </w:tc>
        <w:tc>
          <w:tcPr>
            <w:tcW w:w="472" w:type="pct"/>
            <w:vMerge w:val="continue"/>
            <w:tcBorders>
              <w:top w:val="nil"/>
              <w:left w:val="nil"/>
              <w:bottom w:val="single" w:color="000000" w:sz="8" w:space="0"/>
              <w:right w:val="single" w:color="000000" w:sz="8" w:space="0"/>
            </w:tcBorders>
            <w:shd w:val="clear" w:color="auto" w:fill="auto"/>
            <w:vAlign w:val="center"/>
          </w:tcPr>
          <w:p w14:paraId="54853CF1">
            <w:pPr>
              <w:jc w:val="left"/>
              <w:rPr>
                <w:rFonts w:hint="eastAsia" w:ascii="宋体" w:hAnsi="宋体" w:cs="宋体"/>
                <w:color w:val="000000" w:themeColor="text1"/>
                <w:sz w:val="24"/>
                <w14:textFill>
                  <w14:solidFill>
                    <w14:schemeClr w14:val="tx1"/>
                  </w14:solidFill>
                </w14:textFill>
              </w:rPr>
            </w:pPr>
          </w:p>
        </w:tc>
        <w:tc>
          <w:tcPr>
            <w:tcW w:w="472" w:type="pct"/>
            <w:tcBorders>
              <w:top w:val="nil"/>
              <w:left w:val="nil"/>
              <w:bottom w:val="single" w:color="000000" w:sz="8" w:space="0"/>
              <w:right w:val="single" w:color="000000" w:sz="8" w:space="0"/>
            </w:tcBorders>
            <w:shd w:val="clear" w:color="auto" w:fill="auto"/>
            <w:vAlign w:val="center"/>
          </w:tcPr>
          <w:p w14:paraId="167FC259">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第三方评估机构</w:t>
            </w:r>
          </w:p>
        </w:tc>
        <w:tc>
          <w:tcPr>
            <w:tcW w:w="3108" w:type="pct"/>
            <w:vMerge w:val="continue"/>
            <w:tcBorders>
              <w:top w:val="nil"/>
              <w:left w:val="nil"/>
              <w:bottom w:val="single" w:color="000000" w:sz="8" w:space="0"/>
              <w:right w:val="single" w:color="000000" w:sz="8" w:space="0"/>
            </w:tcBorders>
            <w:shd w:val="clear" w:color="auto" w:fill="auto"/>
            <w:vAlign w:val="center"/>
          </w:tcPr>
          <w:p w14:paraId="3E4F7DD0">
            <w:pPr>
              <w:jc w:val="left"/>
              <w:rPr>
                <w:rFonts w:hint="eastAsia" w:ascii="宋体" w:hAnsi="宋体" w:cs="宋体"/>
                <w:color w:val="000000" w:themeColor="text1"/>
                <w:sz w:val="24"/>
                <w14:textFill>
                  <w14:solidFill>
                    <w14:schemeClr w14:val="tx1"/>
                  </w14:solidFill>
                </w14:textFill>
              </w:rPr>
            </w:pPr>
          </w:p>
        </w:tc>
      </w:tr>
      <w:tr w14:paraId="08033E95">
        <w:tblPrEx>
          <w:tblCellMar>
            <w:top w:w="0" w:type="dxa"/>
            <w:left w:w="108" w:type="dxa"/>
            <w:bottom w:w="0" w:type="dxa"/>
            <w:right w:w="108" w:type="dxa"/>
          </w:tblCellMar>
        </w:tblPrEx>
        <w:trPr>
          <w:trHeight w:val="639" w:hRule="atLeast"/>
        </w:trPr>
        <w:tc>
          <w:tcPr>
            <w:tcW w:w="472" w:type="pct"/>
            <w:tcBorders>
              <w:top w:val="nil"/>
              <w:left w:val="single" w:color="000000" w:sz="8" w:space="0"/>
              <w:bottom w:val="single" w:color="000000" w:sz="8" w:space="0"/>
              <w:right w:val="single" w:color="000000" w:sz="8" w:space="0"/>
            </w:tcBorders>
            <w:shd w:val="clear" w:color="auto" w:fill="auto"/>
            <w:noWrap/>
            <w:vAlign w:val="center"/>
          </w:tcPr>
          <w:p w14:paraId="6302C625">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17</w:t>
            </w:r>
          </w:p>
        </w:tc>
        <w:tc>
          <w:tcPr>
            <w:tcW w:w="472" w:type="pct"/>
            <w:vMerge w:val="continue"/>
            <w:tcBorders>
              <w:top w:val="nil"/>
              <w:left w:val="nil"/>
              <w:bottom w:val="single" w:color="000000" w:sz="8" w:space="0"/>
              <w:right w:val="single" w:color="000000" w:sz="8" w:space="0"/>
            </w:tcBorders>
            <w:shd w:val="clear" w:color="auto" w:fill="auto"/>
            <w:vAlign w:val="center"/>
          </w:tcPr>
          <w:p w14:paraId="7C78766B">
            <w:pPr>
              <w:jc w:val="center"/>
              <w:rPr>
                <w:rFonts w:hint="eastAsia" w:ascii="宋体" w:hAnsi="宋体" w:cs="宋体"/>
                <w:color w:val="000000" w:themeColor="text1"/>
                <w:sz w:val="24"/>
                <w14:textFill>
                  <w14:solidFill>
                    <w14:schemeClr w14:val="tx1"/>
                  </w14:solidFill>
                </w14:textFill>
              </w:rPr>
            </w:pPr>
          </w:p>
        </w:tc>
        <w:tc>
          <w:tcPr>
            <w:tcW w:w="472" w:type="pct"/>
            <w:vMerge w:val="restart"/>
            <w:tcBorders>
              <w:top w:val="nil"/>
              <w:left w:val="nil"/>
              <w:bottom w:val="single" w:color="000000" w:sz="8" w:space="0"/>
              <w:right w:val="single" w:color="000000" w:sz="8" w:space="0"/>
            </w:tcBorders>
            <w:shd w:val="clear" w:color="auto" w:fill="auto"/>
            <w:vAlign w:val="center"/>
          </w:tcPr>
          <w:p w14:paraId="3463E62D">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现场检查</w:t>
            </w:r>
          </w:p>
        </w:tc>
        <w:tc>
          <w:tcPr>
            <w:tcW w:w="472" w:type="pct"/>
            <w:tcBorders>
              <w:top w:val="nil"/>
              <w:left w:val="nil"/>
              <w:bottom w:val="single" w:color="000000" w:sz="8" w:space="0"/>
              <w:right w:val="single" w:color="000000" w:sz="8" w:space="0"/>
            </w:tcBorders>
            <w:shd w:val="clear" w:color="auto" w:fill="auto"/>
            <w:vAlign w:val="center"/>
          </w:tcPr>
          <w:p w14:paraId="77821733">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制定现场检查方案</w:t>
            </w:r>
          </w:p>
        </w:tc>
        <w:tc>
          <w:tcPr>
            <w:tcW w:w="3108" w:type="pct"/>
            <w:vMerge w:val="restart"/>
            <w:tcBorders>
              <w:top w:val="nil"/>
              <w:left w:val="nil"/>
              <w:bottom w:val="single" w:color="000000" w:sz="8" w:space="0"/>
              <w:right w:val="single" w:color="000000" w:sz="8" w:space="0"/>
            </w:tcBorders>
            <w:shd w:val="clear" w:color="auto" w:fill="auto"/>
            <w:vAlign w:val="center"/>
          </w:tcPr>
          <w:p w14:paraId="54C0EAF9">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提供执法检查现场检查的信息</w:t>
            </w:r>
          </w:p>
        </w:tc>
      </w:tr>
      <w:tr w14:paraId="6EAF918E">
        <w:tblPrEx>
          <w:tblCellMar>
            <w:top w:w="0" w:type="dxa"/>
            <w:left w:w="108" w:type="dxa"/>
            <w:bottom w:w="0" w:type="dxa"/>
            <w:right w:w="108" w:type="dxa"/>
          </w:tblCellMar>
        </w:tblPrEx>
        <w:trPr>
          <w:trHeight w:val="951" w:hRule="atLeast"/>
        </w:trPr>
        <w:tc>
          <w:tcPr>
            <w:tcW w:w="472" w:type="pct"/>
            <w:tcBorders>
              <w:top w:val="nil"/>
              <w:left w:val="single" w:color="000000" w:sz="8" w:space="0"/>
              <w:bottom w:val="single" w:color="000000" w:sz="8" w:space="0"/>
              <w:right w:val="single" w:color="000000" w:sz="8" w:space="0"/>
            </w:tcBorders>
            <w:shd w:val="clear" w:color="auto" w:fill="auto"/>
            <w:noWrap/>
            <w:vAlign w:val="center"/>
          </w:tcPr>
          <w:p w14:paraId="7F8491B9">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18</w:t>
            </w:r>
          </w:p>
        </w:tc>
        <w:tc>
          <w:tcPr>
            <w:tcW w:w="472" w:type="pct"/>
            <w:vMerge w:val="continue"/>
            <w:tcBorders>
              <w:top w:val="nil"/>
              <w:left w:val="nil"/>
              <w:bottom w:val="single" w:color="000000" w:sz="8" w:space="0"/>
              <w:right w:val="single" w:color="000000" w:sz="8" w:space="0"/>
            </w:tcBorders>
            <w:shd w:val="clear" w:color="auto" w:fill="auto"/>
            <w:vAlign w:val="center"/>
          </w:tcPr>
          <w:p w14:paraId="1BD75DDF">
            <w:pPr>
              <w:jc w:val="center"/>
              <w:rPr>
                <w:rFonts w:hint="eastAsia" w:ascii="宋体" w:hAnsi="宋体" w:cs="宋体"/>
                <w:color w:val="000000" w:themeColor="text1"/>
                <w:sz w:val="24"/>
                <w14:textFill>
                  <w14:solidFill>
                    <w14:schemeClr w14:val="tx1"/>
                  </w14:solidFill>
                </w14:textFill>
              </w:rPr>
            </w:pPr>
          </w:p>
        </w:tc>
        <w:tc>
          <w:tcPr>
            <w:tcW w:w="472" w:type="pct"/>
            <w:vMerge w:val="continue"/>
            <w:tcBorders>
              <w:top w:val="nil"/>
              <w:left w:val="nil"/>
              <w:bottom w:val="single" w:color="000000" w:sz="8" w:space="0"/>
              <w:right w:val="single" w:color="000000" w:sz="8" w:space="0"/>
            </w:tcBorders>
            <w:shd w:val="clear" w:color="auto" w:fill="auto"/>
            <w:vAlign w:val="center"/>
          </w:tcPr>
          <w:p w14:paraId="3038EAA3">
            <w:pPr>
              <w:jc w:val="left"/>
              <w:rPr>
                <w:rFonts w:hint="eastAsia" w:ascii="宋体" w:hAnsi="宋体" w:cs="宋体"/>
                <w:color w:val="000000" w:themeColor="text1"/>
                <w:sz w:val="24"/>
                <w14:textFill>
                  <w14:solidFill>
                    <w14:schemeClr w14:val="tx1"/>
                  </w14:solidFill>
                </w14:textFill>
              </w:rPr>
            </w:pPr>
          </w:p>
        </w:tc>
        <w:tc>
          <w:tcPr>
            <w:tcW w:w="472" w:type="pct"/>
            <w:tcBorders>
              <w:top w:val="nil"/>
              <w:left w:val="nil"/>
              <w:bottom w:val="single" w:color="000000" w:sz="8" w:space="0"/>
              <w:right w:val="single" w:color="000000" w:sz="8" w:space="0"/>
            </w:tcBorders>
            <w:shd w:val="clear" w:color="auto" w:fill="auto"/>
            <w:vAlign w:val="center"/>
          </w:tcPr>
          <w:p w14:paraId="128E32A7">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第一次会议</w:t>
            </w:r>
          </w:p>
        </w:tc>
        <w:tc>
          <w:tcPr>
            <w:tcW w:w="3108" w:type="pct"/>
            <w:vMerge w:val="continue"/>
            <w:tcBorders>
              <w:top w:val="nil"/>
              <w:left w:val="nil"/>
              <w:bottom w:val="single" w:color="000000" w:sz="8" w:space="0"/>
              <w:right w:val="single" w:color="000000" w:sz="8" w:space="0"/>
            </w:tcBorders>
            <w:shd w:val="clear" w:color="auto" w:fill="auto"/>
            <w:vAlign w:val="center"/>
          </w:tcPr>
          <w:p w14:paraId="7439F66C">
            <w:pPr>
              <w:jc w:val="left"/>
              <w:rPr>
                <w:rFonts w:hint="eastAsia" w:ascii="宋体" w:hAnsi="宋体" w:cs="宋体"/>
                <w:color w:val="000000" w:themeColor="text1"/>
                <w:sz w:val="24"/>
                <w14:textFill>
                  <w14:solidFill>
                    <w14:schemeClr w14:val="tx1"/>
                  </w14:solidFill>
                </w14:textFill>
              </w:rPr>
            </w:pPr>
          </w:p>
        </w:tc>
      </w:tr>
      <w:tr w14:paraId="61F57DDC">
        <w:tblPrEx>
          <w:tblCellMar>
            <w:top w:w="0" w:type="dxa"/>
            <w:left w:w="108" w:type="dxa"/>
            <w:bottom w:w="0" w:type="dxa"/>
            <w:right w:w="108" w:type="dxa"/>
          </w:tblCellMar>
        </w:tblPrEx>
        <w:trPr>
          <w:trHeight w:val="639" w:hRule="atLeast"/>
        </w:trPr>
        <w:tc>
          <w:tcPr>
            <w:tcW w:w="472" w:type="pct"/>
            <w:tcBorders>
              <w:top w:val="nil"/>
              <w:left w:val="single" w:color="000000" w:sz="8" w:space="0"/>
              <w:bottom w:val="single" w:color="000000" w:sz="8" w:space="0"/>
              <w:right w:val="single" w:color="000000" w:sz="8" w:space="0"/>
            </w:tcBorders>
            <w:shd w:val="clear" w:color="auto" w:fill="auto"/>
            <w:noWrap/>
            <w:vAlign w:val="center"/>
          </w:tcPr>
          <w:p w14:paraId="606FEC65">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19</w:t>
            </w:r>
          </w:p>
        </w:tc>
        <w:tc>
          <w:tcPr>
            <w:tcW w:w="472" w:type="pct"/>
            <w:vMerge w:val="continue"/>
            <w:tcBorders>
              <w:top w:val="nil"/>
              <w:left w:val="nil"/>
              <w:bottom w:val="single" w:color="000000" w:sz="8" w:space="0"/>
              <w:right w:val="single" w:color="000000" w:sz="8" w:space="0"/>
            </w:tcBorders>
            <w:shd w:val="clear" w:color="auto" w:fill="auto"/>
            <w:vAlign w:val="center"/>
          </w:tcPr>
          <w:p w14:paraId="40CCC99D">
            <w:pPr>
              <w:jc w:val="center"/>
              <w:rPr>
                <w:rFonts w:hint="eastAsia" w:ascii="宋体" w:hAnsi="宋体" w:cs="宋体"/>
                <w:color w:val="000000" w:themeColor="text1"/>
                <w:sz w:val="24"/>
                <w14:textFill>
                  <w14:solidFill>
                    <w14:schemeClr w14:val="tx1"/>
                  </w14:solidFill>
                </w14:textFill>
              </w:rPr>
            </w:pPr>
          </w:p>
        </w:tc>
        <w:tc>
          <w:tcPr>
            <w:tcW w:w="472" w:type="pct"/>
            <w:vMerge w:val="continue"/>
            <w:tcBorders>
              <w:top w:val="nil"/>
              <w:left w:val="nil"/>
              <w:bottom w:val="single" w:color="000000" w:sz="8" w:space="0"/>
              <w:right w:val="single" w:color="000000" w:sz="8" w:space="0"/>
            </w:tcBorders>
            <w:shd w:val="clear" w:color="auto" w:fill="auto"/>
            <w:vAlign w:val="center"/>
          </w:tcPr>
          <w:p w14:paraId="0B5F6D98">
            <w:pPr>
              <w:jc w:val="left"/>
              <w:rPr>
                <w:rFonts w:hint="eastAsia" w:ascii="宋体" w:hAnsi="宋体" w:cs="宋体"/>
                <w:color w:val="000000" w:themeColor="text1"/>
                <w:sz w:val="24"/>
                <w14:textFill>
                  <w14:solidFill>
                    <w14:schemeClr w14:val="tx1"/>
                  </w14:solidFill>
                </w14:textFill>
              </w:rPr>
            </w:pPr>
          </w:p>
        </w:tc>
        <w:tc>
          <w:tcPr>
            <w:tcW w:w="472" w:type="pct"/>
            <w:tcBorders>
              <w:top w:val="nil"/>
              <w:left w:val="nil"/>
              <w:bottom w:val="single" w:color="000000" w:sz="8" w:space="0"/>
              <w:right w:val="single" w:color="000000" w:sz="8" w:space="0"/>
            </w:tcBorders>
            <w:shd w:val="clear" w:color="auto" w:fill="auto"/>
            <w:vAlign w:val="center"/>
          </w:tcPr>
          <w:p w14:paraId="66FC26B9">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实地检查</w:t>
            </w:r>
          </w:p>
        </w:tc>
        <w:tc>
          <w:tcPr>
            <w:tcW w:w="3108" w:type="pct"/>
            <w:vMerge w:val="continue"/>
            <w:tcBorders>
              <w:top w:val="nil"/>
              <w:left w:val="nil"/>
              <w:bottom w:val="single" w:color="000000" w:sz="8" w:space="0"/>
              <w:right w:val="single" w:color="000000" w:sz="8" w:space="0"/>
            </w:tcBorders>
            <w:shd w:val="clear" w:color="auto" w:fill="auto"/>
            <w:vAlign w:val="center"/>
          </w:tcPr>
          <w:p w14:paraId="7266847C">
            <w:pPr>
              <w:jc w:val="left"/>
              <w:rPr>
                <w:rFonts w:hint="eastAsia" w:ascii="宋体" w:hAnsi="宋体" w:cs="宋体"/>
                <w:color w:val="000000" w:themeColor="text1"/>
                <w:sz w:val="24"/>
                <w14:textFill>
                  <w14:solidFill>
                    <w14:schemeClr w14:val="tx1"/>
                  </w14:solidFill>
                </w14:textFill>
              </w:rPr>
            </w:pPr>
          </w:p>
        </w:tc>
      </w:tr>
      <w:tr w14:paraId="3EA59AED">
        <w:tblPrEx>
          <w:tblCellMar>
            <w:top w:w="0" w:type="dxa"/>
            <w:left w:w="108" w:type="dxa"/>
            <w:bottom w:w="0" w:type="dxa"/>
            <w:right w:w="108" w:type="dxa"/>
          </w:tblCellMar>
        </w:tblPrEx>
        <w:trPr>
          <w:trHeight w:val="951" w:hRule="atLeast"/>
        </w:trPr>
        <w:tc>
          <w:tcPr>
            <w:tcW w:w="472" w:type="pct"/>
            <w:tcBorders>
              <w:top w:val="nil"/>
              <w:left w:val="single" w:color="000000" w:sz="8" w:space="0"/>
              <w:bottom w:val="single" w:color="000000" w:sz="8" w:space="0"/>
              <w:right w:val="single" w:color="000000" w:sz="8" w:space="0"/>
            </w:tcBorders>
            <w:shd w:val="clear" w:color="auto" w:fill="auto"/>
            <w:noWrap/>
            <w:vAlign w:val="center"/>
          </w:tcPr>
          <w:p w14:paraId="21EA41A8">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20</w:t>
            </w:r>
          </w:p>
        </w:tc>
        <w:tc>
          <w:tcPr>
            <w:tcW w:w="472" w:type="pct"/>
            <w:vMerge w:val="continue"/>
            <w:tcBorders>
              <w:top w:val="nil"/>
              <w:left w:val="nil"/>
              <w:bottom w:val="single" w:color="000000" w:sz="8" w:space="0"/>
              <w:right w:val="single" w:color="000000" w:sz="8" w:space="0"/>
            </w:tcBorders>
            <w:shd w:val="clear" w:color="auto" w:fill="auto"/>
            <w:vAlign w:val="center"/>
          </w:tcPr>
          <w:p w14:paraId="32E5909D">
            <w:pPr>
              <w:jc w:val="center"/>
              <w:rPr>
                <w:rFonts w:hint="eastAsia" w:ascii="宋体" w:hAnsi="宋体" w:cs="宋体"/>
                <w:color w:val="000000" w:themeColor="text1"/>
                <w:sz w:val="24"/>
                <w14:textFill>
                  <w14:solidFill>
                    <w14:schemeClr w14:val="tx1"/>
                  </w14:solidFill>
                </w14:textFill>
              </w:rPr>
            </w:pPr>
          </w:p>
        </w:tc>
        <w:tc>
          <w:tcPr>
            <w:tcW w:w="472" w:type="pct"/>
            <w:vMerge w:val="continue"/>
            <w:tcBorders>
              <w:top w:val="nil"/>
              <w:left w:val="nil"/>
              <w:bottom w:val="single" w:color="000000" w:sz="8" w:space="0"/>
              <w:right w:val="single" w:color="000000" w:sz="8" w:space="0"/>
            </w:tcBorders>
            <w:shd w:val="clear" w:color="auto" w:fill="auto"/>
            <w:vAlign w:val="center"/>
          </w:tcPr>
          <w:p w14:paraId="2BE9B4EC">
            <w:pPr>
              <w:jc w:val="left"/>
              <w:rPr>
                <w:rFonts w:hint="eastAsia" w:ascii="宋体" w:hAnsi="宋体" w:cs="宋体"/>
                <w:color w:val="000000" w:themeColor="text1"/>
                <w:sz w:val="24"/>
                <w14:textFill>
                  <w14:solidFill>
                    <w14:schemeClr w14:val="tx1"/>
                  </w14:solidFill>
                </w14:textFill>
              </w:rPr>
            </w:pPr>
          </w:p>
        </w:tc>
        <w:tc>
          <w:tcPr>
            <w:tcW w:w="472" w:type="pct"/>
            <w:tcBorders>
              <w:top w:val="nil"/>
              <w:left w:val="nil"/>
              <w:bottom w:val="single" w:color="000000" w:sz="8" w:space="0"/>
              <w:right w:val="single" w:color="000000" w:sz="8" w:space="0"/>
            </w:tcBorders>
            <w:shd w:val="clear" w:color="auto" w:fill="auto"/>
            <w:vAlign w:val="center"/>
          </w:tcPr>
          <w:p w14:paraId="3FCE8C10">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第二次会议</w:t>
            </w:r>
          </w:p>
        </w:tc>
        <w:tc>
          <w:tcPr>
            <w:tcW w:w="3108" w:type="pct"/>
            <w:vMerge w:val="continue"/>
            <w:tcBorders>
              <w:top w:val="nil"/>
              <w:left w:val="nil"/>
              <w:bottom w:val="single" w:color="000000" w:sz="8" w:space="0"/>
              <w:right w:val="single" w:color="000000" w:sz="8" w:space="0"/>
            </w:tcBorders>
            <w:shd w:val="clear" w:color="auto" w:fill="auto"/>
            <w:vAlign w:val="center"/>
          </w:tcPr>
          <w:p w14:paraId="71E022D8">
            <w:pPr>
              <w:jc w:val="left"/>
              <w:rPr>
                <w:rFonts w:hint="eastAsia" w:ascii="宋体" w:hAnsi="宋体" w:cs="宋体"/>
                <w:color w:val="000000" w:themeColor="text1"/>
                <w:sz w:val="24"/>
                <w14:textFill>
                  <w14:solidFill>
                    <w14:schemeClr w14:val="tx1"/>
                  </w14:solidFill>
                </w14:textFill>
              </w:rPr>
            </w:pPr>
          </w:p>
        </w:tc>
      </w:tr>
      <w:tr w14:paraId="2B5A3621">
        <w:tblPrEx>
          <w:tblCellMar>
            <w:top w:w="0" w:type="dxa"/>
            <w:left w:w="108" w:type="dxa"/>
            <w:bottom w:w="0" w:type="dxa"/>
            <w:right w:w="108" w:type="dxa"/>
          </w:tblCellMar>
        </w:tblPrEx>
        <w:trPr>
          <w:trHeight w:val="639" w:hRule="atLeast"/>
        </w:trPr>
        <w:tc>
          <w:tcPr>
            <w:tcW w:w="472" w:type="pct"/>
            <w:tcBorders>
              <w:top w:val="nil"/>
              <w:left w:val="single" w:color="000000" w:sz="8" w:space="0"/>
              <w:bottom w:val="single" w:color="000000" w:sz="8" w:space="0"/>
              <w:right w:val="single" w:color="000000" w:sz="8" w:space="0"/>
            </w:tcBorders>
            <w:shd w:val="clear" w:color="auto" w:fill="auto"/>
            <w:noWrap/>
            <w:vAlign w:val="center"/>
          </w:tcPr>
          <w:p w14:paraId="723543A5">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21</w:t>
            </w:r>
          </w:p>
        </w:tc>
        <w:tc>
          <w:tcPr>
            <w:tcW w:w="472" w:type="pct"/>
            <w:vMerge w:val="continue"/>
            <w:tcBorders>
              <w:top w:val="nil"/>
              <w:left w:val="nil"/>
              <w:bottom w:val="single" w:color="000000" w:sz="8" w:space="0"/>
              <w:right w:val="single" w:color="000000" w:sz="8" w:space="0"/>
            </w:tcBorders>
            <w:shd w:val="clear" w:color="auto" w:fill="auto"/>
            <w:vAlign w:val="center"/>
          </w:tcPr>
          <w:p w14:paraId="00711113">
            <w:pPr>
              <w:jc w:val="center"/>
              <w:rPr>
                <w:rFonts w:hint="eastAsia" w:ascii="宋体" w:hAnsi="宋体" w:cs="宋体"/>
                <w:color w:val="000000" w:themeColor="text1"/>
                <w:sz w:val="24"/>
                <w14:textFill>
                  <w14:solidFill>
                    <w14:schemeClr w14:val="tx1"/>
                  </w14:solidFill>
                </w14:textFill>
              </w:rPr>
            </w:pPr>
          </w:p>
        </w:tc>
        <w:tc>
          <w:tcPr>
            <w:tcW w:w="472" w:type="pct"/>
            <w:vMerge w:val="continue"/>
            <w:tcBorders>
              <w:top w:val="nil"/>
              <w:left w:val="nil"/>
              <w:bottom w:val="single" w:color="000000" w:sz="8" w:space="0"/>
              <w:right w:val="single" w:color="000000" w:sz="8" w:space="0"/>
            </w:tcBorders>
            <w:shd w:val="clear" w:color="auto" w:fill="auto"/>
            <w:vAlign w:val="center"/>
          </w:tcPr>
          <w:p w14:paraId="0CA8AA65">
            <w:pPr>
              <w:jc w:val="left"/>
              <w:rPr>
                <w:rFonts w:hint="eastAsia" w:ascii="宋体" w:hAnsi="宋体" w:cs="宋体"/>
                <w:color w:val="000000" w:themeColor="text1"/>
                <w:sz w:val="24"/>
                <w14:textFill>
                  <w14:solidFill>
                    <w14:schemeClr w14:val="tx1"/>
                  </w14:solidFill>
                </w14:textFill>
              </w:rPr>
            </w:pPr>
          </w:p>
        </w:tc>
        <w:tc>
          <w:tcPr>
            <w:tcW w:w="472" w:type="pct"/>
            <w:tcBorders>
              <w:top w:val="nil"/>
              <w:left w:val="nil"/>
              <w:bottom w:val="single" w:color="000000" w:sz="8" w:space="0"/>
              <w:right w:val="single" w:color="000000" w:sz="8" w:space="0"/>
            </w:tcBorders>
            <w:shd w:val="clear" w:color="auto" w:fill="auto"/>
            <w:vAlign w:val="center"/>
          </w:tcPr>
          <w:p w14:paraId="3D9DA9C7">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起草执法检查报告</w:t>
            </w:r>
          </w:p>
        </w:tc>
        <w:tc>
          <w:tcPr>
            <w:tcW w:w="3108" w:type="pct"/>
            <w:vMerge w:val="continue"/>
            <w:tcBorders>
              <w:top w:val="nil"/>
              <w:left w:val="nil"/>
              <w:bottom w:val="single" w:color="000000" w:sz="8" w:space="0"/>
              <w:right w:val="single" w:color="000000" w:sz="8" w:space="0"/>
            </w:tcBorders>
            <w:shd w:val="clear" w:color="auto" w:fill="auto"/>
            <w:vAlign w:val="center"/>
          </w:tcPr>
          <w:p w14:paraId="64870867">
            <w:pPr>
              <w:jc w:val="left"/>
              <w:rPr>
                <w:rFonts w:hint="eastAsia" w:ascii="宋体" w:hAnsi="宋体" w:cs="宋体"/>
                <w:color w:val="000000" w:themeColor="text1"/>
                <w:sz w:val="24"/>
                <w14:textFill>
                  <w14:solidFill>
                    <w14:schemeClr w14:val="tx1"/>
                  </w14:solidFill>
                </w14:textFill>
              </w:rPr>
            </w:pPr>
          </w:p>
        </w:tc>
      </w:tr>
      <w:tr w14:paraId="215E28FA">
        <w:tblPrEx>
          <w:tblCellMar>
            <w:top w:w="0" w:type="dxa"/>
            <w:left w:w="108" w:type="dxa"/>
            <w:bottom w:w="0" w:type="dxa"/>
            <w:right w:w="108" w:type="dxa"/>
          </w:tblCellMar>
        </w:tblPrEx>
        <w:trPr>
          <w:trHeight w:val="951" w:hRule="atLeast"/>
        </w:trPr>
        <w:tc>
          <w:tcPr>
            <w:tcW w:w="472" w:type="pct"/>
            <w:tcBorders>
              <w:top w:val="nil"/>
              <w:left w:val="single" w:color="000000" w:sz="8" w:space="0"/>
              <w:bottom w:val="single" w:color="000000" w:sz="8" w:space="0"/>
              <w:right w:val="single" w:color="000000" w:sz="8" w:space="0"/>
            </w:tcBorders>
            <w:shd w:val="clear" w:color="auto" w:fill="auto"/>
            <w:noWrap/>
            <w:vAlign w:val="center"/>
          </w:tcPr>
          <w:p w14:paraId="3EDB5A3E">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22</w:t>
            </w:r>
          </w:p>
        </w:tc>
        <w:tc>
          <w:tcPr>
            <w:tcW w:w="472" w:type="pct"/>
            <w:vMerge w:val="continue"/>
            <w:tcBorders>
              <w:top w:val="nil"/>
              <w:left w:val="nil"/>
              <w:bottom w:val="single" w:color="000000" w:sz="8" w:space="0"/>
              <w:right w:val="single" w:color="000000" w:sz="8" w:space="0"/>
            </w:tcBorders>
            <w:shd w:val="clear" w:color="auto" w:fill="auto"/>
            <w:vAlign w:val="center"/>
          </w:tcPr>
          <w:p w14:paraId="0021D697">
            <w:pPr>
              <w:jc w:val="center"/>
              <w:rPr>
                <w:rFonts w:hint="eastAsia" w:ascii="宋体" w:hAnsi="宋体" w:cs="宋体"/>
                <w:color w:val="000000" w:themeColor="text1"/>
                <w:sz w:val="24"/>
                <w14:textFill>
                  <w14:solidFill>
                    <w14:schemeClr w14:val="tx1"/>
                  </w14:solidFill>
                </w14:textFill>
              </w:rPr>
            </w:pPr>
          </w:p>
        </w:tc>
        <w:tc>
          <w:tcPr>
            <w:tcW w:w="472" w:type="pct"/>
            <w:vMerge w:val="restart"/>
            <w:tcBorders>
              <w:top w:val="nil"/>
              <w:left w:val="nil"/>
              <w:bottom w:val="single" w:color="000000" w:sz="8" w:space="0"/>
              <w:right w:val="single" w:color="000000" w:sz="8" w:space="0"/>
            </w:tcBorders>
            <w:shd w:val="clear" w:color="auto" w:fill="auto"/>
            <w:vAlign w:val="center"/>
          </w:tcPr>
          <w:p w14:paraId="2D321F12">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会议审议</w:t>
            </w:r>
          </w:p>
        </w:tc>
        <w:tc>
          <w:tcPr>
            <w:tcW w:w="472" w:type="pct"/>
            <w:tcBorders>
              <w:top w:val="nil"/>
              <w:left w:val="nil"/>
              <w:bottom w:val="single" w:color="000000" w:sz="8" w:space="0"/>
              <w:right w:val="single" w:color="000000" w:sz="8" w:space="0"/>
            </w:tcBorders>
            <w:shd w:val="clear" w:color="auto" w:fill="auto"/>
            <w:vAlign w:val="center"/>
          </w:tcPr>
          <w:p w14:paraId="76DEC290">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主任会议</w:t>
            </w:r>
          </w:p>
        </w:tc>
        <w:tc>
          <w:tcPr>
            <w:tcW w:w="3108" w:type="pct"/>
            <w:vMerge w:val="restart"/>
            <w:tcBorders>
              <w:top w:val="nil"/>
              <w:left w:val="nil"/>
              <w:bottom w:val="single" w:color="000000" w:sz="8" w:space="0"/>
              <w:right w:val="single" w:color="000000" w:sz="8" w:space="0"/>
            </w:tcBorders>
            <w:shd w:val="clear" w:color="auto" w:fill="auto"/>
            <w:vAlign w:val="center"/>
          </w:tcPr>
          <w:p w14:paraId="5ADB1269">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主任会议的监督上会信息以及常委会审议意见书的信息</w:t>
            </w:r>
          </w:p>
        </w:tc>
      </w:tr>
      <w:tr w14:paraId="09CEE1B6">
        <w:tblPrEx>
          <w:tblCellMar>
            <w:top w:w="0" w:type="dxa"/>
            <w:left w:w="108" w:type="dxa"/>
            <w:bottom w:w="0" w:type="dxa"/>
            <w:right w:w="108" w:type="dxa"/>
          </w:tblCellMar>
        </w:tblPrEx>
        <w:trPr>
          <w:trHeight w:val="639" w:hRule="atLeast"/>
        </w:trPr>
        <w:tc>
          <w:tcPr>
            <w:tcW w:w="472" w:type="pct"/>
            <w:tcBorders>
              <w:top w:val="nil"/>
              <w:left w:val="single" w:color="000000" w:sz="8" w:space="0"/>
              <w:bottom w:val="single" w:color="000000" w:sz="8" w:space="0"/>
              <w:right w:val="single" w:color="000000" w:sz="8" w:space="0"/>
            </w:tcBorders>
            <w:shd w:val="clear" w:color="auto" w:fill="auto"/>
            <w:noWrap/>
            <w:vAlign w:val="center"/>
          </w:tcPr>
          <w:p w14:paraId="3456C8B3">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23</w:t>
            </w:r>
          </w:p>
        </w:tc>
        <w:tc>
          <w:tcPr>
            <w:tcW w:w="472" w:type="pct"/>
            <w:vMerge w:val="continue"/>
            <w:tcBorders>
              <w:top w:val="nil"/>
              <w:left w:val="nil"/>
              <w:bottom w:val="single" w:color="000000" w:sz="8" w:space="0"/>
              <w:right w:val="single" w:color="000000" w:sz="8" w:space="0"/>
            </w:tcBorders>
            <w:shd w:val="clear" w:color="auto" w:fill="auto"/>
            <w:vAlign w:val="center"/>
          </w:tcPr>
          <w:p w14:paraId="005E589E">
            <w:pPr>
              <w:jc w:val="center"/>
              <w:rPr>
                <w:rFonts w:hint="eastAsia" w:ascii="宋体" w:hAnsi="宋体" w:cs="宋体"/>
                <w:color w:val="000000" w:themeColor="text1"/>
                <w:sz w:val="24"/>
                <w14:textFill>
                  <w14:solidFill>
                    <w14:schemeClr w14:val="tx1"/>
                  </w14:solidFill>
                </w14:textFill>
              </w:rPr>
            </w:pPr>
          </w:p>
        </w:tc>
        <w:tc>
          <w:tcPr>
            <w:tcW w:w="472" w:type="pct"/>
            <w:vMerge w:val="continue"/>
            <w:tcBorders>
              <w:top w:val="nil"/>
              <w:left w:val="nil"/>
              <w:bottom w:val="single" w:color="000000" w:sz="8" w:space="0"/>
              <w:right w:val="single" w:color="000000" w:sz="8" w:space="0"/>
            </w:tcBorders>
            <w:shd w:val="clear" w:color="auto" w:fill="auto"/>
            <w:vAlign w:val="center"/>
          </w:tcPr>
          <w:p w14:paraId="3E7A53DB">
            <w:pPr>
              <w:jc w:val="left"/>
              <w:rPr>
                <w:rFonts w:hint="eastAsia" w:ascii="宋体" w:hAnsi="宋体" w:cs="宋体"/>
                <w:color w:val="000000" w:themeColor="text1"/>
                <w:sz w:val="24"/>
                <w14:textFill>
                  <w14:solidFill>
                    <w14:schemeClr w14:val="tx1"/>
                  </w14:solidFill>
                </w14:textFill>
              </w:rPr>
            </w:pPr>
          </w:p>
        </w:tc>
        <w:tc>
          <w:tcPr>
            <w:tcW w:w="472" w:type="pct"/>
            <w:tcBorders>
              <w:top w:val="nil"/>
              <w:left w:val="nil"/>
              <w:bottom w:val="single" w:color="000000" w:sz="8" w:space="0"/>
              <w:right w:val="single" w:color="000000" w:sz="8" w:space="0"/>
            </w:tcBorders>
            <w:shd w:val="clear" w:color="auto" w:fill="auto"/>
            <w:vAlign w:val="center"/>
          </w:tcPr>
          <w:p w14:paraId="75EFC3B6">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常委会会议</w:t>
            </w:r>
          </w:p>
        </w:tc>
        <w:tc>
          <w:tcPr>
            <w:tcW w:w="3108" w:type="pct"/>
            <w:vMerge w:val="continue"/>
            <w:tcBorders>
              <w:top w:val="nil"/>
              <w:left w:val="nil"/>
              <w:bottom w:val="single" w:color="000000" w:sz="8" w:space="0"/>
              <w:right w:val="single" w:color="000000" w:sz="8" w:space="0"/>
            </w:tcBorders>
            <w:shd w:val="clear" w:color="auto" w:fill="auto"/>
            <w:vAlign w:val="center"/>
          </w:tcPr>
          <w:p w14:paraId="0A340C77">
            <w:pPr>
              <w:jc w:val="left"/>
              <w:rPr>
                <w:rFonts w:hint="eastAsia" w:ascii="宋体" w:hAnsi="宋体" w:cs="宋体"/>
                <w:color w:val="000000" w:themeColor="text1"/>
                <w:sz w:val="24"/>
                <w14:textFill>
                  <w14:solidFill>
                    <w14:schemeClr w14:val="tx1"/>
                  </w14:solidFill>
                </w14:textFill>
              </w:rPr>
            </w:pPr>
          </w:p>
        </w:tc>
      </w:tr>
      <w:tr w14:paraId="0DA567BF">
        <w:tblPrEx>
          <w:tblCellMar>
            <w:top w:w="0" w:type="dxa"/>
            <w:left w:w="108" w:type="dxa"/>
            <w:bottom w:w="0" w:type="dxa"/>
            <w:right w:w="108" w:type="dxa"/>
          </w:tblCellMar>
        </w:tblPrEx>
        <w:trPr>
          <w:trHeight w:val="951" w:hRule="atLeast"/>
        </w:trPr>
        <w:tc>
          <w:tcPr>
            <w:tcW w:w="472" w:type="pct"/>
            <w:tcBorders>
              <w:top w:val="nil"/>
              <w:left w:val="single" w:color="000000" w:sz="8" w:space="0"/>
              <w:bottom w:val="single" w:color="000000" w:sz="8" w:space="0"/>
              <w:right w:val="single" w:color="000000" w:sz="8" w:space="0"/>
            </w:tcBorders>
            <w:shd w:val="clear" w:color="auto" w:fill="auto"/>
            <w:noWrap/>
            <w:vAlign w:val="center"/>
          </w:tcPr>
          <w:p w14:paraId="60B5CA99">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24</w:t>
            </w:r>
          </w:p>
        </w:tc>
        <w:tc>
          <w:tcPr>
            <w:tcW w:w="472" w:type="pct"/>
            <w:vMerge w:val="continue"/>
            <w:tcBorders>
              <w:top w:val="nil"/>
              <w:left w:val="nil"/>
              <w:bottom w:val="single" w:color="000000" w:sz="8" w:space="0"/>
              <w:right w:val="single" w:color="000000" w:sz="8" w:space="0"/>
            </w:tcBorders>
            <w:shd w:val="clear" w:color="auto" w:fill="auto"/>
            <w:vAlign w:val="center"/>
          </w:tcPr>
          <w:p w14:paraId="392A345C">
            <w:pPr>
              <w:jc w:val="center"/>
              <w:rPr>
                <w:rFonts w:hint="eastAsia" w:ascii="宋体" w:hAnsi="宋体" w:cs="宋体"/>
                <w:color w:val="000000" w:themeColor="text1"/>
                <w:sz w:val="24"/>
                <w14:textFill>
                  <w14:solidFill>
                    <w14:schemeClr w14:val="tx1"/>
                  </w14:solidFill>
                </w14:textFill>
              </w:rPr>
            </w:pPr>
          </w:p>
        </w:tc>
        <w:tc>
          <w:tcPr>
            <w:tcW w:w="472" w:type="pct"/>
            <w:vMerge w:val="continue"/>
            <w:tcBorders>
              <w:top w:val="nil"/>
              <w:left w:val="nil"/>
              <w:bottom w:val="single" w:color="000000" w:sz="8" w:space="0"/>
              <w:right w:val="single" w:color="000000" w:sz="8" w:space="0"/>
            </w:tcBorders>
            <w:shd w:val="clear" w:color="auto" w:fill="auto"/>
            <w:vAlign w:val="center"/>
          </w:tcPr>
          <w:p w14:paraId="23279307">
            <w:pPr>
              <w:jc w:val="left"/>
              <w:rPr>
                <w:rFonts w:hint="eastAsia" w:ascii="宋体" w:hAnsi="宋体" w:cs="宋体"/>
                <w:color w:val="000000" w:themeColor="text1"/>
                <w:sz w:val="24"/>
                <w14:textFill>
                  <w14:solidFill>
                    <w14:schemeClr w14:val="tx1"/>
                  </w14:solidFill>
                </w14:textFill>
              </w:rPr>
            </w:pPr>
          </w:p>
        </w:tc>
        <w:tc>
          <w:tcPr>
            <w:tcW w:w="472" w:type="pct"/>
            <w:tcBorders>
              <w:top w:val="nil"/>
              <w:left w:val="nil"/>
              <w:bottom w:val="single" w:color="000000" w:sz="8" w:space="0"/>
              <w:right w:val="single" w:color="000000" w:sz="8" w:space="0"/>
            </w:tcBorders>
            <w:shd w:val="clear" w:color="auto" w:fill="auto"/>
            <w:vAlign w:val="center"/>
          </w:tcPr>
          <w:p w14:paraId="404032B5">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专题询问</w:t>
            </w:r>
          </w:p>
        </w:tc>
        <w:tc>
          <w:tcPr>
            <w:tcW w:w="3108" w:type="pct"/>
            <w:vMerge w:val="continue"/>
            <w:tcBorders>
              <w:top w:val="nil"/>
              <w:left w:val="nil"/>
              <w:bottom w:val="single" w:color="000000" w:sz="8" w:space="0"/>
              <w:right w:val="single" w:color="000000" w:sz="8" w:space="0"/>
            </w:tcBorders>
            <w:shd w:val="clear" w:color="auto" w:fill="auto"/>
            <w:vAlign w:val="center"/>
          </w:tcPr>
          <w:p w14:paraId="79E6284F">
            <w:pPr>
              <w:jc w:val="left"/>
              <w:rPr>
                <w:rFonts w:hint="eastAsia" w:ascii="宋体" w:hAnsi="宋体" w:cs="宋体"/>
                <w:color w:val="000000" w:themeColor="text1"/>
                <w:sz w:val="24"/>
                <w14:textFill>
                  <w14:solidFill>
                    <w14:schemeClr w14:val="tx1"/>
                  </w14:solidFill>
                </w14:textFill>
              </w:rPr>
            </w:pPr>
          </w:p>
        </w:tc>
      </w:tr>
      <w:tr w14:paraId="440ED1F0">
        <w:tblPrEx>
          <w:tblCellMar>
            <w:top w:w="0" w:type="dxa"/>
            <w:left w:w="108" w:type="dxa"/>
            <w:bottom w:w="0" w:type="dxa"/>
            <w:right w:w="108" w:type="dxa"/>
          </w:tblCellMar>
        </w:tblPrEx>
        <w:trPr>
          <w:trHeight w:val="951" w:hRule="atLeast"/>
        </w:trPr>
        <w:tc>
          <w:tcPr>
            <w:tcW w:w="472" w:type="pct"/>
            <w:tcBorders>
              <w:top w:val="nil"/>
              <w:left w:val="single" w:color="000000" w:sz="8" w:space="0"/>
              <w:bottom w:val="single" w:color="000000" w:sz="8" w:space="0"/>
              <w:right w:val="single" w:color="000000" w:sz="8" w:space="0"/>
            </w:tcBorders>
            <w:shd w:val="clear" w:color="auto" w:fill="auto"/>
            <w:noWrap/>
            <w:vAlign w:val="center"/>
          </w:tcPr>
          <w:p w14:paraId="1D89C668">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25</w:t>
            </w:r>
          </w:p>
        </w:tc>
        <w:tc>
          <w:tcPr>
            <w:tcW w:w="472" w:type="pct"/>
            <w:vMerge w:val="continue"/>
            <w:tcBorders>
              <w:top w:val="nil"/>
              <w:left w:val="nil"/>
              <w:bottom w:val="single" w:color="000000" w:sz="8" w:space="0"/>
              <w:right w:val="single" w:color="000000" w:sz="8" w:space="0"/>
            </w:tcBorders>
            <w:shd w:val="clear" w:color="auto" w:fill="auto"/>
            <w:vAlign w:val="center"/>
          </w:tcPr>
          <w:p w14:paraId="498D4A37">
            <w:pPr>
              <w:jc w:val="center"/>
              <w:rPr>
                <w:rFonts w:hint="eastAsia" w:ascii="宋体" w:hAnsi="宋体" w:cs="宋体"/>
                <w:color w:val="000000" w:themeColor="text1"/>
                <w:sz w:val="24"/>
                <w14:textFill>
                  <w14:solidFill>
                    <w14:schemeClr w14:val="tx1"/>
                  </w14:solidFill>
                </w14:textFill>
              </w:rPr>
            </w:pPr>
          </w:p>
        </w:tc>
        <w:tc>
          <w:tcPr>
            <w:tcW w:w="472" w:type="pct"/>
            <w:vMerge w:val="continue"/>
            <w:tcBorders>
              <w:top w:val="nil"/>
              <w:left w:val="nil"/>
              <w:bottom w:val="single" w:color="000000" w:sz="8" w:space="0"/>
              <w:right w:val="single" w:color="000000" w:sz="8" w:space="0"/>
            </w:tcBorders>
            <w:shd w:val="clear" w:color="auto" w:fill="auto"/>
            <w:vAlign w:val="center"/>
          </w:tcPr>
          <w:p w14:paraId="4C64EFEE">
            <w:pPr>
              <w:jc w:val="left"/>
              <w:rPr>
                <w:rFonts w:hint="eastAsia" w:ascii="宋体" w:hAnsi="宋体" w:cs="宋体"/>
                <w:color w:val="000000" w:themeColor="text1"/>
                <w:sz w:val="24"/>
                <w14:textFill>
                  <w14:solidFill>
                    <w14:schemeClr w14:val="tx1"/>
                  </w14:solidFill>
                </w14:textFill>
              </w:rPr>
            </w:pPr>
          </w:p>
        </w:tc>
        <w:tc>
          <w:tcPr>
            <w:tcW w:w="472" w:type="pct"/>
            <w:tcBorders>
              <w:top w:val="nil"/>
              <w:left w:val="nil"/>
              <w:bottom w:val="single" w:color="000000" w:sz="8" w:space="0"/>
              <w:right w:val="single" w:color="000000" w:sz="8" w:space="0"/>
            </w:tcBorders>
            <w:shd w:val="clear" w:color="auto" w:fill="auto"/>
            <w:vAlign w:val="center"/>
          </w:tcPr>
          <w:p w14:paraId="57555008">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常委会测评</w:t>
            </w:r>
          </w:p>
        </w:tc>
        <w:tc>
          <w:tcPr>
            <w:tcW w:w="3108" w:type="pct"/>
            <w:vMerge w:val="continue"/>
            <w:tcBorders>
              <w:top w:val="nil"/>
              <w:left w:val="nil"/>
              <w:bottom w:val="single" w:color="000000" w:sz="8" w:space="0"/>
              <w:right w:val="single" w:color="000000" w:sz="8" w:space="0"/>
            </w:tcBorders>
            <w:shd w:val="clear" w:color="auto" w:fill="auto"/>
            <w:vAlign w:val="center"/>
          </w:tcPr>
          <w:p w14:paraId="7EEC2330">
            <w:pPr>
              <w:jc w:val="left"/>
              <w:rPr>
                <w:rFonts w:hint="eastAsia" w:ascii="宋体" w:hAnsi="宋体" w:cs="宋体"/>
                <w:color w:val="000000" w:themeColor="text1"/>
                <w:sz w:val="24"/>
                <w14:textFill>
                  <w14:solidFill>
                    <w14:schemeClr w14:val="tx1"/>
                  </w14:solidFill>
                </w14:textFill>
              </w:rPr>
            </w:pPr>
          </w:p>
        </w:tc>
      </w:tr>
      <w:tr w14:paraId="4DF19176">
        <w:tblPrEx>
          <w:tblCellMar>
            <w:top w:w="0" w:type="dxa"/>
            <w:left w:w="108" w:type="dxa"/>
            <w:bottom w:w="0" w:type="dxa"/>
            <w:right w:w="108" w:type="dxa"/>
          </w:tblCellMar>
        </w:tblPrEx>
        <w:trPr>
          <w:trHeight w:val="639" w:hRule="atLeast"/>
        </w:trPr>
        <w:tc>
          <w:tcPr>
            <w:tcW w:w="472" w:type="pct"/>
            <w:tcBorders>
              <w:top w:val="nil"/>
              <w:left w:val="single" w:color="000000" w:sz="8" w:space="0"/>
              <w:bottom w:val="single" w:color="000000" w:sz="8" w:space="0"/>
              <w:right w:val="single" w:color="000000" w:sz="8" w:space="0"/>
            </w:tcBorders>
            <w:shd w:val="clear" w:color="auto" w:fill="auto"/>
            <w:noWrap/>
            <w:vAlign w:val="center"/>
          </w:tcPr>
          <w:p w14:paraId="0798B471">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26</w:t>
            </w:r>
          </w:p>
        </w:tc>
        <w:tc>
          <w:tcPr>
            <w:tcW w:w="472" w:type="pct"/>
            <w:vMerge w:val="continue"/>
            <w:tcBorders>
              <w:top w:val="nil"/>
              <w:left w:val="nil"/>
              <w:bottom w:val="single" w:color="000000" w:sz="8" w:space="0"/>
              <w:right w:val="single" w:color="000000" w:sz="8" w:space="0"/>
            </w:tcBorders>
            <w:shd w:val="clear" w:color="auto" w:fill="auto"/>
            <w:vAlign w:val="center"/>
          </w:tcPr>
          <w:p w14:paraId="084EF4C6">
            <w:pPr>
              <w:jc w:val="center"/>
              <w:rPr>
                <w:rFonts w:hint="eastAsia" w:ascii="宋体" w:hAnsi="宋体" w:cs="宋体"/>
                <w:color w:val="000000" w:themeColor="text1"/>
                <w:sz w:val="24"/>
                <w14:textFill>
                  <w14:solidFill>
                    <w14:schemeClr w14:val="tx1"/>
                  </w14:solidFill>
                </w14:textFill>
              </w:rPr>
            </w:pPr>
          </w:p>
        </w:tc>
        <w:tc>
          <w:tcPr>
            <w:tcW w:w="472" w:type="pct"/>
            <w:vMerge w:val="continue"/>
            <w:tcBorders>
              <w:top w:val="nil"/>
              <w:left w:val="nil"/>
              <w:bottom w:val="single" w:color="000000" w:sz="8" w:space="0"/>
              <w:right w:val="single" w:color="000000" w:sz="8" w:space="0"/>
            </w:tcBorders>
            <w:shd w:val="clear" w:color="auto" w:fill="auto"/>
            <w:vAlign w:val="center"/>
          </w:tcPr>
          <w:p w14:paraId="5810F95D">
            <w:pPr>
              <w:jc w:val="left"/>
              <w:rPr>
                <w:rFonts w:hint="eastAsia" w:ascii="宋体" w:hAnsi="宋体" w:cs="宋体"/>
                <w:color w:val="000000" w:themeColor="text1"/>
                <w:sz w:val="24"/>
                <w14:textFill>
                  <w14:solidFill>
                    <w14:schemeClr w14:val="tx1"/>
                  </w14:solidFill>
                </w14:textFill>
              </w:rPr>
            </w:pPr>
          </w:p>
        </w:tc>
        <w:tc>
          <w:tcPr>
            <w:tcW w:w="472" w:type="pct"/>
            <w:tcBorders>
              <w:top w:val="nil"/>
              <w:left w:val="nil"/>
              <w:bottom w:val="single" w:color="000000" w:sz="8" w:space="0"/>
              <w:right w:val="single" w:color="000000" w:sz="8" w:space="0"/>
            </w:tcBorders>
            <w:shd w:val="clear" w:color="auto" w:fill="auto"/>
            <w:vAlign w:val="center"/>
          </w:tcPr>
          <w:p w14:paraId="1E3B4FC9">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形成审议意见</w:t>
            </w:r>
          </w:p>
        </w:tc>
        <w:tc>
          <w:tcPr>
            <w:tcW w:w="3108" w:type="pct"/>
            <w:vMerge w:val="continue"/>
            <w:tcBorders>
              <w:top w:val="nil"/>
              <w:left w:val="nil"/>
              <w:bottom w:val="single" w:color="000000" w:sz="8" w:space="0"/>
              <w:right w:val="single" w:color="000000" w:sz="8" w:space="0"/>
            </w:tcBorders>
            <w:shd w:val="clear" w:color="auto" w:fill="auto"/>
            <w:vAlign w:val="center"/>
          </w:tcPr>
          <w:p w14:paraId="6470942E">
            <w:pPr>
              <w:jc w:val="left"/>
              <w:rPr>
                <w:rFonts w:hint="eastAsia" w:ascii="宋体" w:hAnsi="宋体" w:cs="宋体"/>
                <w:color w:val="000000" w:themeColor="text1"/>
                <w:sz w:val="24"/>
                <w14:textFill>
                  <w14:solidFill>
                    <w14:schemeClr w14:val="tx1"/>
                  </w14:solidFill>
                </w14:textFill>
              </w:rPr>
            </w:pPr>
          </w:p>
        </w:tc>
      </w:tr>
      <w:tr w14:paraId="5EDDB6C0">
        <w:tblPrEx>
          <w:tblCellMar>
            <w:top w:w="0" w:type="dxa"/>
            <w:left w:w="108" w:type="dxa"/>
            <w:bottom w:w="0" w:type="dxa"/>
            <w:right w:w="108" w:type="dxa"/>
          </w:tblCellMar>
        </w:tblPrEx>
        <w:trPr>
          <w:trHeight w:val="639" w:hRule="atLeast"/>
        </w:trPr>
        <w:tc>
          <w:tcPr>
            <w:tcW w:w="472" w:type="pct"/>
            <w:tcBorders>
              <w:top w:val="nil"/>
              <w:left w:val="single" w:color="000000" w:sz="8" w:space="0"/>
              <w:bottom w:val="single" w:color="000000" w:sz="8" w:space="0"/>
              <w:right w:val="single" w:color="000000" w:sz="8" w:space="0"/>
            </w:tcBorders>
            <w:shd w:val="clear" w:color="auto" w:fill="auto"/>
            <w:noWrap/>
            <w:vAlign w:val="center"/>
          </w:tcPr>
          <w:p w14:paraId="47663329">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27</w:t>
            </w:r>
          </w:p>
        </w:tc>
        <w:tc>
          <w:tcPr>
            <w:tcW w:w="472" w:type="pct"/>
            <w:vMerge w:val="continue"/>
            <w:tcBorders>
              <w:top w:val="nil"/>
              <w:left w:val="nil"/>
              <w:bottom w:val="single" w:color="000000" w:sz="8" w:space="0"/>
              <w:right w:val="single" w:color="000000" w:sz="8" w:space="0"/>
            </w:tcBorders>
            <w:shd w:val="clear" w:color="auto" w:fill="auto"/>
            <w:vAlign w:val="center"/>
          </w:tcPr>
          <w:p w14:paraId="36C576D3">
            <w:pPr>
              <w:jc w:val="center"/>
              <w:rPr>
                <w:rFonts w:hint="eastAsia" w:ascii="宋体" w:hAnsi="宋体" w:cs="宋体"/>
                <w:color w:val="000000" w:themeColor="text1"/>
                <w:sz w:val="24"/>
                <w14:textFill>
                  <w14:solidFill>
                    <w14:schemeClr w14:val="tx1"/>
                  </w14:solidFill>
                </w14:textFill>
              </w:rPr>
            </w:pPr>
          </w:p>
        </w:tc>
        <w:tc>
          <w:tcPr>
            <w:tcW w:w="472" w:type="pct"/>
            <w:vMerge w:val="restart"/>
            <w:tcBorders>
              <w:top w:val="nil"/>
              <w:left w:val="nil"/>
              <w:bottom w:val="single" w:color="000000" w:sz="8" w:space="0"/>
              <w:right w:val="single" w:color="000000" w:sz="8" w:space="0"/>
            </w:tcBorders>
            <w:shd w:val="clear" w:color="auto" w:fill="auto"/>
            <w:vAlign w:val="center"/>
          </w:tcPr>
          <w:p w14:paraId="506C48B4">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意见处理</w:t>
            </w:r>
          </w:p>
        </w:tc>
        <w:tc>
          <w:tcPr>
            <w:tcW w:w="472" w:type="pct"/>
            <w:tcBorders>
              <w:top w:val="nil"/>
              <w:left w:val="nil"/>
              <w:bottom w:val="single" w:color="000000" w:sz="8" w:space="0"/>
              <w:right w:val="single" w:color="000000" w:sz="8" w:space="0"/>
            </w:tcBorders>
            <w:shd w:val="clear" w:color="auto" w:fill="auto"/>
            <w:vAlign w:val="center"/>
          </w:tcPr>
          <w:p w14:paraId="652E093D">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审议意见送达</w:t>
            </w:r>
          </w:p>
        </w:tc>
        <w:tc>
          <w:tcPr>
            <w:tcW w:w="3108" w:type="pct"/>
            <w:vMerge w:val="restart"/>
            <w:tcBorders>
              <w:top w:val="nil"/>
              <w:left w:val="nil"/>
              <w:bottom w:val="single" w:color="000000" w:sz="8" w:space="0"/>
              <w:right w:val="single" w:color="000000" w:sz="8" w:space="0"/>
            </w:tcBorders>
            <w:shd w:val="clear" w:color="auto" w:fill="auto"/>
            <w:vAlign w:val="center"/>
          </w:tcPr>
          <w:p w14:paraId="32255FEC">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录入审议意见后的意见处理情况</w:t>
            </w:r>
          </w:p>
        </w:tc>
      </w:tr>
      <w:tr w14:paraId="2AECC8DF">
        <w:tblPrEx>
          <w:tblCellMar>
            <w:top w:w="0" w:type="dxa"/>
            <w:left w:w="108" w:type="dxa"/>
            <w:bottom w:w="0" w:type="dxa"/>
            <w:right w:w="108" w:type="dxa"/>
          </w:tblCellMar>
        </w:tblPrEx>
        <w:trPr>
          <w:trHeight w:val="639" w:hRule="atLeast"/>
        </w:trPr>
        <w:tc>
          <w:tcPr>
            <w:tcW w:w="472" w:type="pct"/>
            <w:tcBorders>
              <w:top w:val="nil"/>
              <w:left w:val="single" w:color="000000" w:sz="8" w:space="0"/>
              <w:bottom w:val="single" w:color="000000" w:sz="8" w:space="0"/>
              <w:right w:val="single" w:color="000000" w:sz="8" w:space="0"/>
            </w:tcBorders>
            <w:shd w:val="clear" w:color="auto" w:fill="auto"/>
            <w:noWrap/>
            <w:vAlign w:val="center"/>
          </w:tcPr>
          <w:p w14:paraId="7AB8D1AB">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28</w:t>
            </w:r>
          </w:p>
        </w:tc>
        <w:tc>
          <w:tcPr>
            <w:tcW w:w="472" w:type="pct"/>
            <w:vMerge w:val="continue"/>
            <w:tcBorders>
              <w:top w:val="nil"/>
              <w:left w:val="nil"/>
              <w:bottom w:val="single" w:color="000000" w:sz="8" w:space="0"/>
              <w:right w:val="single" w:color="000000" w:sz="8" w:space="0"/>
            </w:tcBorders>
            <w:shd w:val="clear" w:color="auto" w:fill="auto"/>
            <w:vAlign w:val="center"/>
          </w:tcPr>
          <w:p w14:paraId="1F5078DF">
            <w:pPr>
              <w:jc w:val="center"/>
              <w:rPr>
                <w:rFonts w:hint="eastAsia" w:ascii="宋体" w:hAnsi="宋体" w:cs="宋体"/>
                <w:color w:val="000000" w:themeColor="text1"/>
                <w:sz w:val="24"/>
                <w14:textFill>
                  <w14:solidFill>
                    <w14:schemeClr w14:val="tx1"/>
                  </w14:solidFill>
                </w14:textFill>
              </w:rPr>
            </w:pPr>
          </w:p>
        </w:tc>
        <w:tc>
          <w:tcPr>
            <w:tcW w:w="472" w:type="pct"/>
            <w:vMerge w:val="continue"/>
            <w:tcBorders>
              <w:top w:val="nil"/>
              <w:left w:val="nil"/>
              <w:bottom w:val="single" w:color="000000" w:sz="8" w:space="0"/>
              <w:right w:val="single" w:color="000000" w:sz="8" w:space="0"/>
            </w:tcBorders>
            <w:shd w:val="clear" w:color="auto" w:fill="auto"/>
            <w:vAlign w:val="center"/>
          </w:tcPr>
          <w:p w14:paraId="6D39BE47">
            <w:pPr>
              <w:jc w:val="left"/>
              <w:rPr>
                <w:rFonts w:hint="eastAsia" w:ascii="宋体" w:hAnsi="宋体" w:cs="宋体"/>
                <w:color w:val="000000" w:themeColor="text1"/>
                <w:sz w:val="24"/>
                <w14:textFill>
                  <w14:solidFill>
                    <w14:schemeClr w14:val="tx1"/>
                  </w14:solidFill>
                </w14:textFill>
              </w:rPr>
            </w:pPr>
          </w:p>
        </w:tc>
        <w:tc>
          <w:tcPr>
            <w:tcW w:w="472" w:type="pct"/>
            <w:tcBorders>
              <w:top w:val="nil"/>
              <w:left w:val="nil"/>
              <w:bottom w:val="single" w:color="000000" w:sz="8" w:space="0"/>
              <w:right w:val="single" w:color="000000" w:sz="8" w:space="0"/>
            </w:tcBorders>
            <w:shd w:val="clear" w:color="auto" w:fill="auto"/>
            <w:vAlign w:val="center"/>
          </w:tcPr>
          <w:p w14:paraId="5B459DA1">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处理情况书面报常委会</w:t>
            </w:r>
          </w:p>
        </w:tc>
        <w:tc>
          <w:tcPr>
            <w:tcW w:w="3108" w:type="pct"/>
            <w:vMerge w:val="continue"/>
            <w:tcBorders>
              <w:top w:val="nil"/>
              <w:left w:val="nil"/>
              <w:bottom w:val="single" w:color="000000" w:sz="8" w:space="0"/>
              <w:right w:val="single" w:color="000000" w:sz="8" w:space="0"/>
            </w:tcBorders>
            <w:shd w:val="clear" w:color="auto" w:fill="auto"/>
            <w:vAlign w:val="center"/>
          </w:tcPr>
          <w:p w14:paraId="18BD22CD">
            <w:pPr>
              <w:jc w:val="left"/>
              <w:rPr>
                <w:rFonts w:hint="eastAsia" w:ascii="宋体" w:hAnsi="宋体" w:cs="宋体"/>
                <w:color w:val="000000" w:themeColor="text1"/>
                <w:sz w:val="24"/>
                <w14:textFill>
                  <w14:solidFill>
                    <w14:schemeClr w14:val="tx1"/>
                  </w14:solidFill>
                </w14:textFill>
              </w:rPr>
            </w:pPr>
          </w:p>
        </w:tc>
      </w:tr>
      <w:tr w14:paraId="79301312">
        <w:tblPrEx>
          <w:tblCellMar>
            <w:top w:w="0" w:type="dxa"/>
            <w:left w:w="108" w:type="dxa"/>
            <w:bottom w:w="0" w:type="dxa"/>
            <w:right w:w="108" w:type="dxa"/>
          </w:tblCellMar>
        </w:tblPrEx>
        <w:trPr>
          <w:trHeight w:val="951" w:hRule="atLeast"/>
        </w:trPr>
        <w:tc>
          <w:tcPr>
            <w:tcW w:w="472" w:type="pct"/>
            <w:tcBorders>
              <w:top w:val="nil"/>
              <w:left w:val="single" w:color="000000" w:sz="8" w:space="0"/>
              <w:bottom w:val="single" w:color="000000" w:sz="8" w:space="0"/>
              <w:right w:val="single" w:color="000000" w:sz="8" w:space="0"/>
            </w:tcBorders>
            <w:shd w:val="clear" w:color="auto" w:fill="auto"/>
            <w:noWrap/>
            <w:vAlign w:val="center"/>
          </w:tcPr>
          <w:p w14:paraId="58E2E7E7">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29</w:t>
            </w:r>
          </w:p>
        </w:tc>
        <w:tc>
          <w:tcPr>
            <w:tcW w:w="472" w:type="pct"/>
            <w:vMerge w:val="continue"/>
            <w:tcBorders>
              <w:top w:val="nil"/>
              <w:left w:val="nil"/>
              <w:bottom w:val="single" w:color="000000" w:sz="8" w:space="0"/>
              <w:right w:val="single" w:color="000000" w:sz="8" w:space="0"/>
            </w:tcBorders>
            <w:shd w:val="clear" w:color="auto" w:fill="auto"/>
            <w:vAlign w:val="center"/>
          </w:tcPr>
          <w:p w14:paraId="13E78168">
            <w:pPr>
              <w:jc w:val="center"/>
              <w:rPr>
                <w:rFonts w:hint="eastAsia" w:ascii="宋体" w:hAnsi="宋体" w:cs="宋体"/>
                <w:color w:val="000000" w:themeColor="text1"/>
                <w:sz w:val="24"/>
                <w14:textFill>
                  <w14:solidFill>
                    <w14:schemeClr w14:val="tx1"/>
                  </w14:solidFill>
                </w14:textFill>
              </w:rPr>
            </w:pPr>
          </w:p>
        </w:tc>
        <w:tc>
          <w:tcPr>
            <w:tcW w:w="472" w:type="pct"/>
            <w:vMerge w:val="continue"/>
            <w:tcBorders>
              <w:top w:val="nil"/>
              <w:left w:val="nil"/>
              <w:bottom w:val="single" w:color="000000" w:sz="8" w:space="0"/>
              <w:right w:val="single" w:color="000000" w:sz="8" w:space="0"/>
            </w:tcBorders>
            <w:shd w:val="clear" w:color="auto" w:fill="auto"/>
            <w:vAlign w:val="center"/>
          </w:tcPr>
          <w:p w14:paraId="335C2941">
            <w:pPr>
              <w:jc w:val="left"/>
              <w:rPr>
                <w:rFonts w:hint="eastAsia" w:ascii="宋体" w:hAnsi="宋体" w:cs="宋体"/>
                <w:color w:val="000000" w:themeColor="text1"/>
                <w:sz w:val="24"/>
                <w14:textFill>
                  <w14:solidFill>
                    <w14:schemeClr w14:val="tx1"/>
                  </w14:solidFill>
                </w14:textFill>
              </w:rPr>
            </w:pPr>
          </w:p>
        </w:tc>
        <w:tc>
          <w:tcPr>
            <w:tcW w:w="472" w:type="pct"/>
            <w:tcBorders>
              <w:top w:val="nil"/>
              <w:left w:val="nil"/>
              <w:bottom w:val="single" w:color="000000" w:sz="8" w:space="0"/>
              <w:right w:val="single" w:color="000000" w:sz="8" w:space="0"/>
            </w:tcBorders>
            <w:shd w:val="clear" w:color="auto" w:fill="auto"/>
            <w:vAlign w:val="center"/>
          </w:tcPr>
          <w:p w14:paraId="71A77E79">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通报公布（工作公开）</w:t>
            </w:r>
          </w:p>
        </w:tc>
        <w:tc>
          <w:tcPr>
            <w:tcW w:w="3108" w:type="pct"/>
            <w:vMerge w:val="continue"/>
            <w:tcBorders>
              <w:top w:val="nil"/>
              <w:left w:val="nil"/>
              <w:bottom w:val="single" w:color="000000" w:sz="8" w:space="0"/>
              <w:right w:val="single" w:color="000000" w:sz="8" w:space="0"/>
            </w:tcBorders>
            <w:shd w:val="clear" w:color="auto" w:fill="auto"/>
            <w:vAlign w:val="center"/>
          </w:tcPr>
          <w:p w14:paraId="41ABDC52">
            <w:pPr>
              <w:jc w:val="left"/>
              <w:rPr>
                <w:rFonts w:hint="eastAsia" w:ascii="宋体" w:hAnsi="宋体" w:cs="宋体"/>
                <w:color w:val="000000" w:themeColor="text1"/>
                <w:sz w:val="24"/>
                <w14:textFill>
                  <w14:solidFill>
                    <w14:schemeClr w14:val="tx1"/>
                  </w14:solidFill>
                </w14:textFill>
              </w:rPr>
            </w:pPr>
          </w:p>
        </w:tc>
      </w:tr>
      <w:tr w14:paraId="1696E613">
        <w:tblPrEx>
          <w:tblCellMar>
            <w:top w:w="0" w:type="dxa"/>
            <w:left w:w="108" w:type="dxa"/>
            <w:bottom w:w="0" w:type="dxa"/>
            <w:right w:w="108" w:type="dxa"/>
          </w:tblCellMar>
        </w:tblPrEx>
        <w:trPr>
          <w:trHeight w:val="639" w:hRule="atLeast"/>
        </w:trPr>
        <w:tc>
          <w:tcPr>
            <w:tcW w:w="472" w:type="pct"/>
            <w:tcBorders>
              <w:top w:val="nil"/>
              <w:left w:val="single" w:color="000000" w:sz="8" w:space="0"/>
              <w:bottom w:val="single" w:color="000000" w:sz="8" w:space="0"/>
              <w:right w:val="single" w:color="000000" w:sz="8" w:space="0"/>
            </w:tcBorders>
            <w:shd w:val="clear" w:color="auto" w:fill="auto"/>
            <w:noWrap/>
            <w:vAlign w:val="center"/>
          </w:tcPr>
          <w:p w14:paraId="44589F36">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30</w:t>
            </w:r>
          </w:p>
        </w:tc>
        <w:tc>
          <w:tcPr>
            <w:tcW w:w="472" w:type="pct"/>
            <w:vMerge w:val="continue"/>
            <w:tcBorders>
              <w:top w:val="nil"/>
              <w:left w:val="nil"/>
              <w:bottom w:val="single" w:color="000000" w:sz="8" w:space="0"/>
              <w:right w:val="single" w:color="000000" w:sz="8" w:space="0"/>
            </w:tcBorders>
            <w:shd w:val="clear" w:color="auto" w:fill="auto"/>
            <w:vAlign w:val="center"/>
          </w:tcPr>
          <w:p w14:paraId="16E0B642">
            <w:pPr>
              <w:jc w:val="center"/>
              <w:rPr>
                <w:rFonts w:hint="eastAsia" w:ascii="宋体" w:hAnsi="宋体" w:cs="宋体"/>
                <w:color w:val="000000" w:themeColor="text1"/>
                <w:sz w:val="24"/>
                <w14:textFill>
                  <w14:solidFill>
                    <w14:schemeClr w14:val="tx1"/>
                  </w14:solidFill>
                </w14:textFill>
              </w:rPr>
            </w:pPr>
          </w:p>
        </w:tc>
        <w:tc>
          <w:tcPr>
            <w:tcW w:w="472" w:type="pct"/>
            <w:vMerge w:val="continue"/>
            <w:tcBorders>
              <w:top w:val="nil"/>
              <w:left w:val="nil"/>
              <w:bottom w:val="single" w:color="000000" w:sz="8" w:space="0"/>
              <w:right w:val="single" w:color="000000" w:sz="8" w:space="0"/>
            </w:tcBorders>
            <w:shd w:val="clear" w:color="auto" w:fill="auto"/>
            <w:vAlign w:val="center"/>
          </w:tcPr>
          <w:p w14:paraId="45BCBB12">
            <w:pPr>
              <w:jc w:val="left"/>
              <w:rPr>
                <w:rFonts w:hint="eastAsia" w:ascii="宋体" w:hAnsi="宋体" w:cs="宋体"/>
                <w:color w:val="000000" w:themeColor="text1"/>
                <w:sz w:val="24"/>
                <w14:textFill>
                  <w14:solidFill>
                    <w14:schemeClr w14:val="tx1"/>
                  </w14:solidFill>
                </w14:textFill>
              </w:rPr>
            </w:pPr>
          </w:p>
        </w:tc>
        <w:tc>
          <w:tcPr>
            <w:tcW w:w="472" w:type="pct"/>
            <w:tcBorders>
              <w:top w:val="nil"/>
              <w:left w:val="nil"/>
              <w:bottom w:val="single" w:color="000000" w:sz="8" w:space="0"/>
              <w:right w:val="single" w:color="000000" w:sz="8" w:space="0"/>
            </w:tcBorders>
            <w:shd w:val="clear" w:color="auto" w:fill="auto"/>
            <w:vAlign w:val="center"/>
          </w:tcPr>
          <w:p w14:paraId="74618B1C">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常委会审议</w:t>
            </w:r>
          </w:p>
        </w:tc>
        <w:tc>
          <w:tcPr>
            <w:tcW w:w="3108" w:type="pct"/>
            <w:vMerge w:val="continue"/>
            <w:tcBorders>
              <w:top w:val="nil"/>
              <w:left w:val="nil"/>
              <w:bottom w:val="single" w:color="000000" w:sz="8" w:space="0"/>
              <w:right w:val="single" w:color="000000" w:sz="8" w:space="0"/>
            </w:tcBorders>
            <w:shd w:val="clear" w:color="auto" w:fill="auto"/>
            <w:vAlign w:val="center"/>
          </w:tcPr>
          <w:p w14:paraId="5D22AEC0">
            <w:pPr>
              <w:jc w:val="left"/>
              <w:rPr>
                <w:rFonts w:hint="eastAsia" w:ascii="宋体" w:hAnsi="宋体" w:cs="宋体"/>
                <w:color w:val="000000" w:themeColor="text1"/>
                <w:sz w:val="24"/>
                <w14:textFill>
                  <w14:solidFill>
                    <w14:schemeClr w14:val="tx1"/>
                  </w14:solidFill>
                </w14:textFill>
              </w:rPr>
            </w:pPr>
          </w:p>
        </w:tc>
      </w:tr>
      <w:tr w14:paraId="0119F220">
        <w:tblPrEx>
          <w:tblCellMar>
            <w:top w:w="0" w:type="dxa"/>
            <w:left w:w="108" w:type="dxa"/>
            <w:bottom w:w="0" w:type="dxa"/>
            <w:right w:w="108" w:type="dxa"/>
          </w:tblCellMar>
        </w:tblPrEx>
        <w:trPr>
          <w:trHeight w:val="639" w:hRule="atLeast"/>
        </w:trPr>
        <w:tc>
          <w:tcPr>
            <w:tcW w:w="472" w:type="pct"/>
            <w:tcBorders>
              <w:top w:val="nil"/>
              <w:left w:val="single" w:color="000000" w:sz="8" w:space="0"/>
              <w:bottom w:val="single" w:color="000000" w:sz="8" w:space="0"/>
              <w:right w:val="single" w:color="000000" w:sz="8" w:space="0"/>
            </w:tcBorders>
            <w:shd w:val="clear" w:color="auto" w:fill="auto"/>
            <w:noWrap/>
            <w:vAlign w:val="center"/>
          </w:tcPr>
          <w:p w14:paraId="36053714">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31</w:t>
            </w:r>
          </w:p>
        </w:tc>
        <w:tc>
          <w:tcPr>
            <w:tcW w:w="472" w:type="pct"/>
            <w:vMerge w:val="continue"/>
            <w:tcBorders>
              <w:top w:val="nil"/>
              <w:left w:val="nil"/>
              <w:bottom w:val="single" w:color="000000" w:sz="8" w:space="0"/>
              <w:right w:val="single" w:color="000000" w:sz="8" w:space="0"/>
            </w:tcBorders>
            <w:shd w:val="clear" w:color="auto" w:fill="auto"/>
            <w:vAlign w:val="center"/>
          </w:tcPr>
          <w:p w14:paraId="011EBB62">
            <w:pPr>
              <w:jc w:val="center"/>
              <w:rPr>
                <w:rFonts w:hint="eastAsia" w:ascii="宋体" w:hAnsi="宋体" w:cs="宋体"/>
                <w:color w:val="000000" w:themeColor="text1"/>
                <w:sz w:val="24"/>
                <w14:textFill>
                  <w14:solidFill>
                    <w14:schemeClr w14:val="tx1"/>
                  </w14:solidFill>
                </w14:textFill>
              </w:rPr>
            </w:pPr>
          </w:p>
        </w:tc>
        <w:tc>
          <w:tcPr>
            <w:tcW w:w="472" w:type="pct"/>
            <w:vMerge w:val="continue"/>
            <w:tcBorders>
              <w:top w:val="nil"/>
              <w:left w:val="nil"/>
              <w:bottom w:val="single" w:color="000000" w:sz="8" w:space="0"/>
              <w:right w:val="single" w:color="000000" w:sz="8" w:space="0"/>
            </w:tcBorders>
            <w:shd w:val="clear" w:color="auto" w:fill="auto"/>
            <w:vAlign w:val="center"/>
          </w:tcPr>
          <w:p w14:paraId="13074C29">
            <w:pPr>
              <w:jc w:val="left"/>
              <w:rPr>
                <w:rFonts w:hint="eastAsia" w:ascii="宋体" w:hAnsi="宋体" w:cs="宋体"/>
                <w:color w:val="000000" w:themeColor="text1"/>
                <w:sz w:val="24"/>
                <w14:textFill>
                  <w14:solidFill>
                    <w14:schemeClr w14:val="tx1"/>
                  </w14:solidFill>
                </w14:textFill>
              </w:rPr>
            </w:pPr>
          </w:p>
        </w:tc>
        <w:tc>
          <w:tcPr>
            <w:tcW w:w="472" w:type="pct"/>
            <w:tcBorders>
              <w:top w:val="nil"/>
              <w:left w:val="nil"/>
              <w:bottom w:val="single" w:color="000000" w:sz="8" w:space="0"/>
              <w:right w:val="single" w:color="000000" w:sz="8" w:space="0"/>
            </w:tcBorders>
            <w:shd w:val="clear" w:color="auto" w:fill="auto"/>
            <w:vAlign w:val="center"/>
          </w:tcPr>
          <w:p w14:paraId="1A018528">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跟踪检查</w:t>
            </w:r>
          </w:p>
        </w:tc>
        <w:tc>
          <w:tcPr>
            <w:tcW w:w="3108" w:type="pct"/>
            <w:vMerge w:val="continue"/>
            <w:tcBorders>
              <w:top w:val="nil"/>
              <w:left w:val="nil"/>
              <w:bottom w:val="single" w:color="000000" w:sz="8" w:space="0"/>
              <w:right w:val="single" w:color="000000" w:sz="8" w:space="0"/>
            </w:tcBorders>
            <w:shd w:val="clear" w:color="auto" w:fill="auto"/>
            <w:vAlign w:val="center"/>
          </w:tcPr>
          <w:p w14:paraId="475E20B7">
            <w:pPr>
              <w:jc w:val="left"/>
              <w:rPr>
                <w:rFonts w:hint="eastAsia" w:ascii="宋体" w:hAnsi="宋体" w:cs="宋体"/>
                <w:color w:val="000000" w:themeColor="text1"/>
                <w:sz w:val="24"/>
                <w14:textFill>
                  <w14:solidFill>
                    <w14:schemeClr w14:val="tx1"/>
                  </w14:solidFill>
                </w14:textFill>
              </w:rPr>
            </w:pPr>
          </w:p>
        </w:tc>
      </w:tr>
      <w:tr w14:paraId="292A6F22">
        <w:tblPrEx>
          <w:tblCellMar>
            <w:top w:w="0" w:type="dxa"/>
            <w:left w:w="108" w:type="dxa"/>
            <w:bottom w:w="0" w:type="dxa"/>
            <w:right w:w="108" w:type="dxa"/>
          </w:tblCellMar>
        </w:tblPrEx>
        <w:trPr>
          <w:trHeight w:val="639" w:hRule="atLeast"/>
        </w:trPr>
        <w:tc>
          <w:tcPr>
            <w:tcW w:w="472" w:type="pct"/>
            <w:tcBorders>
              <w:top w:val="nil"/>
              <w:left w:val="single" w:color="000000" w:sz="8" w:space="0"/>
              <w:bottom w:val="single" w:color="000000" w:sz="8" w:space="0"/>
              <w:right w:val="single" w:color="000000" w:sz="8" w:space="0"/>
            </w:tcBorders>
            <w:shd w:val="clear" w:color="auto" w:fill="auto"/>
            <w:noWrap/>
            <w:vAlign w:val="center"/>
          </w:tcPr>
          <w:p w14:paraId="5B6A6521">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32</w:t>
            </w:r>
          </w:p>
        </w:tc>
        <w:tc>
          <w:tcPr>
            <w:tcW w:w="472" w:type="pct"/>
            <w:vMerge w:val="continue"/>
            <w:tcBorders>
              <w:top w:val="nil"/>
              <w:left w:val="nil"/>
              <w:bottom w:val="single" w:color="000000" w:sz="8" w:space="0"/>
              <w:right w:val="single" w:color="000000" w:sz="8" w:space="0"/>
            </w:tcBorders>
            <w:shd w:val="clear" w:color="auto" w:fill="auto"/>
            <w:vAlign w:val="center"/>
          </w:tcPr>
          <w:p w14:paraId="1BB682FA">
            <w:pPr>
              <w:jc w:val="center"/>
              <w:rPr>
                <w:rFonts w:hint="eastAsia" w:ascii="宋体" w:hAnsi="宋体" w:cs="宋体"/>
                <w:color w:val="000000" w:themeColor="text1"/>
                <w:sz w:val="24"/>
                <w14:textFill>
                  <w14:solidFill>
                    <w14:schemeClr w14:val="tx1"/>
                  </w14:solidFill>
                </w14:textFill>
              </w:rPr>
            </w:pPr>
          </w:p>
        </w:tc>
        <w:tc>
          <w:tcPr>
            <w:tcW w:w="472" w:type="pct"/>
            <w:vMerge w:val="restart"/>
            <w:tcBorders>
              <w:top w:val="nil"/>
              <w:left w:val="nil"/>
              <w:bottom w:val="single" w:color="000000" w:sz="8" w:space="0"/>
              <w:right w:val="single" w:color="000000" w:sz="8" w:space="0"/>
            </w:tcBorders>
            <w:shd w:val="clear" w:color="auto" w:fill="auto"/>
            <w:vAlign w:val="center"/>
          </w:tcPr>
          <w:p w14:paraId="43CB638C">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先期调研及交换意见</w:t>
            </w:r>
          </w:p>
        </w:tc>
        <w:tc>
          <w:tcPr>
            <w:tcW w:w="472" w:type="pct"/>
            <w:tcBorders>
              <w:top w:val="nil"/>
              <w:left w:val="nil"/>
              <w:bottom w:val="single" w:color="000000" w:sz="8" w:space="0"/>
              <w:right w:val="single" w:color="000000" w:sz="8" w:space="0"/>
            </w:tcBorders>
            <w:shd w:val="clear" w:color="auto" w:fill="auto"/>
            <w:vAlign w:val="center"/>
          </w:tcPr>
          <w:p w14:paraId="6CB6CA92">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相关单位数据对接</w:t>
            </w:r>
          </w:p>
        </w:tc>
        <w:tc>
          <w:tcPr>
            <w:tcW w:w="3108" w:type="pct"/>
            <w:vMerge w:val="restart"/>
            <w:tcBorders>
              <w:top w:val="nil"/>
              <w:left w:val="nil"/>
              <w:bottom w:val="single" w:color="000000" w:sz="8" w:space="0"/>
              <w:right w:val="single" w:color="000000" w:sz="8" w:space="0"/>
            </w:tcBorders>
            <w:shd w:val="clear" w:color="auto" w:fill="auto"/>
            <w:vAlign w:val="center"/>
          </w:tcPr>
          <w:p w14:paraId="3B8645A4">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和其他相关单位相关的数据信息</w:t>
            </w:r>
          </w:p>
        </w:tc>
      </w:tr>
      <w:tr w14:paraId="14C1110F">
        <w:tblPrEx>
          <w:tblCellMar>
            <w:top w:w="0" w:type="dxa"/>
            <w:left w:w="108" w:type="dxa"/>
            <w:bottom w:w="0" w:type="dxa"/>
            <w:right w:w="108" w:type="dxa"/>
          </w:tblCellMar>
        </w:tblPrEx>
        <w:trPr>
          <w:trHeight w:val="639" w:hRule="atLeast"/>
        </w:trPr>
        <w:tc>
          <w:tcPr>
            <w:tcW w:w="472" w:type="pct"/>
            <w:tcBorders>
              <w:top w:val="nil"/>
              <w:left w:val="single" w:color="000000" w:sz="8" w:space="0"/>
              <w:bottom w:val="single" w:color="000000" w:sz="8" w:space="0"/>
              <w:right w:val="single" w:color="000000" w:sz="8" w:space="0"/>
            </w:tcBorders>
            <w:shd w:val="clear" w:color="auto" w:fill="auto"/>
            <w:noWrap/>
            <w:vAlign w:val="center"/>
          </w:tcPr>
          <w:p w14:paraId="5BF63AED">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33</w:t>
            </w:r>
          </w:p>
        </w:tc>
        <w:tc>
          <w:tcPr>
            <w:tcW w:w="472" w:type="pct"/>
            <w:vMerge w:val="continue"/>
            <w:tcBorders>
              <w:top w:val="nil"/>
              <w:left w:val="nil"/>
              <w:bottom w:val="single" w:color="000000" w:sz="8" w:space="0"/>
              <w:right w:val="single" w:color="000000" w:sz="8" w:space="0"/>
            </w:tcBorders>
            <w:shd w:val="clear" w:color="auto" w:fill="auto"/>
            <w:vAlign w:val="center"/>
          </w:tcPr>
          <w:p w14:paraId="103F6C32">
            <w:pPr>
              <w:jc w:val="center"/>
              <w:rPr>
                <w:rFonts w:hint="eastAsia" w:ascii="宋体" w:hAnsi="宋体" w:cs="宋体"/>
                <w:color w:val="000000" w:themeColor="text1"/>
                <w:sz w:val="24"/>
                <w14:textFill>
                  <w14:solidFill>
                    <w14:schemeClr w14:val="tx1"/>
                  </w14:solidFill>
                </w14:textFill>
              </w:rPr>
            </w:pPr>
          </w:p>
        </w:tc>
        <w:tc>
          <w:tcPr>
            <w:tcW w:w="472" w:type="pct"/>
            <w:vMerge w:val="continue"/>
            <w:tcBorders>
              <w:top w:val="nil"/>
              <w:left w:val="nil"/>
              <w:bottom w:val="single" w:color="000000" w:sz="8" w:space="0"/>
              <w:right w:val="single" w:color="000000" w:sz="8" w:space="0"/>
            </w:tcBorders>
            <w:shd w:val="clear" w:color="auto" w:fill="auto"/>
            <w:vAlign w:val="center"/>
          </w:tcPr>
          <w:p w14:paraId="6C266253">
            <w:pPr>
              <w:jc w:val="left"/>
              <w:rPr>
                <w:rFonts w:hint="eastAsia" w:ascii="宋体" w:hAnsi="宋体" w:cs="宋体"/>
                <w:color w:val="000000" w:themeColor="text1"/>
                <w:sz w:val="24"/>
                <w14:textFill>
                  <w14:solidFill>
                    <w14:schemeClr w14:val="tx1"/>
                  </w14:solidFill>
                </w14:textFill>
              </w:rPr>
            </w:pPr>
          </w:p>
        </w:tc>
        <w:tc>
          <w:tcPr>
            <w:tcW w:w="472" w:type="pct"/>
            <w:tcBorders>
              <w:top w:val="nil"/>
              <w:left w:val="nil"/>
              <w:bottom w:val="single" w:color="000000" w:sz="8" w:space="0"/>
              <w:right w:val="single" w:color="000000" w:sz="8" w:space="0"/>
            </w:tcBorders>
            <w:shd w:val="clear" w:color="auto" w:fill="auto"/>
            <w:vAlign w:val="center"/>
          </w:tcPr>
          <w:p w14:paraId="1796F1C8">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制定实施方案</w:t>
            </w:r>
          </w:p>
        </w:tc>
        <w:tc>
          <w:tcPr>
            <w:tcW w:w="3108" w:type="pct"/>
            <w:vMerge w:val="continue"/>
            <w:tcBorders>
              <w:top w:val="nil"/>
              <w:left w:val="nil"/>
              <w:bottom w:val="single" w:color="000000" w:sz="8" w:space="0"/>
              <w:right w:val="single" w:color="000000" w:sz="8" w:space="0"/>
            </w:tcBorders>
            <w:shd w:val="clear" w:color="auto" w:fill="auto"/>
            <w:vAlign w:val="center"/>
          </w:tcPr>
          <w:p w14:paraId="14C6413A">
            <w:pPr>
              <w:jc w:val="left"/>
              <w:rPr>
                <w:rFonts w:hint="eastAsia" w:ascii="宋体" w:hAnsi="宋体" w:cs="宋体"/>
                <w:color w:val="000000" w:themeColor="text1"/>
                <w:sz w:val="24"/>
                <w14:textFill>
                  <w14:solidFill>
                    <w14:schemeClr w14:val="tx1"/>
                  </w14:solidFill>
                </w14:textFill>
              </w:rPr>
            </w:pPr>
          </w:p>
        </w:tc>
      </w:tr>
      <w:tr w14:paraId="67714EE3">
        <w:tblPrEx>
          <w:tblCellMar>
            <w:top w:w="0" w:type="dxa"/>
            <w:left w:w="108" w:type="dxa"/>
            <w:bottom w:w="0" w:type="dxa"/>
            <w:right w:w="108" w:type="dxa"/>
          </w:tblCellMar>
        </w:tblPrEx>
        <w:trPr>
          <w:trHeight w:val="639" w:hRule="atLeast"/>
        </w:trPr>
        <w:tc>
          <w:tcPr>
            <w:tcW w:w="472" w:type="pct"/>
            <w:tcBorders>
              <w:top w:val="nil"/>
              <w:left w:val="single" w:color="000000" w:sz="8" w:space="0"/>
              <w:bottom w:val="single" w:color="000000" w:sz="8" w:space="0"/>
              <w:right w:val="single" w:color="000000" w:sz="8" w:space="0"/>
            </w:tcBorders>
            <w:shd w:val="clear" w:color="auto" w:fill="auto"/>
            <w:noWrap/>
            <w:vAlign w:val="center"/>
          </w:tcPr>
          <w:p w14:paraId="4DB82EC3">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34</w:t>
            </w:r>
          </w:p>
        </w:tc>
        <w:tc>
          <w:tcPr>
            <w:tcW w:w="472" w:type="pct"/>
            <w:vMerge w:val="continue"/>
            <w:tcBorders>
              <w:top w:val="nil"/>
              <w:left w:val="nil"/>
              <w:bottom w:val="single" w:color="000000" w:sz="8" w:space="0"/>
              <w:right w:val="single" w:color="000000" w:sz="8" w:space="0"/>
            </w:tcBorders>
            <w:shd w:val="clear" w:color="auto" w:fill="auto"/>
            <w:vAlign w:val="center"/>
          </w:tcPr>
          <w:p w14:paraId="2DE6BF2A">
            <w:pPr>
              <w:jc w:val="center"/>
              <w:rPr>
                <w:rFonts w:hint="eastAsia" w:ascii="宋体" w:hAnsi="宋体" w:cs="宋体"/>
                <w:color w:val="000000" w:themeColor="text1"/>
                <w:sz w:val="24"/>
                <w14:textFill>
                  <w14:solidFill>
                    <w14:schemeClr w14:val="tx1"/>
                  </w14:solidFill>
                </w14:textFill>
              </w:rPr>
            </w:pPr>
          </w:p>
        </w:tc>
        <w:tc>
          <w:tcPr>
            <w:tcW w:w="472" w:type="pct"/>
            <w:vMerge w:val="continue"/>
            <w:tcBorders>
              <w:top w:val="nil"/>
              <w:left w:val="nil"/>
              <w:bottom w:val="single" w:color="000000" w:sz="8" w:space="0"/>
              <w:right w:val="single" w:color="000000" w:sz="8" w:space="0"/>
            </w:tcBorders>
            <w:shd w:val="clear" w:color="auto" w:fill="auto"/>
            <w:vAlign w:val="center"/>
          </w:tcPr>
          <w:p w14:paraId="08407D50">
            <w:pPr>
              <w:jc w:val="left"/>
              <w:rPr>
                <w:rFonts w:hint="eastAsia" w:ascii="宋体" w:hAnsi="宋体" w:cs="宋体"/>
                <w:color w:val="000000" w:themeColor="text1"/>
                <w:sz w:val="24"/>
                <w14:textFill>
                  <w14:solidFill>
                    <w14:schemeClr w14:val="tx1"/>
                  </w14:solidFill>
                </w14:textFill>
              </w:rPr>
            </w:pPr>
          </w:p>
        </w:tc>
        <w:tc>
          <w:tcPr>
            <w:tcW w:w="472" w:type="pct"/>
            <w:tcBorders>
              <w:top w:val="nil"/>
              <w:left w:val="nil"/>
              <w:bottom w:val="single" w:color="000000" w:sz="8" w:space="0"/>
              <w:right w:val="single" w:color="000000" w:sz="8" w:space="0"/>
            </w:tcBorders>
            <w:shd w:val="clear" w:color="auto" w:fill="auto"/>
            <w:vAlign w:val="center"/>
          </w:tcPr>
          <w:p w14:paraId="2D140B61">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专题调研</w:t>
            </w:r>
          </w:p>
        </w:tc>
        <w:tc>
          <w:tcPr>
            <w:tcW w:w="3108" w:type="pct"/>
            <w:vMerge w:val="continue"/>
            <w:tcBorders>
              <w:top w:val="nil"/>
              <w:left w:val="nil"/>
              <w:bottom w:val="single" w:color="000000" w:sz="8" w:space="0"/>
              <w:right w:val="single" w:color="000000" w:sz="8" w:space="0"/>
            </w:tcBorders>
            <w:shd w:val="clear" w:color="auto" w:fill="auto"/>
            <w:vAlign w:val="center"/>
          </w:tcPr>
          <w:p w14:paraId="75054D3F">
            <w:pPr>
              <w:jc w:val="left"/>
              <w:rPr>
                <w:rFonts w:hint="eastAsia" w:ascii="宋体" w:hAnsi="宋体" w:cs="宋体"/>
                <w:color w:val="000000" w:themeColor="text1"/>
                <w:sz w:val="24"/>
                <w14:textFill>
                  <w14:solidFill>
                    <w14:schemeClr w14:val="tx1"/>
                  </w14:solidFill>
                </w14:textFill>
              </w:rPr>
            </w:pPr>
          </w:p>
        </w:tc>
      </w:tr>
      <w:tr w14:paraId="6FF499FB">
        <w:tblPrEx>
          <w:tblCellMar>
            <w:top w:w="0" w:type="dxa"/>
            <w:left w:w="108" w:type="dxa"/>
            <w:bottom w:w="0" w:type="dxa"/>
            <w:right w:w="108" w:type="dxa"/>
          </w:tblCellMar>
        </w:tblPrEx>
        <w:trPr>
          <w:trHeight w:val="639" w:hRule="atLeast"/>
        </w:trPr>
        <w:tc>
          <w:tcPr>
            <w:tcW w:w="472" w:type="pct"/>
            <w:tcBorders>
              <w:top w:val="nil"/>
              <w:left w:val="single" w:color="000000" w:sz="8" w:space="0"/>
              <w:bottom w:val="single" w:color="000000" w:sz="8" w:space="0"/>
              <w:right w:val="single" w:color="000000" w:sz="8" w:space="0"/>
            </w:tcBorders>
            <w:shd w:val="clear" w:color="auto" w:fill="auto"/>
            <w:noWrap/>
            <w:vAlign w:val="center"/>
          </w:tcPr>
          <w:p w14:paraId="00EC54FA">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35</w:t>
            </w:r>
          </w:p>
        </w:tc>
        <w:tc>
          <w:tcPr>
            <w:tcW w:w="472" w:type="pct"/>
            <w:vMerge w:val="continue"/>
            <w:tcBorders>
              <w:top w:val="nil"/>
              <w:left w:val="nil"/>
              <w:bottom w:val="single" w:color="000000" w:sz="8" w:space="0"/>
              <w:right w:val="single" w:color="000000" w:sz="8" w:space="0"/>
            </w:tcBorders>
            <w:shd w:val="clear" w:color="auto" w:fill="auto"/>
            <w:vAlign w:val="center"/>
          </w:tcPr>
          <w:p w14:paraId="0584ADA0">
            <w:pPr>
              <w:jc w:val="center"/>
              <w:rPr>
                <w:rFonts w:hint="eastAsia" w:ascii="宋体" w:hAnsi="宋体" w:cs="宋体"/>
                <w:color w:val="000000" w:themeColor="text1"/>
                <w:sz w:val="24"/>
                <w14:textFill>
                  <w14:solidFill>
                    <w14:schemeClr w14:val="tx1"/>
                  </w14:solidFill>
                </w14:textFill>
              </w:rPr>
            </w:pPr>
          </w:p>
        </w:tc>
        <w:tc>
          <w:tcPr>
            <w:tcW w:w="472" w:type="pct"/>
            <w:vMerge w:val="continue"/>
            <w:tcBorders>
              <w:top w:val="nil"/>
              <w:left w:val="nil"/>
              <w:bottom w:val="single" w:color="000000" w:sz="8" w:space="0"/>
              <w:right w:val="single" w:color="000000" w:sz="8" w:space="0"/>
            </w:tcBorders>
            <w:shd w:val="clear" w:color="auto" w:fill="auto"/>
            <w:vAlign w:val="center"/>
          </w:tcPr>
          <w:p w14:paraId="4E058C72">
            <w:pPr>
              <w:jc w:val="left"/>
              <w:rPr>
                <w:rFonts w:hint="eastAsia" w:ascii="宋体" w:hAnsi="宋体" w:cs="宋体"/>
                <w:color w:val="000000" w:themeColor="text1"/>
                <w:sz w:val="24"/>
                <w14:textFill>
                  <w14:solidFill>
                    <w14:schemeClr w14:val="tx1"/>
                  </w14:solidFill>
                </w14:textFill>
              </w:rPr>
            </w:pPr>
          </w:p>
        </w:tc>
        <w:tc>
          <w:tcPr>
            <w:tcW w:w="472" w:type="pct"/>
            <w:tcBorders>
              <w:top w:val="nil"/>
              <w:left w:val="nil"/>
              <w:bottom w:val="single" w:color="000000" w:sz="8" w:space="0"/>
              <w:right w:val="single" w:color="000000" w:sz="8" w:space="0"/>
            </w:tcBorders>
            <w:shd w:val="clear" w:color="auto" w:fill="auto"/>
            <w:vAlign w:val="center"/>
          </w:tcPr>
          <w:p w14:paraId="45E9D507">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汇总问题交报告机关研究</w:t>
            </w:r>
          </w:p>
        </w:tc>
        <w:tc>
          <w:tcPr>
            <w:tcW w:w="3108" w:type="pct"/>
            <w:vMerge w:val="continue"/>
            <w:tcBorders>
              <w:top w:val="nil"/>
              <w:left w:val="nil"/>
              <w:bottom w:val="single" w:color="000000" w:sz="8" w:space="0"/>
              <w:right w:val="single" w:color="000000" w:sz="8" w:space="0"/>
            </w:tcBorders>
            <w:shd w:val="clear" w:color="auto" w:fill="auto"/>
            <w:vAlign w:val="center"/>
          </w:tcPr>
          <w:p w14:paraId="369E3F71">
            <w:pPr>
              <w:jc w:val="left"/>
              <w:rPr>
                <w:rFonts w:hint="eastAsia" w:ascii="宋体" w:hAnsi="宋体" w:cs="宋体"/>
                <w:color w:val="000000" w:themeColor="text1"/>
                <w:sz w:val="24"/>
                <w14:textFill>
                  <w14:solidFill>
                    <w14:schemeClr w14:val="tx1"/>
                  </w14:solidFill>
                </w14:textFill>
              </w:rPr>
            </w:pPr>
          </w:p>
        </w:tc>
      </w:tr>
      <w:tr w14:paraId="021963D7">
        <w:tblPrEx>
          <w:tblCellMar>
            <w:top w:w="0" w:type="dxa"/>
            <w:left w:w="108" w:type="dxa"/>
            <w:bottom w:w="0" w:type="dxa"/>
            <w:right w:w="108" w:type="dxa"/>
          </w:tblCellMar>
        </w:tblPrEx>
        <w:trPr>
          <w:trHeight w:val="1263" w:hRule="atLeast"/>
        </w:trPr>
        <w:tc>
          <w:tcPr>
            <w:tcW w:w="472" w:type="pct"/>
            <w:tcBorders>
              <w:top w:val="nil"/>
              <w:left w:val="single" w:color="000000" w:sz="8" w:space="0"/>
              <w:bottom w:val="single" w:color="000000" w:sz="8" w:space="0"/>
              <w:right w:val="single" w:color="000000" w:sz="8" w:space="0"/>
            </w:tcBorders>
            <w:shd w:val="clear" w:color="auto" w:fill="auto"/>
            <w:noWrap/>
            <w:vAlign w:val="center"/>
          </w:tcPr>
          <w:p w14:paraId="15C41A69">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36</w:t>
            </w:r>
          </w:p>
        </w:tc>
        <w:tc>
          <w:tcPr>
            <w:tcW w:w="472" w:type="pct"/>
            <w:vMerge w:val="continue"/>
            <w:tcBorders>
              <w:top w:val="nil"/>
              <w:left w:val="nil"/>
              <w:bottom w:val="single" w:color="000000" w:sz="8" w:space="0"/>
              <w:right w:val="single" w:color="000000" w:sz="8" w:space="0"/>
            </w:tcBorders>
            <w:shd w:val="clear" w:color="auto" w:fill="auto"/>
            <w:vAlign w:val="center"/>
          </w:tcPr>
          <w:p w14:paraId="1F35FB19">
            <w:pPr>
              <w:jc w:val="center"/>
              <w:rPr>
                <w:rFonts w:hint="eastAsia" w:ascii="宋体" w:hAnsi="宋体" w:cs="宋体"/>
                <w:color w:val="000000" w:themeColor="text1"/>
                <w:sz w:val="24"/>
                <w14:textFill>
                  <w14:solidFill>
                    <w14:schemeClr w14:val="tx1"/>
                  </w14:solidFill>
                </w14:textFill>
              </w:rPr>
            </w:pPr>
          </w:p>
        </w:tc>
        <w:tc>
          <w:tcPr>
            <w:tcW w:w="472" w:type="pct"/>
            <w:vMerge w:val="continue"/>
            <w:tcBorders>
              <w:top w:val="nil"/>
              <w:left w:val="nil"/>
              <w:bottom w:val="single" w:color="000000" w:sz="8" w:space="0"/>
              <w:right w:val="single" w:color="000000" w:sz="8" w:space="0"/>
            </w:tcBorders>
            <w:shd w:val="clear" w:color="auto" w:fill="auto"/>
            <w:vAlign w:val="center"/>
          </w:tcPr>
          <w:p w14:paraId="74EEB676">
            <w:pPr>
              <w:jc w:val="left"/>
              <w:rPr>
                <w:rFonts w:hint="eastAsia" w:ascii="宋体" w:hAnsi="宋体" w:cs="宋体"/>
                <w:color w:val="000000" w:themeColor="text1"/>
                <w:sz w:val="24"/>
                <w14:textFill>
                  <w14:solidFill>
                    <w14:schemeClr w14:val="tx1"/>
                  </w14:solidFill>
                </w14:textFill>
              </w:rPr>
            </w:pPr>
          </w:p>
        </w:tc>
        <w:tc>
          <w:tcPr>
            <w:tcW w:w="472" w:type="pct"/>
            <w:tcBorders>
              <w:top w:val="nil"/>
              <w:left w:val="nil"/>
              <w:bottom w:val="single" w:color="000000" w:sz="8" w:space="0"/>
              <w:right w:val="single" w:color="000000" w:sz="8" w:space="0"/>
            </w:tcBorders>
            <w:shd w:val="clear" w:color="auto" w:fill="auto"/>
            <w:vAlign w:val="center"/>
          </w:tcPr>
          <w:p w14:paraId="04DAB88B">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征求专项报告意见</w:t>
            </w:r>
          </w:p>
        </w:tc>
        <w:tc>
          <w:tcPr>
            <w:tcW w:w="3108" w:type="pct"/>
            <w:vMerge w:val="continue"/>
            <w:tcBorders>
              <w:top w:val="nil"/>
              <w:left w:val="nil"/>
              <w:bottom w:val="single" w:color="000000" w:sz="8" w:space="0"/>
              <w:right w:val="single" w:color="000000" w:sz="8" w:space="0"/>
            </w:tcBorders>
            <w:shd w:val="clear" w:color="auto" w:fill="auto"/>
            <w:vAlign w:val="center"/>
          </w:tcPr>
          <w:p w14:paraId="55E660B8">
            <w:pPr>
              <w:jc w:val="left"/>
              <w:rPr>
                <w:rFonts w:hint="eastAsia" w:ascii="宋体" w:hAnsi="宋体" w:cs="宋体"/>
                <w:color w:val="000000" w:themeColor="text1"/>
                <w:sz w:val="24"/>
                <w14:textFill>
                  <w14:solidFill>
                    <w14:schemeClr w14:val="tx1"/>
                  </w14:solidFill>
                </w14:textFill>
              </w:rPr>
            </w:pPr>
          </w:p>
        </w:tc>
      </w:tr>
      <w:tr w14:paraId="3E14D350">
        <w:tblPrEx>
          <w:tblCellMar>
            <w:top w:w="0" w:type="dxa"/>
            <w:left w:w="108" w:type="dxa"/>
            <w:bottom w:w="0" w:type="dxa"/>
            <w:right w:w="108" w:type="dxa"/>
          </w:tblCellMar>
        </w:tblPrEx>
        <w:trPr>
          <w:trHeight w:val="1263" w:hRule="atLeast"/>
        </w:trPr>
        <w:tc>
          <w:tcPr>
            <w:tcW w:w="472" w:type="pct"/>
            <w:tcBorders>
              <w:top w:val="nil"/>
              <w:left w:val="single" w:color="000000" w:sz="8" w:space="0"/>
              <w:bottom w:val="single" w:color="000000" w:sz="8" w:space="0"/>
              <w:right w:val="single" w:color="000000" w:sz="8" w:space="0"/>
            </w:tcBorders>
            <w:shd w:val="clear" w:color="auto" w:fill="auto"/>
            <w:noWrap/>
            <w:vAlign w:val="center"/>
          </w:tcPr>
          <w:p w14:paraId="2317DF49">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37</w:t>
            </w:r>
          </w:p>
        </w:tc>
        <w:tc>
          <w:tcPr>
            <w:tcW w:w="472" w:type="pct"/>
            <w:vMerge w:val="continue"/>
            <w:tcBorders>
              <w:top w:val="nil"/>
              <w:left w:val="nil"/>
              <w:bottom w:val="single" w:color="000000" w:sz="8" w:space="0"/>
              <w:right w:val="single" w:color="000000" w:sz="8" w:space="0"/>
            </w:tcBorders>
            <w:shd w:val="clear" w:color="auto" w:fill="auto"/>
            <w:vAlign w:val="center"/>
          </w:tcPr>
          <w:p w14:paraId="65DDC57E">
            <w:pPr>
              <w:jc w:val="center"/>
              <w:rPr>
                <w:rFonts w:hint="eastAsia" w:ascii="宋体" w:hAnsi="宋体" w:cs="宋体"/>
                <w:color w:val="000000" w:themeColor="text1"/>
                <w:sz w:val="24"/>
                <w14:textFill>
                  <w14:solidFill>
                    <w14:schemeClr w14:val="tx1"/>
                  </w14:solidFill>
                </w14:textFill>
              </w:rPr>
            </w:pPr>
          </w:p>
        </w:tc>
        <w:tc>
          <w:tcPr>
            <w:tcW w:w="472" w:type="pct"/>
            <w:vMerge w:val="restart"/>
            <w:tcBorders>
              <w:top w:val="nil"/>
              <w:left w:val="nil"/>
              <w:bottom w:val="single" w:color="000000" w:sz="8" w:space="0"/>
              <w:right w:val="single" w:color="000000" w:sz="8" w:space="0"/>
            </w:tcBorders>
            <w:shd w:val="clear" w:color="auto" w:fill="auto"/>
            <w:vAlign w:val="center"/>
          </w:tcPr>
          <w:p w14:paraId="07EE58AE">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听取和审议报告</w:t>
            </w:r>
          </w:p>
        </w:tc>
        <w:tc>
          <w:tcPr>
            <w:tcW w:w="472" w:type="pct"/>
            <w:tcBorders>
              <w:top w:val="nil"/>
              <w:left w:val="nil"/>
              <w:bottom w:val="single" w:color="000000" w:sz="8" w:space="0"/>
              <w:right w:val="single" w:color="000000" w:sz="8" w:space="0"/>
            </w:tcBorders>
            <w:shd w:val="clear" w:color="auto" w:fill="auto"/>
            <w:vAlign w:val="center"/>
          </w:tcPr>
          <w:p w14:paraId="5DCCBFE2">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提交工作报告</w:t>
            </w:r>
          </w:p>
        </w:tc>
        <w:tc>
          <w:tcPr>
            <w:tcW w:w="3108" w:type="pct"/>
            <w:vMerge w:val="restart"/>
            <w:tcBorders>
              <w:top w:val="nil"/>
              <w:left w:val="nil"/>
              <w:bottom w:val="single" w:color="000000" w:sz="8" w:space="0"/>
              <w:right w:val="single" w:color="000000" w:sz="8" w:space="0"/>
            </w:tcBorders>
            <w:shd w:val="clear" w:color="auto" w:fill="auto"/>
            <w:vAlign w:val="center"/>
          </w:tcPr>
          <w:p w14:paraId="12EA358B">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录入听取和审议过程中的报告信息</w:t>
            </w:r>
          </w:p>
        </w:tc>
      </w:tr>
      <w:tr w14:paraId="4DB18DE0">
        <w:tblPrEx>
          <w:tblCellMar>
            <w:top w:w="0" w:type="dxa"/>
            <w:left w:w="108" w:type="dxa"/>
            <w:bottom w:w="0" w:type="dxa"/>
            <w:right w:w="108" w:type="dxa"/>
          </w:tblCellMar>
        </w:tblPrEx>
        <w:trPr>
          <w:trHeight w:val="639" w:hRule="atLeast"/>
        </w:trPr>
        <w:tc>
          <w:tcPr>
            <w:tcW w:w="472" w:type="pct"/>
            <w:tcBorders>
              <w:top w:val="nil"/>
              <w:left w:val="single" w:color="000000" w:sz="8" w:space="0"/>
              <w:bottom w:val="single" w:color="000000" w:sz="8" w:space="0"/>
              <w:right w:val="single" w:color="000000" w:sz="8" w:space="0"/>
            </w:tcBorders>
            <w:shd w:val="clear" w:color="auto" w:fill="auto"/>
            <w:noWrap/>
            <w:vAlign w:val="center"/>
          </w:tcPr>
          <w:p w14:paraId="3FFB7848">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38</w:t>
            </w:r>
          </w:p>
        </w:tc>
        <w:tc>
          <w:tcPr>
            <w:tcW w:w="472" w:type="pct"/>
            <w:vMerge w:val="continue"/>
            <w:tcBorders>
              <w:top w:val="nil"/>
              <w:left w:val="nil"/>
              <w:bottom w:val="single" w:color="000000" w:sz="8" w:space="0"/>
              <w:right w:val="single" w:color="000000" w:sz="8" w:space="0"/>
            </w:tcBorders>
            <w:shd w:val="clear" w:color="auto" w:fill="auto"/>
            <w:vAlign w:val="center"/>
          </w:tcPr>
          <w:p w14:paraId="2D42424A">
            <w:pPr>
              <w:jc w:val="center"/>
              <w:rPr>
                <w:rFonts w:hint="eastAsia" w:ascii="宋体" w:hAnsi="宋体" w:cs="宋体"/>
                <w:color w:val="000000" w:themeColor="text1"/>
                <w:sz w:val="24"/>
                <w14:textFill>
                  <w14:solidFill>
                    <w14:schemeClr w14:val="tx1"/>
                  </w14:solidFill>
                </w14:textFill>
              </w:rPr>
            </w:pPr>
          </w:p>
        </w:tc>
        <w:tc>
          <w:tcPr>
            <w:tcW w:w="472" w:type="pct"/>
            <w:vMerge w:val="continue"/>
            <w:tcBorders>
              <w:top w:val="nil"/>
              <w:left w:val="nil"/>
              <w:bottom w:val="single" w:color="000000" w:sz="8" w:space="0"/>
              <w:right w:val="single" w:color="000000" w:sz="8" w:space="0"/>
            </w:tcBorders>
            <w:shd w:val="clear" w:color="auto" w:fill="auto"/>
            <w:vAlign w:val="center"/>
          </w:tcPr>
          <w:p w14:paraId="61F5EC72">
            <w:pPr>
              <w:jc w:val="left"/>
              <w:rPr>
                <w:rFonts w:hint="eastAsia" w:ascii="宋体" w:hAnsi="宋体" w:cs="宋体"/>
                <w:color w:val="000000" w:themeColor="text1"/>
                <w:sz w:val="24"/>
                <w14:textFill>
                  <w14:solidFill>
                    <w14:schemeClr w14:val="tx1"/>
                  </w14:solidFill>
                </w14:textFill>
              </w:rPr>
            </w:pPr>
          </w:p>
        </w:tc>
        <w:tc>
          <w:tcPr>
            <w:tcW w:w="472" w:type="pct"/>
            <w:tcBorders>
              <w:top w:val="nil"/>
              <w:left w:val="nil"/>
              <w:bottom w:val="single" w:color="000000" w:sz="8" w:space="0"/>
              <w:right w:val="single" w:color="000000" w:sz="8" w:space="0"/>
            </w:tcBorders>
            <w:shd w:val="clear" w:color="auto" w:fill="auto"/>
            <w:vAlign w:val="center"/>
          </w:tcPr>
          <w:p w14:paraId="327CA9E8">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听取工作报告</w:t>
            </w:r>
          </w:p>
        </w:tc>
        <w:tc>
          <w:tcPr>
            <w:tcW w:w="3108" w:type="pct"/>
            <w:vMerge w:val="continue"/>
            <w:tcBorders>
              <w:top w:val="nil"/>
              <w:left w:val="nil"/>
              <w:bottom w:val="single" w:color="000000" w:sz="8" w:space="0"/>
              <w:right w:val="single" w:color="000000" w:sz="8" w:space="0"/>
            </w:tcBorders>
            <w:shd w:val="clear" w:color="auto" w:fill="auto"/>
            <w:vAlign w:val="center"/>
          </w:tcPr>
          <w:p w14:paraId="738EF09C">
            <w:pPr>
              <w:jc w:val="left"/>
              <w:rPr>
                <w:rFonts w:hint="eastAsia" w:ascii="宋体" w:hAnsi="宋体" w:cs="宋体"/>
                <w:color w:val="000000" w:themeColor="text1"/>
                <w:sz w:val="24"/>
                <w14:textFill>
                  <w14:solidFill>
                    <w14:schemeClr w14:val="tx1"/>
                  </w14:solidFill>
                </w14:textFill>
              </w:rPr>
            </w:pPr>
          </w:p>
        </w:tc>
      </w:tr>
      <w:tr w14:paraId="59686AD9">
        <w:tblPrEx>
          <w:tblCellMar>
            <w:top w:w="0" w:type="dxa"/>
            <w:left w:w="108" w:type="dxa"/>
            <w:bottom w:w="0" w:type="dxa"/>
            <w:right w:w="108" w:type="dxa"/>
          </w:tblCellMar>
        </w:tblPrEx>
        <w:trPr>
          <w:trHeight w:val="639" w:hRule="atLeast"/>
        </w:trPr>
        <w:tc>
          <w:tcPr>
            <w:tcW w:w="472" w:type="pct"/>
            <w:tcBorders>
              <w:top w:val="nil"/>
              <w:left w:val="single" w:color="000000" w:sz="8" w:space="0"/>
              <w:bottom w:val="single" w:color="000000" w:sz="8" w:space="0"/>
              <w:right w:val="single" w:color="000000" w:sz="8" w:space="0"/>
            </w:tcBorders>
            <w:shd w:val="clear" w:color="auto" w:fill="auto"/>
            <w:noWrap/>
            <w:vAlign w:val="center"/>
          </w:tcPr>
          <w:p w14:paraId="2F9CB84C">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39</w:t>
            </w:r>
          </w:p>
        </w:tc>
        <w:tc>
          <w:tcPr>
            <w:tcW w:w="472" w:type="pct"/>
            <w:vMerge w:val="continue"/>
            <w:tcBorders>
              <w:top w:val="nil"/>
              <w:left w:val="nil"/>
              <w:bottom w:val="single" w:color="000000" w:sz="8" w:space="0"/>
              <w:right w:val="single" w:color="000000" w:sz="8" w:space="0"/>
            </w:tcBorders>
            <w:shd w:val="clear" w:color="auto" w:fill="auto"/>
            <w:vAlign w:val="center"/>
          </w:tcPr>
          <w:p w14:paraId="2A5700FF">
            <w:pPr>
              <w:jc w:val="center"/>
              <w:rPr>
                <w:rFonts w:hint="eastAsia" w:ascii="宋体" w:hAnsi="宋体" w:cs="宋体"/>
                <w:color w:val="000000" w:themeColor="text1"/>
                <w:sz w:val="24"/>
                <w14:textFill>
                  <w14:solidFill>
                    <w14:schemeClr w14:val="tx1"/>
                  </w14:solidFill>
                </w14:textFill>
              </w:rPr>
            </w:pPr>
          </w:p>
        </w:tc>
        <w:tc>
          <w:tcPr>
            <w:tcW w:w="472" w:type="pct"/>
            <w:vMerge w:val="continue"/>
            <w:tcBorders>
              <w:top w:val="nil"/>
              <w:left w:val="nil"/>
              <w:bottom w:val="single" w:color="000000" w:sz="8" w:space="0"/>
              <w:right w:val="single" w:color="000000" w:sz="8" w:space="0"/>
            </w:tcBorders>
            <w:shd w:val="clear" w:color="auto" w:fill="auto"/>
            <w:vAlign w:val="center"/>
          </w:tcPr>
          <w:p w14:paraId="66CDF1C1">
            <w:pPr>
              <w:jc w:val="left"/>
              <w:rPr>
                <w:rFonts w:hint="eastAsia" w:ascii="宋体" w:hAnsi="宋体" w:cs="宋体"/>
                <w:color w:val="000000" w:themeColor="text1"/>
                <w:sz w:val="24"/>
                <w14:textFill>
                  <w14:solidFill>
                    <w14:schemeClr w14:val="tx1"/>
                  </w14:solidFill>
                </w14:textFill>
              </w:rPr>
            </w:pPr>
          </w:p>
        </w:tc>
        <w:tc>
          <w:tcPr>
            <w:tcW w:w="472" w:type="pct"/>
            <w:tcBorders>
              <w:top w:val="nil"/>
              <w:left w:val="nil"/>
              <w:bottom w:val="single" w:color="000000" w:sz="8" w:space="0"/>
              <w:right w:val="single" w:color="000000" w:sz="8" w:space="0"/>
            </w:tcBorders>
            <w:shd w:val="clear" w:color="auto" w:fill="auto"/>
            <w:vAlign w:val="center"/>
          </w:tcPr>
          <w:p w14:paraId="05C05F05">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审议工作报告</w:t>
            </w:r>
          </w:p>
        </w:tc>
        <w:tc>
          <w:tcPr>
            <w:tcW w:w="3108" w:type="pct"/>
            <w:vMerge w:val="continue"/>
            <w:tcBorders>
              <w:top w:val="nil"/>
              <w:left w:val="nil"/>
              <w:bottom w:val="single" w:color="000000" w:sz="8" w:space="0"/>
              <w:right w:val="single" w:color="000000" w:sz="8" w:space="0"/>
            </w:tcBorders>
            <w:shd w:val="clear" w:color="auto" w:fill="auto"/>
            <w:vAlign w:val="center"/>
          </w:tcPr>
          <w:p w14:paraId="4009F77E">
            <w:pPr>
              <w:jc w:val="left"/>
              <w:rPr>
                <w:rFonts w:hint="eastAsia" w:ascii="宋体" w:hAnsi="宋体" w:cs="宋体"/>
                <w:color w:val="000000" w:themeColor="text1"/>
                <w:sz w:val="24"/>
                <w14:textFill>
                  <w14:solidFill>
                    <w14:schemeClr w14:val="tx1"/>
                  </w14:solidFill>
                </w14:textFill>
              </w:rPr>
            </w:pPr>
          </w:p>
        </w:tc>
      </w:tr>
      <w:tr w14:paraId="073D5568">
        <w:tblPrEx>
          <w:tblCellMar>
            <w:top w:w="0" w:type="dxa"/>
            <w:left w:w="108" w:type="dxa"/>
            <w:bottom w:w="0" w:type="dxa"/>
            <w:right w:w="108" w:type="dxa"/>
          </w:tblCellMar>
        </w:tblPrEx>
        <w:trPr>
          <w:trHeight w:val="951" w:hRule="atLeast"/>
        </w:trPr>
        <w:tc>
          <w:tcPr>
            <w:tcW w:w="472" w:type="pct"/>
            <w:tcBorders>
              <w:top w:val="nil"/>
              <w:left w:val="single" w:color="000000" w:sz="8" w:space="0"/>
              <w:bottom w:val="single" w:color="000000" w:sz="8" w:space="0"/>
              <w:right w:val="single" w:color="000000" w:sz="8" w:space="0"/>
            </w:tcBorders>
            <w:shd w:val="clear" w:color="auto" w:fill="auto"/>
            <w:noWrap/>
            <w:vAlign w:val="center"/>
          </w:tcPr>
          <w:p w14:paraId="15D7EB04">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40</w:t>
            </w:r>
          </w:p>
        </w:tc>
        <w:tc>
          <w:tcPr>
            <w:tcW w:w="472" w:type="pct"/>
            <w:vMerge w:val="continue"/>
            <w:tcBorders>
              <w:top w:val="nil"/>
              <w:left w:val="nil"/>
              <w:bottom w:val="single" w:color="000000" w:sz="8" w:space="0"/>
              <w:right w:val="single" w:color="000000" w:sz="8" w:space="0"/>
            </w:tcBorders>
            <w:shd w:val="clear" w:color="auto" w:fill="auto"/>
            <w:vAlign w:val="center"/>
          </w:tcPr>
          <w:p w14:paraId="175FA650">
            <w:pPr>
              <w:jc w:val="center"/>
              <w:rPr>
                <w:rFonts w:hint="eastAsia" w:ascii="宋体" w:hAnsi="宋体" w:cs="宋体"/>
                <w:color w:val="000000" w:themeColor="text1"/>
                <w:sz w:val="24"/>
                <w14:textFill>
                  <w14:solidFill>
                    <w14:schemeClr w14:val="tx1"/>
                  </w14:solidFill>
                </w14:textFill>
              </w:rPr>
            </w:pPr>
          </w:p>
        </w:tc>
        <w:tc>
          <w:tcPr>
            <w:tcW w:w="472" w:type="pct"/>
            <w:vMerge w:val="continue"/>
            <w:tcBorders>
              <w:top w:val="nil"/>
              <w:left w:val="nil"/>
              <w:bottom w:val="single" w:color="000000" w:sz="8" w:space="0"/>
              <w:right w:val="single" w:color="000000" w:sz="8" w:space="0"/>
            </w:tcBorders>
            <w:shd w:val="clear" w:color="auto" w:fill="auto"/>
            <w:vAlign w:val="center"/>
          </w:tcPr>
          <w:p w14:paraId="4B7C04D5">
            <w:pPr>
              <w:jc w:val="left"/>
              <w:rPr>
                <w:rFonts w:hint="eastAsia" w:ascii="宋体" w:hAnsi="宋体" w:cs="宋体"/>
                <w:color w:val="000000" w:themeColor="text1"/>
                <w:sz w:val="24"/>
                <w14:textFill>
                  <w14:solidFill>
                    <w14:schemeClr w14:val="tx1"/>
                  </w14:solidFill>
                </w14:textFill>
              </w:rPr>
            </w:pPr>
          </w:p>
        </w:tc>
        <w:tc>
          <w:tcPr>
            <w:tcW w:w="472" w:type="pct"/>
            <w:tcBorders>
              <w:top w:val="nil"/>
              <w:left w:val="nil"/>
              <w:bottom w:val="single" w:color="000000" w:sz="8" w:space="0"/>
              <w:right w:val="single" w:color="000000" w:sz="8" w:space="0"/>
            </w:tcBorders>
            <w:shd w:val="clear" w:color="auto" w:fill="auto"/>
            <w:vAlign w:val="center"/>
          </w:tcPr>
          <w:p w14:paraId="6FD23AF0">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形成审议意见书</w:t>
            </w:r>
          </w:p>
        </w:tc>
        <w:tc>
          <w:tcPr>
            <w:tcW w:w="3108" w:type="pct"/>
            <w:vMerge w:val="continue"/>
            <w:tcBorders>
              <w:top w:val="nil"/>
              <w:left w:val="nil"/>
              <w:bottom w:val="single" w:color="000000" w:sz="8" w:space="0"/>
              <w:right w:val="single" w:color="000000" w:sz="8" w:space="0"/>
            </w:tcBorders>
            <w:shd w:val="clear" w:color="auto" w:fill="auto"/>
            <w:vAlign w:val="center"/>
          </w:tcPr>
          <w:p w14:paraId="6F2C080A">
            <w:pPr>
              <w:jc w:val="left"/>
              <w:rPr>
                <w:rFonts w:hint="eastAsia" w:ascii="宋体" w:hAnsi="宋体" w:cs="宋体"/>
                <w:color w:val="000000" w:themeColor="text1"/>
                <w:sz w:val="24"/>
                <w14:textFill>
                  <w14:solidFill>
                    <w14:schemeClr w14:val="tx1"/>
                  </w14:solidFill>
                </w14:textFill>
              </w:rPr>
            </w:pPr>
          </w:p>
        </w:tc>
      </w:tr>
      <w:tr w14:paraId="41D3A90E">
        <w:tblPrEx>
          <w:tblCellMar>
            <w:top w:w="0" w:type="dxa"/>
            <w:left w:w="108" w:type="dxa"/>
            <w:bottom w:w="0" w:type="dxa"/>
            <w:right w:w="108" w:type="dxa"/>
          </w:tblCellMar>
        </w:tblPrEx>
        <w:trPr>
          <w:trHeight w:val="639" w:hRule="atLeast"/>
        </w:trPr>
        <w:tc>
          <w:tcPr>
            <w:tcW w:w="472" w:type="pct"/>
            <w:tcBorders>
              <w:top w:val="nil"/>
              <w:left w:val="single" w:color="000000" w:sz="8" w:space="0"/>
              <w:bottom w:val="single" w:color="000000" w:sz="8" w:space="0"/>
              <w:right w:val="single" w:color="000000" w:sz="8" w:space="0"/>
            </w:tcBorders>
            <w:shd w:val="clear" w:color="auto" w:fill="auto"/>
            <w:noWrap/>
            <w:vAlign w:val="center"/>
          </w:tcPr>
          <w:p w14:paraId="57022E4D">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41</w:t>
            </w:r>
          </w:p>
        </w:tc>
        <w:tc>
          <w:tcPr>
            <w:tcW w:w="472" w:type="pct"/>
            <w:vMerge w:val="continue"/>
            <w:tcBorders>
              <w:top w:val="nil"/>
              <w:left w:val="nil"/>
              <w:bottom w:val="single" w:color="000000" w:sz="8" w:space="0"/>
              <w:right w:val="single" w:color="000000" w:sz="8" w:space="0"/>
            </w:tcBorders>
            <w:shd w:val="clear" w:color="auto" w:fill="auto"/>
            <w:vAlign w:val="center"/>
          </w:tcPr>
          <w:p w14:paraId="09B730AB">
            <w:pPr>
              <w:jc w:val="center"/>
              <w:rPr>
                <w:rFonts w:hint="eastAsia" w:ascii="宋体" w:hAnsi="宋体" w:cs="宋体"/>
                <w:color w:val="000000" w:themeColor="text1"/>
                <w:sz w:val="24"/>
                <w14:textFill>
                  <w14:solidFill>
                    <w14:schemeClr w14:val="tx1"/>
                  </w14:solidFill>
                </w14:textFill>
              </w:rPr>
            </w:pPr>
          </w:p>
        </w:tc>
        <w:tc>
          <w:tcPr>
            <w:tcW w:w="472" w:type="pct"/>
            <w:vMerge w:val="restart"/>
            <w:tcBorders>
              <w:top w:val="nil"/>
              <w:left w:val="nil"/>
              <w:bottom w:val="single" w:color="000000" w:sz="8" w:space="0"/>
              <w:right w:val="single" w:color="000000" w:sz="8" w:space="0"/>
            </w:tcBorders>
            <w:shd w:val="clear" w:color="auto" w:fill="auto"/>
            <w:vAlign w:val="center"/>
          </w:tcPr>
          <w:p w14:paraId="53D2CACA">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转办审议意见</w:t>
            </w:r>
          </w:p>
        </w:tc>
        <w:tc>
          <w:tcPr>
            <w:tcW w:w="472" w:type="pct"/>
            <w:tcBorders>
              <w:top w:val="nil"/>
              <w:left w:val="nil"/>
              <w:bottom w:val="single" w:color="000000" w:sz="8" w:space="0"/>
              <w:right w:val="single" w:color="000000" w:sz="8" w:space="0"/>
            </w:tcBorders>
            <w:shd w:val="clear" w:color="auto" w:fill="auto"/>
            <w:vAlign w:val="center"/>
          </w:tcPr>
          <w:p w14:paraId="58BA89D6">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意见反馈</w:t>
            </w:r>
          </w:p>
        </w:tc>
        <w:tc>
          <w:tcPr>
            <w:tcW w:w="3108" w:type="pct"/>
            <w:vMerge w:val="restart"/>
            <w:tcBorders>
              <w:top w:val="nil"/>
              <w:left w:val="nil"/>
              <w:bottom w:val="single" w:color="000000" w:sz="8" w:space="0"/>
              <w:right w:val="single" w:color="000000" w:sz="8" w:space="0"/>
            </w:tcBorders>
            <w:shd w:val="clear" w:color="auto" w:fill="auto"/>
            <w:vAlign w:val="center"/>
          </w:tcPr>
          <w:p w14:paraId="0746CA83">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意见的反馈及后续监督</w:t>
            </w:r>
          </w:p>
        </w:tc>
      </w:tr>
      <w:tr w14:paraId="6482FC6D">
        <w:tblPrEx>
          <w:tblCellMar>
            <w:top w:w="0" w:type="dxa"/>
            <w:left w:w="108" w:type="dxa"/>
            <w:bottom w:w="0" w:type="dxa"/>
            <w:right w:w="108" w:type="dxa"/>
          </w:tblCellMar>
        </w:tblPrEx>
        <w:trPr>
          <w:trHeight w:val="639" w:hRule="atLeast"/>
        </w:trPr>
        <w:tc>
          <w:tcPr>
            <w:tcW w:w="472" w:type="pct"/>
            <w:tcBorders>
              <w:top w:val="nil"/>
              <w:left w:val="single" w:color="000000" w:sz="8" w:space="0"/>
              <w:bottom w:val="single" w:color="000000" w:sz="8" w:space="0"/>
              <w:right w:val="single" w:color="000000" w:sz="8" w:space="0"/>
            </w:tcBorders>
            <w:shd w:val="clear" w:color="auto" w:fill="auto"/>
            <w:noWrap/>
            <w:vAlign w:val="center"/>
          </w:tcPr>
          <w:p w14:paraId="70095107">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42</w:t>
            </w:r>
          </w:p>
        </w:tc>
        <w:tc>
          <w:tcPr>
            <w:tcW w:w="472" w:type="pct"/>
            <w:vMerge w:val="continue"/>
            <w:tcBorders>
              <w:top w:val="nil"/>
              <w:left w:val="nil"/>
              <w:bottom w:val="single" w:color="000000" w:sz="8" w:space="0"/>
              <w:right w:val="single" w:color="000000" w:sz="8" w:space="0"/>
            </w:tcBorders>
            <w:shd w:val="clear" w:color="auto" w:fill="auto"/>
            <w:vAlign w:val="center"/>
          </w:tcPr>
          <w:p w14:paraId="30767CAB">
            <w:pPr>
              <w:jc w:val="center"/>
              <w:rPr>
                <w:rFonts w:hint="eastAsia" w:ascii="宋体" w:hAnsi="宋体" w:cs="宋体"/>
                <w:color w:val="000000" w:themeColor="text1"/>
                <w:sz w:val="24"/>
                <w14:textFill>
                  <w14:solidFill>
                    <w14:schemeClr w14:val="tx1"/>
                  </w14:solidFill>
                </w14:textFill>
              </w:rPr>
            </w:pPr>
          </w:p>
        </w:tc>
        <w:tc>
          <w:tcPr>
            <w:tcW w:w="472" w:type="pct"/>
            <w:vMerge w:val="continue"/>
            <w:tcBorders>
              <w:top w:val="nil"/>
              <w:left w:val="nil"/>
              <w:bottom w:val="single" w:color="000000" w:sz="8" w:space="0"/>
              <w:right w:val="single" w:color="000000" w:sz="8" w:space="0"/>
            </w:tcBorders>
            <w:shd w:val="clear" w:color="auto" w:fill="auto"/>
            <w:vAlign w:val="center"/>
          </w:tcPr>
          <w:p w14:paraId="4C99812A">
            <w:pPr>
              <w:jc w:val="left"/>
              <w:rPr>
                <w:rFonts w:hint="eastAsia" w:ascii="宋体" w:hAnsi="宋体" w:cs="宋体"/>
                <w:color w:val="000000" w:themeColor="text1"/>
                <w:sz w:val="24"/>
                <w14:textFill>
                  <w14:solidFill>
                    <w14:schemeClr w14:val="tx1"/>
                  </w14:solidFill>
                </w14:textFill>
              </w:rPr>
            </w:pPr>
          </w:p>
        </w:tc>
        <w:tc>
          <w:tcPr>
            <w:tcW w:w="472" w:type="pct"/>
            <w:tcBorders>
              <w:top w:val="nil"/>
              <w:left w:val="nil"/>
              <w:bottom w:val="single" w:color="000000" w:sz="8" w:space="0"/>
              <w:right w:val="single" w:color="000000" w:sz="8" w:space="0"/>
            </w:tcBorders>
            <w:shd w:val="clear" w:color="auto" w:fill="auto"/>
            <w:vAlign w:val="center"/>
          </w:tcPr>
          <w:p w14:paraId="37FD0851">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跟踪监督</w:t>
            </w:r>
          </w:p>
        </w:tc>
        <w:tc>
          <w:tcPr>
            <w:tcW w:w="3108" w:type="pct"/>
            <w:vMerge w:val="continue"/>
            <w:tcBorders>
              <w:top w:val="nil"/>
              <w:left w:val="nil"/>
              <w:bottom w:val="single" w:color="000000" w:sz="8" w:space="0"/>
              <w:right w:val="single" w:color="000000" w:sz="8" w:space="0"/>
            </w:tcBorders>
            <w:shd w:val="clear" w:color="auto" w:fill="auto"/>
            <w:vAlign w:val="center"/>
          </w:tcPr>
          <w:p w14:paraId="0134E006">
            <w:pPr>
              <w:jc w:val="left"/>
              <w:rPr>
                <w:rFonts w:hint="eastAsia" w:ascii="宋体" w:hAnsi="宋体" w:cs="宋体"/>
                <w:color w:val="000000" w:themeColor="text1"/>
                <w:sz w:val="24"/>
                <w14:textFill>
                  <w14:solidFill>
                    <w14:schemeClr w14:val="tx1"/>
                  </w14:solidFill>
                </w14:textFill>
              </w:rPr>
            </w:pPr>
          </w:p>
        </w:tc>
      </w:tr>
      <w:tr w14:paraId="080922EF">
        <w:tblPrEx>
          <w:tblCellMar>
            <w:top w:w="0" w:type="dxa"/>
            <w:left w:w="108" w:type="dxa"/>
            <w:bottom w:w="0" w:type="dxa"/>
            <w:right w:w="108" w:type="dxa"/>
          </w:tblCellMar>
        </w:tblPrEx>
        <w:trPr>
          <w:trHeight w:val="2511" w:hRule="atLeast"/>
        </w:trPr>
        <w:tc>
          <w:tcPr>
            <w:tcW w:w="472" w:type="pct"/>
            <w:tcBorders>
              <w:top w:val="nil"/>
              <w:left w:val="single" w:color="000000" w:sz="8" w:space="0"/>
              <w:bottom w:val="single" w:color="000000" w:sz="8" w:space="0"/>
              <w:right w:val="single" w:color="000000" w:sz="8" w:space="0"/>
            </w:tcBorders>
            <w:shd w:val="clear" w:color="auto" w:fill="auto"/>
            <w:noWrap/>
            <w:vAlign w:val="center"/>
          </w:tcPr>
          <w:p w14:paraId="101ACEEC">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43</w:t>
            </w:r>
          </w:p>
        </w:tc>
        <w:tc>
          <w:tcPr>
            <w:tcW w:w="1418" w:type="pct"/>
            <w:gridSpan w:val="3"/>
            <w:vMerge w:val="restart"/>
            <w:tcBorders>
              <w:top w:val="nil"/>
              <w:left w:val="nil"/>
              <w:bottom w:val="single" w:color="000000" w:sz="8" w:space="0"/>
              <w:right w:val="single" w:color="000000" w:sz="8" w:space="0"/>
            </w:tcBorders>
            <w:shd w:val="clear" w:color="auto" w:fill="auto"/>
            <w:vAlign w:val="center"/>
          </w:tcPr>
          <w:p w14:paraId="6F80F332">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代表在线应用场景应用</w:t>
            </w:r>
          </w:p>
        </w:tc>
        <w:tc>
          <w:tcPr>
            <w:tcW w:w="3108" w:type="pct"/>
            <w:tcBorders>
              <w:top w:val="nil"/>
              <w:left w:val="nil"/>
              <w:bottom w:val="single" w:color="000000" w:sz="8" w:space="0"/>
              <w:right w:val="single" w:color="000000" w:sz="8" w:space="0"/>
            </w:tcBorders>
            <w:shd w:val="clear" w:color="auto" w:fill="auto"/>
            <w:vAlign w:val="center"/>
          </w:tcPr>
          <w:p w14:paraId="40FEBF99">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需完成系统从现有的云平台迁移部署至算力云上并将按照新版本云部署的达梦数据库替换原ecs部署的达梦数据库，包括数据版本间差异的适配，以及不同部署形式数据库之间的迁移适配工作。主要工作内容包括对代表码、履职云、监督在线、建议在线、联民在线、学习在线、积分在线这7个功能模块的测试、数据迁移及完成密码测评、密码方案评审、密码应用服务、渗透测试等保二级测评、信创测评等相关工作。</w:t>
            </w:r>
          </w:p>
        </w:tc>
      </w:tr>
      <w:tr w14:paraId="6C8D43F8">
        <w:tblPrEx>
          <w:tblCellMar>
            <w:top w:w="0" w:type="dxa"/>
            <w:left w:w="108" w:type="dxa"/>
            <w:bottom w:w="0" w:type="dxa"/>
            <w:right w:w="108" w:type="dxa"/>
          </w:tblCellMar>
        </w:tblPrEx>
        <w:trPr>
          <w:trHeight w:val="951" w:hRule="atLeast"/>
        </w:trPr>
        <w:tc>
          <w:tcPr>
            <w:tcW w:w="472" w:type="pct"/>
            <w:tcBorders>
              <w:top w:val="nil"/>
              <w:left w:val="single" w:color="000000" w:sz="8" w:space="0"/>
              <w:bottom w:val="single" w:color="000000" w:sz="8" w:space="0"/>
              <w:right w:val="single" w:color="000000" w:sz="8" w:space="0"/>
            </w:tcBorders>
            <w:shd w:val="clear" w:color="auto" w:fill="auto"/>
            <w:noWrap/>
            <w:vAlign w:val="center"/>
          </w:tcPr>
          <w:p w14:paraId="618DCFD6">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44</w:t>
            </w:r>
          </w:p>
        </w:tc>
        <w:tc>
          <w:tcPr>
            <w:tcW w:w="1418" w:type="pct"/>
            <w:gridSpan w:val="3"/>
            <w:vMerge w:val="continue"/>
            <w:tcBorders>
              <w:top w:val="nil"/>
              <w:left w:val="nil"/>
              <w:bottom w:val="single" w:color="000000" w:sz="8" w:space="0"/>
              <w:right w:val="single" w:color="000000" w:sz="8" w:space="0"/>
            </w:tcBorders>
            <w:shd w:val="clear" w:color="auto" w:fill="auto"/>
            <w:vAlign w:val="center"/>
          </w:tcPr>
          <w:p w14:paraId="186B3A9B">
            <w:pPr>
              <w:jc w:val="center"/>
              <w:rPr>
                <w:rFonts w:hint="eastAsia" w:ascii="宋体" w:hAnsi="宋体" w:cs="宋体"/>
                <w:color w:val="000000" w:themeColor="text1"/>
                <w:sz w:val="24"/>
                <w14:textFill>
                  <w14:solidFill>
                    <w14:schemeClr w14:val="tx1"/>
                  </w14:solidFill>
                </w14:textFill>
              </w:rPr>
            </w:pPr>
          </w:p>
        </w:tc>
        <w:tc>
          <w:tcPr>
            <w:tcW w:w="3108" w:type="pct"/>
            <w:tcBorders>
              <w:top w:val="nil"/>
              <w:left w:val="nil"/>
              <w:bottom w:val="single" w:color="000000" w:sz="8" w:space="0"/>
              <w:right w:val="single" w:color="000000" w:sz="8" w:space="0"/>
            </w:tcBorders>
            <w:shd w:val="clear" w:color="auto" w:fill="auto"/>
            <w:vAlign w:val="center"/>
          </w:tcPr>
          <w:p w14:paraId="64B41B6E">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按照一单位一平台的建设要求，完成统一用户管理的对接、消息对接，待办对接，以及应用第一层UI风格与平台保持一致。</w:t>
            </w:r>
          </w:p>
        </w:tc>
      </w:tr>
      <w:tr w14:paraId="6368B96C">
        <w:tblPrEx>
          <w:tblCellMar>
            <w:top w:w="0" w:type="dxa"/>
            <w:left w:w="108" w:type="dxa"/>
            <w:bottom w:w="0" w:type="dxa"/>
            <w:right w:w="108" w:type="dxa"/>
          </w:tblCellMar>
        </w:tblPrEx>
        <w:trPr>
          <w:trHeight w:val="2511" w:hRule="atLeast"/>
        </w:trPr>
        <w:tc>
          <w:tcPr>
            <w:tcW w:w="472" w:type="pct"/>
            <w:tcBorders>
              <w:top w:val="nil"/>
              <w:left w:val="single" w:color="000000" w:sz="8" w:space="0"/>
              <w:bottom w:val="single" w:color="000000" w:sz="8" w:space="0"/>
              <w:right w:val="single" w:color="000000" w:sz="8" w:space="0"/>
            </w:tcBorders>
            <w:shd w:val="clear" w:color="auto" w:fill="auto"/>
            <w:noWrap/>
            <w:vAlign w:val="center"/>
          </w:tcPr>
          <w:p w14:paraId="02756859">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45</w:t>
            </w:r>
          </w:p>
        </w:tc>
        <w:tc>
          <w:tcPr>
            <w:tcW w:w="1418" w:type="pct"/>
            <w:gridSpan w:val="3"/>
            <w:vMerge w:val="restart"/>
            <w:tcBorders>
              <w:top w:val="nil"/>
              <w:left w:val="nil"/>
              <w:bottom w:val="single" w:color="000000" w:sz="8" w:space="0"/>
              <w:right w:val="single" w:color="000000" w:sz="8" w:space="0"/>
            </w:tcBorders>
            <w:shd w:val="clear" w:color="auto" w:fill="auto"/>
            <w:vAlign w:val="center"/>
          </w:tcPr>
          <w:p w14:paraId="6D30DD7F">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民生实事项目监督系统</w:t>
            </w:r>
          </w:p>
        </w:tc>
        <w:tc>
          <w:tcPr>
            <w:tcW w:w="3108" w:type="pct"/>
            <w:tcBorders>
              <w:top w:val="nil"/>
              <w:left w:val="nil"/>
              <w:bottom w:val="single" w:color="000000" w:sz="8" w:space="0"/>
              <w:right w:val="single" w:color="000000" w:sz="8" w:space="0"/>
            </w:tcBorders>
            <w:shd w:val="clear" w:color="auto" w:fill="auto"/>
            <w:vAlign w:val="center"/>
          </w:tcPr>
          <w:p w14:paraId="06AE2FB4">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需完成系统从现有的云平台迁移部署至算力云上并将按照新版本云部署的达梦数据库替换原ecs部署的达梦数据库，包括数据版本间差异的适配，以及不同部署形式数据库之间的迁移适配工作。主要工作内容对项目征集、项目票决、项目登记、项目实施进度公开、民生地图、跟踪监督、满意度测评这7个功能模块的测试及数据迁移，系统迁移及完成密码测评、密码方案评审、密码应用服务、渗透测试等保二级测评、信创测评等相关工作。</w:t>
            </w:r>
          </w:p>
        </w:tc>
      </w:tr>
      <w:tr w14:paraId="6EC2EB34">
        <w:tblPrEx>
          <w:tblCellMar>
            <w:top w:w="0" w:type="dxa"/>
            <w:left w:w="108" w:type="dxa"/>
            <w:bottom w:w="0" w:type="dxa"/>
            <w:right w:w="108" w:type="dxa"/>
          </w:tblCellMar>
        </w:tblPrEx>
        <w:trPr>
          <w:trHeight w:val="951" w:hRule="atLeast"/>
        </w:trPr>
        <w:tc>
          <w:tcPr>
            <w:tcW w:w="472" w:type="pct"/>
            <w:tcBorders>
              <w:top w:val="nil"/>
              <w:left w:val="single" w:color="000000" w:sz="8" w:space="0"/>
              <w:bottom w:val="single" w:color="000000" w:sz="8" w:space="0"/>
              <w:right w:val="single" w:color="000000" w:sz="8" w:space="0"/>
            </w:tcBorders>
            <w:shd w:val="clear" w:color="auto" w:fill="auto"/>
            <w:noWrap/>
            <w:vAlign w:val="center"/>
          </w:tcPr>
          <w:p w14:paraId="439E4471">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46</w:t>
            </w:r>
          </w:p>
        </w:tc>
        <w:tc>
          <w:tcPr>
            <w:tcW w:w="1418" w:type="pct"/>
            <w:gridSpan w:val="3"/>
            <w:vMerge w:val="continue"/>
            <w:tcBorders>
              <w:top w:val="nil"/>
              <w:left w:val="nil"/>
              <w:bottom w:val="single" w:color="000000" w:sz="8" w:space="0"/>
              <w:right w:val="single" w:color="000000" w:sz="8" w:space="0"/>
            </w:tcBorders>
            <w:shd w:val="clear" w:color="auto" w:fill="auto"/>
            <w:vAlign w:val="center"/>
          </w:tcPr>
          <w:p w14:paraId="29B48595">
            <w:pPr>
              <w:jc w:val="center"/>
              <w:rPr>
                <w:rFonts w:hint="eastAsia" w:ascii="宋体" w:hAnsi="宋体" w:cs="宋体"/>
                <w:color w:val="000000" w:themeColor="text1"/>
                <w:sz w:val="24"/>
                <w14:textFill>
                  <w14:solidFill>
                    <w14:schemeClr w14:val="tx1"/>
                  </w14:solidFill>
                </w14:textFill>
              </w:rPr>
            </w:pPr>
          </w:p>
        </w:tc>
        <w:tc>
          <w:tcPr>
            <w:tcW w:w="3108" w:type="pct"/>
            <w:tcBorders>
              <w:top w:val="nil"/>
              <w:left w:val="nil"/>
              <w:bottom w:val="single" w:color="000000" w:sz="8" w:space="0"/>
              <w:right w:val="single" w:color="000000" w:sz="8" w:space="0"/>
            </w:tcBorders>
            <w:shd w:val="clear" w:color="auto" w:fill="auto"/>
            <w:vAlign w:val="center"/>
          </w:tcPr>
          <w:p w14:paraId="0D757980">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按照一单位一平台的建设要求，完成统一用户管理的对接、消息对接，待办对接，以及应用第一层UI风格与平台保持一致。</w:t>
            </w:r>
          </w:p>
        </w:tc>
      </w:tr>
      <w:tr w14:paraId="3BC78C6E">
        <w:tblPrEx>
          <w:tblCellMar>
            <w:top w:w="0" w:type="dxa"/>
            <w:left w:w="108" w:type="dxa"/>
            <w:bottom w:w="0" w:type="dxa"/>
            <w:right w:w="108" w:type="dxa"/>
          </w:tblCellMar>
        </w:tblPrEx>
        <w:trPr>
          <w:trHeight w:val="2823" w:hRule="atLeast"/>
        </w:trPr>
        <w:tc>
          <w:tcPr>
            <w:tcW w:w="472" w:type="pct"/>
            <w:tcBorders>
              <w:top w:val="nil"/>
              <w:left w:val="single" w:color="000000" w:sz="8" w:space="0"/>
              <w:bottom w:val="single" w:color="000000" w:sz="8" w:space="0"/>
              <w:right w:val="single" w:color="000000" w:sz="8" w:space="0"/>
            </w:tcBorders>
            <w:shd w:val="clear" w:color="auto" w:fill="auto"/>
            <w:noWrap/>
            <w:vAlign w:val="center"/>
          </w:tcPr>
          <w:p w14:paraId="46C62393">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47</w:t>
            </w:r>
          </w:p>
        </w:tc>
        <w:tc>
          <w:tcPr>
            <w:tcW w:w="1418" w:type="pct"/>
            <w:gridSpan w:val="3"/>
            <w:vMerge w:val="restart"/>
            <w:tcBorders>
              <w:top w:val="nil"/>
              <w:left w:val="nil"/>
              <w:bottom w:val="single" w:color="000000" w:sz="8" w:space="0"/>
              <w:right w:val="single" w:color="000000" w:sz="8" w:space="0"/>
            </w:tcBorders>
            <w:shd w:val="clear" w:color="auto" w:fill="auto"/>
            <w:vAlign w:val="center"/>
          </w:tcPr>
          <w:p w14:paraId="3A4F97A5">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代表联系群众、意见处理反馈系统</w:t>
            </w:r>
          </w:p>
        </w:tc>
        <w:tc>
          <w:tcPr>
            <w:tcW w:w="3108" w:type="pct"/>
            <w:tcBorders>
              <w:top w:val="nil"/>
              <w:left w:val="nil"/>
              <w:bottom w:val="single" w:color="000000" w:sz="8" w:space="0"/>
              <w:right w:val="single" w:color="000000" w:sz="8" w:space="0"/>
            </w:tcBorders>
            <w:shd w:val="clear" w:color="auto" w:fill="auto"/>
            <w:vAlign w:val="center"/>
          </w:tcPr>
          <w:p w14:paraId="1A79553C">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完成系统从现有的云平台迁移部署至算力云上并将按照新版本云部署的达梦数据库替换原ecs部署的达梦数据库，包括数据版本间差异的适配，以及不同部署形式数据库之间的迁移适配工作。主要工作内容对群众码上询、代表掌上应用、镇街道人大审核、区人大审核、联络站实时督、人大机关全程督、对接省基层治理四平台这7个功能模块的测试及数据迁移，系统迁移及完成密码测评、密码方案评审、密码应用服务、渗透测试等保二级测评、信创测评等相关工作。</w:t>
            </w:r>
          </w:p>
        </w:tc>
      </w:tr>
      <w:tr w14:paraId="30DE24F0">
        <w:tblPrEx>
          <w:tblCellMar>
            <w:top w:w="0" w:type="dxa"/>
            <w:left w:w="108" w:type="dxa"/>
            <w:bottom w:w="0" w:type="dxa"/>
            <w:right w:w="108" w:type="dxa"/>
          </w:tblCellMar>
        </w:tblPrEx>
        <w:trPr>
          <w:trHeight w:val="951" w:hRule="atLeast"/>
        </w:trPr>
        <w:tc>
          <w:tcPr>
            <w:tcW w:w="472" w:type="pct"/>
            <w:tcBorders>
              <w:top w:val="nil"/>
              <w:left w:val="single" w:color="000000" w:sz="8" w:space="0"/>
              <w:bottom w:val="single" w:color="000000" w:sz="8" w:space="0"/>
              <w:right w:val="single" w:color="000000" w:sz="8" w:space="0"/>
            </w:tcBorders>
            <w:shd w:val="clear" w:color="auto" w:fill="auto"/>
            <w:noWrap/>
            <w:vAlign w:val="center"/>
          </w:tcPr>
          <w:p w14:paraId="71632330">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48</w:t>
            </w:r>
          </w:p>
        </w:tc>
        <w:tc>
          <w:tcPr>
            <w:tcW w:w="1418" w:type="pct"/>
            <w:gridSpan w:val="3"/>
            <w:vMerge w:val="continue"/>
            <w:tcBorders>
              <w:top w:val="nil"/>
              <w:left w:val="nil"/>
              <w:bottom w:val="single" w:color="000000" w:sz="8" w:space="0"/>
              <w:right w:val="single" w:color="000000" w:sz="8" w:space="0"/>
            </w:tcBorders>
            <w:shd w:val="clear" w:color="auto" w:fill="auto"/>
            <w:vAlign w:val="center"/>
          </w:tcPr>
          <w:p w14:paraId="0349D05E">
            <w:pPr>
              <w:jc w:val="center"/>
              <w:rPr>
                <w:rFonts w:hint="eastAsia" w:ascii="宋体" w:hAnsi="宋体" w:cs="宋体"/>
                <w:color w:val="000000" w:themeColor="text1"/>
                <w:sz w:val="24"/>
                <w14:textFill>
                  <w14:solidFill>
                    <w14:schemeClr w14:val="tx1"/>
                  </w14:solidFill>
                </w14:textFill>
              </w:rPr>
            </w:pPr>
          </w:p>
        </w:tc>
        <w:tc>
          <w:tcPr>
            <w:tcW w:w="3108" w:type="pct"/>
            <w:tcBorders>
              <w:top w:val="nil"/>
              <w:left w:val="nil"/>
              <w:bottom w:val="single" w:color="000000" w:sz="8" w:space="0"/>
              <w:right w:val="single" w:color="000000" w:sz="8" w:space="0"/>
            </w:tcBorders>
            <w:shd w:val="clear" w:color="auto" w:fill="auto"/>
            <w:vAlign w:val="center"/>
          </w:tcPr>
          <w:p w14:paraId="41CB573A">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按照一单位一平台的建设要求，完成统一用户管理的对接、消息对接，待办对接，以及应用第一层UI风格与平台保持一致。</w:t>
            </w:r>
          </w:p>
        </w:tc>
      </w:tr>
      <w:tr w14:paraId="0EEB3F87">
        <w:tblPrEx>
          <w:tblCellMar>
            <w:top w:w="0" w:type="dxa"/>
            <w:left w:w="108" w:type="dxa"/>
            <w:bottom w:w="0" w:type="dxa"/>
            <w:right w:w="108" w:type="dxa"/>
          </w:tblCellMar>
        </w:tblPrEx>
        <w:trPr>
          <w:trHeight w:val="1887" w:hRule="atLeast"/>
        </w:trPr>
        <w:tc>
          <w:tcPr>
            <w:tcW w:w="472" w:type="pct"/>
            <w:tcBorders>
              <w:top w:val="nil"/>
              <w:left w:val="single" w:color="000000" w:sz="8" w:space="0"/>
              <w:bottom w:val="single" w:color="000000" w:sz="8" w:space="0"/>
              <w:right w:val="single" w:color="000000" w:sz="8" w:space="0"/>
            </w:tcBorders>
            <w:shd w:val="clear" w:color="auto" w:fill="auto"/>
            <w:noWrap/>
            <w:vAlign w:val="center"/>
          </w:tcPr>
          <w:p w14:paraId="553BE600">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49</w:t>
            </w:r>
          </w:p>
        </w:tc>
        <w:tc>
          <w:tcPr>
            <w:tcW w:w="1418" w:type="pct"/>
            <w:gridSpan w:val="3"/>
            <w:vMerge w:val="restart"/>
            <w:tcBorders>
              <w:top w:val="nil"/>
              <w:left w:val="nil"/>
              <w:bottom w:val="single" w:color="000000" w:sz="8" w:space="0"/>
              <w:right w:val="single" w:color="000000" w:sz="8" w:space="0"/>
            </w:tcBorders>
            <w:shd w:val="clear" w:color="auto" w:fill="auto"/>
            <w:vAlign w:val="center"/>
          </w:tcPr>
          <w:p w14:paraId="75F36D88">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议案建议办理应用场景应用</w:t>
            </w:r>
          </w:p>
        </w:tc>
        <w:tc>
          <w:tcPr>
            <w:tcW w:w="3108" w:type="pct"/>
            <w:tcBorders>
              <w:top w:val="nil"/>
              <w:left w:val="nil"/>
              <w:bottom w:val="single" w:color="000000" w:sz="8" w:space="0"/>
              <w:right w:val="single" w:color="000000" w:sz="8" w:space="0"/>
            </w:tcBorders>
            <w:shd w:val="clear" w:color="auto" w:fill="auto"/>
            <w:vAlign w:val="center"/>
          </w:tcPr>
          <w:p w14:paraId="16BDEAF4">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需完成系统从现有的云平台迁移部署至算力云上并将按照新版本云部署的达梦数据库替换原ecs部署的达梦数据库，包括数据版本间差异的适配，以及不同部署形式数据库之间的迁移适配工作。需完成数据迁移，系统迁移及完成密码测评、密码方案评审、密码应用服务、渗透测试等保二级测评、信创测评等相关工作。</w:t>
            </w:r>
          </w:p>
        </w:tc>
      </w:tr>
      <w:tr w14:paraId="53177697">
        <w:tblPrEx>
          <w:tblCellMar>
            <w:top w:w="0" w:type="dxa"/>
            <w:left w:w="108" w:type="dxa"/>
            <w:bottom w:w="0" w:type="dxa"/>
            <w:right w:w="108" w:type="dxa"/>
          </w:tblCellMar>
        </w:tblPrEx>
        <w:trPr>
          <w:trHeight w:val="951" w:hRule="atLeast"/>
        </w:trPr>
        <w:tc>
          <w:tcPr>
            <w:tcW w:w="472" w:type="pct"/>
            <w:tcBorders>
              <w:top w:val="nil"/>
              <w:left w:val="single" w:color="000000" w:sz="8" w:space="0"/>
              <w:bottom w:val="single" w:color="000000" w:sz="8" w:space="0"/>
              <w:right w:val="single" w:color="000000" w:sz="8" w:space="0"/>
            </w:tcBorders>
            <w:shd w:val="clear" w:color="auto" w:fill="auto"/>
            <w:noWrap/>
            <w:vAlign w:val="center"/>
          </w:tcPr>
          <w:p w14:paraId="71F0C9F3">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50</w:t>
            </w:r>
          </w:p>
        </w:tc>
        <w:tc>
          <w:tcPr>
            <w:tcW w:w="1418" w:type="pct"/>
            <w:gridSpan w:val="3"/>
            <w:vMerge w:val="continue"/>
            <w:tcBorders>
              <w:top w:val="nil"/>
              <w:left w:val="nil"/>
              <w:bottom w:val="single" w:color="000000" w:sz="8" w:space="0"/>
              <w:right w:val="single" w:color="000000" w:sz="8" w:space="0"/>
            </w:tcBorders>
            <w:shd w:val="clear" w:color="auto" w:fill="auto"/>
            <w:vAlign w:val="center"/>
          </w:tcPr>
          <w:p w14:paraId="3D805A0D">
            <w:pPr>
              <w:jc w:val="center"/>
              <w:rPr>
                <w:rFonts w:hint="eastAsia" w:ascii="宋体" w:hAnsi="宋体" w:cs="宋体"/>
                <w:color w:val="000000" w:themeColor="text1"/>
                <w:sz w:val="24"/>
                <w14:textFill>
                  <w14:solidFill>
                    <w14:schemeClr w14:val="tx1"/>
                  </w14:solidFill>
                </w14:textFill>
              </w:rPr>
            </w:pPr>
          </w:p>
        </w:tc>
        <w:tc>
          <w:tcPr>
            <w:tcW w:w="3108" w:type="pct"/>
            <w:tcBorders>
              <w:top w:val="nil"/>
              <w:left w:val="nil"/>
              <w:bottom w:val="single" w:color="000000" w:sz="8" w:space="0"/>
              <w:right w:val="single" w:color="000000" w:sz="8" w:space="0"/>
            </w:tcBorders>
            <w:shd w:val="clear" w:color="auto" w:fill="auto"/>
            <w:vAlign w:val="center"/>
          </w:tcPr>
          <w:p w14:paraId="000B786C">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按照一单位一平台的建设要求，完成统一用户管理的对接、消息对接，待办对接，以及应用第一层UI风格与平台保持一致。</w:t>
            </w:r>
          </w:p>
        </w:tc>
      </w:tr>
      <w:tr w14:paraId="241FBA17">
        <w:tblPrEx>
          <w:tblCellMar>
            <w:top w:w="0" w:type="dxa"/>
            <w:left w:w="108" w:type="dxa"/>
            <w:bottom w:w="0" w:type="dxa"/>
            <w:right w:w="108" w:type="dxa"/>
          </w:tblCellMar>
        </w:tblPrEx>
        <w:trPr>
          <w:trHeight w:val="1263" w:hRule="atLeast"/>
        </w:trPr>
        <w:tc>
          <w:tcPr>
            <w:tcW w:w="472" w:type="pct"/>
            <w:tcBorders>
              <w:top w:val="nil"/>
              <w:left w:val="single" w:color="000000" w:sz="8" w:space="0"/>
              <w:bottom w:val="single" w:color="000000" w:sz="8" w:space="0"/>
              <w:right w:val="single" w:color="000000" w:sz="8" w:space="0"/>
            </w:tcBorders>
            <w:shd w:val="clear" w:color="auto" w:fill="auto"/>
            <w:noWrap/>
            <w:vAlign w:val="center"/>
          </w:tcPr>
          <w:p w14:paraId="462D50E7">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51</w:t>
            </w:r>
          </w:p>
        </w:tc>
        <w:tc>
          <w:tcPr>
            <w:tcW w:w="1418" w:type="pct"/>
            <w:gridSpan w:val="3"/>
            <w:vMerge w:val="restart"/>
            <w:tcBorders>
              <w:top w:val="nil"/>
              <w:left w:val="nil"/>
              <w:bottom w:val="single" w:color="000000" w:sz="8" w:space="0"/>
              <w:right w:val="single" w:color="000000" w:sz="8" w:space="0"/>
            </w:tcBorders>
            <w:shd w:val="clear" w:color="auto" w:fill="auto"/>
            <w:vAlign w:val="center"/>
          </w:tcPr>
          <w:p w14:paraId="5385916C">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财经综合监督系统应用</w:t>
            </w:r>
          </w:p>
        </w:tc>
        <w:tc>
          <w:tcPr>
            <w:tcW w:w="3108" w:type="pct"/>
            <w:tcBorders>
              <w:top w:val="nil"/>
              <w:left w:val="nil"/>
              <w:bottom w:val="single" w:color="000000" w:sz="8" w:space="0"/>
              <w:right w:val="single" w:color="000000" w:sz="8" w:space="0"/>
            </w:tcBorders>
            <w:shd w:val="clear" w:color="auto" w:fill="auto"/>
            <w:vAlign w:val="center"/>
          </w:tcPr>
          <w:p w14:paraId="4628BE77">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算监督子系统、国资监管子系统、经济运行监督子系统、重大项目监督子系统、审计监督子系统等功能测试、数据迁移及完成密码测评、密码方案评审、密码应用服务、渗透测试等保二级测评、信创测评等相关工作。</w:t>
            </w:r>
          </w:p>
        </w:tc>
      </w:tr>
      <w:tr w14:paraId="7769BE1D">
        <w:tblPrEx>
          <w:tblCellMar>
            <w:top w:w="0" w:type="dxa"/>
            <w:left w:w="108" w:type="dxa"/>
            <w:bottom w:w="0" w:type="dxa"/>
            <w:right w:w="108" w:type="dxa"/>
          </w:tblCellMar>
        </w:tblPrEx>
        <w:trPr>
          <w:trHeight w:val="951" w:hRule="atLeast"/>
        </w:trPr>
        <w:tc>
          <w:tcPr>
            <w:tcW w:w="472" w:type="pct"/>
            <w:tcBorders>
              <w:top w:val="nil"/>
              <w:left w:val="single" w:color="000000" w:sz="8" w:space="0"/>
              <w:bottom w:val="single" w:color="000000" w:sz="8" w:space="0"/>
              <w:right w:val="single" w:color="000000" w:sz="8" w:space="0"/>
            </w:tcBorders>
            <w:shd w:val="clear" w:color="auto" w:fill="auto"/>
            <w:noWrap/>
            <w:vAlign w:val="center"/>
          </w:tcPr>
          <w:p w14:paraId="7032DC8B">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52</w:t>
            </w:r>
          </w:p>
        </w:tc>
        <w:tc>
          <w:tcPr>
            <w:tcW w:w="1418" w:type="pct"/>
            <w:gridSpan w:val="3"/>
            <w:vMerge w:val="continue"/>
            <w:tcBorders>
              <w:top w:val="nil"/>
              <w:left w:val="nil"/>
              <w:bottom w:val="single" w:color="000000" w:sz="8" w:space="0"/>
              <w:right w:val="single" w:color="000000" w:sz="8" w:space="0"/>
            </w:tcBorders>
            <w:shd w:val="clear" w:color="auto" w:fill="auto"/>
            <w:vAlign w:val="center"/>
          </w:tcPr>
          <w:p w14:paraId="6A43B8AE">
            <w:pPr>
              <w:jc w:val="center"/>
              <w:rPr>
                <w:rFonts w:hint="eastAsia" w:ascii="宋体" w:hAnsi="宋体" w:cs="宋体"/>
                <w:color w:val="000000" w:themeColor="text1"/>
                <w:sz w:val="24"/>
                <w14:textFill>
                  <w14:solidFill>
                    <w14:schemeClr w14:val="tx1"/>
                  </w14:solidFill>
                </w14:textFill>
              </w:rPr>
            </w:pPr>
          </w:p>
        </w:tc>
        <w:tc>
          <w:tcPr>
            <w:tcW w:w="3108" w:type="pct"/>
            <w:tcBorders>
              <w:top w:val="nil"/>
              <w:left w:val="nil"/>
              <w:bottom w:val="single" w:color="000000" w:sz="8" w:space="0"/>
              <w:right w:val="single" w:color="000000" w:sz="8" w:space="0"/>
            </w:tcBorders>
            <w:shd w:val="clear" w:color="auto" w:fill="auto"/>
            <w:vAlign w:val="center"/>
          </w:tcPr>
          <w:p w14:paraId="4310D28A">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按照一单位一平台的建设要求，完成统一用户管理的对接、消息对接，待办对接，以及应用第一层UI风格与平台保持一致。</w:t>
            </w:r>
          </w:p>
        </w:tc>
      </w:tr>
      <w:tr w14:paraId="22354286">
        <w:tblPrEx>
          <w:tblCellMar>
            <w:top w:w="0" w:type="dxa"/>
            <w:left w:w="108" w:type="dxa"/>
            <w:bottom w:w="0" w:type="dxa"/>
            <w:right w:w="108" w:type="dxa"/>
          </w:tblCellMar>
        </w:tblPrEx>
        <w:trPr>
          <w:trHeight w:val="1887" w:hRule="atLeast"/>
        </w:trPr>
        <w:tc>
          <w:tcPr>
            <w:tcW w:w="472" w:type="pct"/>
            <w:tcBorders>
              <w:top w:val="nil"/>
              <w:left w:val="single" w:color="000000" w:sz="8" w:space="0"/>
              <w:bottom w:val="single" w:color="000000" w:sz="8" w:space="0"/>
              <w:right w:val="single" w:color="000000" w:sz="8" w:space="0"/>
            </w:tcBorders>
            <w:shd w:val="clear" w:color="auto" w:fill="auto"/>
            <w:noWrap/>
            <w:vAlign w:val="center"/>
          </w:tcPr>
          <w:p w14:paraId="2EAF5167">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53</w:t>
            </w:r>
          </w:p>
        </w:tc>
        <w:tc>
          <w:tcPr>
            <w:tcW w:w="472" w:type="pct"/>
            <w:vMerge w:val="restart"/>
            <w:tcBorders>
              <w:top w:val="nil"/>
              <w:left w:val="nil"/>
              <w:bottom w:val="single" w:color="000000" w:sz="8" w:space="0"/>
              <w:right w:val="single" w:color="000000" w:sz="8" w:space="0"/>
            </w:tcBorders>
            <w:shd w:val="clear" w:color="auto" w:fill="auto"/>
            <w:vAlign w:val="center"/>
          </w:tcPr>
          <w:p w14:paraId="16D2A16E">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人大数据仓应用场景</w:t>
            </w:r>
          </w:p>
        </w:tc>
        <w:tc>
          <w:tcPr>
            <w:tcW w:w="945" w:type="pct"/>
            <w:gridSpan w:val="2"/>
            <w:tcBorders>
              <w:top w:val="nil"/>
              <w:left w:val="nil"/>
              <w:bottom w:val="single" w:color="000000" w:sz="8" w:space="0"/>
              <w:right w:val="single" w:color="000000" w:sz="8" w:space="0"/>
            </w:tcBorders>
            <w:shd w:val="clear" w:color="auto" w:fill="auto"/>
            <w:vAlign w:val="center"/>
          </w:tcPr>
          <w:p w14:paraId="2987B79A">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数据目录</w:t>
            </w:r>
          </w:p>
        </w:tc>
        <w:tc>
          <w:tcPr>
            <w:tcW w:w="3108" w:type="pct"/>
            <w:tcBorders>
              <w:top w:val="nil"/>
              <w:left w:val="nil"/>
              <w:bottom w:val="single" w:color="000000" w:sz="8" w:space="0"/>
              <w:right w:val="single" w:color="000000" w:sz="8" w:space="0"/>
            </w:tcBorders>
            <w:shd w:val="clear" w:color="auto" w:fill="auto"/>
            <w:vAlign w:val="center"/>
          </w:tcPr>
          <w:p w14:paraId="569B6317">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对数据仓内所有目录进行管理，支持新增目录；支持目录的编辑；支持对编目完成后的目录生成不同类型的数据库建表语句，支持对数据的分层管理；对目录所需要的属性规范进行管理，包含目录的基础属性以及数据项属性。支持属性的新增、编辑、删除；支持模板的下载与模板导入。</w:t>
            </w:r>
          </w:p>
        </w:tc>
      </w:tr>
      <w:tr w14:paraId="78678822">
        <w:tblPrEx>
          <w:tblCellMar>
            <w:top w:w="0" w:type="dxa"/>
            <w:left w:w="108" w:type="dxa"/>
            <w:bottom w:w="0" w:type="dxa"/>
            <w:right w:w="108" w:type="dxa"/>
          </w:tblCellMar>
        </w:tblPrEx>
        <w:trPr>
          <w:trHeight w:val="951" w:hRule="atLeast"/>
        </w:trPr>
        <w:tc>
          <w:tcPr>
            <w:tcW w:w="472" w:type="pct"/>
            <w:tcBorders>
              <w:top w:val="nil"/>
              <w:left w:val="single" w:color="000000" w:sz="8" w:space="0"/>
              <w:bottom w:val="single" w:color="000000" w:sz="8" w:space="0"/>
              <w:right w:val="single" w:color="000000" w:sz="8" w:space="0"/>
            </w:tcBorders>
            <w:shd w:val="clear" w:color="auto" w:fill="auto"/>
            <w:noWrap/>
            <w:vAlign w:val="center"/>
          </w:tcPr>
          <w:p w14:paraId="7045C7FF">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54</w:t>
            </w:r>
          </w:p>
        </w:tc>
        <w:tc>
          <w:tcPr>
            <w:tcW w:w="472" w:type="pct"/>
            <w:vMerge w:val="continue"/>
            <w:tcBorders>
              <w:top w:val="nil"/>
              <w:left w:val="nil"/>
              <w:bottom w:val="single" w:color="000000" w:sz="8" w:space="0"/>
              <w:right w:val="single" w:color="000000" w:sz="8" w:space="0"/>
            </w:tcBorders>
            <w:shd w:val="clear" w:color="auto" w:fill="auto"/>
            <w:vAlign w:val="center"/>
          </w:tcPr>
          <w:p w14:paraId="4016801E">
            <w:pPr>
              <w:jc w:val="center"/>
              <w:rPr>
                <w:rFonts w:hint="eastAsia" w:ascii="宋体" w:hAnsi="宋体" w:cs="宋体"/>
                <w:color w:val="000000" w:themeColor="text1"/>
                <w:sz w:val="24"/>
                <w14:textFill>
                  <w14:solidFill>
                    <w14:schemeClr w14:val="tx1"/>
                  </w14:solidFill>
                </w14:textFill>
              </w:rPr>
            </w:pPr>
          </w:p>
        </w:tc>
        <w:tc>
          <w:tcPr>
            <w:tcW w:w="945" w:type="pct"/>
            <w:gridSpan w:val="2"/>
            <w:tcBorders>
              <w:top w:val="nil"/>
              <w:left w:val="nil"/>
              <w:bottom w:val="single" w:color="000000" w:sz="8" w:space="0"/>
              <w:right w:val="single" w:color="000000" w:sz="8" w:space="0"/>
            </w:tcBorders>
            <w:shd w:val="clear" w:color="auto" w:fill="auto"/>
            <w:vAlign w:val="center"/>
          </w:tcPr>
          <w:p w14:paraId="3A3DC9C1">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数据归集</w:t>
            </w:r>
          </w:p>
        </w:tc>
        <w:tc>
          <w:tcPr>
            <w:tcW w:w="3108" w:type="pct"/>
            <w:tcBorders>
              <w:top w:val="nil"/>
              <w:left w:val="nil"/>
              <w:bottom w:val="single" w:color="000000" w:sz="8" w:space="0"/>
              <w:right w:val="single" w:color="000000" w:sz="8" w:space="0"/>
            </w:tcBorders>
            <w:shd w:val="clear" w:color="auto" w:fill="auto"/>
            <w:vAlign w:val="center"/>
          </w:tcPr>
          <w:p w14:paraId="6F71B632">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支持数据库、接口、存储、文件、消息队列5种类型的数据源配置与管理。支持数据源的新建、编辑、克隆、心跳测试与删除。</w:t>
            </w:r>
          </w:p>
        </w:tc>
      </w:tr>
      <w:tr w14:paraId="401356DC">
        <w:tblPrEx>
          <w:tblCellMar>
            <w:top w:w="0" w:type="dxa"/>
            <w:left w:w="108" w:type="dxa"/>
            <w:bottom w:w="0" w:type="dxa"/>
            <w:right w:w="108" w:type="dxa"/>
          </w:tblCellMar>
        </w:tblPrEx>
        <w:trPr>
          <w:trHeight w:val="639" w:hRule="atLeast"/>
        </w:trPr>
        <w:tc>
          <w:tcPr>
            <w:tcW w:w="472" w:type="pct"/>
            <w:tcBorders>
              <w:top w:val="nil"/>
              <w:left w:val="single" w:color="000000" w:sz="8" w:space="0"/>
              <w:bottom w:val="single" w:color="000000" w:sz="8" w:space="0"/>
              <w:right w:val="single" w:color="000000" w:sz="8" w:space="0"/>
            </w:tcBorders>
            <w:shd w:val="clear" w:color="auto" w:fill="auto"/>
            <w:noWrap/>
            <w:vAlign w:val="center"/>
          </w:tcPr>
          <w:p w14:paraId="36DE76D0">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55</w:t>
            </w:r>
          </w:p>
        </w:tc>
        <w:tc>
          <w:tcPr>
            <w:tcW w:w="472" w:type="pct"/>
            <w:vMerge w:val="continue"/>
            <w:tcBorders>
              <w:top w:val="nil"/>
              <w:left w:val="nil"/>
              <w:bottom w:val="single" w:color="000000" w:sz="8" w:space="0"/>
              <w:right w:val="single" w:color="000000" w:sz="8" w:space="0"/>
            </w:tcBorders>
            <w:shd w:val="clear" w:color="auto" w:fill="auto"/>
            <w:vAlign w:val="center"/>
          </w:tcPr>
          <w:p w14:paraId="0F80EA26">
            <w:pPr>
              <w:jc w:val="center"/>
              <w:rPr>
                <w:rFonts w:hint="eastAsia" w:ascii="宋体" w:hAnsi="宋体" w:cs="宋体"/>
                <w:color w:val="000000" w:themeColor="text1"/>
                <w:sz w:val="24"/>
                <w14:textFill>
                  <w14:solidFill>
                    <w14:schemeClr w14:val="tx1"/>
                  </w14:solidFill>
                </w14:textFill>
              </w:rPr>
            </w:pPr>
          </w:p>
        </w:tc>
        <w:tc>
          <w:tcPr>
            <w:tcW w:w="945" w:type="pct"/>
            <w:gridSpan w:val="2"/>
            <w:tcBorders>
              <w:top w:val="nil"/>
              <w:left w:val="nil"/>
              <w:bottom w:val="single" w:color="000000" w:sz="8" w:space="0"/>
              <w:right w:val="single" w:color="000000" w:sz="8" w:space="0"/>
            </w:tcBorders>
            <w:shd w:val="clear" w:color="auto" w:fill="auto"/>
            <w:vAlign w:val="center"/>
          </w:tcPr>
          <w:p w14:paraId="5FA36C73">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数据质量</w:t>
            </w:r>
          </w:p>
        </w:tc>
        <w:tc>
          <w:tcPr>
            <w:tcW w:w="3108" w:type="pct"/>
            <w:tcBorders>
              <w:top w:val="nil"/>
              <w:left w:val="nil"/>
              <w:bottom w:val="single" w:color="000000" w:sz="8" w:space="0"/>
              <w:right w:val="single" w:color="000000" w:sz="8" w:space="0"/>
            </w:tcBorders>
            <w:shd w:val="clear" w:color="auto" w:fill="auto"/>
            <w:vAlign w:val="center"/>
          </w:tcPr>
          <w:p w14:paraId="1B845DE8">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根据规则对归集数据字段进行质量检测，系统自动清除不合规数据，保证数据归集整体质量。</w:t>
            </w:r>
          </w:p>
        </w:tc>
      </w:tr>
      <w:tr w14:paraId="06707A03">
        <w:tblPrEx>
          <w:tblCellMar>
            <w:top w:w="0" w:type="dxa"/>
            <w:left w:w="108" w:type="dxa"/>
            <w:bottom w:w="0" w:type="dxa"/>
            <w:right w:w="108" w:type="dxa"/>
          </w:tblCellMar>
        </w:tblPrEx>
        <w:trPr>
          <w:trHeight w:val="951" w:hRule="atLeast"/>
        </w:trPr>
        <w:tc>
          <w:tcPr>
            <w:tcW w:w="472" w:type="pct"/>
            <w:tcBorders>
              <w:top w:val="nil"/>
              <w:left w:val="single" w:color="000000" w:sz="8" w:space="0"/>
              <w:bottom w:val="single" w:color="000000" w:sz="8" w:space="0"/>
              <w:right w:val="single" w:color="000000" w:sz="8" w:space="0"/>
            </w:tcBorders>
            <w:shd w:val="clear" w:color="auto" w:fill="auto"/>
            <w:noWrap/>
            <w:vAlign w:val="center"/>
          </w:tcPr>
          <w:p w14:paraId="40F81DFF">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56</w:t>
            </w:r>
          </w:p>
        </w:tc>
        <w:tc>
          <w:tcPr>
            <w:tcW w:w="472" w:type="pct"/>
            <w:vMerge w:val="continue"/>
            <w:tcBorders>
              <w:top w:val="nil"/>
              <w:left w:val="nil"/>
              <w:bottom w:val="single" w:color="000000" w:sz="8" w:space="0"/>
              <w:right w:val="single" w:color="000000" w:sz="8" w:space="0"/>
            </w:tcBorders>
            <w:shd w:val="clear" w:color="auto" w:fill="auto"/>
            <w:vAlign w:val="center"/>
          </w:tcPr>
          <w:p w14:paraId="09A3A4F2">
            <w:pPr>
              <w:jc w:val="center"/>
              <w:rPr>
                <w:rFonts w:hint="eastAsia" w:ascii="宋体" w:hAnsi="宋体" w:cs="宋体"/>
                <w:color w:val="000000" w:themeColor="text1"/>
                <w:sz w:val="24"/>
                <w14:textFill>
                  <w14:solidFill>
                    <w14:schemeClr w14:val="tx1"/>
                  </w14:solidFill>
                </w14:textFill>
              </w:rPr>
            </w:pPr>
          </w:p>
        </w:tc>
        <w:tc>
          <w:tcPr>
            <w:tcW w:w="945" w:type="pct"/>
            <w:gridSpan w:val="2"/>
            <w:tcBorders>
              <w:top w:val="nil"/>
              <w:left w:val="nil"/>
              <w:bottom w:val="single" w:color="000000" w:sz="8" w:space="0"/>
              <w:right w:val="single" w:color="000000" w:sz="8" w:space="0"/>
            </w:tcBorders>
            <w:shd w:val="clear" w:color="auto" w:fill="auto"/>
            <w:vAlign w:val="center"/>
          </w:tcPr>
          <w:p w14:paraId="65FB7B34">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数据开发</w:t>
            </w:r>
          </w:p>
        </w:tc>
        <w:tc>
          <w:tcPr>
            <w:tcW w:w="3108" w:type="pct"/>
            <w:tcBorders>
              <w:top w:val="nil"/>
              <w:left w:val="nil"/>
              <w:bottom w:val="single" w:color="000000" w:sz="8" w:space="0"/>
              <w:right w:val="single" w:color="000000" w:sz="8" w:space="0"/>
            </w:tcBorders>
            <w:shd w:val="clear" w:color="auto" w:fill="auto"/>
            <w:vAlign w:val="center"/>
          </w:tcPr>
          <w:p w14:paraId="7BB268EE">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通过对原始数据的采集、清洗、转换等一系列处理，将分散、杂乱的数据转化为结构化、高质量的数据资产，存储在数据仓库中，以支持决策分析。</w:t>
            </w:r>
          </w:p>
        </w:tc>
      </w:tr>
      <w:tr w14:paraId="3F004889">
        <w:tblPrEx>
          <w:tblCellMar>
            <w:top w:w="0" w:type="dxa"/>
            <w:left w:w="108" w:type="dxa"/>
            <w:bottom w:w="0" w:type="dxa"/>
            <w:right w:w="108" w:type="dxa"/>
          </w:tblCellMar>
        </w:tblPrEx>
        <w:trPr>
          <w:trHeight w:val="1263" w:hRule="atLeast"/>
        </w:trPr>
        <w:tc>
          <w:tcPr>
            <w:tcW w:w="472" w:type="pct"/>
            <w:tcBorders>
              <w:top w:val="nil"/>
              <w:left w:val="single" w:color="000000" w:sz="8" w:space="0"/>
              <w:bottom w:val="single" w:color="000000" w:sz="8" w:space="0"/>
              <w:right w:val="single" w:color="000000" w:sz="8" w:space="0"/>
            </w:tcBorders>
            <w:shd w:val="clear" w:color="auto" w:fill="auto"/>
            <w:noWrap/>
            <w:vAlign w:val="center"/>
          </w:tcPr>
          <w:p w14:paraId="240568D5">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57</w:t>
            </w:r>
          </w:p>
        </w:tc>
        <w:tc>
          <w:tcPr>
            <w:tcW w:w="472" w:type="pct"/>
            <w:vMerge w:val="continue"/>
            <w:tcBorders>
              <w:top w:val="nil"/>
              <w:left w:val="nil"/>
              <w:bottom w:val="single" w:color="000000" w:sz="8" w:space="0"/>
              <w:right w:val="single" w:color="000000" w:sz="8" w:space="0"/>
            </w:tcBorders>
            <w:shd w:val="clear" w:color="auto" w:fill="auto"/>
            <w:vAlign w:val="center"/>
          </w:tcPr>
          <w:p w14:paraId="7E937F81">
            <w:pPr>
              <w:jc w:val="center"/>
              <w:rPr>
                <w:rFonts w:hint="eastAsia" w:ascii="宋体" w:hAnsi="宋体" w:cs="宋体"/>
                <w:color w:val="000000" w:themeColor="text1"/>
                <w:sz w:val="24"/>
                <w14:textFill>
                  <w14:solidFill>
                    <w14:schemeClr w14:val="tx1"/>
                  </w14:solidFill>
                </w14:textFill>
              </w:rPr>
            </w:pPr>
          </w:p>
        </w:tc>
        <w:tc>
          <w:tcPr>
            <w:tcW w:w="945" w:type="pct"/>
            <w:gridSpan w:val="2"/>
            <w:tcBorders>
              <w:top w:val="nil"/>
              <w:left w:val="nil"/>
              <w:bottom w:val="single" w:color="000000" w:sz="8" w:space="0"/>
              <w:right w:val="single" w:color="000000" w:sz="8" w:space="0"/>
            </w:tcBorders>
            <w:shd w:val="clear" w:color="auto" w:fill="auto"/>
            <w:vAlign w:val="center"/>
          </w:tcPr>
          <w:p w14:paraId="7B8F66AE">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数据服务</w:t>
            </w:r>
          </w:p>
        </w:tc>
        <w:tc>
          <w:tcPr>
            <w:tcW w:w="3108" w:type="pct"/>
            <w:tcBorders>
              <w:top w:val="nil"/>
              <w:left w:val="nil"/>
              <w:bottom w:val="single" w:color="000000" w:sz="8" w:space="0"/>
              <w:right w:val="single" w:color="000000" w:sz="8" w:space="0"/>
            </w:tcBorders>
            <w:shd w:val="clear" w:color="auto" w:fill="auto"/>
            <w:vAlign w:val="center"/>
          </w:tcPr>
          <w:p w14:paraId="476313ED">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支持数据推送任务的配置管理。支持推送任务的新建、编辑、克隆与删除，通过配置字段映射、数据过滤等条件，配置生成数据的推送任务提供调度任务的新建、编辑以及所有调度任务的管理和配置功能。</w:t>
            </w:r>
          </w:p>
        </w:tc>
      </w:tr>
      <w:tr w14:paraId="418892C7">
        <w:tblPrEx>
          <w:tblCellMar>
            <w:top w:w="0" w:type="dxa"/>
            <w:left w:w="108" w:type="dxa"/>
            <w:bottom w:w="0" w:type="dxa"/>
            <w:right w:w="108" w:type="dxa"/>
          </w:tblCellMar>
        </w:tblPrEx>
        <w:trPr>
          <w:trHeight w:val="951" w:hRule="atLeast"/>
        </w:trPr>
        <w:tc>
          <w:tcPr>
            <w:tcW w:w="472" w:type="pct"/>
            <w:tcBorders>
              <w:top w:val="nil"/>
              <w:left w:val="single" w:color="000000" w:sz="8" w:space="0"/>
              <w:bottom w:val="single" w:color="000000" w:sz="8" w:space="0"/>
              <w:right w:val="single" w:color="000000" w:sz="8" w:space="0"/>
            </w:tcBorders>
            <w:shd w:val="clear" w:color="auto" w:fill="auto"/>
            <w:noWrap/>
            <w:vAlign w:val="center"/>
          </w:tcPr>
          <w:p w14:paraId="08EB76A8">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58</w:t>
            </w:r>
          </w:p>
        </w:tc>
        <w:tc>
          <w:tcPr>
            <w:tcW w:w="472" w:type="pct"/>
            <w:vMerge w:val="continue"/>
            <w:tcBorders>
              <w:top w:val="nil"/>
              <w:left w:val="nil"/>
              <w:bottom w:val="single" w:color="000000" w:sz="8" w:space="0"/>
              <w:right w:val="single" w:color="000000" w:sz="8" w:space="0"/>
            </w:tcBorders>
            <w:shd w:val="clear" w:color="auto" w:fill="auto"/>
            <w:vAlign w:val="center"/>
          </w:tcPr>
          <w:p w14:paraId="4C33B810">
            <w:pPr>
              <w:jc w:val="center"/>
              <w:rPr>
                <w:rFonts w:hint="eastAsia" w:ascii="宋体" w:hAnsi="宋体" w:cs="宋体"/>
                <w:color w:val="000000" w:themeColor="text1"/>
                <w:sz w:val="24"/>
                <w14:textFill>
                  <w14:solidFill>
                    <w14:schemeClr w14:val="tx1"/>
                  </w14:solidFill>
                </w14:textFill>
              </w:rPr>
            </w:pPr>
          </w:p>
        </w:tc>
        <w:tc>
          <w:tcPr>
            <w:tcW w:w="945" w:type="pct"/>
            <w:gridSpan w:val="2"/>
            <w:tcBorders>
              <w:top w:val="nil"/>
              <w:left w:val="nil"/>
              <w:bottom w:val="single" w:color="000000" w:sz="8" w:space="0"/>
              <w:right w:val="single" w:color="000000" w:sz="8" w:space="0"/>
            </w:tcBorders>
            <w:shd w:val="clear" w:color="auto" w:fill="auto"/>
            <w:vAlign w:val="center"/>
          </w:tcPr>
          <w:p w14:paraId="77291E04">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作业调度</w:t>
            </w:r>
          </w:p>
        </w:tc>
        <w:tc>
          <w:tcPr>
            <w:tcW w:w="3108" w:type="pct"/>
            <w:tcBorders>
              <w:top w:val="nil"/>
              <w:left w:val="nil"/>
              <w:bottom w:val="single" w:color="000000" w:sz="8" w:space="0"/>
              <w:right w:val="single" w:color="000000" w:sz="8" w:space="0"/>
            </w:tcBorders>
            <w:shd w:val="clear" w:color="auto" w:fill="auto"/>
            <w:vAlign w:val="center"/>
          </w:tcPr>
          <w:p w14:paraId="7F718858">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提供调度任务的新建、编辑以及所有调度任务的管理和配置功能提供调度任务的新建、编辑以及所有调度任务的管理和配置功能。</w:t>
            </w:r>
          </w:p>
        </w:tc>
      </w:tr>
      <w:tr w14:paraId="1C572BD9">
        <w:tblPrEx>
          <w:tblCellMar>
            <w:top w:w="0" w:type="dxa"/>
            <w:left w:w="108" w:type="dxa"/>
            <w:bottom w:w="0" w:type="dxa"/>
            <w:right w:w="108" w:type="dxa"/>
          </w:tblCellMar>
        </w:tblPrEx>
        <w:trPr>
          <w:trHeight w:val="327" w:hRule="atLeast"/>
        </w:trPr>
        <w:tc>
          <w:tcPr>
            <w:tcW w:w="472" w:type="pct"/>
            <w:tcBorders>
              <w:top w:val="nil"/>
              <w:left w:val="single" w:color="000000" w:sz="8" w:space="0"/>
              <w:bottom w:val="single" w:color="000000" w:sz="8" w:space="0"/>
              <w:right w:val="single" w:color="000000" w:sz="8" w:space="0"/>
            </w:tcBorders>
            <w:shd w:val="clear" w:color="auto" w:fill="auto"/>
            <w:noWrap/>
            <w:vAlign w:val="center"/>
          </w:tcPr>
          <w:p w14:paraId="2F73AB0B">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59</w:t>
            </w:r>
          </w:p>
        </w:tc>
        <w:tc>
          <w:tcPr>
            <w:tcW w:w="472" w:type="pct"/>
            <w:vMerge w:val="continue"/>
            <w:tcBorders>
              <w:top w:val="nil"/>
              <w:left w:val="nil"/>
              <w:bottom w:val="single" w:color="000000" w:sz="8" w:space="0"/>
              <w:right w:val="single" w:color="000000" w:sz="8" w:space="0"/>
            </w:tcBorders>
            <w:shd w:val="clear" w:color="auto" w:fill="auto"/>
            <w:vAlign w:val="center"/>
          </w:tcPr>
          <w:p w14:paraId="03759B2B">
            <w:pPr>
              <w:jc w:val="center"/>
              <w:rPr>
                <w:rFonts w:hint="eastAsia" w:ascii="宋体" w:hAnsi="宋体" w:cs="宋体"/>
                <w:color w:val="000000" w:themeColor="text1"/>
                <w:sz w:val="24"/>
                <w14:textFill>
                  <w14:solidFill>
                    <w14:schemeClr w14:val="tx1"/>
                  </w14:solidFill>
                </w14:textFill>
              </w:rPr>
            </w:pPr>
          </w:p>
        </w:tc>
        <w:tc>
          <w:tcPr>
            <w:tcW w:w="945" w:type="pct"/>
            <w:gridSpan w:val="2"/>
            <w:tcBorders>
              <w:top w:val="nil"/>
              <w:left w:val="nil"/>
              <w:bottom w:val="single" w:color="000000" w:sz="8" w:space="0"/>
              <w:right w:val="single" w:color="000000" w:sz="8" w:space="0"/>
            </w:tcBorders>
            <w:shd w:val="clear" w:color="auto" w:fill="auto"/>
            <w:vAlign w:val="center"/>
          </w:tcPr>
          <w:p w14:paraId="51CE6FC0">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数据资产</w:t>
            </w:r>
          </w:p>
        </w:tc>
        <w:tc>
          <w:tcPr>
            <w:tcW w:w="3108" w:type="pct"/>
            <w:tcBorders>
              <w:top w:val="nil"/>
              <w:left w:val="nil"/>
              <w:bottom w:val="single" w:color="000000" w:sz="8" w:space="0"/>
              <w:right w:val="single" w:color="000000" w:sz="8" w:space="0"/>
            </w:tcBorders>
            <w:shd w:val="clear" w:color="auto" w:fill="auto"/>
            <w:vAlign w:val="center"/>
          </w:tcPr>
          <w:p w14:paraId="77A1FC40">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接入系统的数据节点、数据库等相关信息查看。</w:t>
            </w:r>
          </w:p>
        </w:tc>
      </w:tr>
      <w:tr w14:paraId="58471449">
        <w:tblPrEx>
          <w:tblCellMar>
            <w:top w:w="0" w:type="dxa"/>
            <w:left w:w="108" w:type="dxa"/>
            <w:bottom w:w="0" w:type="dxa"/>
            <w:right w:w="108" w:type="dxa"/>
          </w:tblCellMar>
        </w:tblPrEx>
        <w:trPr>
          <w:trHeight w:val="639" w:hRule="atLeast"/>
        </w:trPr>
        <w:tc>
          <w:tcPr>
            <w:tcW w:w="472" w:type="pct"/>
            <w:tcBorders>
              <w:top w:val="nil"/>
              <w:left w:val="single" w:color="000000" w:sz="8" w:space="0"/>
              <w:bottom w:val="single" w:color="000000" w:sz="8" w:space="0"/>
              <w:right w:val="single" w:color="000000" w:sz="8" w:space="0"/>
            </w:tcBorders>
            <w:shd w:val="clear" w:color="auto" w:fill="auto"/>
            <w:noWrap/>
            <w:vAlign w:val="center"/>
          </w:tcPr>
          <w:p w14:paraId="5739DC67">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60</w:t>
            </w:r>
          </w:p>
        </w:tc>
        <w:tc>
          <w:tcPr>
            <w:tcW w:w="472" w:type="pct"/>
            <w:vMerge w:val="continue"/>
            <w:tcBorders>
              <w:top w:val="nil"/>
              <w:left w:val="nil"/>
              <w:bottom w:val="single" w:color="000000" w:sz="8" w:space="0"/>
              <w:right w:val="single" w:color="000000" w:sz="8" w:space="0"/>
            </w:tcBorders>
            <w:shd w:val="clear" w:color="auto" w:fill="auto"/>
            <w:vAlign w:val="center"/>
          </w:tcPr>
          <w:p w14:paraId="61C93A93">
            <w:pPr>
              <w:jc w:val="center"/>
              <w:rPr>
                <w:rFonts w:hint="eastAsia" w:ascii="宋体" w:hAnsi="宋体" w:cs="宋体"/>
                <w:color w:val="000000" w:themeColor="text1"/>
                <w:sz w:val="24"/>
                <w14:textFill>
                  <w14:solidFill>
                    <w14:schemeClr w14:val="tx1"/>
                  </w14:solidFill>
                </w14:textFill>
              </w:rPr>
            </w:pPr>
          </w:p>
        </w:tc>
        <w:tc>
          <w:tcPr>
            <w:tcW w:w="945" w:type="pct"/>
            <w:gridSpan w:val="2"/>
            <w:tcBorders>
              <w:top w:val="nil"/>
              <w:left w:val="nil"/>
              <w:bottom w:val="single" w:color="000000" w:sz="8" w:space="0"/>
              <w:right w:val="single" w:color="000000" w:sz="8" w:space="0"/>
            </w:tcBorders>
            <w:shd w:val="clear" w:color="auto" w:fill="auto"/>
            <w:vAlign w:val="center"/>
          </w:tcPr>
          <w:p w14:paraId="7FD90D76">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消息通知</w:t>
            </w:r>
          </w:p>
        </w:tc>
        <w:tc>
          <w:tcPr>
            <w:tcW w:w="3108" w:type="pct"/>
            <w:tcBorders>
              <w:top w:val="nil"/>
              <w:left w:val="nil"/>
              <w:bottom w:val="single" w:color="000000" w:sz="8" w:space="0"/>
              <w:right w:val="single" w:color="000000" w:sz="8" w:space="0"/>
            </w:tcBorders>
            <w:shd w:val="clear" w:color="auto" w:fill="auto"/>
            <w:vAlign w:val="center"/>
          </w:tcPr>
          <w:p w14:paraId="44E675EE">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支持对作业异常，或者编目异常的消息推送通知，支持消息的选择已读和全部已读。</w:t>
            </w:r>
          </w:p>
        </w:tc>
      </w:tr>
      <w:tr w14:paraId="763AAE93">
        <w:tblPrEx>
          <w:tblCellMar>
            <w:top w:w="0" w:type="dxa"/>
            <w:left w:w="108" w:type="dxa"/>
            <w:bottom w:w="0" w:type="dxa"/>
            <w:right w:w="108" w:type="dxa"/>
          </w:tblCellMar>
        </w:tblPrEx>
        <w:trPr>
          <w:trHeight w:val="327" w:hRule="atLeast"/>
        </w:trPr>
        <w:tc>
          <w:tcPr>
            <w:tcW w:w="472" w:type="pct"/>
            <w:tcBorders>
              <w:top w:val="nil"/>
              <w:left w:val="single" w:color="000000" w:sz="8" w:space="0"/>
              <w:bottom w:val="single" w:color="000000" w:sz="8" w:space="0"/>
              <w:right w:val="single" w:color="000000" w:sz="8" w:space="0"/>
            </w:tcBorders>
            <w:shd w:val="clear" w:color="auto" w:fill="auto"/>
            <w:noWrap/>
            <w:vAlign w:val="center"/>
          </w:tcPr>
          <w:p w14:paraId="39E212C8">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61</w:t>
            </w:r>
          </w:p>
        </w:tc>
        <w:tc>
          <w:tcPr>
            <w:tcW w:w="472" w:type="pct"/>
            <w:vMerge w:val="continue"/>
            <w:tcBorders>
              <w:top w:val="nil"/>
              <w:left w:val="nil"/>
              <w:bottom w:val="single" w:color="000000" w:sz="8" w:space="0"/>
              <w:right w:val="single" w:color="000000" w:sz="8" w:space="0"/>
            </w:tcBorders>
            <w:shd w:val="clear" w:color="auto" w:fill="auto"/>
            <w:vAlign w:val="center"/>
          </w:tcPr>
          <w:p w14:paraId="30F74977">
            <w:pPr>
              <w:jc w:val="center"/>
              <w:rPr>
                <w:rFonts w:hint="eastAsia" w:ascii="宋体" w:hAnsi="宋体" w:cs="宋体"/>
                <w:color w:val="000000" w:themeColor="text1"/>
                <w:sz w:val="24"/>
                <w14:textFill>
                  <w14:solidFill>
                    <w14:schemeClr w14:val="tx1"/>
                  </w14:solidFill>
                </w14:textFill>
              </w:rPr>
            </w:pPr>
          </w:p>
        </w:tc>
        <w:tc>
          <w:tcPr>
            <w:tcW w:w="945" w:type="pct"/>
            <w:gridSpan w:val="2"/>
            <w:tcBorders>
              <w:top w:val="nil"/>
              <w:left w:val="nil"/>
              <w:bottom w:val="single" w:color="000000" w:sz="8" w:space="0"/>
              <w:right w:val="single" w:color="000000" w:sz="8" w:space="0"/>
            </w:tcBorders>
            <w:shd w:val="clear" w:color="auto" w:fill="auto"/>
            <w:vAlign w:val="center"/>
          </w:tcPr>
          <w:p w14:paraId="19CA26A9">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系统日志</w:t>
            </w:r>
          </w:p>
        </w:tc>
        <w:tc>
          <w:tcPr>
            <w:tcW w:w="3108" w:type="pct"/>
            <w:tcBorders>
              <w:top w:val="nil"/>
              <w:left w:val="nil"/>
              <w:bottom w:val="single" w:color="000000" w:sz="8" w:space="0"/>
              <w:right w:val="single" w:color="000000" w:sz="8" w:space="0"/>
            </w:tcBorders>
            <w:shd w:val="clear" w:color="auto" w:fill="auto"/>
            <w:vAlign w:val="center"/>
          </w:tcPr>
          <w:p w14:paraId="7B39DF5B">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系统管理操作等日志记录。</w:t>
            </w:r>
          </w:p>
        </w:tc>
      </w:tr>
      <w:tr w14:paraId="5D3016A9">
        <w:tblPrEx>
          <w:tblCellMar>
            <w:top w:w="0" w:type="dxa"/>
            <w:left w:w="108" w:type="dxa"/>
            <w:bottom w:w="0" w:type="dxa"/>
            <w:right w:w="108" w:type="dxa"/>
          </w:tblCellMar>
        </w:tblPrEx>
        <w:trPr>
          <w:trHeight w:val="639" w:hRule="atLeast"/>
        </w:trPr>
        <w:tc>
          <w:tcPr>
            <w:tcW w:w="472" w:type="pct"/>
            <w:tcBorders>
              <w:top w:val="nil"/>
              <w:left w:val="single" w:color="000000" w:sz="8" w:space="0"/>
              <w:bottom w:val="single" w:color="000000" w:sz="8" w:space="0"/>
              <w:right w:val="single" w:color="000000" w:sz="8" w:space="0"/>
            </w:tcBorders>
            <w:shd w:val="clear" w:color="auto" w:fill="auto"/>
            <w:noWrap/>
            <w:vAlign w:val="center"/>
          </w:tcPr>
          <w:p w14:paraId="44483BCE">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62</w:t>
            </w:r>
          </w:p>
        </w:tc>
        <w:tc>
          <w:tcPr>
            <w:tcW w:w="472" w:type="pct"/>
            <w:vMerge w:val="continue"/>
            <w:tcBorders>
              <w:top w:val="nil"/>
              <w:left w:val="nil"/>
              <w:bottom w:val="single" w:color="000000" w:sz="8" w:space="0"/>
              <w:right w:val="single" w:color="000000" w:sz="8" w:space="0"/>
            </w:tcBorders>
            <w:shd w:val="clear" w:color="auto" w:fill="auto"/>
            <w:vAlign w:val="center"/>
          </w:tcPr>
          <w:p w14:paraId="222B3829">
            <w:pPr>
              <w:jc w:val="center"/>
              <w:rPr>
                <w:rFonts w:hint="eastAsia" w:ascii="宋体" w:hAnsi="宋体" w:cs="宋体"/>
                <w:color w:val="000000" w:themeColor="text1"/>
                <w:sz w:val="24"/>
                <w14:textFill>
                  <w14:solidFill>
                    <w14:schemeClr w14:val="tx1"/>
                  </w14:solidFill>
                </w14:textFill>
              </w:rPr>
            </w:pPr>
          </w:p>
        </w:tc>
        <w:tc>
          <w:tcPr>
            <w:tcW w:w="945" w:type="pct"/>
            <w:gridSpan w:val="2"/>
            <w:tcBorders>
              <w:top w:val="nil"/>
              <w:left w:val="nil"/>
              <w:bottom w:val="single" w:color="000000" w:sz="8" w:space="0"/>
              <w:right w:val="single" w:color="000000" w:sz="8" w:space="0"/>
            </w:tcBorders>
            <w:shd w:val="clear" w:color="auto" w:fill="auto"/>
            <w:vAlign w:val="center"/>
          </w:tcPr>
          <w:p w14:paraId="6F164D11">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数据库适配</w:t>
            </w:r>
          </w:p>
        </w:tc>
        <w:tc>
          <w:tcPr>
            <w:tcW w:w="3108" w:type="pct"/>
            <w:tcBorders>
              <w:top w:val="nil"/>
              <w:left w:val="nil"/>
              <w:bottom w:val="single" w:color="000000" w:sz="8" w:space="0"/>
              <w:right w:val="single" w:color="000000" w:sz="8" w:space="0"/>
            </w:tcBorders>
            <w:shd w:val="clear" w:color="auto" w:fill="auto"/>
            <w:vAlign w:val="center"/>
          </w:tcPr>
          <w:p w14:paraId="45976CA7">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数据库适配使用目标新版本的云部署的达梦数据库替换原ecs部署的达梦数据库，并随之完成存量数据的迁移工作。</w:t>
            </w:r>
          </w:p>
        </w:tc>
      </w:tr>
      <w:tr w14:paraId="4B096EA7">
        <w:tblPrEx>
          <w:tblCellMar>
            <w:top w:w="0" w:type="dxa"/>
            <w:left w:w="108" w:type="dxa"/>
            <w:bottom w:w="0" w:type="dxa"/>
            <w:right w:w="108" w:type="dxa"/>
          </w:tblCellMar>
        </w:tblPrEx>
        <w:trPr>
          <w:trHeight w:val="639" w:hRule="atLeast"/>
        </w:trPr>
        <w:tc>
          <w:tcPr>
            <w:tcW w:w="472" w:type="pct"/>
            <w:tcBorders>
              <w:top w:val="nil"/>
              <w:left w:val="single" w:color="000000" w:sz="8" w:space="0"/>
              <w:bottom w:val="single" w:color="000000" w:sz="8" w:space="0"/>
              <w:right w:val="single" w:color="000000" w:sz="8" w:space="0"/>
            </w:tcBorders>
            <w:shd w:val="clear" w:color="auto" w:fill="auto"/>
            <w:noWrap/>
            <w:vAlign w:val="center"/>
          </w:tcPr>
          <w:p w14:paraId="18E242FD">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63</w:t>
            </w:r>
          </w:p>
        </w:tc>
        <w:tc>
          <w:tcPr>
            <w:tcW w:w="472" w:type="pct"/>
            <w:vMerge w:val="continue"/>
            <w:tcBorders>
              <w:top w:val="nil"/>
              <w:left w:val="nil"/>
              <w:bottom w:val="single" w:color="000000" w:sz="8" w:space="0"/>
              <w:right w:val="single" w:color="000000" w:sz="8" w:space="0"/>
            </w:tcBorders>
            <w:shd w:val="clear" w:color="auto" w:fill="auto"/>
            <w:vAlign w:val="center"/>
          </w:tcPr>
          <w:p w14:paraId="3B30A579">
            <w:pPr>
              <w:jc w:val="center"/>
              <w:rPr>
                <w:rFonts w:hint="eastAsia" w:ascii="宋体" w:hAnsi="宋体" w:cs="宋体"/>
                <w:color w:val="000000" w:themeColor="text1"/>
                <w:sz w:val="24"/>
                <w14:textFill>
                  <w14:solidFill>
                    <w14:schemeClr w14:val="tx1"/>
                  </w14:solidFill>
                </w14:textFill>
              </w:rPr>
            </w:pPr>
          </w:p>
        </w:tc>
        <w:tc>
          <w:tcPr>
            <w:tcW w:w="945" w:type="pct"/>
            <w:gridSpan w:val="2"/>
            <w:tcBorders>
              <w:top w:val="nil"/>
              <w:left w:val="nil"/>
              <w:bottom w:val="single" w:color="000000" w:sz="8" w:space="0"/>
              <w:right w:val="single" w:color="000000" w:sz="8" w:space="0"/>
            </w:tcBorders>
            <w:shd w:val="clear" w:color="auto" w:fill="auto"/>
            <w:vAlign w:val="center"/>
          </w:tcPr>
          <w:p w14:paraId="5448EA53">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安全工作</w:t>
            </w:r>
          </w:p>
        </w:tc>
        <w:tc>
          <w:tcPr>
            <w:tcW w:w="3108" w:type="pct"/>
            <w:tcBorders>
              <w:top w:val="nil"/>
              <w:left w:val="nil"/>
              <w:bottom w:val="single" w:color="000000" w:sz="8" w:space="0"/>
              <w:right w:val="single" w:color="000000" w:sz="8" w:space="0"/>
            </w:tcBorders>
            <w:shd w:val="clear" w:color="auto" w:fill="auto"/>
            <w:vAlign w:val="center"/>
          </w:tcPr>
          <w:p w14:paraId="0C52440D">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完成密码测评、密码方案评审、密码应用服务、渗透测试等保二级测评、信创测评等相关工作。</w:t>
            </w:r>
          </w:p>
        </w:tc>
      </w:tr>
      <w:tr w14:paraId="29F943AE">
        <w:tblPrEx>
          <w:tblCellMar>
            <w:top w:w="0" w:type="dxa"/>
            <w:left w:w="108" w:type="dxa"/>
            <w:bottom w:w="0" w:type="dxa"/>
            <w:right w:w="108" w:type="dxa"/>
          </w:tblCellMar>
        </w:tblPrEx>
        <w:trPr>
          <w:trHeight w:val="951" w:hRule="atLeast"/>
        </w:trPr>
        <w:tc>
          <w:tcPr>
            <w:tcW w:w="472" w:type="pct"/>
            <w:tcBorders>
              <w:top w:val="nil"/>
              <w:left w:val="single" w:color="000000" w:sz="8" w:space="0"/>
              <w:bottom w:val="single" w:color="000000" w:sz="8" w:space="0"/>
              <w:right w:val="single" w:color="000000" w:sz="8" w:space="0"/>
            </w:tcBorders>
            <w:shd w:val="clear" w:color="auto" w:fill="auto"/>
            <w:noWrap/>
            <w:vAlign w:val="center"/>
          </w:tcPr>
          <w:p w14:paraId="43E6E4E5">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64</w:t>
            </w:r>
          </w:p>
        </w:tc>
        <w:tc>
          <w:tcPr>
            <w:tcW w:w="472" w:type="pct"/>
            <w:vMerge w:val="continue"/>
            <w:tcBorders>
              <w:top w:val="nil"/>
              <w:left w:val="nil"/>
              <w:bottom w:val="single" w:color="000000" w:sz="8" w:space="0"/>
              <w:right w:val="single" w:color="000000" w:sz="8" w:space="0"/>
            </w:tcBorders>
            <w:shd w:val="clear" w:color="auto" w:fill="auto"/>
            <w:vAlign w:val="center"/>
          </w:tcPr>
          <w:p w14:paraId="0BE7F212">
            <w:pPr>
              <w:jc w:val="center"/>
              <w:rPr>
                <w:rFonts w:hint="eastAsia" w:ascii="宋体" w:hAnsi="宋体" w:cs="宋体"/>
                <w:color w:val="000000" w:themeColor="text1"/>
                <w:sz w:val="24"/>
                <w14:textFill>
                  <w14:solidFill>
                    <w14:schemeClr w14:val="tx1"/>
                  </w14:solidFill>
                </w14:textFill>
              </w:rPr>
            </w:pPr>
          </w:p>
        </w:tc>
        <w:tc>
          <w:tcPr>
            <w:tcW w:w="945" w:type="pct"/>
            <w:gridSpan w:val="2"/>
            <w:tcBorders>
              <w:top w:val="nil"/>
              <w:left w:val="nil"/>
              <w:bottom w:val="single" w:color="000000" w:sz="8" w:space="0"/>
              <w:right w:val="single" w:color="000000" w:sz="8" w:space="0"/>
            </w:tcBorders>
            <w:shd w:val="clear" w:color="auto" w:fill="auto"/>
            <w:vAlign w:val="center"/>
          </w:tcPr>
          <w:p w14:paraId="5C3E5DF3">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w:t>
            </w:r>
          </w:p>
        </w:tc>
        <w:tc>
          <w:tcPr>
            <w:tcW w:w="3108" w:type="pct"/>
            <w:tcBorders>
              <w:top w:val="nil"/>
              <w:left w:val="nil"/>
              <w:bottom w:val="single" w:color="000000" w:sz="8" w:space="0"/>
              <w:right w:val="single" w:color="000000" w:sz="8" w:space="0"/>
            </w:tcBorders>
            <w:shd w:val="clear" w:color="auto" w:fill="auto"/>
            <w:vAlign w:val="center"/>
          </w:tcPr>
          <w:p w14:paraId="5FA72312">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按照一单位一平台的建设要求，完成统一用户管理的对接、消息对接，待办对接，以及应用第一层UI风格与平台保持一致。</w:t>
            </w:r>
          </w:p>
        </w:tc>
      </w:tr>
      <w:tr w14:paraId="05A16D7D">
        <w:tblPrEx>
          <w:tblCellMar>
            <w:top w:w="0" w:type="dxa"/>
            <w:left w:w="108" w:type="dxa"/>
            <w:bottom w:w="0" w:type="dxa"/>
            <w:right w:w="108" w:type="dxa"/>
          </w:tblCellMar>
        </w:tblPrEx>
        <w:trPr>
          <w:trHeight w:val="639" w:hRule="atLeast"/>
        </w:trPr>
        <w:tc>
          <w:tcPr>
            <w:tcW w:w="472" w:type="pct"/>
            <w:tcBorders>
              <w:top w:val="nil"/>
              <w:left w:val="single" w:color="000000" w:sz="8" w:space="0"/>
              <w:bottom w:val="single" w:color="000000" w:sz="8" w:space="0"/>
              <w:right w:val="single" w:color="000000" w:sz="8" w:space="0"/>
            </w:tcBorders>
            <w:shd w:val="clear" w:color="auto" w:fill="auto"/>
            <w:noWrap/>
            <w:vAlign w:val="center"/>
          </w:tcPr>
          <w:p w14:paraId="5AA63164">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65</w:t>
            </w:r>
          </w:p>
        </w:tc>
        <w:tc>
          <w:tcPr>
            <w:tcW w:w="472" w:type="pct"/>
            <w:vMerge w:val="restart"/>
            <w:tcBorders>
              <w:top w:val="nil"/>
              <w:left w:val="nil"/>
              <w:bottom w:val="single" w:color="000000" w:sz="8" w:space="0"/>
              <w:right w:val="single" w:color="000000" w:sz="8" w:space="0"/>
            </w:tcBorders>
            <w:shd w:val="clear" w:color="auto" w:fill="auto"/>
            <w:vAlign w:val="center"/>
          </w:tcPr>
          <w:p w14:paraId="34C1B899">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人大代表联络站数字总站应用场景应用</w:t>
            </w:r>
          </w:p>
        </w:tc>
        <w:tc>
          <w:tcPr>
            <w:tcW w:w="472" w:type="pct"/>
            <w:vMerge w:val="restart"/>
            <w:tcBorders>
              <w:top w:val="nil"/>
              <w:left w:val="nil"/>
              <w:bottom w:val="single" w:color="000000" w:sz="8" w:space="0"/>
              <w:right w:val="single" w:color="000000" w:sz="8" w:space="0"/>
            </w:tcBorders>
            <w:shd w:val="clear" w:color="auto" w:fill="auto"/>
            <w:vAlign w:val="center"/>
          </w:tcPr>
          <w:p w14:paraId="06D3954F">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应用功能改造</w:t>
            </w:r>
          </w:p>
        </w:tc>
        <w:tc>
          <w:tcPr>
            <w:tcW w:w="472" w:type="pct"/>
            <w:tcBorders>
              <w:top w:val="nil"/>
              <w:left w:val="nil"/>
              <w:bottom w:val="single" w:color="000000" w:sz="8" w:space="0"/>
              <w:right w:val="single" w:color="000000" w:sz="8" w:space="0"/>
            </w:tcBorders>
            <w:shd w:val="clear" w:color="auto" w:fill="auto"/>
            <w:vAlign w:val="center"/>
          </w:tcPr>
          <w:p w14:paraId="7E13B55D">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云上互联</w:t>
            </w:r>
          </w:p>
        </w:tc>
        <w:tc>
          <w:tcPr>
            <w:tcW w:w="3108" w:type="pct"/>
            <w:tcBorders>
              <w:top w:val="single" w:color="000000" w:sz="8" w:space="0"/>
              <w:left w:val="nil"/>
              <w:bottom w:val="single" w:color="000000" w:sz="8" w:space="0"/>
              <w:right w:val="single" w:color="000000" w:sz="8" w:space="0"/>
            </w:tcBorders>
            <w:shd w:val="clear" w:color="auto" w:fill="auto"/>
            <w:vAlign w:val="center"/>
          </w:tcPr>
          <w:p w14:paraId="55219D6E">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云上互联模块，提供云会议、云培训、云接待、云监督、云议事服务。</w:t>
            </w:r>
          </w:p>
        </w:tc>
      </w:tr>
      <w:tr w14:paraId="2DFFF88A">
        <w:tblPrEx>
          <w:tblCellMar>
            <w:top w:w="0" w:type="dxa"/>
            <w:left w:w="108" w:type="dxa"/>
            <w:bottom w:w="0" w:type="dxa"/>
            <w:right w:w="108" w:type="dxa"/>
          </w:tblCellMar>
        </w:tblPrEx>
        <w:trPr>
          <w:trHeight w:val="639" w:hRule="atLeast"/>
        </w:trPr>
        <w:tc>
          <w:tcPr>
            <w:tcW w:w="472" w:type="pct"/>
            <w:tcBorders>
              <w:top w:val="nil"/>
              <w:left w:val="single" w:color="000000" w:sz="8" w:space="0"/>
              <w:bottom w:val="single" w:color="000000" w:sz="8" w:space="0"/>
              <w:right w:val="single" w:color="000000" w:sz="8" w:space="0"/>
            </w:tcBorders>
            <w:shd w:val="clear" w:color="auto" w:fill="auto"/>
            <w:noWrap/>
            <w:vAlign w:val="center"/>
          </w:tcPr>
          <w:p w14:paraId="1CF216CD">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66</w:t>
            </w:r>
          </w:p>
        </w:tc>
        <w:tc>
          <w:tcPr>
            <w:tcW w:w="472" w:type="pct"/>
            <w:vMerge w:val="continue"/>
            <w:tcBorders>
              <w:top w:val="nil"/>
              <w:left w:val="nil"/>
              <w:bottom w:val="single" w:color="000000" w:sz="8" w:space="0"/>
              <w:right w:val="single" w:color="000000" w:sz="8" w:space="0"/>
            </w:tcBorders>
            <w:shd w:val="clear" w:color="auto" w:fill="auto"/>
            <w:vAlign w:val="center"/>
          </w:tcPr>
          <w:p w14:paraId="0E616767">
            <w:pPr>
              <w:jc w:val="center"/>
              <w:rPr>
                <w:rFonts w:hint="eastAsia" w:ascii="宋体" w:hAnsi="宋体" w:cs="宋体"/>
                <w:color w:val="000000" w:themeColor="text1"/>
                <w:sz w:val="24"/>
                <w14:textFill>
                  <w14:solidFill>
                    <w14:schemeClr w14:val="tx1"/>
                  </w14:solidFill>
                </w14:textFill>
              </w:rPr>
            </w:pPr>
          </w:p>
        </w:tc>
        <w:tc>
          <w:tcPr>
            <w:tcW w:w="472" w:type="pct"/>
            <w:vMerge w:val="continue"/>
            <w:tcBorders>
              <w:top w:val="nil"/>
              <w:left w:val="nil"/>
              <w:bottom w:val="single" w:color="000000" w:sz="8" w:space="0"/>
              <w:right w:val="single" w:color="000000" w:sz="8" w:space="0"/>
            </w:tcBorders>
            <w:shd w:val="clear" w:color="auto" w:fill="auto"/>
            <w:vAlign w:val="center"/>
          </w:tcPr>
          <w:p w14:paraId="49C8A559">
            <w:pPr>
              <w:jc w:val="center"/>
              <w:rPr>
                <w:rFonts w:hint="eastAsia" w:ascii="宋体" w:hAnsi="宋体" w:cs="宋体"/>
                <w:color w:val="000000" w:themeColor="text1"/>
                <w:sz w:val="24"/>
                <w14:textFill>
                  <w14:solidFill>
                    <w14:schemeClr w14:val="tx1"/>
                  </w14:solidFill>
                </w14:textFill>
              </w:rPr>
            </w:pPr>
          </w:p>
        </w:tc>
        <w:tc>
          <w:tcPr>
            <w:tcW w:w="472" w:type="pct"/>
            <w:tcBorders>
              <w:top w:val="nil"/>
              <w:left w:val="nil"/>
              <w:bottom w:val="single" w:color="000000" w:sz="8" w:space="0"/>
              <w:right w:val="single" w:color="000000" w:sz="8" w:space="0"/>
            </w:tcBorders>
            <w:shd w:val="clear" w:color="auto" w:fill="auto"/>
            <w:vAlign w:val="center"/>
          </w:tcPr>
          <w:p w14:paraId="317C1363">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指挥协调</w:t>
            </w:r>
          </w:p>
        </w:tc>
        <w:tc>
          <w:tcPr>
            <w:tcW w:w="3108" w:type="pct"/>
            <w:tcBorders>
              <w:top w:val="nil"/>
              <w:left w:val="nil"/>
              <w:bottom w:val="single" w:color="000000" w:sz="8" w:space="0"/>
              <w:right w:val="single" w:color="000000" w:sz="8" w:space="0"/>
            </w:tcBorders>
            <w:shd w:val="clear" w:color="auto" w:fill="auto"/>
            <w:vAlign w:val="center"/>
          </w:tcPr>
          <w:p w14:paraId="00007E75">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市、县、乡三级任务统筹联动空间，包括任务联动、任务下达、站点联系、站点视频、vr展示等内容。</w:t>
            </w:r>
          </w:p>
        </w:tc>
      </w:tr>
      <w:tr w14:paraId="663A6230">
        <w:tblPrEx>
          <w:tblCellMar>
            <w:top w:w="0" w:type="dxa"/>
            <w:left w:w="108" w:type="dxa"/>
            <w:bottom w:w="0" w:type="dxa"/>
            <w:right w:w="108" w:type="dxa"/>
          </w:tblCellMar>
        </w:tblPrEx>
        <w:trPr>
          <w:trHeight w:val="1263" w:hRule="atLeast"/>
        </w:trPr>
        <w:tc>
          <w:tcPr>
            <w:tcW w:w="472" w:type="pct"/>
            <w:tcBorders>
              <w:top w:val="nil"/>
              <w:left w:val="single" w:color="000000" w:sz="8" w:space="0"/>
              <w:bottom w:val="single" w:color="000000" w:sz="8" w:space="0"/>
              <w:right w:val="single" w:color="000000" w:sz="8" w:space="0"/>
            </w:tcBorders>
            <w:shd w:val="clear" w:color="auto" w:fill="auto"/>
            <w:noWrap/>
            <w:vAlign w:val="center"/>
          </w:tcPr>
          <w:p w14:paraId="4FEE9C27">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67</w:t>
            </w:r>
          </w:p>
        </w:tc>
        <w:tc>
          <w:tcPr>
            <w:tcW w:w="472" w:type="pct"/>
            <w:vMerge w:val="continue"/>
            <w:tcBorders>
              <w:top w:val="nil"/>
              <w:left w:val="nil"/>
              <w:bottom w:val="single" w:color="000000" w:sz="8" w:space="0"/>
              <w:right w:val="single" w:color="000000" w:sz="8" w:space="0"/>
            </w:tcBorders>
            <w:shd w:val="clear" w:color="auto" w:fill="auto"/>
            <w:vAlign w:val="center"/>
          </w:tcPr>
          <w:p w14:paraId="0FE95984">
            <w:pPr>
              <w:jc w:val="center"/>
              <w:rPr>
                <w:rFonts w:hint="eastAsia" w:ascii="宋体" w:hAnsi="宋体" w:cs="宋体"/>
                <w:color w:val="000000" w:themeColor="text1"/>
                <w:sz w:val="24"/>
                <w14:textFill>
                  <w14:solidFill>
                    <w14:schemeClr w14:val="tx1"/>
                  </w14:solidFill>
                </w14:textFill>
              </w:rPr>
            </w:pPr>
          </w:p>
        </w:tc>
        <w:tc>
          <w:tcPr>
            <w:tcW w:w="472" w:type="pct"/>
            <w:vMerge w:val="continue"/>
            <w:tcBorders>
              <w:top w:val="nil"/>
              <w:left w:val="nil"/>
              <w:bottom w:val="single" w:color="000000" w:sz="8" w:space="0"/>
              <w:right w:val="single" w:color="000000" w:sz="8" w:space="0"/>
            </w:tcBorders>
            <w:shd w:val="clear" w:color="auto" w:fill="auto"/>
            <w:vAlign w:val="center"/>
          </w:tcPr>
          <w:p w14:paraId="061BCC29">
            <w:pPr>
              <w:jc w:val="center"/>
              <w:rPr>
                <w:rFonts w:hint="eastAsia" w:ascii="宋体" w:hAnsi="宋体" w:cs="宋体"/>
                <w:color w:val="000000" w:themeColor="text1"/>
                <w:sz w:val="24"/>
                <w14:textFill>
                  <w14:solidFill>
                    <w14:schemeClr w14:val="tx1"/>
                  </w14:solidFill>
                </w14:textFill>
              </w:rPr>
            </w:pPr>
          </w:p>
        </w:tc>
        <w:tc>
          <w:tcPr>
            <w:tcW w:w="472" w:type="pct"/>
            <w:tcBorders>
              <w:top w:val="nil"/>
              <w:left w:val="nil"/>
              <w:bottom w:val="single" w:color="000000" w:sz="8" w:space="0"/>
              <w:right w:val="single" w:color="000000" w:sz="8" w:space="0"/>
            </w:tcBorders>
            <w:shd w:val="clear" w:color="auto" w:fill="auto"/>
            <w:vAlign w:val="center"/>
          </w:tcPr>
          <w:p w14:paraId="73740500">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民意大脑</w:t>
            </w:r>
          </w:p>
        </w:tc>
        <w:tc>
          <w:tcPr>
            <w:tcW w:w="3108" w:type="pct"/>
            <w:tcBorders>
              <w:top w:val="nil"/>
              <w:left w:val="nil"/>
              <w:bottom w:val="single" w:color="000000" w:sz="8" w:space="0"/>
              <w:right w:val="single" w:color="000000" w:sz="8" w:space="0"/>
            </w:tcBorders>
            <w:shd w:val="clear" w:color="auto" w:fill="auto"/>
            <w:vAlign w:val="center"/>
          </w:tcPr>
          <w:p w14:paraId="44F0D579">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通过人大私域大模型分析民情民意数据，汇总民意热词、聚焦热点动态做到民意实时预警；监测全市民情民意汇集情况，一键生成民情民意报告，掌握民声动向；跟踪督办代表建议和民意办理情况，强化人大监督能力。</w:t>
            </w:r>
          </w:p>
        </w:tc>
      </w:tr>
      <w:tr w14:paraId="76BDE349">
        <w:tblPrEx>
          <w:tblCellMar>
            <w:top w:w="0" w:type="dxa"/>
            <w:left w:w="108" w:type="dxa"/>
            <w:bottom w:w="0" w:type="dxa"/>
            <w:right w:w="108" w:type="dxa"/>
          </w:tblCellMar>
        </w:tblPrEx>
        <w:trPr>
          <w:trHeight w:val="951" w:hRule="atLeast"/>
        </w:trPr>
        <w:tc>
          <w:tcPr>
            <w:tcW w:w="472" w:type="pct"/>
            <w:tcBorders>
              <w:top w:val="nil"/>
              <w:left w:val="single" w:color="000000" w:sz="8" w:space="0"/>
              <w:bottom w:val="single" w:color="000000" w:sz="8" w:space="0"/>
              <w:right w:val="single" w:color="000000" w:sz="8" w:space="0"/>
            </w:tcBorders>
            <w:shd w:val="clear" w:color="auto" w:fill="auto"/>
            <w:noWrap/>
            <w:vAlign w:val="center"/>
          </w:tcPr>
          <w:p w14:paraId="68D5C678">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68</w:t>
            </w:r>
          </w:p>
        </w:tc>
        <w:tc>
          <w:tcPr>
            <w:tcW w:w="472" w:type="pct"/>
            <w:vMerge w:val="continue"/>
            <w:tcBorders>
              <w:top w:val="nil"/>
              <w:left w:val="nil"/>
              <w:bottom w:val="single" w:color="000000" w:sz="8" w:space="0"/>
              <w:right w:val="single" w:color="000000" w:sz="8" w:space="0"/>
            </w:tcBorders>
            <w:shd w:val="clear" w:color="auto" w:fill="auto"/>
            <w:vAlign w:val="center"/>
          </w:tcPr>
          <w:p w14:paraId="6C2BCD2C">
            <w:pPr>
              <w:jc w:val="center"/>
              <w:rPr>
                <w:rFonts w:hint="eastAsia" w:ascii="宋体" w:hAnsi="宋体" w:cs="宋体"/>
                <w:color w:val="000000" w:themeColor="text1"/>
                <w:sz w:val="24"/>
                <w14:textFill>
                  <w14:solidFill>
                    <w14:schemeClr w14:val="tx1"/>
                  </w14:solidFill>
                </w14:textFill>
              </w:rPr>
            </w:pPr>
          </w:p>
        </w:tc>
        <w:tc>
          <w:tcPr>
            <w:tcW w:w="472" w:type="pct"/>
            <w:vMerge w:val="continue"/>
            <w:tcBorders>
              <w:top w:val="nil"/>
              <w:left w:val="nil"/>
              <w:bottom w:val="single" w:color="000000" w:sz="8" w:space="0"/>
              <w:right w:val="single" w:color="000000" w:sz="8" w:space="0"/>
            </w:tcBorders>
            <w:shd w:val="clear" w:color="auto" w:fill="auto"/>
            <w:vAlign w:val="center"/>
          </w:tcPr>
          <w:p w14:paraId="676AFA2E">
            <w:pPr>
              <w:jc w:val="center"/>
              <w:rPr>
                <w:rFonts w:hint="eastAsia" w:ascii="宋体" w:hAnsi="宋体" w:cs="宋体"/>
                <w:color w:val="000000" w:themeColor="text1"/>
                <w:sz w:val="24"/>
                <w14:textFill>
                  <w14:solidFill>
                    <w14:schemeClr w14:val="tx1"/>
                  </w14:solidFill>
                </w14:textFill>
              </w:rPr>
            </w:pPr>
          </w:p>
        </w:tc>
        <w:tc>
          <w:tcPr>
            <w:tcW w:w="472" w:type="pct"/>
            <w:tcBorders>
              <w:top w:val="nil"/>
              <w:left w:val="nil"/>
              <w:bottom w:val="single" w:color="000000" w:sz="8" w:space="0"/>
              <w:right w:val="single" w:color="000000" w:sz="8" w:space="0"/>
            </w:tcBorders>
            <w:shd w:val="clear" w:color="auto" w:fill="auto"/>
            <w:vAlign w:val="center"/>
          </w:tcPr>
          <w:p w14:paraId="0E0CB7D1">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运行管理</w:t>
            </w:r>
          </w:p>
        </w:tc>
        <w:tc>
          <w:tcPr>
            <w:tcW w:w="3108" w:type="pct"/>
            <w:tcBorders>
              <w:top w:val="nil"/>
              <w:left w:val="nil"/>
              <w:bottom w:val="single" w:color="000000" w:sz="8" w:space="0"/>
              <w:right w:val="single" w:color="000000" w:sz="8" w:space="0"/>
            </w:tcBorders>
            <w:shd w:val="clear" w:color="auto" w:fill="auto"/>
            <w:vAlign w:val="center"/>
          </w:tcPr>
          <w:p w14:paraId="18F47F21">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公示公开各联络站举办主题活动情况、参与立法监督情况、国家机关进站点情况、督政议事情况；展示民生实事项目信息。</w:t>
            </w:r>
          </w:p>
        </w:tc>
      </w:tr>
      <w:tr w14:paraId="4F6FE992">
        <w:tblPrEx>
          <w:tblCellMar>
            <w:top w:w="0" w:type="dxa"/>
            <w:left w:w="108" w:type="dxa"/>
            <w:bottom w:w="0" w:type="dxa"/>
            <w:right w:w="108" w:type="dxa"/>
          </w:tblCellMar>
        </w:tblPrEx>
        <w:trPr>
          <w:trHeight w:val="639" w:hRule="atLeast"/>
        </w:trPr>
        <w:tc>
          <w:tcPr>
            <w:tcW w:w="472" w:type="pct"/>
            <w:tcBorders>
              <w:top w:val="nil"/>
              <w:left w:val="single" w:color="000000" w:sz="8" w:space="0"/>
              <w:bottom w:val="single" w:color="000000" w:sz="8" w:space="0"/>
              <w:right w:val="single" w:color="000000" w:sz="8" w:space="0"/>
            </w:tcBorders>
            <w:shd w:val="clear" w:color="auto" w:fill="auto"/>
            <w:noWrap/>
            <w:vAlign w:val="center"/>
          </w:tcPr>
          <w:p w14:paraId="6DC5609A">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69</w:t>
            </w:r>
          </w:p>
        </w:tc>
        <w:tc>
          <w:tcPr>
            <w:tcW w:w="472" w:type="pct"/>
            <w:vMerge w:val="continue"/>
            <w:tcBorders>
              <w:top w:val="nil"/>
              <w:left w:val="nil"/>
              <w:bottom w:val="single" w:color="000000" w:sz="8" w:space="0"/>
              <w:right w:val="single" w:color="000000" w:sz="8" w:space="0"/>
            </w:tcBorders>
            <w:shd w:val="clear" w:color="auto" w:fill="auto"/>
            <w:vAlign w:val="center"/>
          </w:tcPr>
          <w:p w14:paraId="4817E22A">
            <w:pPr>
              <w:jc w:val="center"/>
              <w:rPr>
                <w:rFonts w:hint="eastAsia" w:ascii="宋体" w:hAnsi="宋体" w:cs="宋体"/>
                <w:color w:val="000000" w:themeColor="text1"/>
                <w:sz w:val="24"/>
                <w14:textFill>
                  <w14:solidFill>
                    <w14:schemeClr w14:val="tx1"/>
                  </w14:solidFill>
                </w14:textFill>
              </w:rPr>
            </w:pPr>
          </w:p>
        </w:tc>
        <w:tc>
          <w:tcPr>
            <w:tcW w:w="945" w:type="pct"/>
            <w:gridSpan w:val="2"/>
            <w:tcBorders>
              <w:top w:val="nil"/>
              <w:left w:val="nil"/>
              <w:bottom w:val="single" w:color="000000" w:sz="8" w:space="0"/>
              <w:right w:val="single" w:color="000000" w:sz="8" w:space="0"/>
            </w:tcBorders>
            <w:shd w:val="clear" w:color="auto" w:fill="auto"/>
            <w:vAlign w:val="center"/>
          </w:tcPr>
          <w:p w14:paraId="574C4697">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安全工作</w:t>
            </w:r>
          </w:p>
        </w:tc>
        <w:tc>
          <w:tcPr>
            <w:tcW w:w="3108" w:type="pct"/>
            <w:tcBorders>
              <w:top w:val="nil"/>
              <w:left w:val="nil"/>
              <w:bottom w:val="single" w:color="000000" w:sz="8" w:space="0"/>
              <w:right w:val="single" w:color="000000" w:sz="8" w:space="0"/>
            </w:tcBorders>
            <w:shd w:val="clear" w:color="auto" w:fill="auto"/>
            <w:vAlign w:val="center"/>
          </w:tcPr>
          <w:p w14:paraId="243CE6D3">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完成密码测评、密码方案评审、密码应用服务、渗透测试等保二级测评、信创测评等相关工作。</w:t>
            </w:r>
          </w:p>
        </w:tc>
      </w:tr>
      <w:tr w14:paraId="6A4F5D82">
        <w:tblPrEx>
          <w:tblCellMar>
            <w:top w:w="0" w:type="dxa"/>
            <w:left w:w="108" w:type="dxa"/>
            <w:bottom w:w="0" w:type="dxa"/>
            <w:right w:w="108" w:type="dxa"/>
          </w:tblCellMar>
        </w:tblPrEx>
        <w:trPr>
          <w:trHeight w:val="639" w:hRule="atLeast"/>
        </w:trPr>
        <w:tc>
          <w:tcPr>
            <w:tcW w:w="472" w:type="pct"/>
            <w:tcBorders>
              <w:top w:val="nil"/>
              <w:left w:val="single" w:color="000000" w:sz="8" w:space="0"/>
              <w:bottom w:val="single" w:color="000000" w:sz="8" w:space="0"/>
              <w:right w:val="single" w:color="000000" w:sz="8" w:space="0"/>
            </w:tcBorders>
            <w:shd w:val="clear" w:color="auto" w:fill="auto"/>
            <w:noWrap/>
            <w:vAlign w:val="center"/>
          </w:tcPr>
          <w:p w14:paraId="1360535E">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70</w:t>
            </w:r>
          </w:p>
        </w:tc>
        <w:tc>
          <w:tcPr>
            <w:tcW w:w="472" w:type="pct"/>
            <w:vMerge w:val="continue"/>
            <w:tcBorders>
              <w:top w:val="nil"/>
              <w:left w:val="nil"/>
              <w:bottom w:val="single" w:color="000000" w:sz="8" w:space="0"/>
              <w:right w:val="single" w:color="000000" w:sz="8" w:space="0"/>
            </w:tcBorders>
            <w:shd w:val="clear" w:color="auto" w:fill="auto"/>
            <w:vAlign w:val="center"/>
          </w:tcPr>
          <w:p w14:paraId="716B0201">
            <w:pPr>
              <w:jc w:val="center"/>
              <w:rPr>
                <w:rFonts w:hint="eastAsia" w:ascii="宋体" w:hAnsi="宋体" w:cs="宋体"/>
                <w:color w:val="000000" w:themeColor="text1"/>
                <w:sz w:val="24"/>
                <w14:textFill>
                  <w14:solidFill>
                    <w14:schemeClr w14:val="tx1"/>
                  </w14:solidFill>
                </w14:textFill>
              </w:rPr>
            </w:pPr>
          </w:p>
        </w:tc>
        <w:tc>
          <w:tcPr>
            <w:tcW w:w="945" w:type="pct"/>
            <w:gridSpan w:val="2"/>
            <w:tcBorders>
              <w:top w:val="nil"/>
              <w:left w:val="nil"/>
              <w:bottom w:val="single" w:color="000000" w:sz="8" w:space="0"/>
              <w:right w:val="single" w:color="000000" w:sz="8" w:space="0"/>
            </w:tcBorders>
            <w:shd w:val="clear" w:color="auto" w:fill="auto"/>
            <w:vAlign w:val="center"/>
          </w:tcPr>
          <w:p w14:paraId="3138DDCB">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w:t>
            </w:r>
          </w:p>
        </w:tc>
        <w:tc>
          <w:tcPr>
            <w:tcW w:w="3108" w:type="pct"/>
            <w:tcBorders>
              <w:top w:val="nil"/>
              <w:left w:val="nil"/>
              <w:bottom w:val="single" w:color="000000" w:sz="8" w:space="0"/>
              <w:right w:val="single" w:color="000000" w:sz="8" w:space="0"/>
            </w:tcBorders>
            <w:shd w:val="clear" w:color="auto" w:fill="auto"/>
            <w:vAlign w:val="center"/>
          </w:tcPr>
          <w:p w14:paraId="6DA19148">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按照一单位一平台的建设要求，完成统一用户管理的对接。</w:t>
            </w:r>
          </w:p>
        </w:tc>
      </w:tr>
      <w:tr w14:paraId="35913DEA">
        <w:tblPrEx>
          <w:tblCellMar>
            <w:top w:w="0" w:type="dxa"/>
            <w:left w:w="108" w:type="dxa"/>
            <w:bottom w:w="0" w:type="dxa"/>
            <w:right w:w="108" w:type="dxa"/>
          </w:tblCellMar>
        </w:tblPrEx>
        <w:trPr>
          <w:trHeight w:val="1887" w:hRule="atLeast"/>
        </w:trPr>
        <w:tc>
          <w:tcPr>
            <w:tcW w:w="472" w:type="pct"/>
            <w:tcBorders>
              <w:top w:val="nil"/>
              <w:left w:val="single" w:color="000000" w:sz="8" w:space="0"/>
              <w:bottom w:val="single" w:color="000000" w:sz="8" w:space="0"/>
              <w:right w:val="single" w:color="000000" w:sz="8" w:space="0"/>
            </w:tcBorders>
            <w:shd w:val="clear" w:color="auto" w:fill="auto"/>
            <w:noWrap/>
            <w:vAlign w:val="center"/>
          </w:tcPr>
          <w:p w14:paraId="01C322DD">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71</w:t>
            </w:r>
          </w:p>
        </w:tc>
        <w:tc>
          <w:tcPr>
            <w:tcW w:w="1418" w:type="pct"/>
            <w:gridSpan w:val="3"/>
            <w:tcBorders>
              <w:top w:val="nil"/>
              <w:left w:val="nil"/>
              <w:bottom w:val="single" w:color="000000" w:sz="8" w:space="0"/>
              <w:right w:val="single" w:color="000000" w:sz="8" w:space="0"/>
            </w:tcBorders>
            <w:shd w:val="clear" w:color="auto" w:fill="auto"/>
            <w:vAlign w:val="center"/>
          </w:tcPr>
          <w:p w14:paraId="361D3B92">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“数字人大”平台</w:t>
            </w:r>
          </w:p>
        </w:tc>
        <w:tc>
          <w:tcPr>
            <w:tcW w:w="3108" w:type="pct"/>
            <w:tcBorders>
              <w:top w:val="nil"/>
              <w:left w:val="nil"/>
              <w:bottom w:val="single" w:color="000000" w:sz="8" w:space="0"/>
              <w:right w:val="single" w:color="000000" w:sz="8" w:space="0"/>
            </w:tcBorders>
            <w:shd w:val="clear" w:color="auto" w:fill="auto"/>
            <w:vAlign w:val="center"/>
          </w:tcPr>
          <w:p w14:paraId="1A832E3B">
            <w:pPr>
              <w:widowControl/>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实现街道上城区街道人大工作系统、执法检查、听取审议专项报告系统、代表在线应用场景应用、民生实事项目监督系统、代表联系群众、意见处理反馈系统、议案建议办理应用场景应用、财经综合监督系统应用、人大数据仓应用场景应用、人大代表联络站数字总站应用场景应用的门户集成，实现统一用户、权限、接口及接入管理。</w:t>
            </w:r>
          </w:p>
        </w:tc>
      </w:tr>
    </w:tbl>
    <w:p w14:paraId="2001017E">
      <w:pPr>
        <w:pStyle w:val="82"/>
        <w:ind w:firstLine="0" w:firstLineChars="0"/>
        <w:rPr>
          <w:rFonts w:hint="eastAsia" w:ascii="宋体" w:hAnsi="宋体" w:eastAsia="宋体"/>
          <w:color w:val="000000" w:themeColor="text1"/>
          <w14:textFill>
            <w14:solidFill>
              <w14:schemeClr w14:val="tx1"/>
            </w14:solidFill>
          </w14:textFill>
        </w:rPr>
      </w:pPr>
    </w:p>
    <w:p w14:paraId="61A2FD30">
      <w:pPr>
        <w:spacing w:line="360" w:lineRule="auto"/>
        <w:ind w:left="420" w:firstLine="482" w:firstLineChars="200"/>
        <w:outlineLvl w:val="0"/>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1.2.3其他需求</w:t>
      </w:r>
    </w:p>
    <w:p w14:paraId="44D8000A">
      <w:pPr>
        <w:adjustRightInd/>
        <w:snapToGrid w:val="0"/>
        <w:spacing w:after="0" w:line="360" w:lineRule="auto"/>
        <w:ind w:left="480"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（1）IRS应用编目</w:t>
      </w:r>
    </w:p>
    <w:p w14:paraId="2D866529">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按照《应用目录编制规范（试行）》做好应用及数字资源规范编目，根据项目进程动态调整资源状态，建设厂商入驻ISV。</w:t>
      </w:r>
    </w:p>
    <w:p w14:paraId="17E3B475">
      <w:pPr>
        <w:adjustRightInd/>
        <w:snapToGrid w:val="0"/>
        <w:spacing w:after="0" w:line="360" w:lineRule="auto"/>
        <w:ind w:left="480"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（2）数据源头贯标</w:t>
      </w:r>
    </w:p>
    <w:p w14:paraId="158EA8D3">
      <w:pPr>
        <w:snapToGrid w:val="0"/>
        <w:spacing w:line="360" w:lineRule="auto"/>
        <w:ind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根据“一数一源一标准”要求和“有标贯标、无标立标、以标控质、达标入库”原则，实施源头贯标工作。</w:t>
      </w:r>
    </w:p>
    <w:p w14:paraId="1CEF6299">
      <w:pPr>
        <w:adjustRightInd/>
        <w:snapToGrid w:val="0"/>
        <w:spacing w:after="0" w:line="360" w:lineRule="auto"/>
        <w:ind w:left="480"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（3）信创环境</w:t>
      </w:r>
    </w:p>
    <w:p w14:paraId="26A6470C">
      <w:pPr>
        <w:snapToGrid w:val="0"/>
        <w:spacing w:line="360" w:lineRule="auto"/>
        <w:ind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使用国产化服务器、操作系统、数据库及中间件等进行系统部署。</w:t>
      </w:r>
    </w:p>
    <w:p w14:paraId="54006B6E">
      <w:pPr>
        <w:adjustRightInd/>
        <w:snapToGrid w:val="0"/>
        <w:spacing w:after="0" w:line="360" w:lineRule="auto"/>
        <w:ind w:left="480"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ascii="宋体" w:hAnsi="宋体" w:cs="宋体"/>
          <w:color w:val="000000" w:themeColor="text1"/>
          <w:sz w:val="24"/>
          <w14:textFill>
            <w14:solidFill>
              <w14:schemeClr w14:val="tx1"/>
            </w14:solidFill>
          </w14:textFill>
        </w:rPr>
        <w:t>数据归集共享</w:t>
      </w:r>
    </w:p>
    <w:p w14:paraId="2F262D29">
      <w:pPr>
        <w:snapToGrid w:val="0"/>
        <w:spacing w:line="360" w:lineRule="auto"/>
        <w:ind w:firstLine="480" w:firstLineChars="200"/>
        <w:contextualSpacing/>
        <w:rPr>
          <w:rFonts w:hint="eastAsia" w:ascii="宋体" w:hAns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按需完成数据“全量全要素”归集；加强源头治理、系统治理，提升数据质量；通过省IRS申请使用公共数据，重视数据利用成效；依法合规对外开放数据比例不应低于30%。</w:t>
      </w:r>
    </w:p>
    <w:p w14:paraId="669F3B55">
      <w:pPr>
        <w:adjustRightInd/>
        <w:snapToGrid w:val="0"/>
        <w:spacing w:after="0" w:line="360" w:lineRule="auto"/>
        <w:ind w:left="480"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（5）组件利用</w:t>
      </w:r>
    </w:p>
    <w:p w14:paraId="05B429FD">
      <w:pPr>
        <w:snapToGrid w:val="0"/>
        <w:spacing w:line="360" w:lineRule="auto"/>
        <w:ind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项目中的应用系统必须通过省组件超市至少使用1个强制类组件，按需使用全省组件超市的各类共享组件。</w:t>
      </w:r>
    </w:p>
    <w:p w14:paraId="6BBB76EB">
      <w:pPr>
        <w:adjustRightInd/>
        <w:snapToGrid w:val="0"/>
        <w:spacing w:after="0" w:line="360" w:lineRule="auto"/>
        <w:ind w:left="480"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（6）应用接入“浙里办、浙政钉”</w:t>
      </w:r>
    </w:p>
    <w:p w14:paraId="11CE156D">
      <w:pPr>
        <w:snapToGrid w:val="0"/>
        <w:spacing w:line="360" w:lineRule="auto"/>
        <w:ind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做好应用“浙里办、浙政钉”两端发布工作，其中浙政钉端必须达到100%治理侧应用发布。</w:t>
      </w:r>
    </w:p>
    <w:p w14:paraId="2A18BA69">
      <w:pPr>
        <w:adjustRightInd/>
        <w:snapToGrid w:val="0"/>
        <w:spacing w:after="0" w:line="360" w:lineRule="auto"/>
        <w:ind w:left="480"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r>
        <w:rPr>
          <w:rFonts w:ascii="宋体" w:hAnsi="宋体" w:cs="宋体"/>
          <w:color w:val="000000" w:themeColor="text1"/>
          <w:sz w:val="24"/>
          <w14:textFill>
            <w14:solidFill>
              <w14:schemeClr w14:val="tx1"/>
            </w14:solidFill>
          </w14:textFill>
        </w:rPr>
        <w:t>入驻</w:t>
      </w:r>
      <w:r>
        <w:rPr>
          <w:rFonts w:hint="eastAsia" w:ascii="宋体" w:hAnsi="宋体" w:cs="宋体"/>
          <w:color w:val="000000" w:themeColor="text1"/>
          <w:sz w:val="24"/>
          <w14:textFill>
            <w14:solidFill>
              <w14:schemeClr w14:val="tx1"/>
            </w14:solidFill>
          </w14:textFill>
        </w:rPr>
        <w:t>应用工厂</w:t>
      </w:r>
    </w:p>
    <w:p w14:paraId="11B41062">
      <w:pPr>
        <w:snapToGrid w:val="0"/>
        <w:spacing w:line="360" w:lineRule="auto"/>
        <w:ind w:firstLine="480" w:firstLineChars="200"/>
        <w:contextualSpacing/>
        <w:rPr>
          <w:rFonts w:hint="eastAsia" w:ascii="宋体" w:hAns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应用</w:t>
      </w:r>
      <w:r>
        <w:rPr>
          <w:rFonts w:hint="eastAsia" w:ascii="宋体" w:hAnsi="宋体" w:cs="宋体"/>
          <w:color w:val="000000" w:themeColor="text1"/>
          <w:sz w:val="24"/>
          <w14:textFill>
            <w14:solidFill>
              <w14:schemeClr w14:val="tx1"/>
            </w14:solidFill>
          </w14:textFill>
        </w:rPr>
        <w:t>代码规范</w:t>
      </w:r>
      <w:r>
        <w:rPr>
          <w:rFonts w:ascii="宋体" w:hAnsi="宋体" w:cs="宋体"/>
          <w:color w:val="000000" w:themeColor="text1"/>
          <w:sz w:val="24"/>
          <w14:textFill>
            <w14:solidFill>
              <w14:schemeClr w14:val="tx1"/>
            </w14:solidFill>
          </w14:textFill>
        </w:rPr>
        <w:t>接入省应用工厂</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开展</w:t>
      </w:r>
      <w:r>
        <w:rPr>
          <w:rFonts w:hint="eastAsia" w:ascii="宋体" w:hAnsi="宋体" w:cs="宋体"/>
          <w:color w:val="000000" w:themeColor="text1"/>
          <w:sz w:val="24"/>
          <w14:textFill>
            <w14:solidFill>
              <w14:schemeClr w14:val="tx1"/>
            </w14:solidFill>
          </w14:textFill>
        </w:rPr>
        <w:t>安全扫描</w:t>
      </w:r>
      <w:r>
        <w:rPr>
          <w:rFonts w:ascii="宋体" w:hAnsi="宋体" w:cs="宋体"/>
          <w:color w:val="000000" w:themeColor="text1"/>
          <w:sz w:val="24"/>
          <w14:textFill>
            <w14:solidFill>
              <w14:schemeClr w14:val="tx1"/>
            </w14:solidFill>
          </w14:textFill>
        </w:rPr>
        <w:t>并及时</w:t>
      </w:r>
      <w:r>
        <w:rPr>
          <w:rFonts w:hint="eastAsia" w:ascii="宋体" w:hAnsi="宋体" w:cs="宋体"/>
          <w:color w:val="000000" w:themeColor="text1"/>
          <w:sz w:val="24"/>
          <w14:textFill>
            <w14:solidFill>
              <w14:schemeClr w14:val="tx1"/>
            </w14:solidFill>
          </w14:textFill>
        </w:rPr>
        <w:t>整改必修问题和漏洞。</w:t>
      </w:r>
    </w:p>
    <w:p w14:paraId="43E548F5">
      <w:pPr>
        <w:adjustRightInd/>
        <w:snapToGrid w:val="0"/>
        <w:spacing w:after="0" w:line="360" w:lineRule="auto"/>
        <w:ind w:left="480"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（8）业务保障需求</w:t>
      </w:r>
    </w:p>
    <w:p w14:paraId="4E2CB22C">
      <w:pPr>
        <w:snapToGrid w:val="0"/>
        <w:spacing w:line="360" w:lineRule="auto"/>
        <w:ind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对于信创改造项目，可用性分析主要涉及对系统进行渗透测试、信息安全等级保护二级测评、信创测评、密码应用、密码方案评审、密码测评等，以确保数据的完整性、可用性及安全性。</w:t>
      </w:r>
      <w:r>
        <w:rPr>
          <w:rFonts w:hint="eastAsia" w:ascii="宋体" w:hAnsi="宋体"/>
          <w:color w:val="000000" w:themeColor="text1"/>
          <w:sz w:val="24"/>
          <w14:textFill>
            <w14:solidFill>
              <w14:schemeClr w14:val="tx1"/>
            </w14:solidFill>
          </w14:textFill>
        </w:rPr>
        <w:t>信创测评和渗透测试，由乙方负责邀请具备专业资质的第三方检测机构，并出具检测报告（第三方机构须经采购人确认）。</w:t>
      </w:r>
    </w:p>
    <w:p w14:paraId="23BC33A7">
      <w:pPr>
        <w:spacing w:line="360" w:lineRule="auto"/>
        <w:ind w:left="420" w:firstLine="480" w:firstLineChars="200"/>
        <w:outlineLvl w:val="0"/>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1.3 价款</w:t>
      </w:r>
    </w:p>
    <w:p w14:paraId="06165634">
      <w:pPr>
        <w:spacing w:line="360" w:lineRule="auto"/>
        <w:ind w:left="120"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总价合同，</w:t>
      </w:r>
      <w:r>
        <w:rPr>
          <w:rFonts w:ascii="宋体" w:hAnsi="宋体"/>
          <w:color w:val="000000" w:themeColor="text1"/>
          <w:sz w:val="24"/>
          <w14:textFill>
            <w14:solidFill>
              <w14:schemeClr w14:val="tx1"/>
            </w14:solidFill>
          </w14:textFill>
        </w:rPr>
        <w:t>本合同总价</w:t>
      </w:r>
      <w:r>
        <w:rPr>
          <w:rFonts w:hint="eastAsia" w:ascii="宋体" w:hAnsi="宋体"/>
          <w:color w:val="000000" w:themeColor="text1"/>
          <w:sz w:val="24"/>
          <w14:textFill>
            <w14:solidFill>
              <w14:schemeClr w14:val="tx1"/>
            </w14:solidFill>
          </w14:textFill>
        </w:rPr>
        <w:t>（含税）</w:t>
      </w:r>
      <w:r>
        <w:rPr>
          <w:rFonts w:ascii="宋体" w:hAnsi="宋体"/>
          <w:color w:val="000000" w:themeColor="text1"/>
          <w:sz w:val="24"/>
          <w14:textFill>
            <w14:solidFill>
              <w14:schemeClr w14:val="tx1"/>
            </w14:solidFill>
          </w14:textFill>
        </w:rPr>
        <w:t>为</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元</w:t>
      </w:r>
      <w:r>
        <w:rPr>
          <w:rFonts w:hint="eastAsia" w:ascii="宋体" w:hAnsi="宋体"/>
          <w:color w:val="000000" w:themeColor="text1"/>
          <w:sz w:val="24"/>
          <w14:textFill>
            <w14:solidFill>
              <w14:schemeClr w14:val="tx1"/>
            </w14:solidFill>
          </w14:textFill>
        </w:rPr>
        <w:t>（大写：</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元人民币、该价格已含增值税）</w:t>
      </w:r>
      <w:r>
        <w:rPr>
          <w:rFonts w:ascii="宋体" w:hAnsi="宋体"/>
          <w:color w:val="000000" w:themeColor="text1"/>
          <w:sz w:val="24"/>
          <w14:textFill>
            <w14:solidFill>
              <w14:schemeClr w14:val="tx1"/>
            </w14:solidFill>
          </w14:textFill>
        </w:rPr>
        <w:t>。</w:t>
      </w:r>
    </w:p>
    <w:p w14:paraId="21F5B5C6">
      <w:pPr>
        <w:spacing w:line="360" w:lineRule="auto"/>
        <w:ind w:left="120" w:firstLine="480" w:firstLineChars="200"/>
        <w:rPr>
          <w:rFonts w:hint="eastAsia"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C32E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A4B3F33">
            <w:pPr>
              <w:pStyle w:val="320"/>
              <w:spacing w:line="360" w:lineRule="auto"/>
              <w:ind w:left="120" w:firstLine="22"/>
              <w:jc w:val="center"/>
              <w:rPr>
                <w:rFonts w:hint="eastAsia"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序号</w:t>
            </w:r>
          </w:p>
        </w:tc>
        <w:tc>
          <w:tcPr>
            <w:tcW w:w="3402" w:type="dxa"/>
            <w:vAlign w:val="center"/>
          </w:tcPr>
          <w:p w14:paraId="63C4724C">
            <w:pPr>
              <w:pStyle w:val="320"/>
              <w:spacing w:line="360" w:lineRule="auto"/>
              <w:ind w:left="120" w:firstLine="22"/>
              <w:jc w:val="center"/>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分项名称</w:t>
            </w:r>
          </w:p>
        </w:tc>
        <w:tc>
          <w:tcPr>
            <w:tcW w:w="2552" w:type="dxa"/>
            <w:vAlign w:val="center"/>
          </w:tcPr>
          <w:p w14:paraId="0261C799">
            <w:pPr>
              <w:pStyle w:val="320"/>
              <w:spacing w:line="360" w:lineRule="auto"/>
              <w:ind w:left="120" w:firstLine="22"/>
              <w:jc w:val="center"/>
              <w:rPr>
                <w:rFonts w:hint="eastAsia"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分项价格</w:t>
            </w:r>
          </w:p>
        </w:tc>
      </w:tr>
      <w:tr w14:paraId="4BFBF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6ED6043">
            <w:pPr>
              <w:pStyle w:val="320"/>
              <w:spacing w:line="360" w:lineRule="auto"/>
              <w:ind w:left="120" w:firstLine="22"/>
              <w:jc w:val="center"/>
              <w:rPr>
                <w:rFonts w:hint="eastAsia" w:hAnsi="宋体"/>
                <w:color w:val="000000" w:themeColor="text1"/>
                <w:sz w:val="24"/>
                <w:szCs w:val="24"/>
                <w14:textFill>
                  <w14:solidFill>
                    <w14:schemeClr w14:val="tx1"/>
                  </w14:solidFill>
                </w14:textFill>
              </w:rPr>
            </w:pPr>
          </w:p>
        </w:tc>
        <w:tc>
          <w:tcPr>
            <w:tcW w:w="3402" w:type="dxa"/>
            <w:vAlign w:val="center"/>
          </w:tcPr>
          <w:p w14:paraId="1B92D6EA">
            <w:pPr>
              <w:pStyle w:val="320"/>
              <w:spacing w:line="360" w:lineRule="auto"/>
              <w:ind w:left="120" w:firstLine="22"/>
              <w:jc w:val="center"/>
              <w:rPr>
                <w:rFonts w:hint="eastAsia" w:hAnsi="宋体"/>
                <w:color w:val="000000" w:themeColor="text1"/>
                <w:sz w:val="24"/>
                <w:szCs w:val="24"/>
                <w14:textFill>
                  <w14:solidFill>
                    <w14:schemeClr w14:val="tx1"/>
                  </w14:solidFill>
                </w14:textFill>
              </w:rPr>
            </w:pPr>
          </w:p>
        </w:tc>
        <w:tc>
          <w:tcPr>
            <w:tcW w:w="2552" w:type="dxa"/>
            <w:vAlign w:val="center"/>
          </w:tcPr>
          <w:p w14:paraId="6B4B8A0D">
            <w:pPr>
              <w:pStyle w:val="320"/>
              <w:spacing w:line="360" w:lineRule="auto"/>
              <w:ind w:left="120" w:firstLine="22"/>
              <w:jc w:val="center"/>
              <w:rPr>
                <w:rFonts w:hint="eastAsia" w:hAnsi="宋体"/>
                <w:color w:val="000000" w:themeColor="text1"/>
                <w:sz w:val="24"/>
                <w:szCs w:val="24"/>
                <w14:textFill>
                  <w14:solidFill>
                    <w14:schemeClr w14:val="tx1"/>
                  </w14:solidFill>
                </w14:textFill>
              </w:rPr>
            </w:pPr>
          </w:p>
        </w:tc>
      </w:tr>
      <w:tr w14:paraId="66038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BBF5345">
            <w:pPr>
              <w:pStyle w:val="320"/>
              <w:spacing w:line="360" w:lineRule="auto"/>
              <w:ind w:left="120" w:firstLine="22"/>
              <w:jc w:val="center"/>
              <w:rPr>
                <w:rFonts w:hint="eastAsia" w:hAnsi="宋体"/>
                <w:color w:val="000000" w:themeColor="text1"/>
                <w:sz w:val="24"/>
                <w:szCs w:val="24"/>
                <w14:textFill>
                  <w14:solidFill>
                    <w14:schemeClr w14:val="tx1"/>
                  </w14:solidFill>
                </w14:textFill>
              </w:rPr>
            </w:pPr>
          </w:p>
        </w:tc>
        <w:tc>
          <w:tcPr>
            <w:tcW w:w="3402" w:type="dxa"/>
            <w:vAlign w:val="center"/>
          </w:tcPr>
          <w:p w14:paraId="15EA2C60">
            <w:pPr>
              <w:pStyle w:val="320"/>
              <w:spacing w:line="360" w:lineRule="auto"/>
              <w:ind w:left="120" w:firstLine="22"/>
              <w:jc w:val="center"/>
              <w:rPr>
                <w:rFonts w:hint="eastAsia" w:hAnsi="宋体"/>
                <w:color w:val="000000" w:themeColor="text1"/>
                <w:sz w:val="24"/>
                <w:szCs w:val="24"/>
                <w14:textFill>
                  <w14:solidFill>
                    <w14:schemeClr w14:val="tx1"/>
                  </w14:solidFill>
                </w14:textFill>
              </w:rPr>
            </w:pPr>
          </w:p>
        </w:tc>
        <w:tc>
          <w:tcPr>
            <w:tcW w:w="2552" w:type="dxa"/>
            <w:vAlign w:val="center"/>
          </w:tcPr>
          <w:p w14:paraId="53B51C17">
            <w:pPr>
              <w:pStyle w:val="320"/>
              <w:spacing w:line="360" w:lineRule="auto"/>
              <w:ind w:left="120" w:firstLine="22"/>
              <w:jc w:val="center"/>
              <w:rPr>
                <w:rFonts w:hint="eastAsia" w:hAnsi="宋体"/>
                <w:color w:val="000000" w:themeColor="text1"/>
                <w:sz w:val="24"/>
                <w:szCs w:val="24"/>
                <w14:textFill>
                  <w14:solidFill>
                    <w14:schemeClr w14:val="tx1"/>
                  </w14:solidFill>
                </w14:textFill>
              </w:rPr>
            </w:pPr>
          </w:p>
        </w:tc>
      </w:tr>
      <w:tr w14:paraId="6C920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0742D53">
            <w:pPr>
              <w:pStyle w:val="320"/>
              <w:spacing w:line="360" w:lineRule="auto"/>
              <w:ind w:left="120" w:firstLine="22"/>
              <w:jc w:val="center"/>
              <w:rPr>
                <w:rFonts w:hint="eastAsia" w:hAnsi="宋体"/>
                <w:color w:val="000000" w:themeColor="text1"/>
                <w:sz w:val="24"/>
                <w:szCs w:val="24"/>
                <w14:textFill>
                  <w14:solidFill>
                    <w14:schemeClr w14:val="tx1"/>
                  </w14:solidFill>
                </w14:textFill>
              </w:rPr>
            </w:pPr>
          </w:p>
        </w:tc>
        <w:tc>
          <w:tcPr>
            <w:tcW w:w="3402" w:type="dxa"/>
            <w:vAlign w:val="center"/>
          </w:tcPr>
          <w:p w14:paraId="73FBA1B7">
            <w:pPr>
              <w:pStyle w:val="320"/>
              <w:spacing w:line="360" w:lineRule="auto"/>
              <w:ind w:left="120" w:firstLine="22"/>
              <w:jc w:val="center"/>
              <w:rPr>
                <w:rFonts w:hint="eastAsia" w:hAnsi="宋体"/>
                <w:color w:val="000000" w:themeColor="text1"/>
                <w:sz w:val="24"/>
                <w:szCs w:val="24"/>
                <w14:textFill>
                  <w14:solidFill>
                    <w14:schemeClr w14:val="tx1"/>
                  </w14:solidFill>
                </w14:textFill>
              </w:rPr>
            </w:pPr>
          </w:p>
        </w:tc>
        <w:tc>
          <w:tcPr>
            <w:tcW w:w="2552" w:type="dxa"/>
            <w:vAlign w:val="center"/>
          </w:tcPr>
          <w:p w14:paraId="1777DE26">
            <w:pPr>
              <w:pStyle w:val="320"/>
              <w:spacing w:line="360" w:lineRule="auto"/>
              <w:ind w:left="120" w:firstLine="22"/>
              <w:jc w:val="center"/>
              <w:rPr>
                <w:rFonts w:hint="eastAsia" w:hAnsi="宋体"/>
                <w:color w:val="000000" w:themeColor="text1"/>
                <w:sz w:val="24"/>
                <w:szCs w:val="24"/>
                <w14:textFill>
                  <w14:solidFill>
                    <w14:schemeClr w14:val="tx1"/>
                  </w14:solidFill>
                </w14:textFill>
              </w:rPr>
            </w:pPr>
          </w:p>
        </w:tc>
      </w:tr>
      <w:tr w14:paraId="640A6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8B966FC">
            <w:pPr>
              <w:pStyle w:val="320"/>
              <w:spacing w:line="360" w:lineRule="auto"/>
              <w:ind w:left="120" w:firstLine="22"/>
              <w:jc w:val="center"/>
              <w:rPr>
                <w:rFonts w:hint="eastAsia" w:hAnsi="宋体"/>
                <w:color w:val="000000" w:themeColor="text1"/>
                <w:sz w:val="24"/>
                <w:szCs w:val="24"/>
                <w14:textFill>
                  <w14:solidFill>
                    <w14:schemeClr w14:val="tx1"/>
                  </w14:solidFill>
                </w14:textFill>
              </w:rPr>
            </w:pPr>
          </w:p>
        </w:tc>
        <w:tc>
          <w:tcPr>
            <w:tcW w:w="3402" w:type="dxa"/>
            <w:vAlign w:val="center"/>
          </w:tcPr>
          <w:p w14:paraId="3BB0AEAF">
            <w:pPr>
              <w:pStyle w:val="320"/>
              <w:spacing w:line="360" w:lineRule="auto"/>
              <w:ind w:left="120" w:firstLine="22"/>
              <w:jc w:val="center"/>
              <w:rPr>
                <w:rFonts w:hint="eastAsia" w:hAnsi="宋体"/>
                <w:color w:val="000000" w:themeColor="text1"/>
                <w:sz w:val="24"/>
                <w:szCs w:val="24"/>
                <w14:textFill>
                  <w14:solidFill>
                    <w14:schemeClr w14:val="tx1"/>
                  </w14:solidFill>
                </w14:textFill>
              </w:rPr>
            </w:pPr>
          </w:p>
        </w:tc>
        <w:tc>
          <w:tcPr>
            <w:tcW w:w="2552" w:type="dxa"/>
            <w:vAlign w:val="center"/>
          </w:tcPr>
          <w:p w14:paraId="042A40F3">
            <w:pPr>
              <w:pStyle w:val="320"/>
              <w:spacing w:line="360" w:lineRule="auto"/>
              <w:ind w:left="120" w:firstLine="22"/>
              <w:jc w:val="center"/>
              <w:rPr>
                <w:rFonts w:hint="eastAsia" w:hAnsi="宋体"/>
                <w:color w:val="000000" w:themeColor="text1"/>
                <w:sz w:val="24"/>
                <w:szCs w:val="24"/>
                <w14:textFill>
                  <w14:solidFill>
                    <w14:schemeClr w14:val="tx1"/>
                  </w14:solidFill>
                </w14:textFill>
              </w:rPr>
            </w:pPr>
          </w:p>
        </w:tc>
      </w:tr>
      <w:tr w14:paraId="6FA4D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E3CB574">
            <w:pPr>
              <w:pStyle w:val="320"/>
              <w:spacing w:line="360" w:lineRule="auto"/>
              <w:ind w:left="120" w:firstLine="22"/>
              <w:jc w:val="center"/>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总价</w:t>
            </w:r>
          </w:p>
        </w:tc>
        <w:tc>
          <w:tcPr>
            <w:tcW w:w="2552" w:type="dxa"/>
            <w:vAlign w:val="center"/>
          </w:tcPr>
          <w:p w14:paraId="7A0A13C1">
            <w:pPr>
              <w:pStyle w:val="320"/>
              <w:spacing w:line="360" w:lineRule="auto"/>
              <w:ind w:left="120" w:firstLine="22"/>
              <w:jc w:val="center"/>
              <w:rPr>
                <w:rFonts w:hint="eastAsia" w:hAnsi="宋体"/>
                <w:color w:val="000000" w:themeColor="text1"/>
                <w:sz w:val="24"/>
                <w:szCs w:val="24"/>
                <w14:textFill>
                  <w14:solidFill>
                    <w14:schemeClr w14:val="tx1"/>
                  </w14:solidFill>
                </w14:textFill>
              </w:rPr>
            </w:pPr>
          </w:p>
        </w:tc>
      </w:tr>
    </w:tbl>
    <w:p w14:paraId="21571BA8">
      <w:pPr>
        <w:spacing w:line="360" w:lineRule="auto"/>
        <w:ind w:left="420" w:firstLine="482" w:firstLineChars="200"/>
        <w:outlineLvl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1.4履约保证金</w:t>
      </w:r>
    </w:p>
    <w:p w14:paraId="25CCCBFB">
      <w:pPr>
        <w:pStyle w:val="960"/>
        <w:spacing w:before="0" w:beforeAutospacing="0" w:after="0" w:afterAutospacing="0" w:line="360" w:lineRule="auto"/>
        <w:ind w:left="120"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乙方</w:t>
      </w:r>
      <w:r>
        <w:rPr>
          <w:rFonts w:hint="eastAsia"/>
          <w:color w:val="000000" w:themeColor="text1"/>
          <w:u w:val="single"/>
          <w14:textFill>
            <w14:solidFill>
              <w14:schemeClr w14:val="tx1"/>
            </w14:solidFill>
          </w14:textFill>
        </w:rPr>
        <w:t xml:space="preserve"> 否  </w:t>
      </w:r>
      <w:r>
        <w:rPr>
          <w:rFonts w:hint="eastAsia"/>
          <w:color w:val="000000" w:themeColor="text1"/>
          <w14:textFill>
            <w14:solidFill>
              <w14:schemeClr w14:val="tx1"/>
            </w14:solidFill>
          </w14:textFill>
        </w:rPr>
        <w:t>（是/否）需要支付履约保证金。</w:t>
      </w:r>
    </w:p>
    <w:p w14:paraId="3CBA2EC1">
      <w:pPr>
        <w:spacing w:line="360" w:lineRule="auto"/>
        <w:ind w:left="420" w:firstLine="482" w:firstLineChars="200"/>
        <w:outlineLvl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1.5付款方式、时间和条件</w:t>
      </w:r>
    </w:p>
    <w:p w14:paraId="4DA08265">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1、甲方应严格履行合同，及时组织验收，验收合格后及时将合同款支付完毕。甲方自合同生效后，具备实施条件，5个工作日内将应付款项资金支付到合同约定的乙方账户                  。甲方不得以机构变动、人员更替、政策调整、单位放假等为由延迟付款。每次支付乙方须先开具对应金额的增值税发票交付甲方，甲方凭票办理支付手续。否则，甲方不承担逾期付款的责任。</w:t>
      </w:r>
    </w:p>
    <w:p w14:paraId="21B74631">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2、付款条件（进度和方式）</w:t>
      </w:r>
    </w:p>
    <w:tbl>
      <w:tblPr>
        <w:tblStyle w:val="63"/>
        <w:tblW w:w="8951"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855"/>
        <w:gridCol w:w="1626"/>
        <w:gridCol w:w="6470"/>
      </w:tblGrid>
      <w:tr w14:paraId="1C285FE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8" w:hRule="atLeast"/>
          <w:tblHeader/>
        </w:trPr>
        <w:tc>
          <w:tcPr>
            <w:tcW w:w="855" w:type="dxa"/>
            <w:vAlign w:val="center"/>
          </w:tcPr>
          <w:p w14:paraId="0F0C960D">
            <w:pPr>
              <w:spacing w:after="0" w:line="56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1626" w:type="dxa"/>
            <w:vAlign w:val="center"/>
          </w:tcPr>
          <w:p w14:paraId="70E538CD">
            <w:pPr>
              <w:spacing w:after="0" w:line="56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付款比例（%）</w:t>
            </w:r>
          </w:p>
        </w:tc>
        <w:tc>
          <w:tcPr>
            <w:tcW w:w="6470" w:type="dxa"/>
            <w:vAlign w:val="center"/>
          </w:tcPr>
          <w:p w14:paraId="24C106A3">
            <w:pPr>
              <w:spacing w:after="0" w:line="56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付款方式</w:t>
            </w:r>
          </w:p>
        </w:tc>
      </w:tr>
      <w:tr w14:paraId="1007433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blHeader/>
        </w:trPr>
        <w:tc>
          <w:tcPr>
            <w:tcW w:w="855" w:type="dxa"/>
            <w:vAlign w:val="center"/>
          </w:tcPr>
          <w:p w14:paraId="53F4D03A">
            <w:pPr>
              <w:spacing w:after="0" w:line="56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626" w:type="dxa"/>
            <w:vAlign w:val="center"/>
          </w:tcPr>
          <w:p w14:paraId="71E525B2">
            <w:pPr>
              <w:spacing w:after="0" w:line="56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60%</w:t>
            </w:r>
          </w:p>
        </w:tc>
        <w:tc>
          <w:tcPr>
            <w:tcW w:w="6470" w:type="dxa"/>
            <w:vAlign w:val="center"/>
          </w:tcPr>
          <w:p w14:paraId="7EE41BB1">
            <w:pPr>
              <w:spacing w:after="0" w:line="560" w:lineRule="exact"/>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第一期付款：合同生效后，具备实施条件，5个工作日内，支付合同总价60%的预付款。</w:t>
            </w:r>
          </w:p>
        </w:tc>
      </w:tr>
      <w:tr w14:paraId="6457252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blHeader/>
        </w:trPr>
        <w:tc>
          <w:tcPr>
            <w:tcW w:w="855" w:type="dxa"/>
            <w:vAlign w:val="center"/>
          </w:tcPr>
          <w:p w14:paraId="01AAA72B">
            <w:pPr>
              <w:spacing w:after="0" w:line="56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626" w:type="dxa"/>
            <w:vAlign w:val="center"/>
          </w:tcPr>
          <w:p w14:paraId="0ADBDEB6">
            <w:pPr>
              <w:spacing w:after="0" w:line="56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40%</w:t>
            </w:r>
          </w:p>
        </w:tc>
        <w:tc>
          <w:tcPr>
            <w:tcW w:w="6470" w:type="dxa"/>
            <w:vAlign w:val="center"/>
          </w:tcPr>
          <w:p w14:paraId="2FFBA78A">
            <w:pPr>
              <w:spacing w:after="0" w:line="560" w:lineRule="exact"/>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第二期付款：项目通过终验后，具备支付条件，5个工作日内支付合同总价40%。</w:t>
            </w:r>
          </w:p>
        </w:tc>
      </w:tr>
    </w:tbl>
    <w:p w14:paraId="7E3A07F2">
      <w:pPr>
        <w:spacing w:line="360" w:lineRule="auto"/>
        <w:ind w:left="420" w:firstLine="482" w:firstLineChars="200"/>
        <w:outlineLvl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1.6履行期限、地点和方式、产权、验收</w:t>
      </w:r>
    </w:p>
    <w:p w14:paraId="134FDA49">
      <w:pPr>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1、履行方式：合同签订生效后2025年10月底前完成建设，后进入验收阶段，并于      年  月  日前最终通过终验。若未能通过验收，乙方须立即无条件予以调整、修复、更换至合格并再次通过验收止。若由此逾期，则乙方须承担逾期的违约责任。</w:t>
      </w:r>
    </w:p>
    <w:p w14:paraId="7975D04C">
      <w:pPr>
        <w:spacing w:line="360" w:lineRule="auto"/>
        <w:ind w:firstLine="480" w:firstLineChars="200"/>
        <w:jc w:val="left"/>
        <w:rPr>
          <w:rFonts w:hint="eastAsia" w:ascii="宋体" w:hAnsi="宋体" w:cs="宋体"/>
          <w:i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2、履行期限：运维期2年，即自     年  月  日起至     年  月  日止。</w:t>
      </w:r>
    </w:p>
    <w:p w14:paraId="37C4F323">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3、履行地点：甲方指定地点（杭州）；</w:t>
      </w:r>
    </w:p>
    <w:p w14:paraId="19B0658D">
      <w:pPr>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b/>
          <w:color w:val="000000" w:themeColor="text1"/>
          <w:sz w:val="24"/>
          <w14:textFill>
            <w14:solidFill>
              <w14:schemeClr w14:val="tx1"/>
            </w14:solidFill>
          </w14:textFill>
        </w:rPr>
        <w:t>知识产权</w:t>
      </w:r>
      <w:r>
        <w:rPr>
          <w:rFonts w:hint="eastAsia" w:ascii="宋体" w:hAnsi="宋体" w:cs="宋体"/>
          <w:color w:val="000000" w:themeColor="text1"/>
          <w:sz w:val="24"/>
          <w14:textFill>
            <w14:solidFill>
              <w14:schemeClr w14:val="tx1"/>
            </w14:solidFill>
          </w14:textFill>
        </w:rPr>
        <w:t>：乙方应保证其提供的服务不受任何第三方提出的侵犯著作权、商标权、专利权等知识产权方面的起诉；如果任何第三方提出侵权指控，则乙方须与该第三方交涉并承担由此发生的一切责任、费用和赔偿；若给甲方造成损失的，乙方须予以赔偿。</w:t>
      </w:r>
    </w:p>
    <w:p w14:paraId="1F3491EA">
      <w:pPr>
        <w:widowControl/>
        <w:overflowPunct w:val="0"/>
        <w:autoSpaceDE w:val="0"/>
        <w:autoSpaceDN w:val="0"/>
        <w:spacing w:line="360" w:lineRule="auto"/>
        <w:ind w:firstLine="480" w:firstLineChars="200"/>
        <w:jc w:val="left"/>
        <w:textAlignment w:val="baseline"/>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r>
        <w:rPr>
          <w:rFonts w:hint="eastAsia" w:ascii="宋体" w:hAnsi="宋体" w:cs="宋体"/>
          <w:b/>
          <w:color w:val="000000" w:themeColor="text1"/>
          <w:sz w:val="24"/>
          <w14:textFill>
            <w14:solidFill>
              <w14:schemeClr w14:val="tx1"/>
            </w14:solidFill>
          </w14:textFill>
        </w:rPr>
        <w:t>知识产权归属、处理方式：项目所产生的知识产权（源代码、开发文档等）及采集数据归甲方所有，但不包括乙方在本项目前已经合法拥有的知识产权。</w:t>
      </w:r>
      <w:r>
        <w:rPr>
          <w:rFonts w:hint="eastAsia" w:ascii="宋体" w:hAnsi="宋体" w:cs="宋体"/>
          <w:color w:val="000000" w:themeColor="text1"/>
          <w:sz w:val="24"/>
          <w14:textFill>
            <w14:solidFill>
              <w14:schemeClr w14:val="tx1"/>
            </w14:solidFill>
          </w14:textFill>
        </w:rPr>
        <w:t>若涉及到个人或企业数据采集等处理行为，甲方应当遵守《中华人民共和国个人信息保护法》，取得数据权利人的同意，不存在侵犯第三方合法权益，若与第三方发生纠纷，与乙方无关。</w:t>
      </w:r>
    </w:p>
    <w:p w14:paraId="3ECE809F">
      <w:pPr>
        <w:overflowPunct w:val="0"/>
        <w:autoSpaceDE w:val="0"/>
        <w:autoSpaceDN w:val="0"/>
        <w:spacing w:after="0" w:line="360" w:lineRule="auto"/>
        <w:ind w:left="120" w:firstLine="480" w:firstLineChars="200"/>
        <w:textAlignment w:val="baseline"/>
        <w:rPr>
          <w:rFonts w:hint="eastAsia" w:ascii="宋体" w:hAnsi="宋体"/>
          <w:color w:val="000000" w:themeColor="text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6、验收：甲方在接到乙方验收需求次日起15个工作日内按照实际成果对项目进行验收。如甲方无故拒绝验收的，视为验收通过。甲方在乙方提供服务过程中，有权不定期对服务内容和质量进行考核。乙方应当给予配合。乙方在提供服务过程中如存在违反合同相关约定的，甲方有权要求乙方立即整改，乙方未按要求整改的，甲方有权拒绝验收，并可中止合同履行。</w:t>
      </w:r>
    </w:p>
    <w:p w14:paraId="13291999">
      <w:pPr>
        <w:spacing w:line="360" w:lineRule="auto"/>
        <w:ind w:left="420" w:firstLine="482" w:firstLineChars="200"/>
        <w:outlineLvl w:val="0"/>
        <w:rPr>
          <w:rFonts w:hint="eastAsia" w:ascii="宋体" w:hAnsi="宋体" w:cs="宋体"/>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1.7违约责任</w:t>
      </w:r>
    </w:p>
    <w:p w14:paraId="2AC7C126">
      <w:pPr>
        <w:spacing w:line="360" w:lineRule="auto"/>
        <w:ind w:left="120" w:firstLine="480" w:firstLineChars="200"/>
        <w:rPr>
          <w:rFonts w:hint="eastAsia" w:ascii="宋体" w:hAnsi="宋体" w:cs="宋体"/>
          <w:color w:val="000000" w:themeColor="text1"/>
          <w:sz w:val="24"/>
          <w14:textFill>
            <w14:solidFill>
              <w14:schemeClr w14:val="tx1"/>
            </w14:solidFill>
          </w14:textFill>
        </w:rPr>
      </w:pPr>
      <w:bookmarkStart w:id="431" w:name="_Hlk200556343"/>
      <w:r>
        <w:rPr>
          <w:rFonts w:hint="eastAsia" w:ascii="宋体" w:hAnsi="宋体" w:cs="宋体"/>
          <w:color w:val="000000" w:themeColor="text1"/>
          <w:sz w:val="24"/>
          <w14:textFill>
            <w14:solidFill>
              <w14:schemeClr w14:val="tx1"/>
            </w14:solidFill>
          </w14:textFill>
        </w:rPr>
        <w:t>1.7.1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cs="宋体"/>
          <w:color w:val="000000" w:themeColor="text1"/>
          <w:sz w:val="24"/>
          <w:u w:val="single"/>
          <w14:textFill>
            <w14:solidFill>
              <w14:schemeClr w14:val="tx1"/>
            </w14:solidFill>
          </w14:textFill>
        </w:rPr>
        <w:t xml:space="preserve">0.5 </w:t>
      </w:r>
      <w:r>
        <w:rPr>
          <w:rFonts w:hint="eastAsia" w:ascii="宋体" w:hAnsi="宋体" w:cs="宋体"/>
          <w:color w:val="000000" w:themeColor="text1"/>
          <w:sz w:val="24"/>
          <w14:textFill>
            <w14:solidFill>
              <w14:schemeClr w14:val="tx1"/>
            </w14:solidFill>
          </w14:textFill>
        </w:rPr>
        <w:t>%计算，最高限额为本合同总价的</w:t>
      </w:r>
      <w:r>
        <w:rPr>
          <w:rFonts w:hint="eastAsia" w:ascii="宋体" w:hAnsi="宋体" w:cs="宋体"/>
          <w:color w:val="000000" w:themeColor="text1"/>
          <w:sz w:val="24"/>
          <w:u w:val="single"/>
          <w14:textFill>
            <w14:solidFill>
              <w14:schemeClr w14:val="tx1"/>
            </w14:solidFill>
          </w14:textFill>
        </w:rPr>
        <w:t xml:space="preserve"> 5 </w:t>
      </w:r>
      <w:r>
        <w:rPr>
          <w:rFonts w:hint="eastAsia" w:ascii="宋体" w:hAnsi="宋体" w:cs="宋体"/>
          <w:color w:val="000000" w:themeColor="text1"/>
          <w:sz w:val="24"/>
          <w14:textFill>
            <w14:solidFill>
              <w14:schemeClr w14:val="tx1"/>
            </w14:solidFill>
          </w14:textFill>
        </w:rPr>
        <w:t>%；迟延履行的违约金计算数额达到前述最高限额之日起，甲方有权在要求乙方支付违约金的同时，书面通知乙方解除本合同，对此，乙方须退还甲方已付未使用的合同款项；</w:t>
      </w:r>
    </w:p>
    <w:p w14:paraId="4C499BFB">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1.7.2服务中涉及的货物，除不可抗力外，如果乙方没有按照本合同约定的期限、地点和方式交付货物，那么甲方可要求乙方支付违约金，违约金按每迟延交付货物一日的应交付而未交付货物价格的 </w:t>
      </w:r>
      <w:r>
        <w:rPr>
          <w:rFonts w:hint="eastAsia" w:ascii="宋体" w:hAnsi="宋体" w:cs="宋体"/>
          <w:color w:val="000000" w:themeColor="text1"/>
          <w:sz w:val="24"/>
          <w:u w:val="single"/>
          <w14:textFill>
            <w14:solidFill>
              <w14:schemeClr w14:val="tx1"/>
            </w14:solidFill>
          </w14:textFill>
        </w:rPr>
        <w:t xml:space="preserve"> 0.5</w:t>
      </w:r>
      <w:r>
        <w:rPr>
          <w:rFonts w:hint="eastAsia" w:ascii="宋体" w:hAnsi="宋体" w:cs="宋体"/>
          <w:color w:val="000000" w:themeColor="text1"/>
          <w:sz w:val="24"/>
          <w14:textFill>
            <w14:solidFill>
              <w14:schemeClr w14:val="tx1"/>
            </w14:solidFill>
          </w14:textFill>
        </w:rPr>
        <w:t xml:space="preserve"> %计算，最高限额为本合同总价的  </w:t>
      </w:r>
      <w:r>
        <w:rPr>
          <w:rFonts w:hint="eastAsia" w:ascii="宋体" w:hAnsi="宋体" w:cs="宋体"/>
          <w:color w:val="000000" w:themeColor="text1"/>
          <w:sz w:val="24"/>
          <w:u w:val="single"/>
          <w14:textFill>
            <w14:solidFill>
              <w14:schemeClr w14:val="tx1"/>
            </w14:solidFill>
          </w14:textFill>
        </w:rPr>
        <w:t xml:space="preserve">5  </w:t>
      </w:r>
      <w:r>
        <w:rPr>
          <w:rFonts w:hint="eastAsia" w:ascii="宋体" w:hAnsi="宋体" w:cs="宋体"/>
          <w:color w:val="000000" w:themeColor="text1"/>
          <w:sz w:val="24"/>
          <w14:textFill>
            <w14:solidFill>
              <w14:schemeClr w14:val="tx1"/>
            </w14:solidFill>
          </w14:textFill>
        </w:rPr>
        <w:t>%；迟延交付货物的违约金计算数额达到前述最高限额之日起，甲方有权在要求乙方支付违约金的同时，书面通知乙方解除本合同，对此，乙方须退还甲方已付未使用的合同款项；；</w:t>
      </w:r>
    </w:p>
    <w:p w14:paraId="3EF1C978">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1.7.3除不可抗力外，如果甲方没有按照本合同约定的付款方式付款，那么乙方可要求甲方支付违约金，违约金按每迟延付款一日的应付而未付款的</w:t>
      </w:r>
      <w:r>
        <w:rPr>
          <w:rFonts w:hint="eastAsia" w:ascii="宋体" w:hAnsi="宋体" w:cs="宋体"/>
          <w:color w:val="000000" w:themeColor="text1"/>
          <w:sz w:val="24"/>
          <w:u w:val="single"/>
          <w14:textFill>
            <w14:solidFill>
              <w14:schemeClr w14:val="tx1"/>
            </w14:solidFill>
          </w14:textFill>
        </w:rPr>
        <w:t xml:space="preserve">  0.5  </w:t>
      </w:r>
      <w:r>
        <w:rPr>
          <w:rFonts w:hint="eastAsia" w:ascii="宋体" w:hAnsi="宋体" w:cs="宋体"/>
          <w:color w:val="000000" w:themeColor="text1"/>
          <w:sz w:val="24"/>
          <w14:textFill>
            <w14:solidFill>
              <w14:schemeClr w14:val="tx1"/>
            </w14:solidFill>
          </w14:textFill>
        </w:rPr>
        <w:t>%计算，最高限额为本合同总价的</w:t>
      </w:r>
      <w:r>
        <w:rPr>
          <w:rFonts w:hint="eastAsia" w:ascii="宋体" w:hAnsi="宋体" w:cs="宋体"/>
          <w:color w:val="000000" w:themeColor="text1"/>
          <w:sz w:val="24"/>
          <w:u w:val="single"/>
          <w14:textFill>
            <w14:solidFill>
              <w14:schemeClr w14:val="tx1"/>
            </w14:solidFill>
          </w14:textFill>
        </w:rPr>
        <w:t xml:space="preserve">  5  </w:t>
      </w:r>
      <w:r>
        <w:rPr>
          <w:rFonts w:hint="eastAsia" w:ascii="宋体" w:hAnsi="宋体" w:cs="宋体"/>
          <w:color w:val="000000" w:themeColor="text1"/>
          <w:sz w:val="24"/>
          <w14:textFill>
            <w14:solidFill>
              <w14:schemeClr w14:val="tx1"/>
            </w14:solidFill>
          </w14:textFill>
        </w:rPr>
        <w:t>%；迟延付款的违约金计算数额达到前述最高限额之日起，乙方有权在要求甲方支付违约金的同时，书面通知甲方解除本合同，双方据实结算合同履行款项；</w:t>
      </w:r>
    </w:p>
    <w:p w14:paraId="5CCADFE7">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此等解除，违约方须承担合同价10%违约责任；若乙方违反本项约定，还须退还全部已收款。</w:t>
      </w:r>
    </w:p>
    <w:p w14:paraId="6DFC7C8E">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A43330C">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1.7.6如果出现政府采购监督管理部门在处理投诉事项期间，书面通知甲方暂停采购活动的情形，或者询问或质疑事项可能影响中标或者成交结果的，导致甲方中止履行合同的情形，均不视为甲方违约。</w:t>
      </w:r>
    </w:p>
    <w:p w14:paraId="4F0A16B8">
      <w:pPr>
        <w:spacing w:line="360" w:lineRule="auto"/>
        <w:ind w:left="120" w:right="-420" w:rightChars="-2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1.7.7违约责任</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另有约定的，从其约定。</w:t>
      </w:r>
    </w:p>
    <w:p w14:paraId="511675FF">
      <w:pPr>
        <w:pStyle w:val="82"/>
        <w:ind w:firstLine="480"/>
        <w:rPr>
          <w:rFonts w:hint="eastAsia" w:ascii="宋体" w:hAnsi="宋体" w:eastAsia="宋体"/>
          <w:color w:val="000000" w:themeColor="text1"/>
          <w14:textFill>
            <w14:solidFill>
              <w14:schemeClr w14:val="tx1"/>
            </w14:solidFill>
          </w14:textFill>
        </w:rPr>
      </w:pPr>
      <w:bookmarkStart w:id="432" w:name="_Hlk201073455"/>
      <w:r>
        <w:rPr>
          <w:rFonts w:hint="eastAsia" w:ascii="宋体" w:hAnsi="宋体" w:eastAsia="宋体" w:cs="宋体"/>
          <w:color w:val="000000" w:themeColor="text1"/>
          <w:sz w:val="24"/>
          <w14:textFill>
            <w14:solidFill>
              <w14:schemeClr w14:val="tx1"/>
            </w14:solidFill>
          </w14:textFill>
        </w:rPr>
        <w:t xml:space="preserve"> 1.7.8 乙方单方解除、终止本合同履行，或以其行为表示不再履行本合同；或乙方丧失其履行本合同所须具备的资质的，或乙方违反本合同第1.6.4、第1.10、第2.6.3约定的，甲方可解除本合同，乙方承担合同价15%违约责任，并退还全部已收款。</w:t>
      </w:r>
    </w:p>
    <w:bookmarkEnd w:id="431"/>
    <w:bookmarkEnd w:id="432"/>
    <w:p w14:paraId="65B999B7">
      <w:pPr>
        <w:spacing w:line="360" w:lineRule="auto"/>
        <w:ind w:left="420" w:firstLine="482" w:firstLineChars="200"/>
        <w:outlineLvl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1.8合同争议的解决</w:t>
      </w:r>
    </w:p>
    <w:p w14:paraId="1C4AF8C5">
      <w:pPr>
        <w:spacing w:line="360" w:lineRule="auto"/>
        <w:ind w:left="-61" w:leftChars="-29" w:right="-420" w:rightChars="-2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cs="宋体"/>
          <w:b/>
          <w:i/>
          <w:color w:val="000000" w:themeColor="text1"/>
          <w:sz w:val="24"/>
          <w:u w:val="single"/>
          <w14:textFill>
            <w14:solidFill>
              <w14:schemeClr w14:val="tx1"/>
            </w14:solidFill>
          </w14:textFill>
        </w:rPr>
        <w:t xml:space="preserve"> 2项约定</w:t>
      </w:r>
      <w:r>
        <w:rPr>
          <w:rFonts w:hint="eastAsia" w:ascii="宋体" w:hAnsi="宋体" w:cs="宋体"/>
          <w:color w:val="000000" w:themeColor="text1"/>
          <w:sz w:val="24"/>
          <w14:textFill>
            <w14:solidFill>
              <w14:schemeClr w14:val="tx1"/>
            </w14:solidFill>
          </w14:textFill>
        </w:rPr>
        <w:t>的方式解决：</w:t>
      </w:r>
    </w:p>
    <w:p w14:paraId="033657A4">
      <w:pPr>
        <w:spacing w:line="360" w:lineRule="auto"/>
        <w:ind w:left="-420" w:leftChars="-200" w:right="-420" w:rightChars="-2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1、将争议提交杭州仲裁委员会依申请仲裁时其现行有效的仲裁规则裁决；</w:t>
      </w:r>
    </w:p>
    <w:p w14:paraId="56CCD949">
      <w:pPr>
        <w:spacing w:line="360" w:lineRule="auto"/>
        <w:ind w:left="-420" w:leftChars="-200" w:right="-420" w:rightChars="-2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向甲方所在地人民法院起诉。</w:t>
      </w:r>
    </w:p>
    <w:p w14:paraId="0BB8B3E5">
      <w:pPr>
        <w:pStyle w:val="82"/>
        <w:ind w:firstLine="0" w:firstLineChars="0"/>
        <w:rPr>
          <w:rFonts w:hint="eastAsia" w:ascii="宋体" w:hAnsi="宋体" w:eastAsia="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3、败诉方须承担包括但不仅限于的诉讼费、律师费、保全费等全部维权费用。</w:t>
      </w:r>
    </w:p>
    <w:p w14:paraId="47DA11A9">
      <w:pPr>
        <w:spacing w:line="360" w:lineRule="auto"/>
        <w:ind w:left="420" w:firstLine="482" w:firstLineChars="200"/>
        <w:outlineLvl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1.9 合同生效</w:t>
      </w:r>
    </w:p>
    <w:p w14:paraId="13E46673">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本合同经甲方、乙方法定代表人或其委托人签字并加盖双方公章后生效。</w:t>
      </w:r>
    </w:p>
    <w:p w14:paraId="3C3B0C64">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本合同一式私肆份，甲乙双方各执贰份。</w:t>
      </w:r>
    </w:p>
    <w:p w14:paraId="40571E29">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与本合同有关标书及记录同本合同具有同等法律效果。</w:t>
      </w:r>
    </w:p>
    <w:p w14:paraId="692CEFD2">
      <w:pPr>
        <w:spacing w:line="360" w:lineRule="auto"/>
        <w:ind w:left="420" w:firstLine="482" w:firstLineChars="200"/>
        <w:outlineLvl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1.10 合同转让和分包</w:t>
      </w:r>
    </w:p>
    <w:p w14:paraId="7BF93ED3">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的权利义务依法不得转让，但经甲方书面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3EC284E">
      <w:pPr>
        <w:spacing w:line="360" w:lineRule="auto"/>
        <w:ind w:left="420" w:firstLine="482" w:firstLineChars="200"/>
        <w:outlineLvl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1.11 网络及安全责任条款</w:t>
      </w:r>
    </w:p>
    <w:p w14:paraId="35D2F15B">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据保护：项目实施过程中，乙方应遵守《中华人民共和国网络安全法》等法律法规，保护信息安全，要求签订保密协议，乙方应对涉及的工作秘密、敏感数据进行保护，未经甲方认可不得擅自将数据运用或流转其他单位。此外，乙方应当按照国家网络安全等级保护管理制度规定，在项目终验之前就本合同项下设计的数据信息完成等级保护测评。乙方如存在任何泄露甲方秘密、信息及存在任何不符合国家针对数据、信息保护要求的行为的，应当承担相应责任。乙方应按照《中华人民共和国网络安全法》《中华人民共和国数据安全法》《中华人民共和国个人信息保护法》的要求，履行网络和数据安全相关责任和义务，项目涉及人员需签订《保密承诺书》，对驻场服务人员进行背景审查。乙方应加强网络安全风险监测，制定应急预案，完善应急机制。确保第一时间检测发现，第一时间应急处置，第一时间向甲方报告。由于乙方原因，受到国家级、省级、市级安全问题通报或造成特别重大事故的，每次扣除合同款5万元、3万元、1万元，乙方不及时处置安全事件、隐患的,每次扣除合同款1万元。若乙方未根据整改报告按期整改的，每次扣除合同款1万元。以上扣除总额不超过合同的20%。</w:t>
      </w:r>
    </w:p>
    <w:p w14:paraId="788212A9">
      <w:pPr>
        <w:rPr>
          <w:rFonts w:hint="eastAsia" w:ascii="宋体" w:hAnsi="宋体"/>
          <w:color w:val="000000" w:themeColor="text1"/>
          <w14:textFill>
            <w14:solidFill>
              <w14:schemeClr w14:val="tx1"/>
            </w14:solidFill>
          </w14:textFill>
        </w:rPr>
      </w:pPr>
    </w:p>
    <w:p w14:paraId="3112DF19">
      <w:pPr>
        <w:autoSpaceDE w:val="0"/>
        <w:autoSpaceDN w:val="0"/>
        <w:spacing w:line="360" w:lineRule="auto"/>
        <w:ind w:left="120" w:firstLine="482" w:firstLineChars="200"/>
        <w:rPr>
          <w:rFonts w:hint="eastAsia" w:ascii="宋体" w:hAnsi="宋体" w:cs="宋体"/>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甲方</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b/>
          <w:color w:val="000000" w:themeColor="text1"/>
          <w:sz w:val="24"/>
          <w:lang w:val="zh-CN"/>
          <w14:textFill>
            <w14:solidFill>
              <w14:schemeClr w14:val="tx1"/>
            </w14:solidFill>
          </w14:textFill>
        </w:rPr>
        <w:t xml:space="preserve">      乙方</w:t>
      </w:r>
      <w:r>
        <w:rPr>
          <w:rFonts w:hint="eastAsia" w:ascii="宋体" w:hAnsi="宋体" w:cs="宋体"/>
          <w:color w:val="000000" w:themeColor="text1"/>
          <w:sz w:val="24"/>
          <w:lang w:val="zh-CN"/>
          <w14:textFill>
            <w14:solidFill>
              <w14:schemeClr w14:val="tx1"/>
            </w14:solidFill>
          </w14:textFill>
        </w:rPr>
        <w:t>：</w:t>
      </w:r>
    </w:p>
    <w:p w14:paraId="3C0585BE">
      <w:pPr>
        <w:autoSpaceDE w:val="0"/>
        <w:autoSpaceDN w:val="0"/>
        <w:spacing w:line="360" w:lineRule="auto"/>
        <w:ind w:left="120" w:firstLine="480" w:firstLineChars="20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统一社会信用代码：                        统一社会信用代码或身份证号码：</w:t>
      </w:r>
    </w:p>
    <w:p w14:paraId="3AE8A4B0">
      <w:pPr>
        <w:autoSpaceDE w:val="0"/>
        <w:autoSpaceDN w:val="0"/>
        <w:spacing w:line="360" w:lineRule="auto"/>
        <w:ind w:left="120" w:firstLine="480" w:firstLineChars="20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住所：                                   住所：</w:t>
      </w:r>
    </w:p>
    <w:p w14:paraId="0A02C58A">
      <w:pPr>
        <w:autoSpaceDE w:val="0"/>
        <w:autoSpaceDN w:val="0"/>
        <w:spacing w:line="360" w:lineRule="auto"/>
        <w:ind w:left="120" w:firstLine="480" w:firstLineChars="20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法定代表人或                             法定代表人或</w:t>
      </w:r>
    </w:p>
    <w:p w14:paraId="2760EB31">
      <w:pPr>
        <w:autoSpaceDE w:val="0"/>
        <w:autoSpaceDN w:val="0"/>
        <w:spacing w:line="360" w:lineRule="auto"/>
        <w:ind w:left="120" w:firstLine="480" w:firstLineChars="20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 xml:space="preserve">授权代表（签字）：                       授权代表（签字）: </w:t>
      </w:r>
    </w:p>
    <w:p w14:paraId="4C2B8926">
      <w:pPr>
        <w:autoSpaceDE w:val="0"/>
        <w:autoSpaceDN w:val="0"/>
        <w:spacing w:line="360" w:lineRule="auto"/>
        <w:ind w:left="120" w:firstLine="480" w:firstLineChars="20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联系人：                                 联系人：</w:t>
      </w:r>
    </w:p>
    <w:p w14:paraId="3D39422F">
      <w:pPr>
        <w:autoSpaceDE w:val="0"/>
        <w:autoSpaceDN w:val="0"/>
        <w:spacing w:line="360" w:lineRule="auto"/>
        <w:ind w:left="120" w:firstLine="480" w:firstLineChars="20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约定送达地址：                           约定送达地址：</w:t>
      </w:r>
    </w:p>
    <w:p w14:paraId="58ACD492">
      <w:pPr>
        <w:autoSpaceDE w:val="0"/>
        <w:autoSpaceDN w:val="0"/>
        <w:spacing w:line="360" w:lineRule="auto"/>
        <w:ind w:left="120" w:firstLine="480" w:firstLineChars="20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邮政编码：                               邮政编码：</w:t>
      </w:r>
    </w:p>
    <w:p w14:paraId="7963DA86">
      <w:pPr>
        <w:autoSpaceDE w:val="0"/>
        <w:autoSpaceDN w:val="0"/>
        <w:spacing w:line="360" w:lineRule="auto"/>
        <w:ind w:left="120" w:firstLine="480" w:firstLineChars="20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 xml:space="preserve">电话:                                    电话: </w:t>
      </w:r>
    </w:p>
    <w:p w14:paraId="06C33FB1">
      <w:pPr>
        <w:autoSpaceDE w:val="0"/>
        <w:autoSpaceDN w:val="0"/>
        <w:spacing w:line="360" w:lineRule="auto"/>
        <w:ind w:left="120" w:firstLine="480" w:firstLineChars="20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传真:                                    传真:</w:t>
      </w:r>
    </w:p>
    <w:p w14:paraId="0B6F2A44">
      <w:pPr>
        <w:autoSpaceDE w:val="0"/>
        <w:autoSpaceDN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电子邮箱：                               电子邮箱：</w:t>
      </w:r>
    </w:p>
    <w:p w14:paraId="42B538B0">
      <w:pPr>
        <w:autoSpaceDE w:val="0"/>
        <w:autoSpaceDN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开户银行：                               开户银行： </w:t>
      </w:r>
    </w:p>
    <w:p w14:paraId="3D4C8471">
      <w:pPr>
        <w:autoSpaceDE w:val="0"/>
        <w:autoSpaceDN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开户名称：                               开户名称： </w:t>
      </w:r>
    </w:p>
    <w:p w14:paraId="3B81A7FC">
      <w:pPr>
        <w:autoSpaceDE w:val="0"/>
        <w:autoSpaceDN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开户账号：</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开户账号：</w:t>
      </w:r>
    </w:p>
    <w:p w14:paraId="78164C94">
      <w:pPr>
        <w:spacing w:line="360" w:lineRule="auto"/>
        <w:rPr>
          <w:rFonts w:hint="eastAsia" w:ascii="宋体" w:hAnsi="宋体" w:cs="宋体"/>
          <w:color w:val="000000" w:themeColor="text1"/>
          <w:sz w:val="24"/>
          <w14:textFill>
            <w14:solidFill>
              <w14:schemeClr w14:val="tx1"/>
            </w14:solidFill>
          </w14:textFill>
        </w:rPr>
      </w:pPr>
    </w:p>
    <w:bookmarkEnd w:id="423"/>
    <w:bookmarkEnd w:id="424"/>
    <w:bookmarkEnd w:id="425"/>
    <w:bookmarkEnd w:id="426"/>
    <w:bookmarkEnd w:id="427"/>
    <w:bookmarkEnd w:id="428"/>
    <w:bookmarkEnd w:id="429"/>
    <w:bookmarkEnd w:id="430"/>
    <w:p w14:paraId="0A84C866">
      <w:pPr>
        <w:spacing w:line="360" w:lineRule="auto"/>
        <w:ind w:firstLine="562" w:firstLineChars="200"/>
        <w:jc w:val="center"/>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第二部分 合同一般条款</w:t>
      </w:r>
    </w:p>
    <w:p w14:paraId="2308A3A2">
      <w:pPr>
        <w:spacing w:line="360" w:lineRule="auto"/>
        <w:ind w:left="120" w:firstLine="482" w:firstLineChars="200"/>
        <w:rPr>
          <w:rFonts w:hint="eastAsia" w:ascii="宋体" w:hAnsi="宋体" w:cs="宋体"/>
          <w:b/>
          <w:color w:val="000000" w:themeColor="text1"/>
          <w:sz w:val="24"/>
          <w14:textFill>
            <w14:solidFill>
              <w14:schemeClr w14:val="tx1"/>
            </w14:solidFill>
          </w14:textFill>
        </w:rPr>
      </w:pPr>
      <w:bookmarkStart w:id="433" w:name="_Toc14021"/>
      <w:bookmarkStart w:id="434" w:name="_Toc19680"/>
      <w:bookmarkStart w:id="435" w:name="_Toc31297"/>
      <w:bookmarkStart w:id="436" w:name="_Toc25079"/>
      <w:bookmarkStart w:id="437" w:name="_Toc5228"/>
      <w:r>
        <w:rPr>
          <w:rFonts w:hint="eastAsia" w:ascii="宋体" w:hAnsi="宋体" w:cs="宋体"/>
          <w:b/>
          <w:color w:val="000000" w:themeColor="text1"/>
          <w:sz w:val="24"/>
          <w14:textFill>
            <w14:solidFill>
              <w14:schemeClr w14:val="tx1"/>
            </w14:solidFill>
          </w14:textFill>
        </w:rPr>
        <w:t>2.1 定义</w:t>
      </w:r>
      <w:bookmarkEnd w:id="433"/>
      <w:bookmarkEnd w:id="434"/>
      <w:bookmarkEnd w:id="435"/>
      <w:bookmarkEnd w:id="436"/>
      <w:bookmarkEnd w:id="437"/>
    </w:p>
    <w:p w14:paraId="1D7A48A2">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本合同中的下列词语应按以下内容进行解释：</w:t>
      </w:r>
    </w:p>
    <w:p w14:paraId="77412CF7">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 “合同”系指采购人和中标或成交供应商签订的载明双方当事人所达成的协议，并包括所有的附件、附录和构成合同的其他文件。</w:t>
      </w:r>
    </w:p>
    <w:p w14:paraId="1A66EFD3">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 “合同价”系指根据合同约定，中标或成交供应商在完全履行合同义务后，采购人应支付给中标或成交供应商的价格。</w:t>
      </w:r>
    </w:p>
    <w:p w14:paraId="7A0B414C">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2.1.3 “服务”系指中标或成交供应商根据合同约定应向采购人履行的除货物和工程以外的其他政府采购对象，包括采购人自身需要的服务和向社会公众提供的公共服务。</w:t>
      </w:r>
    </w:p>
    <w:p w14:paraId="1CD50409">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2.1.4 “甲方”系指与中标或成交供应商签署合同的采购人；采购人委托采购代理机构代表其与乙方签订合同的，采购人的授权委托书作为合同附件。</w:t>
      </w:r>
    </w:p>
    <w:p w14:paraId="330897D3">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BB54939">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2.1.6 “现场”系指合同约定提供服务的地点。</w:t>
      </w:r>
    </w:p>
    <w:p w14:paraId="24C70C2A">
      <w:pPr>
        <w:spacing w:line="360" w:lineRule="auto"/>
        <w:ind w:left="120" w:firstLine="482" w:firstLineChars="200"/>
        <w:rPr>
          <w:rFonts w:hint="eastAsia" w:ascii="宋体" w:hAnsi="宋体" w:cs="宋体"/>
          <w:b/>
          <w:color w:val="000000" w:themeColor="text1"/>
          <w:sz w:val="24"/>
          <w14:textFill>
            <w14:solidFill>
              <w14:schemeClr w14:val="tx1"/>
            </w14:solidFill>
          </w14:textFill>
        </w:rPr>
      </w:pPr>
      <w:bookmarkStart w:id="438" w:name="_Toc16752"/>
      <w:bookmarkStart w:id="439" w:name="_Toc3769"/>
      <w:bookmarkStart w:id="440" w:name="_Toc23289"/>
      <w:bookmarkStart w:id="441" w:name="_Toc19539"/>
      <w:bookmarkStart w:id="442" w:name="_Toc31402"/>
      <w:r>
        <w:rPr>
          <w:rFonts w:hint="eastAsia" w:ascii="宋体" w:hAnsi="宋体" w:cs="宋体"/>
          <w:b/>
          <w:color w:val="000000" w:themeColor="text1"/>
          <w:sz w:val="24"/>
          <w14:textFill>
            <w14:solidFill>
              <w14:schemeClr w14:val="tx1"/>
            </w14:solidFill>
          </w14:textFill>
        </w:rPr>
        <w:t>2.2 技术规范</w:t>
      </w:r>
      <w:bookmarkEnd w:id="438"/>
      <w:bookmarkEnd w:id="439"/>
      <w:bookmarkEnd w:id="440"/>
      <w:bookmarkEnd w:id="441"/>
      <w:bookmarkEnd w:id="442"/>
    </w:p>
    <w:p w14:paraId="032A75DD">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EF84128">
      <w:pPr>
        <w:spacing w:line="360" w:lineRule="auto"/>
        <w:ind w:left="120" w:firstLine="482" w:firstLineChars="200"/>
        <w:rPr>
          <w:rFonts w:hint="eastAsia" w:ascii="宋体" w:hAnsi="宋体" w:cs="宋体"/>
          <w:b/>
          <w:color w:val="000000" w:themeColor="text1"/>
          <w:sz w:val="24"/>
          <w14:textFill>
            <w14:solidFill>
              <w14:schemeClr w14:val="tx1"/>
            </w14:solidFill>
          </w14:textFill>
        </w:rPr>
      </w:pPr>
      <w:bookmarkStart w:id="443" w:name="_Toc12412"/>
      <w:bookmarkStart w:id="444" w:name="_Toc4133"/>
      <w:bookmarkStart w:id="445" w:name="_Toc27945"/>
      <w:bookmarkStart w:id="446" w:name="_Toc13673"/>
      <w:bookmarkStart w:id="447" w:name="_Toc9161"/>
      <w:r>
        <w:rPr>
          <w:rFonts w:hint="eastAsia" w:ascii="宋体" w:hAnsi="宋体" w:cs="宋体"/>
          <w:b/>
          <w:color w:val="000000" w:themeColor="text1"/>
          <w:sz w:val="24"/>
          <w14:textFill>
            <w14:solidFill>
              <w14:schemeClr w14:val="tx1"/>
            </w14:solidFill>
          </w14:textFill>
        </w:rPr>
        <w:t>2.3 知识产权</w:t>
      </w:r>
      <w:bookmarkEnd w:id="443"/>
      <w:bookmarkEnd w:id="444"/>
      <w:bookmarkEnd w:id="445"/>
      <w:bookmarkEnd w:id="446"/>
      <w:bookmarkEnd w:id="447"/>
    </w:p>
    <w:p w14:paraId="64E852E7">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2.3.1 </w:t>
      </w:r>
      <w:bookmarkStart w:id="448" w:name="_Hlk133442661"/>
      <w:r>
        <w:rPr>
          <w:rFonts w:hint="eastAsia" w:ascii="宋体" w:hAnsi="宋体" w:cs="宋体"/>
          <w:color w:val="000000" w:themeColor="text1"/>
          <w:sz w:val="24"/>
          <w14:textFill>
            <w14:solidFill>
              <w14:schemeClr w14:val="tx1"/>
            </w14:solidFill>
          </w14:textFill>
        </w:rPr>
        <w:t>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bookmarkEnd w:id="448"/>
    </w:p>
    <w:p w14:paraId="3FC161AD">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 合同涉及技术成果的归属和收益的分成办法的，详见</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14:paraId="78CD0A0D">
      <w:pPr>
        <w:spacing w:line="360" w:lineRule="auto"/>
        <w:ind w:left="120" w:firstLine="482"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2.4 履约检查和问题反馈</w:t>
      </w:r>
    </w:p>
    <w:p w14:paraId="6D079D9D">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58368AD7">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2.4.2 合同履行期间，甲方有权将履行过程中出现的问题反馈给乙方，双方当事人应以书面形式约定需要完善和改进的内容。</w:t>
      </w:r>
    </w:p>
    <w:p w14:paraId="3F794F38">
      <w:pPr>
        <w:spacing w:line="360" w:lineRule="auto"/>
        <w:ind w:left="120" w:firstLine="482" w:firstLineChars="200"/>
        <w:rPr>
          <w:rFonts w:hint="eastAsia" w:ascii="宋体" w:hAnsi="宋体" w:cs="宋体"/>
          <w:b/>
          <w:color w:val="000000" w:themeColor="text1"/>
          <w:sz w:val="24"/>
          <w14:textFill>
            <w14:solidFill>
              <w14:schemeClr w14:val="tx1"/>
            </w14:solidFill>
          </w14:textFill>
        </w:rPr>
      </w:pPr>
      <w:bookmarkStart w:id="449" w:name="_Toc15447"/>
      <w:bookmarkStart w:id="450" w:name="_Toc32670"/>
      <w:bookmarkStart w:id="451" w:name="_Toc26555"/>
      <w:bookmarkStart w:id="452" w:name="_Toc22011"/>
      <w:bookmarkStart w:id="453" w:name="_Toc31233"/>
      <w:r>
        <w:rPr>
          <w:rFonts w:hint="eastAsia" w:ascii="宋体" w:hAnsi="宋体" w:cs="宋体"/>
          <w:b/>
          <w:color w:val="000000" w:themeColor="text1"/>
          <w:sz w:val="24"/>
          <w14:textFill>
            <w14:solidFill>
              <w14:schemeClr w14:val="tx1"/>
            </w14:solidFill>
          </w14:textFill>
        </w:rPr>
        <w:t>2.5 结算方式和付款条件</w:t>
      </w:r>
      <w:bookmarkEnd w:id="449"/>
      <w:bookmarkEnd w:id="450"/>
      <w:bookmarkEnd w:id="451"/>
      <w:bookmarkEnd w:id="452"/>
      <w:bookmarkEnd w:id="453"/>
    </w:p>
    <w:p w14:paraId="2BE0ED83">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详见</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14:paraId="6F049015">
      <w:pPr>
        <w:spacing w:line="360" w:lineRule="auto"/>
        <w:ind w:left="120" w:firstLine="482" w:firstLineChars="200"/>
        <w:rPr>
          <w:rFonts w:hint="eastAsia" w:ascii="宋体" w:hAnsi="宋体" w:cs="宋体"/>
          <w:b/>
          <w:color w:val="000000" w:themeColor="text1"/>
          <w:sz w:val="24"/>
          <w14:textFill>
            <w14:solidFill>
              <w14:schemeClr w14:val="tx1"/>
            </w14:solidFill>
          </w14:textFill>
        </w:rPr>
      </w:pPr>
      <w:bookmarkStart w:id="454" w:name="_Toc13154"/>
      <w:bookmarkStart w:id="455" w:name="_Toc16163"/>
      <w:bookmarkStart w:id="456" w:name="_Toc13467"/>
      <w:bookmarkStart w:id="457" w:name="_Toc30507"/>
      <w:bookmarkStart w:id="458" w:name="_Toc18990"/>
      <w:r>
        <w:rPr>
          <w:rFonts w:hint="eastAsia" w:ascii="宋体" w:hAnsi="宋体" w:cs="宋体"/>
          <w:b/>
          <w:color w:val="000000" w:themeColor="text1"/>
          <w:sz w:val="24"/>
          <w14:textFill>
            <w14:solidFill>
              <w14:schemeClr w14:val="tx1"/>
            </w14:solidFill>
          </w14:textFill>
        </w:rPr>
        <w:t>2.6 技术资料和保密义务</w:t>
      </w:r>
      <w:bookmarkEnd w:id="454"/>
      <w:bookmarkEnd w:id="455"/>
      <w:bookmarkEnd w:id="456"/>
      <w:bookmarkEnd w:id="457"/>
      <w:bookmarkEnd w:id="458"/>
    </w:p>
    <w:p w14:paraId="1D185923">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2.6.1 乙方有权依据合同约定和项目需要，向甲方了解有关情况，调阅有关资料等，甲方应予积极配合；</w:t>
      </w:r>
    </w:p>
    <w:p w14:paraId="4A204F95">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2.6.2 乙方有义务妥善保管和保护由甲方提供的前款信息和资料等；</w:t>
      </w:r>
    </w:p>
    <w:p w14:paraId="5499E5FD">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此等保密义务不因本合同解除、终止而失效。</w:t>
      </w:r>
    </w:p>
    <w:p w14:paraId="2F18F31A">
      <w:pPr>
        <w:spacing w:line="360" w:lineRule="auto"/>
        <w:ind w:left="120" w:firstLine="482" w:firstLineChars="200"/>
        <w:rPr>
          <w:rFonts w:hint="eastAsia" w:ascii="宋体" w:hAnsi="宋体" w:cs="宋体"/>
          <w:b/>
          <w:color w:val="000000" w:themeColor="text1"/>
          <w:sz w:val="24"/>
          <w14:textFill>
            <w14:solidFill>
              <w14:schemeClr w14:val="tx1"/>
            </w14:solidFill>
          </w14:textFill>
        </w:rPr>
      </w:pPr>
      <w:bookmarkStart w:id="459" w:name="_Toc19069"/>
      <w:r>
        <w:rPr>
          <w:rFonts w:hint="eastAsia" w:ascii="宋体" w:hAnsi="宋体" w:cs="宋体"/>
          <w:b/>
          <w:color w:val="000000" w:themeColor="text1"/>
          <w:sz w:val="24"/>
          <w14:textFill>
            <w14:solidFill>
              <w14:schemeClr w14:val="tx1"/>
            </w14:solidFill>
          </w14:textFill>
        </w:rPr>
        <w:t>2.7 质量保证</w:t>
      </w:r>
      <w:bookmarkEnd w:id="459"/>
    </w:p>
    <w:p w14:paraId="6B32FE44">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2.7.1 乙方应建立和完善履行合同的内部质量保证体系，并提供相关内部规章制度给甲方，以便甲方进行监督检查；</w:t>
      </w:r>
    </w:p>
    <w:p w14:paraId="1E515E08">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2.7.2 乙方应保证履行合同的人员数量和素质、软件和硬件设备的配置、场地、环境和设施等满足全面履行合同的要求，并应接受甲方的监督检查。</w:t>
      </w:r>
    </w:p>
    <w:p w14:paraId="32911EF7">
      <w:pPr>
        <w:spacing w:line="360" w:lineRule="auto"/>
        <w:ind w:left="120" w:firstLine="482" w:firstLineChars="200"/>
        <w:rPr>
          <w:rFonts w:hint="eastAsia" w:ascii="宋体" w:hAnsi="宋体" w:cs="宋体"/>
          <w:b/>
          <w:color w:val="000000" w:themeColor="text1"/>
          <w:sz w:val="24"/>
          <w14:textFill>
            <w14:solidFill>
              <w14:schemeClr w14:val="tx1"/>
            </w14:solidFill>
          </w14:textFill>
        </w:rPr>
      </w:pPr>
      <w:bookmarkStart w:id="460" w:name="_Toc22267"/>
      <w:r>
        <w:rPr>
          <w:rFonts w:hint="eastAsia" w:ascii="宋体" w:hAnsi="宋体" w:cs="宋体"/>
          <w:b/>
          <w:color w:val="000000" w:themeColor="text1"/>
          <w:sz w:val="24"/>
          <w14:textFill>
            <w14:solidFill>
              <w14:schemeClr w14:val="tx1"/>
            </w14:solidFill>
          </w14:textFill>
        </w:rPr>
        <w:t>2.8 延迟履行</w:t>
      </w:r>
      <w:bookmarkEnd w:id="460"/>
    </w:p>
    <w:p w14:paraId="045DBD34">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1B3034B5">
      <w:pPr>
        <w:spacing w:line="360" w:lineRule="auto"/>
        <w:ind w:left="120" w:firstLine="482" w:firstLineChars="200"/>
        <w:rPr>
          <w:rFonts w:hint="eastAsia" w:ascii="宋体" w:hAnsi="宋体" w:cs="宋体"/>
          <w:b/>
          <w:color w:val="000000" w:themeColor="text1"/>
          <w:sz w:val="24"/>
          <w14:textFill>
            <w14:solidFill>
              <w14:schemeClr w14:val="tx1"/>
            </w14:solidFill>
          </w14:textFill>
        </w:rPr>
      </w:pPr>
      <w:bookmarkStart w:id="461" w:name="_Toc10611"/>
      <w:r>
        <w:rPr>
          <w:rFonts w:hint="eastAsia" w:ascii="宋体" w:hAnsi="宋体" w:cs="宋体"/>
          <w:b/>
          <w:color w:val="000000" w:themeColor="text1"/>
          <w:sz w:val="24"/>
          <w14:textFill>
            <w14:solidFill>
              <w14:schemeClr w14:val="tx1"/>
            </w14:solidFill>
          </w14:textFill>
        </w:rPr>
        <w:t>2.9 合同变更</w:t>
      </w:r>
      <w:bookmarkEnd w:id="461"/>
    </w:p>
    <w:p w14:paraId="2362BBCD">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14:paraId="1DCB7C38">
      <w:pPr>
        <w:spacing w:line="360" w:lineRule="auto"/>
        <w:ind w:left="120" w:firstLine="482" w:firstLineChars="200"/>
        <w:rPr>
          <w:rFonts w:hint="eastAsia" w:ascii="宋体" w:hAnsi="宋体" w:cs="宋体"/>
          <w:b/>
          <w:color w:val="000000" w:themeColor="text1"/>
          <w:sz w:val="24"/>
          <w14:textFill>
            <w14:solidFill>
              <w14:schemeClr w14:val="tx1"/>
            </w14:solidFill>
          </w14:textFill>
        </w:rPr>
      </w:pPr>
      <w:bookmarkStart w:id="462" w:name="_Toc42"/>
      <w:bookmarkStart w:id="463" w:name="_Toc23368"/>
      <w:bookmarkStart w:id="464" w:name="_Toc26689"/>
      <w:bookmarkStart w:id="465" w:name="_Toc10663"/>
      <w:bookmarkStart w:id="466" w:name="_Toc21830"/>
      <w:r>
        <w:rPr>
          <w:rFonts w:hint="eastAsia" w:ascii="宋体" w:hAnsi="宋体" w:cs="宋体"/>
          <w:b/>
          <w:color w:val="000000" w:themeColor="text1"/>
          <w:sz w:val="24"/>
          <w14:textFill>
            <w14:solidFill>
              <w14:schemeClr w14:val="tx1"/>
            </w14:solidFill>
          </w14:textFill>
        </w:rPr>
        <w:t>2.10 合同转让和分包</w:t>
      </w:r>
      <w:bookmarkEnd w:id="462"/>
      <w:bookmarkEnd w:id="463"/>
      <w:bookmarkEnd w:id="464"/>
      <w:bookmarkEnd w:id="465"/>
      <w:bookmarkEnd w:id="466"/>
    </w:p>
    <w:p w14:paraId="22693488">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的权利义务依法不得转让，但经甲方书面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911041F">
      <w:pPr>
        <w:spacing w:line="360" w:lineRule="auto"/>
        <w:ind w:left="120" w:firstLine="482" w:firstLineChars="200"/>
        <w:rPr>
          <w:rFonts w:hint="eastAsia" w:ascii="宋体" w:hAnsi="宋体" w:cs="宋体"/>
          <w:b/>
          <w:color w:val="000000" w:themeColor="text1"/>
          <w:sz w:val="24"/>
          <w14:textFill>
            <w14:solidFill>
              <w14:schemeClr w14:val="tx1"/>
            </w14:solidFill>
          </w14:textFill>
        </w:rPr>
      </w:pPr>
      <w:bookmarkStart w:id="467" w:name="_Toc14371"/>
      <w:bookmarkStart w:id="468" w:name="_Toc32494"/>
      <w:bookmarkStart w:id="469" w:name="_Toc25571"/>
      <w:bookmarkStart w:id="470" w:name="_Toc26633"/>
      <w:bookmarkStart w:id="471" w:name="_Toc4720"/>
      <w:r>
        <w:rPr>
          <w:rFonts w:hint="eastAsia" w:ascii="宋体" w:hAnsi="宋体" w:cs="宋体"/>
          <w:b/>
          <w:color w:val="000000" w:themeColor="text1"/>
          <w:sz w:val="24"/>
          <w14:textFill>
            <w14:solidFill>
              <w14:schemeClr w14:val="tx1"/>
            </w14:solidFill>
          </w14:textFill>
        </w:rPr>
        <w:t>2.11 不可抗力</w:t>
      </w:r>
      <w:bookmarkEnd w:id="467"/>
      <w:bookmarkEnd w:id="468"/>
      <w:bookmarkEnd w:id="469"/>
      <w:bookmarkEnd w:id="470"/>
      <w:bookmarkEnd w:id="471"/>
    </w:p>
    <w:p w14:paraId="5CD7F460">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2.11.1如果任何一方遭遇法律规定的不可抗力，致使合同履行受阻时，履行合同的期限应予延长，延长的期限应相当于不可抗力所影响的时间；</w:t>
      </w:r>
    </w:p>
    <w:p w14:paraId="63C6DBEB">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2.11.2 因不可抗力致使不能实现合同目的的，当事人可以解除合同；</w:t>
      </w:r>
    </w:p>
    <w:p w14:paraId="5EEFA66D">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2.11.3 因不可抗力致使合同有变更必要的，双方当事人应在</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约定时间内以书面形式变更合同；</w:t>
      </w:r>
    </w:p>
    <w:p w14:paraId="2AD09E8E">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2.11.4受不可抗力影响的一方在不可抗力发生后，应在</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约定时间内以书面形式通知对方当事人，并在</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约定时间内，将有关部门出具的证明文件送达对方当事人。</w:t>
      </w:r>
    </w:p>
    <w:p w14:paraId="205F8A33">
      <w:pPr>
        <w:spacing w:line="360" w:lineRule="auto"/>
        <w:ind w:left="120" w:firstLine="482" w:firstLineChars="200"/>
        <w:rPr>
          <w:rFonts w:hint="eastAsia" w:ascii="宋体" w:hAnsi="宋体" w:cs="宋体"/>
          <w:b/>
          <w:color w:val="000000" w:themeColor="text1"/>
          <w:sz w:val="24"/>
          <w14:textFill>
            <w14:solidFill>
              <w14:schemeClr w14:val="tx1"/>
            </w14:solidFill>
          </w14:textFill>
        </w:rPr>
      </w:pPr>
      <w:bookmarkStart w:id="472" w:name="_Toc14115"/>
      <w:bookmarkStart w:id="473" w:name="_Toc3638"/>
      <w:bookmarkStart w:id="474" w:name="_Toc23854"/>
      <w:bookmarkStart w:id="475" w:name="_Toc24465"/>
      <w:bookmarkStart w:id="476" w:name="_Toc25783"/>
      <w:r>
        <w:rPr>
          <w:rFonts w:hint="eastAsia" w:ascii="宋体" w:hAnsi="宋体" w:cs="宋体"/>
          <w:b/>
          <w:color w:val="000000" w:themeColor="text1"/>
          <w:sz w:val="24"/>
          <w14:textFill>
            <w14:solidFill>
              <w14:schemeClr w14:val="tx1"/>
            </w14:solidFill>
          </w14:textFill>
        </w:rPr>
        <w:t>2.12 税费</w:t>
      </w:r>
      <w:bookmarkEnd w:id="472"/>
      <w:bookmarkEnd w:id="473"/>
      <w:bookmarkEnd w:id="474"/>
      <w:bookmarkEnd w:id="475"/>
      <w:bookmarkEnd w:id="476"/>
    </w:p>
    <w:p w14:paraId="0C458D7D">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与合同有关的一切税费，均按照中华人民共和国法律的相关规定缴纳。</w:t>
      </w:r>
    </w:p>
    <w:p w14:paraId="6351A869">
      <w:pPr>
        <w:spacing w:line="360" w:lineRule="auto"/>
        <w:ind w:left="120" w:firstLine="482" w:firstLineChars="200"/>
        <w:rPr>
          <w:rFonts w:hint="eastAsia" w:ascii="宋体" w:hAnsi="宋体" w:cs="宋体"/>
          <w:b/>
          <w:color w:val="000000" w:themeColor="text1"/>
          <w:sz w:val="24"/>
          <w14:textFill>
            <w14:solidFill>
              <w14:schemeClr w14:val="tx1"/>
            </w14:solidFill>
          </w14:textFill>
        </w:rPr>
      </w:pPr>
      <w:bookmarkStart w:id="477" w:name="_Toc7315"/>
      <w:bookmarkStart w:id="478" w:name="_Toc25525"/>
      <w:bookmarkStart w:id="479" w:name="_Toc26883"/>
      <w:bookmarkStart w:id="480" w:name="_Toc14814"/>
      <w:bookmarkStart w:id="481" w:name="_Toc30105"/>
      <w:r>
        <w:rPr>
          <w:rFonts w:hint="eastAsia" w:ascii="宋体" w:hAnsi="宋体" w:cs="宋体"/>
          <w:b/>
          <w:color w:val="000000" w:themeColor="text1"/>
          <w:sz w:val="24"/>
          <w14:textFill>
            <w14:solidFill>
              <w14:schemeClr w14:val="tx1"/>
            </w14:solidFill>
          </w14:textFill>
        </w:rPr>
        <w:t>2.13 乙方破产</w:t>
      </w:r>
      <w:bookmarkEnd w:id="477"/>
      <w:bookmarkEnd w:id="478"/>
      <w:bookmarkEnd w:id="479"/>
      <w:bookmarkEnd w:id="480"/>
      <w:bookmarkEnd w:id="481"/>
    </w:p>
    <w:p w14:paraId="4EB6A03B">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F2DDA57">
      <w:pPr>
        <w:spacing w:line="360" w:lineRule="auto"/>
        <w:ind w:left="120" w:firstLine="482" w:firstLineChars="200"/>
        <w:rPr>
          <w:rFonts w:hint="eastAsia" w:ascii="宋体" w:hAnsi="宋体" w:cs="宋体"/>
          <w:b/>
          <w:color w:val="000000" w:themeColor="text1"/>
          <w:sz w:val="24"/>
          <w14:textFill>
            <w14:solidFill>
              <w14:schemeClr w14:val="tx1"/>
            </w14:solidFill>
          </w14:textFill>
        </w:rPr>
      </w:pPr>
      <w:bookmarkStart w:id="482" w:name="_Toc2016"/>
      <w:bookmarkStart w:id="483" w:name="_Toc1123"/>
      <w:bookmarkStart w:id="484" w:name="_Toc23323"/>
      <w:r>
        <w:rPr>
          <w:rFonts w:hint="eastAsia" w:ascii="宋体" w:hAnsi="宋体" w:cs="宋体"/>
          <w:b/>
          <w:color w:val="000000" w:themeColor="text1"/>
          <w:sz w:val="24"/>
          <w14:textFill>
            <w14:solidFill>
              <w14:schemeClr w14:val="tx1"/>
            </w14:solidFill>
          </w14:textFill>
        </w:rPr>
        <w:t>2.14 合同中止、终止</w:t>
      </w:r>
      <w:bookmarkEnd w:id="482"/>
      <w:bookmarkEnd w:id="483"/>
      <w:bookmarkEnd w:id="484"/>
    </w:p>
    <w:p w14:paraId="2D1E0C74">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2.14.1 双方当事人不得擅自中止或者终止合同；</w:t>
      </w:r>
    </w:p>
    <w:p w14:paraId="74D0979A">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14:paraId="0154EA82">
      <w:pPr>
        <w:spacing w:line="360" w:lineRule="auto"/>
        <w:ind w:left="120" w:firstLine="482" w:firstLineChars="200"/>
        <w:rPr>
          <w:rFonts w:hint="eastAsia" w:ascii="宋体" w:hAnsi="宋体" w:cs="宋体"/>
          <w:b/>
          <w:color w:val="000000" w:themeColor="text1"/>
          <w:sz w:val="24"/>
          <w14:textFill>
            <w14:solidFill>
              <w14:schemeClr w14:val="tx1"/>
            </w14:solidFill>
          </w14:textFill>
        </w:rPr>
      </w:pPr>
      <w:bookmarkStart w:id="485" w:name="_Toc17363"/>
      <w:bookmarkStart w:id="486" w:name="_Toc14525"/>
      <w:bookmarkStart w:id="487" w:name="_Toc1969"/>
      <w:r>
        <w:rPr>
          <w:rFonts w:hint="eastAsia" w:ascii="宋体" w:hAnsi="宋体" w:cs="宋体"/>
          <w:b/>
          <w:color w:val="000000" w:themeColor="text1"/>
          <w:sz w:val="24"/>
          <w14:textFill>
            <w14:solidFill>
              <w14:schemeClr w14:val="tx1"/>
            </w14:solidFill>
          </w14:textFill>
        </w:rPr>
        <w:t>2.15 检验和验收</w:t>
      </w:r>
      <w:bookmarkEnd w:id="485"/>
      <w:bookmarkEnd w:id="486"/>
      <w:bookmarkEnd w:id="487"/>
    </w:p>
    <w:p w14:paraId="31B51E92">
      <w:pPr>
        <w:tabs>
          <w:tab w:val="left" w:pos="360"/>
          <w:tab w:val="left" w:pos="540"/>
          <w:tab w:val="left" w:pos="1080"/>
        </w:tabs>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2.15.1 乙方按照</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的约定，定期提交服务报告，甲方按照</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的约定进行定期验收；</w:t>
      </w:r>
    </w:p>
    <w:p w14:paraId="0C629A5D">
      <w:pPr>
        <w:tabs>
          <w:tab w:val="left" w:pos="360"/>
          <w:tab w:val="left" w:pos="540"/>
          <w:tab w:val="left" w:pos="1080"/>
        </w:tabs>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DC8A02A">
      <w:pPr>
        <w:tabs>
          <w:tab w:val="left" w:pos="360"/>
          <w:tab w:val="left" w:pos="540"/>
          <w:tab w:val="left" w:pos="1080"/>
        </w:tabs>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2.15.3 检验和验收标准、程序等具体内容以及前述验收书的效力详见</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i/>
          <w:color w:val="000000" w:themeColor="text1"/>
          <w:sz w:val="24"/>
          <w14:textFill>
            <w14:solidFill>
              <w14:schemeClr w14:val="tx1"/>
            </w14:solidFill>
          </w14:textFill>
        </w:rPr>
        <w:t>。</w:t>
      </w:r>
    </w:p>
    <w:p w14:paraId="54B53A32">
      <w:pPr>
        <w:spacing w:line="360" w:lineRule="auto"/>
        <w:ind w:left="120" w:firstLine="482" w:firstLineChars="200"/>
        <w:rPr>
          <w:rFonts w:hint="eastAsia" w:ascii="宋体" w:hAnsi="宋体" w:cs="宋体"/>
          <w:b/>
          <w:color w:val="000000" w:themeColor="text1"/>
          <w:sz w:val="24"/>
          <w14:textFill>
            <w14:solidFill>
              <w14:schemeClr w14:val="tx1"/>
            </w14:solidFill>
          </w14:textFill>
        </w:rPr>
      </w:pPr>
      <w:bookmarkStart w:id="488" w:name="_Toc12666"/>
      <w:bookmarkStart w:id="489" w:name="_Toc2308"/>
      <w:bookmarkStart w:id="490" w:name="_Toc25198"/>
      <w:bookmarkStart w:id="491" w:name="_Toc31892"/>
      <w:bookmarkStart w:id="492" w:name="_Toc9808"/>
      <w:r>
        <w:rPr>
          <w:rFonts w:hint="eastAsia" w:ascii="宋体" w:hAnsi="宋体" w:cs="宋体"/>
          <w:b/>
          <w:color w:val="000000" w:themeColor="text1"/>
          <w:sz w:val="24"/>
          <w14:textFill>
            <w14:solidFill>
              <w14:schemeClr w14:val="tx1"/>
            </w14:solidFill>
          </w14:textFill>
        </w:rPr>
        <w:t>2.16 通知和送达</w:t>
      </w:r>
      <w:bookmarkEnd w:id="488"/>
      <w:bookmarkEnd w:id="489"/>
      <w:bookmarkEnd w:id="490"/>
      <w:bookmarkEnd w:id="491"/>
      <w:bookmarkEnd w:id="492"/>
    </w:p>
    <w:p w14:paraId="47866488">
      <w:pPr>
        <w:spacing w:line="360" w:lineRule="auto"/>
        <w:ind w:left="120" w:firstLine="480" w:firstLineChars="200"/>
        <w:rPr>
          <w:rFonts w:hint="eastAsia" w:ascii="宋体" w:hAnsi="宋体" w:cs="宋体"/>
          <w:color w:val="000000" w:themeColor="text1"/>
          <w:sz w:val="24"/>
          <w14:textFill>
            <w14:solidFill>
              <w14:schemeClr w14:val="tx1"/>
            </w14:solidFill>
          </w14:textFill>
        </w:rPr>
      </w:pPr>
      <w:bookmarkStart w:id="493" w:name="_Toc27674"/>
      <w:bookmarkStart w:id="494" w:name="_Toc18401"/>
      <w:r>
        <w:rPr>
          <w:rFonts w:hint="eastAsia" w:ascii="宋体" w:hAnsi="宋体" w:cs="宋体"/>
          <w:color w:val="000000" w:themeColor="text1"/>
          <w:sz w:val="24"/>
          <w14:textFill>
            <w14:solidFill>
              <w14:schemeClr w14:val="tx1"/>
            </w14:solidFill>
          </w14:textFill>
        </w:rPr>
        <w:t xml:space="preserve">2.16.1任何一方因履行合同而以合同第一部分尾部所列明的传真或电子邮件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发出的所有通知、文件、材料，均视为已向对方当事人送达；任何一方变更上述送达方式或者地址的，应于</w:t>
      </w:r>
      <w:r>
        <w:rPr>
          <w:rFonts w:hint="eastAsia" w:ascii="宋体" w:hAnsi="宋体" w:cs="宋体"/>
          <w:color w:val="000000" w:themeColor="text1"/>
          <w:sz w:val="24"/>
          <w:u w:val="single"/>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个工作日内书面通知对方当事人，在对方当事人收到有关变更通知之前，变更前的约定送达方式或者地址仍视为有效。</w:t>
      </w:r>
    </w:p>
    <w:p w14:paraId="09CBA37B">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3"/>
      <w:bookmarkEnd w:id="494"/>
    </w:p>
    <w:p w14:paraId="644B52A4">
      <w:pPr>
        <w:spacing w:line="360" w:lineRule="auto"/>
        <w:ind w:left="120" w:firstLine="482" w:firstLineChars="200"/>
        <w:rPr>
          <w:rFonts w:hint="eastAsia" w:ascii="宋体" w:hAnsi="宋体" w:cs="宋体"/>
          <w:b/>
          <w:color w:val="000000" w:themeColor="text1"/>
          <w:sz w:val="24"/>
          <w14:textFill>
            <w14:solidFill>
              <w14:schemeClr w14:val="tx1"/>
            </w14:solidFill>
          </w14:textFill>
        </w:rPr>
      </w:pPr>
      <w:bookmarkStart w:id="495" w:name="_Toc28906"/>
      <w:bookmarkStart w:id="496" w:name="_Toc27644"/>
      <w:bookmarkStart w:id="497" w:name="_Toc12254"/>
      <w:bookmarkStart w:id="498" w:name="_Toc20808"/>
      <w:bookmarkStart w:id="499" w:name="_Toc5063"/>
      <w:r>
        <w:rPr>
          <w:rFonts w:hint="eastAsia" w:ascii="宋体" w:hAnsi="宋体" w:cs="宋体"/>
          <w:b/>
          <w:color w:val="000000" w:themeColor="text1"/>
          <w:sz w:val="24"/>
          <w14:textFill>
            <w14:solidFill>
              <w14:schemeClr w14:val="tx1"/>
            </w14:solidFill>
          </w14:textFill>
        </w:rPr>
        <w:t>2.17 合同使用的文字和适用的法律</w:t>
      </w:r>
      <w:bookmarkEnd w:id="495"/>
      <w:bookmarkEnd w:id="496"/>
      <w:bookmarkEnd w:id="497"/>
      <w:bookmarkEnd w:id="498"/>
      <w:bookmarkEnd w:id="499"/>
    </w:p>
    <w:p w14:paraId="38AE36D2">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2.17.1 合同使用汉语书写、变更和解释；</w:t>
      </w:r>
    </w:p>
    <w:p w14:paraId="0E79D695">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2.17.2 合同适用中华人民共和国法律。</w:t>
      </w:r>
    </w:p>
    <w:p w14:paraId="7329BFC2">
      <w:pPr>
        <w:spacing w:line="360" w:lineRule="auto"/>
        <w:ind w:left="120" w:firstLine="482" w:firstLineChars="200"/>
        <w:rPr>
          <w:rFonts w:hint="eastAsia" w:ascii="宋体" w:hAnsi="宋体" w:cs="宋体"/>
          <w:b/>
          <w:color w:val="000000" w:themeColor="text1"/>
          <w:sz w:val="24"/>
          <w14:textFill>
            <w14:solidFill>
              <w14:schemeClr w14:val="tx1"/>
            </w14:solidFill>
          </w14:textFill>
        </w:rPr>
      </w:pPr>
      <w:bookmarkStart w:id="500" w:name="_Toc18540"/>
      <w:bookmarkStart w:id="501" w:name="_Toc30599"/>
      <w:bookmarkStart w:id="502" w:name="_Toc4355"/>
      <w:r>
        <w:rPr>
          <w:rFonts w:hint="eastAsia" w:ascii="宋体" w:hAnsi="宋体" w:cs="宋体"/>
          <w:b/>
          <w:color w:val="000000" w:themeColor="text1"/>
          <w:sz w:val="24"/>
          <w14:textFill>
            <w14:solidFill>
              <w14:schemeClr w14:val="tx1"/>
            </w14:solidFill>
          </w14:textFill>
        </w:rPr>
        <w:t>2.18 计量单位</w:t>
      </w:r>
      <w:bookmarkEnd w:id="500"/>
      <w:bookmarkEnd w:id="501"/>
      <w:bookmarkEnd w:id="502"/>
    </w:p>
    <w:p w14:paraId="23AE6712">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除技术规范中另有规定外,合同的计量单位均使用国家法定计量单位。</w:t>
      </w:r>
    </w:p>
    <w:p w14:paraId="74B4DF19">
      <w:pPr>
        <w:spacing w:line="360" w:lineRule="auto"/>
        <w:ind w:left="120" w:firstLine="482"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2.19合同份数</w:t>
      </w:r>
    </w:p>
    <w:p w14:paraId="59DFBFCF">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合同份数按</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规定，每份均具有同等法律效力。</w:t>
      </w:r>
    </w:p>
    <w:p w14:paraId="77CE609B">
      <w:pPr>
        <w:pStyle w:val="33"/>
        <w:snapToGrid w:val="0"/>
        <w:spacing w:before="120" w:after="120" w:line="360" w:lineRule="auto"/>
        <w:ind w:left="1" w:firstLine="482" w:firstLineChars="200"/>
        <w:rPr>
          <w:rFonts w:hint="eastAsia"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2.20特别约定</w:t>
      </w:r>
    </w:p>
    <w:p w14:paraId="435D168A">
      <w:pPr>
        <w:pStyle w:val="33"/>
        <w:snapToGrid w:val="0"/>
        <w:spacing w:before="120" w:after="120" w:line="360" w:lineRule="auto"/>
        <w:ind w:left="1" w:firstLine="482" w:firstLineChars="200"/>
        <w:rPr>
          <w:rFonts w:hint="eastAsia"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2.20.1因法律法规、规章、政策等的调整变化等，导致甲方无法或无需使用根据本合同约定由乙方提供的部分服务的，甲方不因此构成违约，乙方应当继续提供合同约定的其他服务内容，合同已履行部分的内容不受影响。合同费用最终按乙方实际提供服务的内容、工作量及验收情况进行结算，多退少补（不超过合同总价）。</w:t>
      </w:r>
    </w:p>
    <w:p w14:paraId="65368C44">
      <w:pPr>
        <w:spacing w:line="360" w:lineRule="auto"/>
        <w:ind w:left="120" w:firstLine="482" w:firstLineChars="200"/>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2．20.2因法律法规、规章、政策等的调整变化等，导致甲方无法或无需使用根据本合同约定由乙方提供的全部服务的，甲方有权在告知乙方后，本着公平、平等的原则解除合同，甲方不因此构成违约。费用按乙方实际提供服务的内容、工作量以及验收情况进行结算，多退少补（不超过合同总价）。合同解除后，不影响合同已履行部分的内容，且乙方应当配合甲方进行项目的必要收尾工作。</w:t>
      </w:r>
    </w:p>
    <w:p w14:paraId="78AFE843">
      <w:pPr>
        <w:spacing w:line="360" w:lineRule="auto"/>
        <w:ind w:left="120" w:firstLine="420" w:firstLineChars="200"/>
        <w:jc w:val="center"/>
        <w:outlineLvl w:val="1"/>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kern w:val="0"/>
          <w14:textFill>
            <w14:solidFill>
              <w14:schemeClr w14:val="tx1"/>
            </w14:solidFill>
          </w14:textFill>
        </w:rPr>
        <w:br w:type="page"/>
      </w:r>
      <w:r>
        <w:rPr>
          <w:rFonts w:hint="eastAsia" w:ascii="宋体" w:hAnsi="宋体" w:cs="宋体"/>
          <w:b/>
          <w:color w:val="000000" w:themeColor="text1"/>
          <w:sz w:val="28"/>
          <w:szCs w:val="28"/>
          <w14:textFill>
            <w14:solidFill>
              <w14:schemeClr w14:val="tx1"/>
            </w14:solidFill>
          </w14:textFill>
        </w:rPr>
        <w:t>第三部分</w:t>
      </w:r>
      <w:r>
        <w:rPr>
          <w:rFonts w:ascii="宋体" w:hAnsi="宋体" w:cs="宋体"/>
          <w:b/>
          <w:color w:val="000000" w:themeColor="text1"/>
          <w:sz w:val="28"/>
          <w:szCs w:val="28"/>
          <w14:textFill>
            <w14:solidFill>
              <w14:schemeClr w14:val="tx1"/>
            </w14:solidFill>
          </w14:textFill>
        </w:rPr>
        <w:t xml:space="preserve">  </w:t>
      </w:r>
      <w:r>
        <w:rPr>
          <w:rFonts w:hint="eastAsia" w:ascii="宋体" w:hAnsi="宋体" w:cs="宋体"/>
          <w:b/>
          <w:color w:val="000000" w:themeColor="text1"/>
          <w:sz w:val="28"/>
          <w:szCs w:val="28"/>
          <w14:textFill>
            <w14:solidFill>
              <w14:schemeClr w14:val="tx1"/>
            </w14:solidFill>
          </w14:textFill>
        </w:rPr>
        <w:t>合同专用条款</w:t>
      </w:r>
    </w:p>
    <w:p w14:paraId="0F6E5132">
      <w:pPr>
        <w:spacing w:line="360" w:lineRule="auto"/>
        <w:ind w:left="-420" w:leftChars="-200" w:right="-420" w:rightChars="-200" w:firstLine="480" w:firstLineChars="200"/>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09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43"/>
        <w:gridCol w:w="8047"/>
      </w:tblGrid>
      <w:tr w14:paraId="134B3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039" w:type="dxa"/>
            <w:tcBorders>
              <w:top w:val="single" w:color="auto" w:sz="6" w:space="0"/>
              <w:left w:val="single" w:color="auto" w:sz="4" w:space="0"/>
              <w:bottom w:val="single" w:color="auto" w:sz="6" w:space="0"/>
              <w:right w:val="single" w:color="auto" w:sz="6" w:space="0"/>
            </w:tcBorders>
            <w:vAlign w:val="center"/>
          </w:tcPr>
          <w:p w14:paraId="162DB293">
            <w:pPr>
              <w:spacing w:line="360" w:lineRule="auto"/>
              <w:ind w:left="-420" w:leftChars="-200" w:right="-420" w:rightChars="-200" w:firstLine="482"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条款号</w:t>
            </w:r>
          </w:p>
        </w:tc>
        <w:tc>
          <w:tcPr>
            <w:tcW w:w="8018" w:type="dxa"/>
            <w:tcBorders>
              <w:top w:val="single" w:color="auto" w:sz="6" w:space="0"/>
              <w:left w:val="single" w:color="auto" w:sz="6" w:space="0"/>
              <w:bottom w:val="single" w:color="auto" w:sz="6" w:space="0"/>
              <w:right w:val="single" w:color="auto" w:sz="6" w:space="0"/>
            </w:tcBorders>
            <w:vAlign w:val="center"/>
          </w:tcPr>
          <w:p w14:paraId="722868D9">
            <w:pPr>
              <w:spacing w:line="360" w:lineRule="auto"/>
              <w:ind w:left="-420" w:leftChars="-200" w:right="-420" w:rightChars="-200" w:firstLine="482"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约定内容</w:t>
            </w:r>
          </w:p>
        </w:tc>
      </w:tr>
      <w:tr w14:paraId="06183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039" w:type="dxa"/>
            <w:tcBorders>
              <w:top w:val="single" w:color="auto" w:sz="6" w:space="0"/>
              <w:left w:val="single" w:color="auto" w:sz="4" w:space="0"/>
              <w:bottom w:val="single" w:color="auto" w:sz="6" w:space="0"/>
              <w:right w:val="single" w:color="auto" w:sz="6" w:space="0"/>
            </w:tcBorders>
            <w:vAlign w:val="center"/>
          </w:tcPr>
          <w:p w14:paraId="4778CAD0">
            <w:pPr>
              <w:spacing w:line="360" w:lineRule="auto"/>
              <w:ind w:left="-420" w:leftChars="-200" w:right="-420" w:rightChars="-200" w:firstLine="482"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1.7.7</w:t>
            </w:r>
          </w:p>
        </w:tc>
        <w:tc>
          <w:tcPr>
            <w:tcW w:w="8018" w:type="dxa"/>
            <w:tcBorders>
              <w:top w:val="single" w:color="auto" w:sz="6" w:space="0"/>
              <w:left w:val="single" w:color="auto" w:sz="6" w:space="0"/>
              <w:bottom w:val="single" w:color="auto" w:sz="6" w:space="0"/>
              <w:right w:val="single" w:color="auto" w:sz="6" w:space="0"/>
            </w:tcBorders>
            <w:vAlign w:val="center"/>
          </w:tcPr>
          <w:p w14:paraId="0009769E">
            <w:pPr>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w:t>
            </w:r>
          </w:p>
        </w:tc>
      </w:tr>
      <w:tr w14:paraId="7C92D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039" w:type="dxa"/>
            <w:tcBorders>
              <w:top w:val="single" w:color="auto" w:sz="6" w:space="0"/>
              <w:left w:val="single" w:color="auto" w:sz="4" w:space="0"/>
              <w:bottom w:val="single" w:color="auto" w:sz="6" w:space="0"/>
              <w:right w:val="single" w:color="auto" w:sz="6" w:space="0"/>
            </w:tcBorders>
            <w:vAlign w:val="center"/>
          </w:tcPr>
          <w:p w14:paraId="693CBF8C">
            <w:pPr>
              <w:spacing w:line="360" w:lineRule="auto"/>
              <w:ind w:left="-420" w:leftChars="-200" w:right="-420" w:rightChars="-200" w:firstLine="482"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2.3.2</w:t>
            </w:r>
          </w:p>
        </w:tc>
        <w:tc>
          <w:tcPr>
            <w:tcW w:w="8018" w:type="dxa"/>
            <w:tcBorders>
              <w:top w:val="single" w:color="auto" w:sz="6" w:space="0"/>
              <w:left w:val="single" w:color="auto" w:sz="6" w:space="0"/>
              <w:bottom w:val="single" w:color="auto" w:sz="6" w:space="0"/>
              <w:right w:val="single" w:color="auto" w:sz="6" w:space="0"/>
            </w:tcBorders>
            <w:vAlign w:val="center"/>
          </w:tcPr>
          <w:p w14:paraId="5A8D5F6E">
            <w:pPr>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所产生的知识产权（源代码、开发文档等）及采集数据归甲方所有，但不包括乙方在本项目前已经合法拥有的知识产权。若涉及个人或企业数据采集等处理行为，甲方应当遵守《中华人民共和国个人信息保护法》，取得数据权利人的同意，不存在侵犯第三方合法权益，若与第三方发生纠纷，与乙方无关。</w:t>
            </w:r>
          </w:p>
        </w:tc>
      </w:tr>
      <w:tr w14:paraId="50C08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039" w:type="dxa"/>
            <w:tcBorders>
              <w:top w:val="single" w:color="auto" w:sz="6" w:space="0"/>
              <w:left w:val="single" w:color="auto" w:sz="4" w:space="0"/>
              <w:bottom w:val="single" w:color="auto" w:sz="6" w:space="0"/>
              <w:right w:val="single" w:color="auto" w:sz="6" w:space="0"/>
            </w:tcBorders>
            <w:vAlign w:val="center"/>
          </w:tcPr>
          <w:p w14:paraId="27B98BFA">
            <w:pPr>
              <w:spacing w:line="360" w:lineRule="auto"/>
              <w:ind w:left="-420" w:leftChars="-200" w:right="-420" w:rightChars="-200" w:firstLine="482"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w:t>
            </w:r>
            <w:r>
              <w:rPr>
                <w:rFonts w:ascii="宋体" w:hAnsi="宋体" w:cs="宋体"/>
                <w:b/>
                <w:color w:val="000000" w:themeColor="text1"/>
                <w:sz w:val="24"/>
                <w14:textFill>
                  <w14:solidFill>
                    <w14:schemeClr w14:val="tx1"/>
                  </w14:solidFill>
                </w14:textFill>
              </w:rPr>
              <w:t>5</w:t>
            </w:r>
          </w:p>
        </w:tc>
        <w:tc>
          <w:tcPr>
            <w:tcW w:w="8018" w:type="dxa"/>
            <w:tcBorders>
              <w:top w:val="single" w:color="auto" w:sz="6" w:space="0"/>
              <w:left w:val="single" w:color="auto" w:sz="6" w:space="0"/>
              <w:bottom w:val="single" w:color="auto" w:sz="6" w:space="0"/>
              <w:right w:val="single" w:color="auto" w:sz="6" w:space="0"/>
            </w:tcBorders>
            <w:vAlign w:val="center"/>
          </w:tcPr>
          <w:p w14:paraId="143BAF4B">
            <w:pPr>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第一期付款：合同生效后，具备实施条件，5个工作日内，支付合同总价60%的预付款，第二期付款：项目通过终验后，具备支付条件，5个工作日内支付合同总价40%。</w:t>
            </w:r>
          </w:p>
        </w:tc>
      </w:tr>
      <w:tr w14:paraId="27EA6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039" w:type="dxa"/>
            <w:tcBorders>
              <w:top w:val="single" w:color="auto" w:sz="6" w:space="0"/>
              <w:left w:val="single" w:color="auto" w:sz="4" w:space="0"/>
              <w:bottom w:val="single" w:color="auto" w:sz="6" w:space="0"/>
              <w:right w:val="single" w:color="auto" w:sz="6" w:space="0"/>
            </w:tcBorders>
            <w:vAlign w:val="center"/>
          </w:tcPr>
          <w:p w14:paraId="065EACCD">
            <w:pPr>
              <w:spacing w:line="360" w:lineRule="auto"/>
              <w:ind w:left="-420" w:leftChars="-200" w:right="-420" w:rightChars="-200" w:firstLine="482"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w:t>
            </w:r>
            <w:r>
              <w:rPr>
                <w:rFonts w:ascii="宋体" w:hAnsi="宋体" w:cs="宋体"/>
                <w:b/>
                <w:color w:val="000000" w:themeColor="text1"/>
                <w:sz w:val="24"/>
                <w14:textFill>
                  <w14:solidFill>
                    <w14:schemeClr w14:val="tx1"/>
                  </w14:solidFill>
                </w14:textFill>
              </w:rPr>
              <w:t>11</w:t>
            </w:r>
            <w:r>
              <w:rPr>
                <w:rFonts w:hint="eastAsia" w:ascii="宋体" w:hAnsi="宋体" w:cs="宋体"/>
                <w:b/>
                <w:color w:val="000000" w:themeColor="text1"/>
                <w:sz w:val="24"/>
                <w14:textFill>
                  <w14:solidFill>
                    <w14:schemeClr w14:val="tx1"/>
                  </w14:solidFill>
                </w14:textFill>
              </w:rPr>
              <w:t>.</w:t>
            </w:r>
            <w:r>
              <w:rPr>
                <w:rFonts w:ascii="宋体" w:hAnsi="宋体" w:cs="宋体"/>
                <w:b/>
                <w:color w:val="000000" w:themeColor="text1"/>
                <w:sz w:val="24"/>
                <w14:textFill>
                  <w14:solidFill>
                    <w14:schemeClr w14:val="tx1"/>
                  </w14:solidFill>
                </w14:textFill>
              </w:rPr>
              <w:t>3</w:t>
            </w:r>
          </w:p>
        </w:tc>
        <w:tc>
          <w:tcPr>
            <w:tcW w:w="8018" w:type="dxa"/>
            <w:tcBorders>
              <w:top w:val="single" w:color="auto" w:sz="6" w:space="0"/>
              <w:left w:val="single" w:color="auto" w:sz="6" w:space="0"/>
              <w:bottom w:val="single" w:color="auto" w:sz="6" w:space="0"/>
              <w:right w:val="single" w:color="auto" w:sz="6" w:space="0"/>
            </w:tcBorders>
            <w:vAlign w:val="center"/>
          </w:tcPr>
          <w:p w14:paraId="7917FA4D">
            <w:pPr>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因不可抗力致使合同有变更必要的，双方当事人应在15日内以书面形式变更合同。</w:t>
            </w:r>
          </w:p>
        </w:tc>
      </w:tr>
      <w:tr w14:paraId="213FF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039" w:type="dxa"/>
            <w:tcBorders>
              <w:top w:val="single" w:color="auto" w:sz="6" w:space="0"/>
              <w:left w:val="single" w:color="auto" w:sz="4" w:space="0"/>
              <w:bottom w:val="single" w:color="auto" w:sz="6" w:space="0"/>
              <w:right w:val="single" w:color="auto" w:sz="6" w:space="0"/>
            </w:tcBorders>
            <w:vAlign w:val="center"/>
          </w:tcPr>
          <w:p w14:paraId="668868F4">
            <w:pPr>
              <w:spacing w:line="360" w:lineRule="auto"/>
              <w:ind w:left="-420" w:leftChars="-200" w:right="-420" w:rightChars="-200" w:firstLine="482"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w:t>
            </w:r>
            <w:r>
              <w:rPr>
                <w:rFonts w:ascii="宋体" w:hAnsi="宋体" w:cs="宋体"/>
                <w:b/>
                <w:color w:val="000000" w:themeColor="text1"/>
                <w:sz w:val="24"/>
                <w14:textFill>
                  <w14:solidFill>
                    <w14:schemeClr w14:val="tx1"/>
                  </w14:solidFill>
                </w14:textFill>
              </w:rPr>
              <w:t>11.4</w:t>
            </w:r>
            <w:r>
              <w:rPr>
                <w:rFonts w:hint="eastAsia" w:ascii="宋体" w:hAnsi="宋体" w:cs="宋体"/>
                <w:b/>
                <w:color w:val="000000" w:themeColor="text1"/>
                <w:sz w:val="24"/>
                <w14:textFill>
                  <w14:solidFill>
                    <w14:schemeClr w14:val="tx1"/>
                  </w14:solidFill>
                </w14:textFill>
              </w:rPr>
              <w:t xml:space="preserve"> </w:t>
            </w:r>
          </w:p>
        </w:tc>
        <w:tc>
          <w:tcPr>
            <w:tcW w:w="8018" w:type="dxa"/>
            <w:tcBorders>
              <w:top w:val="single" w:color="auto" w:sz="6" w:space="0"/>
              <w:left w:val="single" w:color="auto" w:sz="6" w:space="0"/>
              <w:bottom w:val="single" w:color="auto" w:sz="6" w:space="0"/>
              <w:right w:val="single" w:color="auto" w:sz="6" w:space="0"/>
            </w:tcBorders>
            <w:vAlign w:val="center"/>
          </w:tcPr>
          <w:p w14:paraId="1A2F3CE6">
            <w:pPr>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受不可抗力影响的一方在不可抗力发生后，应在15日内以书面形式通知对方当事人，并在15日内，将有关部门出具的证明文件送达对方当事人。</w:t>
            </w:r>
          </w:p>
        </w:tc>
      </w:tr>
      <w:tr w14:paraId="1E405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039" w:type="dxa"/>
            <w:tcBorders>
              <w:top w:val="single" w:color="auto" w:sz="6" w:space="0"/>
              <w:left w:val="single" w:color="auto" w:sz="4" w:space="0"/>
              <w:bottom w:val="single" w:color="auto" w:sz="6" w:space="0"/>
              <w:right w:val="single" w:color="auto" w:sz="6" w:space="0"/>
            </w:tcBorders>
            <w:vAlign w:val="center"/>
          </w:tcPr>
          <w:p w14:paraId="2E287D40">
            <w:pPr>
              <w:spacing w:line="360" w:lineRule="auto"/>
              <w:ind w:left="-420" w:leftChars="-200" w:right="-420" w:rightChars="-200" w:firstLine="482"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w:t>
            </w:r>
            <w:r>
              <w:rPr>
                <w:rFonts w:ascii="宋体" w:hAnsi="宋体" w:cs="宋体"/>
                <w:b/>
                <w:color w:val="000000" w:themeColor="text1"/>
                <w:sz w:val="24"/>
                <w14:textFill>
                  <w14:solidFill>
                    <w14:schemeClr w14:val="tx1"/>
                  </w14:solidFill>
                </w14:textFill>
              </w:rPr>
              <w:t>15</w:t>
            </w:r>
            <w:r>
              <w:rPr>
                <w:rFonts w:hint="eastAsia" w:ascii="宋体" w:hAnsi="宋体" w:cs="宋体"/>
                <w:b/>
                <w:color w:val="000000" w:themeColor="text1"/>
                <w:sz w:val="24"/>
                <w14:textFill>
                  <w14:solidFill>
                    <w14:schemeClr w14:val="tx1"/>
                  </w14:solidFill>
                </w14:textFill>
              </w:rPr>
              <w:t>.</w:t>
            </w:r>
            <w:r>
              <w:rPr>
                <w:rFonts w:ascii="宋体" w:hAnsi="宋体" w:cs="宋体"/>
                <w:b/>
                <w:color w:val="000000" w:themeColor="text1"/>
                <w:sz w:val="24"/>
                <w14:textFill>
                  <w14:solidFill>
                    <w14:schemeClr w14:val="tx1"/>
                  </w14:solidFill>
                </w14:textFill>
              </w:rPr>
              <w:t>1</w:t>
            </w:r>
          </w:p>
        </w:tc>
        <w:tc>
          <w:tcPr>
            <w:tcW w:w="8018" w:type="dxa"/>
            <w:tcBorders>
              <w:top w:val="single" w:color="auto" w:sz="6" w:space="0"/>
              <w:left w:val="single" w:color="auto" w:sz="6" w:space="0"/>
              <w:bottom w:val="single" w:color="auto" w:sz="6" w:space="0"/>
              <w:right w:val="single" w:color="auto" w:sz="6" w:space="0"/>
            </w:tcBorders>
            <w:vAlign w:val="center"/>
          </w:tcPr>
          <w:p w14:paraId="6259DC2F">
            <w:pPr>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交付前，乙方应对服务的质量、数量等方面进行详细、全面的检验，并向甲方出具证明服务符合合同约定的文件，提供相关实施文档及用户评价，提出验收申请；甲方根据乙方的验收申请发起验收，并可依法邀请相关方参加，验收应出具验收书。</w:t>
            </w:r>
          </w:p>
          <w:p w14:paraId="2C60F268">
            <w:pPr>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乙方提供相关服务过程中有违反合同约定、不达约定标准情况的，甲方有权要求乙方限期整改，乙方未按甲方要求整改的，甲方有权拒绝验收，乙方应承担相应的违约责任。</w:t>
            </w:r>
          </w:p>
        </w:tc>
      </w:tr>
      <w:tr w14:paraId="60040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039" w:type="dxa"/>
            <w:tcBorders>
              <w:top w:val="single" w:color="auto" w:sz="6" w:space="0"/>
              <w:left w:val="single" w:color="auto" w:sz="4" w:space="0"/>
              <w:bottom w:val="single" w:color="auto" w:sz="6" w:space="0"/>
              <w:right w:val="single" w:color="auto" w:sz="6" w:space="0"/>
            </w:tcBorders>
            <w:vAlign w:val="center"/>
          </w:tcPr>
          <w:p w14:paraId="259E3BBB">
            <w:pPr>
              <w:spacing w:line="360" w:lineRule="auto"/>
              <w:ind w:left="-420" w:leftChars="-200" w:right="-420" w:rightChars="-200" w:firstLine="482"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w:t>
            </w:r>
            <w:r>
              <w:rPr>
                <w:rFonts w:ascii="宋体" w:hAnsi="宋体" w:cs="宋体"/>
                <w:b/>
                <w:color w:val="000000" w:themeColor="text1"/>
                <w:sz w:val="24"/>
                <w14:textFill>
                  <w14:solidFill>
                    <w14:schemeClr w14:val="tx1"/>
                  </w14:solidFill>
                </w14:textFill>
              </w:rPr>
              <w:t>15</w:t>
            </w:r>
            <w:r>
              <w:rPr>
                <w:rFonts w:hint="eastAsia" w:ascii="宋体" w:hAnsi="宋体" w:cs="宋体"/>
                <w:b/>
                <w:color w:val="000000" w:themeColor="text1"/>
                <w:sz w:val="24"/>
                <w14:textFill>
                  <w14:solidFill>
                    <w14:schemeClr w14:val="tx1"/>
                  </w14:solidFill>
                </w14:textFill>
              </w:rPr>
              <w:t>.</w:t>
            </w:r>
            <w:r>
              <w:rPr>
                <w:rFonts w:ascii="宋体" w:hAnsi="宋体" w:cs="宋体"/>
                <w:b/>
                <w:color w:val="000000" w:themeColor="text1"/>
                <w:sz w:val="24"/>
                <w14:textFill>
                  <w14:solidFill>
                    <w14:schemeClr w14:val="tx1"/>
                  </w14:solidFill>
                </w14:textFill>
              </w:rPr>
              <w:t>3</w:t>
            </w:r>
          </w:p>
        </w:tc>
        <w:tc>
          <w:tcPr>
            <w:tcW w:w="8018" w:type="dxa"/>
            <w:tcBorders>
              <w:top w:val="single" w:color="auto" w:sz="6" w:space="0"/>
              <w:left w:val="single" w:color="auto" w:sz="6" w:space="0"/>
              <w:bottom w:val="single" w:color="auto" w:sz="6" w:space="0"/>
              <w:right w:val="single" w:color="auto" w:sz="6" w:space="0"/>
            </w:tcBorders>
            <w:vAlign w:val="center"/>
          </w:tcPr>
          <w:p w14:paraId="42662ACF">
            <w:pPr>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w:t>
            </w:r>
            <w:r>
              <w:rPr>
                <w:rFonts w:hint="eastAsia" w:ascii="宋体" w:hAnsi="宋体" w:cs="Helvetica"/>
                <w:b/>
                <w:color w:val="000000" w:themeColor="text1"/>
                <w:kern w:val="0"/>
                <w:sz w:val="24"/>
                <w14:textFill>
                  <w14:solidFill>
                    <w14:schemeClr w14:val="tx1"/>
                  </w14:solidFill>
                </w14:textFill>
              </w:rPr>
              <w:t>完成项目立项批复、建设方案、合同要求的全部建设内容，且符合项目的建设目标，通过采购人组织的项目初验；项目的功能、性能等指标达到项目设计的要求，并取得等保、信创等测评报告；获得一体化数字资源系统自动生成的“试运行报告”。</w:t>
            </w:r>
          </w:p>
          <w:p w14:paraId="648511AD">
            <w:pP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2）履约验收产生的费用，属于首次验收过程中产生的，由甲方承担；属于首次验收不合格，重新验收过程中产生的，如采购合同有约定按照约定执行，如无约定，由乙方承担。</w:t>
            </w:r>
          </w:p>
        </w:tc>
      </w:tr>
      <w:tr w14:paraId="08C2D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039" w:type="dxa"/>
            <w:tcBorders>
              <w:top w:val="single" w:color="auto" w:sz="6" w:space="0"/>
              <w:left w:val="single" w:color="auto" w:sz="4" w:space="0"/>
              <w:bottom w:val="single" w:color="auto" w:sz="6" w:space="0"/>
              <w:right w:val="single" w:color="auto" w:sz="6" w:space="0"/>
            </w:tcBorders>
            <w:vAlign w:val="center"/>
          </w:tcPr>
          <w:p w14:paraId="15D31424">
            <w:pPr>
              <w:spacing w:line="360" w:lineRule="auto"/>
              <w:ind w:left="-420" w:leftChars="-200" w:right="-420" w:rightChars="-200" w:firstLine="482"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2.19</w:t>
            </w:r>
          </w:p>
        </w:tc>
        <w:tc>
          <w:tcPr>
            <w:tcW w:w="8018" w:type="dxa"/>
            <w:tcBorders>
              <w:top w:val="single" w:color="auto" w:sz="6" w:space="0"/>
              <w:left w:val="single" w:color="auto" w:sz="6" w:space="0"/>
              <w:bottom w:val="single" w:color="auto" w:sz="6" w:space="0"/>
              <w:right w:val="single" w:color="auto" w:sz="6" w:space="0"/>
            </w:tcBorders>
            <w:vAlign w:val="center"/>
          </w:tcPr>
          <w:p w14:paraId="5DB8773A">
            <w:pPr>
              <w:spacing w:line="360" w:lineRule="auto"/>
              <w:rPr>
                <w:rFonts w:hint="eastAsia" w:ascii="宋体" w:hAnsi="宋体" w:cs="宋体"/>
                <w:b/>
                <w:color w:val="000000" w:themeColor="text1"/>
                <w:sz w:val="24"/>
                <w14:textFill>
                  <w14:solidFill>
                    <w14:schemeClr w14:val="tx1"/>
                  </w14:solidFill>
                </w14:textFill>
              </w:rPr>
            </w:pPr>
            <w:bookmarkStart w:id="503" w:name="_Hlk200556427"/>
            <w:r>
              <w:rPr>
                <w:rFonts w:hint="eastAsia" w:ascii="宋体" w:hAnsi="宋体" w:cs="宋体"/>
                <w:b/>
                <w:color w:val="000000" w:themeColor="text1"/>
                <w:sz w:val="24"/>
                <w14:textFill>
                  <w14:solidFill>
                    <w14:schemeClr w14:val="tx1"/>
                  </w14:solidFill>
                </w14:textFill>
              </w:rPr>
              <w:t>本合同壹式肆份，甲乙双方各执贰份。</w:t>
            </w:r>
            <w:bookmarkEnd w:id="503"/>
          </w:p>
        </w:tc>
      </w:tr>
    </w:tbl>
    <w:p w14:paraId="35C74F71">
      <w:pPr>
        <w:spacing w:line="360" w:lineRule="auto"/>
        <w:ind w:left="-420" w:leftChars="-200" w:right="-420" w:rightChars="-200" w:firstLine="480" w:firstLineChars="200"/>
        <w:rPr>
          <w:rFonts w:hint="eastAsia" w:ascii="宋体" w:hAnsi="宋体" w:cs="宋体"/>
          <w:color w:val="000000" w:themeColor="text1"/>
          <w:sz w:val="24"/>
          <w14:textFill>
            <w14:solidFill>
              <w14:schemeClr w14:val="tx1"/>
            </w14:solidFill>
          </w14:textFill>
        </w:rPr>
      </w:pPr>
    </w:p>
    <w:p w14:paraId="3A3F828F">
      <w:pPr>
        <w:spacing w:line="360" w:lineRule="auto"/>
        <w:ind w:left="-420" w:leftChars="-200" w:right="-420" w:rightChars="-200" w:firstLine="480" w:firstLineChars="200"/>
        <w:jc w:val="center"/>
        <w:rPr>
          <w:rFonts w:hint="eastAsia" w:ascii="宋体" w:hAnsi="宋体" w:cs="宋体"/>
          <w:color w:val="000000" w:themeColor="text1"/>
          <w:sz w:val="24"/>
          <w14:textFill>
            <w14:solidFill>
              <w14:schemeClr w14:val="tx1"/>
            </w14:solidFill>
          </w14:textFill>
        </w:rPr>
      </w:pPr>
    </w:p>
    <w:p w14:paraId="31807FFE">
      <w:pPr>
        <w:spacing w:line="360" w:lineRule="auto"/>
        <w:ind w:left="120" w:firstLine="22"/>
        <w:rPr>
          <w:rFonts w:hint="eastAsia" w:ascii="宋体" w:hAnsi="宋体" w:cs="宋体"/>
          <w:color w:val="000000" w:themeColor="text1"/>
          <w14:textFill>
            <w14:solidFill>
              <w14:schemeClr w14:val="tx1"/>
            </w14:solidFill>
          </w14:textFill>
        </w:rPr>
      </w:pPr>
    </w:p>
    <w:p w14:paraId="29BAF729">
      <w:pPr>
        <w:spacing w:line="360" w:lineRule="auto"/>
        <w:ind w:left="120" w:firstLine="22"/>
        <w:rPr>
          <w:rFonts w:hint="eastAsia" w:ascii="宋体" w:hAnsi="宋体" w:cs="宋体"/>
          <w:color w:val="000000" w:themeColor="text1"/>
          <w14:textFill>
            <w14:solidFill>
              <w14:schemeClr w14:val="tx1"/>
            </w14:solidFill>
          </w14:textFill>
        </w:rPr>
      </w:pPr>
    </w:p>
    <w:p w14:paraId="04A8A91A">
      <w:pPr>
        <w:spacing w:line="360" w:lineRule="auto"/>
        <w:ind w:left="120" w:firstLine="22"/>
        <w:rPr>
          <w:rFonts w:hint="eastAsia" w:ascii="宋体" w:hAnsi="宋体" w:cs="宋体"/>
          <w:color w:val="000000" w:themeColor="text1"/>
          <w14:textFill>
            <w14:solidFill>
              <w14:schemeClr w14:val="tx1"/>
            </w14:solidFill>
          </w14:textFill>
        </w:rPr>
      </w:pPr>
    </w:p>
    <w:p w14:paraId="556C0FAE">
      <w:pPr>
        <w:spacing w:line="360" w:lineRule="auto"/>
        <w:ind w:left="120" w:firstLine="22"/>
        <w:rPr>
          <w:rFonts w:hint="eastAsia" w:ascii="宋体" w:hAnsi="宋体" w:cs="宋体"/>
          <w:color w:val="000000" w:themeColor="text1"/>
          <w14:textFill>
            <w14:solidFill>
              <w14:schemeClr w14:val="tx1"/>
            </w14:solidFill>
          </w14:textFill>
        </w:rPr>
      </w:pPr>
    </w:p>
    <w:p w14:paraId="2DA259C2">
      <w:pPr>
        <w:spacing w:line="360" w:lineRule="auto"/>
        <w:ind w:left="120" w:firstLine="22"/>
        <w:rPr>
          <w:rFonts w:hint="eastAsia" w:ascii="宋体" w:hAnsi="宋体" w:cs="宋体"/>
          <w:color w:val="000000" w:themeColor="text1"/>
          <w14:textFill>
            <w14:solidFill>
              <w14:schemeClr w14:val="tx1"/>
            </w14:solidFill>
          </w14:textFill>
        </w:rPr>
      </w:pPr>
    </w:p>
    <w:p w14:paraId="485A2F42">
      <w:pPr>
        <w:spacing w:line="360" w:lineRule="auto"/>
        <w:ind w:left="120" w:firstLine="22"/>
        <w:rPr>
          <w:rFonts w:hint="eastAsia" w:ascii="宋体" w:hAnsi="宋体" w:cs="宋体"/>
          <w:color w:val="000000" w:themeColor="text1"/>
          <w14:textFill>
            <w14:solidFill>
              <w14:schemeClr w14:val="tx1"/>
            </w14:solidFill>
          </w14:textFill>
        </w:rPr>
      </w:pPr>
    </w:p>
    <w:p w14:paraId="46D3D144">
      <w:pPr>
        <w:spacing w:line="360" w:lineRule="auto"/>
        <w:ind w:left="120" w:firstLine="22"/>
        <w:rPr>
          <w:rFonts w:hint="eastAsia" w:ascii="宋体" w:hAnsi="宋体" w:cs="宋体"/>
          <w:color w:val="000000" w:themeColor="text1"/>
          <w14:textFill>
            <w14:solidFill>
              <w14:schemeClr w14:val="tx1"/>
            </w14:solidFill>
          </w14:textFill>
        </w:rPr>
      </w:pPr>
    </w:p>
    <w:p w14:paraId="470FF2D2">
      <w:pPr>
        <w:spacing w:line="360" w:lineRule="auto"/>
        <w:ind w:left="120" w:firstLine="22"/>
        <w:rPr>
          <w:rFonts w:hint="eastAsia" w:ascii="宋体" w:hAnsi="宋体" w:cs="宋体"/>
          <w:color w:val="000000" w:themeColor="text1"/>
          <w14:textFill>
            <w14:solidFill>
              <w14:schemeClr w14:val="tx1"/>
            </w14:solidFill>
          </w14:textFill>
        </w:rPr>
      </w:pPr>
    </w:p>
    <w:p w14:paraId="49E34951">
      <w:pPr>
        <w:pStyle w:val="82"/>
        <w:rPr>
          <w:rFonts w:hint="eastAsia" w:ascii="宋体" w:hAnsi="宋体" w:eastAsia="宋体"/>
          <w:color w:val="000000" w:themeColor="text1"/>
          <w14:textFill>
            <w14:solidFill>
              <w14:schemeClr w14:val="tx1"/>
            </w14:solidFill>
          </w14:textFill>
        </w:rPr>
      </w:pPr>
    </w:p>
    <w:p w14:paraId="2F8078E6">
      <w:pPr>
        <w:pStyle w:val="82"/>
        <w:rPr>
          <w:rFonts w:hint="eastAsia" w:ascii="宋体" w:hAnsi="宋体" w:eastAsia="宋体"/>
          <w:color w:val="000000" w:themeColor="text1"/>
          <w14:textFill>
            <w14:solidFill>
              <w14:schemeClr w14:val="tx1"/>
            </w14:solidFill>
          </w14:textFill>
        </w:rPr>
      </w:pPr>
    </w:p>
    <w:p w14:paraId="6EAAEC8A">
      <w:pPr>
        <w:pStyle w:val="82"/>
        <w:rPr>
          <w:rFonts w:hint="eastAsia" w:ascii="宋体" w:hAnsi="宋体" w:eastAsia="宋体"/>
          <w:color w:val="000000" w:themeColor="text1"/>
          <w14:textFill>
            <w14:solidFill>
              <w14:schemeClr w14:val="tx1"/>
            </w14:solidFill>
          </w14:textFill>
        </w:rPr>
      </w:pPr>
    </w:p>
    <w:p w14:paraId="2E4153EF">
      <w:pPr>
        <w:pStyle w:val="82"/>
        <w:rPr>
          <w:rFonts w:hint="eastAsia" w:ascii="宋体" w:hAnsi="宋体" w:eastAsia="宋体"/>
          <w:color w:val="000000" w:themeColor="text1"/>
          <w14:textFill>
            <w14:solidFill>
              <w14:schemeClr w14:val="tx1"/>
            </w14:solidFill>
          </w14:textFill>
        </w:rPr>
      </w:pPr>
    </w:p>
    <w:p w14:paraId="1B3DBD96">
      <w:pPr>
        <w:pStyle w:val="82"/>
        <w:rPr>
          <w:rFonts w:hint="eastAsia" w:ascii="宋体" w:hAnsi="宋体" w:eastAsia="宋体"/>
          <w:color w:val="000000" w:themeColor="text1"/>
          <w14:textFill>
            <w14:solidFill>
              <w14:schemeClr w14:val="tx1"/>
            </w14:solidFill>
          </w14:textFill>
        </w:rPr>
      </w:pPr>
    </w:p>
    <w:p w14:paraId="2A9EDB17">
      <w:pPr>
        <w:widowControl/>
        <w:adjustRightInd/>
        <w:spacing w:line="360" w:lineRule="auto"/>
        <w:ind w:left="120" w:firstLine="22"/>
        <w:jc w:val="center"/>
        <w:rPr>
          <w:rFonts w:hint="eastAsia" w:ascii="宋体" w:hAnsi="宋体" w:cs="宋体"/>
          <w:b/>
          <w:color w:val="000000" w:themeColor="text1"/>
          <w:sz w:val="36"/>
          <w:szCs w:val="20"/>
          <w14:textFill>
            <w14:solidFill>
              <w14:schemeClr w14:val="tx1"/>
            </w14:solidFill>
          </w14:textFill>
        </w:rPr>
      </w:pPr>
    </w:p>
    <w:p w14:paraId="2B47D2A7">
      <w:pPr>
        <w:widowControl/>
        <w:adjustRightInd/>
        <w:spacing w:line="360" w:lineRule="auto"/>
        <w:ind w:left="120" w:firstLine="723" w:firstLineChars="200"/>
        <w:jc w:val="center"/>
        <w:rPr>
          <w:rFonts w:hint="eastAsia" w:ascii="宋体" w:hAnsi="宋体" w:cs="宋体"/>
          <w:b/>
          <w:color w:val="000000" w:themeColor="text1"/>
          <w:sz w:val="36"/>
          <w:szCs w:val="20"/>
          <w14:textFill>
            <w14:solidFill>
              <w14:schemeClr w14:val="tx1"/>
            </w14:solidFill>
          </w14:textFill>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7D692D93">
      <w:pPr>
        <w:widowControl/>
        <w:adjustRightInd/>
        <w:spacing w:line="360" w:lineRule="auto"/>
        <w:ind w:left="120" w:firstLine="723" w:firstLineChars="200"/>
        <w:jc w:val="center"/>
        <w:rPr>
          <w:rFonts w:hint="eastAsia"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第六部分</w:t>
      </w:r>
      <w:bookmarkEnd w:id="411"/>
      <w:r>
        <w:rPr>
          <w:rFonts w:hint="eastAsia" w:ascii="宋体" w:hAnsi="宋体" w:cs="宋体"/>
          <w:b/>
          <w:color w:val="000000" w:themeColor="text1"/>
          <w:sz w:val="36"/>
          <w:szCs w:val="20"/>
          <w14:textFill>
            <w14:solidFill>
              <w14:schemeClr w14:val="tx1"/>
            </w14:solidFill>
          </w14:textFill>
        </w:rPr>
        <w:t xml:space="preserve"> </w:t>
      </w:r>
      <w:bookmarkEnd w:id="412"/>
      <w:r>
        <w:rPr>
          <w:rFonts w:hint="eastAsia" w:ascii="宋体" w:hAnsi="宋体" w:cs="宋体"/>
          <w:b/>
          <w:color w:val="000000" w:themeColor="text1"/>
          <w:sz w:val="36"/>
          <w:szCs w:val="20"/>
          <w14:textFill>
            <w14:solidFill>
              <w14:schemeClr w14:val="tx1"/>
            </w14:solidFill>
          </w14:textFill>
        </w:rPr>
        <w:t>应提交的有关格式范例</w:t>
      </w:r>
    </w:p>
    <w:p w14:paraId="47066999">
      <w:pPr>
        <w:spacing w:line="360" w:lineRule="auto"/>
        <w:ind w:left="120" w:firstLine="22"/>
        <w:jc w:val="center"/>
        <w:rPr>
          <w:rFonts w:hint="eastAsia" w:ascii="宋体" w:hAnsi="宋体" w:cs="宋体"/>
          <w:b/>
          <w:color w:val="000000" w:themeColor="text1"/>
          <w:kern w:val="0"/>
          <w:sz w:val="36"/>
          <w:szCs w:val="36"/>
          <w14:textFill>
            <w14:solidFill>
              <w14:schemeClr w14:val="tx1"/>
            </w14:solidFill>
          </w14:textFill>
        </w:rPr>
      </w:pPr>
    </w:p>
    <w:p w14:paraId="5C0DDC89">
      <w:pPr>
        <w:spacing w:line="360" w:lineRule="auto"/>
        <w:ind w:left="120" w:firstLine="723" w:firstLineChars="200"/>
        <w:jc w:val="center"/>
        <w:outlineLvl w:val="1"/>
        <w:rPr>
          <w:rFonts w:hint="eastAsia"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资格文件部分</w:t>
      </w:r>
    </w:p>
    <w:p w14:paraId="1AD25853">
      <w:pPr>
        <w:spacing w:line="360" w:lineRule="auto"/>
        <w:ind w:left="120" w:firstLine="723" w:firstLineChars="200"/>
        <w:jc w:val="center"/>
        <w:rPr>
          <w:rFonts w:hint="eastAsia"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目录</w:t>
      </w:r>
    </w:p>
    <w:p w14:paraId="129338DA">
      <w:pPr>
        <w:spacing w:line="360" w:lineRule="auto"/>
        <w:ind w:left="120" w:firstLine="22"/>
        <w:jc w:val="center"/>
        <w:rPr>
          <w:rFonts w:hint="eastAsia" w:ascii="宋体" w:hAnsi="宋体" w:cs="宋体"/>
          <w:b/>
          <w:color w:val="000000" w:themeColor="text1"/>
          <w:kern w:val="0"/>
          <w:sz w:val="36"/>
          <w:szCs w:val="36"/>
          <w14:textFill>
            <w14:solidFill>
              <w14:schemeClr w14:val="tx1"/>
            </w14:solidFill>
          </w14:textFill>
        </w:rPr>
      </w:pPr>
    </w:p>
    <w:p w14:paraId="34F8CEB9">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（1）符合参加政府采购活动应当具备的一般条件的承诺函……………（页码）</w:t>
      </w:r>
    </w:p>
    <w:p w14:paraId="481F6CA4">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（2）联合协议</w:t>
      </w:r>
      <w:r>
        <w:rPr>
          <w:rFonts w:hint="eastAsia" w:ascii="宋体" w:hAnsi="宋体" w:cs="宋体"/>
          <w:color w:val="000000" w:themeColor="text1"/>
          <w:sz w:val="24"/>
          <w14:textFill>
            <w14:solidFill>
              <w14:schemeClr w14:val="tx1"/>
            </w14:solidFill>
          </w14:textFill>
        </w:rPr>
        <w:t>………………………………………………………………（页码）</w:t>
      </w:r>
    </w:p>
    <w:p w14:paraId="7897BCD2">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）落实政府采购政策需满足的资格要求………………………………（页码）</w:t>
      </w:r>
    </w:p>
    <w:p w14:paraId="7033BE0C">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）本项目的特定资格要求………………………………………………（页码）</w:t>
      </w:r>
    </w:p>
    <w:p w14:paraId="0C0EB2A5">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p>
    <w:p w14:paraId="2AE82727">
      <w:pPr>
        <w:spacing w:line="360" w:lineRule="auto"/>
        <w:ind w:left="120" w:firstLine="480" w:firstLineChars="200"/>
        <w:rPr>
          <w:rFonts w:hint="eastAsia" w:ascii="宋体" w:hAnsi="宋体" w:cs="宋体"/>
          <w:color w:val="000000" w:themeColor="text1"/>
          <w:sz w:val="24"/>
          <w14:textFill>
            <w14:solidFill>
              <w14:schemeClr w14:val="tx1"/>
            </w14:solidFill>
          </w14:textFill>
        </w:rPr>
      </w:pPr>
    </w:p>
    <w:p w14:paraId="2732DA63">
      <w:pPr>
        <w:snapToGrid w:val="0"/>
        <w:spacing w:line="360" w:lineRule="auto"/>
        <w:ind w:left="120" w:right="480" w:firstLine="480" w:firstLineChars="200"/>
        <w:jc w:val="center"/>
        <w:outlineLvl w:val="2"/>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br w:type="page"/>
      </w:r>
      <w:r>
        <w:rPr>
          <w:rFonts w:hint="eastAsia" w:ascii="宋体" w:hAnsi="宋体" w:cs="宋体"/>
          <w:b/>
          <w:color w:val="000000" w:themeColor="text1"/>
          <w:kern w:val="0"/>
          <w:sz w:val="32"/>
          <w:szCs w:val="32"/>
          <w14:textFill>
            <w14:solidFill>
              <w14:schemeClr w14:val="tx1"/>
            </w14:solidFill>
          </w14:textFill>
        </w:rPr>
        <w:t>一、符合参加政府采购活动应当具备的一般条件的承诺函</w:t>
      </w:r>
    </w:p>
    <w:p w14:paraId="64F0CBEC">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杭州市上城区人</w:t>
      </w:r>
      <w:r>
        <w:rPr>
          <w:rFonts w:hint="eastAsia" w:ascii="宋体" w:hAnsi="宋体" w:cs="宋体"/>
          <w:color w:val="000000" w:themeColor="text1"/>
          <w:sz w:val="24"/>
          <w:lang w:val="en-US" w:eastAsia="zh-CN"/>
          <w14:textFill>
            <w14:solidFill>
              <w14:schemeClr w14:val="tx1"/>
            </w14:solidFill>
          </w14:textFill>
        </w:rPr>
        <w:t>民代表</w:t>
      </w:r>
      <w:r>
        <w:rPr>
          <w:rFonts w:hint="eastAsia" w:ascii="宋体" w:hAnsi="宋体" w:cs="宋体"/>
          <w:color w:val="000000" w:themeColor="text1"/>
          <w:sz w:val="24"/>
          <w14:textFill>
            <w14:solidFill>
              <w14:schemeClr w14:val="tx1"/>
            </w14:solidFill>
          </w14:textFill>
        </w:rPr>
        <w:t>大</w:t>
      </w:r>
      <w:r>
        <w:rPr>
          <w:rFonts w:hint="eastAsia" w:ascii="宋体" w:hAnsi="宋体" w:cs="宋体"/>
          <w:color w:val="000000" w:themeColor="text1"/>
          <w:sz w:val="24"/>
          <w:lang w:val="en-US" w:eastAsia="zh-CN"/>
          <w14:textFill>
            <w14:solidFill>
              <w14:schemeClr w14:val="tx1"/>
            </w14:solidFill>
          </w14:textFill>
        </w:rPr>
        <w:t>会</w:t>
      </w:r>
      <w:r>
        <w:rPr>
          <w:rFonts w:hint="eastAsia" w:ascii="宋体" w:hAnsi="宋体" w:cs="宋体"/>
          <w:color w:val="000000" w:themeColor="text1"/>
          <w:sz w:val="24"/>
          <w:lang w:eastAsia="zh-CN"/>
          <w14:textFill>
            <w14:solidFill>
              <w14:schemeClr w14:val="tx1"/>
            </w14:solidFill>
          </w14:textFill>
        </w:rPr>
        <w:t>常务委员会</w:t>
      </w:r>
      <w:r>
        <w:rPr>
          <w:rFonts w:hint="eastAsia" w:ascii="宋体" w:hAnsi="宋体" w:cs="宋体"/>
          <w:color w:val="000000" w:themeColor="text1"/>
          <w:sz w:val="24"/>
          <w14:textFill>
            <w14:solidFill>
              <w14:schemeClr w14:val="tx1"/>
            </w14:solidFill>
          </w14:textFill>
        </w:rPr>
        <w:t>办公室、浙江省成套招标代理有限公司：</w:t>
      </w:r>
    </w:p>
    <w:p w14:paraId="04CC1346">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我方参与“数字人大”平台系统改造项目【招标编号：CTZB-2025060241】政府采购活动，郑重承诺：</w:t>
      </w:r>
    </w:p>
    <w:p w14:paraId="240C258B">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（一）具备《中华人民共和国政府采购法》第二十二条第一款规定的条件：</w:t>
      </w:r>
    </w:p>
    <w:p w14:paraId="0109196C">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1、具有独立承担民事责任的能力；</w:t>
      </w:r>
    </w:p>
    <w:p w14:paraId="5520E221">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2、具有良好的商业信誉和健全的财务会计制度； </w:t>
      </w:r>
    </w:p>
    <w:p w14:paraId="698FF809">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3、具有履行合同所必需的设备和专业技术能力；</w:t>
      </w:r>
    </w:p>
    <w:p w14:paraId="532B53B9">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4、有依法缴纳税收和社会保障资金的良好记录；</w:t>
      </w:r>
    </w:p>
    <w:p w14:paraId="4037D3F9">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5、参加政府采购活动前三年内，在经营活动中没有重大违法记录；</w:t>
      </w:r>
    </w:p>
    <w:p w14:paraId="38CBC349">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6、具有法律、行政法规规定的其他条件。</w:t>
      </w:r>
    </w:p>
    <w:p w14:paraId="7C0F9A76">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7DA5A3FD">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（三）不存在以下情况：</w:t>
      </w:r>
    </w:p>
    <w:p w14:paraId="56911C51">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1、单位负责人为同一人或者存在直接控股、管理关系的不同供应商参加同一合同项下的政府采购活动的；</w:t>
      </w:r>
    </w:p>
    <w:p w14:paraId="17F82F90">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2、为采购项目提供整体设计、规范编制或者项目管理、监理、检测等服务后再参加该采购项目的其他采购活动的。</w:t>
      </w:r>
    </w:p>
    <w:p w14:paraId="27455C83">
      <w:pPr>
        <w:snapToGrid w:val="0"/>
        <w:spacing w:line="360" w:lineRule="auto"/>
        <w:ind w:left="120"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投标人名称(电子签名)：</w:t>
      </w:r>
    </w:p>
    <w:p w14:paraId="2AFAE615">
      <w:pPr>
        <w:snapToGrid w:val="0"/>
        <w:spacing w:line="360" w:lineRule="auto"/>
        <w:ind w:left="120"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 xml:space="preserve">：  年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w:t>
      </w:r>
    </w:p>
    <w:p w14:paraId="76597AF5">
      <w:pPr>
        <w:widowControl/>
        <w:spacing w:line="360" w:lineRule="auto"/>
        <w:outlineLvl w:val="2"/>
        <w:rPr>
          <w:rFonts w:hint="eastAsia" w:ascii="宋体" w:hAnsi="宋体" w:cs="宋体"/>
          <w:b/>
          <w:color w:val="000000" w:themeColor="text1"/>
          <w:kern w:val="0"/>
          <w:sz w:val="32"/>
          <w:szCs w:val="32"/>
          <w14:textFill>
            <w14:solidFill>
              <w14:schemeClr w14:val="tx1"/>
            </w14:solidFill>
          </w14:textFill>
        </w:rPr>
      </w:pPr>
    </w:p>
    <w:p w14:paraId="61CF0635">
      <w:pPr>
        <w:widowControl/>
        <w:spacing w:line="360" w:lineRule="auto"/>
        <w:ind w:left="120" w:firstLine="643" w:firstLineChars="200"/>
        <w:jc w:val="center"/>
        <w:outlineLvl w:val="2"/>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二、联合协议（如果有）</w:t>
      </w:r>
    </w:p>
    <w:p w14:paraId="5E2E0D2C">
      <w:pPr>
        <w:widowControl/>
        <w:spacing w:line="360" w:lineRule="auto"/>
        <w:ind w:left="120" w:firstLine="482" w:firstLineChars="200"/>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以联合体形式投标的，提供联合协议（附件5）</w:t>
      </w:r>
    </w:p>
    <w:p w14:paraId="27BC3CBC">
      <w:pPr>
        <w:widowControl/>
        <w:spacing w:line="360" w:lineRule="auto"/>
        <w:ind w:left="120" w:firstLine="482" w:firstLineChars="200"/>
        <w:jc w:val="left"/>
        <w:rPr>
          <w:rFonts w:hint="eastAsia" w:ascii="宋体" w:hAnsi="宋体" w:cs="宋体"/>
          <w:b/>
          <w:color w:val="000000" w:themeColor="text1"/>
          <w:sz w:val="24"/>
          <w14:textFill>
            <w14:solidFill>
              <w14:schemeClr w14:val="tx1"/>
            </w14:solidFill>
          </w14:textFill>
        </w:rPr>
      </w:pPr>
    </w:p>
    <w:p w14:paraId="7B72B369">
      <w:pPr>
        <w:spacing w:line="360" w:lineRule="auto"/>
        <w:ind w:left="120" w:firstLine="643" w:firstLineChars="200"/>
        <w:jc w:val="center"/>
        <w:rPr>
          <w:rFonts w:hint="eastAsia"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 xml:space="preserve">      </w:t>
      </w:r>
    </w:p>
    <w:p w14:paraId="7A59CF68">
      <w:pPr>
        <w:spacing w:line="360" w:lineRule="auto"/>
        <w:ind w:left="120" w:firstLine="643" w:firstLineChars="200"/>
        <w:jc w:val="center"/>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 xml:space="preserve"> </w:t>
      </w:r>
      <w:r>
        <w:rPr>
          <w:rFonts w:hint="eastAsia" w:ascii="宋体" w:hAnsi="宋体" w:cs="宋体"/>
          <w:b/>
          <w:color w:val="000000" w:themeColor="text1"/>
          <w:kern w:val="0"/>
          <w:sz w:val="32"/>
          <w:szCs w:val="32"/>
          <w:lang w:val="zh-CN"/>
          <w14:textFill>
            <w14:solidFill>
              <w14:schemeClr w14:val="tx1"/>
            </w14:solidFill>
          </w14:textFill>
        </w:rPr>
        <w:t>授权委托书（适用于联合体投标）</w:t>
      </w:r>
    </w:p>
    <w:p w14:paraId="6276CA2E">
      <w:pPr>
        <w:snapToGrid w:val="0"/>
        <w:spacing w:line="360" w:lineRule="auto"/>
        <w:ind w:left="120"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杭州市上城区人民代表大会常务委员会办公室</w:t>
      </w:r>
      <w:r>
        <w:rPr>
          <w:rFonts w:hint="eastAsia" w:ascii="宋体" w:hAnsi="宋体" w:cs="宋体"/>
          <w:color w:val="000000" w:themeColor="text1"/>
          <w:sz w:val="24"/>
          <w14:textFill>
            <w14:solidFill>
              <w14:schemeClr w14:val="tx1"/>
            </w14:solidFill>
          </w14:textFill>
        </w:rPr>
        <w:t>、浙江省成套招标代理有限公司</w:t>
      </w:r>
      <w:r>
        <w:rPr>
          <w:rFonts w:hint="eastAsia" w:ascii="宋体" w:hAnsi="宋体" w:cs="宋体"/>
          <w:color w:val="000000" w:themeColor="text1"/>
          <w:kern w:val="0"/>
          <w:sz w:val="24"/>
          <w:lang w:val="zh-CN"/>
          <w14:textFill>
            <w14:solidFill>
              <w14:schemeClr w14:val="tx1"/>
            </w14:solidFill>
          </w14:textFill>
        </w:rPr>
        <w:t>：</w:t>
      </w:r>
    </w:p>
    <w:p w14:paraId="02373B3B">
      <w:pPr>
        <w:snapToGrid w:val="0"/>
        <w:spacing w:line="360" w:lineRule="auto"/>
        <w:ind w:left="120"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，所在单位：</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14:textFill>
            <w14:solidFill>
              <w14:schemeClr w14:val="tx1"/>
            </w14:solidFill>
          </w14:textFill>
        </w:rPr>
        <w:t>数字人大”平台系统改造项目【招标编号：CTZB-2025060241】</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14:paraId="1BE7E4DB">
      <w:pPr>
        <w:snapToGrid w:val="0"/>
        <w:spacing w:line="360" w:lineRule="auto"/>
        <w:ind w:left="120"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14:paraId="2A4375A9">
      <w:pPr>
        <w:snapToGrid w:val="0"/>
        <w:spacing w:line="360" w:lineRule="auto"/>
        <w:ind w:left="120"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14:paraId="7905A58A">
      <w:pPr>
        <w:spacing w:line="360" w:lineRule="auto"/>
        <w:ind w:left="120" w:firstLine="22"/>
        <w:jc w:val="center"/>
        <w:rPr>
          <w:rFonts w:hint="eastAsia" w:ascii="宋体" w:hAnsi="宋体" w:cs="宋体"/>
          <w:b/>
          <w:color w:val="000000" w:themeColor="text1"/>
          <w:kern w:val="0"/>
          <w:sz w:val="32"/>
          <w:szCs w:val="32"/>
          <w14:textFill>
            <w14:solidFill>
              <w14:schemeClr w14:val="tx1"/>
            </w14:solidFill>
          </w14:textFill>
        </w:rPr>
      </w:pPr>
    </w:p>
    <w:p w14:paraId="68AC9478">
      <w:pPr>
        <w:spacing w:line="360" w:lineRule="auto"/>
        <w:ind w:left="120" w:firstLine="22"/>
        <w:rPr>
          <w:rFonts w:hint="eastAsia" w:ascii="宋体" w:hAnsi="宋体" w:cs="宋体"/>
          <w:color w:val="000000" w:themeColor="text1"/>
          <w14:textFill>
            <w14:solidFill>
              <w14:schemeClr w14:val="tx1"/>
            </w14:solidFill>
          </w14:textFill>
        </w:rPr>
      </w:pPr>
    </w:p>
    <w:p w14:paraId="3FC8AAD1">
      <w:pPr>
        <w:snapToGrid w:val="0"/>
        <w:spacing w:line="360" w:lineRule="auto"/>
        <w:ind w:left="120"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104DEAFF">
      <w:pPr>
        <w:snapToGrid w:val="0"/>
        <w:spacing w:line="360" w:lineRule="auto"/>
        <w:ind w:left="120"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183CEEAA">
      <w:pPr>
        <w:snapToGrid w:val="0"/>
        <w:spacing w:line="360" w:lineRule="auto"/>
        <w:ind w:left="120"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14:paraId="749CA1CF">
      <w:pPr>
        <w:snapToGrid w:val="0"/>
        <w:spacing w:line="360" w:lineRule="auto"/>
        <w:ind w:left="120"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37F868ED">
      <w:pPr>
        <w:snapToGrid w:val="0"/>
        <w:spacing w:line="360" w:lineRule="auto"/>
        <w:ind w:left="120" w:right="480" w:firstLine="22"/>
        <w:jc w:val="center"/>
        <w:rPr>
          <w:rFonts w:hint="eastAsia" w:ascii="宋体" w:hAnsi="宋体" w:cs="宋体"/>
          <w:b/>
          <w:color w:val="000000" w:themeColor="text1"/>
          <w:kern w:val="0"/>
          <w:sz w:val="32"/>
          <w:szCs w:val="32"/>
          <w14:textFill>
            <w14:solidFill>
              <w14:schemeClr w14:val="tx1"/>
            </w14:solidFill>
          </w14:textFill>
        </w:rPr>
      </w:pPr>
    </w:p>
    <w:p w14:paraId="4FDE2723">
      <w:pPr>
        <w:snapToGrid w:val="0"/>
        <w:spacing w:line="360" w:lineRule="auto"/>
        <w:ind w:left="120" w:right="480" w:firstLine="643" w:firstLineChars="200"/>
        <w:jc w:val="center"/>
        <w:outlineLvl w:val="2"/>
        <w:rPr>
          <w:rFonts w:hint="eastAsia" w:ascii="宋体" w:hAnsi="宋体" w:cs="宋体"/>
          <w:b/>
          <w:color w:val="000000" w:themeColor="text1"/>
          <w:kern w:val="0"/>
          <w:sz w:val="32"/>
          <w:szCs w:val="32"/>
          <w14:textFill>
            <w14:solidFill>
              <w14:schemeClr w14:val="tx1"/>
            </w14:solidFill>
          </w14:textFill>
        </w:rPr>
      </w:pPr>
    </w:p>
    <w:p w14:paraId="189037CB">
      <w:pPr>
        <w:snapToGrid w:val="0"/>
        <w:spacing w:line="360" w:lineRule="auto"/>
        <w:ind w:left="120" w:right="480" w:firstLine="643" w:firstLineChars="200"/>
        <w:jc w:val="center"/>
        <w:outlineLvl w:val="2"/>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三、落实政府采购政策需满足的资格要求</w:t>
      </w:r>
    </w:p>
    <w:p w14:paraId="6FB9248F">
      <w:pPr>
        <w:spacing w:line="360" w:lineRule="auto"/>
        <w:ind w:left="120" w:firstLine="480" w:firstLineChars="200"/>
        <w:jc w:val="center"/>
        <w:rPr>
          <w:rFonts w:hint="eastAsia" w:ascii="宋体" w:hAnsi="宋体" w:cs="宋体"/>
          <w:color w:val="000000" w:themeColor="text1"/>
          <w:sz w:val="24"/>
          <w14:textFill>
            <w14:solidFill>
              <w14:schemeClr w14:val="tx1"/>
            </w14:solidFill>
          </w14:textFill>
        </w:rPr>
      </w:pPr>
      <w:bookmarkStart w:id="504" w:name="_Hlk201141958"/>
      <w:r>
        <w:rPr>
          <w:rFonts w:hint="eastAsia" w:ascii="宋体" w:hAnsi="宋体" w:cs="宋体"/>
          <w:color w:val="000000" w:themeColor="text1"/>
          <w:sz w:val="24"/>
          <w14:textFill>
            <w14:solidFill>
              <w14:schemeClr w14:val="tx1"/>
            </w14:solidFill>
          </w14:textFill>
        </w:rPr>
        <w:t>本项目专门面向中小企业采购，服务全部由符合政策要求的中小企业承接，提供中小企业声明函；</w:t>
      </w:r>
    </w:p>
    <w:bookmarkEnd w:id="504"/>
    <w:p w14:paraId="2CBC7C89">
      <w:pPr>
        <w:spacing w:line="360" w:lineRule="auto"/>
        <w:ind w:left="120" w:firstLine="643" w:firstLineChars="200"/>
        <w:jc w:val="center"/>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中小企业声明函（服务）</w:t>
      </w:r>
    </w:p>
    <w:p w14:paraId="56024D8A">
      <w:pPr>
        <w:spacing w:line="360" w:lineRule="auto"/>
        <w:ind w:left="120"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u w:val="single"/>
          <w:lang w:eastAsia="zh-CN"/>
          <w14:textFill>
            <w14:solidFill>
              <w14:schemeClr w14:val="tx1"/>
            </w14:solidFill>
          </w14:textFill>
        </w:rPr>
        <w:t>杭州市上城区人民代表大会常务委员会办公室</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u w:val="single"/>
          <w14:textFill>
            <w14:solidFill>
              <w14:schemeClr w14:val="tx1"/>
            </w14:solidFill>
          </w14:textFill>
        </w:rPr>
        <w:t xml:space="preserve"> “数字人大”平台系统改造项目</w:t>
      </w:r>
      <w:r>
        <w:rPr>
          <w:rFonts w:hint="eastAsia" w:ascii="宋体" w:hAnsi="宋体" w:cs="宋体"/>
          <w:color w:val="000000" w:themeColor="text1"/>
          <w:sz w:val="24"/>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316582B2">
      <w:pPr>
        <w:spacing w:line="360" w:lineRule="auto"/>
        <w:ind w:left="120"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（“数字人大”平台系统改造 ）</w:t>
      </w:r>
      <w:r>
        <w:rPr>
          <w:rFonts w:hint="eastAsia" w:ascii="宋体" w:hAnsi="宋体" w:cs="宋体"/>
          <w:color w:val="000000" w:themeColor="text1"/>
          <w:sz w:val="24"/>
          <w14:textFill>
            <w14:solidFill>
              <w14:schemeClr w14:val="tx1"/>
            </w14:solidFill>
          </w14:textFill>
        </w:rPr>
        <w:t>，属于</w:t>
      </w:r>
      <w:r>
        <w:rPr>
          <w:rFonts w:hint="eastAsia" w:ascii="宋体" w:hAnsi="宋体" w:cs="宋体"/>
          <w:b/>
          <w:bCs/>
          <w:color w:val="000000" w:themeColor="text1"/>
          <w:kern w:val="0"/>
          <w:sz w:val="24"/>
          <w:u w:val="single"/>
          <w14:textFill>
            <w14:solidFill>
              <w14:schemeClr w14:val="tx1"/>
            </w14:solidFill>
          </w14:textFill>
        </w:rPr>
        <w:t>软件和信息技术服务业行业</w:t>
      </w:r>
      <w:r>
        <w:rPr>
          <w:rFonts w:hint="eastAsia" w:ascii="宋体" w:hAnsi="宋体" w:cs="宋体"/>
          <w:color w:val="000000" w:themeColor="text1"/>
          <w:sz w:val="24"/>
          <w14:textFill>
            <w14:solidFill>
              <w14:schemeClr w14:val="tx1"/>
            </w14:solidFill>
          </w14:textFill>
        </w:rPr>
        <w:t xml:space="preserve"> ；承建（承接）企业为 </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（中型企业、小型企业、微型企业） </w:t>
      </w:r>
      <w:r>
        <w:rPr>
          <w:rFonts w:hint="eastAsia" w:ascii="宋体" w:hAnsi="宋体" w:cs="宋体"/>
          <w:color w:val="000000" w:themeColor="text1"/>
          <w:sz w:val="24"/>
          <w14:textFill>
            <w14:solidFill>
              <w14:schemeClr w14:val="tx1"/>
            </w14:solidFill>
          </w14:textFill>
        </w:rPr>
        <w:t>；</w:t>
      </w:r>
    </w:p>
    <w:p w14:paraId="1E53BF28">
      <w:pPr>
        <w:spacing w:line="360" w:lineRule="auto"/>
        <w:ind w:left="120"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u w:val="single"/>
          <w14:textFill>
            <w14:solidFill>
              <w14:schemeClr w14:val="tx1"/>
            </w14:solidFill>
          </w14:textFill>
        </w:rPr>
        <w:t xml:space="preserve"> （“数字人大”平台系统改造 ），</w:t>
      </w:r>
      <w:r>
        <w:rPr>
          <w:rFonts w:hint="eastAsia" w:ascii="宋体" w:hAnsi="宋体" w:cs="宋体"/>
          <w:color w:val="000000" w:themeColor="text1"/>
          <w:sz w:val="24"/>
          <w14:textFill>
            <w14:solidFill>
              <w14:schemeClr w14:val="tx1"/>
            </w14:solidFill>
          </w14:textFill>
        </w:rPr>
        <w:t xml:space="preserve">属于 </w:t>
      </w:r>
      <w:r>
        <w:rPr>
          <w:rFonts w:hint="eastAsia" w:ascii="宋体" w:hAnsi="宋体" w:cs="宋体"/>
          <w:b/>
          <w:bCs/>
          <w:color w:val="000000" w:themeColor="text1"/>
          <w:kern w:val="0"/>
          <w:sz w:val="24"/>
          <w:u w:val="single"/>
          <w14:textFill>
            <w14:solidFill>
              <w14:schemeClr w14:val="tx1"/>
            </w14:solidFill>
          </w14:textFill>
        </w:rPr>
        <w:t>软件和信息技术服务业行业</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；承建（承接）企业为 </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（中型企业、小型企业、微型企业） </w:t>
      </w:r>
      <w:r>
        <w:rPr>
          <w:rFonts w:hint="eastAsia" w:ascii="宋体" w:hAnsi="宋体" w:cs="宋体"/>
          <w:color w:val="000000" w:themeColor="text1"/>
          <w:sz w:val="24"/>
          <w14:textFill>
            <w14:solidFill>
              <w14:schemeClr w14:val="tx1"/>
            </w14:solidFill>
          </w14:textFill>
        </w:rPr>
        <w:t>；</w:t>
      </w:r>
    </w:p>
    <w:p w14:paraId="0DD928DE">
      <w:pPr>
        <w:spacing w:line="360" w:lineRule="auto"/>
        <w:ind w:left="120"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5F017D20">
      <w:pPr>
        <w:spacing w:line="360" w:lineRule="auto"/>
        <w:ind w:left="120"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14:paraId="572A2278">
      <w:pPr>
        <w:spacing w:line="360" w:lineRule="auto"/>
        <w:ind w:left="120"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本企业对上述声明内容的真实性负责。如有虚假，将依法承担相应责任。</w:t>
      </w:r>
    </w:p>
    <w:p w14:paraId="06793A60">
      <w:pPr>
        <w:spacing w:line="360" w:lineRule="auto"/>
        <w:ind w:left="120" w:right="176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投标人名称（电子签名）：</w:t>
      </w:r>
    </w:p>
    <w:p w14:paraId="73C1341D">
      <w:pPr>
        <w:spacing w:line="360" w:lineRule="auto"/>
        <w:ind w:left="120" w:right="1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p>
    <w:p w14:paraId="55F92210">
      <w:pPr>
        <w:spacing w:line="360" w:lineRule="auto"/>
        <w:ind w:left="120" w:firstLine="422" w:firstLineChars="200"/>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从业人员、营业收入、资产总额填报上一年度数据，无上一年度数据的新成立企业可不填报。</w:t>
      </w:r>
    </w:p>
    <w:p w14:paraId="519C9E72">
      <w:pPr>
        <w:spacing w:line="360" w:lineRule="auto"/>
        <w:ind w:left="120" w:right="420" w:firstLine="22"/>
        <w:rPr>
          <w:rFonts w:hint="eastAsia" w:ascii="宋体" w:hAnsi="宋体" w:cs="宋体"/>
          <w:color w:val="000000" w:themeColor="text1"/>
          <w:sz w:val="24"/>
          <w14:textFill>
            <w14:solidFill>
              <w14:schemeClr w14:val="tx1"/>
            </w14:solidFill>
          </w14:textFill>
        </w:rPr>
      </w:pPr>
    </w:p>
    <w:p w14:paraId="00776511">
      <w:pPr>
        <w:spacing w:line="360" w:lineRule="auto"/>
        <w:ind w:right="4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7F6CF4FE">
      <w:pPr>
        <w:pStyle w:val="82"/>
        <w:rPr>
          <w:rFonts w:hint="eastAsia" w:ascii="宋体" w:hAnsi="宋体" w:eastAsia="宋体"/>
          <w:color w:val="000000" w:themeColor="text1"/>
          <w14:textFill>
            <w14:solidFill>
              <w14:schemeClr w14:val="tx1"/>
            </w14:solidFill>
          </w14:textFill>
        </w:rPr>
      </w:pPr>
    </w:p>
    <w:p w14:paraId="11FFC0D8">
      <w:pPr>
        <w:widowControl/>
        <w:spacing w:line="360" w:lineRule="auto"/>
        <w:ind w:left="120" w:firstLine="643" w:firstLineChars="200"/>
        <w:jc w:val="center"/>
        <w:outlineLvl w:val="2"/>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四、本项目的特定资格要求</w:t>
      </w:r>
    </w:p>
    <w:p w14:paraId="1B95D432">
      <w:pPr>
        <w:spacing w:line="360" w:lineRule="auto"/>
        <w:ind w:left="120" w:firstLine="480" w:firstLineChars="20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（根据招标公告本项目的特定资格要求提供相应的材料；未要求的，无需提供）</w:t>
      </w:r>
    </w:p>
    <w:p w14:paraId="5DFA3EB4">
      <w:pPr>
        <w:widowControl/>
        <w:adjustRightInd/>
        <w:spacing w:line="360" w:lineRule="auto"/>
        <w:ind w:firstLine="723" w:firstLineChars="200"/>
        <w:jc w:val="left"/>
        <w:rPr>
          <w:rFonts w:hint="eastAsia"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br w:type="page"/>
      </w:r>
    </w:p>
    <w:p w14:paraId="6444769A">
      <w:pPr>
        <w:widowControl/>
        <w:adjustRightInd/>
        <w:spacing w:line="360" w:lineRule="auto"/>
        <w:ind w:left="120" w:firstLine="723" w:firstLineChars="200"/>
        <w:jc w:val="center"/>
        <w:rPr>
          <w:rFonts w:hint="eastAsia"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商务技术文件部分</w:t>
      </w:r>
    </w:p>
    <w:p w14:paraId="3186CB69">
      <w:pPr>
        <w:spacing w:line="360" w:lineRule="auto"/>
        <w:ind w:left="120" w:firstLine="22"/>
        <w:jc w:val="center"/>
        <w:rPr>
          <w:rFonts w:hint="eastAsia" w:ascii="宋体" w:hAnsi="宋体" w:cs="宋体"/>
          <w:b/>
          <w:color w:val="000000" w:themeColor="text1"/>
          <w:kern w:val="0"/>
          <w:sz w:val="24"/>
          <w14:textFill>
            <w14:solidFill>
              <w14:schemeClr w14:val="tx1"/>
            </w14:solidFill>
          </w14:textFill>
        </w:rPr>
      </w:pPr>
    </w:p>
    <w:p w14:paraId="1B365057">
      <w:pPr>
        <w:spacing w:line="360" w:lineRule="auto"/>
        <w:ind w:left="120" w:firstLine="562" w:firstLineChars="200"/>
        <w:jc w:val="center"/>
        <w:rPr>
          <w:rFonts w:hint="eastAsia"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 xml:space="preserve">    目录</w:t>
      </w:r>
    </w:p>
    <w:p w14:paraId="0DB4E13E">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（1）投标函</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（页码）</w:t>
      </w:r>
    </w:p>
    <w:p w14:paraId="6F31AD82">
      <w:pPr>
        <w:snapToGrid w:val="0"/>
        <w:spacing w:line="360" w:lineRule="auto"/>
        <w:ind w:left="479" w:leftChars="228"/>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（2）授权委托书或法定代表人（单位负责人、自然人本人）身份证明</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（页码）</w:t>
      </w:r>
    </w:p>
    <w:p w14:paraId="5FDA57F3">
      <w:pPr>
        <w:snapToGrid w:val="0"/>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（页码）</w:t>
      </w:r>
    </w:p>
    <w:p w14:paraId="566CEBB4">
      <w:pPr>
        <w:snapToGrid w:val="0"/>
        <w:spacing w:line="360" w:lineRule="auto"/>
        <w:ind w:left="479" w:leftChars="228"/>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）符合性审查资料…………………………………………………………（页码）</w:t>
      </w:r>
    </w:p>
    <w:p w14:paraId="2B9B3DD8">
      <w:pPr>
        <w:snapToGrid w:val="0"/>
        <w:spacing w:line="360" w:lineRule="auto"/>
        <w:ind w:left="479" w:leftChars="228"/>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（5）评标标准相应的商务技术资料…………………………………………（页码）</w:t>
      </w:r>
    </w:p>
    <w:p w14:paraId="7DA05F0E">
      <w:pPr>
        <w:snapToGrid w:val="0"/>
        <w:spacing w:line="360" w:lineRule="auto"/>
        <w:ind w:left="479" w:leftChars="228"/>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（6）投标标的清单………………………………………………………………（页码）</w:t>
      </w:r>
    </w:p>
    <w:p w14:paraId="0C6BA941">
      <w:pPr>
        <w:snapToGrid w:val="0"/>
        <w:spacing w:line="360" w:lineRule="auto"/>
        <w:ind w:left="479" w:leftChars="228"/>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（7）商务技术偏离表…………………………………………………………（页码）</w:t>
      </w:r>
    </w:p>
    <w:p w14:paraId="1948DE2F">
      <w:pPr>
        <w:snapToGrid w:val="0"/>
        <w:spacing w:line="360" w:lineRule="auto"/>
        <w:ind w:left="479" w:leftChars="228"/>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）政府采购供应商廉洁自律承诺书</w:t>
      </w:r>
      <w:r>
        <w:rPr>
          <w:rFonts w:hint="eastAsia" w:ascii="宋体" w:hAnsi="宋体" w:cs="宋体"/>
          <w:color w:val="000000" w:themeColor="text1"/>
          <w:sz w:val="24"/>
          <w14:textFill>
            <w14:solidFill>
              <w14:schemeClr w14:val="tx1"/>
            </w14:solidFill>
          </w14:textFill>
        </w:rPr>
        <w:t>………………………………………（页码）</w:t>
      </w:r>
    </w:p>
    <w:p w14:paraId="1B807410">
      <w:pPr>
        <w:snapToGrid w:val="0"/>
        <w:spacing w:line="360" w:lineRule="auto"/>
        <w:ind w:left="120" w:firstLine="22"/>
        <w:jc w:val="center"/>
        <w:rPr>
          <w:rFonts w:hint="eastAsia" w:ascii="宋体" w:hAnsi="宋体" w:cs="宋体"/>
          <w:b/>
          <w:color w:val="000000" w:themeColor="text1"/>
          <w:kern w:val="0"/>
          <w:sz w:val="32"/>
          <w:szCs w:val="32"/>
          <w:lang w:val="zh-CN"/>
          <w14:textFill>
            <w14:solidFill>
              <w14:schemeClr w14:val="tx1"/>
            </w14:solidFill>
          </w14:textFill>
        </w:rPr>
      </w:pPr>
    </w:p>
    <w:p w14:paraId="29F14C20">
      <w:pPr>
        <w:snapToGrid w:val="0"/>
        <w:spacing w:line="360" w:lineRule="auto"/>
        <w:ind w:left="120" w:firstLine="22"/>
        <w:jc w:val="center"/>
        <w:rPr>
          <w:rFonts w:hint="eastAsia" w:ascii="宋体" w:hAnsi="宋体" w:cs="宋体"/>
          <w:b/>
          <w:color w:val="000000" w:themeColor="text1"/>
          <w:kern w:val="0"/>
          <w:sz w:val="32"/>
          <w:szCs w:val="32"/>
          <w:lang w:val="zh-CN"/>
          <w14:textFill>
            <w14:solidFill>
              <w14:schemeClr w14:val="tx1"/>
            </w14:solidFill>
          </w14:textFill>
        </w:rPr>
      </w:pPr>
    </w:p>
    <w:p w14:paraId="290237F3">
      <w:pPr>
        <w:snapToGrid w:val="0"/>
        <w:spacing w:line="360" w:lineRule="auto"/>
        <w:ind w:left="120" w:firstLine="22"/>
        <w:jc w:val="center"/>
        <w:rPr>
          <w:rFonts w:hint="eastAsia" w:ascii="宋体" w:hAnsi="宋体" w:cs="宋体"/>
          <w:b/>
          <w:color w:val="000000" w:themeColor="text1"/>
          <w:kern w:val="0"/>
          <w:sz w:val="32"/>
          <w:szCs w:val="32"/>
          <w:lang w:val="zh-CN"/>
          <w14:textFill>
            <w14:solidFill>
              <w14:schemeClr w14:val="tx1"/>
            </w14:solidFill>
          </w14:textFill>
        </w:rPr>
      </w:pPr>
    </w:p>
    <w:p w14:paraId="55293453">
      <w:pPr>
        <w:snapToGrid w:val="0"/>
        <w:spacing w:line="360" w:lineRule="auto"/>
        <w:ind w:left="120" w:firstLine="22"/>
        <w:jc w:val="center"/>
        <w:rPr>
          <w:rFonts w:hint="eastAsia" w:ascii="宋体" w:hAnsi="宋体" w:cs="宋体"/>
          <w:b/>
          <w:color w:val="000000" w:themeColor="text1"/>
          <w:kern w:val="0"/>
          <w:sz w:val="32"/>
          <w:szCs w:val="32"/>
          <w:lang w:val="zh-CN"/>
          <w14:textFill>
            <w14:solidFill>
              <w14:schemeClr w14:val="tx1"/>
            </w14:solidFill>
          </w14:textFill>
        </w:rPr>
      </w:pPr>
    </w:p>
    <w:p w14:paraId="28C94632">
      <w:pPr>
        <w:pStyle w:val="82"/>
        <w:rPr>
          <w:rFonts w:hint="eastAsia" w:ascii="宋体" w:hAnsi="宋体" w:eastAsia="宋体"/>
          <w:color w:val="000000" w:themeColor="text1"/>
          <w:lang w:val="zh-CN"/>
          <w14:textFill>
            <w14:solidFill>
              <w14:schemeClr w14:val="tx1"/>
            </w14:solidFill>
          </w14:textFill>
        </w:rPr>
      </w:pPr>
    </w:p>
    <w:p w14:paraId="4C96B12C">
      <w:pPr>
        <w:pStyle w:val="82"/>
        <w:rPr>
          <w:rFonts w:hint="eastAsia" w:ascii="宋体" w:hAnsi="宋体" w:eastAsia="宋体"/>
          <w:color w:val="000000" w:themeColor="text1"/>
          <w:lang w:val="zh-CN"/>
          <w14:textFill>
            <w14:solidFill>
              <w14:schemeClr w14:val="tx1"/>
            </w14:solidFill>
          </w14:textFill>
        </w:rPr>
      </w:pPr>
    </w:p>
    <w:p w14:paraId="4C17C9FD">
      <w:pPr>
        <w:pStyle w:val="82"/>
        <w:rPr>
          <w:rFonts w:hint="eastAsia" w:ascii="宋体" w:hAnsi="宋体" w:eastAsia="宋体"/>
          <w:color w:val="000000" w:themeColor="text1"/>
          <w:lang w:val="zh-CN"/>
          <w14:textFill>
            <w14:solidFill>
              <w14:schemeClr w14:val="tx1"/>
            </w14:solidFill>
          </w14:textFill>
        </w:rPr>
      </w:pPr>
    </w:p>
    <w:p w14:paraId="47ACC30E">
      <w:pPr>
        <w:pStyle w:val="82"/>
        <w:rPr>
          <w:rFonts w:hint="eastAsia" w:ascii="宋体" w:hAnsi="宋体" w:eastAsia="宋体"/>
          <w:color w:val="000000" w:themeColor="text1"/>
          <w:lang w:val="zh-CN"/>
          <w14:textFill>
            <w14:solidFill>
              <w14:schemeClr w14:val="tx1"/>
            </w14:solidFill>
          </w14:textFill>
        </w:rPr>
      </w:pPr>
    </w:p>
    <w:p w14:paraId="49C3C940">
      <w:pPr>
        <w:pStyle w:val="82"/>
        <w:rPr>
          <w:rFonts w:hint="eastAsia" w:ascii="宋体" w:hAnsi="宋体" w:eastAsia="宋体"/>
          <w:color w:val="000000" w:themeColor="text1"/>
          <w:lang w:val="zh-CN"/>
          <w14:textFill>
            <w14:solidFill>
              <w14:schemeClr w14:val="tx1"/>
            </w14:solidFill>
          </w14:textFill>
        </w:rPr>
      </w:pPr>
    </w:p>
    <w:p w14:paraId="770C7BEE">
      <w:pPr>
        <w:spacing w:line="360" w:lineRule="auto"/>
        <w:ind w:left="120" w:firstLine="19" w:firstLineChars="6"/>
        <w:jc w:val="center"/>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一、投标</w:t>
      </w:r>
      <w:r>
        <w:rPr>
          <w:rFonts w:hint="eastAsia" w:ascii="宋体" w:hAnsi="宋体" w:cs="宋体"/>
          <w:b/>
          <w:color w:val="000000" w:themeColor="text1"/>
          <w:sz w:val="32"/>
          <w:szCs w:val="32"/>
          <w14:textFill>
            <w14:solidFill>
              <w14:schemeClr w14:val="tx1"/>
            </w14:solidFill>
          </w14:textFill>
        </w:rPr>
        <w:t>函</w:t>
      </w:r>
    </w:p>
    <w:p w14:paraId="34FB57F1">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杭州市上城区人民代表大会常务委员会办公室</w:t>
      </w:r>
      <w:r>
        <w:rPr>
          <w:rFonts w:hint="eastAsia" w:ascii="宋体" w:hAnsi="宋体" w:cs="宋体"/>
          <w:color w:val="000000" w:themeColor="text1"/>
          <w:sz w:val="24"/>
          <w14:textFill>
            <w14:solidFill>
              <w14:schemeClr w14:val="tx1"/>
            </w14:solidFill>
          </w14:textFill>
        </w:rPr>
        <w:t>、浙江省成套招标代理有限公司：</w:t>
      </w:r>
    </w:p>
    <w:p w14:paraId="29698368">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我方参加你方组织的“数字人大”平台系统改造项目【招标编号：CTZB-2025060241】招标的有关活动，并对此项目进行投标。为此：</w:t>
      </w:r>
    </w:p>
    <w:p w14:paraId="4FE2F1DD">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1、我方承诺投标有效期从提交投标文件的截止之日起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天（不少于90天）</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本投标文件在投标有效期满之前均具有约束力。</w:t>
      </w:r>
    </w:p>
    <w:p w14:paraId="50659742">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2、我方的投标文件包括以下内容：</w:t>
      </w:r>
    </w:p>
    <w:p w14:paraId="64688F00">
      <w:pPr>
        <w:snapToGrid w:val="0"/>
        <w:spacing w:line="360" w:lineRule="auto"/>
        <w:ind w:left="210" w:leftChars="1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2.1资格文件：</w:t>
      </w:r>
    </w:p>
    <w:p w14:paraId="1A42CC8B">
      <w:pPr>
        <w:snapToGrid w:val="0"/>
        <w:spacing w:line="360" w:lineRule="auto"/>
        <w:ind w:left="420" w:leftChars="2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2.1.1承诺函；</w:t>
      </w:r>
    </w:p>
    <w:p w14:paraId="0FADA64C">
      <w:pPr>
        <w:snapToGrid w:val="0"/>
        <w:spacing w:line="360" w:lineRule="auto"/>
        <w:ind w:left="420" w:leftChars="2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w:t>
      </w:r>
      <w:r>
        <w:rPr>
          <w:rFonts w:hint="eastAsia" w:ascii="宋体" w:hAnsi="宋体" w:cs="宋体"/>
          <w:snapToGrid w:val="0"/>
          <w:color w:val="000000" w:themeColor="text1"/>
          <w:kern w:val="28"/>
          <w:sz w:val="24"/>
          <w:szCs w:val="20"/>
          <w14:textFill>
            <w14:solidFill>
              <w14:schemeClr w14:val="tx1"/>
            </w14:solidFill>
          </w14:textFill>
        </w:rPr>
        <w:t>联合协议</w:t>
      </w:r>
      <w:bookmarkStart w:id="505" w:name="_Hlk101257010"/>
      <w:r>
        <w:rPr>
          <w:rFonts w:hint="eastAsia" w:ascii="宋体" w:hAnsi="宋体" w:cs="宋体"/>
          <w:color w:val="000000" w:themeColor="text1"/>
          <w:sz w:val="24"/>
          <w14:textFill>
            <w14:solidFill>
              <w14:schemeClr w14:val="tx1"/>
            </w14:solidFill>
          </w14:textFill>
        </w:rPr>
        <w:t>（如果有)</w:t>
      </w:r>
      <w:bookmarkEnd w:id="505"/>
      <w:r>
        <w:rPr>
          <w:rFonts w:hint="eastAsia" w:ascii="宋体" w:hAnsi="宋体" w:cs="宋体"/>
          <w:snapToGrid w:val="0"/>
          <w:color w:val="000000" w:themeColor="text1"/>
          <w:kern w:val="28"/>
          <w:sz w:val="24"/>
          <w:szCs w:val="20"/>
          <w14:textFill>
            <w14:solidFill>
              <w14:schemeClr w14:val="tx1"/>
            </w14:solidFill>
          </w14:textFill>
        </w:rPr>
        <w:t>；</w:t>
      </w:r>
    </w:p>
    <w:p w14:paraId="13D1751F">
      <w:pPr>
        <w:snapToGrid w:val="0"/>
        <w:spacing w:line="360" w:lineRule="auto"/>
        <w:ind w:left="420" w:leftChars="2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.1.3</w:t>
      </w:r>
      <w:r>
        <w:rPr>
          <w:rFonts w:hint="eastAsia" w:ascii="宋体" w:hAnsi="宋体" w:cs="宋体"/>
          <w:color w:val="000000" w:themeColor="text1"/>
          <w:sz w:val="24"/>
          <w14:textFill>
            <w14:solidFill>
              <w14:schemeClr w14:val="tx1"/>
            </w14:solidFill>
          </w14:textFill>
        </w:rPr>
        <w:t>落实政府采购政策需满足的资格要求（如果有）；</w:t>
      </w:r>
    </w:p>
    <w:p w14:paraId="6586F2FC">
      <w:pPr>
        <w:snapToGrid w:val="0"/>
        <w:spacing w:line="360" w:lineRule="auto"/>
        <w:ind w:left="420" w:leftChars="2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本项目的特定资格要求（如果有)。</w:t>
      </w:r>
    </w:p>
    <w:p w14:paraId="0524ADC1">
      <w:pPr>
        <w:snapToGrid w:val="0"/>
        <w:spacing w:line="360" w:lineRule="auto"/>
        <w:ind w:left="210" w:leftChars="100" w:firstLine="480" w:firstLineChars="20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商务技术</w:t>
      </w:r>
      <w:r>
        <w:rPr>
          <w:rFonts w:hint="eastAsia" w:ascii="宋体" w:hAnsi="宋体" w:cs="宋体"/>
          <w:color w:val="000000" w:themeColor="text1"/>
          <w:sz w:val="24"/>
          <w:lang w:val="zh-CN"/>
          <w14:textFill>
            <w14:solidFill>
              <w14:schemeClr w14:val="tx1"/>
            </w14:solidFill>
          </w14:textFill>
        </w:rPr>
        <w:t>文件：</w:t>
      </w:r>
    </w:p>
    <w:p w14:paraId="6B2A706B">
      <w:pPr>
        <w:snapToGrid w:val="0"/>
        <w:spacing w:line="360" w:lineRule="auto"/>
        <w:ind w:left="420" w:leftChars="2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2.2.1投标函；</w:t>
      </w:r>
      <w:r>
        <w:rPr>
          <w:rFonts w:hint="eastAsia" w:ascii="宋体" w:hAnsi="宋体" w:cs="宋体"/>
          <w:color w:val="000000" w:themeColor="text1"/>
          <w:sz w:val="24"/>
          <w:lang w:val="zh-CN"/>
          <w14:textFill>
            <w14:solidFill>
              <w14:schemeClr w14:val="tx1"/>
            </w14:solidFill>
          </w14:textFill>
        </w:rPr>
        <w:t xml:space="preserve"> </w:t>
      </w:r>
    </w:p>
    <w:p w14:paraId="5627B89F">
      <w:pPr>
        <w:snapToGrid w:val="0"/>
        <w:spacing w:line="360" w:lineRule="auto"/>
        <w:ind w:left="420" w:leftChars="2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2.2.2授权委托书或法定代表人（单位负责人）身份证明；</w:t>
      </w:r>
    </w:p>
    <w:p w14:paraId="4CE2A06D">
      <w:pPr>
        <w:snapToGrid w:val="0"/>
        <w:spacing w:line="360" w:lineRule="auto"/>
        <w:ind w:left="420" w:leftChars="2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分包意向协议（如果有)；</w:t>
      </w:r>
    </w:p>
    <w:p w14:paraId="2D314852">
      <w:pPr>
        <w:snapToGrid w:val="0"/>
        <w:spacing w:line="360" w:lineRule="auto"/>
        <w:ind w:left="420" w:leftChars="2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p>
    <w:p w14:paraId="56B039A5">
      <w:pPr>
        <w:snapToGrid w:val="0"/>
        <w:spacing w:line="360" w:lineRule="auto"/>
        <w:ind w:left="420" w:leftChars="2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评标标准相应的商务技术资料；</w:t>
      </w:r>
    </w:p>
    <w:p w14:paraId="41A05033">
      <w:pPr>
        <w:snapToGrid w:val="0"/>
        <w:spacing w:line="360" w:lineRule="auto"/>
        <w:ind w:left="420" w:leftChars="2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投标标的清单；</w:t>
      </w:r>
    </w:p>
    <w:p w14:paraId="3E318586">
      <w:pPr>
        <w:snapToGrid w:val="0"/>
        <w:spacing w:line="360" w:lineRule="auto"/>
        <w:ind w:left="420" w:leftChars="2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商务技术偏离表；</w:t>
      </w:r>
    </w:p>
    <w:p w14:paraId="0CDC4D16">
      <w:pPr>
        <w:snapToGrid w:val="0"/>
        <w:spacing w:line="360" w:lineRule="auto"/>
        <w:ind w:left="420" w:leftChars="200" w:firstLine="480" w:firstLineChars="20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政府采购供应商廉洁自律承诺书；</w:t>
      </w:r>
    </w:p>
    <w:p w14:paraId="7A85EB94">
      <w:pPr>
        <w:snapToGrid w:val="0"/>
        <w:spacing w:line="360" w:lineRule="auto"/>
        <w:ind w:left="210" w:leftChars="1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3报价文件</w:t>
      </w:r>
    </w:p>
    <w:p w14:paraId="7EAB7B82">
      <w:pPr>
        <w:snapToGrid w:val="0"/>
        <w:spacing w:line="360" w:lineRule="auto"/>
        <w:ind w:left="420" w:leftChars="2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2.3.1开标一览表（报价表）。</w:t>
      </w:r>
    </w:p>
    <w:p w14:paraId="13AE160D">
      <w:pPr>
        <w:numPr>
          <w:ilvl w:val="255"/>
          <w:numId w:val="0"/>
        </w:num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ascii="宋体" w:hAnsi="宋体" w:cs="宋体"/>
          <w:color w:val="000000" w:themeColor="text1"/>
          <w:sz w:val="24"/>
          <w14:textFill>
            <w14:solidFill>
              <w14:schemeClr w14:val="tx1"/>
            </w14:solidFill>
          </w14:textFill>
        </w:rPr>
        <w:t>我方承诺除商务技术偏离表列出的偏离外，我方响应招标文件的全部要求。对投标文件中材料的真实性、合法性负责，积极配合采购人、采购代理机构复核投标文件中的资料</w:t>
      </w:r>
      <w:r>
        <w:rPr>
          <w:rFonts w:hint="eastAsia" w:ascii="宋体" w:hAnsi="宋体" w:cs="宋体"/>
          <w:color w:val="000000" w:themeColor="text1"/>
          <w:sz w:val="24"/>
          <w14:textFill>
            <w14:solidFill>
              <w14:schemeClr w14:val="tx1"/>
            </w14:solidFill>
          </w14:textFill>
        </w:rPr>
        <w:t>。</w:t>
      </w:r>
    </w:p>
    <w:p w14:paraId="1890B2E3">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4、如我方中标，我方承诺：</w:t>
      </w:r>
    </w:p>
    <w:p w14:paraId="022B70DB">
      <w:pPr>
        <w:snapToGrid w:val="0"/>
        <w:spacing w:line="360" w:lineRule="auto"/>
        <w:ind w:left="210" w:leftChars="1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4.1在收到中标通知书后，在中标通知书规定的期限内与你方签订合同； </w:t>
      </w:r>
    </w:p>
    <w:p w14:paraId="5795327C">
      <w:pPr>
        <w:snapToGrid w:val="0"/>
        <w:spacing w:line="360" w:lineRule="auto"/>
        <w:ind w:left="210" w:leftChars="1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4.2在签订合同时不向你方提出附加条件； </w:t>
      </w:r>
    </w:p>
    <w:p w14:paraId="11BEB058">
      <w:pPr>
        <w:snapToGrid w:val="0"/>
        <w:spacing w:line="360" w:lineRule="auto"/>
        <w:ind w:left="210" w:leftChars="1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4.3按照采购文件要求提交履约保证金； </w:t>
      </w:r>
    </w:p>
    <w:p w14:paraId="5B7FDCA9">
      <w:pPr>
        <w:snapToGrid w:val="0"/>
        <w:spacing w:line="360" w:lineRule="auto"/>
        <w:ind w:left="210" w:leftChars="1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4.4在合同约定的期限内完成合同规定的全部义务。 </w:t>
      </w:r>
    </w:p>
    <w:p w14:paraId="53411E2E">
      <w:pPr>
        <w:spacing w:line="360" w:lineRule="auto"/>
        <w:ind w:firstLine="480" w:firstLineChars="200"/>
        <w:rPr>
          <w:rFonts w:hint="eastAsia" w:ascii="宋体" w:hAnsi="宋体" w:cs="宋体"/>
          <w:color w:val="000000" w:themeColor="text1"/>
          <w:sz w:val="24"/>
          <w:shd w:val="clear" w:color="auto" w:fill="FFFFFF"/>
          <w14:textFill>
            <w14:solidFill>
              <w14:schemeClr w14:val="tx1"/>
            </w14:solidFill>
          </w14:textFill>
        </w:rPr>
      </w:pPr>
      <w:r>
        <w:rPr>
          <w:rFonts w:hint="eastAsia" w:ascii="宋体" w:hAnsi="宋体" w:cs="宋体"/>
          <w:color w:val="000000" w:themeColor="text1"/>
          <w:sz w:val="24"/>
          <w14:textFill>
            <w14:solidFill>
              <w14:schemeClr w14:val="tx1"/>
            </w14:solidFill>
          </w14:textFill>
        </w:rPr>
        <w:t>5、对</w:t>
      </w:r>
      <w:r>
        <w:rPr>
          <w:rFonts w:hint="eastAsia" w:ascii="宋体" w:hAnsi="宋体" w:cs="宋体"/>
          <w:color w:val="000000" w:themeColor="text1"/>
          <w:sz w:val="24"/>
          <w:shd w:val="clear" w:color="auto" w:fill="FFFFFF"/>
          <w14:textFill>
            <w14:solidFill>
              <w14:schemeClr w14:val="tx1"/>
            </w14:solidFill>
          </w14:textFill>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42F9BF0">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6、其他补充说明: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317DF5C5">
      <w:pPr>
        <w:spacing w:line="360" w:lineRule="auto"/>
        <w:ind w:left="120" w:firstLine="3840" w:firstLineChars="16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投标人名称（电子签名）：                          </w:t>
      </w:r>
    </w:p>
    <w:p w14:paraId="484A4728">
      <w:pPr>
        <w:spacing w:line="360" w:lineRule="auto"/>
        <w:ind w:left="120" w:firstLine="480" w:firstLineChars="20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64989309">
      <w:pPr>
        <w:snapToGrid w:val="0"/>
        <w:spacing w:line="360" w:lineRule="auto"/>
        <w:ind w:left="420" w:leftChars="200" w:firstLine="4200" w:firstLineChars="1750"/>
        <w:rPr>
          <w:rFonts w:hint="eastAsia" w:ascii="宋体" w:hAnsi="宋体" w:cs="宋体"/>
          <w:color w:val="000000" w:themeColor="text1"/>
          <w:kern w:val="0"/>
          <w:sz w:val="24"/>
          <w:u w:val="single"/>
          <w14:textFill>
            <w14:solidFill>
              <w14:schemeClr w14:val="tx1"/>
            </w14:solidFill>
          </w14:textFill>
        </w:rPr>
      </w:pPr>
    </w:p>
    <w:p w14:paraId="4C4DA160">
      <w:pPr>
        <w:spacing w:line="360" w:lineRule="auto"/>
        <w:ind w:left="120" w:right="4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5934C94C">
      <w:pPr>
        <w:snapToGrid w:val="0"/>
        <w:spacing w:line="360" w:lineRule="auto"/>
        <w:ind w:left="120" w:firstLine="22"/>
        <w:jc w:val="center"/>
        <w:rPr>
          <w:rFonts w:hint="eastAsia" w:ascii="宋体" w:hAnsi="宋体" w:cs="宋体"/>
          <w:b/>
          <w:color w:val="000000" w:themeColor="text1"/>
          <w:kern w:val="0"/>
          <w:sz w:val="32"/>
          <w:szCs w:val="32"/>
          <w14:textFill>
            <w14:solidFill>
              <w14:schemeClr w14:val="tx1"/>
            </w14:solidFill>
          </w14:textFill>
        </w:rPr>
      </w:pPr>
    </w:p>
    <w:p w14:paraId="591B5840">
      <w:pPr>
        <w:snapToGrid w:val="0"/>
        <w:spacing w:line="360" w:lineRule="auto"/>
        <w:ind w:left="120" w:firstLine="22"/>
        <w:rPr>
          <w:rFonts w:hint="eastAsia" w:ascii="宋体" w:hAnsi="宋体" w:cs="宋体"/>
          <w:color w:val="000000" w:themeColor="text1"/>
          <w:sz w:val="24"/>
          <w14:textFill>
            <w14:solidFill>
              <w14:schemeClr w14:val="tx1"/>
            </w14:solidFill>
          </w14:textFill>
        </w:rPr>
      </w:pPr>
    </w:p>
    <w:p w14:paraId="091581D2">
      <w:pPr>
        <w:spacing w:line="360" w:lineRule="auto"/>
        <w:ind w:left="120" w:firstLine="22"/>
        <w:jc w:val="center"/>
        <w:rPr>
          <w:rFonts w:hint="eastAsia" w:ascii="宋体" w:hAnsi="宋体" w:cs="宋体"/>
          <w:b/>
          <w:color w:val="000000" w:themeColor="text1"/>
          <w:kern w:val="0"/>
          <w:sz w:val="32"/>
          <w:szCs w:val="32"/>
          <w14:textFill>
            <w14:solidFill>
              <w14:schemeClr w14:val="tx1"/>
            </w14:solidFill>
          </w14:textFill>
        </w:rPr>
      </w:pPr>
    </w:p>
    <w:p w14:paraId="1921FE5A">
      <w:pPr>
        <w:spacing w:line="360" w:lineRule="auto"/>
        <w:ind w:left="120" w:firstLine="19" w:firstLineChars="6"/>
        <w:jc w:val="center"/>
        <w:outlineLvl w:val="2"/>
        <w:rPr>
          <w:rFonts w:hint="eastAsia"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二、授权委托书或法定代表人（单位负责人、自然人本人）身份证明</w:t>
      </w:r>
    </w:p>
    <w:p w14:paraId="48278ADA">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3006A3F7">
      <w:pPr>
        <w:snapToGrid w:val="0"/>
        <w:spacing w:line="360" w:lineRule="auto"/>
        <w:ind w:firstLine="643" w:firstLineChars="200"/>
        <w:jc w:val="center"/>
        <w:rPr>
          <w:rFonts w:hint="eastAsia"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授权委托书（适用于非联合体投标）</w:t>
      </w:r>
    </w:p>
    <w:p w14:paraId="09CCFB3F">
      <w:pPr>
        <w:snapToGrid w:val="0"/>
        <w:spacing w:line="360" w:lineRule="auto"/>
        <w:ind w:left="120"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杭州市上城区人民代表大会常务委员会办公室</w:t>
      </w:r>
      <w:r>
        <w:rPr>
          <w:rFonts w:hint="eastAsia" w:ascii="宋体" w:hAnsi="宋体" w:cs="宋体"/>
          <w:color w:val="000000" w:themeColor="text1"/>
          <w:sz w:val="24"/>
          <w14:textFill>
            <w14:solidFill>
              <w14:schemeClr w14:val="tx1"/>
            </w14:solidFill>
          </w14:textFill>
        </w:rPr>
        <w:t>、浙江省成套招标代理有限公司</w:t>
      </w:r>
      <w:r>
        <w:rPr>
          <w:rFonts w:hint="eastAsia" w:ascii="宋体" w:hAnsi="宋体" w:cs="宋体"/>
          <w:color w:val="000000" w:themeColor="text1"/>
          <w:kern w:val="0"/>
          <w:sz w:val="24"/>
          <w:lang w:val="zh-CN"/>
          <w14:textFill>
            <w14:solidFill>
              <w14:schemeClr w14:val="tx1"/>
            </w14:solidFill>
          </w14:textFill>
        </w:rPr>
        <w:t>：</w:t>
      </w:r>
    </w:p>
    <w:p w14:paraId="17CF626D">
      <w:pPr>
        <w:snapToGrid w:val="0"/>
        <w:spacing w:line="360" w:lineRule="auto"/>
        <w:ind w:left="120"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，所在单位：</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14:textFill>
            <w14:solidFill>
              <w14:schemeClr w14:val="tx1"/>
            </w14:solidFill>
          </w14:textFill>
        </w:rPr>
        <w:t>数字人大”平台系统改造项目【招标编号：CTZB-2025060241】</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14:paraId="09FFAE77">
      <w:pPr>
        <w:snapToGrid w:val="0"/>
        <w:spacing w:line="360" w:lineRule="auto"/>
        <w:ind w:left="120"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14:paraId="30D4CDEB">
      <w:pPr>
        <w:snapToGrid w:val="0"/>
        <w:spacing w:line="360" w:lineRule="auto"/>
        <w:ind w:left="120"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14:paraId="6EEC7D2C">
      <w:pPr>
        <w:snapToGrid w:val="0"/>
        <w:spacing w:line="360" w:lineRule="auto"/>
        <w:ind w:left="120"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投标人名称(电子签名)：</w:t>
      </w:r>
    </w:p>
    <w:p w14:paraId="018AE1CC">
      <w:pPr>
        <w:snapToGrid w:val="0"/>
        <w:spacing w:line="360" w:lineRule="auto"/>
        <w:ind w:left="120"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签发日期：  年  月   日</w:t>
      </w:r>
    </w:p>
    <w:p w14:paraId="4804F64C">
      <w:pPr>
        <w:snapToGrid w:val="0"/>
        <w:spacing w:line="360" w:lineRule="auto"/>
        <w:ind w:left="120" w:firstLine="22"/>
        <w:rPr>
          <w:rFonts w:hint="eastAsia" w:ascii="宋体" w:hAnsi="宋体" w:cs="宋体"/>
          <w:color w:val="000000" w:themeColor="text1"/>
          <w:sz w:val="24"/>
          <w14:textFill>
            <w14:solidFill>
              <w14:schemeClr w14:val="tx1"/>
            </w14:solidFill>
          </w14:textFill>
        </w:rPr>
      </w:pPr>
    </w:p>
    <w:p w14:paraId="01699B61">
      <w:pPr>
        <w:spacing w:line="360" w:lineRule="auto"/>
        <w:ind w:left="120" w:firstLine="643" w:firstLineChars="200"/>
        <w:jc w:val="center"/>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 xml:space="preserve">      </w:t>
      </w:r>
      <w:r>
        <w:rPr>
          <w:rFonts w:hint="eastAsia" w:ascii="宋体" w:hAnsi="宋体" w:cs="宋体"/>
          <w:b/>
          <w:color w:val="000000" w:themeColor="text1"/>
          <w:kern w:val="0"/>
          <w:sz w:val="32"/>
          <w:szCs w:val="32"/>
          <w14:textFill>
            <w14:solidFill>
              <w14:schemeClr w14:val="tx1"/>
            </w14:solidFill>
          </w14:textFill>
        </w:rPr>
        <w:t xml:space="preserve"> </w:t>
      </w:r>
      <w:r>
        <w:rPr>
          <w:rFonts w:hint="eastAsia" w:ascii="宋体" w:hAnsi="宋体" w:cs="宋体"/>
          <w:b/>
          <w:color w:val="000000" w:themeColor="text1"/>
          <w:kern w:val="0"/>
          <w:sz w:val="32"/>
          <w:szCs w:val="32"/>
          <w:lang w:val="zh-CN"/>
          <w14:textFill>
            <w14:solidFill>
              <w14:schemeClr w14:val="tx1"/>
            </w14:solidFill>
          </w14:textFill>
        </w:rPr>
        <w:t>授权委托书（适用于联合体投标）</w:t>
      </w:r>
    </w:p>
    <w:p w14:paraId="4B7A880B">
      <w:pPr>
        <w:snapToGrid w:val="0"/>
        <w:spacing w:line="360" w:lineRule="auto"/>
        <w:ind w:left="120"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杭州市上城区人民代表大会常务委员会办公室</w:t>
      </w:r>
      <w:r>
        <w:rPr>
          <w:rFonts w:hint="eastAsia" w:ascii="宋体" w:hAnsi="宋体" w:cs="宋体"/>
          <w:color w:val="000000" w:themeColor="text1"/>
          <w:sz w:val="24"/>
          <w14:textFill>
            <w14:solidFill>
              <w14:schemeClr w14:val="tx1"/>
            </w14:solidFill>
          </w14:textFill>
        </w:rPr>
        <w:t>、浙江省成套招标代理有限公司</w:t>
      </w:r>
      <w:r>
        <w:rPr>
          <w:rFonts w:hint="eastAsia" w:ascii="宋体" w:hAnsi="宋体" w:cs="宋体"/>
          <w:color w:val="000000" w:themeColor="text1"/>
          <w:kern w:val="0"/>
          <w:sz w:val="24"/>
          <w:lang w:val="zh-CN"/>
          <w14:textFill>
            <w14:solidFill>
              <w14:schemeClr w14:val="tx1"/>
            </w14:solidFill>
          </w14:textFill>
        </w:rPr>
        <w:t>：</w:t>
      </w:r>
    </w:p>
    <w:p w14:paraId="36C1E37E">
      <w:pPr>
        <w:snapToGrid w:val="0"/>
        <w:spacing w:line="360" w:lineRule="auto"/>
        <w:ind w:left="120"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，所在单位：</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14:textFill>
            <w14:solidFill>
              <w14:schemeClr w14:val="tx1"/>
            </w14:solidFill>
          </w14:textFill>
        </w:rPr>
        <w:t>数字人大”平台系统改造项目【招标编号：CTZB-2025060241】</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14:paraId="47412161">
      <w:pPr>
        <w:snapToGrid w:val="0"/>
        <w:spacing w:line="360" w:lineRule="auto"/>
        <w:ind w:left="120"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14:paraId="28AA6074">
      <w:pPr>
        <w:snapToGrid w:val="0"/>
        <w:spacing w:line="360" w:lineRule="auto"/>
        <w:ind w:left="120"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14:paraId="2B43104B">
      <w:pPr>
        <w:spacing w:line="360" w:lineRule="auto"/>
        <w:ind w:left="120" w:firstLine="22"/>
        <w:jc w:val="center"/>
        <w:rPr>
          <w:rFonts w:hint="eastAsia" w:ascii="宋体" w:hAnsi="宋体" w:cs="宋体"/>
          <w:b/>
          <w:color w:val="000000" w:themeColor="text1"/>
          <w:kern w:val="0"/>
          <w:sz w:val="32"/>
          <w:szCs w:val="32"/>
          <w14:textFill>
            <w14:solidFill>
              <w14:schemeClr w14:val="tx1"/>
            </w14:solidFill>
          </w14:textFill>
        </w:rPr>
      </w:pPr>
    </w:p>
    <w:p w14:paraId="46D4D208">
      <w:pPr>
        <w:spacing w:line="360" w:lineRule="auto"/>
        <w:ind w:left="120" w:firstLine="22"/>
        <w:rPr>
          <w:rFonts w:hint="eastAsia" w:ascii="宋体" w:hAnsi="宋体" w:cs="宋体"/>
          <w:color w:val="000000" w:themeColor="text1"/>
          <w14:textFill>
            <w14:solidFill>
              <w14:schemeClr w14:val="tx1"/>
            </w14:solidFill>
          </w14:textFill>
        </w:rPr>
      </w:pPr>
    </w:p>
    <w:p w14:paraId="6D8A4D01">
      <w:pPr>
        <w:snapToGrid w:val="0"/>
        <w:spacing w:line="360" w:lineRule="auto"/>
        <w:ind w:left="120"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6DB8FFDE">
      <w:pPr>
        <w:snapToGrid w:val="0"/>
        <w:spacing w:line="360" w:lineRule="auto"/>
        <w:ind w:left="120"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6D3CE60D">
      <w:pPr>
        <w:snapToGrid w:val="0"/>
        <w:spacing w:line="360" w:lineRule="auto"/>
        <w:ind w:left="120"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14:paraId="54526B0C">
      <w:pPr>
        <w:snapToGrid w:val="0"/>
        <w:spacing w:line="360" w:lineRule="auto"/>
        <w:ind w:left="120"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78E17B9B">
      <w:pPr>
        <w:spacing w:line="360" w:lineRule="auto"/>
        <w:ind w:firstLine="643" w:firstLineChars="200"/>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法定代表人、单位负责人或自然人本人</w:t>
      </w:r>
      <w:r>
        <w:rPr>
          <w:rFonts w:hint="eastAsia" w:ascii="宋体" w:hAnsi="宋体" w:cs="宋体"/>
          <w:b/>
          <w:color w:val="000000" w:themeColor="text1"/>
          <w:sz w:val="30"/>
          <w:szCs w:val="30"/>
          <w14:textFill>
            <w14:solidFill>
              <w14:schemeClr w14:val="tx1"/>
            </w14:solidFill>
          </w14:textFill>
        </w:rPr>
        <w:t>的身份证明（适用于法定代表人、单位负责人或者自然人本人代表投标人参加投标）</w:t>
      </w:r>
    </w:p>
    <w:p w14:paraId="7D4FD7C0">
      <w:pPr>
        <w:pStyle w:val="150"/>
        <w:spacing w:line="360" w:lineRule="auto"/>
        <w:ind w:firstLine="480" w:firstLineChars="200"/>
        <w:rPr>
          <w:rFonts w:hint="eastAsia"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10D9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B14D70F">
            <w:pPr>
              <w:pStyle w:val="150"/>
              <w:adjustRightInd w:val="0"/>
              <w:spacing w:line="360" w:lineRule="auto"/>
              <w:ind w:firstLine="480" w:firstLineChars="200"/>
              <w:rPr>
                <w:rFonts w:hint="eastAsia"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正面：                                 反面：</w:t>
            </w:r>
          </w:p>
          <w:p w14:paraId="698B5375">
            <w:pPr>
              <w:pStyle w:val="150"/>
              <w:adjustRightInd w:val="0"/>
              <w:spacing w:line="360" w:lineRule="auto"/>
              <w:ind w:firstLine="22"/>
              <w:rPr>
                <w:rFonts w:hint="eastAsia" w:hAnsi="宋体" w:cs="宋体"/>
                <w:bCs/>
                <w:color w:val="000000" w:themeColor="text1"/>
                <w:sz w:val="24"/>
                <w14:textFill>
                  <w14:solidFill>
                    <w14:schemeClr w14:val="tx1"/>
                  </w14:solidFill>
                </w14:textFill>
              </w:rPr>
            </w:pPr>
          </w:p>
        </w:tc>
      </w:tr>
    </w:tbl>
    <w:p w14:paraId="21602F5D">
      <w:pPr>
        <w:snapToGrid w:val="0"/>
        <w:spacing w:line="360" w:lineRule="auto"/>
        <w:ind w:left="120" w:firstLine="480" w:firstLineChars="200"/>
        <w:jc w:val="center"/>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p w14:paraId="0205CF4B">
      <w:pPr>
        <w:snapToGrid w:val="0"/>
        <w:spacing w:line="360" w:lineRule="auto"/>
        <w:ind w:left="120" w:firstLine="480" w:firstLineChars="200"/>
        <w:jc w:val="center"/>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投标人名称(电子签名)：                              </w:t>
      </w:r>
    </w:p>
    <w:p w14:paraId="33EE0ED1">
      <w:pPr>
        <w:spacing w:line="360" w:lineRule="auto"/>
        <w:ind w:left="120" w:firstLine="480" w:firstLineChars="200"/>
        <w:jc w:val="center"/>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4EBB45F6">
      <w:pPr>
        <w:snapToGrid w:val="0"/>
        <w:spacing w:line="360" w:lineRule="auto"/>
        <w:ind w:left="120" w:right="480" w:firstLine="22"/>
        <w:rPr>
          <w:rFonts w:hint="eastAsia" w:ascii="宋体" w:hAnsi="宋体" w:cs="宋体"/>
          <w:b/>
          <w:color w:val="000000" w:themeColor="text1"/>
          <w:kern w:val="0"/>
          <w:sz w:val="32"/>
          <w:szCs w:val="32"/>
          <w14:textFill>
            <w14:solidFill>
              <w14:schemeClr w14:val="tx1"/>
            </w14:solidFill>
          </w14:textFill>
        </w:rPr>
        <w:sectPr>
          <w:pgSz w:w="11906" w:h="16838"/>
          <w:pgMar w:top="1276" w:right="1418" w:bottom="1247" w:left="1418" w:header="851" w:footer="992" w:gutter="0"/>
          <w:cols w:space="720" w:num="1"/>
          <w:titlePg/>
          <w:docGrid w:linePitch="312" w:charSpace="0"/>
        </w:sectPr>
      </w:pPr>
    </w:p>
    <w:p w14:paraId="0177DDA4">
      <w:pPr>
        <w:snapToGrid w:val="0"/>
        <w:spacing w:line="360" w:lineRule="auto"/>
        <w:ind w:left="120" w:firstLine="19" w:firstLineChars="6"/>
        <w:jc w:val="center"/>
        <w:outlineLvl w:val="2"/>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三、分包意向协议（如果有）</w:t>
      </w:r>
    </w:p>
    <w:p w14:paraId="6E7E85F0">
      <w:pPr>
        <w:widowControl/>
        <w:spacing w:line="360" w:lineRule="auto"/>
        <w:ind w:left="120"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中标后以分包方式履行合同的，提供分包意向协议(附件6</w:t>
      </w:r>
      <w:r>
        <w:rPr>
          <w:rFonts w:ascii="宋体" w:hAnsi="宋体" w:cs="宋体"/>
          <w:b/>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；采购人不同意分包或者投标人中标后不以分包方式履行合同的，则不需要提供]</w:t>
      </w:r>
    </w:p>
    <w:p w14:paraId="06E52C39">
      <w:pPr>
        <w:snapToGrid w:val="0"/>
        <w:spacing w:line="360" w:lineRule="auto"/>
        <w:ind w:left="120" w:firstLine="22"/>
        <w:rPr>
          <w:rFonts w:hint="eastAsia" w:ascii="宋体" w:hAnsi="宋体" w:cs="宋体"/>
          <w:color w:val="000000" w:themeColor="text1"/>
          <w:kern w:val="0"/>
          <w:sz w:val="24"/>
          <w14:textFill>
            <w14:solidFill>
              <w14:schemeClr w14:val="tx1"/>
            </w14:solidFill>
          </w14:textFill>
        </w:rPr>
      </w:pPr>
    </w:p>
    <w:p w14:paraId="20DE323E">
      <w:pPr>
        <w:spacing w:line="360" w:lineRule="auto"/>
        <w:ind w:left="120" w:firstLine="19" w:firstLineChars="6"/>
        <w:jc w:val="center"/>
        <w:outlineLvl w:val="2"/>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四、符合性审查资料</w:t>
      </w: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E6CA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73A3C75">
            <w:pPr>
              <w:snapToGrid w:val="0"/>
              <w:spacing w:line="240" w:lineRule="atLeast"/>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4991" w:type="dxa"/>
            <w:vAlign w:val="center"/>
          </w:tcPr>
          <w:p w14:paraId="602E165D">
            <w:pPr>
              <w:snapToGrid w:val="0"/>
              <w:spacing w:line="240" w:lineRule="atLeast"/>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实质性要求</w:t>
            </w:r>
          </w:p>
        </w:tc>
        <w:tc>
          <w:tcPr>
            <w:tcW w:w="2551" w:type="dxa"/>
            <w:vAlign w:val="center"/>
          </w:tcPr>
          <w:p w14:paraId="631CE106">
            <w:pPr>
              <w:snapToGrid w:val="0"/>
              <w:spacing w:line="240" w:lineRule="atLeast"/>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需要提供的符合性审查资料</w:t>
            </w:r>
          </w:p>
        </w:tc>
        <w:tc>
          <w:tcPr>
            <w:tcW w:w="1418" w:type="dxa"/>
            <w:vAlign w:val="center"/>
          </w:tcPr>
          <w:p w14:paraId="65F18AF4">
            <w:pPr>
              <w:snapToGrid w:val="0"/>
              <w:spacing w:line="240" w:lineRule="atLeast"/>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投标文件中的页码位置</w:t>
            </w:r>
          </w:p>
        </w:tc>
      </w:tr>
      <w:tr w14:paraId="484F3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8A05677">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4991" w:type="dxa"/>
          </w:tcPr>
          <w:p w14:paraId="2A21DA7D">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投标文件按照招标文件要求签署、盖章。</w:t>
            </w:r>
          </w:p>
        </w:tc>
        <w:tc>
          <w:tcPr>
            <w:tcW w:w="2551" w:type="dxa"/>
            <w:vAlign w:val="center"/>
          </w:tcPr>
          <w:p w14:paraId="6FC7BD48">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需要使用电子签名或者签字盖章的投标文件的组成部分</w:t>
            </w:r>
          </w:p>
        </w:tc>
        <w:tc>
          <w:tcPr>
            <w:tcW w:w="1418" w:type="dxa"/>
          </w:tcPr>
          <w:p w14:paraId="5CB5651F">
            <w:pPr>
              <w:rPr>
                <w:rFonts w:hint="eastAsia" w:ascii="宋体" w:hAnsi="宋体" w:cs="宋体"/>
                <w:color w:val="000000" w:themeColor="text1"/>
                <w:sz w:val="24"/>
                <w14:textFill>
                  <w14:solidFill>
                    <w14:schemeClr w14:val="tx1"/>
                  </w14:solidFill>
                </w14:textFill>
              </w:rPr>
            </w:pPr>
          </w:p>
          <w:p w14:paraId="35F53ABE">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w:t>
            </w:r>
          </w:p>
          <w:p w14:paraId="1BDB54C1">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14:paraId="4A971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4DF8E7">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4991" w:type="dxa"/>
          </w:tcPr>
          <w:p w14:paraId="01528053">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投标文件中承诺的投标有效期不少于招标文件中载明的投标有效期。</w:t>
            </w:r>
          </w:p>
        </w:tc>
        <w:tc>
          <w:tcPr>
            <w:tcW w:w="2551" w:type="dxa"/>
            <w:vAlign w:val="center"/>
          </w:tcPr>
          <w:p w14:paraId="5511B1CA">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投标函</w:t>
            </w:r>
          </w:p>
        </w:tc>
        <w:tc>
          <w:tcPr>
            <w:tcW w:w="1418" w:type="dxa"/>
          </w:tcPr>
          <w:p w14:paraId="22DE70B9">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14:paraId="0F11E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1D3848">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4991" w:type="dxa"/>
          </w:tcPr>
          <w:p w14:paraId="5604F626">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其他实质性要求1：</w:t>
            </w:r>
          </w:p>
        </w:tc>
        <w:tc>
          <w:tcPr>
            <w:tcW w:w="2551" w:type="dxa"/>
            <w:vMerge w:val="restart"/>
            <w:vAlign w:val="center"/>
          </w:tcPr>
          <w:p w14:paraId="17640166">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招标文件其他实质性要求相应的材料（“▲” 系指实质性要求条款，招标文件无其他实质性要求的，无需提供）</w:t>
            </w:r>
          </w:p>
        </w:tc>
        <w:tc>
          <w:tcPr>
            <w:tcW w:w="1418" w:type="dxa"/>
          </w:tcPr>
          <w:p w14:paraId="7296679D">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14:paraId="59671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E280440">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4991" w:type="dxa"/>
          </w:tcPr>
          <w:p w14:paraId="2037E11F">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其他实质性要求2：</w:t>
            </w:r>
          </w:p>
        </w:tc>
        <w:tc>
          <w:tcPr>
            <w:tcW w:w="2551" w:type="dxa"/>
            <w:vMerge w:val="continue"/>
            <w:vAlign w:val="center"/>
          </w:tcPr>
          <w:p w14:paraId="1AC41BE2">
            <w:pPr>
              <w:rPr>
                <w:rFonts w:hint="eastAsia" w:ascii="宋体" w:hAnsi="宋体" w:cs="宋体"/>
                <w:color w:val="000000" w:themeColor="text1"/>
                <w:sz w:val="24"/>
                <w14:textFill>
                  <w14:solidFill>
                    <w14:schemeClr w14:val="tx1"/>
                  </w14:solidFill>
                </w14:textFill>
              </w:rPr>
            </w:pPr>
          </w:p>
        </w:tc>
        <w:tc>
          <w:tcPr>
            <w:tcW w:w="1418" w:type="dxa"/>
          </w:tcPr>
          <w:p w14:paraId="706E7ABA">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14:paraId="43E18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23600FE">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4991" w:type="dxa"/>
          </w:tcPr>
          <w:p w14:paraId="4CD0F520">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其他实质性要求</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snapToGrid w:val="0"/>
                <w:color w:val="000000" w:themeColor="text1"/>
                <w:sz w:val="24"/>
                <w14:textFill>
                  <w14:solidFill>
                    <w14:schemeClr w14:val="tx1"/>
                  </w14:solidFill>
                </w14:textFill>
              </w:rPr>
              <w:t>：</w:t>
            </w:r>
          </w:p>
        </w:tc>
        <w:tc>
          <w:tcPr>
            <w:tcW w:w="2551" w:type="dxa"/>
            <w:vMerge w:val="continue"/>
            <w:vAlign w:val="center"/>
          </w:tcPr>
          <w:p w14:paraId="0758B933">
            <w:pPr>
              <w:rPr>
                <w:rFonts w:hint="eastAsia" w:ascii="宋体" w:hAnsi="宋体" w:cs="宋体"/>
                <w:color w:val="000000" w:themeColor="text1"/>
                <w:sz w:val="24"/>
                <w14:textFill>
                  <w14:solidFill>
                    <w14:schemeClr w14:val="tx1"/>
                  </w14:solidFill>
                </w14:textFill>
              </w:rPr>
            </w:pPr>
          </w:p>
        </w:tc>
        <w:tc>
          <w:tcPr>
            <w:tcW w:w="1418" w:type="dxa"/>
          </w:tcPr>
          <w:p w14:paraId="71C59491">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bl>
    <w:p w14:paraId="3D90C6B1">
      <w:pPr>
        <w:spacing w:line="360" w:lineRule="auto"/>
        <w:ind w:right="4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注：1.按本格式和要求提供。</w:t>
      </w:r>
    </w:p>
    <w:p w14:paraId="762348F7">
      <w:pPr>
        <w:spacing w:line="360" w:lineRule="auto"/>
        <w:ind w:right="4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2、招标文件中实质性要求必须明确响应。</w:t>
      </w:r>
    </w:p>
    <w:p w14:paraId="42B335AC">
      <w:pPr>
        <w:spacing w:line="360" w:lineRule="auto"/>
        <w:ind w:left="120" w:firstLine="22"/>
        <w:jc w:val="center"/>
        <w:rPr>
          <w:rFonts w:hint="eastAsia" w:ascii="宋体" w:hAnsi="宋体" w:cs="宋体"/>
          <w:b/>
          <w:color w:val="000000" w:themeColor="text1"/>
          <w:kern w:val="0"/>
          <w:sz w:val="32"/>
          <w:szCs w:val="32"/>
          <w14:textFill>
            <w14:solidFill>
              <w14:schemeClr w14:val="tx1"/>
            </w14:solidFill>
          </w14:textFill>
        </w:rPr>
      </w:pPr>
    </w:p>
    <w:p w14:paraId="701EF0C2">
      <w:pPr>
        <w:pStyle w:val="82"/>
        <w:rPr>
          <w:rFonts w:hint="eastAsia" w:ascii="宋体" w:hAnsi="宋体" w:eastAsia="宋体"/>
          <w:color w:val="000000" w:themeColor="text1"/>
          <w14:textFill>
            <w14:solidFill>
              <w14:schemeClr w14:val="tx1"/>
            </w14:solidFill>
          </w14:textFill>
        </w:rPr>
      </w:pPr>
    </w:p>
    <w:p w14:paraId="6E07242E">
      <w:pPr>
        <w:pStyle w:val="82"/>
        <w:spacing w:line="360" w:lineRule="auto"/>
        <w:ind w:left="120" w:firstLine="643"/>
        <w:jc w:val="center"/>
        <w:rPr>
          <w:rFonts w:hint="eastAsia" w:ascii="宋体" w:hAnsi="宋体" w:eastAsia="宋体" w:cs="宋体"/>
          <w:b/>
          <w:color w:val="000000" w:themeColor="text1"/>
          <w:sz w:val="32"/>
          <w:szCs w:val="32"/>
          <w14:textFill>
            <w14:solidFill>
              <w14:schemeClr w14:val="tx1"/>
            </w14:solidFill>
          </w14:textFill>
        </w:rPr>
      </w:pPr>
    </w:p>
    <w:p w14:paraId="2303F385">
      <w:pPr>
        <w:spacing w:line="360" w:lineRule="auto"/>
        <w:ind w:left="120" w:firstLine="643" w:firstLineChars="200"/>
        <w:jc w:val="center"/>
        <w:outlineLvl w:val="2"/>
        <w:rPr>
          <w:rFonts w:hint="eastAsia"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五、评标标准相应的商务技术资料</w:t>
      </w:r>
    </w:p>
    <w:p w14:paraId="69A20410">
      <w:pPr>
        <w:snapToGrid w:val="0"/>
        <w:spacing w:line="360" w:lineRule="auto"/>
        <w:ind w:firstLine="482" w:firstLineChars="200"/>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75BF4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782D659">
            <w:pPr>
              <w:snapToGrid w:val="0"/>
              <w:spacing w:line="360" w:lineRule="auto"/>
              <w:jc w:val="center"/>
              <w:rPr>
                <w:rFonts w:hint="eastAsia" w:ascii="宋体" w:hAnsi="宋体" w:cs="仿宋_GB2312"/>
                <w:bCs/>
                <w:color w:val="000000" w:themeColor="text1"/>
                <w:sz w:val="24"/>
                <w14:textFill>
                  <w14:solidFill>
                    <w14:schemeClr w14:val="tx1"/>
                  </w14:solidFill>
                </w14:textFill>
              </w:rPr>
            </w:pPr>
            <w:r>
              <w:rPr>
                <w:rFonts w:hint="eastAsia" w:ascii="宋体" w:hAnsi="宋体" w:cs="仿宋_GB2312"/>
                <w:bCs/>
                <w:color w:val="000000" w:themeColor="text1"/>
                <w:sz w:val="24"/>
                <w14:textFill>
                  <w14:solidFill>
                    <w14:schemeClr w14:val="tx1"/>
                  </w14:solidFill>
                </w14:textFill>
              </w:rPr>
              <w:t>序号</w:t>
            </w:r>
          </w:p>
        </w:tc>
        <w:tc>
          <w:tcPr>
            <w:tcW w:w="5465" w:type="dxa"/>
          </w:tcPr>
          <w:p w14:paraId="4165C376">
            <w:pPr>
              <w:snapToGrid w:val="0"/>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仿宋_GB2312"/>
                <w:bCs/>
                <w:color w:val="000000" w:themeColor="text1"/>
                <w:sz w:val="24"/>
                <w14:textFill>
                  <w14:solidFill>
                    <w14:schemeClr w14:val="tx1"/>
                  </w14:solidFill>
                </w14:textFill>
              </w:rPr>
              <w:t>投标文件中评标标准相应的商务技术资料目录*</w:t>
            </w:r>
          </w:p>
        </w:tc>
        <w:tc>
          <w:tcPr>
            <w:tcW w:w="3046" w:type="dxa"/>
          </w:tcPr>
          <w:p w14:paraId="7808695E">
            <w:pPr>
              <w:snapToGrid w:val="0"/>
              <w:spacing w:line="240" w:lineRule="atLeast"/>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投标文件中的页码位置</w:t>
            </w:r>
          </w:p>
        </w:tc>
      </w:tr>
      <w:tr w14:paraId="1285E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96AEF5">
            <w:pPr>
              <w:snapToGrid w:val="0"/>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w:t>
            </w:r>
          </w:p>
        </w:tc>
        <w:tc>
          <w:tcPr>
            <w:tcW w:w="5465" w:type="dxa"/>
          </w:tcPr>
          <w:p w14:paraId="40C2CC3D">
            <w:pPr>
              <w:snapToGrid w:val="0"/>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XXX（预先填写）</w:t>
            </w:r>
          </w:p>
        </w:tc>
        <w:tc>
          <w:tcPr>
            <w:tcW w:w="3046" w:type="dxa"/>
          </w:tcPr>
          <w:p w14:paraId="0C2214D5">
            <w:pPr>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见投标文件第</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页</w:t>
            </w:r>
          </w:p>
        </w:tc>
      </w:tr>
      <w:tr w14:paraId="4C75F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6D26C6B">
            <w:pPr>
              <w:snapToGrid w:val="0"/>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w:t>
            </w:r>
          </w:p>
        </w:tc>
        <w:tc>
          <w:tcPr>
            <w:tcW w:w="5465" w:type="dxa"/>
          </w:tcPr>
          <w:p w14:paraId="41961F9C">
            <w:pPr>
              <w:snapToGrid w:val="0"/>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XXX</w:t>
            </w:r>
          </w:p>
        </w:tc>
        <w:tc>
          <w:tcPr>
            <w:tcW w:w="3046" w:type="dxa"/>
          </w:tcPr>
          <w:p w14:paraId="37477C3D">
            <w:pPr>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见投标文件第</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页</w:t>
            </w:r>
          </w:p>
        </w:tc>
      </w:tr>
      <w:tr w14:paraId="4DF6E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5AFC796">
            <w:pPr>
              <w:snapToGrid w:val="0"/>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5465" w:type="dxa"/>
          </w:tcPr>
          <w:p w14:paraId="2388B3B7">
            <w:pPr>
              <w:snapToGrid w:val="0"/>
              <w:spacing w:line="360" w:lineRule="auto"/>
              <w:jc w:val="center"/>
              <w:rPr>
                <w:rFonts w:hint="eastAsia" w:ascii="宋体" w:hAnsi="宋体" w:cs="宋体"/>
                <w:bCs/>
                <w:color w:val="000000" w:themeColor="text1"/>
                <w:sz w:val="24"/>
                <w14:textFill>
                  <w14:solidFill>
                    <w14:schemeClr w14:val="tx1"/>
                  </w14:solidFill>
                </w14:textFill>
              </w:rPr>
            </w:pPr>
          </w:p>
        </w:tc>
        <w:tc>
          <w:tcPr>
            <w:tcW w:w="3046" w:type="dxa"/>
          </w:tcPr>
          <w:p w14:paraId="4E632E60">
            <w:pPr>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见投标文件第</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页</w:t>
            </w:r>
          </w:p>
        </w:tc>
      </w:tr>
    </w:tbl>
    <w:p w14:paraId="1476F76A">
      <w:pPr>
        <w:spacing w:line="360" w:lineRule="auto"/>
        <w:ind w:left="120" w:firstLine="22"/>
        <w:jc w:val="center"/>
        <w:rPr>
          <w:rFonts w:hint="eastAsia" w:ascii="宋体" w:hAnsi="宋体" w:cs="宋体"/>
          <w:b/>
          <w:color w:val="000000" w:themeColor="text1"/>
          <w:kern w:val="0"/>
          <w:sz w:val="32"/>
          <w:szCs w:val="32"/>
          <w14:textFill>
            <w14:solidFill>
              <w14:schemeClr w14:val="tx1"/>
            </w14:solidFill>
          </w14:textFill>
        </w:rPr>
      </w:pPr>
    </w:p>
    <w:p w14:paraId="32FE6A76">
      <w:pPr>
        <w:spacing w:line="360" w:lineRule="auto"/>
        <w:jc w:val="center"/>
        <w:outlineLvl w:val="2"/>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2861"/>
        <w:gridCol w:w="1174"/>
        <w:gridCol w:w="1673"/>
      </w:tblGrid>
      <w:tr w14:paraId="7CE2A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546F93F">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ED4D18E">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75783576">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品牌（如果有）</w:t>
            </w:r>
          </w:p>
        </w:tc>
        <w:tc>
          <w:tcPr>
            <w:tcW w:w="2861" w:type="dxa"/>
            <w:tcBorders>
              <w:top w:val="single" w:color="auto" w:sz="4" w:space="0"/>
              <w:left w:val="single" w:color="auto" w:sz="4" w:space="0"/>
              <w:bottom w:val="single" w:color="auto" w:sz="4" w:space="0"/>
              <w:right w:val="single" w:color="auto" w:sz="4" w:space="0"/>
            </w:tcBorders>
            <w:vAlign w:val="center"/>
          </w:tcPr>
          <w:p w14:paraId="1FA7D9E5">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服务内容</w:t>
            </w:r>
          </w:p>
        </w:tc>
        <w:tc>
          <w:tcPr>
            <w:tcW w:w="1174" w:type="dxa"/>
            <w:tcBorders>
              <w:top w:val="single" w:color="auto" w:sz="4" w:space="0"/>
              <w:left w:val="single" w:color="auto" w:sz="4" w:space="0"/>
              <w:bottom w:val="single" w:color="auto" w:sz="4" w:space="0"/>
              <w:right w:val="single" w:color="auto" w:sz="4" w:space="0"/>
            </w:tcBorders>
            <w:vAlign w:val="center"/>
          </w:tcPr>
          <w:p w14:paraId="055EDA92">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22F3C53E">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w:t>
            </w:r>
          </w:p>
        </w:tc>
      </w:tr>
      <w:tr w14:paraId="7A92B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E99D660">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0EC1E8BC">
            <w:pPr>
              <w:snapToGri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400A2F31">
            <w:pPr>
              <w:snapToGrid w:val="0"/>
              <w:spacing w:line="360" w:lineRule="auto"/>
              <w:jc w:val="center"/>
              <w:rPr>
                <w:rFonts w:hint="eastAsia" w:ascii="宋体" w:hAnsi="宋体" w:cs="宋体"/>
                <w:color w:val="000000" w:themeColor="text1"/>
                <w:sz w:val="24"/>
                <w14:textFill>
                  <w14:solidFill>
                    <w14:schemeClr w14:val="tx1"/>
                  </w14:solidFill>
                </w14:textFill>
              </w:rPr>
            </w:pPr>
          </w:p>
        </w:tc>
        <w:tc>
          <w:tcPr>
            <w:tcW w:w="2861" w:type="dxa"/>
            <w:tcBorders>
              <w:top w:val="single" w:color="auto" w:sz="4" w:space="0"/>
              <w:left w:val="single" w:color="auto" w:sz="4" w:space="0"/>
              <w:bottom w:val="single" w:color="auto" w:sz="4" w:space="0"/>
              <w:right w:val="single" w:color="auto" w:sz="4" w:space="0"/>
            </w:tcBorders>
            <w:vAlign w:val="center"/>
          </w:tcPr>
          <w:p w14:paraId="61C13BCC">
            <w:pPr>
              <w:snapToGrid w:val="0"/>
              <w:spacing w:line="360" w:lineRule="auto"/>
              <w:jc w:val="center"/>
              <w:rPr>
                <w:rFonts w:hint="eastAsia" w:ascii="宋体" w:hAnsi="宋体" w:cs="宋体"/>
                <w:color w:val="000000" w:themeColor="text1"/>
                <w:sz w:val="24"/>
                <w14:textFill>
                  <w14:solidFill>
                    <w14:schemeClr w14:val="tx1"/>
                  </w14:solidFill>
                </w14:textFill>
              </w:rPr>
            </w:pPr>
          </w:p>
        </w:tc>
        <w:tc>
          <w:tcPr>
            <w:tcW w:w="1174" w:type="dxa"/>
            <w:tcBorders>
              <w:top w:val="single" w:color="auto" w:sz="4" w:space="0"/>
              <w:left w:val="single" w:color="auto" w:sz="4" w:space="0"/>
              <w:bottom w:val="single" w:color="auto" w:sz="4" w:space="0"/>
              <w:right w:val="single" w:color="auto" w:sz="4" w:space="0"/>
            </w:tcBorders>
            <w:vAlign w:val="center"/>
          </w:tcPr>
          <w:p w14:paraId="4D1FE883">
            <w:pPr>
              <w:spacing w:line="360" w:lineRule="auto"/>
              <w:jc w:val="center"/>
              <w:rPr>
                <w:rFonts w:hint="eastAsia" w:ascii="宋体" w:hAnsi="宋体" w:cs="宋体"/>
                <w:color w:val="000000" w:themeColor="text1"/>
                <w:sz w:val="24"/>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5C27B68A">
            <w:pPr>
              <w:spacing w:line="360" w:lineRule="auto"/>
              <w:jc w:val="center"/>
              <w:rPr>
                <w:rFonts w:hint="eastAsia" w:ascii="宋体" w:hAnsi="宋体" w:cs="宋体"/>
                <w:color w:val="000000" w:themeColor="text1"/>
                <w:sz w:val="24"/>
                <w14:textFill>
                  <w14:solidFill>
                    <w14:schemeClr w14:val="tx1"/>
                  </w14:solidFill>
                </w14:textFill>
              </w:rPr>
            </w:pPr>
          </w:p>
        </w:tc>
      </w:tr>
      <w:tr w14:paraId="1D311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A180F0B">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380619F3">
            <w:pPr>
              <w:snapToGri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5D1E49E8">
            <w:pPr>
              <w:snapToGrid w:val="0"/>
              <w:spacing w:line="360" w:lineRule="auto"/>
              <w:jc w:val="center"/>
              <w:rPr>
                <w:rFonts w:hint="eastAsia" w:ascii="宋体" w:hAnsi="宋体" w:cs="宋体"/>
                <w:color w:val="000000" w:themeColor="text1"/>
                <w:sz w:val="24"/>
                <w14:textFill>
                  <w14:solidFill>
                    <w14:schemeClr w14:val="tx1"/>
                  </w14:solidFill>
                </w14:textFill>
              </w:rPr>
            </w:pPr>
          </w:p>
        </w:tc>
        <w:tc>
          <w:tcPr>
            <w:tcW w:w="2861" w:type="dxa"/>
            <w:tcBorders>
              <w:top w:val="single" w:color="auto" w:sz="4" w:space="0"/>
              <w:left w:val="single" w:color="auto" w:sz="4" w:space="0"/>
              <w:bottom w:val="single" w:color="auto" w:sz="4" w:space="0"/>
              <w:right w:val="single" w:color="auto" w:sz="4" w:space="0"/>
            </w:tcBorders>
            <w:vAlign w:val="center"/>
          </w:tcPr>
          <w:p w14:paraId="6E061FD2">
            <w:pPr>
              <w:snapToGrid w:val="0"/>
              <w:spacing w:line="360" w:lineRule="auto"/>
              <w:jc w:val="center"/>
              <w:rPr>
                <w:rFonts w:hint="eastAsia" w:ascii="宋体" w:hAnsi="宋体" w:cs="宋体"/>
                <w:color w:val="000000" w:themeColor="text1"/>
                <w:sz w:val="24"/>
                <w14:textFill>
                  <w14:solidFill>
                    <w14:schemeClr w14:val="tx1"/>
                  </w14:solidFill>
                </w14:textFill>
              </w:rPr>
            </w:pPr>
          </w:p>
        </w:tc>
        <w:tc>
          <w:tcPr>
            <w:tcW w:w="1174" w:type="dxa"/>
            <w:tcBorders>
              <w:top w:val="single" w:color="auto" w:sz="4" w:space="0"/>
              <w:left w:val="single" w:color="auto" w:sz="4" w:space="0"/>
              <w:bottom w:val="single" w:color="auto" w:sz="4" w:space="0"/>
              <w:right w:val="single" w:color="auto" w:sz="4" w:space="0"/>
            </w:tcBorders>
            <w:vAlign w:val="center"/>
          </w:tcPr>
          <w:p w14:paraId="7BFFB39F">
            <w:pPr>
              <w:spacing w:line="360" w:lineRule="auto"/>
              <w:jc w:val="center"/>
              <w:rPr>
                <w:rFonts w:hint="eastAsia" w:ascii="宋体" w:hAnsi="宋体" w:cs="宋体"/>
                <w:color w:val="000000" w:themeColor="text1"/>
                <w:sz w:val="24"/>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1B9AD02D">
            <w:pPr>
              <w:spacing w:line="360" w:lineRule="auto"/>
              <w:jc w:val="center"/>
              <w:rPr>
                <w:rFonts w:hint="eastAsia" w:ascii="宋体" w:hAnsi="宋体" w:cs="宋体"/>
                <w:color w:val="000000" w:themeColor="text1"/>
                <w:sz w:val="24"/>
                <w14:textFill>
                  <w14:solidFill>
                    <w14:schemeClr w14:val="tx1"/>
                  </w14:solidFill>
                </w14:textFill>
              </w:rPr>
            </w:pPr>
          </w:p>
        </w:tc>
      </w:tr>
      <w:tr w14:paraId="1CC97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FC3236B">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7C32C71D">
            <w:pPr>
              <w:snapToGrid w:val="0"/>
              <w:spacing w:line="360" w:lineRule="auto"/>
              <w:jc w:val="center"/>
              <w:rPr>
                <w:rFonts w:hint="eastAsia" w:ascii="宋体" w:hAnsi="宋体" w:cs="宋体"/>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430D9E7E">
            <w:pPr>
              <w:snapToGrid w:val="0"/>
              <w:spacing w:line="360" w:lineRule="auto"/>
              <w:jc w:val="center"/>
              <w:rPr>
                <w:rFonts w:hint="eastAsia" w:ascii="宋体" w:hAnsi="宋体" w:cs="宋体"/>
                <w:color w:val="000000" w:themeColor="text1"/>
                <w:sz w:val="24"/>
                <w14:textFill>
                  <w14:solidFill>
                    <w14:schemeClr w14:val="tx1"/>
                  </w14:solidFill>
                </w14:textFill>
              </w:rPr>
            </w:pPr>
          </w:p>
        </w:tc>
        <w:tc>
          <w:tcPr>
            <w:tcW w:w="2861" w:type="dxa"/>
            <w:tcBorders>
              <w:top w:val="single" w:color="auto" w:sz="4" w:space="0"/>
              <w:left w:val="single" w:color="auto" w:sz="4" w:space="0"/>
              <w:bottom w:val="single" w:color="auto" w:sz="4" w:space="0"/>
              <w:right w:val="single" w:color="auto" w:sz="4" w:space="0"/>
            </w:tcBorders>
            <w:vAlign w:val="center"/>
          </w:tcPr>
          <w:p w14:paraId="7C862475">
            <w:pPr>
              <w:snapToGrid w:val="0"/>
              <w:spacing w:line="360" w:lineRule="auto"/>
              <w:jc w:val="center"/>
              <w:rPr>
                <w:rFonts w:hint="eastAsia" w:ascii="宋体" w:hAnsi="宋体" w:cs="宋体"/>
                <w:color w:val="000000" w:themeColor="text1"/>
                <w:sz w:val="24"/>
                <w14:textFill>
                  <w14:solidFill>
                    <w14:schemeClr w14:val="tx1"/>
                  </w14:solidFill>
                </w14:textFill>
              </w:rPr>
            </w:pPr>
          </w:p>
        </w:tc>
        <w:tc>
          <w:tcPr>
            <w:tcW w:w="1174" w:type="dxa"/>
            <w:tcBorders>
              <w:top w:val="single" w:color="auto" w:sz="4" w:space="0"/>
              <w:left w:val="single" w:color="auto" w:sz="4" w:space="0"/>
              <w:bottom w:val="single" w:color="auto" w:sz="4" w:space="0"/>
              <w:right w:val="single" w:color="auto" w:sz="4" w:space="0"/>
            </w:tcBorders>
            <w:vAlign w:val="center"/>
          </w:tcPr>
          <w:p w14:paraId="413190CB">
            <w:pPr>
              <w:spacing w:line="360" w:lineRule="auto"/>
              <w:jc w:val="center"/>
              <w:rPr>
                <w:rFonts w:hint="eastAsia" w:ascii="宋体" w:hAnsi="宋体" w:cs="宋体"/>
                <w:color w:val="000000" w:themeColor="text1"/>
                <w:sz w:val="24"/>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258C91FE">
            <w:pPr>
              <w:spacing w:line="360" w:lineRule="auto"/>
              <w:jc w:val="center"/>
              <w:rPr>
                <w:rFonts w:hint="eastAsia" w:ascii="宋体" w:hAnsi="宋体" w:cs="宋体"/>
                <w:color w:val="000000" w:themeColor="text1"/>
                <w:sz w:val="24"/>
                <w14:textFill>
                  <w14:solidFill>
                    <w14:schemeClr w14:val="tx1"/>
                  </w14:solidFill>
                </w14:textFill>
              </w:rPr>
            </w:pPr>
          </w:p>
        </w:tc>
      </w:tr>
    </w:tbl>
    <w:p w14:paraId="775BE2E4">
      <w:pPr>
        <w:spacing w:line="360" w:lineRule="auto"/>
        <w:ind w:right="4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1B1C4DCD">
      <w:pPr>
        <w:spacing w:line="360" w:lineRule="auto"/>
        <w:ind w:left="120" w:firstLine="22"/>
        <w:jc w:val="center"/>
        <w:rPr>
          <w:rFonts w:hint="eastAsia" w:ascii="宋体" w:hAnsi="宋体" w:cs="宋体"/>
          <w:b/>
          <w:color w:val="000000" w:themeColor="text1"/>
          <w:kern w:val="0"/>
          <w:sz w:val="32"/>
          <w:szCs w:val="32"/>
          <w14:textFill>
            <w14:solidFill>
              <w14:schemeClr w14:val="tx1"/>
            </w14:solidFill>
          </w14:textFill>
        </w:rPr>
      </w:pPr>
    </w:p>
    <w:p w14:paraId="27E16673">
      <w:pPr>
        <w:pStyle w:val="82"/>
        <w:spacing w:line="360" w:lineRule="auto"/>
        <w:ind w:left="120" w:firstLine="643"/>
        <w:jc w:val="center"/>
        <w:rPr>
          <w:rFonts w:hint="eastAsia" w:ascii="宋体" w:hAnsi="宋体" w:eastAsia="宋体" w:cs="宋体"/>
          <w:b/>
          <w:color w:val="000000" w:themeColor="text1"/>
          <w:sz w:val="32"/>
          <w:szCs w:val="32"/>
          <w14:textFill>
            <w14:solidFill>
              <w14:schemeClr w14:val="tx1"/>
            </w14:solidFill>
          </w14:textFill>
        </w:rPr>
      </w:pPr>
    </w:p>
    <w:p w14:paraId="0D240D5E">
      <w:pPr>
        <w:pStyle w:val="82"/>
        <w:spacing w:line="360" w:lineRule="auto"/>
        <w:ind w:left="120" w:firstLine="643"/>
        <w:jc w:val="center"/>
        <w:rPr>
          <w:rFonts w:hint="eastAsia" w:ascii="宋体" w:hAnsi="宋体" w:eastAsia="宋体" w:cs="宋体"/>
          <w:b/>
          <w:color w:val="000000" w:themeColor="text1"/>
          <w:sz w:val="32"/>
          <w:szCs w:val="32"/>
          <w14:textFill>
            <w14:solidFill>
              <w14:schemeClr w14:val="tx1"/>
            </w14:solidFill>
          </w14:textFill>
        </w:rPr>
      </w:pPr>
    </w:p>
    <w:p w14:paraId="3B217C7B">
      <w:pPr>
        <w:keepNext w:val="0"/>
        <w:keepLines w:val="0"/>
        <w:pageBreakBefore/>
        <w:widowControl w:val="0"/>
        <w:kinsoku/>
        <w:wordWrap/>
        <w:overflowPunct/>
        <w:topLinePunct w:val="0"/>
        <w:autoSpaceDE/>
        <w:autoSpaceDN/>
        <w:bidi w:val="0"/>
        <w:adjustRightInd w:val="0"/>
        <w:snapToGrid/>
        <w:spacing w:line="360" w:lineRule="auto"/>
        <w:ind w:left="119" w:firstLine="643" w:firstLineChars="200"/>
        <w:jc w:val="center"/>
        <w:textAlignment w:val="auto"/>
        <w:outlineLvl w:val="2"/>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250"/>
        <w:gridCol w:w="3129"/>
        <w:gridCol w:w="1126"/>
        <w:gridCol w:w="1112"/>
      </w:tblGrid>
      <w:tr w14:paraId="1CB53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tcPr>
          <w:p w14:paraId="0EB15068">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3250" w:type="dxa"/>
          </w:tcPr>
          <w:p w14:paraId="43665177">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招标文件章节及具体内容</w:t>
            </w:r>
          </w:p>
        </w:tc>
        <w:tc>
          <w:tcPr>
            <w:tcW w:w="3129" w:type="dxa"/>
          </w:tcPr>
          <w:p w14:paraId="47501819">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投标文件章节及具体内容</w:t>
            </w:r>
          </w:p>
        </w:tc>
        <w:tc>
          <w:tcPr>
            <w:tcW w:w="1126" w:type="dxa"/>
          </w:tcPr>
          <w:p w14:paraId="66B95710">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偏离说明</w:t>
            </w:r>
          </w:p>
        </w:tc>
        <w:tc>
          <w:tcPr>
            <w:tcW w:w="1112" w:type="dxa"/>
          </w:tcPr>
          <w:p w14:paraId="6F4DF4CD">
            <w:pPr>
              <w:jc w:val="center"/>
              <w:rPr>
                <w:rFonts w:hint="eastAsia" w:ascii="宋体" w:hAnsi="宋体" w:cs="宋体"/>
                <w:b/>
                <w:bCs/>
                <w:color w:val="000000" w:themeColor="text1"/>
                <w:sz w:val="24"/>
                <w14:textFill>
                  <w14:solidFill>
                    <w14:schemeClr w14:val="tx1"/>
                  </w14:solidFill>
                </w14:textFill>
              </w:rPr>
            </w:pPr>
          </w:p>
        </w:tc>
      </w:tr>
      <w:tr w14:paraId="37AA4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tcPr>
          <w:p w14:paraId="6FF9E0E9">
            <w:pPr>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3250" w:type="dxa"/>
          </w:tcPr>
          <w:p w14:paraId="60362F7F">
            <w:pPr>
              <w:jc w:val="center"/>
              <w:rPr>
                <w:rFonts w:hint="eastAsia" w:ascii="宋体" w:hAnsi="宋体" w:cs="宋体"/>
                <w:b/>
                <w:color w:val="000000" w:themeColor="text1"/>
                <w:kern w:val="0"/>
                <w:sz w:val="32"/>
                <w:szCs w:val="32"/>
                <w14:textFill>
                  <w14:solidFill>
                    <w14:schemeClr w14:val="tx1"/>
                  </w14:solidFill>
                </w14:textFill>
              </w:rPr>
            </w:pPr>
          </w:p>
        </w:tc>
        <w:tc>
          <w:tcPr>
            <w:tcW w:w="3129" w:type="dxa"/>
          </w:tcPr>
          <w:p w14:paraId="19C907DC">
            <w:pPr>
              <w:jc w:val="center"/>
              <w:rPr>
                <w:rFonts w:hint="eastAsia" w:ascii="宋体" w:hAnsi="宋体" w:cs="宋体"/>
                <w:b/>
                <w:color w:val="000000" w:themeColor="text1"/>
                <w:kern w:val="0"/>
                <w:sz w:val="32"/>
                <w:szCs w:val="32"/>
                <w14:textFill>
                  <w14:solidFill>
                    <w14:schemeClr w14:val="tx1"/>
                  </w14:solidFill>
                </w14:textFill>
              </w:rPr>
            </w:pPr>
          </w:p>
        </w:tc>
        <w:tc>
          <w:tcPr>
            <w:tcW w:w="1126" w:type="dxa"/>
          </w:tcPr>
          <w:p w14:paraId="503F4BE7">
            <w:pPr>
              <w:jc w:val="center"/>
              <w:rPr>
                <w:rFonts w:hint="eastAsia" w:ascii="宋体" w:hAnsi="宋体" w:cs="宋体"/>
                <w:b/>
                <w:color w:val="000000" w:themeColor="text1"/>
                <w:kern w:val="0"/>
                <w:sz w:val="32"/>
                <w:szCs w:val="32"/>
                <w14:textFill>
                  <w14:solidFill>
                    <w14:schemeClr w14:val="tx1"/>
                  </w14:solidFill>
                </w14:textFill>
              </w:rPr>
            </w:pPr>
          </w:p>
        </w:tc>
        <w:tc>
          <w:tcPr>
            <w:tcW w:w="1112" w:type="dxa"/>
          </w:tcPr>
          <w:p w14:paraId="274FB39D">
            <w:pPr>
              <w:jc w:val="center"/>
              <w:rPr>
                <w:rFonts w:hint="eastAsia" w:ascii="宋体" w:hAnsi="宋体" w:cs="宋体"/>
                <w:b/>
                <w:color w:val="000000" w:themeColor="text1"/>
                <w:kern w:val="0"/>
                <w:sz w:val="32"/>
                <w:szCs w:val="32"/>
                <w14:textFill>
                  <w14:solidFill>
                    <w14:schemeClr w14:val="tx1"/>
                  </w14:solidFill>
                </w14:textFill>
              </w:rPr>
            </w:pPr>
          </w:p>
        </w:tc>
      </w:tr>
      <w:tr w14:paraId="4F4DA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tcPr>
          <w:p w14:paraId="1A88E5CA">
            <w:pPr>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3250" w:type="dxa"/>
          </w:tcPr>
          <w:p w14:paraId="10E434E0">
            <w:pPr>
              <w:jc w:val="center"/>
              <w:rPr>
                <w:rFonts w:hint="eastAsia" w:ascii="宋体" w:hAnsi="宋体" w:cs="宋体"/>
                <w:b/>
                <w:color w:val="000000" w:themeColor="text1"/>
                <w:kern w:val="0"/>
                <w:sz w:val="32"/>
                <w:szCs w:val="32"/>
                <w14:textFill>
                  <w14:solidFill>
                    <w14:schemeClr w14:val="tx1"/>
                  </w14:solidFill>
                </w14:textFill>
              </w:rPr>
            </w:pPr>
          </w:p>
        </w:tc>
        <w:tc>
          <w:tcPr>
            <w:tcW w:w="3129" w:type="dxa"/>
          </w:tcPr>
          <w:p w14:paraId="1DCD3B96">
            <w:pPr>
              <w:jc w:val="center"/>
              <w:rPr>
                <w:rFonts w:hint="eastAsia" w:ascii="宋体" w:hAnsi="宋体" w:cs="宋体"/>
                <w:b/>
                <w:color w:val="000000" w:themeColor="text1"/>
                <w:kern w:val="0"/>
                <w:sz w:val="32"/>
                <w:szCs w:val="32"/>
                <w14:textFill>
                  <w14:solidFill>
                    <w14:schemeClr w14:val="tx1"/>
                  </w14:solidFill>
                </w14:textFill>
              </w:rPr>
            </w:pPr>
          </w:p>
        </w:tc>
        <w:tc>
          <w:tcPr>
            <w:tcW w:w="1126" w:type="dxa"/>
          </w:tcPr>
          <w:p w14:paraId="6573A489">
            <w:pPr>
              <w:jc w:val="center"/>
              <w:rPr>
                <w:rFonts w:hint="eastAsia" w:ascii="宋体" w:hAnsi="宋体" w:cs="宋体"/>
                <w:b/>
                <w:color w:val="000000" w:themeColor="text1"/>
                <w:kern w:val="0"/>
                <w:sz w:val="32"/>
                <w:szCs w:val="32"/>
                <w14:textFill>
                  <w14:solidFill>
                    <w14:schemeClr w14:val="tx1"/>
                  </w14:solidFill>
                </w14:textFill>
              </w:rPr>
            </w:pPr>
          </w:p>
        </w:tc>
        <w:tc>
          <w:tcPr>
            <w:tcW w:w="1112" w:type="dxa"/>
          </w:tcPr>
          <w:p w14:paraId="207BFAB5">
            <w:pPr>
              <w:jc w:val="center"/>
              <w:rPr>
                <w:rFonts w:hint="eastAsia" w:ascii="宋体" w:hAnsi="宋体" w:cs="宋体"/>
                <w:b/>
                <w:color w:val="000000" w:themeColor="text1"/>
                <w:kern w:val="0"/>
                <w:sz w:val="32"/>
                <w:szCs w:val="32"/>
                <w14:textFill>
                  <w14:solidFill>
                    <w14:schemeClr w14:val="tx1"/>
                  </w14:solidFill>
                </w14:textFill>
              </w:rPr>
            </w:pPr>
          </w:p>
        </w:tc>
      </w:tr>
      <w:tr w14:paraId="6D56C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tcPr>
          <w:p w14:paraId="7194B0EC">
            <w:pPr>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3250" w:type="dxa"/>
          </w:tcPr>
          <w:p w14:paraId="7054356F">
            <w:pPr>
              <w:jc w:val="center"/>
              <w:rPr>
                <w:rFonts w:hint="eastAsia" w:ascii="宋体" w:hAnsi="宋体" w:cs="宋体"/>
                <w:b/>
                <w:color w:val="000000" w:themeColor="text1"/>
                <w:kern w:val="0"/>
                <w:sz w:val="32"/>
                <w:szCs w:val="32"/>
                <w14:textFill>
                  <w14:solidFill>
                    <w14:schemeClr w14:val="tx1"/>
                  </w14:solidFill>
                </w14:textFill>
              </w:rPr>
            </w:pPr>
          </w:p>
        </w:tc>
        <w:tc>
          <w:tcPr>
            <w:tcW w:w="3129" w:type="dxa"/>
          </w:tcPr>
          <w:p w14:paraId="6992CC26">
            <w:pPr>
              <w:jc w:val="center"/>
              <w:rPr>
                <w:rFonts w:hint="eastAsia" w:ascii="宋体" w:hAnsi="宋体" w:cs="宋体"/>
                <w:b/>
                <w:color w:val="000000" w:themeColor="text1"/>
                <w:kern w:val="0"/>
                <w:sz w:val="32"/>
                <w:szCs w:val="32"/>
                <w14:textFill>
                  <w14:solidFill>
                    <w14:schemeClr w14:val="tx1"/>
                  </w14:solidFill>
                </w14:textFill>
              </w:rPr>
            </w:pPr>
          </w:p>
        </w:tc>
        <w:tc>
          <w:tcPr>
            <w:tcW w:w="1126" w:type="dxa"/>
          </w:tcPr>
          <w:p w14:paraId="3FAEAC24">
            <w:pPr>
              <w:jc w:val="center"/>
              <w:rPr>
                <w:rFonts w:hint="eastAsia" w:ascii="宋体" w:hAnsi="宋体" w:cs="宋体"/>
                <w:b/>
                <w:color w:val="000000" w:themeColor="text1"/>
                <w:kern w:val="0"/>
                <w:sz w:val="32"/>
                <w:szCs w:val="32"/>
                <w14:textFill>
                  <w14:solidFill>
                    <w14:schemeClr w14:val="tx1"/>
                  </w14:solidFill>
                </w14:textFill>
              </w:rPr>
            </w:pPr>
          </w:p>
        </w:tc>
        <w:tc>
          <w:tcPr>
            <w:tcW w:w="1112" w:type="dxa"/>
          </w:tcPr>
          <w:p w14:paraId="2B0EAEDB">
            <w:pPr>
              <w:jc w:val="center"/>
              <w:rPr>
                <w:rFonts w:hint="eastAsia" w:ascii="宋体" w:hAnsi="宋体" w:cs="宋体"/>
                <w:b/>
                <w:color w:val="000000" w:themeColor="text1"/>
                <w:kern w:val="0"/>
                <w:sz w:val="32"/>
                <w:szCs w:val="32"/>
                <w14:textFill>
                  <w14:solidFill>
                    <w14:schemeClr w14:val="tx1"/>
                  </w14:solidFill>
                </w14:textFill>
              </w:rPr>
            </w:pPr>
          </w:p>
        </w:tc>
      </w:tr>
    </w:tbl>
    <w:p w14:paraId="367135FD">
      <w:pPr>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投标人保证：除商务技术偏离表列出的偏离外，投标人响应招标文件的全部要求</w:t>
      </w:r>
    </w:p>
    <w:p w14:paraId="3031098C">
      <w:pPr>
        <w:ind w:firstLine="643" w:firstLineChars="200"/>
        <w:jc w:val="center"/>
        <w:rPr>
          <w:rFonts w:hint="eastAsia" w:ascii="宋体" w:hAnsi="宋体" w:cs="宋体"/>
          <w:b/>
          <w:color w:val="000000" w:themeColor="text1"/>
          <w:kern w:val="0"/>
          <w:sz w:val="32"/>
          <w:szCs w:val="32"/>
          <w14:textFill>
            <w14:solidFill>
              <w14:schemeClr w14:val="tx1"/>
            </w14:solidFill>
          </w14:textFill>
        </w:rPr>
      </w:pPr>
    </w:p>
    <w:p w14:paraId="64480325">
      <w:pPr>
        <w:spacing w:line="360" w:lineRule="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注：1.按本格式和要求提供。</w:t>
      </w:r>
    </w:p>
    <w:p w14:paraId="39AD80A1">
      <w:pPr>
        <w:spacing w:line="360" w:lineRule="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2.本表格所反映的偏离情况与“符合性审查资料”“评标标准相应的商务技术资料”不一致的，以“符合性审查资料”“评标标准相应的商务技术资料”为准。</w:t>
      </w:r>
    </w:p>
    <w:p w14:paraId="502C6054">
      <w:pPr>
        <w:spacing w:line="360" w:lineRule="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3.投标人须保证：除商务技术偏离表列出的偏离外，投标人响应招标文件的全部非实质性要求。</w:t>
      </w:r>
    </w:p>
    <w:p w14:paraId="51784710">
      <w:pPr>
        <w:spacing w:line="360" w:lineRule="auto"/>
        <w:jc w:val="left"/>
        <w:rPr>
          <w:rFonts w:hint="eastAsia" w:ascii="宋体" w:hAnsi="宋体" w:cs="宋体"/>
          <w:color w:val="000000" w:themeColor="text1"/>
          <w:kern w:val="0"/>
          <w:sz w:val="24"/>
          <w14:textFill>
            <w14:solidFill>
              <w14:schemeClr w14:val="tx1"/>
            </w14:solidFill>
          </w14:textFill>
        </w:rPr>
      </w:pPr>
    </w:p>
    <w:p w14:paraId="0E4B14C5">
      <w:pPr>
        <w:spacing w:line="360" w:lineRule="auto"/>
        <w:ind w:left="120" w:firstLine="1911" w:firstLineChars="595"/>
        <w:rPr>
          <w:rFonts w:hint="eastAsia" w:ascii="宋体" w:hAnsi="宋体" w:cs="宋体"/>
          <w:b/>
          <w:bCs/>
          <w:color w:val="000000" w:themeColor="text1"/>
          <w:sz w:val="32"/>
          <w:szCs w:val="32"/>
          <w14:textFill>
            <w14:solidFill>
              <w14:schemeClr w14:val="tx1"/>
            </w14:solidFill>
          </w14:textFill>
        </w:rPr>
      </w:pPr>
    </w:p>
    <w:p w14:paraId="716888E1">
      <w:pPr>
        <w:widowControl/>
        <w:adjustRightInd/>
        <w:spacing w:line="360" w:lineRule="auto"/>
        <w:ind w:left="120" w:firstLine="643" w:firstLineChars="200"/>
        <w:jc w:val="center"/>
        <w:rPr>
          <w:rFonts w:hint="eastAsia" w:ascii="宋体" w:hAnsi="宋体" w:cs="宋体"/>
          <w:b/>
          <w:color w:val="000000" w:themeColor="text1"/>
          <w:kern w:val="0"/>
          <w:sz w:val="32"/>
          <w:szCs w:val="32"/>
          <w14:textFill>
            <w14:solidFill>
              <w14:schemeClr w14:val="tx1"/>
            </w14:solidFill>
          </w14:textFill>
        </w:rPr>
      </w:pPr>
      <w:r>
        <w:rPr>
          <w:rFonts w:ascii="宋体" w:hAnsi="宋体" w:cs="宋体"/>
          <w:b/>
          <w:bCs/>
          <w:color w:val="000000" w:themeColor="text1"/>
          <w:sz w:val="32"/>
          <w:szCs w:val="32"/>
          <w14:textFill>
            <w14:solidFill>
              <w14:schemeClr w14:val="tx1"/>
            </w14:solidFill>
          </w14:textFill>
        </w:rPr>
        <w:br w:type="page"/>
      </w:r>
      <w:r>
        <w:rPr>
          <w:rFonts w:hint="eastAsia" w:ascii="宋体" w:hAnsi="宋体" w:cs="宋体"/>
          <w:b/>
          <w:bCs/>
          <w:color w:val="000000" w:themeColor="text1"/>
          <w:sz w:val="32"/>
          <w:szCs w:val="32"/>
          <w14:textFill>
            <w14:solidFill>
              <w14:schemeClr w14:val="tx1"/>
            </w14:solidFill>
          </w14:textFill>
        </w:rPr>
        <w:t>八</w:t>
      </w:r>
      <w:r>
        <w:rPr>
          <w:rFonts w:hint="eastAsia" w:ascii="宋体" w:hAnsi="宋体" w:cs="宋体"/>
          <w:b/>
          <w:color w:val="000000" w:themeColor="text1"/>
          <w:kern w:val="0"/>
          <w:sz w:val="32"/>
          <w:szCs w:val="32"/>
          <w14:textFill>
            <w14:solidFill>
              <w14:schemeClr w14:val="tx1"/>
            </w14:solidFill>
          </w14:textFill>
        </w:rPr>
        <w:t>、</w:t>
      </w:r>
      <w:r>
        <w:rPr>
          <w:rFonts w:hint="eastAsia" w:ascii="宋体" w:hAnsi="宋体" w:cs="宋体"/>
          <w:b/>
          <w:color w:val="000000" w:themeColor="text1"/>
          <w:kern w:val="0"/>
          <w:sz w:val="32"/>
          <w:szCs w:val="32"/>
          <w:lang w:val="zh-CN"/>
          <w14:textFill>
            <w14:solidFill>
              <w14:schemeClr w14:val="tx1"/>
            </w14:solidFill>
          </w14:textFill>
        </w:rPr>
        <w:t>政府采购供应商廉洁自律承诺书</w:t>
      </w:r>
    </w:p>
    <w:p w14:paraId="52580C3C">
      <w:pPr>
        <w:snapToGrid w:val="0"/>
        <w:spacing w:line="360" w:lineRule="auto"/>
        <w:ind w:left="120"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杭州市上城区人民代表大会常务委员会办公室</w:t>
      </w:r>
      <w:r>
        <w:rPr>
          <w:rFonts w:hint="eastAsia" w:ascii="宋体" w:hAnsi="宋体" w:cs="宋体"/>
          <w:color w:val="000000" w:themeColor="text1"/>
          <w:sz w:val="24"/>
          <w14:textFill>
            <w14:solidFill>
              <w14:schemeClr w14:val="tx1"/>
            </w14:solidFill>
          </w14:textFill>
        </w:rPr>
        <w:t>、浙江省成套招标代理有限公司</w:t>
      </w:r>
      <w:r>
        <w:rPr>
          <w:rFonts w:hint="eastAsia" w:ascii="宋体" w:hAnsi="宋体" w:cs="宋体"/>
          <w:color w:val="000000" w:themeColor="text1"/>
          <w:kern w:val="0"/>
          <w:sz w:val="24"/>
          <w:lang w:val="zh-CN"/>
          <w14:textFill>
            <w14:solidFill>
              <w14:schemeClr w14:val="tx1"/>
            </w14:solidFill>
          </w14:textFill>
        </w:rPr>
        <w:t>：</w:t>
      </w:r>
    </w:p>
    <w:p w14:paraId="16DA343D">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我单位响应你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14:paraId="4C12C4DA">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14:paraId="0716BDFC">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二、不为项目有关人员及部门报销应由你方单位或个人支付的费用； </w:t>
      </w:r>
    </w:p>
    <w:p w14:paraId="0E831769">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14:paraId="5625C6B9">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四、不为项目有关人员及部门出国（境）、旅游等提供方便；</w:t>
      </w:r>
    </w:p>
    <w:p w14:paraId="02458E2A">
      <w:pPr>
        <w:autoSpaceDE w:val="0"/>
        <w:autoSpaceDN w:val="0"/>
        <w:spacing w:line="360" w:lineRule="auto"/>
        <w:ind w:left="420" w:left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五、不为项目有关人员个人装修住房、婚丧嫁娶、配偶子女工作安排等提供好处；</w:t>
      </w:r>
    </w:p>
    <w:p w14:paraId="416B8466">
      <w:pPr>
        <w:spacing w:line="360" w:lineRule="auto"/>
        <w:ind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六、严格遵守《</w:t>
      </w:r>
      <w:r>
        <w:rPr>
          <w:rFonts w:hint="eastAsia" w:ascii="宋体" w:hAnsi="宋体" w:cs="宋体"/>
          <w:color w:val="000000" w:themeColor="text1"/>
          <w:sz w:val="24"/>
          <w:lang w:val="zh-CN"/>
          <w14:textFill>
            <w14:solidFill>
              <w14:schemeClr w14:val="tx1"/>
            </w14:solidFill>
          </w14:textFill>
        </w:rPr>
        <w:t>中华人民共和国</w:t>
      </w:r>
      <w:r>
        <w:rPr>
          <w:rFonts w:hint="eastAsia" w:ascii="宋体" w:hAnsi="宋体" w:cs="宋体"/>
          <w:color w:val="000000" w:themeColor="text1"/>
          <w:kern w:val="0"/>
          <w:sz w:val="24"/>
          <w:lang w:val="zh-CN"/>
          <w14:textFill>
            <w14:solidFill>
              <w14:schemeClr w14:val="tx1"/>
            </w14:solidFill>
          </w14:textFill>
        </w:rPr>
        <w:t>政府采购法》《</w:t>
      </w:r>
      <w:r>
        <w:rPr>
          <w:rFonts w:hint="eastAsia" w:ascii="宋体" w:hAnsi="宋体" w:cs="宋体"/>
          <w:color w:val="000000" w:themeColor="text1"/>
          <w:sz w:val="24"/>
          <w:lang w:val="zh-CN"/>
          <w14:textFill>
            <w14:solidFill>
              <w14:schemeClr w14:val="tx1"/>
            </w14:solidFill>
          </w14:textFill>
        </w:rPr>
        <w:t>中华人民共和国</w:t>
      </w:r>
      <w:r>
        <w:rPr>
          <w:rFonts w:hint="eastAsia" w:ascii="宋体" w:hAnsi="宋体" w:cs="宋体"/>
          <w:color w:val="000000" w:themeColor="text1"/>
          <w:kern w:val="0"/>
          <w:sz w:val="24"/>
          <w:lang w:val="zh-CN"/>
          <w14:textFill>
            <w14:solidFill>
              <w14:schemeClr w14:val="tx1"/>
            </w14:solidFill>
          </w14:textFill>
        </w:rPr>
        <w:t>招标投标法》</w:t>
      </w:r>
      <w:r>
        <w:rPr>
          <w:rFonts w:hint="eastAsia" w:ascii="宋体" w:hAnsi="宋体" w:cs="宋体"/>
          <w:color w:val="000000" w:themeColor="text1"/>
          <w:sz w:val="24"/>
          <w:lang w:val="zh-CN"/>
          <w14:textFill>
            <w14:solidFill>
              <w14:schemeClr w14:val="tx1"/>
            </w14:solidFill>
          </w14:textFill>
        </w:rPr>
        <w:t>《中华人民共和国民法典》</w:t>
      </w:r>
      <w:r>
        <w:rPr>
          <w:rFonts w:hint="eastAsia" w:ascii="宋体" w:hAnsi="宋体" w:cs="宋体"/>
          <w:color w:val="000000" w:themeColor="text1"/>
          <w:kern w:val="0"/>
          <w:sz w:val="24"/>
          <w:lang w:val="zh-CN"/>
          <w14:textFill>
            <w14:solidFill>
              <w14:schemeClr w14:val="tx1"/>
            </w14:solidFill>
          </w14:textFill>
        </w:rPr>
        <w:t xml:space="preserve">等法律法规，诚实守信，合法经营，坚决抵制各种违法违纪行为。 </w:t>
      </w:r>
    </w:p>
    <w:p w14:paraId="54C31E2A">
      <w:pPr>
        <w:autoSpaceDE w:val="0"/>
        <w:autoSpaceDN w:val="0"/>
        <w:spacing w:line="360" w:lineRule="auto"/>
        <w:ind w:left="120"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如违反上述承诺，你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进行项目建设或其他经营活动，并通报市财政局。由此引起的相应损失均由我单位承担。</w:t>
      </w:r>
    </w:p>
    <w:p w14:paraId="5C690B52">
      <w:pPr>
        <w:autoSpaceDE w:val="0"/>
        <w:autoSpaceDN w:val="0"/>
        <w:spacing w:line="360" w:lineRule="auto"/>
        <w:ind w:left="2" w:leftChars="1" w:right="1120"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w:t>
      </w:r>
      <w:r>
        <w:rPr>
          <w:rFonts w:hint="eastAsia" w:ascii="宋体" w:hAnsi="宋体" w:cs="宋体"/>
          <w:color w:val="000000" w:themeColor="text1"/>
          <w:sz w:val="24"/>
          <w14:textFill>
            <w14:solidFill>
              <w14:schemeClr w14:val="tx1"/>
            </w14:solidFill>
          </w14:textFill>
        </w:rPr>
        <w:t>电子签名</w:t>
      </w:r>
      <w:r>
        <w:rPr>
          <w:rFonts w:hint="eastAsia" w:ascii="宋体" w:hAnsi="宋体" w:cs="宋体"/>
          <w:color w:val="000000" w:themeColor="text1"/>
          <w:kern w:val="0"/>
          <w:sz w:val="24"/>
          <w:lang w:val="zh-CN"/>
          <w14:textFill>
            <w14:solidFill>
              <w14:schemeClr w14:val="tx1"/>
            </w14:solidFill>
          </w14:textFill>
        </w:rPr>
        <w:t xml:space="preserve">）：                                                                                                                                                                                                               </w:t>
      </w:r>
    </w:p>
    <w:p w14:paraId="44E42F5E">
      <w:pPr>
        <w:spacing w:line="360" w:lineRule="auto"/>
        <w:ind w:left="4620" w:leftChars="22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年   月   日</w:t>
      </w:r>
    </w:p>
    <w:p w14:paraId="00F9F62E">
      <w:pPr>
        <w:spacing w:line="360" w:lineRule="auto"/>
        <w:ind w:left="120" w:firstLine="22"/>
        <w:jc w:val="center"/>
        <w:rPr>
          <w:rFonts w:hint="eastAsia" w:ascii="宋体" w:hAnsi="宋体" w:cs="宋体"/>
          <w:b/>
          <w:bCs/>
          <w:color w:val="000000" w:themeColor="text1"/>
          <w:sz w:val="24"/>
          <w14:textFill>
            <w14:solidFill>
              <w14:schemeClr w14:val="tx1"/>
            </w14:solidFill>
          </w14:textFill>
        </w:rPr>
      </w:pPr>
    </w:p>
    <w:p w14:paraId="1065EBB3">
      <w:pPr>
        <w:spacing w:line="360" w:lineRule="auto"/>
        <w:ind w:left="120" w:right="4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310FF338">
      <w:pPr>
        <w:spacing w:line="360" w:lineRule="auto"/>
        <w:ind w:left="120" w:firstLine="22"/>
        <w:jc w:val="center"/>
        <w:rPr>
          <w:rFonts w:hint="eastAsia" w:ascii="宋体" w:hAnsi="宋体" w:cs="宋体"/>
          <w:b/>
          <w:bCs/>
          <w:color w:val="000000" w:themeColor="text1"/>
          <w:sz w:val="24"/>
          <w14:textFill>
            <w14:solidFill>
              <w14:schemeClr w14:val="tx1"/>
            </w14:solidFill>
          </w14:textFill>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4BF26B5F">
      <w:pPr>
        <w:spacing w:line="360" w:lineRule="auto"/>
        <w:ind w:left="120" w:firstLine="723" w:firstLineChars="200"/>
        <w:jc w:val="center"/>
        <w:outlineLvl w:val="1"/>
        <w:rPr>
          <w:rFonts w:hint="eastAsia"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报价文件部分</w:t>
      </w:r>
    </w:p>
    <w:p w14:paraId="2E0DEA4D">
      <w:pPr>
        <w:spacing w:line="360" w:lineRule="auto"/>
        <w:ind w:left="120" w:firstLine="723" w:firstLineChars="200"/>
        <w:jc w:val="center"/>
        <w:rPr>
          <w:rFonts w:hint="eastAsia"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目录</w:t>
      </w:r>
    </w:p>
    <w:p w14:paraId="66E25267">
      <w:pPr>
        <w:snapToGrid w:val="0"/>
        <w:spacing w:line="360" w:lineRule="auto"/>
        <w:ind w:left="1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（1）开标一览表（报价表）………………………………………………………（页码）</w:t>
      </w:r>
    </w:p>
    <w:p w14:paraId="13802FBC">
      <w:pPr>
        <w:snapToGrid w:val="0"/>
        <w:spacing w:line="360" w:lineRule="auto"/>
        <w:ind w:left="120" w:right="480" w:firstLine="22"/>
        <w:jc w:val="center"/>
        <w:rPr>
          <w:rFonts w:hint="eastAsia" w:ascii="宋体" w:hAnsi="宋体" w:cs="宋体"/>
          <w:b/>
          <w:color w:val="000000" w:themeColor="text1"/>
          <w:kern w:val="0"/>
          <w:sz w:val="32"/>
          <w:szCs w:val="32"/>
          <w14:textFill>
            <w14:solidFill>
              <w14:schemeClr w14:val="tx1"/>
            </w14:solidFill>
          </w14:textFill>
        </w:rPr>
      </w:pPr>
    </w:p>
    <w:p w14:paraId="37B3EB81">
      <w:pPr>
        <w:pStyle w:val="693"/>
        <w:keepNext w:val="0"/>
        <w:pageBreakBefore w:val="0"/>
        <w:tabs>
          <w:tab w:val="clear" w:pos="720"/>
        </w:tabs>
        <w:snapToGrid w:val="0"/>
        <w:spacing w:before="120" w:after="120"/>
        <w:ind w:left="120" w:firstLine="22"/>
        <w:outlineLvl w:val="9"/>
        <w:rPr>
          <w:rFonts w:hint="eastAsia" w:ascii="宋体" w:hAnsi="宋体" w:eastAsia="宋体" w:cs="宋体"/>
          <w:color w:val="000000" w:themeColor="text1"/>
          <w:kern w:val="2"/>
          <w:sz w:val="32"/>
          <w:szCs w:val="32"/>
          <w14:textFill>
            <w14:solidFill>
              <w14:schemeClr w14:val="tx1"/>
            </w14:solidFill>
          </w14:textFill>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0C5E9426">
      <w:pPr>
        <w:pStyle w:val="693"/>
        <w:keepNext w:val="0"/>
        <w:tabs>
          <w:tab w:val="clear" w:pos="720"/>
        </w:tabs>
        <w:snapToGrid w:val="0"/>
        <w:spacing w:before="120" w:after="120"/>
        <w:ind w:left="120" w:firstLine="643" w:firstLineChars="200"/>
        <w:outlineLvl w:val="2"/>
        <w:rPr>
          <w:rFonts w:hint="eastAsia" w:ascii="宋体" w:hAnsi="宋体" w:eastAsia="宋体" w:cs="宋体"/>
          <w:color w:val="000000" w:themeColor="text1"/>
          <w:kern w:val="2"/>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一、开标一览表（报价表）</w:t>
      </w:r>
    </w:p>
    <w:p w14:paraId="236638F1">
      <w:pPr>
        <w:snapToGrid w:val="0"/>
        <w:spacing w:line="240" w:lineRule="auto"/>
        <w:ind w:left="120"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杭州市上城区人民代表大会常务委员会办公室</w:t>
      </w:r>
      <w:r>
        <w:rPr>
          <w:rFonts w:hint="eastAsia" w:ascii="宋体" w:hAnsi="宋体" w:cs="宋体"/>
          <w:color w:val="000000" w:themeColor="text1"/>
          <w:sz w:val="24"/>
          <w14:textFill>
            <w14:solidFill>
              <w14:schemeClr w14:val="tx1"/>
            </w14:solidFill>
          </w14:textFill>
        </w:rPr>
        <w:t>、浙江省成套招标代理有限公司</w:t>
      </w:r>
      <w:r>
        <w:rPr>
          <w:rFonts w:hint="eastAsia" w:ascii="宋体" w:hAnsi="宋体" w:cs="宋体"/>
          <w:color w:val="000000" w:themeColor="text1"/>
          <w:kern w:val="0"/>
          <w:sz w:val="24"/>
          <w:lang w:val="zh-CN"/>
          <w14:textFill>
            <w14:solidFill>
              <w14:schemeClr w14:val="tx1"/>
            </w14:solidFill>
          </w14:textFill>
        </w:rPr>
        <w:t>：</w:t>
      </w:r>
    </w:p>
    <w:p w14:paraId="3E1FDDD3">
      <w:pPr>
        <w:snapToGrid w:val="0"/>
        <w:spacing w:line="240" w:lineRule="auto"/>
        <w:ind w:left="120"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按你方采购文件要求，我们，本投标文件签字方，谨此向你方发出要约如下：如你方接受本投标，我方承诺按照如下开标一览表（报价表）的价格完成“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14:textFill>
            <w14:solidFill>
              <w14:schemeClr w14:val="tx1"/>
            </w14:solidFill>
          </w14:textFill>
        </w:rPr>
        <w:t>数字人大”平台系统改造项目</w:t>
      </w:r>
      <w:r>
        <w:rPr>
          <w:rFonts w:hint="eastAsia" w:ascii="宋体" w:hAnsi="宋体" w:cs="宋体"/>
          <w:color w:val="000000" w:themeColor="text1"/>
          <w:kern w:val="0"/>
          <w:sz w:val="24"/>
          <w:lang w:val="zh-CN"/>
          <w14:textFill>
            <w14:solidFill>
              <w14:schemeClr w14:val="tx1"/>
            </w14:solidFill>
          </w14:textFill>
        </w:rPr>
        <w:t>【招标编号：</w:t>
      </w:r>
      <w:r>
        <w:rPr>
          <w:rFonts w:hint="eastAsia" w:ascii="宋体" w:hAnsi="宋体" w:cs="宋体"/>
          <w:color w:val="000000" w:themeColor="text1"/>
          <w:sz w:val="24"/>
          <w14:textFill>
            <w14:solidFill>
              <w14:schemeClr w14:val="tx1"/>
            </w14:solidFill>
          </w14:textFill>
        </w:rPr>
        <w:t>CTZB-2025060241】的实施</w:t>
      </w:r>
      <w:r>
        <w:rPr>
          <w:rFonts w:hint="eastAsia" w:ascii="宋体" w:hAnsi="宋体" w:cs="宋体"/>
          <w:color w:val="000000" w:themeColor="text1"/>
          <w:kern w:val="0"/>
          <w:sz w:val="24"/>
          <w:lang w:val="zh-CN"/>
          <w14:textFill>
            <w14:solidFill>
              <w14:schemeClr w14:val="tx1"/>
            </w14:solidFill>
          </w14:textFill>
        </w:rPr>
        <w:t>。</w:t>
      </w:r>
    </w:p>
    <w:p w14:paraId="49B9918E">
      <w:pPr>
        <w:spacing w:line="240" w:lineRule="auto"/>
        <w:ind w:left="120" w:firstLine="482" w:firstLineChars="200"/>
        <w:jc w:val="center"/>
        <w:rPr>
          <w:rFonts w:hint="eastAsia"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1740"/>
        <w:gridCol w:w="1449"/>
        <w:gridCol w:w="1064"/>
        <w:gridCol w:w="2126"/>
        <w:tblGridChange w:id="0">
          <w:tblGrid>
            <w:gridCol w:w="817"/>
            <w:gridCol w:w="992"/>
            <w:gridCol w:w="2268"/>
            <w:gridCol w:w="2410"/>
            <w:gridCol w:w="2268"/>
            <w:gridCol w:w="1740"/>
            <w:gridCol w:w="1449"/>
            <w:gridCol w:w="1064"/>
            <w:gridCol w:w="2126"/>
          </w:tblGrid>
        </w:tblGridChange>
      </w:tblGrid>
      <w:tr w14:paraId="175D9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817" w:type="dxa"/>
            <w:vAlign w:val="center"/>
          </w:tcPr>
          <w:p w14:paraId="6F11C462">
            <w:pPr>
              <w:spacing w:line="360" w:lineRule="auto"/>
              <w:ind w:left="120"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992" w:type="dxa"/>
            <w:vAlign w:val="center"/>
          </w:tcPr>
          <w:p w14:paraId="17A7CE9A">
            <w:pPr>
              <w:spacing w:line="360" w:lineRule="auto"/>
              <w:ind w:left="120"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名称</w:t>
            </w:r>
          </w:p>
        </w:tc>
        <w:tc>
          <w:tcPr>
            <w:tcW w:w="2268" w:type="dxa"/>
            <w:vAlign w:val="center"/>
          </w:tcPr>
          <w:p w14:paraId="1BADAC1C">
            <w:pPr>
              <w:spacing w:line="360" w:lineRule="auto"/>
              <w:ind w:left="120" w:firstLine="482"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服务范围</w:t>
            </w:r>
          </w:p>
        </w:tc>
        <w:tc>
          <w:tcPr>
            <w:tcW w:w="2410" w:type="dxa"/>
            <w:vAlign w:val="center"/>
          </w:tcPr>
          <w:p w14:paraId="70B0708E">
            <w:pPr>
              <w:spacing w:line="360" w:lineRule="auto"/>
              <w:ind w:left="120"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服务要求</w:t>
            </w:r>
          </w:p>
        </w:tc>
        <w:tc>
          <w:tcPr>
            <w:tcW w:w="2268" w:type="dxa"/>
            <w:vAlign w:val="center"/>
          </w:tcPr>
          <w:p w14:paraId="3BDAF53E">
            <w:pPr>
              <w:spacing w:line="360" w:lineRule="auto"/>
              <w:ind w:left="120"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服务时间</w:t>
            </w:r>
          </w:p>
        </w:tc>
        <w:tc>
          <w:tcPr>
            <w:tcW w:w="1740" w:type="dxa"/>
            <w:vAlign w:val="center"/>
          </w:tcPr>
          <w:p w14:paraId="59FF1687">
            <w:pPr>
              <w:spacing w:line="360" w:lineRule="auto"/>
              <w:ind w:left="120"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服务标准</w:t>
            </w:r>
          </w:p>
        </w:tc>
        <w:tc>
          <w:tcPr>
            <w:tcW w:w="1449" w:type="dxa"/>
            <w:vAlign w:val="center"/>
          </w:tcPr>
          <w:p w14:paraId="2A100C11">
            <w:pPr>
              <w:spacing w:line="360" w:lineRule="auto"/>
              <w:ind w:left="120"/>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服务人数</w:t>
            </w:r>
          </w:p>
        </w:tc>
        <w:tc>
          <w:tcPr>
            <w:tcW w:w="1064" w:type="dxa"/>
            <w:vAlign w:val="center"/>
          </w:tcPr>
          <w:p w14:paraId="44ABA58B">
            <w:pPr>
              <w:spacing w:line="360" w:lineRule="auto"/>
              <w:ind w:left="120"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报价</w:t>
            </w:r>
          </w:p>
        </w:tc>
        <w:tc>
          <w:tcPr>
            <w:tcW w:w="2126" w:type="dxa"/>
            <w:vAlign w:val="center"/>
          </w:tcPr>
          <w:p w14:paraId="07FA9646">
            <w:pPr>
              <w:spacing w:line="360" w:lineRule="auto"/>
              <w:ind w:left="120" w:firstLine="22"/>
              <w:jc w:val="center"/>
              <w:rPr>
                <w:rFonts w:hint="eastAsia" w:ascii="宋体" w:hAnsi="宋体" w:cs="宋体"/>
                <w:b/>
                <w:color w:val="000000" w:themeColor="text1"/>
                <w:sz w:val="24"/>
                <w14:textFill>
                  <w14:solidFill>
                    <w14:schemeClr w14:val="tx1"/>
                  </w14:solidFill>
                </w14:textFill>
              </w:rPr>
            </w:pPr>
          </w:p>
          <w:p w14:paraId="3363A790">
            <w:pPr>
              <w:spacing w:line="360" w:lineRule="auto"/>
              <w:ind w:left="12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备注（如果有）</w:t>
            </w:r>
          </w:p>
          <w:p w14:paraId="112018A1">
            <w:pPr>
              <w:spacing w:line="360" w:lineRule="auto"/>
              <w:ind w:left="120" w:firstLine="22"/>
              <w:jc w:val="center"/>
              <w:rPr>
                <w:rFonts w:hint="eastAsia" w:ascii="宋体" w:hAnsi="宋体" w:cs="宋体"/>
                <w:b/>
                <w:color w:val="000000" w:themeColor="text1"/>
                <w:sz w:val="24"/>
                <w14:textFill>
                  <w14:solidFill>
                    <w14:schemeClr w14:val="tx1"/>
                  </w14:solidFill>
                </w14:textFill>
              </w:rPr>
            </w:pPr>
          </w:p>
        </w:tc>
      </w:tr>
      <w:tr w14:paraId="0FCF0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DC63242">
            <w:pPr>
              <w:spacing w:line="360" w:lineRule="auto"/>
              <w:ind w:left="120" w:firstLine="22"/>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992" w:type="dxa"/>
            <w:vAlign w:val="center"/>
          </w:tcPr>
          <w:p w14:paraId="3782FFF1">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X</w:t>
            </w:r>
            <w:r>
              <w:rPr>
                <w:rFonts w:ascii="宋体" w:hAnsi="宋体" w:cs="宋体"/>
                <w:color w:val="000000" w:themeColor="text1"/>
                <w:sz w:val="24"/>
                <w14:textFill>
                  <w14:solidFill>
                    <w14:schemeClr w14:val="tx1"/>
                  </w14:solidFill>
                </w14:textFill>
              </w:rPr>
              <w:t>X</w:t>
            </w:r>
          </w:p>
        </w:tc>
        <w:tc>
          <w:tcPr>
            <w:tcW w:w="2268" w:type="dxa"/>
            <w:vAlign w:val="center"/>
          </w:tcPr>
          <w:p w14:paraId="37A1A508">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2410" w:type="dxa"/>
            <w:vAlign w:val="center"/>
          </w:tcPr>
          <w:p w14:paraId="4F44EDA3">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2268" w:type="dxa"/>
            <w:vAlign w:val="center"/>
          </w:tcPr>
          <w:p w14:paraId="225D55DE">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1740" w:type="dxa"/>
            <w:vAlign w:val="center"/>
          </w:tcPr>
          <w:p w14:paraId="71B3DC58">
            <w:pPr>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1449" w:type="dxa"/>
          </w:tcPr>
          <w:p w14:paraId="1C190CBD">
            <w:pPr>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1064" w:type="dxa"/>
          </w:tcPr>
          <w:p w14:paraId="080A7060">
            <w:pPr>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2126" w:type="dxa"/>
            <w:vAlign w:val="center"/>
          </w:tcPr>
          <w:p w14:paraId="1385D1D1">
            <w:pPr>
              <w:spacing w:line="360" w:lineRule="auto"/>
              <w:ind w:left="120" w:firstLine="22"/>
              <w:jc w:val="center"/>
              <w:rPr>
                <w:rFonts w:hint="eastAsia" w:ascii="宋体" w:hAnsi="宋体" w:cs="宋体"/>
                <w:color w:val="000000" w:themeColor="text1"/>
                <w:sz w:val="24"/>
                <w14:textFill>
                  <w14:solidFill>
                    <w14:schemeClr w14:val="tx1"/>
                  </w14:solidFill>
                </w14:textFill>
              </w:rPr>
            </w:pPr>
          </w:p>
        </w:tc>
      </w:tr>
      <w:tr w14:paraId="2A264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48904D0">
            <w:pPr>
              <w:spacing w:line="360" w:lineRule="auto"/>
              <w:ind w:left="120" w:firstLine="22"/>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992" w:type="dxa"/>
            <w:vAlign w:val="center"/>
          </w:tcPr>
          <w:p w14:paraId="678A5A61">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X</w:t>
            </w:r>
            <w:r>
              <w:rPr>
                <w:rFonts w:ascii="宋体" w:hAnsi="宋体" w:cs="宋体"/>
                <w:color w:val="000000" w:themeColor="text1"/>
                <w:sz w:val="24"/>
                <w14:textFill>
                  <w14:solidFill>
                    <w14:schemeClr w14:val="tx1"/>
                  </w14:solidFill>
                </w14:textFill>
              </w:rPr>
              <w:t>X</w:t>
            </w:r>
          </w:p>
        </w:tc>
        <w:tc>
          <w:tcPr>
            <w:tcW w:w="2268" w:type="dxa"/>
            <w:vAlign w:val="center"/>
          </w:tcPr>
          <w:p w14:paraId="41BA2BA2">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2410" w:type="dxa"/>
            <w:vAlign w:val="center"/>
          </w:tcPr>
          <w:p w14:paraId="1E28AB03">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2268" w:type="dxa"/>
            <w:vAlign w:val="center"/>
          </w:tcPr>
          <w:p w14:paraId="19355EAB">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1740" w:type="dxa"/>
            <w:vAlign w:val="center"/>
          </w:tcPr>
          <w:p w14:paraId="2F7D9206">
            <w:pPr>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1449" w:type="dxa"/>
          </w:tcPr>
          <w:p w14:paraId="7F57CA17">
            <w:pPr>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1064" w:type="dxa"/>
          </w:tcPr>
          <w:p w14:paraId="65F0D35B">
            <w:pPr>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2126" w:type="dxa"/>
            <w:vAlign w:val="center"/>
          </w:tcPr>
          <w:p w14:paraId="62E945C3">
            <w:pPr>
              <w:spacing w:line="360" w:lineRule="auto"/>
              <w:ind w:left="120" w:firstLine="22"/>
              <w:jc w:val="center"/>
              <w:rPr>
                <w:rFonts w:hint="eastAsia" w:ascii="宋体" w:hAnsi="宋体" w:cs="宋体"/>
                <w:color w:val="000000" w:themeColor="text1"/>
                <w:sz w:val="24"/>
                <w14:textFill>
                  <w14:solidFill>
                    <w14:schemeClr w14:val="tx1"/>
                  </w14:solidFill>
                </w14:textFill>
              </w:rPr>
            </w:pPr>
          </w:p>
        </w:tc>
      </w:tr>
      <w:tr w14:paraId="7FCE9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94F810B">
            <w:pPr>
              <w:spacing w:line="360" w:lineRule="auto"/>
              <w:ind w:left="120" w:firstLine="22"/>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992" w:type="dxa"/>
            <w:vAlign w:val="center"/>
          </w:tcPr>
          <w:p w14:paraId="1A163ABF">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2268" w:type="dxa"/>
            <w:vAlign w:val="center"/>
          </w:tcPr>
          <w:p w14:paraId="61D86A41">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2410" w:type="dxa"/>
            <w:vAlign w:val="center"/>
          </w:tcPr>
          <w:p w14:paraId="46713AA5">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2268" w:type="dxa"/>
            <w:vAlign w:val="center"/>
          </w:tcPr>
          <w:p w14:paraId="00E3AF86">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1740" w:type="dxa"/>
            <w:vAlign w:val="center"/>
          </w:tcPr>
          <w:p w14:paraId="39D16A84">
            <w:pPr>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1449" w:type="dxa"/>
          </w:tcPr>
          <w:p w14:paraId="31F024B2">
            <w:pPr>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1064" w:type="dxa"/>
          </w:tcPr>
          <w:p w14:paraId="64BC7E54">
            <w:pPr>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2126" w:type="dxa"/>
            <w:vAlign w:val="center"/>
          </w:tcPr>
          <w:p w14:paraId="2E47492A">
            <w:pPr>
              <w:spacing w:line="360" w:lineRule="auto"/>
              <w:ind w:left="120" w:firstLine="22"/>
              <w:jc w:val="center"/>
              <w:rPr>
                <w:rFonts w:hint="eastAsia" w:ascii="宋体" w:hAnsi="宋体" w:cs="宋体"/>
                <w:color w:val="000000" w:themeColor="text1"/>
                <w:sz w:val="24"/>
                <w14:textFill>
                  <w14:solidFill>
                    <w14:schemeClr w14:val="tx1"/>
                  </w14:solidFill>
                </w14:textFill>
              </w:rPr>
            </w:pPr>
          </w:p>
        </w:tc>
      </w:tr>
      <w:tr w14:paraId="1181D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2CE3BE1">
            <w:pPr>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992" w:type="dxa"/>
            <w:vAlign w:val="center"/>
          </w:tcPr>
          <w:p w14:paraId="2CDC0646">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2268" w:type="dxa"/>
            <w:vAlign w:val="center"/>
          </w:tcPr>
          <w:p w14:paraId="0FE9759D">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2410" w:type="dxa"/>
            <w:vAlign w:val="center"/>
          </w:tcPr>
          <w:p w14:paraId="0A51B4C5">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2268" w:type="dxa"/>
            <w:vAlign w:val="center"/>
          </w:tcPr>
          <w:p w14:paraId="7B90ADE6">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1740" w:type="dxa"/>
            <w:vAlign w:val="center"/>
          </w:tcPr>
          <w:p w14:paraId="786C4391">
            <w:pPr>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1449" w:type="dxa"/>
          </w:tcPr>
          <w:p w14:paraId="6C690AFB">
            <w:pPr>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1064" w:type="dxa"/>
          </w:tcPr>
          <w:p w14:paraId="14D74263">
            <w:pPr>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2126" w:type="dxa"/>
            <w:vAlign w:val="center"/>
          </w:tcPr>
          <w:p w14:paraId="211A858A">
            <w:pPr>
              <w:spacing w:line="360" w:lineRule="auto"/>
              <w:ind w:left="120" w:firstLine="22"/>
              <w:jc w:val="center"/>
              <w:rPr>
                <w:rFonts w:hint="eastAsia" w:ascii="宋体" w:hAnsi="宋体" w:cs="宋体"/>
                <w:color w:val="000000" w:themeColor="text1"/>
                <w:sz w:val="24"/>
                <w14:textFill>
                  <w14:solidFill>
                    <w14:schemeClr w14:val="tx1"/>
                  </w14:solidFill>
                </w14:textFill>
              </w:rPr>
            </w:pPr>
          </w:p>
        </w:tc>
      </w:tr>
      <w:tr w14:paraId="3148E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17" w:type="dxa"/>
            <w:vAlign w:val="center"/>
          </w:tcPr>
          <w:p w14:paraId="3CB2C289">
            <w:pPr>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992" w:type="dxa"/>
            <w:vAlign w:val="center"/>
          </w:tcPr>
          <w:p w14:paraId="30DDDA7C">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2268" w:type="dxa"/>
            <w:vAlign w:val="center"/>
          </w:tcPr>
          <w:p w14:paraId="4A13A349">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2410" w:type="dxa"/>
            <w:vAlign w:val="center"/>
          </w:tcPr>
          <w:p w14:paraId="6E6BF1FF">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2268" w:type="dxa"/>
            <w:vAlign w:val="center"/>
          </w:tcPr>
          <w:p w14:paraId="3E2FB29B">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1740" w:type="dxa"/>
            <w:vAlign w:val="center"/>
          </w:tcPr>
          <w:p w14:paraId="46E3BE99">
            <w:pPr>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1449" w:type="dxa"/>
          </w:tcPr>
          <w:p w14:paraId="2A13C8B4">
            <w:pPr>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1064" w:type="dxa"/>
          </w:tcPr>
          <w:p w14:paraId="5407620E">
            <w:pPr>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2126" w:type="dxa"/>
            <w:vAlign w:val="center"/>
          </w:tcPr>
          <w:p w14:paraId="3A49838F">
            <w:pPr>
              <w:spacing w:line="360" w:lineRule="auto"/>
              <w:ind w:left="120" w:firstLine="22"/>
              <w:jc w:val="center"/>
              <w:rPr>
                <w:rFonts w:hint="eastAsia" w:ascii="宋体" w:hAnsi="宋体" w:cs="宋体"/>
                <w:color w:val="000000" w:themeColor="text1"/>
                <w:sz w:val="24"/>
                <w14:textFill>
                  <w14:solidFill>
                    <w14:schemeClr w14:val="tx1"/>
                  </w14:solidFill>
                </w14:textFill>
              </w:rPr>
            </w:pPr>
          </w:p>
        </w:tc>
      </w:tr>
      <w:tr w14:paraId="5DAA8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487" w:type="dxa"/>
            <w:gridSpan w:val="4"/>
            <w:vAlign w:val="center"/>
          </w:tcPr>
          <w:p w14:paraId="5410779F">
            <w:pPr>
              <w:spacing w:line="360" w:lineRule="auto"/>
              <w:ind w:left="120"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投标报价（小写）</w:t>
            </w:r>
          </w:p>
        </w:tc>
        <w:tc>
          <w:tcPr>
            <w:tcW w:w="8647" w:type="dxa"/>
            <w:gridSpan w:val="5"/>
          </w:tcPr>
          <w:p w14:paraId="16C9FAE3">
            <w:pPr>
              <w:spacing w:line="360" w:lineRule="auto"/>
              <w:ind w:left="120" w:firstLine="22"/>
              <w:jc w:val="center"/>
              <w:rPr>
                <w:rFonts w:hint="eastAsia" w:ascii="宋体" w:hAnsi="宋体" w:cs="宋体"/>
                <w:color w:val="000000" w:themeColor="text1"/>
                <w:sz w:val="24"/>
                <w14:textFill>
                  <w14:solidFill>
                    <w14:schemeClr w14:val="tx1"/>
                  </w14:solidFill>
                </w14:textFill>
              </w:rPr>
            </w:pPr>
          </w:p>
        </w:tc>
      </w:tr>
      <w:tr w14:paraId="194E7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6487" w:type="dxa"/>
            <w:gridSpan w:val="4"/>
            <w:vAlign w:val="center"/>
          </w:tcPr>
          <w:p w14:paraId="7318CD1B">
            <w:pPr>
              <w:spacing w:line="360" w:lineRule="auto"/>
              <w:ind w:left="120"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投标报价（大写）</w:t>
            </w:r>
          </w:p>
        </w:tc>
        <w:tc>
          <w:tcPr>
            <w:tcW w:w="8647" w:type="dxa"/>
            <w:gridSpan w:val="5"/>
          </w:tcPr>
          <w:p w14:paraId="19818816">
            <w:pPr>
              <w:spacing w:line="360" w:lineRule="auto"/>
              <w:ind w:left="120" w:firstLine="22"/>
              <w:jc w:val="center"/>
              <w:rPr>
                <w:rFonts w:hint="eastAsia" w:ascii="宋体" w:hAnsi="宋体" w:cs="宋体"/>
                <w:color w:val="000000" w:themeColor="text1"/>
                <w:sz w:val="24"/>
                <w14:textFill>
                  <w14:solidFill>
                    <w14:schemeClr w14:val="tx1"/>
                  </w14:solidFill>
                </w14:textFill>
              </w:rPr>
            </w:pPr>
          </w:p>
        </w:tc>
      </w:tr>
    </w:tbl>
    <w:p w14:paraId="713D28BE">
      <w:pPr>
        <w:snapToGrid w:val="0"/>
        <w:spacing w:line="360" w:lineRule="auto"/>
        <w:ind w:left="480" w:firstLine="482" w:firstLineChars="200"/>
        <w:rPr>
          <w:rFonts w:hint="eastAsia"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注：</w:t>
      </w:r>
    </w:p>
    <w:p w14:paraId="525104F9">
      <w:pPr>
        <w:spacing w:line="360" w:lineRule="auto"/>
        <w:ind w:left="-2" w:leftChars="-1"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1、投标人需按本表格式填写</w:t>
      </w:r>
      <w:r>
        <w:rPr>
          <w:rFonts w:hint="eastAsia" w:ascii="宋体" w:hAnsi="宋体" w:cs="宋体"/>
          <w:b/>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14:textFill>
            <w14:solidFill>
              <w14:schemeClr w14:val="tx1"/>
            </w14:solidFill>
          </w14:textFill>
        </w:rPr>
        <w:t>否则视为</w:t>
      </w:r>
      <w:r>
        <w:rPr>
          <w:rFonts w:hint="eastAsia" w:ascii="宋体" w:hAnsi="宋体" w:cs="宋体"/>
          <w:b/>
          <w:color w:val="000000" w:themeColor="text1"/>
          <w:sz w:val="24"/>
          <w14:textFill>
            <w14:solidFill>
              <w14:schemeClr w14:val="tx1"/>
            </w14:solidFill>
          </w14:textFill>
        </w:rPr>
        <w:t>投标文件含有采购人不能接受的附加条件，投标无效；</w:t>
      </w:r>
    </w:p>
    <w:p w14:paraId="0938995B">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2、有关本项目实施所涉及的一切费用均计入报价。</w:t>
      </w:r>
      <w:r>
        <w:rPr>
          <w:rFonts w:hint="eastAsia" w:ascii="宋体" w:hAnsi="宋体" w:cs="宋体"/>
          <w:color w:val="000000" w:themeColor="text1"/>
          <w:kern w:val="0"/>
          <w:sz w:val="24"/>
          <w14:textFill>
            <w14:solidFill>
              <w14:schemeClr w14:val="tx1"/>
            </w14:solidFill>
          </w14:textFill>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color w:val="000000" w:themeColor="text1"/>
          <w:kern w:val="0"/>
          <w:sz w:val="24"/>
          <w:lang w:val="zh-CN"/>
          <w14:textFill>
            <w14:solidFill>
              <w14:schemeClr w14:val="tx1"/>
            </w14:solidFill>
          </w14:textFill>
        </w:rPr>
        <w:t>采购内容未包含在《开标一览表（报价表）》名称栏中，投标人不能作出合理解释的，</w:t>
      </w:r>
      <w:r>
        <w:rPr>
          <w:rFonts w:hint="eastAsia" w:ascii="宋体" w:hAnsi="宋体" w:cs="宋体"/>
          <w:b/>
          <w:color w:val="000000" w:themeColor="text1"/>
          <w:kern w:val="0"/>
          <w:sz w:val="24"/>
          <w14:textFill>
            <w14:solidFill>
              <w14:schemeClr w14:val="tx1"/>
            </w14:solidFill>
          </w14:textFill>
        </w:rPr>
        <w:t>视为</w:t>
      </w:r>
      <w:r>
        <w:rPr>
          <w:rFonts w:hint="eastAsia" w:ascii="宋体" w:hAnsi="宋体" w:cs="宋体"/>
          <w:b/>
          <w:color w:val="000000" w:themeColor="text1"/>
          <w:sz w:val="24"/>
          <w14:textFill>
            <w14:solidFill>
              <w14:schemeClr w14:val="tx1"/>
            </w14:solidFill>
          </w14:textFill>
        </w:rPr>
        <w:t>投标文件含有采购人不能接受的附加条件的，投标无效。</w:t>
      </w:r>
    </w:p>
    <w:p w14:paraId="5B5FE3D1">
      <w:pPr>
        <w:snapToGrid w:val="0"/>
        <w:spacing w:line="360" w:lineRule="auto"/>
        <w:ind w:firstLine="480" w:firstLineChars="200"/>
        <w:jc w:val="left"/>
        <w:rPr>
          <w:rFonts w:hint="eastAsia" w:ascii="宋体" w:hAnsi="宋体" w:cs="宋体"/>
          <w:b/>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3、特别提示：采购代理机构将对项目名称和项目编号，中标供应商名称、地址和中标金额，主要中标标的名称、服务范围、服务要求、服务时间、服务标准等予以公示。</w:t>
      </w:r>
    </w:p>
    <w:p w14:paraId="08B3A5C4">
      <w:pPr>
        <w:pStyle w:val="2"/>
        <w:keepNext w:val="0"/>
        <w:keepLines w:val="0"/>
        <w:pageBreakBefore/>
        <w:widowControl/>
        <w:spacing w:before="100" w:beforeAutospacing="1" w:after="100" w:afterAutospacing="1" w:line="360" w:lineRule="auto"/>
        <w:ind w:left="120" w:firstLine="22"/>
        <w:jc w:val="center"/>
        <w:rPr>
          <w:rFonts w:hint="eastAsia" w:ascii="宋体" w:hAnsi="宋体" w:cs="宋体"/>
          <w:color w:val="000000" w:themeColor="text1"/>
          <w14:textFill>
            <w14:solidFill>
              <w14:schemeClr w14:val="tx1"/>
            </w14:solidFill>
          </w14:textFill>
        </w:rPr>
        <w:sectPr>
          <w:headerReference r:id="rId23" w:type="first"/>
          <w:footerReference r:id="rId25" w:type="first"/>
          <w:headerReference r:id="rId22" w:type="default"/>
          <w:footerReference r:id="rId24" w:type="default"/>
          <w:pgSz w:w="16838" w:h="11906" w:orient="landscape"/>
          <w:pgMar w:top="1417" w:right="1276" w:bottom="1417" w:left="1247" w:header="851" w:footer="992" w:gutter="0"/>
          <w:cols w:space="0" w:num="1"/>
          <w:titlePg/>
          <w:docGrid w:linePitch="312" w:charSpace="0"/>
        </w:sectPr>
      </w:pPr>
    </w:p>
    <w:p w14:paraId="6EEB05B3">
      <w:pPr>
        <w:pStyle w:val="2"/>
        <w:keepNext w:val="0"/>
        <w:keepLines w:val="0"/>
        <w:widowControl/>
        <w:spacing w:before="100" w:beforeAutospacing="1" w:after="100" w:afterAutospacing="1" w:line="360" w:lineRule="auto"/>
        <w:ind w:left="120" w:firstLine="883" w:firstLineChars="200"/>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附件</w:t>
      </w:r>
    </w:p>
    <w:p w14:paraId="49469864">
      <w:pPr>
        <w:spacing w:line="360" w:lineRule="auto"/>
        <w:ind w:left="120" w:firstLine="667" w:firstLineChars="200"/>
        <w:outlineLvl w:val="1"/>
        <w:rPr>
          <w:rFonts w:hint="eastAsia"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附件1：</w:t>
      </w:r>
    </w:p>
    <w:p w14:paraId="3451119D">
      <w:pPr>
        <w:spacing w:line="360" w:lineRule="auto"/>
        <w:ind w:left="120" w:firstLine="667" w:firstLineChars="200"/>
        <w:jc w:val="center"/>
        <w:outlineLvl w:val="1"/>
        <w:rPr>
          <w:rFonts w:hint="eastAsia" w:ascii="宋体" w:hAnsi="宋体" w:cs="宋体"/>
          <w:b/>
          <w:color w:val="000000" w:themeColor="text1"/>
          <w:spacing w:val="6"/>
          <w:sz w:val="32"/>
          <w:szCs w:val="32"/>
          <w14:textFill>
            <w14:solidFill>
              <w14:schemeClr w14:val="tx1"/>
            </w14:solidFill>
          </w14:textFill>
        </w:rPr>
      </w:pPr>
      <w:bookmarkStart w:id="506" w:name="OLE_LINK13"/>
      <w:bookmarkStart w:id="507" w:name="OLE_LINK14"/>
      <w:r>
        <w:rPr>
          <w:rFonts w:hint="eastAsia" w:ascii="宋体" w:hAnsi="宋体" w:cs="宋体"/>
          <w:b/>
          <w:color w:val="000000" w:themeColor="text1"/>
          <w:spacing w:val="6"/>
          <w:sz w:val="32"/>
          <w:szCs w:val="32"/>
          <w14:textFill>
            <w14:solidFill>
              <w14:schemeClr w14:val="tx1"/>
            </w14:solidFill>
          </w14:textFill>
        </w:rPr>
        <w:t>残疾人福利性单位声明函</w:t>
      </w:r>
    </w:p>
    <w:bookmarkEnd w:id="506"/>
    <w:bookmarkEnd w:id="507"/>
    <w:p w14:paraId="251D9359">
      <w:pPr>
        <w:spacing w:line="360" w:lineRule="auto"/>
        <w:ind w:left="120" w:firstLine="22"/>
        <w:rPr>
          <w:rFonts w:hint="eastAsia" w:ascii="宋体" w:hAnsi="宋体" w:cs="宋体"/>
          <w:b/>
          <w:color w:val="000000" w:themeColor="text1"/>
          <w:spacing w:val="6"/>
          <w:sz w:val="30"/>
          <w:szCs w:val="30"/>
          <w14:textFill>
            <w14:solidFill>
              <w14:schemeClr w14:val="tx1"/>
            </w14:solidFill>
          </w14:textFill>
        </w:rPr>
      </w:pPr>
    </w:p>
    <w:p w14:paraId="7AAA729A">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中国残疾人联合会关于促进残疾人就业政府采购政策的通知》（财库〔2017〕141号）的规定，本单位为符合条件的残疾人福利性单位，且本单位参加_</w:t>
      </w:r>
      <w:r>
        <w:rPr>
          <w:rFonts w:hint="eastAsia" w:ascii="宋体" w:hAnsi="宋体" w:cs="宋体"/>
          <w:color w:val="000000" w:themeColor="text1"/>
          <w:sz w:val="24"/>
          <w:u w:val="single"/>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_单位的_“</w:t>
      </w:r>
      <w:r>
        <w:rPr>
          <w:rFonts w:hint="eastAsia" w:ascii="宋体" w:hAnsi="宋体" w:cs="宋体"/>
          <w:color w:val="000000" w:themeColor="text1"/>
          <w:sz w:val="24"/>
          <w:u w:val="single"/>
          <w14:textFill>
            <w14:solidFill>
              <w14:schemeClr w14:val="tx1"/>
            </w14:solidFill>
          </w14:textFill>
        </w:rPr>
        <w:t>数字人大”平台系统改造项目</w:t>
      </w:r>
      <w:r>
        <w:rPr>
          <w:rFonts w:hint="eastAsia" w:ascii="宋体" w:hAnsi="宋体" w:cs="宋体"/>
          <w:color w:val="000000" w:themeColor="text1"/>
          <w:sz w:val="24"/>
          <w14:textFill>
            <w14:solidFill>
              <w14:schemeClr w14:val="tx1"/>
            </w14:solidFill>
          </w14:textFill>
        </w:rPr>
        <w:t>采购活动提供本单位制造的货物（由本单位承担工程/提供服务），或者提供其他残疾人福利性单位制造的货物（不包括使用非残疾人福利性单位注册商标的货物）。</w:t>
      </w:r>
    </w:p>
    <w:p w14:paraId="77FB83C4">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本单位对上述声明的真实性负责。如有虚假，将依法承担相应责任。</w:t>
      </w:r>
    </w:p>
    <w:p w14:paraId="06FADFEE">
      <w:pPr>
        <w:spacing w:line="360" w:lineRule="auto"/>
        <w:ind w:left="120" w:firstLine="480" w:firstLineChars="200"/>
        <w:rPr>
          <w:rFonts w:hint="eastAsia" w:ascii="宋体" w:hAnsi="宋体" w:cs="宋体"/>
          <w:color w:val="000000" w:themeColor="text1"/>
          <w:sz w:val="24"/>
          <w14:textFill>
            <w14:solidFill>
              <w14:schemeClr w14:val="tx1"/>
            </w14:solidFill>
          </w14:textFill>
        </w:rPr>
      </w:pPr>
    </w:p>
    <w:p w14:paraId="616D6C53">
      <w:pPr>
        <w:spacing w:line="360" w:lineRule="auto"/>
        <w:ind w:left="120" w:firstLine="480" w:firstLineChars="200"/>
        <w:rPr>
          <w:rFonts w:hint="eastAsia" w:ascii="宋体" w:hAnsi="宋体" w:cs="宋体"/>
          <w:color w:val="000000" w:themeColor="text1"/>
          <w:sz w:val="24"/>
          <w14:textFill>
            <w14:solidFill>
              <w14:schemeClr w14:val="tx1"/>
            </w14:solidFill>
          </w14:textFill>
        </w:rPr>
      </w:pPr>
    </w:p>
    <w:p w14:paraId="3DE19534">
      <w:pPr>
        <w:tabs>
          <w:tab w:val="left" w:pos="4860"/>
        </w:tabs>
        <w:spacing w:line="360" w:lineRule="auto"/>
        <w:ind w:left="120" w:right="1560" w:firstLine="480" w:firstLineChars="20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投标人名称（电子签名）</w:t>
      </w:r>
      <w:r>
        <w:rPr>
          <w:rFonts w:hint="eastAsia" w:ascii="宋体" w:hAnsi="宋体" w:cs="宋体"/>
          <w:color w:val="000000" w:themeColor="text1"/>
          <w:sz w:val="24"/>
          <w14:textFill>
            <w14:solidFill>
              <w14:schemeClr w14:val="tx1"/>
            </w14:solidFill>
          </w14:textFill>
        </w:rPr>
        <w:t>：</w:t>
      </w:r>
    </w:p>
    <w:p w14:paraId="1225B8B2">
      <w:pPr>
        <w:tabs>
          <w:tab w:val="left" w:pos="4860"/>
        </w:tabs>
        <w:spacing w:line="360" w:lineRule="auto"/>
        <w:ind w:left="120" w:right="1560" w:firstLine="480" w:firstLineChars="20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  期：</w:t>
      </w:r>
    </w:p>
    <w:p w14:paraId="4C2B3F1C">
      <w:pPr>
        <w:spacing w:line="360" w:lineRule="auto"/>
        <w:ind w:left="120" w:firstLine="480" w:firstLineChars="200"/>
        <w:rPr>
          <w:rFonts w:hint="eastAsia" w:ascii="宋体" w:hAnsi="宋体" w:cs="宋体"/>
          <w:color w:val="000000" w:themeColor="text1"/>
          <w:sz w:val="24"/>
          <w14:textFill>
            <w14:solidFill>
              <w14:schemeClr w14:val="tx1"/>
            </w14:solidFill>
          </w14:textFill>
        </w:rPr>
      </w:pPr>
    </w:p>
    <w:p w14:paraId="3220E2B9">
      <w:pPr>
        <w:spacing w:line="360" w:lineRule="auto"/>
        <w:ind w:left="120" w:firstLine="420" w:firstLineChars="200"/>
        <w:rPr>
          <w:rFonts w:hint="eastAsia" w:ascii="宋体" w:hAnsi="宋体" w:cs="宋体"/>
          <w:color w:val="000000" w:themeColor="text1"/>
          <w14:textFill>
            <w14:solidFill>
              <w14:schemeClr w14:val="tx1"/>
            </w14:solidFill>
          </w14:textFill>
        </w:rPr>
      </w:pPr>
    </w:p>
    <w:p w14:paraId="32A6ACF9">
      <w:pPr>
        <w:spacing w:line="360" w:lineRule="auto"/>
        <w:ind w:left="120" w:firstLine="420" w:firstLineChars="200"/>
        <w:rPr>
          <w:rFonts w:hint="eastAsia" w:ascii="宋体" w:hAnsi="宋体" w:cs="宋体"/>
          <w:color w:val="000000" w:themeColor="text1"/>
          <w14:textFill>
            <w14:solidFill>
              <w14:schemeClr w14:val="tx1"/>
            </w14:solidFill>
          </w14:textFill>
        </w:rPr>
      </w:pPr>
    </w:p>
    <w:p w14:paraId="3F469729">
      <w:pPr>
        <w:spacing w:line="360" w:lineRule="auto"/>
        <w:ind w:left="120" w:firstLine="420" w:firstLineChars="200"/>
        <w:rPr>
          <w:rFonts w:hint="eastAsia" w:ascii="宋体" w:hAnsi="宋体" w:cs="宋体"/>
          <w:color w:val="000000" w:themeColor="text1"/>
          <w14:textFill>
            <w14:solidFill>
              <w14:schemeClr w14:val="tx1"/>
            </w14:solidFill>
          </w14:textFill>
        </w:rPr>
      </w:pPr>
    </w:p>
    <w:p w14:paraId="1221DD68">
      <w:pPr>
        <w:spacing w:line="360" w:lineRule="auto"/>
        <w:ind w:left="120" w:firstLine="420" w:firstLineChars="200"/>
        <w:rPr>
          <w:rFonts w:hint="eastAsia" w:ascii="宋体" w:hAnsi="宋体" w:cs="宋体"/>
          <w:color w:val="000000" w:themeColor="text1"/>
          <w14:textFill>
            <w14:solidFill>
              <w14:schemeClr w14:val="tx1"/>
            </w14:solidFill>
          </w14:textFill>
        </w:rPr>
      </w:pPr>
    </w:p>
    <w:p w14:paraId="3837ACA2">
      <w:pPr>
        <w:spacing w:line="360" w:lineRule="auto"/>
        <w:ind w:left="120" w:firstLine="22"/>
        <w:rPr>
          <w:rFonts w:hint="eastAsia" w:ascii="宋体" w:hAnsi="宋体" w:cs="宋体"/>
          <w:b/>
          <w:color w:val="000000" w:themeColor="text1"/>
          <w:sz w:val="24"/>
          <w14:textFill>
            <w14:solidFill>
              <w14:schemeClr w14:val="tx1"/>
            </w14:solidFill>
          </w14:textFill>
        </w:rPr>
      </w:pPr>
    </w:p>
    <w:p w14:paraId="4AE69220">
      <w:pPr>
        <w:spacing w:line="360" w:lineRule="auto"/>
        <w:ind w:left="120" w:firstLine="22"/>
        <w:rPr>
          <w:rFonts w:hint="eastAsia" w:ascii="宋体" w:hAnsi="宋体" w:cs="宋体"/>
          <w:b/>
          <w:color w:val="000000" w:themeColor="text1"/>
          <w:sz w:val="24"/>
          <w14:textFill>
            <w14:solidFill>
              <w14:schemeClr w14:val="tx1"/>
            </w14:solidFill>
          </w14:textFill>
        </w:rPr>
      </w:pPr>
    </w:p>
    <w:p w14:paraId="0A80B636">
      <w:pPr>
        <w:spacing w:line="360" w:lineRule="auto"/>
        <w:ind w:left="120" w:firstLine="22"/>
        <w:rPr>
          <w:rFonts w:hint="eastAsia" w:ascii="宋体" w:hAnsi="宋体" w:cs="宋体"/>
          <w:b/>
          <w:color w:val="000000" w:themeColor="text1"/>
          <w:sz w:val="24"/>
          <w14:textFill>
            <w14:solidFill>
              <w14:schemeClr w14:val="tx1"/>
            </w14:solidFill>
          </w14:textFill>
        </w:rPr>
      </w:pPr>
    </w:p>
    <w:p w14:paraId="06DAEE44">
      <w:pPr>
        <w:spacing w:line="360" w:lineRule="auto"/>
        <w:ind w:left="120" w:firstLine="22"/>
        <w:rPr>
          <w:rFonts w:hint="eastAsia" w:ascii="宋体" w:hAnsi="宋体" w:cs="宋体"/>
          <w:b/>
          <w:color w:val="000000" w:themeColor="text1"/>
          <w:sz w:val="24"/>
          <w14:textFill>
            <w14:solidFill>
              <w14:schemeClr w14:val="tx1"/>
            </w14:solidFill>
          </w14:textFill>
        </w:rPr>
      </w:pPr>
    </w:p>
    <w:p w14:paraId="17F36678">
      <w:pPr>
        <w:spacing w:line="360" w:lineRule="auto"/>
        <w:ind w:left="120" w:firstLine="667" w:firstLineChars="200"/>
        <w:jc w:val="left"/>
        <w:outlineLvl w:val="1"/>
        <w:rPr>
          <w:rFonts w:hint="eastAsia"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附件2：质疑函范本及制作说明</w:t>
      </w:r>
    </w:p>
    <w:p w14:paraId="6FAED32C">
      <w:pPr>
        <w:spacing w:line="360" w:lineRule="auto"/>
        <w:ind w:left="120" w:firstLine="667" w:firstLineChars="200"/>
        <w:jc w:val="center"/>
        <w:rPr>
          <w:rFonts w:hint="eastAsia"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质疑函范本</w:t>
      </w:r>
    </w:p>
    <w:p w14:paraId="20E82710">
      <w:pPr>
        <w:snapToGrid w:val="0"/>
        <w:spacing w:before="240" w:beforeLines="100" w:line="360" w:lineRule="auto"/>
        <w:ind w:left="120" w:firstLine="480"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一、质疑供应商基本信息</w:t>
      </w:r>
    </w:p>
    <w:p w14:paraId="052F4FD5">
      <w:pPr>
        <w:snapToGrid w:val="0"/>
        <w:spacing w:line="360" w:lineRule="auto"/>
        <w:ind w:left="120" w:firstLine="480" w:firstLineChars="200"/>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质疑供应商：</w:t>
      </w:r>
      <w:r>
        <w:rPr>
          <w:rFonts w:hint="eastAsia" w:ascii="宋体" w:hAnsi="宋体" w:cs="宋体"/>
          <w:color w:val="000000" w:themeColor="text1"/>
          <w:sz w:val="24"/>
          <w:u w:val="dotted"/>
          <w14:textFill>
            <w14:solidFill>
              <w14:schemeClr w14:val="tx1"/>
            </w14:solidFill>
          </w14:textFill>
        </w:rPr>
        <w:t xml:space="preserve">                                        </w:t>
      </w:r>
    </w:p>
    <w:p w14:paraId="031648A4">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14:paraId="08ED8024">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1A59A047">
      <w:pPr>
        <w:snapToGrid w:val="0"/>
        <w:spacing w:line="360" w:lineRule="auto"/>
        <w:ind w:left="120" w:firstLine="480" w:firstLineChars="200"/>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p>
    <w:p w14:paraId="7B667AED">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2586E16E">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地址： </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14:paraId="4282F67A">
      <w:pPr>
        <w:snapToGrid w:val="0"/>
        <w:spacing w:line="360" w:lineRule="auto"/>
        <w:ind w:left="120" w:firstLine="480"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二、质疑项目基本情况</w:t>
      </w:r>
    </w:p>
    <w:p w14:paraId="35368508">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质疑项目的名称：</w:t>
      </w:r>
      <w:r>
        <w:rPr>
          <w:rFonts w:hint="eastAsia" w:ascii="宋体" w:hAnsi="宋体" w:cs="宋体"/>
          <w:color w:val="000000" w:themeColor="text1"/>
          <w:sz w:val="24"/>
          <w:u w:val="dotted"/>
          <w14:textFill>
            <w14:solidFill>
              <w14:schemeClr w14:val="tx1"/>
            </w14:solidFill>
          </w14:textFill>
        </w:rPr>
        <w:t xml:space="preserve">                                      </w:t>
      </w:r>
    </w:p>
    <w:p w14:paraId="079A4E2A">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14:paraId="45B554F5">
      <w:pPr>
        <w:snapToGrid w:val="0"/>
        <w:spacing w:line="360" w:lineRule="auto"/>
        <w:ind w:left="120" w:firstLine="480" w:firstLineChars="200"/>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r>
        <w:rPr>
          <w:rFonts w:hint="eastAsia" w:ascii="宋体" w:hAnsi="宋体" w:cs="宋体"/>
          <w:color w:val="000000" w:themeColor="text1"/>
          <w:sz w:val="24"/>
          <w:u w:val="dotted"/>
          <w14:textFill>
            <w14:solidFill>
              <w14:schemeClr w14:val="tx1"/>
            </w14:solidFill>
          </w14:textFill>
        </w:rPr>
        <w:t xml:space="preserve">                                         </w:t>
      </w:r>
    </w:p>
    <w:p w14:paraId="58892194">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采购文件获取日期：</w:t>
      </w:r>
      <w:r>
        <w:rPr>
          <w:rFonts w:hint="eastAsia" w:ascii="宋体" w:hAnsi="宋体" w:cs="宋体"/>
          <w:color w:val="000000" w:themeColor="text1"/>
          <w:sz w:val="24"/>
          <w:u w:val="dotted"/>
          <w14:textFill>
            <w14:solidFill>
              <w14:schemeClr w14:val="tx1"/>
            </w14:solidFill>
          </w14:textFill>
        </w:rPr>
        <w:t xml:space="preserve">                                           </w:t>
      </w:r>
    </w:p>
    <w:p w14:paraId="1FDA1E28">
      <w:pPr>
        <w:snapToGrid w:val="0"/>
        <w:spacing w:line="360" w:lineRule="auto"/>
        <w:ind w:left="120" w:firstLine="480"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三、质疑事项具体内容</w:t>
      </w:r>
    </w:p>
    <w:p w14:paraId="0DC3B3E2">
      <w:pPr>
        <w:snapToGrid w:val="0"/>
        <w:spacing w:line="360" w:lineRule="auto"/>
        <w:ind w:left="120" w:firstLine="480" w:firstLineChars="200"/>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质疑事项1：</w:t>
      </w:r>
      <w:r>
        <w:rPr>
          <w:rFonts w:hint="eastAsia" w:ascii="宋体" w:hAnsi="宋体" w:cs="宋体"/>
          <w:color w:val="000000" w:themeColor="text1"/>
          <w:sz w:val="24"/>
          <w:u w:val="dotted"/>
          <w14:textFill>
            <w14:solidFill>
              <w14:schemeClr w14:val="tx1"/>
            </w14:solidFill>
          </w14:textFill>
        </w:rPr>
        <w:t xml:space="preserve">                                         </w:t>
      </w:r>
    </w:p>
    <w:p w14:paraId="27D8A64A">
      <w:pPr>
        <w:snapToGrid w:val="0"/>
        <w:spacing w:line="360" w:lineRule="auto"/>
        <w:ind w:left="120" w:firstLine="480" w:firstLineChars="200"/>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14:paraId="3D703FC5">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164B4F12">
      <w:pPr>
        <w:snapToGrid w:val="0"/>
        <w:spacing w:line="360" w:lineRule="auto"/>
        <w:ind w:left="120" w:firstLine="480" w:firstLineChars="200"/>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14:paraId="62252B98">
      <w:pPr>
        <w:snapToGrid w:val="0"/>
        <w:spacing w:line="360" w:lineRule="auto"/>
        <w:ind w:left="120" w:firstLine="480" w:firstLineChars="200"/>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4706600D">
      <w:pPr>
        <w:snapToGrid w:val="0"/>
        <w:spacing w:line="360" w:lineRule="auto"/>
        <w:ind w:left="120" w:firstLine="480" w:firstLineChars="200"/>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质疑事项2</w:t>
      </w:r>
    </w:p>
    <w:p w14:paraId="5A9FB9E6">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3CAB8AF7">
      <w:pPr>
        <w:snapToGrid w:val="0"/>
        <w:spacing w:line="360" w:lineRule="auto"/>
        <w:ind w:left="120" w:firstLine="480"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四、与质疑事项相关的质疑请求</w:t>
      </w:r>
    </w:p>
    <w:p w14:paraId="1BFEFA7A">
      <w:pPr>
        <w:snapToGrid w:val="0"/>
        <w:spacing w:line="360" w:lineRule="auto"/>
        <w:ind w:left="120" w:firstLine="480" w:firstLineChars="200"/>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p>
    <w:p w14:paraId="1FDBDE82">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14:paraId="50F3DFF1">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14:paraId="36E2FBAA">
      <w:pPr>
        <w:spacing w:line="360" w:lineRule="auto"/>
        <w:ind w:left="120" w:firstLine="22"/>
        <w:jc w:val="center"/>
        <w:rPr>
          <w:rFonts w:hint="eastAsia" w:ascii="宋体" w:hAnsi="宋体" w:cs="宋体"/>
          <w:b/>
          <w:bCs/>
          <w:color w:val="000000" w:themeColor="text1"/>
          <w:sz w:val="24"/>
          <w14:textFill>
            <w14:solidFill>
              <w14:schemeClr w14:val="tx1"/>
            </w14:solidFill>
          </w14:textFill>
        </w:rPr>
      </w:pPr>
    </w:p>
    <w:p w14:paraId="3CDD7DCD">
      <w:pPr>
        <w:spacing w:line="360" w:lineRule="auto"/>
        <w:ind w:left="120" w:firstLine="22"/>
        <w:rPr>
          <w:rFonts w:hint="eastAsia" w:ascii="宋体" w:hAnsi="宋体" w:cs="宋体"/>
          <w:b/>
          <w:color w:val="000000" w:themeColor="text1"/>
          <w:sz w:val="24"/>
          <w14:textFill>
            <w14:solidFill>
              <w14:schemeClr w14:val="tx1"/>
            </w14:solidFill>
          </w14:textFill>
        </w:rPr>
      </w:pPr>
    </w:p>
    <w:p w14:paraId="18300189">
      <w:pPr>
        <w:spacing w:line="360" w:lineRule="auto"/>
        <w:ind w:left="120" w:firstLine="22"/>
        <w:rPr>
          <w:rFonts w:hint="eastAsia" w:ascii="宋体" w:hAnsi="宋体" w:cs="宋体"/>
          <w:b/>
          <w:color w:val="000000" w:themeColor="text1"/>
          <w:sz w:val="24"/>
          <w14:textFill>
            <w14:solidFill>
              <w14:schemeClr w14:val="tx1"/>
            </w14:solidFill>
          </w14:textFill>
        </w:rPr>
      </w:pPr>
    </w:p>
    <w:p w14:paraId="04B79301">
      <w:pPr>
        <w:spacing w:line="360" w:lineRule="auto"/>
        <w:ind w:left="120" w:firstLine="482"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质疑函制作说明：</w:t>
      </w:r>
    </w:p>
    <w:p w14:paraId="118F439D">
      <w:pPr>
        <w:widowControl/>
        <w:spacing w:line="360" w:lineRule="auto"/>
        <w:ind w:left="120"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1.供应商提出质疑时，应提交质疑函和必要的证明材料。</w:t>
      </w:r>
    </w:p>
    <w:p w14:paraId="4021A4FE">
      <w:pPr>
        <w:widowControl/>
        <w:spacing w:line="360" w:lineRule="auto"/>
        <w:ind w:left="120"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14:paraId="65C37EA3">
      <w:pPr>
        <w:widowControl/>
        <w:spacing w:line="360" w:lineRule="auto"/>
        <w:ind w:left="120"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3.质疑供应商若对项目的某一分包进行质疑，质疑函中应列明具体分包号。</w:t>
      </w:r>
    </w:p>
    <w:p w14:paraId="17DE0F4E">
      <w:pPr>
        <w:widowControl/>
        <w:spacing w:line="360" w:lineRule="auto"/>
        <w:ind w:left="120"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4.质疑函的质疑事项应具体、明确，并有必要的事实依据和法律依据。</w:t>
      </w:r>
    </w:p>
    <w:p w14:paraId="3CFDDFE1">
      <w:pPr>
        <w:widowControl/>
        <w:spacing w:line="360" w:lineRule="auto"/>
        <w:ind w:left="120"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5.质疑函的质疑请求应与质疑事项相关。</w:t>
      </w:r>
    </w:p>
    <w:p w14:paraId="72828B95">
      <w:pPr>
        <w:widowControl/>
        <w:spacing w:line="360" w:lineRule="auto"/>
        <w:ind w:left="120"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1531D2F6">
      <w:pPr>
        <w:widowControl/>
        <w:spacing w:line="360" w:lineRule="auto"/>
        <w:ind w:left="120" w:firstLine="600" w:firstLineChars="200"/>
        <w:jc w:val="left"/>
        <w:rPr>
          <w:rFonts w:hint="eastAsia" w:ascii="宋体" w:hAnsi="宋体" w:cs="宋体"/>
          <w:color w:val="000000" w:themeColor="text1"/>
          <w:sz w:val="30"/>
          <w:szCs w:val="30"/>
          <w14:textFill>
            <w14:solidFill>
              <w14:schemeClr w14:val="tx1"/>
            </w14:solidFill>
          </w14:textFill>
        </w:rPr>
      </w:pPr>
    </w:p>
    <w:p w14:paraId="3376D659">
      <w:pPr>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7109E9E6">
      <w:pPr>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245F0708">
      <w:pPr>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6C9D75BA">
      <w:pPr>
        <w:jc w:val="left"/>
        <w:rPr>
          <w:rFonts w:hint="eastAsia" w:ascii="宋体" w:hAnsi="宋体" w:cs="宋体"/>
          <w:b/>
          <w:color w:val="000000" w:themeColor="text1"/>
          <w:spacing w:val="6"/>
          <w:sz w:val="32"/>
          <w:szCs w:val="32"/>
          <w14:textFill>
            <w14:solidFill>
              <w14:schemeClr w14:val="tx1"/>
            </w14:solidFill>
          </w14:textFill>
        </w:rPr>
      </w:pPr>
    </w:p>
    <w:p w14:paraId="6FBA46C5">
      <w:pPr>
        <w:spacing w:line="360" w:lineRule="auto"/>
        <w:ind w:left="120" w:firstLine="667" w:firstLineChars="200"/>
        <w:jc w:val="center"/>
        <w:outlineLvl w:val="1"/>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附件3：投诉书范本及制作说明</w:t>
      </w:r>
    </w:p>
    <w:p w14:paraId="5839EA7A">
      <w:pPr>
        <w:spacing w:line="360" w:lineRule="auto"/>
        <w:ind w:left="120" w:firstLine="667" w:firstLineChars="200"/>
        <w:jc w:val="center"/>
        <w:rPr>
          <w:rFonts w:hint="eastAsia"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投诉书范本</w:t>
      </w:r>
    </w:p>
    <w:p w14:paraId="40E52E5A">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一、投诉相关主体基本情况</w:t>
      </w:r>
    </w:p>
    <w:p w14:paraId="332FF8FB">
      <w:pPr>
        <w:spacing w:line="360" w:lineRule="auto"/>
        <w:ind w:left="120" w:firstLine="480" w:firstLineChars="200"/>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w:t>
      </w:r>
      <w:r>
        <w:rPr>
          <w:rFonts w:hint="eastAsia" w:ascii="宋体" w:hAnsi="宋体" w:cs="宋体"/>
          <w:color w:val="000000" w:themeColor="text1"/>
          <w:sz w:val="24"/>
          <w:u w:val="dotted"/>
          <w14:textFill>
            <w14:solidFill>
              <w14:schemeClr w14:val="tx1"/>
            </w14:solidFill>
          </w14:textFill>
        </w:rPr>
        <w:t xml:space="preserve">                                               </w:t>
      </w:r>
    </w:p>
    <w:p w14:paraId="526F7732">
      <w:pPr>
        <w:spacing w:line="360" w:lineRule="auto"/>
        <w:ind w:left="120"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193C93FB">
      <w:pPr>
        <w:tabs>
          <w:tab w:val="left" w:pos="6510"/>
        </w:tabs>
        <w:spacing w:line="360" w:lineRule="auto"/>
        <w:ind w:left="120"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法定代表人/主要负责人：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4405BD5B">
      <w:pPr>
        <w:tabs>
          <w:tab w:val="left" w:pos="6510"/>
        </w:tabs>
        <w:spacing w:line="360" w:lineRule="auto"/>
        <w:ind w:left="120" w:firstLine="480" w:firstLineChars="200"/>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2B3E163D">
      <w:pPr>
        <w:spacing w:line="360" w:lineRule="auto"/>
        <w:ind w:left="120" w:firstLine="480" w:firstLineChars="200"/>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07E7F542">
      <w:pPr>
        <w:spacing w:line="360" w:lineRule="auto"/>
        <w:ind w:left="120" w:firstLine="480" w:firstLineChars="200"/>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dotted"/>
          <w14:textFill>
            <w14:solidFill>
              <w14:schemeClr w14:val="tx1"/>
            </w14:solidFill>
          </w14:textFill>
        </w:rPr>
        <w:t xml:space="preserve">                   </w:t>
      </w:r>
    </w:p>
    <w:p w14:paraId="68B8A94F">
      <w:pPr>
        <w:spacing w:line="360" w:lineRule="auto"/>
        <w:ind w:left="120"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被投诉人1：</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0F442EB8">
      <w:pPr>
        <w:spacing w:line="360" w:lineRule="auto"/>
        <w:ind w:left="120"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45C0F55A">
      <w:pPr>
        <w:spacing w:line="360" w:lineRule="auto"/>
        <w:ind w:left="120"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1691537E">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被投诉人2</w:t>
      </w:r>
    </w:p>
    <w:p w14:paraId="603CBB6C">
      <w:pPr>
        <w:spacing w:line="360" w:lineRule="auto"/>
        <w:ind w:left="120" w:firstLine="480" w:firstLineChars="200"/>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14EF1659">
      <w:pPr>
        <w:spacing w:line="360" w:lineRule="auto"/>
        <w:ind w:left="120"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相关供应商：</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33390E54">
      <w:pPr>
        <w:spacing w:line="360" w:lineRule="auto"/>
        <w:ind w:left="120"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2EE7769F">
      <w:pPr>
        <w:spacing w:line="360" w:lineRule="auto"/>
        <w:ind w:left="120"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00BE7DE5">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二、投诉项目基本情况</w:t>
      </w:r>
    </w:p>
    <w:p w14:paraId="26F05C49">
      <w:pPr>
        <w:spacing w:line="360" w:lineRule="auto"/>
        <w:ind w:left="120" w:firstLine="480" w:firstLineChars="200"/>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采购项目名称：</w:t>
      </w:r>
      <w:r>
        <w:rPr>
          <w:rFonts w:hint="eastAsia" w:ascii="宋体" w:hAnsi="宋体" w:cs="宋体"/>
          <w:color w:val="000000" w:themeColor="text1"/>
          <w:sz w:val="24"/>
          <w:u w:val="dotted"/>
          <w14:textFill>
            <w14:solidFill>
              <w14:schemeClr w14:val="tx1"/>
            </w14:solidFill>
          </w14:textFill>
        </w:rPr>
        <w:t xml:space="preserve">                                        </w:t>
      </w:r>
    </w:p>
    <w:p w14:paraId="6E1128CC">
      <w:pPr>
        <w:spacing w:line="360" w:lineRule="auto"/>
        <w:ind w:left="120"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14:paraId="2356FC01">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5B0E8528">
      <w:pPr>
        <w:spacing w:line="360" w:lineRule="auto"/>
        <w:ind w:left="120"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代理机构名称：</w:t>
      </w:r>
      <w:r>
        <w:rPr>
          <w:rFonts w:hint="eastAsia" w:ascii="宋体" w:hAnsi="宋体" w:cs="宋体"/>
          <w:color w:val="000000" w:themeColor="text1"/>
          <w:sz w:val="24"/>
          <w:u w:val="dotted"/>
          <w14:textFill>
            <w14:solidFill>
              <w14:schemeClr w14:val="tx1"/>
            </w14:solidFill>
          </w14:textFill>
        </w:rPr>
        <w:t xml:space="preserve">                                         </w:t>
      </w:r>
    </w:p>
    <w:p w14:paraId="571744B8">
      <w:pPr>
        <w:spacing w:line="360" w:lineRule="auto"/>
        <w:ind w:left="120" w:firstLine="480" w:firstLineChars="200"/>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r>
        <w:rPr>
          <w:rFonts w:hint="eastAsia" w:ascii="宋体" w:hAnsi="宋体" w:cs="宋体"/>
          <w:color w:val="000000" w:themeColor="text1"/>
          <w:sz w:val="24"/>
          <w:u w:val="dotted"/>
          <w14:textFill>
            <w14:solidFill>
              <w14:schemeClr w14:val="tx1"/>
            </w14:solidFill>
          </w14:textFill>
        </w:rPr>
        <w:t xml:space="preserve">                                 </w:t>
      </w:r>
    </w:p>
    <w:p w14:paraId="32B423FB">
      <w:pPr>
        <w:spacing w:line="360" w:lineRule="auto"/>
        <w:ind w:left="120"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采购结果公告: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r>
        <w:rPr>
          <w:rFonts w:hint="eastAsia" w:ascii="宋体" w:hAnsi="宋体" w:cs="宋体"/>
          <w:color w:val="000000" w:themeColor="text1"/>
          <w:sz w:val="24"/>
          <w:u w:val="dotted"/>
          <w14:textFill>
            <w14:solidFill>
              <w14:schemeClr w14:val="tx1"/>
            </w14:solidFill>
          </w14:textFill>
        </w:rPr>
        <w:t xml:space="preserve">                        </w:t>
      </w:r>
    </w:p>
    <w:p w14:paraId="43D5258E">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三、质疑基本情况</w:t>
      </w:r>
    </w:p>
    <w:p w14:paraId="630E9C77">
      <w:pPr>
        <w:spacing w:line="360" w:lineRule="auto"/>
        <w:ind w:left="120" w:firstLine="480" w:firstLineChars="200"/>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投诉人于</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日,向</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提出质疑，质疑事项为：</w:t>
      </w:r>
      <w:r>
        <w:rPr>
          <w:rFonts w:hint="eastAsia" w:ascii="宋体" w:hAnsi="宋体" w:cs="宋体"/>
          <w:color w:val="000000" w:themeColor="text1"/>
          <w:sz w:val="24"/>
          <w:u w:val="dotted"/>
          <w14:textFill>
            <w14:solidFill>
              <w14:schemeClr w14:val="tx1"/>
            </w14:solidFill>
          </w14:textFill>
        </w:rPr>
        <w:t xml:space="preserve">                                </w:t>
      </w:r>
    </w:p>
    <w:p w14:paraId="42955FF1">
      <w:pPr>
        <w:spacing w:line="360" w:lineRule="auto"/>
        <w:ind w:left="120" w:firstLine="480" w:firstLineChars="200"/>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778E6ACD">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采购人/代理机构</w:t>
      </w:r>
      <w:r>
        <w:rPr>
          <w:rFonts w:hint="eastAsia" w:ascii="宋体" w:hAnsi="宋体" w:cs="宋体"/>
          <w:color w:val="000000" w:themeColor="text1"/>
          <w:sz w:val="24"/>
          <w14:textFill>
            <w14:solidFill>
              <w14:schemeClr w14:val="tx1"/>
            </w14:solidFill>
          </w14:textFill>
        </w:rPr>
        <w:t>于</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日,就质疑事项作出了答复/没有在法定期限内作出答复。</w:t>
      </w:r>
    </w:p>
    <w:p w14:paraId="2DA43AE7">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四、投诉事项具体内容</w:t>
      </w:r>
    </w:p>
    <w:p w14:paraId="10747049">
      <w:pPr>
        <w:spacing w:line="360" w:lineRule="auto"/>
        <w:ind w:left="120"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 1：</w:t>
      </w:r>
      <w:r>
        <w:rPr>
          <w:rFonts w:hint="eastAsia" w:ascii="宋体" w:hAnsi="宋体" w:cs="宋体"/>
          <w:color w:val="000000" w:themeColor="text1"/>
          <w:sz w:val="24"/>
          <w:u w:val="dotted"/>
          <w14:textFill>
            <w14:solidFill>
              <w14:schemeClr w14:val="tx1"/>
            </w14:solidFill>
          </w14:textFill>
        </w:rPr>
        <w:t xml:space="preserve">                                       </w:t>
      </w:r>
    </w:p>
    <w:p w14:paraId="5E04551E">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14:paraId="67424D5E">
      <w:pPr>
        <w:spacing w:line="360" w:lineRule="auto"/>
        <w:ind w:left="120" w:firstLine="480" w:firstLineChars="200"/>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759EF772">
      <w:pPr>
        <w:spacing w:line="360" w:lineRule="auto"/>
        <w:ind w:left="120"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14:paraId="6E87CA9F">
      <w:pPr>
        <w:spacing w:line="360" w:lineRule="auto"/>
        <w:ind w:left="120" w:firstLine="480" w:firstLineChars="200"/>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6A75197D">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投诉事项2</w:t>
      </w:r>
    </w:p>
    <w:p w14:paraId="295FC79F">
      <w:pPr>
        <w:spacing w:line="360" w:lineRule="auto"/>
        <w:ind w:left="120" w:firstLine="480" w:firstLineChars="200"/>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5A79F83A">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五、与投诉事项相关的投诉请求</w:t>
      </w:r>
    </w:p>
    <w:p w14:paraId="14349E44">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41A85E56">
      <w:pPr>
        <w:spacing w:line="360" w:lineRule="auto"/>
        <w:ind w:left="120"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7337D597">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14:paraId="400A0594">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14:paraId="5B84E531">
      <w:pPr>
        <w:spacing w:line="360" w:lineRule="auto"/>
        <w:ind w:left="120" w:firstLine="22"/>
        <w:rPr>
          <w:rFonts w:hint="eastAsia" w:ascii="宋体" w:hAnsi="宋体" w:cs="宋体"/>
          <w:b/>
          <w:color w:val="000000" w:themeColor="text1"/>
          <w:sz w:val="24"/>
          <w14:textFill>
            <w14:solidFill>
              <w14:schemeClr w14:val="tx1"/>
            </w14:solidFill>
          </w14:textFill>
        </w:rPr>
      </w:pPr>
    </w:p>
    <w:p w14:paraId="14596E42">
      <w:pPr>
        <w:spacing w:line="360" w:lineRule="auto"/>
        <w:ind w:left="120" w:firstLine="22"/>
        <w:rPr>
          <w:rFonts w:hint="eastAsia" w:ascii="宋体" w:hAnsi="宋体" w:cs="宋体"/>
          <w:b/>
          <w:color w:val="000000" w:themeColor="text1"/>
          <w:sz w:val="24"/>
          <w14:textFill>
            <w14:solidFill>
              <w14:schemeClr w14:val="tx1"/>
            </w14:solidFill>
          </w14:textFill>
        </w:rPr>
      </w:pPr>
    </w:p>
    <w:p w14:paraId="45E78B34">
      <w:pPr>
        <w:spacing w:line="360" w:lineRule="auto"/>
        <w:ind w:left="120" w:firstLine="482"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投诉书制作说明：</w:t>
      </w:r>
    </w:p>
    <w:p w14:paraId="5ED430B1">
      <w:pPr>
        <w:widowControl/>
        <w:spacing w:line="360" w:lineRule="auto"/>
        <w:ind w:left="120"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14:paraId="0D5CD83C">
      <w:pPr>
        <w:widowControl/>
        <w:spacing w:line="360" w:lineRule="auto"/>
        <w:ind w:left="120"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14:paraId="3DE038C9">
      <w:pPr>
        <w:widowControl/>
        <w:spacing w:line="360" w:lineRule="auto"/>
        <w:ind w:left="120"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3.投诉人若对项目的某一分包进行投诉，投诉书应列明具体分包号。</w:t>
      </w:r>
    </w:p>
    <w:p w14:paraId="5DEF3954">
      <w:pPr>
        <w:widowControl/>
        <w:spacing w:line="360" w:lineRule="auto"/>
        <w:ind w:left="120"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4.投诉书应简要列明质疑事项，质疑函、质疑答复等作为附件材料提供。</w:t>
      </w:r>
    </w:p>
    <w:p w14:paraId="3D774234">
      <w:pPr>
        <w:widowControl/>
        <w:spacing w:line="360" w:lineRule="auto"/>
        <w:ind w:left="120"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5.投诉书的投诉事项应具体、明确，并有必要的事实依据和法律依据。</w:t>
      </w:r>
    </w:p>
    <w:p w14:paraId="233393F1">
      <w:pPr>
        <w:widowControl/>
        <w:spacing w:line="360" w:lineRule="auto"/>
        <w:ind w:left="120"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6.投诉书的投诉请求应与投诉事项相关。</w:t>
      </w:r>
    </w:p>
    <w:p w14:paraId="0CBF503B">
      <w:pPr>
        <w:widowControl/>
        <w:spacing w:line="360" w:lineRule="auto"/>
        <w:ind w:left="120"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2275AC72">
      <w:pPr>
        <w:spacing w:line="360" w:lineRule="auto"/>
        <w:ind w:left="120" w:firstLine="22"/>
        <w:rPr>
          <w:rFonts w:hint="eastAsia" w:ascii="宋体" w:hAnsi="宋体" w:cs="宋体"/>
          <w:b/>
          <w:color w:val="000000" w:themeColor="text1"/>
          <w:sz w:val="24"/>
          <w14:textFill>
            <w14:solidFill>
              <w14:schemeClr w14:val="tx1"/>
            </w14:solidFill>
          </w14:textFill>
        </w:rPr>
      </w:pPr>
    </w:p>
    <w:p w14:paraId="1765500F">
      <w:pPr>
        <w:autoSpaceDE w:val="0"/>
        <w:autoSpaceDN w:val="0"/>
        <w:spacing w:line="360" w:lineRule="auto"/>
        <w:ind w:left="120" w:firstLine="22"/>
        <w:rPr>
          <w:rFonts w:hint="eastAsia" w:ascii="宋体" w:hAnsi="宋体" w:cs="宋体"/>
          <w:b/>
          <w:color w:val="000000" w:themeColor="text1"/>
          <w:spacing w:val="6"/>
          <w:sz w:val="32"/>
          <w:szCs w:val="32"/>
          <w14:textFill>
            <w14:solidFill>
              <w14:schemeClr w14:val="tx1"/>
            </w14:solidFill>
          </w14:textFill>
        </w:rPr>
      </w:pPr>
    </w:p>
    <w:p w14:paraId="24BCFD3B">
      <w:pPr>
        <w:spacing w:line="360" w:lineRule="auto"/>
        <w:ind w:firstLine="667" w:firstLineChars="200"/>
        <w:jc w:val="left"/>
        <w:rPr>
          <w:rFonts w:hint="eastAsia"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br w:type="page"/>
      </w:r>
    </w:p>
    <w:p w14:paraId="014B999A">
      <w:pPr>
        <w:autoSpaceDE w:val="0"/>
        <w:autoSpaceDN w:val="0"/>
        <w:spacing w:line="360" w:lineRule="auto"/>
        <w:ind w:left="120" w:firstLine="667" w:firstLineChars="200"/>
        <w:jc w:val="center"/>
        <w:outlineLvl w:val="1"/>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附件4：</w:t>
      </w:r>
      <w:r>
        <w:rPr>
          <w:rFonts w:hint="eastAsia" w:ascii="宋体" w:hAnsi="宋体" w:cs="宋体"/>
          <w:b/>
          <w:bCs/>
          <w:color w:val="000000" w:themeColor="text1"/>
          <w:sz w:val="32"/>
          <w:szCs w:val="32"/>
          <w14:textFill>
            <w14:solidFill>
              <w14:schemeClr w14:val="tx1"/>
            </w14:solidFill>
          </w14:textFill>
        </w:rPr>
        <w:t>业务专用章使用说明函</w:t>
      </w:r>
    </w:p>
    <w:p w14:paraId="4C506244">
      <w:pPr>
        <w:spacing w:line="360" w:lineRule="auto"/>
        <w:ind w:left="120" w:firstLine="22"/>
        <w:rPr>
          <w:rFonts w:hint="eastAsia" w:ascii="宋体" w:hAnsi="宋体" w:cs="宋体"/>
          <w:color w:val="000000" w:themeColor="text1"/>
          <w:sz w:val="24"/>
          <w:u w:val="single"/>
          <w14:textFill>
            <w14:solidFill>
              <w14:schemeClr w14:val="tx1"/>
            </w14:solidFill>
          </w14:textFill>
        </w:rPr>
      </w:pPr>
    </w:p>
    <w:p w14:paraId="42D6A2D2">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lang w:eastAsia="zh-CN"/>
          <w14:textFill>
            <w14:solidFill>
              <w14:schemeClr w14:val="tx1"/>
            </w14:solidFill>
          </w14:textFill>
        </w:rPr>
        <w:t>杭州市上城区人民代表大会常务委员会办公室</w:t>
      </w:r>
      <w:r>
        <w:rPr>
          <w:rFonts w:hint="eastAsia" w:ascii="宋体" w:hAnsi="宋体" w:cs="宋体"/>
          <w:color w:val="000000" w:themeColor="text1"/>
          <w:sz w:val="24"/>
          <w:u w:val="single"/>
          <w14:textFill>
            <w14:solidFill>
              <w14:schemeClr w14:val="tx1"/>
            </w14:solidFill>
          </w14:textFill>
        </w:rPr>
        <w:t>、浙江省成套招标代理有限公司：</w:t>
      </w:r>
    </w:p>
    <w:p w14:paraId="3F31289B">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我方</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(投标人全称)是中华人民共和国依法登记注册的合法企业，</w:t>
      </w:r>
      <w:r>
        <w:rPr>
          <w:rFonts w:hint="eastAsia" w:ascii="宋体" w:hAnsi="宋体" w:cs="宋体"/>
          <w:bCs/>
          <w:color w:val="000000" w:themeColor="text1"/>
          <w:sz w:val="24"/>
          <w14:textFill>
            <w14:solidFill>
              <w14:schemeClr w14:val="tx1"/>
            </w14:solidFill>
          </w14:textFill>
        </w:rPr>
        <w:t>在参加</w:t>
      </w:r>
      <w:r>
        <w:rPr>
          <w:rFonts w:hint="eastAsia" w:ascii="宋体" w:hAnsi="宋体" w:cs="宋体"/>
          <w:color w:val="000000" w:themeColor="text1"/>
          <w:sz w:val="24"/>
          <w14:textFill>
            <w14:solidFill>
              <w14:schemeClr w14:val="tx1"/>
            </w14:solidFill>
          </w14:textFill>
        </w:rPr>
        <w:t>你方组织的“数字人大”平台系统改造项目【招标编号：CTZB-2025060241】</w:t>
      </w:r>
      <w:r>
        <w:rPr>
          <w:rFonts w:hint="eastAsia" w:ascii="宋体" w:hAnsi="宋体" w:cs="宋体"/>
          <w:bCs/>
          <w:color w:val="000000" w:themeColor="text1"/>
          <w:sz w:val="24"/>
          <w14:textFill>
            <w14:solidFill>
              <w14:schemeClr w14:val="tx1"/>
            </w14:solidFill>
          </w14:textFill>
        </w:rPr>
        <w:t>投标活动中作如下说明：</w:t>
      </w:r>
      <w:r>
        <w:rPr>
          <w:rFonts w:hint="eastAsia" w:ascii="宋体" w:hAnsi="宋体" w:cs="宋体"/>
          <w:color w:val="000000" w:themeColor="text1"/>
          <w:sz w:val="24"/>
          <w14:textFill>
            <w14:solidFill>
              <w14:schemeClr w14:val="tx1"/>
            </w14:solidFill>
          </w14:textFill>
        </w:rPr>
        <w:t xml:space="preserve">我方所使用的“XX专用章”与法定名称章具有同等的法律效力，对使用“XX专用章”的行为予以完全承认，并愿意承担相应责任。   </w:t>
      </w:r>
    </w:p>
    <w:p w14:paraId="5BEFA5BD">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特此说明。</w:t>
      </w:r>
    </w:p>
    <w:p w14:paraId="13B61EED">
      <w:pPr>
        <w:spacing w:line="360" w:lineRule="auto"/>
        <w:ind w:left="120" w:firstLine="22"/>
        <w:rPr>
          <w:rFonts w:hint="eastAsia" w:ascii="宋体" w:hAnsi="宋体" w:cs="宋体"/>
          <w:color w:val="000000" w:themeColor="text1"/>
          <w:sz w:val="24"/>
          <w14:textFill>
            <w14:solidFill>
              <w14:schemeClr w14:val="tx1"/>
            </w14:solidFill>
          </w14:textFill>
        </w:rPr>
      </w:pPr>
    </w:p>
    <w:p w14:paraId="4CCD26B7">
      <w:pPr>
        <w:spacing w:line="360" w:lineRule="auto"/>
        <w:ind w:left="120" w:firstLine="22"/>
        <w:rPr>
          <w:rFonts w:hint="eastAsia" w:ascii="宋体" w:hAnsi="宋体" w:cs="宋体"/>
          <w:color w:val="000000" w:themeColor="text1"/>
          <w:sz w:val="24"/>
          <w14:textFill>
            <w14:solidFill>
              <w14:schemeClr w14:val="tx1"/>
            </w14:solidFill>
          </w14:textFill>
        </w:rPr>
      </w:pPr>
    </w:p>
    <w:p w14:paraId="7553124B">
      <w:pPr>
        <w:spacing w:line="360" w:lineRule="auto"/>
        <w:ind w:left="120" w:firstLine="22"/>
        <w:rPr>
          <w:rFonts w:hint="eastAsia" w:ascii="宋体" w:hAnsi="宋体" w:cs="宋体"/>
          <w:color w:val="000000" w:themeColor="text1"/>
          <w:sz w:val="24"/>
          <w14:textFill>
            <w14:solidFill>
              <w14:schemeClr w14:val="tx1"/>
            </w14:solidFill>
          </w14:textFill>
        </w:rPr>
      </w:pPr>
    </w:p>
    <w:p w14:paraId="0EF1C2F5">
      <w:pPr>
        <w:spacing w:line="360" w:lineRule="auto"/>
        <w:ind w:left="120" w:firstLine="22"/>
        <w:rPr>
          <w:rFonts w:hint="eastAsia" w:ascii="宋体" w:hAnsi="宋体" w:cs="宋体"/>
          <w:color w:val="000000" w:themeColor="text1"/>
          <w:sz w:val="24"/>
          <w14:textFill>
            <w14:solidFill>
              <w14:schemeClr w14:val="tx1"/>
            </w14:solidFill>
          </w14:textFill>
        </w:rPr>
      </w:pPr>
    </w:p>
    <w:p w14:paraId="6BD0E048">
      <w:pPr>
        <w:spacing w:line="360" w:lineRule="auto"/>
        <w:ind w:left="120" w:right="48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投标单位（法定名称章）：</w:t>
      </w:r>
    </w:p>
    <w:p w14:paraId="47391B99">
      <w:pPr>
        <w:spacing w:line="360" w:lineRule="auto"/>
        <w:ind w:left="120" w:right="1440" w:firstLine="480" w:firstLineChars="20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74E496B8">
      <w:pPr>
        <w:spacing w:line="360" w:lineRule="auto"/>
        <w:ind w:left="120"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附：</w:t>
      </w:r>
    </w:p>
    <w:p w14:paraId="0076FE65">
      <w:pPr>
        <w:spacing w:line="360" w:lineRule="auto"/>
        <w:ind w:left="120" w:firstLine="482"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14:textFill>
            <w14:solidFill>
              <w14:schemeClr w14:val="tx1"/>
            </w14:solidFill>
          </w14:textFill>
        </w:rPr>
        <w:t>投标单位法定名称章（印模）                投标单位“XX专用章”（印模）</w:t>
      </w:r>
    </w:p>
    <w:p w14:paraId="700A0B61">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4C638C43">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2208CDAB">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46C6DF1B">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5669DB4F">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360F50FF">
      <w:pPr>
        <w:ind w:firstLine="667" w:firstLineChars="200"/>
        <w:jc w:val="left"/>
        <w:rPr>
          <w:rFonts w:hint="eastAsia"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br w:type="page"/>
      </w:r>
    </w:p>
    <w:p w14:paraId="04A324AD">
      <w:pPr>
        <w:autoSpaceDE w:val="0"/>
        <w:autoSpaceDN w:val="0"/>
        <w:spacing w:line="360" w:lineRule="auto"/>
        <w:ind w:left="120" w:firstLine="667" w:firstLineChars="200"/>
        <w:jc w:val="center"/>
        <w:outlineLvl w:val="1"/>
        <w:rPr>
          <w:rFonts w:hint="eastAsia"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w:t>
      </w:r>
      <w:r>
        <w:rPr>
          <w:rFonts w:ascii="宋体" w:hAnsi="宋体" w:cs="宋体"/>
          <w:b/>
          <w:color w:val="000000" w:themeColor="text1"/>
          <w:spacing w:val="6"/>
          <w:sz w:val="32"/>
          <w:szCs w:val="32"/>
          <w14:textFill>
            <w14:solidFill>
              <w14:schemeClr w14:val="tx1"/>
            </w14:solidFill>
          </w14:textFill>
        </w:rPr>
        <w:t>5</w:t>
      </w:r>
      <w:r>
        <w:rPr>
          <w:rFonts w:hint="eastAsia" w:ascii="宋体" w:hAnsi="宋体" w:cs="宋体"/>
          <w:b/>
          <w:color w:val="000000" w:themeColor="text1"/>
          <w:spacing w:val="6"/>
          <w:sz w:val="32"/>
          <w:szCs w:val="32"/>
          <w14:textFill>
            <w14:solidFill>
              <w14:schemeClr w14:val="tx1"/>
            </w14:solidFill>
          </w14:textFill>
        </w:rPr>
        <w:t>：</w:t>
      </w:r>
      <w:r>
        <w:rPr>
          <w:rFonts w:hint="eastAsia" w:ascii="宋体" w:hAnsi="宋体" w:cs="宋体"/>
          <w:b/>
          <w:color w:val="000000" w:themeColor="text1"/>
          <w:kern w:val="0"/>
          <w:sz w:val="32"/>
          <w:szCs w:val="32"/>
          <w:lang w:val="zh-CN"/>
          <w14:textFill>
            <w14:solidFill>
              <w14:schemeClr w14:val="tx1"/>
            </w14:solidFill>
          </w14:textFill>
        </w:rPr>
        <w:t>联合协议</w:t>
      </w:r>
    </w:p>
    <w:p w14:paraId="01C2B2C1">
      <w:pPr>
        <w:widowControl/>
        <w:spacing w:line="360" w:lineRule="auto"/>
        <w:ind w:left="120" w:firstLine="482" w:firstLineChars="200"/>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（以联合体形式投标的，提供联合协议；本项目不接受联合体投标或者投标人不以联合体形式投标的，则不需要提供）</w:t>
      </w:r>
    </w:p>
    <w:p w14:paraId="2550488B">
      <w:pPr>
        <w:snapToGrid w:val="0"/>
        <w:spacing w:line="360" w:lineRule="auto"/>
        <w:ind w:left="120"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（联合体所有成员名称）</w:t>
      </w:r>
      <w:r>
        <w:rPr>
          <w:rFonts w:hint="eastAsia" w:ascii="宋体" w:hAnsi="宋体" w:cs="宋体"/>
          <w:color w:val="000000" w:themeColor="text1"/>
          <w:kern w:val="0"/>
          <w:sz w:val="24"/>
          <w14:textFill>
            <w14:solidFill>
              <w14:schemeClr w14:val="tx1"/>
            </w14:solidFill>
          </w14:textFill>
        </w:rPr>
        <w:t>自愿</w:t>
      </w:r>
      <w:r>
        <w:rPr>
          <w:rFonts w:hint="eastAsia" w:ascii="宋体" w:hAnsi="宋体" w:cs="宋体"/>
          <w:color w:val="000000" w:themeColor="text1"/>
          <w:kern w:val="0"/>
          <w:sz w:val="24"/>
          <w:lang w:val="zh-CN"/>
          <w14:textFill>
            <w14:solidFill>
              <w14:schemeClr w14:val="tx1"/>
            </w14:solidFill>
          </w14:textFill>
        </w:rPr>
        <w:t>组成一个联合体，以一个投标人的身份</w:t>
      </w:r>
      <w:r>
        <w:rPr>
          <w:rFonts w:hint="eastAsia" w:ascii="宋体" w:hAnsi="宋体" w:cs="宋体"/>
          <w:color w:val="000000" w:themeColor="text1"/>
          <w:kern w:val="0"/>
          <w:sz w:val="24"/>
          <w14:textFill>
            <w14:solidFill>
              <w14:schemeClr w14:val="tx1"/>
            </w14:solidFill>
          </w14:textFill>
        </w:rPr>
        <w:t>参加“</w:t>
      </w:r>
      <w:r>
        <w:rPr>
          <w:rFonts w:hint="eastAsia" w:ascii="宋体" w:hAnsi="宋体" w:cs="宋体"/>
          <w:color w:val="000000" w:themeColor="text1"/>
          <w:sz w:val="24"/>
          <w14:textFill>
            <w14:solidFill>
              <w14:schemeClr w14:val="tx1"/>
            </w14:solidFill>
          </w14:textFill>
        </w:rPr>
        <w:t>数字人大”平台系统改造项目【招标编号：CTZB-2025060241】</w:t>
      </w:r>
      <w:r>
        <w:rPr>
          <w:rFonts w:hint="eastAsia" w:ascii="宋体" w:hAnsi="宋体" w:cs="宋体"/>
          <w:color w:val="000000" w:themeColor="text1"/>
          <w:kern w:val="0"/>
          <w:sz w:val="24"/>
          <w:lang w:val="zh-CN"/>
          <w14:textFill>
            <w14:solidFill>
              <w14:schemeClr w14:val="tx1"/>
            </w14:solidFill>
          </w14:textFill>
        </w:rPr>
        <w:t xml:space="preserve">投标。 </w:t>
      </w:r>
    </w:p>
    <w:p w14:paraId="13FBB958">
      <w:pPr>
        <w:snapToGrid w:val="0"/>
        <w:spacing w:line="360" w:lineRule="auto"/>
        <w:ind w:left="120"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一、各方一致决定，</w:t>
      </w:r>
      <w:r>
        <w:rPr>
          <w:rFonts w:hint="eastAsia" w:ascii="宋体" w:hAnsi="宋体" w:cs="宋体"/>
          <w:color w:val="000000" w:themeColor="text1"/>
          <w:kern w:val="0"/>
          <w:sz w:val="24"/>
          <w:u w:val="single"/>
          <w14:textFill>
            <w14:solidFill>
              <w14:schemeClr w14:val="tx1"/>
            </w14:solidFill>
          </w14:textFill>
        </w:rPr>
        <w:t>（某联合体成员名称）</w:t>
      </w:r>
      <w:r>
        <w:rPr>
          <w:rFonts w:hint="eastAsia" w:ascii="宋体" w:hAnsi="宋体" w:cs="宋体"/>
          <w:color w:val="000000" w:themeColor="text1"/>
          <w:kern w:val="0"/>
          <w:sz w:val="24"/>
          <w14:textFill>
            <w14:solidFill>
              <w14:schemeClr w14:val="tx1"/>
            </w14:solidFill>
          </w14:textFill>
        </w:rPr>
        <w:t>为联合体</w:t>
      </w:r>
      <w:r>
        <w:rPr>
          <w:rFonts w:hint="eastAsia" w:ascii="宋体" w:hAnsi="宋体" w:cs="宋体"/>
          <w:color w:val="000000" w:themeColor="text1"/>
          <w:kern w:val="0"/>
          <w:sz w:val="24"/>
          <w:lang w:val="zh-CN"/>
          <w14:textFill>
            <w14:solidFill>
              <w14:schemeClr w14:val="tx1"/>
            </w14:solidFill>
          </w14:textFill>
        </w:rPr>
        <w:t>牵头人</w:t>
      </w:r>
      <w:r>
        <w:rPr>
          <w:rFonts w:hint="eastAsia" w:ascii="宋体" w:hAnsi="宋体" w:cs="宋体"/>
          <w:color w:val="000000" w:themeColor="text1"/>
          <w:sz w:val="24"/>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lang w:val="zh-CN"/>
          <w14:textFill>
            <w14:solidFill>
              <w14:schemeClr w14:val="tx1"/>
            </w14:solidFill>
          </w14:textFill>
        </w:rPr>
        <w:t>。</w:t>
      </w:r>
    </w:p>
    <w:p w14:paraId="3B021BF7">
      <w:pPr>
        <w:snapToGrid w:val="0"/>
        <w:spacing w:line="360" w:lineRule="auto"/>
        <w:ind w:left="120"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w:t>
      </w:r>
      <w:r>
        <w:rPr>
          <w:rFonts w:hint="eastAsia" w:ascii="宋体" w:hAnsi="宋体" w:cs="宋体"/>
          <w:color w:val="000000" w:themeColor="text1"/>
          <w:sz w:val="24"/>
          <w14:textFill>
            <w14:solidFill>
              <w14:schemeClr w14:val="tx1"/>
            </w14:solidFill>
          </w14:textFill>
        </w:rPr>
        <w:t>所有联合体成员各方签署授权书，授权书载明的</w:t>
      </w:r>
      <w:r>
        <w:rPr>
          <w:rFonts w:hint="eastAsia" w:ascii="宋体" w:hAnsi="宋体" w:cs="宋体"/>
          <w:color w:val="000000" w:themeColor="text1"/>
          <w:kern w:val="0"/>
          <w:sz w:val="24"/>
          <w:lang w:val="zh-CN"/>
          <w14:textFill>
            <w14:solidFill>
              <w14:schemeClr w14:val="tx1"/>
            </w14:solidFill>
          </w14:textFill>
        </w:rPr>
        <w:t>授权代表根据采购文件规定及投标内容而对采购人、采购代理机构所作的任何合法承诺，包括书面澄清及响应等均对联合投标各方产生约束力。</w:t>
      </w:r>
    </w:p>
    <w:p w14:paraId="5AF7B902">
      <w:pPr>
        <w:snapToGrid w:val="0"/>
        <w:spacing w:line="360" w:lineRule="auto"/>
        <w:ind w:left="120"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三、本次联合投标中，分工如下：</w:t>
      </w:r>
    </w:p>
    <w:p w14:paraId="6C81593E">
      <w:pPr>
        <w:snapToGrid w:val="0"/>
        <w:spacing w:line="360" w:lineRule="auto"/>
        <w:ind w:left="120"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（联合体成员1）</w:t>
      </w:r>
      <w:r>
        <w:rPr>
          <w:rFonts w:hint="eastAsia" w:ascii="宋体" w:hAnsi="宋体" w:cs="宋体"/>
          <w:color w:val="000000" w:themeColor="text1"/>
          <w:kern w:val="0"/>
          <w:sz w:val="24"/>
          <w:lang w:val="zh-CN"/>
          <w14:textFill>
            <w14:solidFill>
              <w14:schemeClr w14:val="tx1"/>
            </w14:solidFill>
          </w14:textFill>
        </w:rPr>
        <w:t>承担的工作和义务为：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w:t>
      </w:r>
    </w:p>
    <w:p w14:paraId="39497F5C">
      <w:pPr>
        <w:snapToGrid w:val="0"/>
        <w:spacing w:line="360" w:lineRule="auto"/>
        <w:ind w:left="120"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（联合体成员</w:t>
      </w:r>
      <w:r>
        <w:rPr>
          <w:rFonts w:ascii="宋体" w:hAnsi="宋体" w:cs="宋体"/>
          <w:color w:val="000000" w:themeColor="text1"/>
          <w:kern w:val="0"/>
          <w:sz w:val="24"/>
          <w:u w:val="single"/>
          <w14:textFill>
            <w14:solidFill>
              <w14:schemeClr w14:val="tx1"/>
            </w14:solidFill>
          </w14:textFill>
        </w:rPr>
        <w:t>2</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承担的工作和义务为：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w:t>
      </w:r>
    </w:p>
    <w:p w14:paraId="53A7AC2F">
      <w:pPr>
        <w:snapToGrid w:val="0"/>
        <w:spacing w:line="360" w:lineRule="auto"/>
        <w:ind w:left="120"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14:paraId="62857704">
      <w:pPr>
        <w:snapToGrid w:val="0"/>
        <w:spacing w:line="360" w:lineRule="auto"/>
        <w:ind w:left="120"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四、联合体成员中小企业合同份额。</w:t>
      </w:r>
    </w:p>
    <w:p w14:paraId="3533BC88">
      <w:pPr>
        <w:snapToGrid w:val="0"/>
        <w:spacing w:line="360" w:lineRule="auto"/>
        <w:ind w:left="120" w:firstLine="480" w:firstLineChars="200"/>
        <w:rPr>
          <w:rFonts w:hint="eastAsia"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w:t>
      </w:r>
      <w:bookmarkStart w:id="508" w:name="_Hlk101131882"/>
      <w:r>
        <w:rPr>
          <w:rFonts w:hint="eastAsia" w:ascii="宋体" w:hAnsi="宋体" w:cs="宋体"/>
          <w:color w:val="000000" w:themeColor="text1"/>
          <w:kern w:val="0"/>
          <w:sz w:val="24"/>
          <w:u w:val="single"/>
          <w14:textFill>
            <w14:solidFill>
              <w14:schemeClr w14:val="tx1"/>
            </w14:solidFill>
          </w14:textFill>
        </w:rPr>
        <w:t>联合体成员X</w:t>
      </w:r>
      <w:r>
        <w:rPr>
          <w:rFonts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w:t>
      </w:r>
      <w:bookmarkEnd w:id="508"/>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提供的服务由小微企业承接，其合同份额占到合同总金额</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%以上</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w:t>
      </w:r>
      <w:bookmarkStart w:id="509" w:name="_Hlk101133598"/>
      <w:r>
        <w:rPr>
          <w:rFonts w:hint="eastAsia" w:ascii="宋体" w:hAnsi="宋体" w:cs="宋体"/>
          <w:b/>
          <w:color w:val="000000" w:themeColor="text1"/>
          <w:kern w:val="0"/>
          <w:sz w:val="24"/>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14:textFill>
            <w14:solidFill>
              <w14:schemeClr w14:val="tx1"/>
            </w14:solidFill>
          </w14:textFill>
        </w:rPr>
        <w:t>拟享受以上价格扣除政策的，填写有关内容</w:t>
      </w:r>
      <w:bookmarkEnd w:id="509"/>
      <w:r>
        <w:rPr>
          <w:rFonts w:hint="eastAsia" w:ascii="宋体" w:hAnsi="宋体" w:cs="宋体"/>
          <w:b/>
          <w:color w:val="000000" w:themeColor="text1"/>
          <w:kern w:val="0"/>
          <w:sz w:val="24"/>
          <w:lang w:val="zh-CN"/>
          <w14:textFill>
            <w14:solidFill>
              <w14:schemeClr w14:val="tx1"/>
            </w14:solidFill>
          </w14:textFill>
        </w:rPr>
        <w:t>）</w:t>
      </w:r>
    </w:p>
    <w:p w14:paraId="1CD46C59">
      <w:pPr>
        <w:spacing w:line="360" w:lineRule="auto"/>
        <w:ind w:left="120" w:firstLine="480" w:firstLineChars="200"/>
        <w:rPr>
          <w:rFonts w:hint="eastAsia" w:ascii="宋体" w:hAnsi="宋体" w:cs="宋体"/>
          <w:b/>
          <w:bCs/>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bookmarkStart w:id="510" w:name="_Hlk101133173"/>
      <w:r>
        <w:rPr>
          <w:rFonts w:hint="eastAsia" w:ascii="宋体" w:hAnsi="宋体" w:cs="宋体"/>
          <w:color w:val="000000" w:themeColor="text1"/>
          <w:sz w:val="24"/>
          <w14:textFill>
            <w14:solidFill>
              <w14:schemeClr w14:val="tx1"/>
            </w14:solidFill>
          </w14:textFill>
        </w:rPr>
        <w:t>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要求以联合体形式参加的项目或采购包，供应商按采购文件第一部分招标公告申请人的资格要求中规定的联合协议中中小企业、小微企业合同金额应当达到的比例要求填写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bookmarkEnd w:id="510"/>
    </w:p>
    <w:p w14:paraId="1C4D5BFD">
      <w:pPr>
        <w:snapToGrid w:val="0"/>
        <w:spacing w:line="360" w:lineRule="auto"/>
        <w:ind w:left="120"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五、如果中标，</w:t>
      </w:r>
      <w:r>
        <w:rPr>
          <w:rFonts w:hint="eastAsia" w:ascii="宋体" w:hAnsi="宋体" w:cs="宋体"/>
          <w:color w:val="000000" w:themeColor="text1"/>
          <w:sz w:val="24"/>
          <w14:textFill>
            <w14:solidFill>
              <w14:schemeClr w14:val="tx1"/>
            </w14:solidFill>
          </w14:textFill>
        </w:rPr>
        <w:t>联合体各成员方共同与采购人签订合同，并就采购合同约定的事项对采购人承担连带责任。</w:t>
      </w:r>
    </w:p>
    <w:p w14:paraId="5ECEC197">
      <w:pPr>
        <w:snapToGrid w:val="0"/>
        <w:spacing w:line="360" w:lineRule="auto"/>
        <w:ind w:left="120"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六、有关本次联合投标的其他事宜：</w:t>
      </w:r>
    </w:p>
    <w:p w14:paraId="3CE59F0A">
      <w:pPr>
        <w:snapToGrid w:val="0"/>
        <w:spacing w:line="360" w:lineRule="auto"/>
        <w:ind w:left="120"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14:paraId="50130CA9">
      <w:pPr>
        <w:snapToGrid w:val="0"/>
        <w:spacing w:line="360" w:lineRule="auto"/>
        <w:ind w:left="120"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14:paraId="05D99AEC">
      <w:pPr>
        <w:snapToGrid w:val="0"/>
        <w:spacing w:line="360" w:lineRule="auto"/>
        <w:ind w:left="120"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3、本协议提交采购人、采购代理机构后，联合体各方不得以任何形式对上述内容进行修改或撤销。</w:t>
      </w:r>
    </w:p>
    <w:p w14:paraId="0818F5F4">
      <w:pPr>
        <w:snapToGrid w:val="0"/>
        <w:spacing w:line="360" w:lineRule="auto"/>
        <w:ind w:left="120"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40A0372E">
      <w:pPr>
        <w:snapToGrid w:val="0"/>
        <w:spacing w:line="360" w:lineRule="auto"/>
        <w:ind w:left="120"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5D71B9A0">
      <w:pPr>
        <w:snapToGrid w:val="0"/>
        <w:spacing w:line="360" w:lineRule="auto"/>
        <w:ind w:left="120" w:right="960" w:firstLine="480" w:firstLineChars="200"/>
        <w:jc w:val="center"/>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p w14:paraId="6EEB07C3">
      <w:pPr>
        <w:snapToGrid w:val="0"/>
        <w:spacing w:line="360" w:lineRule="auto"/>
        <w:ind w:left="120" w:firstLine="480" w:firstLineChars="200"/>
        <w:jc w:val="righ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  年  月   日</w:t>
      </w:r>
    </w:p>
    <w:p w14:paraId="4995BF79">
      <w:pPr>
        <w:spacing w:line="360" w:lineRule="auto"/>
        <w:ind w:left="120" w:right="4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10DF53B6">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629B1CEB">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73B15F3A">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769F1792">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505844A2">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654DD9C9">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76A8D32D">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45BA5969">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1904F8EC">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6ECE3F29">
      <w:pPr>
        <w:widowControl/>
        <w:adjustRightInd/>
        <w:ind w:firstLine="667" w:firstLineChars="200"/>
        <w:jc w:val="center"/>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w:t>
      </w:r>
      <w:r>
        <w:rPr>
          <w:rFonts w:ascii="宋体" w:hAnsi="宋体" w:cs="宋体"/>
          <w:b/>
          <w:color w:val="000000" w:themeColor="text1"/>
          <w:spacing w:val="6"/>
          <w:sz w:val="32"/>
          <w:szCs w:val="32"/>
          <w14:textFill>
            <w14:solidFill>
              <w14:schemeClr w14:val="tx1"/>
            </w14:solidFill>
          </w14:textFill>
        </w:rPr>
        <w:t>6</w:t>
      </w:r>
      <w:r>
        <w:rPr>
          <w:rFonts w:hint="eastAsia" w:ascii="宋体" w:hAnsi="宋体" w:cs="宋体"/>
          <w:b/>
          <w:color w:val="000000" w:themeColor="text1"/>
          <w:spacing w:val="6"/>
          <w:sz w:val="32"/>
          <w:szCs w:val="32"/>
          <w14:textFill>
            <w14:solidFill>
              <w14:schemeClr w14:val="tx1"/>
            </w14:solidFill>
          </w14:textFill>
        </w:rPr>
        <w:t>：</w:t>
      </w:r>
      <w:r>
        <w:rPr>
          <w:rFonts w:hint="eastAsia" w:ascii="宋体" w:hAnsi="宋体" w:cs="宋体"/>
          <w:b/>
          <w:color w:val="000000" w:themeColor="text1"/>
          <w:kern w:val="0"/>
          <w:sz w:val="32"/>
          <w:szCs w:val="32"/>
          <w14:textFill>
            <w14:solidFill>
              <w14:schemeClr w14:val="tx1"/>
            </w14:solidFill>
          </w14:textFill>
        </w:rPr>
        <w:t>分包意向协议</w:t>
      </w:r>
    </w:p>
    <w:p w14:paraId="795A0865">
      <w:pPr>
        <w:widowControl/>
        <w:spacing w:line="360" w:lineRule="auto"/>
        <w:ind w:left="120"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14:textFill>
            <w14:solidFill>
              <w14:schemeClr w14:val="tx1"/>
            </w14:solidFill>
          </w14:textFill>
        </w:rPr>
        <w:t>）</w:t>
      </w:r>
    </w:p>
    <w:p w14:paraId="0E00F851">
      <w:pPr>
        <w:snapToGrid w:val="0"/>
        <w:spacing w:line="360" w:lineRule="auto"/>
        <w:ind w:left="120"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lang w:val="zh-CN"/>
          <w14:textFill>
            <w14:solidFill>
              <w14:schemeClr w14:val="tx1"/>
            </w14:solidFill>
          </w14:textFill>
        </w:rPr>
        <w:t>若成为“</w:t>
      </w:r>
      <w:r>
        <w:rPr>
          <w:rFonts w:hint="eastAsia" w:ascii="宋体" w:hAnsi="宋体" w:cs="宋体"/>
          <w:color w:val="000000" w:themeColor="text1"/>
          <w:sz w:val="24"/>
          <w14:textFill>
            <w14:solidFill>
              <w14:schemeClr w14:val="tx1"/>
            </w14:solidFill>
          </w14:textFill>
        </w:rPr>
        <w:t>数字人大”平台系统改造项目【招标编号：CTZB-2025060241】</w:t>
      </w:r>
      <w:r>
        <w:rPr>
          <w:rFonts w:hint="eastAsia" w:ascii="宋体" w:hAnsi="宋体" w:cs="宋体"/>
          <w:color w:val="000000" w:themeColor="text1"/>
          <w:kern w:val="0"/>
          <w:sz w:val="24"/>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14:textFill>
            <w14:solidFill>
              <w14:schemeClr w14:val="tx1"/>
            </w14:solidFill>
          </w14:textFill>
        </w:rPr>
        <w:t>与</w:t>
      </w:r>
      <w:r>
        <w:rPr>
          <w:rFonts w:hint="eastAsia" w:ascii="宋体" w:hAnsi="宋体" w:cs="宋体"/>
          <w:color w:val="000000" w:themeColor="text1"/>
          <w:kern w:val="0"/>
          <w:sz w:val="24"/>
          <w:u w:val="single"/>
          <w14:textFill>
            <w14:solidFill>
              <w14:schemeClr w14:val="tx1"/>
            </w14:solidFill>
          </w14:textFill>
        </w:rPr>
        <w:t>（所有分包供应商名称）</w:t>
      </w:r>
      <w:r>
        <w:rPr>
          <w:rFonts w:hint="eastAsia" w:ascii="宋体" w:hAnsi="宋体" w:cs="宋体"/>
          <w:color w:val="000000" w:themeColor="text1"/>
          <w:kern w:val="0"/>
          <w:sz w:val="24"/>
          <w14:textFill>
            <w14:solidFill>
              <w14:schemeClr w14:val="tx1"/>
            </w14:solidFill>
          </w14:textFill>
        </w:rPr>
        <w:t>达成分包意向协议</w:t>
      </w:r>
      <w:r>
        <w:rPr>
          <w:rFonts w:hint="eastAsia" w:ascii="宋体" w:hAnsi="宋体" w:cs="宋体"/>
          <w:color w:val="000000" w:themeColor="text1"/>
          <w:kern w:val="0"/>
          <w:sz w:val="24"/>
          <w:lang w:val="zh-CN"/>
          <w14:textFill>
            <w14:solidFill>
              <w14:schemeClr w14:val="tx1"/>
            </w14:solidFill>
          </w14:textFill>
        </w:rPr>
        <w:t xml:space="preserve">。 </w:t>
      </w:r>
    </w:p>
    <w:p w14:paraId="5642E503">
      <w:pPr>
        <w:snapToGrid w:val="0"/>
        <w:spacing w:line="360" w:lineRule="auto"/>
        <w:ind w:left="120"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一、分包标的及数量</w:t>
      </w:r>
    </w:p>
    <w:p w14:paraId="5F5876A9">
      <w:pPr>
        <w:snapToGrid w:val="0"/>
        <w:spacing w:line="360" w:lineRule="auto"/>
        <w:ind w:left="120"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lang w:val="zh-CN"/>
          <w14:textFill>
            <w14:solidFill>
              <w14:schemeClr w14:val="tx1"/>
            </w14:solidFill>
          </w14:textFill>
        </w:rPr>
        <w:t>将</w:t>
      </w:r>
      <w:r>
        <w:rPr>
          <w:rFonts w:hint="eastAsia" w:ascii="宋体" w:hAnsi="宋体" w:cs="宋体"/>
          <w:color w:val="000000" w:themeColor="text1"/>
          <w:u w:val="single"/>
          <w14:textFill>
            <w14:solidFill>
              <w14:schemeClr w14:val="tx1"/>
            </w14:solidFill>
          </w14:textFill>
        </w:rPr>
        <w:t xml:space="preserve">  </w:t>
      </w:r>
      <w:r>
        <w:rPr>
          <w:rFonts w:ascii="宋体" w:hAnsi="宋体" w:cs="宋体"/>
          <w:color w:val="000000" w:themeColor="text1"/>
          <w:kern w:val="0"/>
          <w:sz w:val="24"/>
          <w:u w:val="single"/>
          <w14:textFill>
            <w14:solidFill>
              <w14:schemeClr w14:val="tx1"/>
            </w14:solidFill>
          </w14:textFill>
        </w:rPr>
        <w:t xml:space="preserve"> XX工作内容   </w:t>
      </w:r>
      <w:r>
        <w:rPr>
          <w:rFonts w:hint="eastAsia" w:ascii="宋体" w:hAnsi="宋体" w:cs="宋体"/>
          <w:color w:val="000000" w:themeColor="text1"/>
          <w:sz w:val="24"/>
          <w14:textFill>
            <w14:solidFill>
              <w14:schemeClr w14:val="tx1"/>
            </w14:solidFill>
          </w14:textFill>
        </w:rPr>
        <w:t>分包给</w:t>
      </w:r>
      <w:r>
        <w:rPr>
          <w:rFonts w:hint="eastAsia" w:ascii="宋体" w:hAnsi="宋体" w:cs="宋体"/>
          <w:color w:val="000000" w:themeColor="text1"/>
          <w:kern w:val="0"/>
          <w:sz w:val="24"/>
          <w:u w:val="single"/>
          <w14:textFill>
            <w14:solidFill>
              <w14:schemeClr w14:val="tx1"/>
            </w14:solidFill>
          </w14:textFill>
        </w:rPr>
        <w:t>（分包供应商1名称）</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（分包供应商2名称），</w:t>
      </w:r>
      <w:r>
        <w:rPr>
          <w:rFonts w:hint="eastAsia" w:ascii="宋体" w:hAnsi="宋体" w:cs="宋体"/>
          <w:color w:val="000000" w:themeColor="text1"/>
          <w:kern w:val="0"/>
          <w:sz w:val="24"/>
          <w:lang w:val="zh-CN"/>
          <w14:textFill>
            <w14:solidFill>
              <w14:schemeClr w14:val="tx1"/>
            </w14:solidFill>
          </w14:textFill>
        </w:rPr>
        <w:t>具备承</w:t>
      </w:r>
      <w:r>
        <w:rPr>
          <w:rFonts w:hint="eastAsia" w:ascii="宋体" w:hAnsi="宋体" w:cs="宋体"/>
          <w:color w:val="000000" w:themeColor="text1"/>
          <w:kern w:val="0"/>
          <w:sz w:val="24"/>
          <w14:textFill>
            <w14:solidFill>
              <w14:schemeClr w14:val="tx1"/>
            </w14:solidFill>
          </w14:textFill>
        </w:rPr>
        <w:t>担</w:t>
      </w:r>
      <w:r>
        <w:rPr>
          <w:rFonts w:hint="eastAsia" w:ascii="宋体" w:hAnsi="宋体" w:cs="宋体"/>
          <w:color w:val="000000" w:themeColor="text1"/>
          <w:kern w:val="0"/>
          <w:sz w:val="24"/>
          <w:u w:val="single"/>
          <w:lang w:val="zh-CN"/>
          <w14:textFill>
            <w14:solidFill>
              <w14:schemeClr w14:val="tx1"/>
            </w14:solidFill>
          </w14:textFill>
        </w:rPr>
        <w:t>XX工作内容</w:t>
      </w:r>
      <w:r>
        <w:rPr>
          <w:rFonts w:hint="eastAsia" w:ascii="宋体" w:hAnsi="宋体" w:cs="宋体"/>
          <w:color w:val="000000" w:themeColor="text1"/>
          <w:kern w:val="0"/>
          <w:sz w:val="24"/>
          <w:lang w:val="zh-CN"/>
          <w14:textFill>
            <w14:solidFill>
              <w14:schemeClr w14:val="tx1"/>
            </w14:solidFill>
          </w14:textFill>
        </w:rPr>
        <w:t>相应资质条件且不得再次分包；</w:t>
      </w:r>
    </w:p>
    <w:p w14:paraId="5FCD11AD">
      <w:pPr>
        <w:spacing w:line="360" w:lineRule="auto"/>
        <w:ind w:left="120"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p w14:paraId="592C0358">
      <w:pPr>
        <w:spacing w:line="360" w:lineRule="auto"/>
        <w:ind w:left="120"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 xml:space="preserve"> </w:t>
      </w:r>
    </w:p>
    <w:p w14:paraId="08893D95">
      <w:pPr>
        <w:snapToGrid w:val="0"/>
        <w:spacing w:line="360" w:lineRule="auto"/>
        <w:ind w:left="120"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二、分包供应商中小企业合同份额</w:t>
      </w:r>
    </w:p>
    <w:p w14:paraId="140C4537">
      <w:pPr>
        <w:snapToGrid w:val="0"/>
        <w:spacing w:line="360" w:lineRule="auto"/>
        <w:ind w:left="120" w:firstLine="480" w:firstLineChars="200"/>
        <w:rPr>
          <w:rFonts w:hint="eastAsia" w:ascii="宋体" w:hAnsi="宋体" w:cs="宋体"/>
          <w:b/>
          <w:color w:val="000000" w:themeColor="text1"/>
          <w:kern w:val="0"/>
          <w:sz w:val="24"/>
          <w:lang w:val="zh-CN"/>
          <w14:textFill>
            <w14:solidFill>
              <w14:schemeClr w14:val="tx1"/>
            </w14:solidFill>
          </w14:textFill>
        </w:rPr>
      </w:pP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（分包供应商X</w:t>
      </w:r>
      <w:r>
        <w:rPr>
          <w:rFonts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……）提供的服务全部由小微企业承接，</w:t>
      </w:r>
      <w:r>
        <w:rPr>
          <w:rFonts w:hint="eastAsia" w:ascii="宋体" w:hAnsi="宋体" w:cs="宋体"/>
          <w:color w:val="000000" w:themeColor="text1"/>
          <w:kern w:val="0"/>
          <w:sz w:val="24"/>
          <w14:textFill>
            <w14:solidFill>
              <w14:schemeClr w14:val="tx1"/>
            </w14:solidFill>
          </w14:textFill>
        </w:rPr>
        <w:t>其合同份额占到合同总金额</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%以上</w:t>
      </w:r>
      <w:r>
        <w:rPr>
          <w:rFonts w:hint="eastAsia" w:ascii="宋体" w:hAnsi="宋体" w:cs="宋体"/>
          <w:color w:val="000000" w:themeColor="text1"/>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14:textFill>
            <w14:solidFill>
              <w14:schemeClr w14:val="tx1"/>
            </w14:solidFill>
          </w14:textFill>
        </w:rPr>
        <w:t>拟享受以上价格扣除政策的，填写有关内容</w:t>
      </w:r>
      <w:r>
        <w:rPr>
          <w:rFonts w:hint="eastAsia" w:ascii="宋体" w:hAnsi="宋体" w:cs="宋体"/>
          <w:b/>
          <w:color w:val="000000" w:themeColor="text1"/>
          <w:kern w:val="0"/>
          <w:sz w:val="24"/>
          <w:lang w:val="zh-CN"/>
          <w14:textFill>
            <w14:solidFill>
              <w14:schemeClr w14:val="tx1"/>
            </w14:solidFill>
          </w14:textFill>
        </w:rPr>
        <w:t>）</w:t>
      </w:r>
    </w:p>
    <w:p w14:paraId="35C7F86B">
      <w:pPr>
        <w:spacing w:line="360" w:lineRule="auto"/>
        <w:ind w:left="120" w:firstLine="480" w:firstLineChars="200"/>
        <w:rPr>
          <w:rFonts w:hint="eastAsia" w:ascii="宋体" w:hAnsi="宋体" w:cs="宋体"/>
          <w:b/>
          <w:bCs/>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要求合同分包形式参加的项目或采购包，供应商按采购文件第一部分招标公告申请人的资格要求中规定的</w:t>
      </w:r>
      <w:r>
        <w:rPr>
          <w:rFonts w:hint="eastAsia" w:ascii="宋体" w:hAnsi="宋体" w:cs="宋体"/>
          <w:b/>
          <w:color w:val="000000" w:themeColor="text1"/>
          <w:kern w:val="0"/>
          <w:sz w:val="24"/>
          <w:lang w:val="zh-CN"/>
          <w14:textFill>
            <w14:solidFill>
              <w14:schemeClr w14:val="tx1"/>
            </w14:solidFill>
          </w14:textFill>
        </w:rPr>
        <w:t>分包意向协议</w:t>
      </w:r>
      <w:r>
        <w:rPr>
          <w:rFonts w:hint="eastAsia" w:ascii="宋体" w:hAnsi="宋体" w:cs="宋体"/>
          <w:b/>
          <w:bCs/>
          <w:color w:val="000000" w:themeColor="text1"/>
          <w:sz w:val="24"/>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p>
    <w:p w14:paraId="5391E581">
      <w:pPr>
        <w:snapToGrid w:val="0"/>
        <w:spacing w:line="360" w:lineRule="auto"/>
        <w:ind w:left="120"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三、分包工作履行期限、地点、方式</w:t>
      </w:r>
    </w:p>
    <w:p w14:paraId="1F1E6E64">
      <w:pPr>
        <w:snapToGrid w:val="0"/>
        <w:spacing w:line="360" w:lineRule="auto"/>
        <w:ind w:left="120" w:firstLine="420" w:firstLineChars="200"/>
        <w:rPr>
          <w:rFonts w:hint="eastAsia" w:ascii="宋体" w:hAnsi="宋体" w:cs="宋体"/>
          <w:color w:val="000000" w:themeColor="text1"/>
          <w:u w:val="single"/>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6D7DB4B6">
      <w:pPr>
        <w:snapToGrid w:val="0"/>
        <w:spacing w:line="360" w:lineRule="auto"/>
        <w:ind w:left="120"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四、质量</w:t>
      </w:r>
    </w:p>
    <w:p w14:paraId="0A8AA7C7">
      <w:pPr>
        <w:snapToGrid w:val="0"/>
        <w:spacing w:line="360" w:lineRule="auto"/>
        <w:ind w:left="120" w:firstLine="42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045321F0">
      <w:pPr>
        <w:snapToGrid w:val="0"/>
        <w:spacing w:line="360" w:lineRule="auto"/>
        <w:ind w:left="120"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五、价款或者报酬</w:t>
      </w:r>
    </w:p>
    <w:p w14:paraId="0449A0D9">
      <w:pPr>
        <w:snapToGrid w:val="0"/>
        <w:spacing w:line="360" w:lineRule="auto"/>
        <w:ind w:left="573" w:leftChars="273" w:firstLine="42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17AC6233">
      <w:pPr>
        <w:snapToGrid w:val="0"/>
        <w:spacing w:line="360" w:lineRule="auto"/>
        <w:ind w:left="573" w:leftChars="273"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六、违约责任</w:t>
      </w:r>
    </w:p>
    <w:p w14:paraId="4B400F4D">
      <w:pPr>
        <w:snapToGrid w:val="0"/>
        <w:spacing w:line="360" w:lineRule="auto"/>
        <w:ind w:left="120" w:firstLine="42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7397CF77">
      <w:pPr>
        <w:snapToGrid w:val="0"/>
        <w:spacing w:line="360" w:lineRule="auto"/>
        <w:ind w:left="120"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七、争议解决的办法</w:t>
      </w:r>
    </w:p>
    <w:p w14:paraId="21FF07E9">
      <w:pPr>
        <w:snapToGrid w:val="0"/>
        <w:spacing w:line="360" w:lineRule="auto"/>
        <w:ind w:left="120" w:firstLine="42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4FDF3CE7">
      <w:pPr>
        <w:snapToGrid w:val="0"/>
        <w:spacing w:line="360" w:lineRule="auto"/>
        <w:ind w:left="120"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八、其他</w:t>
      </w:r>
    </w:p>
    <w:p w14:paraId="423039CB">
      <w:pPr>
        <w:snapToGrid w:val="0"/>
        <w:spacing w:line="360" w:lineRule="auto"/>
        <w:ind w:left="718" w:leftChars="342"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                                           投标人名称(电子签名)：</w:t>
      </w:r>
    </w:p>
    <w:p w14:paraId="4F25EC59">
      <w:pPr>
        <w:snapToGrid w:val="0"/>
        <w:spacing w:line="360" w:lineRule="auto"/>
        <w:ind w:left="120" w:firstLine="480" w:firstLineChars="200"/>
        <w:jc w:val="righ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分包供应商名称(电子签名/公章)：</w:t>
      </w:r>
    </w:p>
    <w:p w14:paraId="7CE8F6BC">
      <w:pPr>
        <w:snapToGrid w:val="0"/>
        <w:spacing w:line="360" w:lineRule="auto"/>
        <w:ind w:left="120"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14:paraId="104E736D">
      <w:pPr>
        <w:snapToGrid w:val="0"/>
        <w:spacing w:line="360" w:lineRule="auto"/>
        <w:ind w:left="718" w:leftChars="342"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2CAECA15">
      <w:pPr>
        <w:spacing w:line="360" w:lineRule="auto"/>
        <w:ind w:left="120" w:right="4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488B44EC">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21DFDB8A">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23F613C1">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326085B1">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3BF5A214">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5957BDBE">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1617121E">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0E1ED88D">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50664FEB">
      <w:pPr>
        <w:spacing w:line="360" w:lineRule="auto"/>
        <w:ind w:left="120" w:firstLine="723" w:firstLineChars="200"/>
        <w:jc w:val="center"/>
        <w:outlineLvl w:val="1"/>
        <w:rPr>
          <w:rFonts w:hint="eastAsia" w:ascii="宋体" w:hAnsi="宋体" w:cs="宋体"/>
          <w:b/>
          <w:color w:val="000000" w:themeColor="text1"/>
          <w:sz w:val="36"/>
          <w:szCs w:val="20"/>
          <w14:textFill>
            <w14:solidFill>
              <w14:schemeClr w14:val="tx1"/>
            </w14:solidFill>
          </w14:textFill>
        </w:rPr>
        <w:sectPr>
          <w:pgSz w:w="11906" w:h="16838"/>
          <w:pgMar w:top="1276" w:right="1417" w:bottom="1247" w:left="1417" w:header="851" w:footer="992" w:gutter="0"/>
          <w:cols w:space="0" w:num="1"/>
          <w:titlePg/>
          <w:docGrid w:linePitch="312" w:charSpace="0"/>
        </w:sectPr>
      </w:pPr>
    </w:p>
    <w:p w14:paraId="0014DB24">
      <w:pPr>
        <w:spacing w:line="360" w:lineRule="auto"/>
        <w:ind w:left="120" w:firstLine="723" w:firstLineChars="200"/>
        <w:jc w:val="center"/>
        <w:outlineLvl w:val="1"/>
        <w:rPr>
          <w:rFonts w:hint="eastAsia"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附件</w:t>
      </w:r>
      <w:r>
        <w:rPr>
          <w:rFonts w:ascii="宋体" w:hAnsi="宋体" w:cs="宋体"/>
          <w:b/>
          <w:color w:val="000000" w:themeColor="text1"/>
          <w:sz w:val="36"/>
          <w:szCs w:val="20"/>
          <w14:textFill>
            <w14:solidFill>
              <w14:schemeClr w14:val="tx1"/>
            </w14:solidFill>
          </w14:textFill>
        </w:rPr>
        <w:t>7</w:t>
      </w:r>
      <w:r>
        <w:rPr>
          <w:rFonts w:hint="eastAsia" w:ascii="宋体" w:hAnsi="宋体" w:cs="宋体"/>
          <w:b/>
          <w:color w:val="000000" w:themeColor="text1"/>
          <w:sz w:val="36"/>
          <w:szCs w:val="20"/>
          <w14:textFill>
            <w14:solidFill>
              <w14:schemeClr w14:val="tx1"/>
            </w14:solidFill>
          </w14:textFill>
        </w:rPr>
        <w:t>：中小企业声明函</w:t>
      </w:r>
    </w:p>
    <w:p w14:paraId="3B27B5B7">
      <w:pPr>
        <w:spacing w:line="360" w:lineRule="auto"/>
        <w:ind w:left="120" w:firstLine="643" w:firstLineChars="200"/>
        <w:jc w:val="center"/>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中小企业声明函（服务）</w:t>
      </w:r>
    </w:p>
    <w:p w14:paraId="7D730BD0">
      <w:pPr>
        <w:spacing w:line="360" w:lineRule="auto"/>
        <w:ind w:left="120"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u w:val="single"/>
          <w:lang w:eastAsia="zh-CN"/>
          <w14:textFill>
            <w14:solidFill>
              <w14:schemeClr w14:val="tx1"/>
            </w14:solidFill>
          </w14:textFill>
        </w:rPr>
        <w:t>杭州市上城区人民代表大会常务委员会办公室</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u w:val="single"/>
          <w14:textFill>
            <w14:solidFill>
              <w14:schemeClr w14:val="tx1"/>
            </w14:solidFill>
          </w14:textFill>
        </w:rPr>
        <w:t xml:space="preserve"> “数字人大”平台系统改造项目</w:t>
      </w:r>
      <w:r>
        <w:rPr>
          <w:rFonts w:hint="eastAsia" w:ascii="宋体" w:hAnsi="宋体" w:cs="宋体"/>
          <w:color w:val="000000" w:themeColor="text1"/>
          <w:sz w:val="24"/>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41992C57">
      <w:pPr>
        <w:spacing w:line="360" w:lineRule="auto"/>
        <w:ind w:left="120"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（“数字人大”平台系统改造 ）</w:t>
      </w:r>
      <w:r>
        <w:rPr>
          <w:rFonts w:hint="eastAsia" w:ascii="宋体" w:hAnsi="宋体" w:cs="宋体"/>
          <w:color w:val="000000" w:themeColor="text1"/>
          <w:sz w:val="24"/>
          <w14:textFill>
            <w14:solidFill>
              <w14:schemeClr w14:val="tx1"/>
            </w14:solidFill>
          </w14:textFill>
        </w:rPr>
        <w:t>，属于</w:t>
      </w:r>
      <w:r>
        <w:rPr>
          <w:rFonts w:hint="eastAsia" w:ascii="宋体" w:hAnsi="宋体" w:cs="宋体"/>
          <w:b/>
          <w:bCs/>
          <w:color w:val="000000" w:themeColor="text1"/>
          <w:kern w:val="0"/>
          <w:sz w:val="24"/>
          <w:u w:val="single"/>
          <w14:textFill>
            <w14:solidFill>
              <w14:schemeClr w14:val="tx1"/>
            </w14:solidFill>
          </w14:textFill>
        </w:rPr>
        <w:t>软件和信息技术服务业行业</w:t>
      </w:r>
      <w:r>
        <w:rPr>
          <w:rFonts w:hint="eastAsia" w:ascii="宋体" w:hAnsi="宋体" w:cs="宋体"/>
          <w:color w:val="000000" w:themeColor="text1"/>
          <w:sz w:val="24"/>
          <w14:textFill>
            <w14:solidFill>
              <w14:schemeClr w14:val="tx1"/>
            </w14:solidFill>
          </w14:textFill>
        </w:rPr>
        <w:t xml:space="preserve"> ；承建（承接）企业为 </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（中型企业、小型企业、微型企业） </w:t>
      </w:r>
      <w:r>
        <w:rPr>
          <w:rFonts w:hint="eastAsia" w:ascii="宋体" w:hAnsi="宋体" w:cs="宋体"/>
          <w:color w:val="000000" w:themeColor="text1"/>
          <w:sz w:val="24"/>
          <w14:textFill>
            <w14:solidFill>
              <w14:schemeClr w14:val="tx1"/>
            </w14:solidFill>
          </w14:textFill>
        </w:rPr>
        <w:t>；</w:t>
      </w:r>
    </w:p>
    <w:p w14:paraId="2C46D029">
      <w:pPr>
        <w:spacing w:line="360" w:lineRule="auto"/>
        <w:ind w:left="120"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u w:val="single"/>
          <w14:textFill>
            <w14:solidFill>
              <w14:schemeClr w14:val="tx1"/>
            </w14:solidFill>
          </w14:textFill>
        </w:rPr>
        <w:t xml:space="preserve"> （“数字人大”平台系统改造 ），</w:t>
      </w:r>
      <w:r>
        <w:rPr>
          <w:rFonts w:hint="eastAsia" w:ascii="宋体" w:hAnsi="宋体" w:cs="宋体"/>
          <w:color w:val="000000" w:themeColor="text1"/>
          <w:sz w:val="24"/>
          <w14:textFill>
            <w14:solidFill>
              <w14:schemeClr w14:val="tx1"/>
            </w14:solidFill>
          </w14:textFill>
        </w:rPr>
        <w:t xml:space="preserve">属于 </w:t>
      </w:r>
      <w:r>
        <w:rPr>
          <w:rFonts w:hint="eastAsia" w:ascii="宋体" w:hAnsi="宋体" w:cs="宋体"/>
          <w:b/>
          <w:bCs/>
          <w:color w:val="000000" w:themeColor="text1"/>
          <w:kern w:val="0"/>
          <w:sz w:val="24"/>
          <w:u w:val="single"/>
          <w14:textFill>
            <w14:solidFill>
              <w14:schemeClr w14:val="tx1"/>
            </w14:solidFill>
          </w14:textFill>
        </w:rPr>
        <w:t>软件和信息技术服务业行业</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；承建（承接）企业为 </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（中型企业、小型企业、微型企业） </w:t>
      </w:r>
      <w:r>
        <w:rPr>
          <w:rFonts w:hint="eastAsia" w:ascii="宋体" w:hAnsi="宋体" w:cs="宋体"/>
          <w:color w:val="000000" w:themeColor="text1"/>
          <w:sz w:val="24"/>
          <w14:textFill>
            <w14:solidFill>
              <w14:schemeClr w14:val="tx1"/>
            </w14:solidFill>
          </w14:textFill>
        </w:rPr>
        <w:t>；</w:t>
      </w:r>
    </w:p>
    <w:p w14:paraId="33AC8478">
      <w:pPr>
        <w:spacing w:line="360" w:lineRule="auto"/>
        <w:ind w:left="120"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7C62C5AF">
      <w:pPr>
        <w:spacing w:line="360" w:lineRule="auto"/>
        <w:ind w:left="120"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14:paraId="7446BF76">
      <w:pPr>
        <w:spacing w:line="360" w:lineRule="auto"/>
        <w:ind w:left="120"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本企业对上述声明内容的真实性负责。如有虚假，将依法承担相应责任。</w:t>
      </w:r>
    </w:p>
    <w:p w14:paraId="592BF97E">
      <w:pPr>
        <w:spacing w:line="360" w:lineRule="auto"/>
        <w:ind w:left="120" w:right="1760"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投标人名称（电子签名）：</w:t>
      </w:r>
    </w:p>
    <w:p w14:paraId="070F38B5">
      <w:pPr>
        <w:spacing w:line="360" w:lineRule="auto"/>
        <w:ind w:left="120" w:right="1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p>
    <w:p w14:paraId="6DFF3ABD">
      <w:pPr>
        <w:spacing w:line="360" w:lineRule="auto"/>
        <w:ind w:left="120" w:firstLine="422" w:firstLineChars="200"/>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从业人员、营业收入、资产总额填报上一年度数据，无上一年度数据的新成立企业可不填报。</w:t>
      </w:r>
    </w:p>
    <w:p w14:paraId="737D4D55">
      <w:pPr>
        <w:spacing w:line="360" w:lineRule="auto"/>
        <w:ind w:left="120" w:right="420" w:firstLine="22"/>
        <w:rPr>
          <w:rFonts w:hint="eastAsia" w:ascii="宋体" w:hAnsi="宋体" w:cs="宋体"/>
          <w:color w:val="000000" w:themeColor="text1"/>
          <w:sz w:val="24"/>
          <w14:textFill>
            <w14:solidFill>
              <w14:schemeClr w14:val="tx1"/>
            </w14:solidFill>
          </w14:textFill>
        </w:rPr>
      </w:pPr>
    </w:p>
    <w:p w14:paraId="290CACA4">
      <w:pPr>
        <w:spacing w:line="360" w:lineRule="auto"/>
        <w:ind w:right="4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sectPr>
      <w:pgSz w:w="11906" w:h="16838"/>
      <w:pgMar w:top="1276" w:right="1417" w:bottom="1247" w:left="1417" w:header="851" w:footer="992" w:gutter="0"/>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Futura Bk">
    <w:altName w:val="Arial"/>
    <w:panose1 w:val="00000000000000000000"/>
    <w:charset w:val="00"/>
    <w:family w:val="auto"/>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auto"/>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宋体"/>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
    <w:altName w:val="宋体"/>
    <w:panose1 w:val="00000000000000000000"/>
    <w:charset w:val="86"/>
    <w:family w:val="roma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4160E">
    <w:pPr>
      <w:pStyle w:val="40"/>
      <w:ind w:left="120"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67DF8">
    <w:pPr>
      <w:pStyle w:val="40"/>
      <w:ind w:left="120" w:firstLine="36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113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608F4">
    <w:pPr>
      <w:pStyle w:val="40"/>
      <w:ind w:left="120" w:firstLine="36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100</w:t>
    </w:r>
    <w:r>
      <w:rPr>
        <w:rFonts w:hint="eastAsia" w:ascii="仿宋_GB2312" w:eastAsia="仿宋_GB2312"/>
        <w:kern w:val="0"/>
        <w:szCs w:val="21"/>
      </w:rPr>
      <w:fldChar w:fldCharType="end"/>
    </w:r>
    <w:bookmarkStart w:id="511" w:name="_Toc131845147"/>
    <w:bookmarkStart w:id="512" w:name="_Toc91899912"/>
    <w:bookmarkStart w:id="513" w:name="_Toc36110187"/>
    <w:bookmarkStart w:id="514" w:name="_Toc164085800"/>
    <w:r>
      <w:rPr>
        <w:rFonts w:hint="eastAsia" w:ascii="仿宋_GB2312" w:eastAsia="仿宋_GB2312"/>
        <w:kern w:val="0"/>
        <w:szCs w:val="21"/>
      </w:rPr>
      <w:t xml:space="preserve"> 页</w:t>
    </w:r>
    <w:bookmarkEnd w:id="511"/>
    <w:bookmarkEnd w:id="512"/>
    <w:bookmarkEnd w:id="513"/>
    <w:bookmarkEnd w:id="5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ED8B3">
    <w:pPr>
      <w:pStyle w:val="40"/>
      <w:framePr w:wrap="around" w:vAnchor="text" w:hAnchor="margin" w:xAlign="right" w:y="1"/>
      <w:ind w:left="120" w:firstLine="360"/>
      <w:rPr>
        <w:rStyle w:val="73"/>
      </w:rPr>
    </w:pPr>
    <w:r>
      <w:fldChar w:fldCharType="begin"/>
    </w:r>
    <w:r>
      <w:rPr>
        <w:rStyle w:val="73"/>
      </w:rPr>
      <w:instrText xml:space="preserve">PAGE  </w:instrText>
    </w:r>
    <w:r>
      <w:fldChar w:fldCharType="end"/>
    </w:r>
  </w:p>
  <w:p w14:paraId="243C2445">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700B0">
    <w:pPr>
      <w:pStyle w:val="40"/>
      <w:ind w:left="120"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A36E7">
    <w:pPr>
      <w:pStyle w:val="40"/>
      <w:ind w:left="120"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p w14:paraId="42E8EFB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53706">
    <w:pPr>
      <w:pStyle w:val="40"/>
      <w:ind w:left="120"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22CC9E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0C704">
    <w:pPr>
      <w:pStyle w:val="40"/>
      <w:ind w:left="120"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w:t>
    </w:r>
  </w:p>
  <w:p w14:paraId="4CDFBA7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3EF1D">
    <w:pPr>
      <w:pStyle w:val="40"/>
      <w:ind w:left="120"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p w14:paraId="4DD8E03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6CD5D">
    <w:pPr>
      <w:pStyle w:val="40"/>
      <w:ind w:left="120"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D1121E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0D8F6">
    <w:pPr>
      <w:pStyle w:val="40"/>
      <w:ind w:left="120"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p w14:paraId="58C03D37">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A1036">
    <w:pPr>
      <w:pStyle w:val="41"/>
      <w:pBdr>
        <w:bottom w:val="single" w:color="auto" w:sz="6" w:space="4"/>
      </w:pBdr>
      <w:ind w:left="120" w:firstLine="360"/>
      <w:jc w:val="right"/>
    </w:pPr>
    <w:r>
      <w:t></w:t>
    </w:r>
    <w:r>
      <w:rPr>
        <w:rFonts w:hint="eastAsia"/>
      </w:rPr>
      <w:t xml:space="preserve">             </w:t>
    </w:r>
    <w:r>
      <w:t>杭州市政府采购公开采购文件</w:t>
    </w:r>
  </w:p>
  <w:p w14:paraId="302C95A0">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4114E">
    <w:pPr>
      <w:pStyle w:val="41"/>
      <w:ind w:left="120" w:firstLine="360"/>
    </w:pPr>
    <w:r>
      <w:t></w:t>
    </w:r>
    <w:r>
      <w:rPr>
        <w:rFonts w:hint="eastAsia"/>
      </w:rPr>
      <w:t xml:space="preserve">                                     </w:t>
    </w:r>
    <w:r>
      <w:t>杭州市政府采购公开采购文件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CFEFE">
    <w:pPr>
      <w:pStyle w:val="41"/>
      <w:pBdr>
        <w:bottom w:val="single" w:color="auto" w:sz="6" w:space="0"/>
      </w:pBdr>
      <w:tabs>
        <w:tab w:val="center" w:pos="4535"/>
        <w:tab w:val="right" w:pos="9070"/>
        <w:tab w:val="clear" w:pos="4153"/>
        <w:tab w:val="clear" w:pos="8306"/>
      </w:tabs>
      <w:ind w:left="120" w:firstLine="360"/>
      <w:jc w:val="right"/>
    </w:pPr>
    <w:r>
      <w:rPr>
        <w:lang w:val="zh-CN"/>
      </w:rPr>
      <w:t></w:t>
    </w:r>
    <w:r>
      <w:tab/>
    </w:r>
    <w:r>
      <w:rPr>
        <w:lang w:val="zh-CN"/>
      </w:rPr>
      <w:t></w:t>
    </w:r>
    <w:r>
      <w:tab/>
    </w:r>
    <w:r>
      <w:rPr>
        <w:lang w:val="zh-CN"/>
      </w:rPr>
      <w:t>杭州市政府采购公开采购文件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015A8">
    <w:pPr>
      <w:pStyle w:val="41"/>
      <w:ind w:left="120" w:firstLine="360"/>
      <w:rPr>
        <w:rFonts w:ascii="仿宋_GB2312" w:eastAsia="仿宋_GB2312"/>
        <w:b/>
        <w:i/>
        <w:u w:val="single"/>
      </w:rPr>
    </w:pPr>
    <w:r>
      <w:t></w:t>
    </w:r>
    <w:r>
      <w:rPr>
        <w:rFonts w:hint="eastAsia"/>
      </w:rPr>
      <w:t xml:space="preserve">                                                  </w:t>
    </w:r>
    <w:r>
      <w:t xml:space="preserve">             杭州市政府采购公开采购文件</w:t>
    </w:r>
  </w:p>
  <w:p w14:paraId="208BC146">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ABBBD">
    <w:pPr>
      <w:pStyle w:val="41"/>
      <w:ind w:left="120" w:firstLine="360"/>
    </w:pPr>
    <w:r>
      <w:t></w:t>
    </w:r>
    <w:r>
      <w:rPr>
        <w:rFonts w:hint="eastAsia"/>
      </w:rPr>
      <w:t xml:space="preserve">         </w:t>
    </w:r>
  </w:p>
  <w:p w14:paraId="39311176">
    <w:pPr>
      <w:pStyle w:val="41"/>
      <w:ind w:left="120" w:firstLine="360"/>
    </w:pPr>
    <w:r>
      <w:rPr>
        <w:rFonts w:hint="eastAsia"/>
      </w:rPr>
      <w:t xml:space="preserve">                                                                  </w:t>
    </w:r>
    <w:r>
      <w:t>杭州市政府采购公开采购文件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D650B">
    <w:pPr>
      <w:pStyle w:val="41"/>
      <w:ind w:left="120" w:firstLine="360"/>
      <w:rPr>
        <w:rFonts w:ascii="仿宋_GB2312" w:eastAsia="仿宋_GB2312"/>
        <w:b/>
        <w:i/>
        <w:u w:val="single"/>
      </w:rPr>
    </w:pPr>
    <w:r>
      <w:t></w:t>
    </w:r>
    <w:r>
      <w:rPr>
        <w:rFonts w:hint="eastAsia"/>
      </w:rPr>
      <w:t xml:space="preserve">                                           </w:t>
    </w:r>
    <w:r>
      <w:t>杭州市政府采购公开采购文件</w:t>
    </w:r>
  </w:p>
  <w:p w14:paraId="049A230D">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C3C56">
    <w:pPr>
      <w:pStyle w:val="41"/>
      <w:ind w:left="120" w:firstLine="360"/>
      <w:jc w:val="right"/>
    </w:pPr>
    <w:r>
      <w:t></w:t>
    </w:r>
    <w:r>
      <w:rPr>
        <w:rFonts w:hint="eastAsia"/>
      </w:rPr>
      <w:t xml:space="preserve">                 </w:t>
    </w:r>
    <w:r>
      <w:t xml:space="preserve">                                </w:t>
    </w:r>
    <w:r>
      <w:rPr>
        <w:rFonts w:hint="eastAsia"/>
      </w:rPr>
      <w:t xml:space="preserve">         </w:t>
    </w:r>
    <w:r>
      <w:t>杭州市政府采购公开采购文件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47B7A">
    <w:pPr>
      <w:pStyle w:val="41"/>
      <w:ind w:left="120" w:firstLine="360"/>
      <w:jc w:val="right"/>
      <w:rPr>
        <w:rFonts w:ascii="仿宋_GB2312" w:eastAsia="仿宋_GB2312"/>
        <w:b/>
        <w:i/>
        <w:u w:val="single"/>
      </w:rPr>
    </w:pPr>
    <w:r>
      <w:rPr>
        <w:rFonts w:hint="eastAsia"/>
      </w:rPr>
      <w:t xml:space="preserve">                                  </w:t>
    </w:r>
    <w:r>
      <w:t>杭州市政府采购公开采购文件</w:t>
    </w:r>
  </w:p>
  <w:p w14:paraId="71E1F1E6">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F3A5A">
    <w:pPr>
      <w:pStyle w:val="41"/>
      <w:ind w:left="120" w:firstLine="360"/>
      <w:jc w:val="right"/>
    </w:pPr>
    <w:r>
      <w:rPr>
        <w:rFonts w:hint="eastAsia"/>
      </w:rPr>
      <w:t xml:space="preserve">                                                                                                        </w:t>
    </w:r>
    <w:r>
      <w:t>杭州市政府采购公开采购文件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E180B">
    <w:pPr>
      <w:pStyle w:val="41"/>
      <w:ind w:left="120" w:firstLine="360"/>
      <w:jc w:val="right"/>
      <w:rPr>
        <w:rFonts w:ascii="仿宋_GB2312" w:eastAsia="仿宋_GB2312"/>
        <w:b/>
        <w:i/>
        <w:iCs/>
        <w:u w:val="single"/>
      </w:rPr>
    </w:pPr>
    <w:r>
      <w:t>杭州市政府采购公开采购文件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29FB80"/>
    <w:multiLevelType w:val="singleLevel"/>
    <w:tmpl w:val="B529FB80"/>
    <w:lvl w:ilvl="0" w:tentative="0">
      <w:start w:val="1"/>
      <w:numFmt w:val="decimalEnclosedCircleChinese"/>
      <w:suff w:val="nothing"/>
      <w:lvlText w:val="%1　"/>
      <w:lvlJc w:val="left"/>
      <w:pPr>
        <w:ind w:left="26" w:firstLine="400"/>
      </w:pPr>
      <w:rPr>
        <w:rFonts w:hint="eastAsia"/>
      </w:rPr>
    </w:lvl>
  </w:abstractNum>
  <w:abstractNum w:abstractNumId="1">
    <w:nsid w:val="CB5C49A3"/>
    <w:multiLevelType w:val="singleLevel"/>
    <w:tmpl w:val="CB5C49A3"/>
    <w:lvl w:ilvl="0" w:tentative="0">
      <w:start w:val="1"/>
      <w:numFmt w:val="decimal"/>
      <w:lvlText w:val="(%1)"/>
      <w:lvlJc w:val="left"/>
      <w:pPr>
        <w:ind w:left="0" w:firstLine="40"/>
      </w:pPr>
      <w:rPr>
        <w:rFonts w:hint="default"/>
      </w:rPr>
    </w:lvl>
  </w:abstractNum>
  <w:abstractNum w:abstractNumId="2">
    <w:nsid w:val="00086FE9"/>
    <w:multiLevelType w:val="multilevel"/>
    <w:tmpl w:val="00086FE9"/>
    <w:lvl w:ilvl="0" w:tentative="0">
      <w:start w:val="1"/>
      <w:numFmt w:val="decimalEnclosedCircleChinese"/>
      <w:lvlText w:val="%1　"/>
      <w:lvlJc w:val="left"/>
      <w:pPr>
        <w:ind w:left="946" w:hanging="440"/>
      </w:pPr>
      <w:rPr>
        <w:rFonts w:hint="eastAsia"/>
      </w:rPr>
    </w:lvl>
    <w:lvl w:ilvl="1" w:tentative="0">
      <w:start w:val="1"/>
      <w:numFmt w:val="lowerLetter"/>
      <w:lvlText w:val="%2)"/>
      <w:lvlJc w:val="left"/>
      <w:pPr>
        <w:ind w:left="1386" w:hanging="440"/>
      </w:pPr>
    </w:lvl>
    <w:lvl w:ilvl="2" w:tentative="0">
      <w:start w:val="1"/>
      <w:numFmt w:val="lowerRoman"/>
      <w:lvlText w:val="%3."/>
      <w:lvlJc w:val="right"/>
      <w:pPr>
        <w:ind w:left="1826" w:hanging="440"/>
      </w:pPr>
    </w:lvl>
    <w:lvl w:ilvl="3" w:tentative="0">
      <w:start w:val="1"/>
      <w:numFmt w:val="decimal"/>
      <w:lvlText w:val="%4."/>
      <w:lvlJc w:val="left"/>
      <w:pPr>
        <w:ind w:left="2266" w:hanging="440"/>
      </w:pPr>
    </w:lvl>
    <w:lvl w:ilvl="4" w:tentative="0">
      <w:start w:val="1"/>
      <w:numFmt w:val="lowerLetter"/>
      <w:lvlText w:val="%5)"/>
      <w:lvlJc w:val="left"/>
      <w:pPr>
        <w:ind w:left="2706" w:hanging="440"/>
      </w:pPr>
    </w:lvl>
    <w:lvl w:ilvl="5" w:tentative="0">
      <w:start w:val="1"/>
      <w:numFmt w:val="lowerRoman"/>
      <w:lvlText w:val="%6."/>
      <w:lvlJc w:val="right"/>
      <w:pPr>
        <w:ind w:left="3146" w:hanging="440"/>
      </w:pPr>
    </w:lvl>
    <w:lvl w:ilvl="6" w:tentative="0">
      <w:start w:val="1"/>
      <w:numFmt w:val="decimal"/>
      <w:lvlText w:val="%7."/>
      <w:lvlJc w:val="left"/>
      <w:pPr>
        <w:ind w:left="3586" w:hanging="440"/>
      </w:pPr>
    </w:lvl>
    <w:lvl w:ilvl="7" w:tentative="0">
      <w:start w:val="1"/>
      <w:numFmt w:val="lowerLetter"/>
      <w:lvlText w:val="%8)"/>
      <w:lvlJc w:val="left"/>
      <w:pPr>
        <w:ind w:left="4026" w:hanging="440"/>
      </w:pPr>
    </w:lvl>
    <w:lvl w:ilvl="8" w:tentative="0">
      <w:start w:val="1"/>
      <w:numFmt w:val="lowerRoman"/>
      <w:lvlText w:val="%9."/>
      <w:lvlJc w:val="right"/>
      <w:pPr>
        <w:ind w:left="4466" w:hanging="440"/>
      </w:pPr>
    </w:lvl>
  </w:abstractNum>
  <w:abstractNum w:abstractNumId="3">
    <w:nsid w:val="634988CD"/>
    <w:multiLevelType w:val="singleLevel"/>
    <w:tmpl w:val="634988CD"/>
    <w:lvl w:ilvl="0" w:tentative="0">
      <w:start w:val="1"/>
      <w:numFmt w:val="decimal"/>
      <w:lvlText w:val="(%1)"/>
      <w:lvlJc w:val="left"/>
      <w:pPr>
        <w:ind w:left="0" w:firstLine="40"/>
      </w:pPr>
      <w:rPr>
        <w:rFonts w:hint="default"/>
      </w:rPr>
    </w:lvl>
  </w:abstractNum>
  <w:abstractNum w:abstractNumId="4">
    <w:nsid w:val="644963ED"/>
    <w:multiLevelType w:val="singleLevel"/>
    <w:tmpl w:val="644963ED"/>
    <w:lvl w:ilvl="0" w:tentative="0">
      <w:start w:val="1"/>
      <w:numFmt w:val="decimal"/>
      <w:lvlText w:val="(%1)"/>
      <w:lvlJc w:val="left"/>
      <w:pPr>
        <w:ind w:left="0" w:firstLine="40"/>
      </w:pPr>
      <w:rPr>
        <w:rFonts w:hint="default"/>
      </w:rPr>
    </w:lvl>
  </w:abstractNum>
  <w:abstractNum w:abstractNumId="5">
    <w:nsid w:val="65F76C89"/>
    <w:multiLevelType w:val="singleLevel"/>
    <w:tmpl w:val="65F76C89"/>
    <w:lvl w:ilvl="0" w:tentative="0">
      <w:start w:val="1"/>
      <w:numFmt w:val="decimal"/>
      <w:lvlText w:val="(%1)"/>
      <w:lvlJc w:val="left"/>
      <w:pPr>
        <w:ind w:left="0" w:firstLine="40"/>
      </w:pPr>
      <w:rPr>
        <w:rFonts w:hint="default"/>
      </w:rPr>
    </w:lvl>
  </w:abstractNum>
  <w:num w:numId="1">
    <w:abstractNumId w:val="0"/>
  </w:num>
  <w:num w:numId="2">
    <w:abstractNumId w:val="5"/>
    <w:lvlOverride w:ilvl="0">
      <w:startOverride w:val="1"/>
    </w:lvlOverride>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hideSpellingErrors/>
  <w:documentProtection w:edit="readOnly" w:enforcement="1" w:cryptProviderType="rsaFull" w:cryptAlgorithmClass="hash" w:cryptAlgorithmType="typeAny" w:cryptAlgorithmSid="4" w:cryptSpinCount="0" w:hash="6e+3gN0eQbeMfGITGY355JF/Hy0=" w:salt="IUfqFdIoDZpHFp9TthVsgw=="/>
  <w:defaultTabStop w:val="420"/>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xMzJhNjE0NzE5YjI4ZTk4MmM0YmM2MDAzMzM5MjkifQ=="/>
  </w:docVars>
  <w:rsids>
    <w:rsidRoot w:val="00172A27"/>
    <w:rsid w:val="00000451"/>
    <w:rsid w:val="0000108B"/>
    <w:rsid w:val="0000133D"/>
    <w:rsid w:val="00001509"/>
    <w:rsid w:val="00001E3F"/>
    <w:rsid w:val="000021DA"/>
    <w:rsid w:val="00002A57"/>
    <w:rsid w:val="000032B2"/>
    <w:rsid w:val="0000363B"/>
    <w:rsid w:val="0000367C"/>
    <w:rsid w:val="000058BD"/>
    <w:rsid w:val="00006109"/>
    <w:rsid w:val="00006150"/>
    <w:rsid w:val="000063E8"/>
    <w:rsid w:val="00006725"/>
    <w:rsid w:val="0000675E"/>
    <w:rsid w:val="00006AF1"/>
    <w:rsid w:val="000071E3"/>
    <w:rsid w:val="00007CAA"/>
    <w:rsid w:val="00010FE9"/>
    <w:rsid w:val="0001122F"/>
    <w:rsid w:val="00011A4B"/>
    <w:rsid w:val="00012251"/>
    <w:rsid w:val="000123DE"/>
    <w:rsid w:val="00012B4A"/>
    <w:rsid w:val="00013208"/>
    <w:rsid w:val="0001337C"/>
    <w:rsid w:val="000138C4"/>
    <w:rsid w:val="00013C1F"/>
    <w:rsid w:val="00013F31"/>
    <w:rsid w:val="000140D8"/>
    <w:rsid w:val="00014530"/>
    <w:rsid w:val="00014BBC"/>
    <w:rsid w:val="000150EE"/>
    <w:rsid w:val="00015DF8"/>
    <w:rsid w:val="000168D8"/>
    <w:rsid w:val="000170C8"/>
    <w:rsid w:val="000173F4"/>
    <w:rsid w:val="00017985"/>
    <w:rsid w:val="000200C0"/>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3DDC"/>
    <w:rsid w:val="000341CA"/>
    <w:rsid w:val="00034FA7"/>
    <w:rsid w:val="0003533D"/>
    <w:rsid w:val="000357E4"/>
    <w:rsid w:val="00035ACA"/>
    <w:rsid w:val="00036FA7"/>
    <w:rsid w:val="00037C7E"/>
    <w:rsid w:val="00040447"/>
    <w:rsid w:val="00040494"/>
    <w:rsid w:val="00040611"/>
    <w:rsid w:val="00040B70"/>
    <w:rsid w:val="00042441"/>
    <w:rsid w:val="00042533"/>
    <w:rsid w:val="00042D9E"/>
    <w:rsid w:val="00042DBB"/>
    <w:rsid w:val="00042E65"/>
    <w:rsid w:val="0004347C"/>
    <w:rsid w:val="00043907"/>
    <w:rsid w:val="00044EE8"/>
    <w:rsid w:val="00044F48"/>
    <w:rsid w:val="000450C2"/>
    <w:rsid w:val="00047354"/>
    <w:rsid w:val="00050656"/>
    <w:rsid w:val="00050766"/>
    <w:rsid w:val="00050A19"/>
    <w:rsid w:val="000511B6"/>
    <w:rsid w:val="00051750"/>
    <w:rsid w:val="00051B00"/>
    <w:rsid w:val="00051C72"/>
    <w:rsid w:val="00051E1D"/>
    <w:rsid w:val="00052192"/>
    <w:rsid w:val="0005238F"/>
    <w:rsid w:val="00052787"/>
    <w:rsid w:val="00052BB8"/>
    <w:rsid w:val="0005417A"/>
    <w:rsid w:val="00054D39"/>
    <w:rsid w:val="00054FCC"/>
    <w:rsid w:val="0005501B"/>
    <w:rsid w:val="000550F5"/>
    <w:rsid w:val="00055337"/>
    <w:rsid w:val="000554C7"/>
    <w:rsid w:val="000559B0"/>
    <w:rsid w:val="00056145"/>
    <w:rsid w:val="00056402"/>
    <w:rsid w:val="0005677F"/>
    <w:rsid w:val="00056791"/>
    <w:rsid w:val="00056868"/>
    <w:rsid w:val="00056876"/>
    <w:rsid w:val="000568DF"/>
    <w:rsid w:val="00056D5F"/>
    <w:rsid w:val="000578A3"/>
    <w:rsid w:val="000579DD"/>
    <w:rsid w:val="00057D4C"/>
    <w:rsid w:val="00060C48"/>
    <w:rsid w:val="0006148B"/>
    <w:rsid w:val="00061A3C"/>
    <w:rsid w:val="00061C48"/>
    <w:rsid w:val="00061DCC"/>
    <w:rsid w:val="0006256D"/>
    <w:rsid w:val="00064278"/>
    <w:rsid w:val="000646CA"/>
    <w:rsid w:val="00064D0B"/>
    <w:rsid w:val="000665C4"/>
    <w:rsid w:val="00066965"/>
    <w:rsid w:val="00067821"/>
    <w:rsid w:val="0006785E"/>
    <w:rsid w:val="00067AFB"/>
    <w:rsid w:val="00067F92"/>
    <w:rsid w:val="00067FA7"/>
    <w:rsid w:val="0007038E"/>
    <w:rsid w:val="0007077C"/>
    <w:rsid w:val="00070825"/>
    <w:rsid w:val="00070D38"/>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6F93"/>
    <w:rsid w:val="00077577"/>
    <w:rsid w:val="00077607"/>
    <w:rsid w:val="00077756"/>
    <w:rsid w:val="00077B7F"/>
    <w:rsid w:val="000808C1"/>
    <w:rsid w:val="00080970"/>
    <w:rsid w:val="00081671"/>
    <w:rsid w:val="000816D5"/>
    <w:rsid w:val="0008189F"/>
    <w:rsid w:val="0008237F"/>
    <w:rsid w:val="00082AD4"/>
    <w:rsid w:val="00083E07"/>
    <w:rsid w:val="00084A3E"/>
    <w:rsid w:val="00084D27"/>
    <w:rsid w:val="00084ED6"/>
    <w:rsid w:val="00085391"/>
    <w:rsid w:val="000853C3"/>
    <w:rsid w:val="0008580E"/>
    <w:rsid w:val="00085A0E"/>
    <w:rsid w:val="00085C4F"/>
    <w:rsid w:val="000866B4"/>
    <w:rsid w:val="00086EFD"/>
    <w:rsid w:val="00086F8A"/>
    <w:rsid w:val="00087031"/>
    <w:rsid w:val="00087A16"/>
    <w:rsid w:val="00090243"/>
    <w:rsid w:val="000904F6"/>
    <w:rsid w:val="00090918"/>
    <w:rsid w:val="00090ED8"/>
    <w:rsid w:val="00090F9F"/>
    <w:rsid w:val="00091456"/>
    <w:rsid w:val="0009145F"/>
    <w:rsid w:val="0009184E"/>
    <w:rsid w:val="00091B4E"/>
    <w:rsid w:val="00091FFC"/>
    <w:rsid w:val="00092467"/>
    <w:rsid w:val="00092FE9"/>
    <w:rsid w:val="000936BF"/>
    <w:rsid w:val="0009382F"/>
    <w:rsid w:val="00093A30"/>
    <w:rsid w:val="00094342"/>
    <w:rsid w:val="000945BA"/>
    <w:rsid w:val="00095954"/>
    <w:rsid w:val="00095B3E"/>
    <w:rsid w:val="000960BA"/>
    <w:rsid w:val="0009662A"/>
    <w:rsid w:val="0009690D"/>
    <w:rsid w:val="00096DFF"/>
    <w:rsid w:val="0009776E"/>
    <w:rsid w:val="00097CDB"/>
    <w:rsid w:val="000A0729"/>
    <w:rsid w:val="000A08A2"/>
    <w:rsid w:val="000A0E69"/>
    <w:rsid w:val="000A1A52"/>
    <w:rsid w:val="000A1F98"/>
    <w:rsid w:val="000A3D58"/>
    <w:rsid w:val="000A3FE3"/>
    <w:rsid w:val="000A47B0"/>
    <w:rsid w:val="000A4851"/>
    <w:rsid w:val="000A49BB"/>
    <w:rsid w:val="000A4F22"/>
    <w:rsid w:val="000A5674"/>
    <w:rsid w:val="000A5A46"/>
    <w:rsid w:val="000A7299"/>
    <w:rsid w:val="000A752E"/>
    <w:rsid w:val="000B0B6A"/>
    <w:rsid w:val="000B0E04"/>
    <w:rsid w:val="000B1D51"/>
    <w:rsid w:val="000B268D"/>
    <w:rsid w:val="000B291B"/>
    <w:rsid w:val="000B372E"/>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44"/>
    <w:rsid w:val="000C51AD"/>
    <w:rsid w:val="000C5374"/>
    <w:rsid w:val="000C54B6"/>
    <w:rsid w:val="000C5EC0"/>
    <w:rsid w:val="000C6162"/>
    <w:rsid w:val="000C64CC"/>
    <w:rsid w:val="000C6688"/>
    <w:rsid w:val="000C692E"/>
    <w:rsid w:val="000C6B28"/>
    <w:rsid w:val="000C7BEB"/>
    <w:rsid w:val="000D0124"/>
    <w:rsid w:val="000D0EFB"/>
    <w:rsid w:val="000D11E5"/>
    <w:rsid w:val="000D19E8"/>
    <w:rsid w:val="000D1FA1"/>
    <w:rsid w:val="000D2834"/>
    <w:rsid w:val="000D2CAC"/>
    <w:rsid w:val="000D34C8"/>
    <w:rsid w:val="000D34FD"/>
    <w:rsid w:val="000D3BE5"/>
    <w:rsid w:val="000D3C37"/>
    <w:rsid w:val="000D453A"/>
    <w:rsid w:val="000D4AFA"/>
    <w:rsid w:val="000D5264"/>
    <w:rsid w:val="000D5EA6"/>
    <w:rsid w:val="000D5F00"/>
    <w:rsid w:val="000D6C9F"/>
    <w:rsid w:val="000D6E3B"/>
    <w:rsid w:val="000D6F30"/>
    <w:rsid w:val="000D74E4"/>
    <w:rsid w:val="000D7C9D"/>
    <w:rsid w:val="000D7CE0"/>
    <w:rsid w:val="000E19B1"/>
    <w:rsid w:val="000E2785"/>
    <w:rsid w:val="000E27BB"/>
    <w:rsid w:val="000E3153"/>
    <w:rsid w:val="000E329B"/>
    <w:rsid w:val="000E3484"/>
    <w:rsid w:val="000E386F"/>
    <w:rsid w:val="000E3A51"/>
    <w:rsid w:val="000E4051"/>
    <w:rsid w:val="000E4139"/>
    <w:rsid w:val="000E4765"/>
    <w:rsid w:val="000E5B51"/>
    <w:rsid w:val="000E5B7E"/>
    <w:rsid w:val="000E5F26"/>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B7B"/>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598"/>
    <w:rsid w:val="001045FF"/>
    <w:rsid w:val="00104699"/>
    <w:rsid w:val="00104E5B"/>
    <w:rsid w:val="00104EEC"/>
    <w:rsid w:val="001050DC"/>
    <w:rsid w:val="001053D4"/>
    <w:rsid w:val="00105482"/>
    <w:rsid w:val="001056A5"/>
    <w:rsid w:val="00105BA9"/>
    <w:rsid w:val="00105FE1"/>
    <w:rsid w:val="00106AAA"/>
    <w:rsid w:val="00106E0E"/>
    <w:rsid w:val="001078A5"/>
    <w:rsid w:val="00107BBD"/>
    <w:rsid w:val="00107BC7"/>
    <w:rsid w:val="00107F40"/>
    <w:rsid w:val="00110033"/>
    <w:rsid w:val="001102B5"/>
    <w:rsid w:val="00110B08"/>
    <w:rsid w:val="00110F57"/>
    <w:rsid w:val="00111993"/>
    <w:rsid w:val="00111C7D"/>
    <w:rsid w:val="00112038"/>
    <w:rsid w:val="0011235D"/>
    <w:rsid w:val="001127FF"/>
    <w:rsid w:val="00112B0B"/>
    <w:rsid w:val="00112EB5"/>
    <w:rsid w:val="0011383E"/>
    <w:rsid w:val="00113EE3"/>
    <w:rsid w:val="00114847"/>
    <w:rsid w:val="0011585B"/>
    <w:rsid w:val="00115B1A"/>
    <w:rsid w:val="001160FF"/>
    <w:rsid w:val="001164F4"/>
    <w:rsid w:val="001168F8"/>
    <w:rsid w:val="001176FF"/>
    <w:rsid w:val="00121471"/>
    <w:rsid w:val="0012153F"/>
    <w:rsid w:val="0012159D"/>
    <w:rsid w:val="00121804"/>
    <w:rsid w:val="00121D07"/>
    <w:rsid w:val="00121EC9"/>
    <w:rsid w:val="00121F0F"/>
    <w:rsid w:val="001224FE"/>
    <w:rsid w:val="001231D3"/>
    <w:rsid w:val="001232A7"/>
    <w:rsid w:val="00123F7C"/>
    <w:rsid w:val="0012419E"/>
    <w:rsid w:val="001248EF"/>
    <w:rsid w:val="00124A29"/>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110"/>
    <w:rsid w:val="00136762"/>
    <w:rsid w:val="00136829"/>
    <w:rsid w:val="00136E33"/>
    <w:rsid w:val="0013773D"/>
    <w:rsid w:val="0014042F"/>
    <w:rsid w:val="00140693"/>
    <w:rsid w:val="00140D7A"/>
    <w:rsid w:val="00141D28"/>
    <w:rsid w:val="00141DFE"/>
    <w:rsid w:val="00142185"/>
    <w:rsid w:val="001422E2"/>
    <w:rsid w:val="001433BC"/>
    <w:rsid w:val="00143872"/>
    <w:rsid w:val="00143A85"/>
    <w:rsid w:val="00144649"/>
    <w:rsid w:val="001449D5"/>
    <w:rsid w:val="00145022"/>
    <w:rsid w:val="00145662"/>
    <w:rsid w:val="00145C6D"/>
    <w:rsid w:val="001460FC"/>
    <w:rsid w:val="00146151"/>
    <w:rsid w:val="00146326"/>
    <w:rsid w:val="00147032"/>
    <w:rsid w:val="00147EA7"/>
    <w:rsid w:val="00151820"/>
    <w:rsid w:val="00151B2F"/>
    <w:rsid w:val="001524DC"/>
    <w:rsid w:val="001525E5"/>
    <w:rsid w:val="001536A6"/>
    <w:rsid w:val="00153859"/>
    <w:rsid w:val="00153915"/>
    <w:rsid w:val="001539F0"/>
    <w:rsid w:val="00154A2F"/>
    <w:rsid w:val="00154BBA"/>
    <w:rsid w:val="00155550"/>
    <w:rsid w:val="0015586D"/>
    <w:rsid w:val="00155B95"/>
    <w:rsid w:val="00156853"/>
    <w:rsid w:val="00157432"/>
    <w:rsid w:val="001604BC"/>
    <w:rsid w:val="00160A84"/>
    <w:rsid w:val="00161185"/>
    <w:rsid w:val="001620BA"/>
    <w:rsid w:val="001623AC"/>
    <w:rsid w:val="00162BAA"/>
    <w:rsid w:val="00163C40"/>
    <w:rsid w:val="0016470A"/>
    <w:rsid w:val="0016488B"/>
    <w:rsid w:val="00164994"/>
    <w:rsid w:val="0016519D"/>
    <w:rsid w:val="00165758"/>
    <w:rsid w:val="00165A65"/>
    <w:rsid w:val="00166317"/>
    <w:rsid w:val="00167478"/>
    <w:rsid w:val="00167594"/>
    <w:rsid w:val="001702BE"/>
    <w:rsid w:val="001704B3"/>
    <w:rsid w:val="0017059C"/>
    <w:rsid w:val="0017105C"/>
    <w:rsid w:val="00171357"/>
    <w:rsid w:val="00171622"/>
    <w:rsid w:val="00171785"/>
    <w:rsid w:val="00171A15"/>
    <w:rsid w:val="00171AB5"/>
    <w:rsid w:val="0017204F"/>
    <w:rsid w:val="001721CF"/>
    <w:rsid w:val="001723D6"/>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A6"/>
    <w:rsid w:val="001827B7"/>
    <w:rsid w:val="001827EF"/>
    <w:rsid w:val="00182859"/>
    <w:rsid w:val="00182982"/>
    <w:rsid w:val="001829BC"/>
    <w:rsid w:val="00182D68"/>
    <w:rsid w:val="00183031"/>
    <w:rsid w:val="00183468"/>
    <w:rsid w:val="0018397E"/>
    <w:rsid w:val="00184466"/>
    <w:rsid w:val="00184524"/>
    <w:rsid w:val="00184DBF"/>
    <w:rsid w:val="00184F41"/>
    <w:rsid w:val="001852A8"/>
    <w:rsid w:val="0018620A"/>
    <w:rsid w:val="00186EB0"/>
    <w:rsid w:val="00187121"/>
    <w:rsid w:val="00187243"/>
    <w:rsid w:val="001876CC"/>
    <w:rsid w:val="00187C29"/>
    <w:rsid w:val="00190782"/>
    <w:rsid w:val="00190942"/>
    <w:rsid w:val="001909A7"/>
    <w:rsid w:val="001909C3"/>
    <w:rsid w:val="00191459"/>
    <w:rsid w:val="00191603"/>
    <w:rsid w:val="0019173E"/>
    <w:rsid w:val="0019174E"/>
    <w:rsid w:val="0019196B"/>
    <w:rsid w:val="0019220A"/>
    <w:rsid w:val="001923D5"/>
    <w:rsid w:val="00192991"/>
    <w:rsid w:val="00193470"/>
    <w:rsid w:val="00193943"/>
    <w:rsid w:val="00193B94"/>
    <w:rsid w:val="001940A7"/>
    <w:rsid w:val="0019497A"/>
    <w:rsid w:val="00194B77"/>
    <w:rsid w:val="00194BB1"/>
    <w:rsid w:val="00194BC6"/>
    <w:rsid w:val="00194DE5"/>
    <w:rsid w:val="00195070"/>
    <w:rsid w:val="00195245"/>
    <w:rsid w:val="0019526D"/>
    <w:rsid w:val="001952E0"/>
    <w:rsid w:val="0019553F"/>
    <w:rsid w:val="001956BE"/>
    <w:rsid w:val="0019602C"/>
    <w:rsid w:val="00196250"/>
    <w:rsid w:val="001969F2"/>
    <w:rsid w:val="00196CD6"/>
    <w:rsid w:val="0019756A"/>
    <w:rsid w:val="001A06B5"/>
    <w:rsid w:val="001A07F8"/>
    <w:rsid w:val="001A0A23"/>
    <w:rsid w:val="001A0C98"/>
    <w:rsid w:val="001A0F51"/>
    <w:rsid w:val="001A10B7"/>
    <w:rsid w:val="001A128B"/>
    <w:rsid w:val="001A131C"/>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ACC"/>
    <w:rsid w:val="001B1C1F"/>
    <w:rsid w:val="001B219B"/>
    <w:rsid w:val="001B2703"/>
    <w:rsid w:val="001B2A88"/>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C87"/>
    <w:rsid w:val="001B7DC1"/>
    <w:rsid w:val="001B7E5E"/>
    <w:rsid w:val="001C08DB"/>
    <w:rsid w:val="001C10BD"/>
    <w:rsid w:val="001C1F01"/>
    <w:rsid w:val="001C2092"/>
    <w:rsid w:val="001C232F"/>
    <w:rsid w:val="001C2544"/>
    <w:rsid w:val="001C2A17"/>
    <w:rsid w:val="001C2A3E"/>
    <w:rsid w:val="001C31F5"/>
    <w:rsid w:val="001C35BF"/>
    <w:rsid w:val="001C512F"/>
    <w:rsid w:val="001C6047"/>
    <w:rsid w:val="001C6698"/>
    <w:rsid w:val="001C6C5B"/>
    <w:rsid w:val="001C7086"/>
    <w:rsid w:val="001C7399"/>
    <w:rsid w:val="001C78B0"/>
    <w:rsid w:val="001C7CE0"/>
    <w:rsid w:val="001D005B"/>
    <w:rsid w:val="001D0947"/>
    <w:rsid w:val="001D16F5"/>
    <w:rsid w:val="001D1970"/>
    <w:rsid w:val="001D1D55"/>
    <w:rsid w:val="001D21EF"/>
    <w:rsid w:val="001D29A4"/>
    <w:rsid w:val="001D2B73"/>
    <w:rsid w:val="001D3136"/>
    <w:rsid w:val="001D330D"/>
    <w:rsid w:val="001D3458"/>
    <w:rsid w:val="001D4AB6"/>
    <w:rsid w:val="001D4AD3"/>
    <w:rsid w:val="001D4B1D"/>
    <w:rsid w:val="001D5281"/>
    <w:rsid w:val="001D60DB"/>
    <w:rsid w:val="001D6BDF"/>
    <w:rsid w:val="001E0AF4"/>
    <w:rsid w:val="001E0F77"/>
    <w:rsid w:val="001E17E3"/>
    <w:rsid w:val="001E2052"/>
    <w:rsid w:val="001E2492"/>
    <w:rsid w:val="001E257C"/>
    <w:rsid w:val="001E286C"/>
    <w:rsid w:val="001E2F34"/>
    <w:rsid w:val="001E2F89"/>
    <w:rsid w:val="001E35EE"/>
    <w:rsid w:val="001E4B2C"/>
    <w:rsid w:val="001E507F"/>
    <w:rsid w:val="001E56C2"/>
    <w:rsid w:val="001E59FB"/>
    <w:rsid w:val="001E7E6A"/>
    <w:rsid w:val="001E7F81"/>
    <w:rsid w:val="001F0FD1"/>
    <w:rsid w:val="001F1526"/>
    <w:rsid w:val="001F19D1"/>
    <w:rsid w:val="001F1CB9"/>
    <w:rsid w:val="001F1F18"/>
    <w:rsid w:val="001F2F92"/>
    <w:rsid w:val="001F4390"/>
    <w:rsid w:val="001F456F"/>
    <w:rsid w:val="001F5DA1"/>
    <w:rsid w:val="001F612E"/>
    <w:rsid w:val="001F6A92"/>
    <w:rsid w:val="001F77E8"/>
    <w:rsid w:val="00201A0C"/>
    <w:rsid w:val="00201B0F"/>
    <w:rsid w:val="00201FF0"/>
    <w:rsid w:val="0020255A"/>
    <w:rsid w:val="00202800"/>
    <w:rsid w:val="002029C7"/>
    <w:rsid w:val="00202D33"/>
    <w:rsid w:val="00202E58"/>
    <w:rsid w:val="00202F99"/>
    <w:rsid w:val="002035B7"/>
    <w:rsid w:val="00203C85"/>
    <w:rsid w:val="0020449A"/>
    <w:rsid w:val="00204B05"/>
    <w:rsid w:val="00204E9B"/>
    <w:rsid w:val="00205298"/>
    <w:rsid w:val="002055C0"/>
    <w:rsid w:val="0020569E"/>
    <w:rsid w:val="00206698"/>
    <w:rsid w:val="00206736"/>
    <w:rsid w:val="00206C88"/>
    <w:rsid w:val="00210B9C"/>
    <w:rsid w:val="00211185"/>
    <w:rsid w:val="00211513"/>
    <w:rsid w:val="00211A94"/>
    <w:rsid w:val="002126F2"/>
    <w:rsid w:val="00213478"/>
    <w:rsid w:val="00214028"/>
    <w:rsid w:val="002141C3"/>
    <w:rsid w:val="002141DC"/>
    <w:rsid w:val="0021440C"/>
    <w:rsid w:val="00214479"/>
    <w:rsid w:val="00214493"/>
    <w:rsid w:val="002144F3"/>
    <w:rsid w:val="002146C3"/>
    <w:rsid w:val="00215334"/>
    <w:rsid w:val="00215514"/>
    <w:rsid w:val="0021578B"/>
    <w:rsid w:val="00215A2A"/>
    <w:rsid w:val="00215A3F"/>
    <w:rsid w:val="00215BE8"/>
    <w:rsid w:val="00215D21"/>
    <w:rsid w:val="0021636B"/>
    <w:rsid w:val="00216387"/>
    <w:rsid w:val="00216E7B"/>
    <w:rsid w:val="00217E1F"/>
    <w:rsid w:val="002204BC"/>
    <w:rsid w:val="00220F7B"/>
    <w:rsid w:val="002213CE"/>
    <w:rsid w:val="00221AF7"/>
    <w:rsid w:val="00222494"/>
    <w:rsid w:val="00222775"/>
    <w:rsid w:val="00222A31"/>
    <w:rsid w:val="00222CF6"/>
    <w:rsid w:val="00223E7A"/>
    <w:rsid w:val="00224037"/>
    <w:rsid w:val="002244E4"/>
    <w:rsid w:val="00224D2A"/>
    <w:rsid w:val="00224D8D"/>
    <w:rsid w:val="0022555A"/>
    <w:rsid w:val="00226A6F"/>
    <w:rsid w:val="00227214"/>
    <w:rsid w:val="00227DDC"/>
    <w:rsid w:val="0023079F"/>
    <w:rsid w:val="00230824"/>
    <w:rsid w:val="00231135"/>
    <w:rsid w:val="00231B0B"/>
    <w:rsid w:val="00232555"/>
    <w:rsid w:val="00232F3B"/>
    <w:rsid w:val="002331AA"/>
    <w:rsid w:val="0023324F"/>
    <w:rsid w:val="00233538"/>
    <w:rsid w:val="00233912"/>
    <w:rsid w:val="00234248"/>
    <w:rsid w:val="0023449F"/>
    <w:rsid w:val="002344F5"/>
    <w:rsid w:val="0023454D"/>
    <w:rsid w:val="00234679"/>
    <w:rsid w:val="00235535"/>
    <w:rsid w:val="002359FC"/>
    <w:rsid w:val="002361C8"/>
    <w:rsid w:val="00236690"/>
    <w:rsid w:val="0023669D"/>
    <w:rsid w:val="00237EAE"/>
    <w:rsid w:val="00237FA2"/>
    <w:rsid w:val="002403D5"/>
    <w:rsid w:val="00240C1F"/>
    <w:rsid w:val="00240F55"/>
    <w:rsid w:val="00240F67"/>
    <w:rsid w:val="00241144"/>
    <w:rsid w:val="002423E4"/>
    <w:rsid w:val="00242510"/>
    <w:rsid w:val="00242ABB"/>
    <w:rsid w:val="00242F79"/>
    <w:rsid w:val="0024415B"/>
    <w:rsid w:val="0024436D"/>
    <w:rsid w:val="00245135"/>
    <w:rsid w:val="00245565"/>
    <w:rsid w:val="002458C1"/>
    <w:rsid w:val="00245E62"/>
    <w:rsid w:val="002460D0"/>
    <w:rsid w:val="00246357"/>
    <w:rsid w:val="00246E10"/>
    <w:rsid w:val="00247422"/>
    <w:rsid w:val="00247BA2"/>
    <w:rsid w:val="00250870"/>
    <w:rsid w:val="00250F48"/>
    <w:rsid w:val="00251333"/>
    <w:rsid w:val="0025151C"/>
    <w:rsid w:val="0025184F"/>
    <w:rsid w:val="00251967"/>
    <w:rsid w:val="002527CC"/>
    <w:rsid w:val="00252F48"/>
    <w:rsid w:val="002530C0"/>
    <w:rsid w:val="00253586"/>
    <w:rsid w:val="002537FC"/>
    <w:rsid w:val="002542CE"/>
    <w:rsid w:val="002542F8"/>
    <w:rsid w:val="002543EF"/>
    <w:rsid w:val="00254F2A"/>
    <w:rsid w:val="00255784"/>
    <w:rsid w:val="00255A29"/>
    <w:rsid w:val="0025631F"/>
    <w:rsid w:val="0025670C"/>
    <w:rsid w:val="00256986"/>
    <w:rsid w:val="00256D61"/>
    <w:rsid w:val="00256E23"/>
    <w:rsid w:val="00257246"/>
    <w:rsid w:val="00257438"/>
    <w:rsid w:val="0026119C"/>
    <w:rsid w:val="00261AFE"/>
    <w:rsid w:val="00261E58"/>
    <w:rsid w:val="00261F65"/>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35E"/>
    <w:rsid w:val="00266519"/>
    <w:rsid w:val="00266C21"/>
    <w:rsid w:val="00266DE1"/>
    <w:rsid w:val="00267A92"/>
    <w:rsid w:val="00267E43"/>
    <w:rsid w:val="00270282"/>
    <w:rsid w:val="00270780"/>
    <w:rsid w:val="00270CF6"/>
    <w:rsid w:val="00271097"/>
    <w:rsid w:val="00271C53"/>
    <w:rsid w:val="0027244F"/>
    <w:rsid w:val="00273052"/>
    <w:rsid w:val="002739CE"/>
    <w:rsid w:val="00273B1F"/>
    <w:rsid w:val="00273C5F"/>
    <w:rsid w:val="002741D4"/>
    <w:rsid w:val="002743AC"/>
    <w:rsid w:val="0027499D"/>
    <w:rsid w:val="00274A56"/>
    <w:rsid w:val="002751CA"/>
    <w:rsid w:val="0027544D"/>
    <w:rsid w:val="00275D6E"/>
    <w:rsid w:val="00277196"/>
    <w:rsid w:val="002775ED"/>
    <w:rsid w:val="002778AB"/>
    <w:rsid w:val="00277929"/>
    <w:rsid w:val="002802A5"/>
    <w:rsid w:val="00280CFB"/>
    <w:rsid w:val="00280D24"/>
    <w:rsid w:val="002815C4"/>
    <w:rsid w:val="00281BCB"/>
    <w:rsid w:val="00281C76"/>
    <w:rsid w:val="0028316D"/>
    <w:rsid w:val="00283296"/>
    <w:rsid w:val="0028577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3635"/>
    <w:rsid w:val="00294012"/>
    <w:rsid w:val="002945B0"/>
    <w:rsid w:val="0029499D"/>
    <w:rsid w:val="00294A13"/>
    <w:rsid w:val="00294B10"/>
    <w:rsid w:val="00294DF9"/>
    <w:rsid w:val="00295073"/>
    <w:rsid w:val="00295468"/>
    <w:rsid w:val="00296C32"/>
    <w:rsid w:val="002977CE"/>
    <w:rsid w:val="00297AF5"/>
    <w:rsid w:val="00297B5A"/>
    <w:rsid w:val="002A02D6"/>
    <w:rsid w:val="002A07C4"/>
    <w:rsid w:val="002A0921"/>
    <w:rsid w:val="002A0CB3"/>
    <w:rsid w:val="002A174A"/>
    <w:rsid w:val="002A1887"/>
    <w:rsid w:val="002A2001"/>
    <w:rsid w:val="002A4060"/>
    <w:rsid w:val="002A41AB"/>
    <w:rsid w:val="002A4868"/>
    <w:rsid w:val="002A4989"/>
    <w:rsid w:val="002A4A05"/>
    <w:rsid w:val="002A4EB3"/>
    <w:rsid w:val="002A51D9"/>
    <w:rsid w:val="002A525A"/>
    <w:rsid w:val="002A5968"/>
    <w:rsid w:val="002A5CAB"/>
    <w:rsid w:val="002A5D40"/>
    <w:rsid w:val="002A622E"/>
    <w:rsid w:val="002A6424"/>
    <w:rsid w:val="002A64E7"/>
    <w:rsid w:val="002A6B00"/>
    <w:rsid w:val="002A70AD"/>
    <w:rsid w:val="002A7748"/>
    <w:rsid w:val="002A7ED3"/>
    <w:rsid w:val="002A7FB1"/>
    <w:rsid w:val="002A7FC9"/>
    <w:rsid w:val="002B0779"/>
    <w:rsid w:val="002B139C"/>
    <w:rsid w:val="002B1881"/>
    <w:rsid w:val="002B1F61"/>
    <w:rsid w:val="002B2070"/>
    <w:rsid w:val="002B28ED"/>
    <w:rsid w:val="002B2906"/>
    <w:rsid w:val="002B2C66"/>
    <w:rsid w:val="002B34E3"/>
    <w:rsid w:val="002B3B08"/>
    <w:rsid w:val="002B51B6"/>
    <w:rsid w:val="002B52DA"/>
    <w:rsid w:val="002B5AEE"/>
    <w:rsid w:val="002B6177"/>
    <w:rsid w:val="002B642C"/>
    <w:rsid w:val="002B650C"/>
    <w:rsid w:val="002B68AB"/>
    <w:rsid w:val="002B68E6"/>
    <w:rsid w:val="002B6985"/>
    <w:rsid w:val="002B6C26"/>
    <w:rsid w:val="002B6D7A"/>
    <w:rsid w:val="002B7CA7"/>
    <w:rsid w:val="002C02BA"/>
    <w:rsid w:val="002C0301"/>
    <w:rsid w:val="002C0326"/>
    <w:rsid w:val="002C0A9F"/>
    <w:rsid w:val="002C1AB3"/>
    <w:rsid w:val="002C1BB7"/>
    <w:rsid w:val="002C1FB3"/>
    <w:rsid w:val="002C25E8"/>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929"/>
    <w:rsid w:val="002D2CD6"/>
    <w:rsid w:val="002D2F81"/>
    <w:rsid w:val="002D38A3"/>
    <w:rsid w:val="002D3BA3"/>
    <w:rsid w:val="002D3EDF"/>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002"/>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760"/>
    <w:rsid w:val="002E6853"/>
    <w:rsid w:val="002E7EC1"/>
    <w:rsid w:val="002E7EE5"/>
    <w:rsid w:val="002F0323"/>
    <w:rsid w:val="002F0B0F"/>
    <w:rsid w:val="002F0DFB"/>
    <w:rsid w:val="002F134F"/>
    <w:rsid w:val="002F1D0B"/>
    <w:rsid w:val="002F1E1D"/>
    <w:rsid w:val="002F1F02"/>
    <w:rsid w:val="002F2380"/>
    <w:rsid w:val="002F27E5"/>
    <w:rsid w:val="002F2D81"/>
    <w:rsid w:val="002F2F66"/>
    <w:rsid w:val="002F39D4"/>
    <w:rsid w:val="002F4071"/>
    <w:rsid w:val="002F4BA9"/>
    <w:rsid w:val="002F4D28"/>
    <w:rsid w:val="002F51C2"/>
    <w:rsid w:val="002F541B"/>
    <w:rsid w:val="002F5BFE"/>
    <w:rsid w:val="002F5DA5"/>
    <w:rsid w:val="002F5E17"/>
    <w:rsid w:val="002F647C"/>
    <w:rsid w:val="002F6C6B"/>
    <w:rsid w:val="002F6CB0"/>
    <w:rsid w:val="002F6EFF"/>
    <w:rsid w:val="002F72B4"/>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35F"/>
    <w:rsid w:val="0031752D"/>
    <w:rsid w:val="00317709"/>
    <w:rsid w:val="00320688"/>
    <w:rsid w:val="00320B75"/>
    <w:rsid w:val="00321805"/>
    <w:rsid w:val="00321DB7"/>
    <w:rsid w:val="00321E7A"/>
    <w:rsid w:val="0032226D"/>
    <w:rsid w:val="003235E6"/>
    <w:rsid w:val="00324038"/>
    <w:rsid w:val="00324951"/>
    <w:rsid w:val="003249D8"/>
    <w:rsid w:val="003249F6"/>
    <w:rsid w:val="00324B2F"/>
    <w:rsid w:val="00325071"/>
    <w:rsid w:val="0032529F"/>
    <w:rsid w:val="003252F7"/>
    <w:rsid w:val="00325DA4"/>
    <w:rsid w:val="00325FCC"/>
    <w:rsid w:val="00326106"/>
    <w:rsid w:val="00326805"/>
    <w:rsid w:val="003269B7"/>
    <w:rsid w:val="00326C0E"/>
    <w:rsid w:val="003272A3"/>
    <w:rsid w:val="003272E4"/>
    <w:rsid w:val="00327B71"/>
    <w:rsid w:val="00331461"/>
    <w:rsid w:val="00331618"/>
    <w:rsid w:val="003316A8"/>
    <w:rsid w:val="00331C80"/>
    <w:rsid w:val="00331CC9"/>
    <w:rsid w:val="003320D7"/>
    <w:rsid w:val="00332265"/>
    <w:rsid w:val="00332862"/>
    <w:rsid w:val="00332D52"/>
    <w:rsid w:val="00333337"/>
    <w:rsid w:val="00333A28"/>
    <w:rsid w:val="00333B6C"/>
    <w:rsid w:val="00334927"/>
    <w:rsid w:val="00335572"/>
    <w:rsid w:val="003360AD"/>
    <w:rsid w:val="0033631D"/>
    <w:rsid w:val="003369C7"/>
    <w:rsid w:val="003373A6"/>
    <w:rsid w:val="00337409"/>
    <w:rsid w:val="00337E18"/>
    <w:rsid w:val="003405AF"/>
    <w:rsid w:val="0034088F"/>
    <w:rsid w:val="00340B3E"/>
    <w:rsid w:val="003413D2"/>
    <w:rsid w:val="00341525"/>
    <w:rsid w:val="003422B6"/>
    <w:rsid w:val="003422F9"/>
    <w:rsid w:val="0034257E"/>
    <w:rsid w:val="003429A1"/>
    <w:rsid w:val="003429FC"/>
    <w:rsid w:val="00342C4F"/>
    <w:rsid w:val="00343079"/>
    <w:rsid w:val="00343127"/>
    <w:rsid w:val="00343320"/>
    <w:rsid w:val="00344066"/>
    <w:rsid w:val="0034446E"/>
    <w:rsid w:val="00344BBF"/>
    <w:rsid w:val="0034509B"/>
    <w:rsid w:val="00345644"/>
    <w:rsid w:val="00345D0E"/>
    <w:rsid w:val="00345D7A"/>
    <w:rsid w:val="0034607E"/>
    <w:rsid w:val="003468EE"/>
    <w:rsid w:val="00346A96"/>
    <w:rsid w:val="00346B6D"/>
    <w:rsid w:val="00346BA3"/>
    <w:rsid w:val="00346C69"/>
    <w:rsid w:val="00347356"/>
    <w:rsid w:val="0035005C"/>
    <w:rsid w:val="00350896"/>
    <w:rsid w:val="00350C31"/>
    <w:rsid w:val="00350C9F"/>
    <w:rsid w:val="00351391"/>
    <w:rsid w:val="003519CD"/>
    <w:rsid w:val="00351A3A"/>
    <w:rsid w:val="0035231B"/>
    <w:rsid w:val="00352A48"/>
    <w:rsid w:val="0035455F"/>
    <w:rsid w:val="00354A88"/>
    <w:rsid w:val="00355D75"/>
    <w:rsid w:val="00355D8F"/>
    <w:rsid w:val="00356A73"/>
    <w:rsid w:val="00356FF0"/>
    <w:rsid w:val="003577EF"/>
    <w:rsid w:val="00357A60"/>
    <w:rsid w:val="00360304"/>
    <w:rsid w:val="00360A78"/>
    <w:rsid w:val="00361750"/>
    <w:rsid w:val="003637F5"/>
    <w:rsid w:val="00363894"/>
    <w:rsid w:val="00363B2A"/>
    <w:rsid w:val="00363BF1"/>
    <w:rsid w:val="00365EFC"/>
    <w:rsid w:val="003666F4"/>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2EE"/>
    <w:rsid w:val="00377886"/>
    <w:rsid w:val="00377B26"/>
    <w:rsid w:val="00377FBD"/>
    <w:rsid w:val="00381014"/>
    <w:rsid w:val="00381604"/>
    <w:rsid w:val="00381C68"/>
    <w:rsid w:val="00381F60"/>
    <w:rsid w:val="00382963"/>
    <w:rsid w:val="00382FBE"/>
    <w:rsid w:val="00383204"/>
    <w:rsid w:val="00383AB0"/>
    <w:rsid w:val="003847BB"/>
    <w:rsid w:val="00384814"/>
    <w:rsid w:val="00384C0A"/>
    <w:rsid w:val="00385131"/>
    <w:rsid w:val="00385B16"/>
    <w:rsid w:val="00385B96"/>
    <w:rsid w:val="0038637D"/>
    <w:rsid w:val="003868F6"/>
    <w:rsid w:val="003869DC"/>
    <w:rsid w:val="00386C07"/>
    <w:rsid w:val="00386F58"/>
    <w:rsid w:val="0038700D"/>
    <w:rsid w:val="0038789F"/>
    <w:rsid w:val="003879CE"/>
    <w:rsid w:val="00387B88"/>
    <w:rsid w:val="00390980"/>
    <w:rsid w:val="00390B8F"/>
    <w:rsid w:val="00390C0D"/>
    <w:rsid w:val="00391447"/>
    <w:rsid w:val="003919D9"/>
    <w:rsid w:val="00391BDD"/>
    <w:rsid w:val="003922DE"/>
    <w:rsid w:val="00392AA4"/>
    <w:rsid w:val="00392E35"/>
    <w:rsid w:val="00393247"/>
    <w:rsid w:val="00393551"/>
    <w:rsid w:val="00393816"/>
    <w:rsid w:val="00393FCD"/>
    <w:rsid w:val="00394445"/>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77"/>
    <w:rsid w:val="003A20D5"/>
    <w:rsid w:val="003A24CC"/>
    <w:rsid w:val="003A2512"/>
    <w:rsid w:val="003A2A53"/>
    <w:rsid w:val="003A2EE8"/>
    <w:rsid w:val="003A373C"/>
    <w:rsid w:val="003A3AE7"/>
    <w:rsid w:val="003A4F3A"/>
    <w:rsid w:val="003A5378"/>
    <w:rsid w:val="003A553C"/>
    <w:rsid w:val="003A56DF"/>
    <w:rsid w:val="003A6008"/>
    <w:rsid w:val="003A703F"/>
    <w:rsid w:val="003A7D7F"/>
    <w:rsid w:val="003A7E2B"/>
    <w:rsid w:val="003A7E40"/>
    <w:rsid w:val="003B0336"/>
    <w:rsid w:val="003B0A3A"/>
    <w:rsid w:val="003B0D79"/>
    <w:rsid w:val="003B1FBE"/>
    <w:rsid w:val="003B2110"/>
    <w:rsid w:val="003B221A"/>
    <w:rsid w:val="003B2930"/>
    <w:rsid w:val="003B31A7"/>
    <w:rsid w:val="003B4587"/>
    <w:rsid w:val="003B4B51"/>
    <w:rsid w:val="003B4FE1"/>
    <w:rsid w:val="003B514E"/>
    <w:rsid w:val="003B5531"/>
    <w:rsid w:val="003B636A"/>
    <w:rsid w:val="003B69CE"/>
    <w:rsid w:val="003B7403"/>
    <w:rsid w:val="003B74A6"/>
    <w:rsid w:val="003B7751"/>
    <w:rsid w:val="003C011C"/>
    <w:rsid w:val="003C0E32"/>
    <w:rsid w:val="003C11D7"/>
    <w:rsid w:val="003C16CB"/>
    <w:rsid w:val="003C1B97"/>
    <w:rsid w:val="003C247B"/>
    <w:rsid w:val="003C2A92"/>
    <w:rsid w:val="003C3292"/>
    <w:rsid w:val="003C38F0"/>
    <w:rsid w:val="003C3C1E"/>
    <w:rsid w:val="003C3D88"/>
    <w:rsid w:val="003C4134"/>
    <w:rsid w:val="003C435B"/>
    <w:rsid w:val="003C4EBE"/>
    <w:rsid w:val="003C62EC"/>
    <w:rsid w:val="003C685A"/>
    <w:rsid w:val="003C6E9C"/>
    <w:rsid w:val="003C746F"/>
    <w:rsid w:val="003C7570"/>
    <w:rsid w:val="003C76E6"/>
    <w:rsid w:val="003C7A87"/>
    <w:rsid w:val="003C7E59"/>
    <w:rsid w:val="003C7F12"/>
    <w:rsid w:val="003C7F46"/>
    <w:rsid w:val="003D03D6"/>
    <w:rsid w:val="003D075D"/>
    <w:rsid w:val="003D0EE2"/>
    <w:rsid w:val="003D1283"/>
    <w:rsid w:val="003D14C8"/>
    <w:rsid w:val="003D1517"/>
    <w:rsid w:val="003D16C5"/>
    <w:rsid w:val="003D1CA9"/>
    <w:rsid w:val="003D2DA0"/>
    <w:rsid w:val="003D2F44"/>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883"/>
    <w:rsid w:val="003D7F5F"/>
    <w:rsid w:val="003E006E"/>
    <w:rsid w:val="003E0947"/>
    <w:rsid w:val="003E0E96"/>
    <w:rsid w:val="003E1564"/>
    <w:rsid w:val="003E20F7"/>
    <w:rsid w:val="003E336A"/>
    <w:rsid w:val="003E3E2F"/>
    <w:rsid w:val="003E3EEF"/>
    <w:rsid w:val="003E4048"/>
    <w:rsid w:val="003E4BE3"/>
    <w:rsid w:val="003E4CE5"/>
    <w:rsid w:val="003E51FF"/>
    <w:rsid w:val="003E603E"/>
    <w:rsid w:val="003E604C"/>
    <w:rsid w:val="003E607A"/>
    <w:rsid w:val="003E60DA"/>
    <w:rsid w:val="003E6E00"/>
    <w:rsid w:val="003E7111"/>
    <w:rsid w:val="003E7940"/>
    <w:rsid w:val="003F01BD"/>
    <w:rsid w:val="003F0486"/>
    <w:rsid w:val="003F048E"/>
    <w:rsid w:val="003F09FA"/>
    <w:rsid w:val="003F0AFF"/>
    <w:rsid w:val="003F1AA2"/>
    <w:rsid w:val="003F1F2A"/>
    <w:rsid w:val="003F26DC"/>
    <w:rsid w:val="003F2EEB"/>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0F6"/>
    <w:rsid w:val="00402BBA"/>
    <w:rsid w:val="004035D0"/>
    <w:rsid w:val="0040361D"/>
    <w:rsid w:val="00403795"/>
    <w:rsid w:val="004041FB"/>
    <w:rsid w:val="0040443E"/>
    <w:rsid w:val="00404ABD"/>
    <w:rsid w:val="00405467"/>
    <w:rsid w:val="004054BE"/>
    <w:rsid w:val="004056B6"/>
    <w:rsid w:val="00405764"/>
    <w:rsid w:val="00405D5C"/>
    <w:rsid w:val="00405E73"/>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2FF5"/>
    <w:rsid w:val="004138D1"/>
    <w:rsid w:val="00414909"/>
    <w:rsid w:val="00415034"/>
    <w:rsid w:val="004154F7"/>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3FB0"/>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424D"/>
    <w:rsid w:val="0043554E"/>
    <w:rsid w:val="004355D4"/>
    <w:rsid w:val="004357B1"/>
    <w:rsid w:val="00435821"/>
    <w:rsid w:val="0043583E"/>
    <w:rsid w:val="00436CCE"/>
    <w:rsid w:val="00436EAD"/>
    <w:rsid w:val="004375E1"/>
    <w:rsid w:val="00437A2F"/>
    <w:rsid w:val="00437C22"/>
    <w:rsid w:val="00440262"/>
    <w:rsid w:val="004406BF"/>
    <w:rsid w:val="00440814"/>
    <w:rsid w:val="004408AE"/>
    <w:rsid w:val="0044105D"/>
    <w:rsid w:val="00441424"/>
    <w:rsid w:val="00442731"/>
    <w:rsid w:val="00442A63"/>
    <w:rsid w:val="00442C12"/>
    <w:rsid w:val="004434DF"/>
    <w:rsid w:val="0044354B"/>
    <w:rsid w:val="004441DC"/>
    <w:rsid w:val="0044493E"/>
    <w:rsid w:val="00444A1F"/>
    <w:rsid w:val="00444FC6"/>
    <w:rsid w:val="00445874"/>
    <w:rsid w:val="00445C38"/>
    <w:rsid w:val="0044686B"/>
    <w:rsid w:val="004475F7"/>
    <w:rsid w:val="0045057B"/>
    <w:rsid w:val="0045069B"/>
    <w:rsid w:val="00450B22"/>
    <w:rsid w:val="00451709"/>
    <w:rsid w:val="004518FA"/>
    <w:rsid w:val="00451A02"/>
    <w:rsid w:val="00451AC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D8C"/>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B2"/>
    <w:rsid w:val="00465DE5"/>
    <w:rsid w:val="00466151"/>
    <w:rsid w:val="00466978"/>
    <w:rsid w:val="00466ABA"/>
    <w:rsid w:val="004672C6"/>
    <w:rsid w:val="004672E3"/>
    <w:rsid w:val="004672F1"/>
    <w:rsid w:val="0046775D"/>
    <w:rsid w:val="00467823"/>
    <w:rsid w:val="004703B6"/>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79C"/>
    <w:rsid w:val="00474531"/>
    <w:rsid w:val="0047471E"/>
    <w:rsid w:val="004749DA"/>
    <w:rsid w:val="00474DEF"/>
    <w:rsid w:val="00475729"/>
    <w:rsid w:val="004758E7"/>
    <w:rsid w:val="00475B8D"/>
    <w:rsid w:val="00475BAB"/>
    <w:rsid w:val="00475CBD"/>
    <w:rsid w:val="004764C6"/>
    <w:rsid w:val="00476AC1"/>
    <w:rsid w:val="00476F97"/>
    <w:rsid w:val="00477247"/>
    <w:rsid w:val="004776BB"/>
    <w:rsid w:val="004776FB"/>
    <w:rsid w:val="004778F7"/>
    <w:rsid w:val="0048055E"/>
    <w:rsid w:val="00480C2B"/>
    <w:rsid w:val="00480DC5"/>
    <w:rsid w:val="00480FD9"/>
    <w:rsid w:val="0048131D"/>
    <w:rsid w:val="00481D0B"/>
    <w:rsid w:val="004824A9"/>
    <w:rsid w:val="00483091"/>
    <w:rsid w:val="00483140"/>
    <w:rsid w:val="00483984"/>
    <w:rsid w:val="00483BC7"/>
    <w:rsid w:val="00483CF0"/>
    <w:rsid w:val="00483D86"/>
    <w:rsid w:val="00484D4D"/>
    <w:rsid w:val="004852E7"/>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1C7"/>
    <w:rsid w:val="0049421F"/>
    <w:rsid w:val="00494822"/>
    <w:rsid w:val="0049570D"/>
    <w:rsid w:val="00495A0C"/>
    <w:rsid w:val="00495C48"/>
    <w:rsid w:val="00495DC6"/>
    <w:rsid w:val="00496CCE"/>
    <w:rsid w:val="004978C1"/>
    <w:rsid w:val="00497AAD"/>
    <w:rsid w:val="00497BD7"/>
    <w:rsid w:val="00497D1A"/>
    <w:rsid w:val="004A00C9"/>
    <w:rsid w:val="004A03D0"/>
    <w:rsid w:val="004A055E"/>
    <w:rsid w:val="004A1049"/>
    <w:rsid w:val="004A1AFA"/>
    <w:rsid w:val="004A1EA7"/>
    <w:rsid w:val="004A26F5"/>
    <w:rsid w:val="004A2EF8"/>
    <w:rsid w:val="004A3A21"/>
    <w:rsid w:val="004A407A"/>
    <w:rsid w:val="004A4BBD"/>
    <w:rsid w:val="004A4E3B"/>
    <w:rsid w:val="004A6110"/>
    <w:rsid w:val="004A61B8"/>
    <w:rsid w:val="004A6342"/>
    <w:rsid w:val="004A6415"/>
    <w:rsid w:val="004A64F9"/>
    <w:rsid w:val="004A65F4"/>
    <w:rsid w:val="004A67AA"/>
    <w:rsid w:val="004A6D2C"/>
    <w:rsid w:val="004B026C"/>
    <w:rsid w:val="004B0271"/>
    <w:rsid w:val="004B0BE8"/>
    <w:rsid w:val="004B0E4A"/>
    <w:rsid w:val="004B1100"/>
    <w:rsid w:val="004B18C8"/>
    <w:rsid w:val="004B18F4"/>
    <w:rsid w:val="004B1A98"/>
    <w:rsid w:val="004B211F"/>
    <w:rsid w:val="004B2463"/>
    <w:rsid w:val="004B2E9D"/>
    <w:rsid w:val="004B305F"/>
    <w:rsid w:val="004B34C4"/>
    <w:rsid w:val="004B34E8"/>
    <w:rsid w:val="004B3981"/>
    <w:rsid w:val="004B3A03"/>
    <w:rsid w:val="004B419F"/>
    <w:rsid w:val="004B4EA9"/>
    <w:rsid w:val="004B5C96"/>
    <w:rsid w:val="004B5D68"/>
    <w:rsid w:val="004B6124"/>
    <w:rsid w:val="004B6E50"/>
    <w:rsid w:val="004B728F"/>
    <w:rsid w:val="004B7317"/>
    <w:rsid w:val="004B75B2"/>
    <w:rsid w:val="004B75C6"/>
    <w:rsid w:val="004C02C5"/>
    <w:rsid w:val="004C0BF0"/>
    <w:rsid w:val="004C0D40"/>
    <w:rsid w:val="004C114F"/>
    <w:rsid w:val="004C1163"/>
    <w:rsid w:val="004C11A9"/>
    <w:rsid w:val="004C27CF"/>
    <w:rsid w:val="004C2C54"/>
    <w:rsid w:val="004C2CA7"/>
    <w:rsid w:val="004C3592"/>
    <w:rsid w:val="004C36D8"/>
    <w:rsid w:val="004C45C8"/>
    <w:rsid w:val="004C4F8F"/>
    <w:rsid w:val="004C5F4B"/>
    <w:rsid w:val="004C612E"/>
    <w:rsid w:val="004C61B8"/>
    <w:rsid w:val="004C69FE"/>
    <w:rsid w:val="004C6C0A"/>
    <w:rsid w:val="004C6C6D"/>
    <w:rsid w:val="004C74FE"/>
    <w:rsid w:val="004C756E"/>
    <w:rsid w:val="004C77FF"/>
    <w:rsid w:val="004C7DB0"/>
    <w:rsid w:val="004C7FFC"/>
    <w:rsid w:val="004D0223"/>
    <w:rsid w:val="004D0C4C"/>
    <w:rsid w:val="004D14DC"/>
    <w:rsid w:val="004D16A3"/>
    <w:rsid w:val="004D1934"/>
    <w:rsid w:val="004D1E41"/>
    <w:rsid w:val="004D2326"/>
    <w:rsid w:val="004D2E11"/>
    <w:rsid w:val="004D2F9F"/>
    <w:rsid w:val="004D3108"/>
    <w:rsid w:val="004D329C"/>
    <w:rsid w:val="004D34D1"/>
    <w:rsid w:val="004D4523"/>
    <w:rsid w:val="004D4990"/>
    <w:rsid w:val="004D50B4"/>
    <w:rsid w:val="004D51AE"/>
    <w:rsid w:val="004D51D6"/>
    <w:rsid w:val="004D572D"/>
    <w:rsid w:val="004D6435"/>
    <w:rsid w:val="004D6BF2"/>
    <w:rsid w:val="004D6F29"/>
    <w:rsid w:val="004D7BF5"/>
    <w:rsid w:val="004D7C1F"/>
    <w:rsid w:val="004D7F9C"/>
    <w:rsid w:val="004E03F4"/>
    <w:rsid w:val="004E068F"/>
    <w:rsid w:val="004E0860"/>
    <w:rsid w:val="004E09CF"/>
    <w:rsid w:val="004E0B75"/>
    <w:rsid w:val="004E0C29"/>
    <w:rsid w:val="004E0DC4"/>
    <w:rsid w:val="004E109C"/>
    <w:rsid w:val="004E166D"/>
    <w:rsid w:val="004E18F7"/>
    <w:rsid w:val="004E1D6F"/>
    <w:rsid w:val="004E1DF3"/>
    <w:rsid w:val="004E2393"/>
    <w:rsid w:val="004E3117"/>
    <w:rsid w:val="004E32BD"/>
    <w:rsid w:val="004E3A2A"/>
    <w:rsid w:val="004E3AB1"/>
    <w:rsid w:val="004E4003"/>
    <w:rsid w:val="004E4626"/>
    <w:rsid w:val="004E4984"/>
    <w:rsid w:val="004E5101"/>
    <w:rsid w:val="004E52F2"/>
    <w:rsid w:val="004E5380"/>
    <w:rsid w:val="004E5C8A"/>
    <w:rsid w:val="004E6746"/>
    <w:rsid w:val="004E675C"/>
    <w:rsid w:val="004E6CAC"/>
    <w:rsid w:val="004E6F69"/>
    <w:rsid w:val="004E75C1"/>
    <w:rsid w:val="004E7683"/>
    <w:rsid w:val="004E777F"/>
    <w:rsid w:val="004E7828"/>
    <w:rsid w:val="004F07F2"/>
    <w:rsid w:val="004F07F9"/>
    <w:rsid w:val="004F0A50"/>
    <w:rsid w:val="004F0D1F"/>
    <w:rsid w:val="004F0E82"/>
    <w:rsid w:val="004F1523"/>
    <w:rsid w:val="004F1604"/>
    <w:rsid w:val="004F1847"/>
    <w:rsid w:val="004F1CE1"/>
    <w:rsid w:val="004F1F9E"/>
    <w:rsid w:val="004F228B"/>
    <w:rsid w:val="004F2CB6"/>
    <w:rsid w:val="004F2E6E"/>
    <w:rsid w:val="004F3015"/>
    <w:rsid w:val="004F313F"/>
    <w:rsid w:val="004F367F"/>
    <w:rsid w:val="004F3EEF"/>
    <w:rsid w:val="004F43A7"/>
    <w:rsid w:val="004F447B"/>
    <w:rsid w:val="004F497C"/>
    <w:rsid w:val="004F4FAC"/>
    <w:rsid w:val="004F4FE8"/>
    <w:rsid w:val="004F5310"/>
    <w:rsid w:val="004F531B"/>
    <w:rsid w:val="004F560C"/>
    <w:rsid w:val="004F5864"/>
    <w:rsid w:val="004F5DBB"/>
    <w:rsid w:val="004F60B4"/>
    <w:rsid w:val="004F61A3"/>
    <w:rsid w:val="004F6874"/>
    <w:rsid w:val="004F7922"/>
    <w:rsid w:val="004F7A1F"/>
    <w:rsid w:val="004F7B47"/>
    <w:rsid w:val="0050074C"/>
    <w:rsid w:val="0050079C"/>
    <w:rsid w:val="0050106A"/>
    <w:rsid w:val="005010BC"/>
    <w:rsid w:val="00501848"/>
    <w:rsid w:val="00502B31"/>
    <w:rsid w:val="0050434C"/>
    <w:rsid w:val="0050537D"/>
    <w:rsid w:val="0050591C"/>
    <w:rsid w:val="005059BD"/>
    <w:rsid w:val="005060AE"/>
    <w:rsid w:val="0050790B"/>
    <w:rsid w:val="00507C71"/>
    <w:rsid w:val="00507FDF"/>
    <w:rsid w:val="0051037C"/>
    <w:rsid w:val="0051050F"/>
    <w:rsid w:val="0051058B"/>
    <w:rsid w:val="00510DDC"/>
    <w:rsid w:val="00511166"/>
    <w:rsid w:val="00512217"/>
    <w:rsid w:val="00512320"/>
    <w:rsid w:val="00512459"/>
    <w:rsid w:val="005131A2"/>
    <w:rsid w:val="005137E4"/>
    <w:rsid w:val="00513BB9"/>
    <w:rsid w:val="0051440E"/>
    <w:rsid w:val="00514480"/>
    <w:rsid w:val="005148CD"/>
    <w:rsid w:val="00515180"/>
    <w:rsid w:val="00515973"/>
    <w:rsid w:val="00516069"/>
    <w:rsid w:val="00517AC8"/>
    <w:rsid w:val="00517C3E"/>
    <w:rsid w:val="0052030A"/>
    <w:rsid w:val="005207D8"/>
    <w:rsid w:val="0052091D"/>
    <w:rsid w:val="00521098"/>
    <w:rsid w:val="005212F4"/>
    <w:rsid w:val="00521365"/>
    <w:rsid w:val="00521908"/>
    <w:rsid w:val="005224BC"/>
    <w:rsid w:val="00522928"/>
    <w:rsid w:val="00522FF1"/>
    <w:rsid w:val="0052316B"/>
    <w:rsid w:val="005235D8"/>
    <w:rsid w:val="00523946"/>
    <w:rsid w:val="0052397A"/>
    <w:rsid w:val="005256D6"/>
    <w:rsid w:val="00525AD8"/>
    <w:rsid w:val="00526429"/>
    <w:rsid w:val="005266C1"/>
    <w:rsid w:val="005267F4"/>
    <w:rsid w:val="005269D3"/>
    <w:rsid w:val="00527317"/>
    <w:rsid w:val="00527ED6"/>
    <w:rsid w:val="0053024F"/>
    <w:rsid w:val="0053030F"/>
    <w:rsid w:val="005308CE"/>
    <w:rsid w:val="00530E8E"/>
    <w:rsid w:val="00531064"/>
    <w:rsid w:val="005312CB"/>
    <w:rsid w:val="005313B2"/>
    <w:rsid w:val="00531594"/>
    <w:rsid w:val="00531911"/>
    <w:rsid w:val="00531E92"/>
    <w:rsid w:val="005324D7"/>
    <w:rsid w:val="005326F0"/>
    <w:rsid w:val="00532764"/>
    <w:rsid w:val="00532AA5"/>
    <w:rsid w:val="00532C5F"/>
    <w:rsid w:val="00533233"/>
    <w:rsid w:val="005335A2"/>
    <w:rsid w:val="00533D13"/>
    <w:rsid w:val="00533DEC"/>
    <w:rsid w:val="00534026"/>
    <w:rsid w:val="00534D55"/>
    <w:rsid w:val="00535A33"/>
    <w:rsid w:val="00535B53"/>
    <w:rsid w:val="00536B03"/>
    <w:rsid w:val="005370CF"/>
    <w:rsid w:val="00537456"/>
    <w:rsid w:val="0053790C"/>
    <w:rsid w:val="00537B3D"/>
    <w:rsid w:val="00537BFF"/>
    <w:rsid w:val="00540401"/>
    <w:rsid w:val="005405B2"/>
    <w:rsid w:val="0054076A"/>
    <w:rsid w:val="00540BBA"/>
    <w:rsid w:val="00540D47"/>
    <w:rsid w:val="00540E71"/>
    <w:rsid w:val="00540EE7"/>
    <w:rsid w:val="00541A22"/>
    <w:rsid w:val="00541E2B"/>
    <w:rsid w:val="00541EAD"/>
    <w:rsid w:val="005424C2"/>
    <w:rsid w:val="005426B2"/>
    <w:rsid w:val="00542AA1"/>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1644"/>
    <w:rsid w:val="005524ED"/>
    <w:rsid w:val="00553627"/>
    <w:rsid w:val="00553F91"/>
    <w:rsid w:val="00554007"/>
    <w:rsid w:val="00554092"/>
    <w:rsid w:val="00554C03"/>
    <w:rsid w:val="00554C58"/>
    <w:rsid w:val="00554D5D"/>
    <w:rsid w:val="005550F9"/>
    <w:rsid w:val="00555CC1"/>
    <w:rsid w:val="00556338"/>
    <w:rsid w:val="00556441"/>
    <w:rsid w:val="00557031"/>
    <w:rsid w:val="00557F87"/>
    <w:rsid w:val="005601E7"/>
    <w:rsid w:val="00560841"/>
    <w:rsid w:val="00560FCB"/>
    <w:rsid w:val="00561001"/>
    <w:rsid w:val="0056111C"/>
    <w:rsid w:val="00561140"/>
    <w:rsid w:val="0056127F"/>
    <w:rsid w:val="00561412"/>
    <w:rsid w:val="00561764"/>
    <w:rsid w:val="00561903"/>
    <w:rsid w:val="00561A9B"/>
    <w:rsid w:val="00561E54"/>
    <w:rsid w:val="00561F73"/>
    <w:rsid w:val="005621F7"/>
    <w:rsid w:val="0056278F"/>
    <w:rsid w:val="00562FB1"/>
    <w:rsid w:val="00563068"/>
    <w:rsid w:val="0056376A"/>
    <w:rsid w:val="00563B3C"/>
    <w:rsid w:val="0056419C"/>
    <w:rsid w:val="005646E0"/>
    <w:rsid w:val="00564DA7"/>
    <w:rsid w:val="00565204"/>
    <w:rsid w:val="00565473"/>
    <w:rsid w:val="00565DAC"/>
    <w:rsid w:val="00565F0D"/>
    <w:rsid w:val="005662DC"/>
    <w:rsid w:val="00566329"/>
    <w:rsid w:val="005668B9"/>
    <w:rsid w:val="00566E39"/>
    <w:rsid w:val="0056704E"/>
    <w:rsid w:val="0056754B"/>
    <w:rsid w:val="00567623"/>
    <w:rsid w:val="00567F49"/>
    <w:rsid w:val="005701C2"/>
    <w:rsid w:val="00570763"/>
    <w:rsid w:val="0057200B"/>
    <w:rsid w:val="00572297"/>
    <w:rsid w:val="0057345D"/>
    <w:rsid w:val="0057347D"/>
    <w:rsid w:val="00573560"/>
    <w:rsid w:val="00574E7B"/>
    <w:rsid w:val="00574F36"/>
    <w:rsid w:val="00575B04"/>
    <w:rsid w:val="00576B5C"/>
    <w:rsid w:val="005770CC"/>
    <w:rsid w:val="005802F9"/>
    <w:rsid w:val="005806D5"/>
    <w:rsid w:val="00580DFC"/>
    <w:rsid w:val="0058134C"/>
    <w:rsid w:val="005815CD"/>
    <w:rsid w:val="00581AA8"/>
    <w:rsid w:val="00581D39"/>
    <w:rsid w:val="005827A7"/>
    <w:rsid w:val="00583D43"/>
    <w:rsid w:val="005846C3"/>
    <w:rsid w:val="0058482B"/>
    <w:rsid w:val="00584F04"/>
    <w:rsid w:val="0058544C"/>
    <w:rsid w:val="00585623"/>
    <w:rsid w:val="0058577C"/>
    <w:rsid w:val="005857F7"/>
    <w:rsid w:val="005865E9"/>
    <w:rsid w:val="005868FD"/>
    <w:rsid w:val="00587D7B"/>
    <w:rsid w:val="005904DB"/>
    <w:rsid w:val="005905ED"/>
    <w:rsid w:val="00590D11"/>
    <w:rsid w:val="005919EE"/>
    <w:rsid w:val="00591BA6"/>
    <w:rsid w:val="00592825"/>
    <w:rsid w:val="0059310B"/>
    <w:rsid w:val="005943CC"/>
    <w:rsid w:val="00594437"/>
    <w:rsid w:val="00594B70"/>
    <w:rsid w:val="00594E85"/>
    <w:rsid w:val="0059639B"/>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375"/>
    <w:rsid w:val="005A54CE"/>
    <w:rsid w:val="005A54F1"/>
    <w:rsid w:val="005A57B8"/>
    <w:rsid w:val="005A5DDE"/>
    <w:rsid w:val="005A64A8"/>
    <w:rsid w:val="005A65C5"/>
    <w:rsid w:val="005A6875"/>
    <w:rsid w:val="005A6DBA"/>
    <w:rsid w:val="005A7016"/>
    <w:rsid w:val="005A7A32"/>
    <w:rsid w:val="005A7F85"/>
    <w:rsid w:val="005B00DD"/>
    <w:rsid w:val="005B01E9"/>
    <w:rsid w:val="005B03B1"/>
    <w:rsid w:val="005B07D5"/>
    <w:rsid w:val="005B1A62"/>
    <w:rsid w:val="005B1A8A"/>
    <w:rsid w:val="005B1AAB"/>
    <w:rsid w:val="005B20ED"/>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786"/>
    <w:rsid w:val="005B6865"/>
    <w:rsid w:val="005C039B"/>
    <w:rsid w:val="005C059F"/>
    <w:rsid w:val="005C07CE"/>
    <w:rsid w:val="005C0B8F"/>
    <w:rsid w:val="005C1912"/>
    <w:rsid w:val="005C194E"/>
    <w:rsid w:val="005C1C83"/>
    <w:rsid w:val="005C1DB1"/>
    <w:rsid w:val="005C2174"/>
    <w:rsid w:val="005C226F"/>
    <w:rsid w:val="005C2294"/>
    <w:rsid w:val="005C2E48"/>
    <w:rsid w:val="005C3344"/>
    <w:rsid w:val="005C37B7"/>
    <w:rsid w:val="005C407D"/>
    <w:rsid w:val="005C4E4D"/>
    <w:rsid w:val="005C58F2"/>
    <w:rsid w:val="005C5A97"/>
    <w:rsid w:val="005C5F77"/>
    <w:rsid w:val="005C6AAB"/>
    <w:rsid w:val="005C6D5D"/>
    <w:rsid w:val="005C6DF9"/>
    <w:rsid w:val="005C6F38"/>
    <w:rsid w:val="005C6FD0"/>
    <w:rsid w:val="005D01C3"/>
    <w:rsid w:val="005D05FF"/>
    <w:rsid w:val="005D0FB4"/>
    <w:rsid w:val="005D1176"/>
    <w:rsid w:val="005D1747"/>
    <w:rsid w:val="005D2177"/>
    <w:rsid w:val="005D266D"/>
    <w:rsid w:val="005D306D"/>
    <w:rsid w:val="005D3327"/>
    <w:rsid w:val="005D4760"/>
    <w:rsid w:val="005D4854"/>
    <w:rsid w:val="005D5BCF"/>
    <w:rsid w:val="005D65BF"/>
    <w:rsid w:val="005D6D84"/>
    <w:rsid w:val="005D70A1"/>
    <w:rsid w:val="005D79F2"/>
    <w:rsid w:val="005D7CB1"/>
    <w:rsid w:val="005D7F57"/>
    <w:rsid w:val="005E0067"/>
    <w:rsid w:val="005E0141"/>
    <w:rsid w:val="005E09CA"/>
    <w:rsid w:val="005E1AB4"/>
    <w:rsid w:val="005E255B"/>
    <w:rsid w:val="005E2B4D"/>
    <w:rsid w:val="005E2CF7"/>
    <w:rsid w:val="005E37FD"/>
    <w:rsid w:val="005E4543"/>
    <w:rsid w:val="005E4A1C"/>
    <w:rsid w:val="005E4AC6"/>
    <w:rsid w:val="005E56C9"/>
    <w:rsid w:val="005E5C95"/>
    <w:rsid w:val="005E5CF7"/>
    <w:rsid w:val="005E5FF0"/>
    <w:rsid w:val="005E642A"/>
    <w:rsid w:val="005E65A7"/>
    <w:rsid w:val="005E6A54"/>
    <w:rsid w:val="005E721E"/>
    <w:rsid w:val="005F0857"/>
    <w:rsid w:val="005F1470"/>
    <w:rsid w:val="005F15A9"/>
    <w:rsid w:val="005F203A"/>
    <w:rsid w:val="005F2807"/>
    <w:rsid w:val="005F2CD5"/>
    <w:rsid w:val="005F3382"/>
    <w:rsid w:val="005F3720"/>
    <w:rsid w:val="005F3949"/>
    <w:rsid w:val="005F3FCB"/>
    <w:rsid w:val="005F4F00"/>
    <w:rsid w:val="005F5506"/>
    <w:rsid w:val="005F5A0D"/>
    <w:rsid w:val="005F60DF"/>
    <w:rsid w:val="005F615B"/>
    <w:rsid w:val="005F61DF"/>
    <w:rsid w:val="005F680A"/>
    <w:rsid w:val="005F6880"/>
    <w:rsid w:val="005F6B3E"/>
    <w:rsid w:val="005F6ED2"/>
    <w:rsid w:val="005F6F94"/>
    <w:rsid w:val="005F745B"/>
    <w:rsid w:val="005F77F8"/>
    <w:rsid w:val="005F7CA8"/>
    <w:rsid w:val="005F7FE2"/>
    <w:rsid w:val="00600023"/>
    <w:rsid w:val="00600474"/>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6CB4"/>
    <w:rsid w:val="00607015"/>
    <w:rsid w:val="0061098D"/>
    <w:rsid w:val="00610B78"/>
    <w:rsid w:val="00611B59"/>
    <w:rsid w:val="00611FBA"/>
    <w:rsid w:val="00612098"/>
    <w:rsid w:val="0061272A"/>
    <w:rsid w:val="0061299E"/>
    <w:rsid w:val="006130D0"/>
    <w:rsid w:val="00613441"/>
    <w:rsid w:val="0061355D"/>
    <w:rsid w:val="006139F7"/>
    <w:rsid w:val="00613AA2"/>
    <w:rsid w:val="006146D0"/>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0A66"/>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22D"/>
    <w:rsid w:val="006405EC"/>
    <w:rsid w:val="00640A4D"/>
    <w:rsid w:val="006418F2"/>
    <w:rsid w:val="00641A84"/>
    <w:rsid w:val="00641B05"/>
    <w:rsid w:val="00641DA1"/>
    <w:rsid w:val="00641E5B"/>
    <w:rsid w:val="0064246A"/>
    <w:rsid w:val="00642C69"/>
    <w:rsid w:val="00642D4F"/>
    <w:rsid w:val="0064330A"/>
    <w:rsid w:val="0064369F"/>
    <w:rsid w:val="00643F89"/>
    <w:rsid w:val="00644334"/>
    <w:rsid w:val="0064487C"/>
    <w:rsid w:val="00644BED"/>
    <w:rsid w:val="00644E2E"/>
    <w:rsid w:val="00645A3A"/>
    <w:rsid w:val="00645B87"/>
    <w:rsid w:val="00645CB4"/>
    <w:rsid w:val="00646084"/>
    <w:rsid w:val="006468ED"/>
    <w:rsid w:val="00647664"/>
    <w:rsid w:val="00650D19"/>
    <w:rsid w:val="0065277B"/>
    <w:rsid w:val="00652CF5"/>
    <w:rsid w:val="00652F6C"/>
    <w:rsid w:val="00652FE2"/>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6B3"/>
    <w:rsid w:val="00660AF7"/>
    <w:rsid w:val="00660D3E"/>
    <w:rsid w:val="006613B3"/>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085"/>
    <w:rsid w:val="006811F3"/>
    <w:rsid w:val="00681240"/>
    <w:rsid w:val="00681E43"/>
    <w:rsid w:val="00683068"/>
    <w:rsid w:val="00683DAD"/>
    <w:rsid w:val="00684592"/>
    <w:rsid w:val="00684853"/>
    <w:rsid w:val="00684963"/>
    <w:rsid w:val="00685033"/>
    <w:rsid w:val="0068510D"/>
    <w:rsid w:val="0068517F"/>
    <w:rsid w:val="00685D65"/>
    <w:rsid w:val="00685FC8"/>
    <w:rsid w:val="006860CC"/>
    <w:rsid w:val="00686E80"/>
    <w:rsid w:val="0068790B"/>
    <w:rsid w:val="00687AF2"/>
    <w:rsid w:val="006901AC"/>
    <w:rsid w:val="00690C8D"/>
    <w:rsid w:val="00691890"/>
    <w:rsid w:val="00691AAD"/>
    <w:rsid w:val="00691EB8"/>
    <w:rsid w:val="00692416"/>
    <w:rsid w:val="00692AFF"/>
    <w:rsid w:val="00692D2D"/>
    <w:rsid w:val="006933A4"/>
    <w:rsid w:val="00693B73"/>
    <w:rsid w:val="00693F29"/>
    <w:rsid w:val="006945A1"/>
    <w:rsid w:val="00694A53"/>
    <w:rsid w:val="006952DE"/>
    <w:rsid w:val="00695985"/>
    <w:rsid w:val="00695C78"/>
    <w:rsid w:val="00695E6C"/>
    <w:rsid w:val="00695EAC"/>
    <w:rsid w:val="00696C79"/>
    <w:rsid w:val="00697068"/>
    <w:rsid w:val="006977DE"/>
    <w:rsid w:val="00697D5F"/>
    <w:rsid w:val="006A0235"/>
    <w:rsid w:val="006A035B"/>
    <w:rsid w:val="006A0582"/>
    <w:rsid w:val="006A060C"/>
    <w:rsid w:val="006A06F8"/>
    <w:rsid w:val="006A071C"/>
    <w:rsid w:val="006A0DC7"/>
    <w:rsid w:val="006A150D"/>
    <w:rsid w:val="006A1B00"/>
    <w:rsid w:val="006A2766"/>
    <w:rsid w:val="006A3786"/>
    <w:rsid w:val="006A39D0"/>
    <w:rsid w:val="006A3E91"/>
    <w:rsid w:val="006A430B"/>
    <w:rsid w:val="006A4321"/>
    <w:rsid w:val="006A4E20"/>
    <w:rsid w:val="006A4F11"/>
    <w:rsid w:val="006A563C"/>
    <w:rsid w:val="006A5A6F"/>
    <w:rsid w:val="006A5F7E"/>
    <w:rsid w:val="006A6786"/>
    <w:rsid w:val="006A67AF"/>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A81"/>
    <w:rsid w:val="006B4CF8"/>
    <w:rsid w:val="006B506B"/>
    <w:rsid w:val="006B5097"/>
    <w:rsid w:val="006B54E8"/>
    <w:rsid w:val="006B5766"/>
    <w:rsid w:val="006B5FBC"/>
    <w:rsid w:val="006B65B7"/>
    <w:rsid w:val="006B6ED2"/>
    <w:rsid w:val="006B7F74"/>
    <w:rsid w:val="006C0230"/>
    <w:rsid w:val="006C05C7"/>
    <w:rsid w:val="006C1323"/>
    <w:rsid w:val="006C1D23"/>
    <w:rsid w:val="006C1FC8"/>
    <w:rsid w:val="006C25AB"/>
    <w:rsid w:val="006C2DA6"/>
    <w:rsid w:val="006C2F4A"/>
    <w:rsid w:val="006C3335"/>
    <w:rsid w:val="006C3581"/>
    <w:rsid w:val="006C3973"/>
    <w:rsid w:val="006C39A0"/>
    <w:rsid w:val="006C3AB0"/>
    <w:rsid w:val="006C3EFE"/>
    <w:rsid w:val="006C46C7"/>
    <w:rsid w:val="006C4767"/>
    <w:rsid w:val="006C4A1A"/>
    <w:rsid w:val="006C4D02"/>
    <w:rsid w:val="006C4F7E"/>
    <w:rsid w:val="006C53A4"/>
    <w:rsid w:val="006C54DF"/>
    <w:rsid w:val="006C5D2E"/>
    <w:rsid w:val="006C5D5D"/>
    <w:rsid w:val="006C627E"/>
    <w:rsid w:val="006C6303"/>
    <w:rsid w:val="006C6A51"/>
    <w:rsid w:val="006C6EBD"/>
    <w:rsid w:val="006C73ED"/>
    <w:rsid w:val="006C7E04"/>
    <w:rsid w:val="006C7F79"/>
    <w:rsid w:val="006D0004"/>
    <w:rsid w:val="006D015F"/>
    <w:rsid w:val="006D060E"/>
    <w:rsid w:val="006D0665"/>
    <w:rsid w:val="006D0681"/>
    <w:rsid w:val="006D0A80"/>
    <w:rsid w:val="006D0AE8"/>
    <w:rsid w:val="006D135C"/>
    <w:rsid w:val="006D1CAA"/>
    <w:rsid w:val="006D2F72"/>
    <w:rsid w:val="006D43C1"/>
    <w:rsid w:val="006D5442"/>
    <w:rsid w:val="006D647B"/>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89D"/>
    <w:rsid w:val="006E61C8"/>
    <w:rsid w:val="006E727B"/>
    <w:rsid w:val="006E76C8"/>
    <w:rsid w:val="006E7A92"/>
    <w:rsid w:val="006F01FF"/>
    <w:rsid w:val="006F0CB2"/>
    <w:rsid w:val="006F191C"/>
    <w:rsid w:val="006F1DE9"/>
    <w:rsid w:val="006F2046"/>
    <w:rsid w:val="006F2A72"/>
    <w:rsid w:val="006F2F59"/>
    <w:rsid w:val="006F311E"/>
    <w:rsid w:val="006F3442"/>
    <w:rsid w:val="006F36A5"/>
    <w:rsid w:val="006F41F4"/>
    <w:rsid w:val="006F4576"/>
    <w:rsid w:val="006F46E1"/>
    <w:rsid w:val="006F4975"/>
    <w:rsid w:val="006F49D2"/>
    <w:rsid w:val="006F5453"/>
    <w:rsid w:val="006F5813"/>
    <w:rsid w:val="006F59A8"/>
    <w:rsid w:val="006F5A1D"/>
    <w:rsid w:val="006F5A44"/>
    <w:rsid w:val="006F649A"/>
    <w:rsid w:val="006F71A6"/>
    <w:rsid w:val="006F7974"/>
    <w:rsid w:val="006F7C2C"/>
    <w:rsid w:val="006F7FD5"/>
    <w:rsid w:val="00700405"/>
    <w:rsid w:val="00700D18"/>
    <w:rsid w:val="0070168D"/>
    <w:rsid w:val="00701C36"/>
    <w:rsid w:val="00702F2D"/>
    <w:rsid w:val="0070353F"/>
    <w:rsid w:val="00703772"/>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0F4F"/>
    <w:rsid w:val="0071108E"/>
    <w:rsid w:val="007119DC"/>
    <w:rsid w:val="00711CC7"/>
    <w:rsid w:val="00711D07"/>
    <w:rsid w:val="0071226D"/>
    <w:rsid w:val="0071230A"/>
    <w:rsid w:val="0071294A"/>
    <w:rsid w:val="00712BDD"/>
    <w:rsid w:val="00712E1E"/>
    <w:rsid w:val="00712F37"/>
    <w:rsid w:val="00713A6B"/>
    <w:rsid w:val="00713CB5"/>
    <w:rsid w:val="0071499C"/>
    <w:rsid w:val="00714F9D"/>
    <w:rsid w:val="007154D8"/>
    <w:rsid w:val="00715577"/>
    <w:rsid w:val="0071604D"/>
    <w:rsid w:val="00716C67"/>
    <w:rsid w:val="00716C8C"/>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3EC4"/>
    <w:rsid w:val="0072454E"/>
    <w:rsid w:val="007249D1"/>
    <w:rsid w:val="00724FE4"/>
    <w:rsid w:val="007253CE"/>
    <w:rsid w:val="00725829"/>
    <w:rsid w:val="00725D6A"/>
    <w:rsid w:val="007263A2"/>
    <w:rsid w:val="007266B9"/>
    <w:rsid w:val="00726B9E"/>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4EFF"/>
    <w:rsid w:val="00735D53"/>
    <w:rsid w:val="00736181"/>
    <w:rsid w:val="0073618A"/>
    <w:rsid w:val="007364A3"/>
    <w:rsid w:val="00736740"/>
    <w:rsid w:val="0073709C"/>
    <w:rsid w:val="0073742F"/>
    <w:rsid w:val="007378FD"/>
    <w:rsid w:val="00737928"/>
    <w:rsid w:val="007403FE"/>
    <w:rsid w:val="007409CE"/>
    <w:rsid w:val="007413EB"/>
    <w:rsid w:val="007413FB"/>
    <w:rsid w:val="00742408"/>
    <w:rsid w:val="00742D32"/>
    <w:rsid w:val="00742E9B"/>
    <w:rsid w:val="007444E6"/>
    <w:rsid w:val="00744D06"/>
    <w:rsid w:val="0074592C"/>
    <w:rsid w:val="00745C91"/>
    <w:rsid w:val="00746098"/>
    <w:rsid w:val="00746473"/>
    <w:rsid w:val="00746814"/>
    <w:rsid w:val="00746D58"/>
    <w:rsid w:val="00747578"/>
    <w:rsid w:val="00750D12"/>
    <w:rsid w:val="00751073"/>
    <w:rsid w:val="00751AF2"/>
    <w:rsid w:val="00751B1A"/>
    <w:rsid w:val="00751BD2"/>
    <w:rsid w:val="00751CE5"/>
    <w:rsid w:val="00752188"/>
    <w:rsid w:val="00752CC6"/>
    <w:rsid w:val="00753938"/>
    <w:rsid w:val="00753A57"/>
    <w:rsid w:val="0075409E"/>
    <w:rsid w:val="007543CE"/>
    <w:rsid w:val="0075497E"/>
    <w:rsid w:val="00754A29"/>
    <w:rsid w:val="00754DCC"/>
    <w:rsid w:val="0075511D"/>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75C"/>
    <w:rsid w:val="00762948"/>
    <w:rsid w:val="00762A81"/>
    <w:rsid w:val="00763137"/>
    <w:rsid w:val="00763AED"/>
    <w:rsid w:val="00763BF0"/>
    <w:rsid w:val="00763F8B"/>
    <w:rsid w:val="007640F3"/>
    <w:rsid w:val="0076417E"/>
    <w:rsid w:val="0076497F"/>
    <w:rsid w:val="00765BD7"/>
    <w:rsid w:val="007660EC"/>
    <w:rsid w:val="007662C7"/>
    <w:rsid w:val="00766862"/>
    <w:rsid w:val="0076726C"/>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122"/>
    <w:rsid w:val="00783959"/>
    <w:rsid w:val="00783BA5"/>
    <w:rsid w:val="007844A9"/>
    <w:rsid w:val="007847B1"/>
    <w:rsid w:val="00785091"/>
    <w:rsid w:val="00785797"/>
    <w:rsid w:val="0078638C"/>
    <w:rsid w:val="007869F9"/>
    <w:rsid w:val="00786CBB"/>
    <w:rsid w:val="00786E21"/>
    <w:rsid w:val="0079038E"/>
    <w:rsid w:val="00790EBB"/>
    <w:rsid w:val="00791C6E"/>
    <w:rsid w:val="00791FA3"/>
    <w:rsid w:val="007921F7"/>
    <w:rsid w:val="00792909"/>
    <w:rsid w:val="00792BC6"/>
    <w:rsid w:val="00792C3F"/>
    <w:rsid w:val="00792EE2"/>
    <w:rsid w:val="00792EFD"/>
    <w:rsid w:val="00793105"/>
    <w:rsid w:val="007931E8"/>
    <w:rsid w:val="00793333"/>
    <w:rsid w:val="00793F57"/>
    <w:rsid w:val="00794158"/>
    <w:rsid w:val="00794509"/>
    <w:rsid w:val="00794D80"/>
    <w:rsid w:val="00794E46"/>
    <w:rsid w:val="007952DE"/>
    <w:rsid w:val="00795479"/>
    <w:rsid w:val="007954BC"/>
    <w:rsid w:val="00796292"/>
    <w:rsid w:val="007965D9"/>
    <w:rsid w:val="00796B97"/>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DDC"/>
    <w:rsid w:val="007A54F6"/>
    <w:rsid w:val="007A55FE"/>
    <w:rsid w:val="007A582C"/>
    <w:rsid w:val="007A5950"/>
    <w:rsid w:val="007A6D91"/>
    <w:rsid w:val="007A7618"/>
    <w:rsid w:val="007B00C9"/>
    <w:rsid w:val="007B02C7"/>
    <w:rsid w:val="007B0306"/>
    <w:rsid w:val="007B08E4"/>
    <w:rsid w:val="007B0A36"/>
    <w:rsid w:val="007B0D86"/>
    <w:rsid w:val="007B28C3"/>
    <w:rsid w:val="007B3219"/>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8B3"/>
    <w:rsid w:val="007C2D00"/>
    <w:rsid w:val="007C3590"/>
    <w:rsid w:val="007C387A"/>
    <w:rsid w:val="007C3987"/>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C28"/>
    <w:rsid w:val="007D2882"/>
    <w:rsid w:val="007D296C"/>
    <w:rsid w:val="007D2C31"/>
    <w:rsid w:val="007D2E50"/>
    <w:rsid w:val="007D3D74"/>
    <w:rsid w:val="007D445F"/>
    <w:rsid w:val="007D4DED"/>
    <w:rsid w:val="007D4EDC"/>
    <w:rsid w:val="007D5BA2"/>
    <w:rsid w:val="007D5ED3"/>
    <w:rsid w:val="007D682F"/>
    <w:rsid w:val="007D6FB9"/>
    <w:rsid w:val="007D7211"/>
    <w:rsid w:val="007D7569"/>
    <w:rsid w:val="007E0595"/>
    <w:rsid w:val="007E0A63"/>
    <w:rsid w:val="007E0C63"/>
    <w:rsid w:val="007E0E05"/>
    <w:rsid w:val="007E0F5D"/>
    <w:rsid w:val="007E23A1"/>
    <w:rsid w:val="007E259F"/>
    <w:rsid w:val="007E347E"/>
    <w:rsid w:val="007E41A4"/>
    <w:rsid w:val="007E43E3"/>
    <w:rsid w:val="007E4854"/>
    <w:rsid w:val="007E54B8"/>
    <w:rsid w:val="007E5D12"/>
    <w:rsid w:val="007E6235"/>
    <w:rsid w:val="007E6420"/>
    <w:rsid w:val="007E677F"/>
    <w:rsid w:val="007E6B25"/>
    <w:rsid w:val="007E6E06"/>
    <w:rsid w:val="007E6F4A"/>
    <w:rsid w:val="007E79CC"/>
    <w:rsid w:val="007F04E6"/>
    <w:rsid w:val="007F1124"/>
    <w:rsid w:val="007F152D"/>
    <w:rsid w:val="007F20C4"/>
    <w:rsid w:val="007F20EE"/>
    <w:rsid w:val="007F23D8"/>
    <w:rsid w:val="007F3030"/>
    <w:rsid w:val="007F307A"/>
    <w:rsid w:val="007F30C6"/>
    <w:rsid w:val="007F318A"/>
    <w:rsid w:val="007F38FD"/>
    <w:rsid w:val="007F3A50"/>
    <w:rsid w:val="007F3C18"/>
    <w:rsid w:val="007F4318"/>
    <w:rsid w:val="007F4709"/>
    <w:rsid w:val="007F47DA"/>
    <w:rsid w:val="007F4E52"/>
    <w:rsid w:val="007F4F84"/>
    <w:rsid w:val="007F5382"/>
    <w:rsid w:val="007F55A4"/>
    <w:rsid w:val="007F5D28"/>
    <w:rsid w:val="007F6260"/>
    <w:rsid w:val="007F682B"/>
    <w:rsid w:val="007F759D"/>
    <w:rsid w:val="007F7745"/>
    <w:rsid w:val="007F78E8"/>
    <w:rsid w:val="007F7F8F"/>
    <w:rsid w:val="00800509"/>
    <w:rsid w:val="0080078E"/>
    <w:rsid w:val="00800B7F"/>
    <w:rsid w:val="008012B1"/>
    <w:rsid w:val="00801466"/>
    <w:rsid w:val="00801D63"/>
    <w:rsid w:val="0080348B"/>
    <w:rsid w:val="00803D82"/>
    <w:rsid w:val="00803D98"/>
    <w:rsid w:val="008052CE"/>
    <w:rsid w:val="008058D0"/>
    <w:rsid w:val="00806743"/>
    <w:rsid w:val="00806A4C"/>
    <w:rsid w:val="00806FED"/>
    <w:rsid w:val="0080705B"/>
    <w:rsid w:val="0080723C"/>
    <w:rsid w:val="00807F71"/>
    <w:rsid w:val="0081000F"/>
    <w:rsid w:val="00811748"/>
    <w:rsid w:val="00812657"/>
    <w:rsid w:val="00812A1A"/>
    <w:rsid w:val="00812DFF"/>
    <w:rsid w:val="0081362F"/>
    <w:rsid w:val="0081383A"/>
    <w:rsid w:val="0081497F"/>
    <w:rsid w:val="00814B90"/>
    <w:rsid w:val="00814FC7"/>
    <w:rsid w:val="008154DA"/>
    <w:rsid w:val="0081660C"/>
    <w:rsid w:val="00816AD8"/>
    <w:rsid w:val="00816AD9"/>
    <w:rsid w:val="00817195"/>
    <w:rsid w:val="00817416"/>
    <w:rsid w:val="00817658"/>
    <w:rsid w:val="008206AE"/>
    <w:rsid w:val="00821271"/>
    <w:rsid w:val="00821306"/>
    <w:rsid w:val="00821361"/>
    <w:rsid w:val="008213D9"/>
    <w:rsid w:val="008216CE"/>
    <w:rsid w:val="008218AE"/>
    <w:rsid w:val="00821D85"/>
    <w:rsid w:val="00821E47"/>
    <w:rsid w:val="008220F6"/>
    <w:rsid w:val="00822456"/>
    <w:rsid w:val="00823819"/>
    <w:rsid w:val="00823C4B"/>
    <w:rsid w:val="00823F50"/>
    <w:rsid w:val="00823FCD"/>
    <w:rsid w:val="0082427D"/>
    <w:rsid w:val="00824872"/>
    <w:rsid w:val="00824FB9"/>
    <w:rsid w:val="00824FD9"/>
    <w:rsid w:val="00825441"/>
    <w:rsid w:val="00826855"/>
    <w:rsid w:val="00826E73"/>
    <w:rsid w:val="00827EFA"/>
    <w:rsid w:val="00830052"/>
    <w:rsid w:val="008300D0"/>
    <w:rsid w:val="008308D8"/>
    <w:rsid w:val="0083093A"/>
    <w:rsid w:val="00830ECE"/>
    <w:rsid w:val="008320D2"/>
    <w:rsid w:val="008321CE"/>
    <w:rsid w:val="0083257C"/>
    <w:rsid w:val="0083261B"/>
    <w:rsid w:val="00832A4F"/>
    <w:rsid w:val="00832B44"/>
    <w:rsid w:val="00832EC9"/>
    <w:rsid w:val="00833307"/>
    <w:rsid w:val="00833583"/>
    <w:rsid w:val="008337CD"/>
    <w:rsid w:val="00833B5B"/>
    <w:rsid w:val="00833E9A"/>
    <w:rsid w:val="008347AC"/>
    <w:rsid w:val="00834FEF"/>
    <w:rsid w:val="00836323"/>
    <w:rsid w:val="00836D7F"/>
    <w:rsid w:val="008379FF"/>
    <w:rsid w:val="00837D3D"/>
    <w:rsid w:val="00837E9B"/>
    <w:rsid w:val="008404AA"/>
    <w:rsid w:val="008406D7"/>
    <w:rsid w:val="00840718"/>
    <w:rsid w:val="0084074F"/>
    <w:rsid w:val="008407BA"/>
    <w:rsid w:val="00840AA3"/>
    <w:rsid w:val="00840AAC"/>
    <w:rsid w:val="0084101C"/>
    <w:rsid w:val="0084181B"/>
    <w:rsid w:val="00841F29"/>
    <w:rsid w:val="0084218B"/>
    <w:rsid w:val="008425CC"/>
    <w:rsid w:val="008425DE"/>
    <w:rsid w:val="00842DC2"/>
    <w:rsid w:val="0084357B"/>
    <w:rsid w:val="008465B4"/>
    <w:rsid w:val="00846D25"/>
    <w:rsid w:val="00846E6E"/>
    <w:rsid w:val="00850013"/>
    <w:rsid w:val="008500DD"/>
    <w:rsid w:val="00850A0A"/>
    <w:rsid w:val="00850A94"/>
    <w:rsid w:val="0085199A"/>
    <w:rsid w:val="00851CEF"/>
    <w:rsid w:val="00851E01"/>
    <w:rsid w:val="00851E96"/>
    <w:rsid w:val="00851F1C"/>
    <w:rsid w:val="0085237B"/>
    <w:rsid w:val="00852FA5"/>
    <w:rsid w:val="00853864"/>
    <w:rsid w:val="008539F4"/>
    <w:rsid w:val="00853F7D"/>
    <w:rsid w:val="0085517F"/>
    <w:rsid w:val="0085562D"/>
    <w:rsid w:val="00855A78"/>
    <w:rsid w:val="00856154"/>
    <w:rsid w:val="00856286"/>
    <w:rsid w:val="0085657E"/>
    <w:rsid w:val="00856F0E"/>
    <w:rsid w:val="008573AF"/>
    <w:rsid w:val="008575DC"/>
    <w:rsid w:val="008576B0"/>
    <w:rsid w:val="00860296"/>
    <w:rsid w:val="008602E3"/>
    <w:rsid w:val="008609D6"/>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67FC1"/>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77D0D"/>
    <w:rsid w:val="00880354"/>
    <w:rsid w:val="0088069A"/>
    <w:rsid w:val="0088093C"/>
    <w:rsid w:val="00880BC0"/>
    <w:rsid w:val="0088127A"/>
    <w:rsid w:val="00881D59"/>
    <w:rsid w:val="00881EBC"/>
    <w:rsid w:val="008821A9"/>
    <w:rsid w:val="00882991"/>
    <w:rsid w:val="00882EC1"/>
    <w:rsid w:val="0088324E"/>
    <w:rsid w:val="0088434F"/>
    <w:rsid w:val="00884371"/>
    <w:rsid w:val="008848E2"/>
    <w:rsid w:val="00884B7A"/>
    <w:rsid w:val="00884D47"/>
    <w:rsid w:val="00884DEF"/>
    <w:rsid w:val="00885169"/>
    <w:rsid w:val="008856C5"/>
    <w:rsid w:val="0088600D"/>
    <w:rsid w:val="00886112"/>
    <w:rsid w:val="008872B3"/>
    <w:rsid w:val="00887392"/>
    <w:rsid w:val="008873D8"/>
    <w:rsid w:val="00890A64"/>
    <w:rsid w:val="00890C40"/>
    <w:rsid w:val="0089122E"/>
    <w:rsid w:val="008912A7"/>
    <w:rsid w:val="008915B6"/>
    <w:rsid w:val="00891763"/>
    <w:rsid w:val="0089183A"/>
    <w:rsid w:val="008920B4"/>
    <w:rsid w:val="008925EB"/>
    <w:rsid w:val="0089275E"/>
    <w:rsid w:val="00892B43"/>
    <w:rsid w:val="00893432"/>
    <w:rsid w:val="00893936"/>
    <w:rsid w:val="00893CE2"/>
    <w:rsid w:val="00893F41"/>
    <w:rsid w:val="008944BA"/>
    <w:rsid w:val="00894934"/>
    <w:rsid w:val="00895144"/>
    <w:rsid w:val="00895963"/>
    <w:rsid w:val="0089653D"/>
    <w:rsid w:val="008972B6"/>
    <w:rsid w:val="00897339"/>
    <w:rsid w:val="00897697"/>
    <w:rsid w:val="008977E1"/>
    <w:rsid w:val="00897BFA"/>
    <w:rsid w:val="00897D19"/>
    <w:rsid w:val="008A0044"/>
    <w:rsid w:val="008A0BFE"/>
    <w:rsid w:val="008A1023"/>
    <w:rsid w:val="008A1932"/>
    <w:rsid w:val="008A2030"/>
    <w:rsid w:val="008A21D9"/>
    <w:rsid w:val="008A232D"/>
    <w:rsid w:val="008A3182"/>
    <w:rsid w:val="008A3C76"/>
    <w:rsid w:val="008A3D54"/>
    <w:rsid w:val="008A3E10"/>
    <w:rsid w:val="008A404B"/>
    <w:rsid w:val="008A411C"/>
    <w:rsid w:val="008A45AC"/>
    <w:rsid w:val="008A4630"/>
    <w:rsid w:val="008A47CE"/>
    <w:rsid w:val="008A4CF6"/>
    <w:rsid w:val="008A4DFA"/>
    <w:rsid w:val="008A5F2F"/>
    <w:rsid w:val="008A6BAE"/>
    <w:rsid w:val="008A7350"/>
    <w:rsid w:val="008A760A"/>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00E"/>
    <w:rsid w:val="008B48EC"/>
    <w:rsid w:val="008B4AF0"/>
    <w:rsid w:val="008B518E"/>
    <w:rsid w:val="008B527B"/>
    <w:rsid w:val="008B5AB9"/>
    <w:rsid w:val="008B67E6"/>
    <w:rsid w:val="008B69B8"/>
    <w:rsid w:val="008B7042"/>
    <w:rsid w:val="008B770C"/>
    <w:rsid w:val="008C0325"/>
    <w:rsid w:val="008C094A"/>
    <w:rsid w:val="008C1011"/>
    <w:rsid w:val="008C1570"/>
    <w:rsid w:val="008C1792"/>
    <w:rsid w:val="008C17B2"/>
    <w:rsid w:val="008C1E3E"/>
    <w:rsid w:val="008C2059"/>
    <w:rsid w:val="008C21D0"/>
    <w:rsid w:val="008C2DBC"/>
    <w:rsid w:val="008C3639"/>
    <w:rsid w:val="008C3A4E"/>
    <w:rsid w:val="008C3DF0"/>
    <w:rsid w:val="008C4B17"/>
    <w:rsid w:val="008C5371"/>
    <w:rsid w:val="008C546A"/>
    <w:rsid w:val="008C623D"/>
    <w:rsid w:val="008C65F4"/>
    <w:rsid w:val="008C6683"/>
    <w:rsid w:val="008C6917"/>
    <w:rsid w:val="008C6A25"/>
    <w:rsid w:val="008C6D08"/>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48F"/>
    <w:rsid w:val="008D3B9F"/>
    <w:rsid w:val="008D3D02"/>
    <w:rsid w:val="008D3D5A"/>
    <w:rsid w:val="008D3FD6"/>
    <w:rsid w:val="008D4226"/>
    <w:rsid w:val="008D4427"/>
    <w:rsid w:val="008D4D7C"/>
    <w:rsid w:val="008D5432"/>
    <w:rsid w:val="008D54C0"/>
    <w:rsid w:val="008D5558"/>
    <w:rsid w:val="008D5806"/>
    <w:rsid w:val="008D5ED9"/>
    <w:rsid w:val="008D65BE"/>
    <w:rsid w:val="008D7247"/>
    <w:rsid w:val="008D7567"/>
    <w:rsid w:val="008E0EE4"/>
    <w:rsid w:val="008E0FD7"/>
    <w:rsid w:val="008E12BE"/>
    <w:rsid w:val="008E13FD"/>
    <w:rsid w:val="008E1C24"/>
    <w:rsid w:val="008E1FBA"/>
    <w:rsid w:val="008E2626"/>
    <w:rsid w:val="008E27A9"/>
    <w:rsid w:val="008E299E"/>
    <w:rsid w:val="008E2CE4"/>
    <w:rsid w:val="008E323C"/>
    <w:rsid w:val="008E32E0"/>
    <w:rsid w:val="008E35A6"/>
    <w:rsid w:val="008E36D9"/>
    <w:rsid w:val="008E3A1A"/>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ACA"/>
    <w:rsid w:val="008F5D5A"/>
    <w:rsid w:val="008F60F3"/>
    <w:rsid w:val="008F6200"/>
    <w:rsid w:val="008F62F8"/>
    <w:rsid w:val="008F6893"/>
    <w:rsid w:val="008F7292"/>
    <w:rsid w:val="008F76C0"/>
    <w:rsid w:val="009000CE"/>
    <w:rsid w:val="009000F2"/>
    <w:rsid w:val="009005D7"/>
    <w:rsid w:val="00900675"/>
    <w:rsid w:val="0090079D"/>
    <w:rsid w:val="0090086A"/>
    <w:rsid w:val="00900D2C"/>
    <w:rsid w:val="00901807"/>
    <w:rsid w:val="00901F0E"/>
    <w:rsid w:val="009026F1"/>
    <w:rsid w:val="00902743"/>
    <w:rsid w:val="00902A26"/>
    <w:rsid w:val="00902A57"/>
    <w:rsid w:val="00902B29"/>
    <w:rsid w:val="00903C83"/>
    <w:rsid w:val="00903D77"/>
    <w:rsid w:val="0090408F"/>
    <w:rsid w:val="0090446A"/>
    <w:rsid w:val="00904537"/>
    <w:rsid w:val="00904746"/>
    <w:rsid w:val="00904DC3"/>
    <w:rsid w:val="0090534A"/>
    <w:rsid w:val="00905469"/>
    <w:rsid w:val="00905B3B"/>
    <w:rsid w:val="00906078"/>
    <w:rsid w:val="0090629C"/>
    <w:rsid w:val="00906EA2"/>
    <w:rsid w:val="00907278"/>
    <w:rsid w:val="009076CA"/>
    <w:rsid w:val="00910041"/>
    <w:rsid w:val="00910D5C"/>
    <w:rsid w:val="0091112B"/>
    <w:rsid w:val="00911D61"/>
    <w:rsid w:val="00912850"/>
    <w:rsid w:val="009128B8"/>
    <w:rsid w:val="009141F2"/>
    <w:rsid w:val="0091472C"/>
    <w:rsid w:val="00914DC9"/>
    <w:rsid w:val="00915243"/>
    <w:rsid w:val="00915351"/>
    <w:rsid w:val="00915679"/>
    <w:rsid w:val="009159C2"/>
    <w:rsid w:val="0091627F"/>
    <w:rsid w:val="00916825"/>
    <w:rsid w:val="00916E45"/>
    <w:rsid w:val="0092077A"/>
    <w:rsid w:val="00920DC0"/>
    <w:rsid w:val="009217D5"/>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27C8B"/>
    <w:rsid w:val="009307CA"/>
    <w:rsid w:val="009312F9"/>
    <w:rsid w:val="00931445"/>
    <w:rsid w:val="00931AB8"/>
    <w:rsid w:val="00931C19"/>
    <w:rsid w:val="00931C63"/>
    <w:rsid w:val="00931D10"/>
    <w:rsid w:val="0093218A"/>
    <w:rsid w:val="0093370B"/>
    <w:rsid w:val="0093386D"/>
    <w:rsid w:val="00934C8E"/>
    <w:rsid w:val="00934E28"/>
    <w:rsid w:val="00934EB8"/>
    <w:rsid w:val="00935194"/>
    <w:rsid w:val="0093545F"/>
    <w:rsid w:val="0093554C"/>
    <w:rsid w:val="00936EA5"/>
    <w:rsid w:val="00937114"/>
    <w:rsid w:val="00937FB6"/>
    <w:rsid w:val="0094015D"/>
    <w:rsid w:val="00940916"/>
    <w:rsid w:val="009412B7"/>
    <w:rsid w:val="00941B13"/>
    <w:rsid w:val="0094215C"/>
    <w:rsid w:val="00942A27"/>
    <w:rsid w:val="00942F8E"/>
    <w:rsid w:val="00943543"/>
    <w:rsid w:val="009441DB"/>
    <w:rsid w:val="00944834"/>
    <w:rsid w:val="00946128"/>
    <w:rsid w:val="0094633F"/>
    <w:rsid w:val="00947B2C"/>
    <w:rsid w:val="00947BA5"/>
    <w:rsid w:val="00950805"/>
    <w:rsid w:val="009517E4"/>
    <w:rsid w:val="009518D4"/>
    <w:rsid w:val="009520BC"/>
    <w:rsid w:val="009521D2"/>
    <w:rsid w:val="00952403"/>
    <w:rsid w:val="00952589"/>
    <w:rsid w:val="00952BD8"/>
    <w:rsid w:val="00953573"/>
    <w:rsid w:val="0095361D"/>
    <w:rsid w:val="0095370A"/>
    <w:rsid w:val="009537C0"/>
    <w:rsid w:val="00954788"/>
    <w:rsid w:val="00955233"/>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316"/>
    <w:rsid w:val="009625B7"/>
    <w:rsid w:val="00962FB8"/>
    <w:rsid w:val="00963183"/>
    <w:rsid w:val="0096356A"/>
    <w:rsid w:val="0096373F"/>
    <w:rsid w:val="00964007"/>
    <w:rsid w:val="00964283"/>
    <w:rsid w:val="009642A4"/>
    <w:rsid w:val="009643F4"/>
    <w:rsid w:val="009645A6"/>
    <w:rsid w:val="00964F5A"/>
    <w:rsid w:val="0096527F"/>
    <w:rsid w:val="009653ED"/>
    <w:rsid w:val="009664AE"/>
    <w:rsid w:val="00966A21"/>
    <w:rsid w:val="00966AD2"/>
    <w:rsid w:val="009672E4"/>
    <w:rsid w:val="0097025C"/>
    <w:rsid w:val="00971415"/>
    <w:rsid w:val="009716D8"/>
    <w:rsid w:val="00971F54"/>
    <w:rsid w:val="00972057"/>
    <w:rsid w:val="0097227B"/>
    <w:rsid w:val="0097262E"/>
    <w:rsid w:val="0097293F"/>
    <w:rsid w:val="00973103"/>
    <w:rsid w:val="00974022"/>
    <w:rsid w:val="009743E8"/>
    <w:rsid w:val="009745D8"/>
    <w:rsid w:val="00974C13"/>
    <w:rsid w:val="00974F3B"/>
    <w:rsid w:val="0097552A"/>
    <w:rsid w:val="0097564A"/>
    <w:rsid w:val="00975974"/>
    <w:rsid w:val="00975D06"/>
    <w:rsid w:val="00975D63"/>
    <w:rsid w:val="00975DAE"/>
    <w:rsid w:val="00976BBE"/>
    <w:rsid w:val="00976ECE"/>
    <w:rsid w:val="009779F8"/>
    <w:rsid w:val="0098055B"/>
    <w:rsid w:val="00980B30"/>
    <w:rsid w:val="009810BE"/>
    <w:rsid w:val="00981696"/>
    <w:rsid w:val="009817BC"/>
    <w:rsid w:val="009819A7"/>
    <w:rsid w:val="0098220A"/>
    <w:rsid w:val="00982E75"/>
    <w:rsid w:val="00983337"/>
    <w:rsid w:val="009836AA"/>
    <w:rsid w:val="009840C1"/>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CD2"/>
    <w:rsid w:val="00990EB7"/>
    <w:rsid w:val="00990F5F"/>
    <w:rsid w:val="009911A7"/>
    <w:rsid w:val="009913B8"/>
    <w:rsid w:val="009914E4"/>
    <w:rsid w:val="00992141"/>
    <w:rsid w:val="009921DB"/>
    <w:rsid w:val="00992509"/>
    <w:rsid w:val="00992C67"/>
    <w:rsid w:val="00992D5B"/>
    <w:rsid w:val="00993135"/>
    <w:rsid w:val="00993AA7"/>
    <w:rsid w:val="00993AC7"/>
    <w:rsid w:val="00993BAD"/>
    <w:rsid w:val="00993E49"/>
    <w:rsid w:val="00994120"/>
    <w:rsid w:val="009942F5"/>
    <w:rsid w:val="009944FC"/>
    <w:rsid w:val="00994568"/>
    <w:rsid w:val="00994602"/>
    <w:rsid w:val="0099493F"/>
    <w:rsid w:val="009954B7"/>
    <w:rsid w:val="00995B01"/>
    <w:rsid w:val="00996055"/>
    <w:rsid w:val="00996E2E"/>
    <w:rsid w:val="00996EF4"/>
    <w:rsid w:val="00997044"/>
    <w:rsid w:val="00997727"/>
    <w:rsid w:val="00997BC9"/>
    <w:rsid w:val="00997C44"/>
    <w:rsid w:val="009A0316"/>
    <w:rsid w:val="009A113D"/>
    <w:rsid w:val="009A1ECA"/>
    <w:rsid w:val="009A2BE9"/>
    <w:rsid w:val="009A2BF3"/>
    <w:rsid w:val="009A3688"/>
    <w:rsid w:val="009A3713"/>
    <w:rsid w:val="009A3C3E"/>
    <w:rsid w:val="009A4153"/>
    <w:rsid w:val="009A4C2C"/>
    <w:rsid w:val="009A4E60"/>
    <w:rsid w:val="009A543A"/>
    <w:rsid w:val="009A5620"/>
    <w:rsid w:val="009A59B3"/>
    <w:rsid w:val="009A5FAE"/>
    <w:rsid w:val="009A6454"/>
    <w:rsid w:val="009A6B3A"/>
    <w:rsid w:val="009A70A3"/>
    <w:rsid w:val="009A7E7C"/>
    <w:rsid w:val="009A7FA5"/>
    <w:rsid w:val="009B05D2"/>
    <w:rsid w:val="009B152B"/>
    <w:rsid w:val="009B2731"/>
    <w:rsid w:val="009B2DCF"/>
    <w:rsid w:val="009B39D8"/>
    <w:rsid w:val="009B3D38"/>
    <w:rsid w:val="009B4368"/>
    <w:rsid w:val="009B4D4C"/>
    <w:rsid w:val="009B66F5"/>
    <w:rsid w:val="009B7505"/>
    <w:rsid w:val="009C0020"/>
    <w:rsid w:val="009C03F7"/>
    <w:rsid w:val="009C0B8F"/>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75B"/>
    <w:rsid w:val="009D03B7"/>
    <w:rsid w:val="009D07AD"/>
    <w:rsid w:val="009D0824"/>
    <w:rsid w:val="009D0A54"/>
    <w:rsid w:val="009D1172"/>
    <w:rsid w:val="009D13CC"/>
    <w:rsid w:val="009D14C1"/>
    <w:rsid w:val="009D1654"/>
    <w:rsid w:val="009D1AAC"/>
    <w:rsid w:val="009D1BDB"/>
    <w:rsid w:val="009D23B3"/>
    <w:rsid w:val="009D298F"/>
    <w:rsid w:val="009D2F9C"/>
    <w:rsid w:val="009D4207"/>
    <w:rsid w:val="009D4508"/>
    <w:rsid w:val="009D4E4A"/>
    <w:rsid w:val="009D5130"/>
    <w:rsid w:val="009D51A4"/>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1EB6"/>
    <w:rsid w:val="009E377C"/>
    <w:rsid w:val="009E38D1"/>
    <w:rsid w:val="009E3DF1"/>
    <w:rsid w:val="009E44C6"/>
    <w:rsid w:val="009E514A"/>
    <w:rsid w:val="009E5177"/>
    <w:rsid w:val="009E5701"/>
    <w:rsid w:val="009E5711"/>
    <w:rsid w:val="009E758E"/>
    <w:rsid w:val="009E7BA2"/>
    <w:rsid w:val="009E7BFB"/>
    <w:rsid w:val="009E7D6B"/>
    <w:rsid w:val="009E7E81"/>
    <w:rsid w:val="009F020A"/>
    <w:rsid w:val="009F057B"/>
    <w:rsid w:val="009F05AD"/>
    <w:rsid w:val="009F0659"/>
    <w:rsid w:val="009F1109"/>
    <w:rsid w:val="009F143E"/>
    <w:rsid w:val="009F1DE8"/>
    <w:rsid w:val="009F2186"/>
    <w:rsid w:val="009F227C"/>
    <w:rsid w:val="009F28DC"/>
    <w:rsid w:val="009F2BE1"/>
    <w:rsid w:val="009F2EDB"/>
    <w:rsid w:val="009F304C"/>
    <w:rsid w:val="009F33DC"/>
    <w:rsid w:val="009F3572"/>
    <w:rsid w:val="009F4550"/>
    <w:rsid w:val="009F56C0"/>
    <w:rsid w:val="009F5C76"/>
    <w:rsid w:val="00A000C5"/>
    <w:rsid w:val="00A0051A"/>
    <w:rsid w:val="00A007B4"/>
    <w:rsid w:val="00A00930"/>
    <w:rsid w:val="00A00CA0"/>
    <w:rsid w:val="00A00E00"/>
    <w:rsid w:val="00A01221"/>
    <w:rsid w:val="00A012A8"/>
    <w:rsid w:val="00A012F1"/>
    <w:rsid w:val="00A016FF"/>
    <w:rsid w:val="00A01886"/>
    <w:rsid w:val="00A0192D"/>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06DD"/>
    <w:rsid w:val="00A21838"/>
    <w:rsid w:val="00A22530"/>
    <w:rsid w:val="00A22C10"/>
    <w:rsid w:val="00A22C3E"/>
    <w:rsid w:val="00A22C4D"/>
    <w:rsid w:val="00A2334E"/>
    <w:rsid w:val="00A23442"/>
    <w:rsid w:val="00A249D2"/>
    <w:rsid w:val="00A254AB"/>
    <w:rsid w:val="00A259F2"/>
    <w:rsid w:val="00A266B3"/>
    <w:rsid w:val="00A266CC"/>
    <w:rsid w:val="00A26DB4"/>
    <w:rsid w:val="00A27425"/>
    <w:rsid w:val="00A27FAD"/>
    <w:rsid w:val="00A3023E"/>
    <w:rsid w:val="00A305C5"/>
    <w:rsid w:val="00A305F0"/>
    <w:rsid w:val="00A30919"/>
    <w:rsid w:val="00A30AD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687"/>
    <w:rsid w:val="00A41819"/>
    <w:rsid w:val="00A41C9A"/>
    <w:rsid w:val="00A41D73"/>
    <w:rsid w:val="00A41E99"/>
    <w:rsid w:val="00A42406"/>
    <w:rsid w:val="00A42A74"/>
    <w:rsid w:val="00A433E8"/>
    <w:rsid w:val="00A43A1D"/>
    <w:rsid w:val="00A43AB0"/>
    <w:rsid w:val="00A44854"/>
    <w:rsid w:val="00A44A45"/>
    <w:rsid w:val="00A45660"/>
    <w:rsid w:val="00A4665D"/>
    <w:rsid w:val="00A46859"/>
    <w:rsid w:val="00A46C1E"/>
    <w:rsid w:val="00A46D39"/>
    <w:rsid w:val="00A47019"/>
    <w:rsid w:val="00A472B8"/>
    <w:rsid w:val="00A47D57"/>
    <w:rsid w:val="00A47F31"/>
    <w:rsid w:val="00A5004A"/>
    <w:rsid w:val="00A5017C"/>
    <w:rsid w:val="00A502D6"/>
    <w:rsid w:val="00A502F5"/>
    <w:rsid w:val="00A504F4"/>
    <w:rsid w:val="00A505F9"/>
    <w:rsid w:val="00A507C4"/>
    <w:rsid w:val="00A508AA"/>
    <w:rsid w:val="00A50EE7"/>
    <w:rsid w:val="00A51BDA"/>
    <w:rsid w:val="00A526CE"/>
    <w:rsid w:val="00A53224"/>
    <w:rsid w:val="00A53D28"/>
    <w:rsid w:val="00A5468F"/>
    <w:rsid w:val="00A54909"/>
    <w:rsid w:val="00A54DC0"/>
    <w:rsid w:val="00A5507E"/>
    <w:rsid w:val="00A550C9"/>
    <w:rsid w:val="00A55228"/>
    <w:rsid w:val="00A55410"/>
    <w:rsid w:val="00A55A04"/>
    <w:rsid w:val="00A564DE"/>
    <w:rsid w:val="00A6054E"/>
    <w:rsid w:val="00A60722"/>
    <w:rsid w:val="00A60799"/>
    <w:rsid w:val="00A6170B"/>
    <w:rsid w:val="00A61767"/>
    <w:rsid w:val="00A61991"/>
    <w:rsid w:val="00A61B7F"/>
    <w:rsid w:val="00A61B91"/>
    <w:rsid w:val="00A61C3A"/>
    <w:rsid w:val="00A620E8"/>
    <w:rsid w:val="00A626C8"/>
    <w:rsid w:val="00A63335"/>
    <w:rsid w:val="00A634EB"/>
    <w:rsid w:val="00A63685"/>
    <w:rsid w:val="00A63EA5"/>
    <w:rsid w:val="00A64545"/>
    <w:rsid w:val="00A645AC"/>
    <w:rsid w:val="00A64C79"/>
    <w:rsid w:val="00A65EFB"/>
    <w:rsid w:val="00A66B50"/>
    <w:rsid w:val="00A66E28"/>
    <w:rsid w:val="00A6707F"/>
    <w:rsid w:val="00A67429"/>
    <w:rsid w:val="00A677E7"/>
    <w:rsid w:val="00A67CE9"/>
    <w:rsid w:val="00A70590"/>
    <w:rsid w:val="00A7062E"/>
    <w:rsid w:val="00A70834"/>
    <w:rsid w:val="00A71542"/>
    <w:rsid w:val="00A7171F"/>
    <w:rsid w:val="00A719BC"/>
    <w:rsid w:val="00A71FA0"/>
    <w:rsid w:val="00A71FBD"/>
    <w:rsid w:val="00A72727"/>
    <w:rsid w:val="00A727D8"/>
    <w:rsid w:val="00A728A1"/>
    <w:rsid w:val="00A72C1A"/>
    <w:rsid w:val="00A732FB"/>
    <w:rsid w:val="00A7365E"/>
    <w:rsid w:val="00A7463E"/>
    <w:rsid w:val="00A74E67"/>
    <w:rsid w:val="00A758E2"/>
    <w:rsid w:val="00A7654B"/>
    <w:rsid w:val="00A765B1"/>
    <w:rsid w:val="00A76C5A"/>
    <w:rsid w:val="00A772F2"/>
    <w:rsid w:val="00A77828"/>
    <w:rsid w:val="00A77BAA"/>
    <w:rsid w:val="00A800F9"/>
    <w:rsid w:val="00A803A6"/>
    <w:rsid w:val="00A8073D"/>
    <w:rsid w:val="00A80939"/>
    <w:rsid w:val="00A80D02"/>
    <w:rsid w:val="00A815FB"/>
    <w:rsid w:val="00A81AEB"/>
    <w:rsid w:val="00A82009"/>
    <w:rsid w:val="00A82D32"/>
    <w:rsid w:val="00A82EAE"/>
    <w:rsid w:val="00A82FC7"/>
    <w:rsid w:val="00A83EF6"/>
    <w:rsid w:val="00A83FDA"/>
    <w:rsid w:val="00A847F9"/>
    <w:rsid w:val="00A84F27"/>
    <w:rsid w:val="00A8519C"/>
    <w:rsid w:val="00A855EE"/>
    <w:rsid w:val="00A8597A"/>
    <w:rsid w:val="00A85B87"/>
    <w:rsid w:val="00A85C8D"/>
    <w:rsid w:val="00A85F83"/>
    <w:rsid w:val="00A86019"/>
    <w:rsid w:val="00A86EED"/>
    <w:rsid w:val="00A8733A"/>
    <w:rsid w:val="00A9151F"/>
    <w:rsid w:val="00A9196B"/>
    <w:rsid w:val="00A91BB5"/>
    <w:rsid w:val="00A91BEE"/>
    <w:rsid w:val="00A91D4B"/>
    <w:rsid w:val="00A920B2"/>
    <w:rsid w:val="00A9240E"/>
    <w:rsid w:val="00A92A96"/>
    <w:rsid w:val="00A92AF0"/>
    <w:rsid w:val="00A933FE"/>
    <w:rsid w:val="00A937D5"/>
    <w:rsid w:val="00A93C70"/>
    <w:rsid w:val="00A94A32"/>
    <w:rsid w:val="00A94AFC"/>
    <w:rsid w:val="00A94B4E"/>
    <w:rsid w:val="00A94BF5"/>
    <w:rsid w:val="00A954F8"/>
    <w:rsid w:val="00A9557E"/>
    <w:rsid w:val="00A962AE"/>
    <w:rsid w:val="00A96724"/>
    <w:rsid w:val="00A9686A"/>
    <w:rsid w:val="00A96B4A"/>
    <w:rsid w:val="00A976DD"/>
    <w:rsid w:val="00A97BDA"/>
    <w:rsid w:val="00AA043A"/>
    <w:rsid w:val="00AA0779"/>
    <w:rsid w:val="00AA08F3"/>
    <w:rsid w:val="00AA0A7E"/>
    <w:rsid w:val="00AA0F23"/>
    <w:rsid w:val="00AA1067"/>
    <w:rsid w:val="00AA1163"/>
    <w:rsid w:val="00AA1DA8"/>
    <w:rsid w:val="00AA222C"/>
    <w:rsid w:val="00AA2264"/>
    <w:rsid w:val="00AA2335"/>
    <w:rsid w:val="00AA238E"/>
    <w:rsid w:val="00AA2483"/>
    <w:rsid w:val="00AA253B"/>
    <w:rsid w:val="00AA29F8"/>
    <w:rsid w:val="00AA2FB1"/>
    <w:rsid w:val="00AA3243"/>
    <w:rsid w:val="00AA388F"/>
    <w:rsid w:val="00AA3C4C"/>
    <w:rsid w:val="00AA3EBF"/>
    <w:rsid w:val="00AA408E"/>
    <w:rsid w:val="00AA4DA9"/>
    <w:rsid w:val="00AA4F6D"/>
    <w:rsid w:val="00AA50CE"/>
    <w:rsid w:val="00AA536B"/>
    <w:rsid w:val="00AA57C9"/>
    <w:rsid w:val="00AA5A5C"/>
    <w:rsid w:val="00AA5A6F"/>
    <w:rsid w:val="00AA634D"/>
    <w:rsid w:val="00AA64CC"/>
    <w:rsid w:val="00AA66B4"/>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8ED"/>
    <w:rsid w:val="00AB4E41"/>
    <w:rsid w:val="00AB5EB1"/>
    <w:rsid w:val="00AB6003"/>
    <w:rsid w:val="00AB759A"/>
    <w:rsid w:val="00AB7B06"/>
    <w:rsid w:val="00AB7EAA"/>
    <w:rsid w:val="00AC0432"/>
    <w:rsid w:val="00AC0770"/>
    <w:rsid w:val="00AC1304"/>
    <w:rsid w:val="00AC1683"/>
    <w:rsid w:val="00AC184D"/>
    <w:rsid w:val="00AC1D82"/>
    <w:rsid w:val="00AC2686"/>
    <w:rsid w:val="00AC2D5F"/>
    <w:rsid w:val="00AC4094"/>
    <w:rsid w:val="00AC42B6"/>
    <w:rsid w:val="00AC4AB7"/>
    <w:rsid w:val="00AC51E0"/>
    <w:rsid w:val="00AC5FAB"/>
    <w:rsid w:val="00AC6D24"/>
    <w:rsid w:val="00AC6E18"/>
    <w:rsid w:val="00AC7F64"/>
    <w:rsid w:val="00AD1065"/>
    <w:rsid w:val="00AD159E"/>
    <w:rsid w:val="00AD2AB1"/>
    <w:rsid w:val="00AD3132"/>
    <w:rsid w:val="00AD3DA6"/>
    <w:rsid w:val="00AD3F3C"/>
    <w:rsid w:val="00AD415F"/>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62D"/>
    <w:rsid w:val="00AE3CF0"/>
    <w:rsid w:val="00AE4546"/>
    <w:rsid w:val="00AE6575"/>
    <w:rsid w:val="00AE6CF9"/>
    <w:rsid w:val="00AE71EE"/>
    <w:rsid w:val="00AF03CF"/>
    <w:rsid w:val="00AF0565"/>
    <w:rsid w:val="00AF0A0A"/>
    <w:rsid w:val="00AF14FC"/>
    <w:rsid w:val="00AF178B"/>
    <w:rsid w:val="00AF1ED2"/>
    <w:rsid w:val="00AF1F4E"/>
    <w:rsid w:val="00AF2302"/>
    <w:rsid w:val="00AF262A"/>
    <w:rsid w:val="00AF32D4"/>
    <w:rsid w:val="00AF3557"/>
    <w:rsid w:val="00AF3F86"/>
    <w:rsid w:val="00AF4CEE"/>
    <w:rsid w:val="00AF4F4A"/>
    <w:rsid w:val="00AF584C"/>
    <w:rsid w:val="00AF5CCA"/>
    <w:rsid w:val="00AF5D84"/>
    <w:rsid w:val="00AF6476"/>
    <w:rsid w:val="00AF669D"/>
    <w:rsid w:val="00AF672C"/>
    <w:rsid w:val="00AF673E"/>
    <w:rsid w:val="00AF6ABE"/>
    <w:rsid w:val="00AF7389"/>
    <w:rsid w:val="00AF79DF"/>
    <w:rsid w:val="00AF7C37"/>
    <w:rsid w:val="00B00378"/>
    <w:rsid w:val="00B00D91"/>
    <w:rsid w:val="00B00E84"/>
    <w:rsid w:val="00B01956"/>
    <w:rsid w:val="00B01DD9"/>
    <w:rsid w:val="00B01F0E"/>
    <w:rsid w:val="00B02313"/>
    <w:rsid w:val="00B02E56"/>
    <w:rsid w:val="00B0315F"/>
    <w:rsid w:val="00B03338"/>
    <w:rsid w:val="00B03342"/>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239"/>
    <w:rsid w:val="00B20760"/>
    <w:rsid w:val="00B2125C"/>
    <w:rsid w:val="00B21676"/>
    <w:rsid w:val="00B219E1"/>
    <w:rsid w:val="00B21ECF"/>
    <w:rsid w:val="00B22150"/>
    <w:rsid w:val="00B2260B"/>
    <w:rsid w:val="00B226DE"/>
    <w:rsid w:val="00B22FB5"/>
    <w:rsid w:val="00B24184"/>
    <w:rsid w:val="00B241D5"/>
    <w:rsid w:val="00B24BE9"/>
    <w:rsid w:val="00B2551D"/>
    <w:rsid w:val="00B25F8C"/>
    <w:rsid w:val="00B260BE"/>
    <w:rsid w:val="00B26677"/>
    <w:rsid w:val="00B268B5"/>
    <w:rsid w:val="00B26A96"/>
    <w:rsid w:val="00B274E3"/>
    <w:rsid w:val="00B2765C"/>
    <w:rsid w:val="00B27C4B"/>
    <w:rsid w:val="00B30563"/>
    <w:rsid w:val="00B3069E"/>
    <w:rsid w:val="00B30A76"/>
    <w:rsid w:val="00B31246"/>
    <w:rsid w:val="00B31F8E"/>
    <w:rsid w:val="00B32295"/>
    <w:rsid w:val="00B33AB5"/>
    <w:rsid w:val="00B3412E"/>
    <w:rsid w:val="00B343E0"/>
    <w:rsid w:val="00B34F12"/>
    <w:rsid w:val="00B35B6D"/>
    <w:rsid w:val="00B35D53"/>
    <w:rsid w:val="00B36070"/>
    <w:rsid w:val="00B367C4"/>
    <w:rsid w:val="00B36D3E"/>
    <w:rsid w:val="00B36E69"/>
    <w:rsid w:val="00B37B8E"/>
    <w:rsid w:val="00B37FB9"/>
    <w:rsid w:val="00B40222"/>
    <w:rsid w:val="00B404C3"/>
    <w:rsid w:val="00B41422"/>
    <w:rsid w:val="00B41938"/>
    <w:rsid w:val="00B41A04"/>
    <w:rsid w:val="00B42743"/>
    <w:rsid w:val="00B4308D"/>
    <w:rsid w:val="00B430E9"/>
    <w:rsid w:val="00B4311F"/>
    <w:rsid w:val="00B431AE"/>
    <w:rsid w:val="00B43954"/>
    <w:rsid w:val="00B44288"/>
    <w:rsid w:val="00B448BF"/>
    <w:rsid w:val="00B45A30"/>
    <w:rsid w:val="00B45A59"/>
    <w:rsid w:val="00B45F9F"/>
    <w:rsid w:val="00B4627C"/>
    <w:rsid w:val="00B4641F"/>
    <w:rsid w:val="00B46793"/>
    <w:rsid w:val="00B46871"/>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64F"/>
    <w:rsid w:val="00B54B19"/>
    <w:rsid w:val="00B55F64"/>
    <w:rsid w:val="00B56ECA"/>
    <w:rsid w:val="00B57093"/>
    <w:rsid w:val="00B57B5D"/>
    <w:rsid w:val="00B60613"/>
    <w:rsid w:val="00B61AEC"/>
    <w:rsid w:val="00B61CF5"/>
    <w:rsid w:val="00B6244C"/>
    <w:rsid w:val="00B62A2F"/>
    <w:rsid w:val="00B62B7B"/>
    <w:rsid w:val="00B62F0A"/>
    <w:rsid w:val="00B63484"/>
    <w:rsid w:val="00B634B7"/>
    <w:rsid w:val="00B634F1"/>
    <w:rsid w:val="00B637EF"/>
    <w:rsid w:val="00B63EF6"/>
    <w:rsid w:val="00B6440A"/>
    <w:rsid w:val="00B65788"/>
    <w:rsid w:val="00B65844"/>
    <w:rsid w:val="00B65C19"/>
    <w:rsid w:val="00B66054"/>
    <w:rsid w:val="00B6639A"/>
    <w:rsid w:val="00B6677F"/>
    <w:rsid w:val="00B66C7A"/>
    <w:rsid w:val="00B672EA"/>
    <w:rsid w:val="00B6747B"/>
    <w:rsid w:val="00B677B4"/>
    <w:rsid w:val="00B70200"/>
    <w:rsid w:val="00B702D7"/>
    <w:rsid w:val="00B70389"/>
    <w:rsid w:val="00B70E01"/>
    <w:rsid w:val="00B7178D"/>
    <w:rsid w:val="00B718FA"/>
    <w:rsid w:val="00B71DE0"/>
    <w:rsid w:val="00B72A0B"/>
    <w:rsid w:val="00B72CF0"/>
    <w:rsid w:val="00B72F47"/>
    <w:rsid w:val="00B7380E"/>
    <w:rsid w:val="00B740F6"/>
    <w:rsid w:val="00B74615"/>
    <w:rsid w:val="00B74789"/>
    <w:rsid w:val="00B75522"/>
    <w:rsid w:val="00B755B6"/>
    <w:rsid w:val="00B75977"/>
    <w:rsid w:val="00B75A48"/>
    <w:rsid w:val="00B75CC0"/>
    <w:rsid w:val="00B76021"/>
    <w:rsid w:val="00B766F6"/>
    <w:rsid w:val="00B76FCD"/>
    <w:rsid w:val="00B7764D"/>
    <w:rsid w:val="00B8023D"/>
    <w:rsid w:val="00B804F8"/>
    <w:rsid w:val="00B8095A"/>
    <w:rsid w:val="00B81274"/>
    <w:rsid w:val="00B815D3"/>
    <w:rsid w:val="00B81742"/>
    <w:rsid w:val="00B817B5"/>
    <w:rsid w:val="00B81C0F"/>
    <w:rsid w:val="00B823A6"/>
    <w:rsid w:val="00B830A5"/>
    <w:rsid w:val="00B83E76"/>
    <w:rsid w:val="00B83FA0"/>
    <w:rsid w:val="00B84156"/>
    <w:rsid w:val="00B846E6"/>
    <w:rsid w:val="00B8537B"/>
    <w:rsid w:val="00B85586"/>
    <w:rsid w:val="00B85BFB"/>
    <w:rsid w:val="00B86289"/>
    <w:rsid w:val="00B863B3"/>
    <w:rsid w:val="00B869D3"/>
    <w:rsid w:val="00B86CF8"/>
    <w:rsid w:val="00B86E44"/>
    <w:rsid w:val="00B87359"/>
    <w:rsid w:val="00B87F1C"/>
    <w:rsid w:val="00B90D8D"/>
    <w:rsid w:val="00B91263"/>
    <w:rsid w:val="00B91B61"/>
    <w:rsid w:val="00B92D07"/>
    <w:rsid w:val="00B93849"/>
    <w:rsid w:val="00B938BD"/>
    <w:rsid w:val="00B93CF3"/>
    <w:rsid w:val="00B9407F"/>
    <w:rsid w:val="00B944E9"/>
    <w:rsid w:val="00B945D7"/>
    <w:rsid w:val="00B94896"/>
    <w:rsid w:val="00B94CDD"/>
    <w:rsid w:val="00B94DA7"/>
    <w:rsid w:val="00B95163"/>
    <w:rsid w:val="00B954D0"/>
    <w:rsid w:val="00B95E2B"/>
    <w:rsid w:val="00B96DD9"/>
    <w:rsid w:val="00B96EA6"/>
    <w:rsid w:val="00B9789D"/>
    <w:rsid w:val="00B97A4C"/>
    <w:rsid w:val="00B97E10"/>
    <w:rsid w:val="00BA050E"/>
    <w:rsid w:val="00BA1289"/>
    <w:rsid w:val="00BA14B2"/>
    <w:rsid w:val="00BA15DC"/>
    <w:rsid w:val="00BA1E2F"/>
    <w:rsid w:val="00BA1EB8"/>
    <w:rsid w:val="00BA2C82"/>
    <w:rsid w:val="00BA3869"/>
    <w:rsid w:val="00BA4399"/>
    <w:rsid w:val="00BA4452"/>
    <w:rsid w:val="00BA46C6"/>
    <w:rsid w:val="00BA4ACF"/>
    <w:rsid w:val="00BA5039"/>
    <w:rsid w:val="00BA513E"/>
    <w:rsid w:val="00BA583B"/>
    <w:rsid w:val="00BA5DF2"/>
    <w:rsid w:val="00BA5EC7"/>
    <w:rsid w:val="00BA6319"/>
    <w:rsid w:val="00BA63CE"/>
    <w:rsid w:val="00BA676E"/>
    <w:rsid w:val="00BA6980"/>
    <w:rsid w:val="00BA6EF2"/>
    <w:rsid w:val="00BA7227"/>
    <w:rsid w:val="00BA763C"/>
    <w:rsid w:val="00BA784C"/>
    <w:rsid w:val="00BA784D"/>
    <w:rsid w:val="00BA7CD7"/>
    <w:rsid w:val="00BB00E5"/>
    <w:rsid w:val="00BB1688"/>
    <w:rsid w:val="00BB1EFB"/>
    <w:rsid w:val="00BB269F"/>
    <w:rsid w:val="00BB26D9"/>
    <w:rsid w:val="00BB27CC"/>
    <w:rsid w:val="00BB27D2"/>
    <w:rsid w:val="00BB2ACE"/>
    <w:rsid w:val="00BB2E4E"/>
    <w:rsid w:val="00BB2E62"/>
    <w:rsid w:val="00BB36C9"/>
    <w:rsid w:val="00BB3A66"/>
    <w:rsid w:val="00BB40D1"/>
    <w:rsid w:val="00BB40E7"/>
    <w:rsid w:val="00BB5A50"/>
    <w:rsid w:val="00BB5ED5"/>
    <w:rsid w:val="00BB6D85"/>
    <w:rsid w:val="00BB777D"/>
    <w:rsid w:val="00BB7EC0"/>
    <w:rsid w:val="00BB7F88"/>
    <w:rsid w:val="00BC0207"/>
    <w:rsid w:val="00BC0745"/>
    <w:rsid w:val="00BC089F"/>
    <w:rsid w:val="00BC0A0C"/>
    <w:rsid w:val="00BC0A5A"/>
    <w:rsid w:val="00BC0E64"/>
    <w:rsid w:val="00BC25D1"/>
    <w:rsid w:val="00BC2DBD"/>
    <w:rsid w:val="00BC3AFA"/>
    <w:rsid w:val="00BC3BB1"/>
    <w:rsid w:val="00BC3BCB"/>
    <w:rsid w:val="00BC3CF1"/>
    <w:rsid w:val="00BC4202"/>
    <w:rsid w:val="00BC428A"/>
    <w:rsid w:val="00BC4741"/>
    <w:rsid w:val="00BC4828"/>
    <w:rsid w:val="00BC4C40"/>
    <w:rsid w:val="00BC5A29"/>
    <w:rsid w:val="00BC5AE3"/>
    <w:rsid w:val="00BC5BAD"/>
    <w:rsid w:val="00BC692A"/>
    <w:rsid w:val="00BC6F92"/>
    <w:rsid w:val="00BC76C5"/>
    <w:rsid w:val="00BC7F94"/>
    <w:rsid w:val="00BD01D7"/>
    <w:rsid w:val="00BD0E25"/>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D7E3C"/>
    <w:rsid w:val="00BE0591"/>
    <w:rsid w:val="00BE0C55"/>
    <w:rsid w:val="00BE0F03"/>
    <w:rsid w:val="00BE11A2"/>
    <w:rsid w:val="00BE1EF0"/>
    <w:rsid w:val="00BE246C"/>
    <w:rsid w:val="00BE2657"/>
    <w:rsid w:val="00BE2687"/>
    <w:rsid w:val="00BE2FD2"/>
    <w:rsid w:val="00BE377A"/>
    <w:rsid w:val="00BE37AE"/>
    <w:rsid w:val="00BE3B14"/>
    <w:rsid w:val="00BE3C65"/>
    <w:rsid w:val="00BE3CA7"/>
    <w:rsid w:val="00BE4222"/>
    <w:rsid w:val="00BE472D"/>
    <w:rsid w:val="00BE4C03"/>
    <w:rsid w:val="00BE67FB"/>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1EE"/>
    <w:rsid w:val="00C04314"/>
    <w:rsid w:val="00C04BD0"/>
    <w:rsid w:val="00C05730"/>
    <w:rsid w:val="00C05AF4"/>
    <w:rsid w:val="00C05AFD"/>
    <w:rsid w:val="00C0661C"/>
    <w:rsid w:val="00C0675F"/>
    <w:rsid w:val="00C06CC4"/>
    <w:rsid w:val="00C06ECC"/>
    <w:rsid w:val="00C0702A"/>
    <w:rsid w:val="00C0724C"/>
    <w:rsid w:val="00C078B5"/>
    <w:rsid w:val="00C07C11"/>
    <w:rsid w:val="00C07E10"/>
    <w:rsid w:val="00C10015"/>
    <w:rsid w:val="00C10A4E"/>
    <w:rsid w:val="00C10D3B"/>
    <w:rsid w:val="00C1110A"/>
    <w:rsid w:val="00C11689"/>
    <w:rsid w:val="00C12414"/>
    <w:rsid w:val="00C12ECB"/>
    <w:rsid w:val="00C145BE"/>
    <w:rsid w:val="00C148B2"/>
    <w:rsid w:val="00C14ABD"/>
    <w:rsid w:val="00C151E0"/>
    <w:rsid w:val="00C15456"/>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264"/>
    <w:rsid w:val="00C215ED"/>
    <w:rsid w:val="00C22350"/>
    <w:rsid w:val="00C2243D"/>
    <w:rsid w:val="00C22B96"/>
    <w:rsid w:val="00C2302B"/>
    <w:rsid w:val="00C23615"/>
    <w:rsid w:val="00C2397E"/>
    <w:rsid w:val="00C23A83"/>
    <w:rsid w:val="00C24381"/>
    <w:rsid w:val="00C24801"/>
    <w:rsid w:val="00C24C2E"/>
    <w:rsid w:val="00C24C7A"/>
    <w:rsid w:val="00C24FFB"/>
    <w:rsid w:val="00C25936"/>
    <w:rsid w:val="00C25CFF"/>
    <w:rsid w:val="00C25EA6"/>
    <w:rsid w:val="00C26164"/>
    <w:rsid w:val="00C261C1"/>
    <w:rsid w:val="00C26574"/>
    <w:rsid w:val="00C26DBF"/>
    <w:rsid w:val="00C27199"/>
    <w:rsid w:val="00C27204"/>
    <w:rsid w:val="00C304E9"/>
    <w:rsid w:val="00C30A3F"/>
    <w:rsid w:val="00C30B0B"/>
    <w:rsid w:val="00C31320"/>
    <w:rsid w:val="00C316B4"/>
    <w:rsid w:val="00C31A82"/>
    <w:rsid w:val="00C332D4"/>
    <w:rsid w:val="00C33A66"/>
    <w:rsid w:val="00C33E51"/>
    <w:rsid w:val="00C33F3A"/>
    <w:rsid w:val="00C34C45"/>
    <w:rsid w:val="00C34C47"/>
    <w:rsid w:val="00C34FCE"/>
    <w:rsid w:val="00C35411"/>
    <w:rsid w:val="00C35EED"/>
    <w:rsid w:val="00C36B2C"/>
    <w:rsid w:val="00C3701A"/>
    <w:rsid w:val="00C379EF"/>
    <w:rsid w:val="00C405C8"/>
    <w:rsid w:val="00C40C2F"/>
    <w:rsid w:val="00C40EF1"/>
    <w:rsid w:val="00C4153D"/>
    <w:rsid w:val="00C415AC"/>
    <w:rsid w:val="00C4297A"/>
    <w:rsid w:val="00C42A31"/>
    <w:rsid w:val="00C4360C"/>
    <w:rsid w:val="00C439B8"/>
    <w:rsid w:val="00C43A0B"/>
    <w:rsid w:val="00C43EDA"/>
    <w:rsid w:val="00C43FEC"/>
    <w:rsid w:val="00C4414C"/>
    <w:rsid w:val="00C45512"/>
    <w:rsid w:val="00C4602B"/>
    <w:rsid w:val="00C46564"/>
    <w:rsid w:val="00C4660E"/>
    <w:rsid w:val="00C46BFA"/>
    <w:rsid w:val="00C46DDF"/>
    <w:rsid w:val="00C46FBE"/>
    <w:rsid w:val="00C500A1"/>
    <w:rsid w:val="00C50A02"/>
    <w:rsid w:val="00C51149"/>
    <w:rsid w:val="00C5117E"/>
    <w:rsid w:val="00C512D1"/>
    <w:rsid w:val="00C51856"/>
    <w:rsid w:val="00C51B04"/>
    <w:rsid w:val="00C51DB5"/>
    <w:rsid w:val="00C537E2"/>
    <w:rsid w:val="00C53CE9"/>
    <w:rsid w:val="00C5531B"/>
    <w:rsid w:val="00C55375"/>
    <w:rsid w:val="00C554E3"/>
    <w:rsid w:val="00C5570F"/>
    <w:rsid w:val="00C56C98"/>
    <w:rsid w:val="00C56DE1"/>
    <w:rsid w:val="00C56DEE"/>
    <w:rsid w:val="00C57120"/>
    <w:rsid w:val="00C571D5"/>
    <w:rsid w:val="00C575D4"/>
    <w:rsid w:val="00C57612"/>
    <w:rsid w:val="00C608A0"/>
    <w:rsid w:val="00C60CB2"/>
    <w:rsid w:val="00C61223"/>
    <w:rsid w:val="00C61246"/>
    <w:rsid w:val="00C61409"/>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3FB"/>
    <w:rsid w:val="00C65BD3"/>
    <w:rsid w:val="00C664FB"/>
    <w:rsid w:val="00C665DE"/>
    <w:rsid w:val="00C667C3"/>
    <w:rsid w:val="00C6728B"/>
    <w:rsid w:val="00C67460"/>
    <w:rsid w:val="00C675DA"/>
    <w:rsid w:val="00C70718"/>
    <w:rsid w:val="00C70B25"/>
    <w:rsid w:val="00C70EA7"/>
    <w:rsid w:val="00C71528"/>
    <w:rsid w:val="00C717E4"/>
    <w:rsid w:val="00C7191B"/>
    <w:rsid w:val="00C71F09"/>
    <w:rsid w:val="00C72588"/>
    <w:rsid w:val="00C727B9"/>
    <w:rsid w:val="00C72F44"/>
    <w:rsid w:val="00C73670"/>
    <w:rsid w:val="00C737D1"/>
    <w:rsid w:val="00C738A0"/>
    <w:rsid w:val="00C73DE0"/>
    <w:rsid w:val="00C74435"/>
    <w:rsid w:val="00C74609"/>
    <w:rsid w:val="00C749AB"/>
    <w:rsid w:val="00C75A8F"/>
    <w:rsid w:val="00C76129"/>
    <w:rsid w:val="00C76C0C"/>
    <w:rsid w:val="00C76FFC"/>
    <w:rsid w:val="00C774E0"/>
    <w:rsid w:val="00C776BA"/>
    <w:rsid w:val="00C7791E"/>
    <w:rsid w:val="00C81716"/>
    <w:rsid w:val="00C832CB"/>
    <w:rsid w:val="00C84085"/>
    <w:rsid w:val="00C851D2"/>
    <w:rsid w:val="00C852DC"/>
    <w:rsid w:val="00C854A8"/>
    <w:rsid w:val="00C85677"/>
    <w:rsid w:val="00C85E17"/>
    <w:rsid w:val="00C868A7"/>
    <w:rsid w:val="00C86ABA"/>
    <w:rsid w:val="00C86BF7"/>
    <w:rsid w:val="00C87164"/>
    <w:rsid w:val="00C8786A"/>
    <w:rsid w:val="00C87972"/>
    <w:rsid w:val="00C87BBA"/>
    <w:rsid w:val="00C87BD0"/>
    <w:rsid w:val="00C905E5"/>
    <w:rsid w:val="00C90754"/>
    <w:rsid w:val="00C90905"/>
    <w:rsid w:val="00C90B95"/>
    <w:rsid w:val="00C90BC4"/>
    <w:rsid w:val="00C90CA9"/>
    <w:rsid w:val="00C91802"/>
    <w:rsid w:val="00C919DA"/>
    <w:rsid w:val="00C91FE1"/>
    <w:rsid w:val="00C92E41"/>
    <w:rsid w:val="00C92F62"/>
    <w:rsid w:val="00C93097"/>
    <w:rsid w:val="00C937B2"/>
    <w:rsid w:val="00C93B40"/>
    <w:rsid w:val="00C93DB5"/>
    <w:rsid w:val="00C93E16"/>
    <w:rsid w:val="00C93F1E"/>
    <w:rsid w:val="00C94CB9"/>
    <w:rsid w:val="00C95853"/>
    <w:rsid w:val="00C95C2F"/>
    <w:rsid w:val="00C95F87"/>
    <w:rsid w:val="00C96035"/>
    <w:rsid w:val="00C968EF"/>
    <w:rsid w:val="00C96DB8"/>
    <w:rsid w:val="00C972CE"/>
    <w:rsid w:val="00C97A1E"/>
    <w:rsid w:val="00CA00B3"/>
    <w:rsid w:val="00CA0492"/>
    <w:rsid w:val="00CA05B0"/>
    <w:rsid w:val="00CA0632"/>
    <w:rsid w:val="00CA0A04"/>
    <w:rsid w:val="00CA2528"/>
    <w:rsid w:val="00CA3CAB"/>
    <w:rsid w:val="00CA3FC0"/>
    <w:rsid w:val="00CA4816"/>
    <w:rsid w:val="00CA5685"/>
    <w:rsid w:val="00CA6A2E"/>
    <w:rsid w:val="00CA6B56"/>
    <w:rsid w:val="00CA7D3E"/>
    <w:rsid w:val="00CB0317"/>
    <w:rsid w:val="00CB0662"/>
    <w:rsid w:val="00CB0A82"/>
    <w:rsid w:val="00CB0ACA"/>
    <w:rsid w:val="00CB0F2F"/>
    <w:rsid w:val="00CB0F76"/>
    <w:rsid w:val="00CB1556"/>
    <w:rsid w:val="00CB1F90"/>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3BFE"/>
    <w:rsid w:val="00CC4701"/>
    <w:rsid w:val="00CC56B4"/>
    <w:rsid w:val="00CC5F95"/>
    <w:rsid w:val="00CC642A"/>
    <w:rsid w:val="00CC6AC7"/>
    <w:rsid w:val="00CC733D"/>
    <w:rsid w:val="00CC7617"/>
    <w:rsid w:val="00CC7E0D"/>
    <w:rsid w:val="00CC7E97"/>
    <w:rsid w:val="00CD00EB"/>
    <w:rsid w:val="00CD09A7"/>
    <w:rsid w:val="00CD1255"/>
    <w:rsid w:val="00CD1484"/>
    <w:rsid w:val="00CD1892"/>
    <w:rsid w:val="00CD1C01"/>
    <w:rsid w:val="00CD1D00"/>
    <w:rsid w:val="00CD2009"/>
    <w:rsid w:val="00CD27AC"/>
    <w:rsid w:val="00CD2A82"/>
    <w:rsid w:val="00CD3CAB"/>
    <w:rsid w:val="00CD3CE7"/>
    <w:rsid w:val="00CD44FF"/>
    <w:rsid w:val="00CD46A7"/>
    <w:rsid w:val="00CD47BC"/>
    <w:rsid w:val="00CD4E50"/>
    <w:rsid w:val="00CD57CB"/>
    <w:rsid w:val="00CD64E1"/>
    <w:rsid w:val="00CD66BA"/>
    <w:rsid w:val="00CD68D5"/>
    <w:rsid w:val="00CD699D"/>
    <w:rsid w:val="00CD6BA3"/>
    <w:rsid w:val="00CD70DB"/>
    <w:rsid w:val="00CD7530"/>
    <w:rsid w:val="00CD7544"/>
    <w:rsid w:val="00CD78D4"/>
    <w:rsid w:val="00CD7F00"/>
    <w:rsid w:val="00CE0205"/>
    <w:rsid w:val="00CE0697"/>
    <w:rsid w:val="00CE14CB"/>
    <w:rsid w:val="00CE20D7"/>
    <w:rsid w:val="00CE256C"/>
    <w:rsid w:val="00CE2E2E"/>
    <w:rsid w:val="00CE3A51"/>
    <w:rsid w:val="00CE41F9"/>
    <w:rsid w:val="00CE4FFE"/>
    <w:rsid w:val="00CE59F6"/>
    <w:rsid w:val="00CE66CD"/>
    <w:rsid w:val="00CE6938"/>
    <w:rsid w:val="00CE6BA9"/>
    <w:rsid w:val="00CE71C3"/>
    <w:rsid w:val="00CE727A"/>
    <w:rsid w:val="00CE7E02"/>
    <w:rsid w:val="00CF029C"/>
    <w:rsid w:val="00CF0AF0"/>
    <w:rsid w:val="00CF0C4D"/>
    <w:rsid w:val="00CF157E"/>
    <w:rsid w:val="00CF1631"/>
    <w:rsid w:val="00CF1834"/>
    <w:rsid w:val="00CF1AAA"/>
    <w:rsid w:val="00CF1EC2"/>
    <w:rsid w:val="00CF2766"/>
    <w:rsid w:val="00CF2ACF"/>
    <w:rsid w:val="00CF345B"/>
    <w:rsid w:val="00CF3F7D"/>
    <w:rsid w:val="00CF475F"/>
    <w:rsid w:val="00CF5008"/>
    <w:rsid w:val="00CF5069"/>
    <w:rsid w:val="00CF51A1"/>
    <w:rsid w:val="00CF58DB"/>
    <w:rsid w:val="00CF5E34"/>
    <w:rsid w:val="00CF6707"/>
    <w:rsid w:val="00CF6EE8"/>
    <w:rsid w:val="00CF7101"/>
    <w:rsid w:val="00CF7327"/>
    <w:rsid w:val="00CF7385"/>
    <w:rsid w:val="00CF7539"/>
    <w:rsid w:val="00CF75C6"/>
    <w:rsid w:val="00CF7612"/>
    <w:rsid w:val="00CF7B77"/>
    <w:rsid w:val="00CF7DF5"/>
    <w:rsid w:val="00D001D2"/>
    <w:rsid w:val="00D01DAA"/>
    <w:rsid w:val="00D0254E"/>
    <w:rsid w:val="00D026A8"/>
    <w:rsid w:val="00D02A80"/>
    <w:rsid w:val="00D0352D"/>
    <w:rsid w:val="00D038DC"/>
    <w:rsid w:val="00D04F01"/>
    <w:rsid w:val="00D04F8B"/>
    <w:rsid w:val="00D054EF"/>
    <w:rsid w:val="00D0559E"/>
    <w:rsid w:val="00D05637"/>
    <w:rsid w:val="00D05BA9"/>
    <w:rsid w:val="00D05EB1"/>
    <w:rsid w:val="00D0650B"/>
    <w:rsid w:val="00D068AA"/>
    <w:rsid w:val="00D06E71"/>
    <w:rsid w:val="00D06E9C"/>
    <w:rsid w:val="00D0714B"/>
    <w:rsid w:val="00D0764E"/>
    <w:rsid w:val="00D07D82"/>
    <w:rsid w:val="00D101F5"/>
    <w:rsid w:val="00D10327"/>
    <w:rsid w:val="00D103C9"/>
    <w:rsid w:val="00D104CF"/>
    <w:rsid w:val="00D1079C"/>
    <w:rsid w:val="00D10BE1"/>
    <w:rsid w:val="00D11FE3"/>
    <w:rsid w:val="00D12393"/>
    <w:rsid w:val="00D12945"/>
    <w:rsid w:val="00D12CC0"/>
    <w:rsid w:val="00D12DA1"/>
    <w:rsid w:val="00D130C0"/>
    <w:rsid w:val="00D1343A"/>
    <w:rsid w:val="00D13B85"/>
    <w:rsid w:val="00D13D50"/>
    <w:rsid w:val="00D14101"/>
    <w:rsid w:val="00D144D8"/>
    <w:rsid w:val="00D14919"/>
    <w:rsid w:val="00D14E25"/>
    <w:rsid w:val="00D14FD1"/>
    <w:rsid w:val="00D15470"/>
    <w:rsid w:val="00D15AE3"/>
    <w:rsid w:val="00D160C4"/>
    <w:rsid w:val="00D165D8"/>
    <w:rsid w:val="00D1724E"/>
    <w:rsid w:val="00D17A33"/>
    <w:rsid w:val="00D17C26"/>
    <w:rsid w:val="00D17E08"/>
    <w:rsid w:val="00D206F6"/>
    <w:rsid w:val="00D20FD1"/>
    <w:rsid w:val="00D214D4"/>
    <w:rsid w:val="00D21AAA"/>
    <w:rsid w:val="00D21E6F"/>
    <w:rsid w:val="00D21EAD"/>
    <w:rsid w:val="00D2218A"/>
    <w:rsid w:val="00D22B13"/>
    <w:rsid w:val="00D2371E"/>
    <w:rsid w:val="00D237E0"/>
    <w:rsid w:val="00D23A17"/>
    <w:rsid w:val="00D24F57"/>
    <w:rsid w:val="00D25676"/>
    <w:rsid w:val="00D2579F"/>
    <w:rsid w:val="00D2580E"/>
    <w:rsid w:val="00D25D45"/>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BC0"/>
    <w:rsid w:val="00D32D38"/>
    <w:rsid w:val="00D32FA0"/>
    <w:rsid w:val="00D33112"/>
    <w:rsid w:val="00D331CB"/>
    <w:rsid w:val="00D3324C"/>
    <w:rsid w:val="00D335A4"/>
    <w:rsid w:val="00D3451E"/>
    <w:rsid w:val="00D3497A"/>
    <w:rsid w:val="00D35F2F"/>
    <w:rsid w:val="00D35FC6"/>
    <w:rsid w:val="00D369E8"/>
    <w:rsid w:val="00D36BA1"/>
    <w:rsid w:val="00D36BB8"/>
    <w:rsid w:val="00D36E72"/>
    <w:rsid w:val="00D3756D"/>
    <w:rsid w:val="00D377D4"/>
    <w:rsid w:val="00D401A1"/>
    <w:rsid w:val="00D40217"/>
    <w:rsid w:val="00D40385"/>
    <w:rsid w:val="00D404CE"/>
    <w:rsid w:val="00D40E8F"/>
    <w:rsid w:val="00D412BF"/>
    <w:rsid w:val="00D417C6"/>
    <w:rsid w:val="00D417D0"/>
    <w:rsid w:val="00D42B0C"/>
    <w:rsid w:val="00D42D6E"/>
    <w:rsid w:val="00D43DEF"/>
    <w:rsid w:val="00D43EE9"/>
    <w:rsid w:val="00D44259"/>
    <w:rsid w:val="00D45155"/>
    <w:rsid w:val="00D45A88"/>
    <w:rsid w:val="00D45C61"/>
    <w:rsid w:val="00D45DDC"/>
    <w:rsid w:val="00D5064C"/>
    <w:rsid w:val="00D50C94"/>
    <w:rsid w:val="00D511E7"/>
    <w:rsid w:val="00D51372"/>
    <w:rsid w:val="00D51589"/>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5FE"/>
    <w:rsid w:val="00D629A4"/>
    <w:rsid w:val="00D62BDF"/>
    <w:rsid w:val="00D62EEE"/>
    <w:rsid w:val="00D63034"/>
    <w:rsid w:val="00D647C3"/>
    <w:rsid w:val="00D64F1C"/>
    <w:rsid w:val="00D6570C"/>
    <w:rsid w:val="00D659EA"/>
    <w:rsid w:val="00D65A89"/>
    <w:rsid w:val="00D65E85"/>
    <w:rsid w:val="00D6611C"/>
    <w:rsid w:val="00D66751"/>
    <w:rsid w:val="00D671C7"/>
    <w:rsid w:val="00D675B0"/>
    <w:rsid w:val="00D675DE"/>
    <w:rsid w:val="00D678BB"/>
    <w:rsid w:val="00D67D81"/>
    <w:rsid w:val="00D70170"/>
    <w:rsid w:val="00D702E8"/>
    <w:rsid w:val="00D70552"/>
    <w:rsid w:val="00D70D42"/>
    <w:rsid w:val="00D70E1C"/>
    <w:rsid w:val="00D71285"/>
    <w:rsid w:val="00D71ABC"/>
    <w:rsid w:val="00D71C36"/>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FAB"/>
    <w:rsid w:val="00D774F4"/>
    <w:rsid w:val="00D77687"/>
    <w:rsid w:val="00D77AF6"/>
    <w:rsid w:val="00D804C5"/>
    <w:rsid w:val="00D81402"/>
    <w:rsid w:val="00D815E6"/>
    <w:rsid w:val="00D81A28"/>
    <w:rsid w:val="00D81BDE"/>
    <w:rsid w:val="00D8201D"/>
    <w:rsid w:val="00D82B00"/>
    <w:rsid w:val="00D82B04"/>
    <w:rsid w:val="00D82BE4"/>
    <w:rsid w:val="00D82E05"/>
    <w:rsid w:val="00D83C0D"/>
    <w:rsid w:val="00D83C80"/>
    <w:rsid w:val="00D83F5B"/>
    <w:rsid w:val="00D855CD"/>
    <w:rsid w:val="00D85E20"/>
    <w:rsid w:val="00D85FDE"/>
    <w:rsid w:val="00D8665E"/>
    <w:rsid w:val="00D869C1"/>
    <w:rsid w:val="00D86E01"/>
    <w:rsid w:val="00D86EC6"/>
    <w:rsid w:val="00D87418"/>
    <w:rsid w:val="00D877CB"/>
    <w:rsid w:val="00D87A39"/>
    <w:rsid w:val="00D87FE6"/>
    <w:rsid w:val="00D90BC3"/>
    <w:rsid w:val="00D90C93"/>
    <w:rsid w:val="00D90DB9"/>
    <w:rsid w:val="00D91001"/>
    <w:rsid w:val="00D910FF"/>
    <w:rsid w:val="00D91337"/>
    <w:rsid w:val="00D914AA"/>
    <w:rsid w:val="00D915C9"/>
    <w:rsid w:val="00D918DA"/>
    <w:rsid w:val="00D9198F"/>
    <w:rsid w:val="00D92078"/>
    <w:rsid w:val="00D926F0"/>
    <w:rsid w:val="00D92A87"/>
    <w:rsid w:val="00D93307"/>
    <w:rsid w:val="00D9359A"/>
    <w:rsid w:val="00D9384E"/>
    <w:rsid w:val="00D93AEE"/>
    <w:rsid w:val="00D9413E"/>
    <w:rsid w:val="00D94394"/>
    <w:rsid w:val="00D94C8D"/>
    <w:rsid w:val="00D95715"/>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A1B"/>
    <w:rsid w:val="00DA3C5B"/>
    <w:rsid w:val="00DA3D23"/>
    <w:rsid w:val="00DA4A61"/>
    <w:rsid w:val="00DA5AFE"/>
    <w:rsid w:val="00DA61AB"/>
    <w:rsid w:val="00DA61CD"/>
    <w:rsid w:val="00DA6CD7"/>
    <w:rsid w:val="00DA6EE2"/>
    <w:rsid w:val="00DA718A"/>
    <w:rsid w:val="00DA7837"/>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1603"/>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373"/>
    <w:rsid w:val="00DC7608"/>
    <w:rsid w:val="00DC761E"/>
    <w:rsid w:val="00DC7B3B"/>
    <w:rsid w:val="00DC7CFC"/>
    <w:rsid w:val="00DC7DB4"/>
    <w:rsid w:val="00DD080F"/>
    <w:rsid w:val="00DD09F2"/>
    <w:rsid w:val="00DD0DEE"/>
    <w:rsid w:val="00DD1169"/>
    <w:rsid w:val="00DD1205"/>
    <w:rsid w:val="00DD1633"/>
    <w:rsid w:val="00DD17A0"/>
    <w:rsid w:val="00DD1B97"/>
    <w:rsid w:val="00DD2645"/>
    <w:rsid w:val="00DD2831"/>
    <w:rsid w:val="00DD2A6D"/>
    <w:rsid w:val="00DD2E17"/>
    <w:rsid w:val="00DD3F64"/>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290D"/>
    <w:rsid w:val="00DE30AC"/>
    <w:rsid w:val="00DE38D1"/>
    <w:rsid w:val="00DE4106"/>
    <w:rsid w:val="00DE466B"/>
    <w:rsid w:val="00DE48F4"/>
    <w:rsid w:val="00DE5258"/>
    <w:rsid w:val="00DE5563"/>
    <w:rsid w:val="00DE5C19"/>
    <w:rsid w:val="00DE5D48"/>
    <w:rsid w:val="00DE6E4D"/>
    <w:rsid w:val="00DE7498"/>
    <w:rsid w:val="00DE75EF"/>
    <w:rsid w:val="00DE7611"/>
    <w:rsid w:val="00DE7D19"/>
    <w:rsid w:val="00DF05A0"/>
    <w:rsid w:val="00DF07C5"/>
    <w:rsid w:val="00DF1162"/>
    <w:rsid w:val="00DF1BA8"/>
    <w:rsid w:val="00DF1F63"/>
    <w:rsid w:val="00DF28F2"/>
    <w:rsid w:val="00DF2BFF"/>
    <w:rsid w:val="00DF339B"/>
    <w:rsid w:val="00DF3798"/>
    <w:rsid w:val="00DF393E"/>
    <w:rsid w:val="00DF3ABB"/>
    <w:rsid w:val="00DF4FF1"/>
    <w:rsid w:val="00DF56A3"/>
    <w:rsid w:val="00DF5B33"/>
    <w:rsid w:val="00DF6FD2"/>
    <w:rsid w:val="00DF70AA"/>
    <w:rsid w:val="00DF72EF"/>
    <w:rsid w:val="00DF743D"/>
    <w:rsid w:val="00DF7724"/>
    <w:rsid w:val="00E000D8"/>
    <w:rsid w:val="00E00C1E"/>
    <w:rsid w:val="00E00F5F"/>
    <w:rsid w:val="00E010E6"/>
    <w:rsid w:val="00E01377"/>
    <w:rsid w:val="00E014E7"/>
    <w:rsid w:val="00E01936"/>
    <w:rsid w:val="00E0232F"/>
    <w:rsid w:val="00E026A9"/>
    <w:rsid w:val="00E02AD9"/>
    <w:rsid w:val="00E02D1A"/>
    <w:rsid w:val="00E0356F"/>
    <w:rsid w:val="00E03B42"/>
    <w:rsid w:val="00E03C10"/>
    <w:rsid w:val="00E0479F"/>
    <w:rsid w:val="00E04816"/>
    <w:rsid w:val="00E04982"/>
    <w:rsid w:val="00E04D6A"/>
    <w:rsid w:val="00E050CE"/>
    <w:rsid w:val="00E058DB"/>
    <w:rsid w:val="00E05950"/>
    <w:rsid w:val="00E05AF7"/>
    <w:rsid w:val="00E05CD4"/>
    <w:rsid w:val="00E05DE8"/>
    <w:rsid w:val="00E06100"/>
    <w:rsid w:val="00E0614E"/>
    <w:rsid w:val="00E06E97"/>
    <w:rsid w:val="00E0799C"/>
    <w:rsid w:val="00E07B8F"/>
    <w:rsid w:val="00E07C4D"/>
    <w:rsid w:val="00E105CE"/>
    <w:rsid w:val="00E10712"/>
    <w:rsid w:val="00E10DD1"/>
    <w:rsid w:val="00E11A5D"/>
    <w:rsid w:val="00E1224C"/>
    <w:rsid w:val="00E1254C"/>
    <w:rsid w:val="00E12BDF"/>
    <w:rsid w:val="00E1302B"/>
    <w:rsid w:val="00E13326"/>
    <w:rsid w:val="00E13D07"/>
    <w:rsid w:val="00E14356"/>
    <w:rsid w:val="00E14961"/>
    <w:rsid w:val="00E14D76"/>
    <w:rsid w:val="00E15183"/>
    <w:rsid w:val="00E15D6C"/>
    <w:rsid w:val="00E167D9"/>
    <w:rsid w:val="00E1720B"/>
    <w:rsid w:val="00E203DE"/>
    <w:rsid w:val="00E2048A"/>
    <w:rsid w:val="00E20CE7"/>
    <w:rsid w:val="00E2129E"/>
    <w:rsid w:val="00E217B1"/>
    <w:rsid w:val="00E21B10"/>
    <w:rsid w:val="00E222FA"/>
    <w:rsid w:val="00E229CE"/>
    <w:rsid w:val="00E22B4A"/>
    <w:rsid w:val="00E238BC"/>
    <w:rsid w:val="00E2449B"/>
    <w:rsid w:val="00E24A62"/>
    <w:rsid w:val="00E24F52"/>
    <w:rsid w:val="00E255CC"/>
    <w:rsid w:val="00E25636"/>
    <w:rsid w:val="00E25755"/>
    <w:rsid w:val="00E25F90"/>
    <w:rsid w:val="00E26266"/>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66E"/>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1CEE"/>
    <w:rsid w:val="00E4208F"/>
    <w:rsid w:val="00E42E94"/>
    <w:rsid w:val="00E43006"/>
    <w:rsid w:val="00E4312A"/>
    <w:rsid w:val="00E4331B"/>
    <w:rsid w:val="00E43551"/>
    <w:rsid w:val="00E437FA"/>
    <w:rsid w:val="00E45899"/>
    <w:rsid w:val="00E45A2C"/>
    <w:rsid w:val="00E46A6B"/>
    <w:rsid w:val="00E46A9C"/>
    <w:rsid w:val="00E47DB1"/>
    <w:rsid w:val="00E50BDD"/>
    <w:rsid w:val="00E510CF"/>
    <w:rsid w:val="00E513D7"/>
    <w:rsid w:val="00E519FE"/>
    <w:rsid w:val="00E51DDC"/>
    <w:rsid w:val="00E5206C"/>
    <w:rsid w:val="00E52AAB"/>
    <w:rsid w:val="00E53148"/>
    <w:rsid w:val="00E5323C"/>
    <w:rsid w:val="00E533E5"/>
    <w:rsid w:val="00E5448E"/>
    <w:rsid w:val="00E54E0D"/>
    <w:rsid w:val="00E55247"/>
    <w:rsid w:val="00E558E5"/>
    <w:rsid w:val="00E55B2B"/>
    <w:rsid w:val="00E55B3C"/>
    <w:rsid w:val="00E56795"/>
    <w:rsid w:val="00E56D4F"/>
    <w:rsid w:val="00E57932"/>
    <w:rsid w:val="00E606C4"/>
    <w:rsid w:val="00E60811"/>
    <w:rsid w:val="00E60AB8"/>
    <w:rsid w:val="00E6103E"/>
    <w:rsid w:val="00E6185F"/>
    <w:rsid w:val="00E61D32"/>
    <w:rsid w:val="00E63C60"/>
    <w:rsid w:val="00E64050"/>
    <w:rsid w:val="00E64B7B"/>
    <w:rsid w:val="00E6514D"/>
    <w:rsid w:val="00E65161"/>
    <w:rsid w:val="00E652C9"/>
    <w:rsid w:val="00E65863"/>
    <w:rsid w:val="00E6593B"/>
    <w:rsid w:val="00E65D74"/>
    <w:rsid w:val="00E66E11"/>
    <w:rsid w:val="00E672C6"/>
    <w:rsid w:val="00E70192"/>
    <w:rsid w:val="00E70BD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1FFB"/>
    <w:rsid w:val="00E821A2"/>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0E1"/>
    <w:rsid w:val="00E86976"/>
    <w:rsid w:val="00E87A37"/>
    <w:rsid w:val="00E87CF7"/>
    <w:rsid w:val="00E9036E"/>
    <w:rsid w:val="00E90420"/>
    <w:rsid w:val="00E9078A"/>
    <w:rsid w:val="00E912FD"/>
    <w:rsid w:val="00E91B26"/>
    <w:rsid w:val="00E92C6E"/>
    <w:rsid w:val="00E92D0B"/>
    <w:rsid w:val="00E92FFF"/>
    <w:rsid w:val="00E93195"/>
    <w:rsid w:val="00E9391C"/>
    <w:rsid w:val="00E93D05"/>
    <w:rsid w:val="00E93F19"/>
    <w:rsid w:val="00E94203"/>
    <w:rsid w:val="00E951D8"/>
    <w:rsid w:val="00E95781"/>
    <w:rsid w:val="00E95C2A"/>
    <w:rsid w:val="00E961CB"/>
    <w:rsid w:val="00E963BC"/>
    <w:rsid w:val="00E966A6"/>
    <w:rsid w:val="00E96E91"/>
    <w:rsid w:val="00E96F6E"/>
    <w:rsid w:val="00E9751D"/>
    <w:rsid w:val="00E97DC6"/>
    <w:rsid w:val="00E97F7A"/>
    <w:rsid w:val="00EA0010"/>
    <w:rsid w:val="00EA0143"/>
    <w:rsid w:val="00EA089B"/>
    <w:rsid w:val="00EA144F"/>
    <w:rsid w:val="00EA1ACC"/>
    <w:rsid w:val="00EA23E8"/>
    <w:rsid w:val="00EA2E21"/>
    <w:rsid w:val="00EA2EAA"/>
    <w:rsid w:val="00EA380C"/>
    <w:rsid w:val="00EA4AB6"/>
    <w:rsid w:val="00EA4DA5"/>
    <w:rsid w:val="00EA5F1B"/>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765"/>
    <w:rsid w:val="00EB2961"/>
    <w:rsid w:val="00EB2E1A"/>
    <w:rsid w:val="00EB2F8A"/>
    <w:rsid w:val="00EB3268"/>
    <w:rsid w:val="00EB3298"/>
    <w:rsid w:val="00EB3939"/>
    <w:rsid w:val="00EB3CE6"/>
    <w:rsid w:val="00EB3E92"/>
    <w:rsid w:val="00EB429C"/>
    <w:rsid w:val="00EB54AB"/>
    <w:rsid w:val="00EB6257"/>
    <w:rsid w:val="00EB68E6"/>
    <w:rsid w:val="00EB6AE9"/>
    <w:rsid w:val="00EB6B2D"/>
    <w:rsid w:val="00EB71C9"/>
    <w:rsid w:val="00EB763E"/>
    <w:rsid w:val="00EB7659"/>
    <w:rsid w:val="00EB7B67"/>
    <w:rsid w:val="00EC07F1"/>
    <w:rsid w:val="00EC09E7"/>
    <w:rsid w:val="00EC1E8A"/>
    <w:rsid w:val="00EC328C"/>
    <w:rsid w:val="00EC32F5"/>
    <w:rsid w:val="00EC3852"/>
    <w:rsid w:val="00EC3DBB"/>
    <w:rsid w:val="00EC4528"/>
    <w:rsid w:val="00EC488B"/>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459"/>
    <w:rsid w:val="00ED18B1"/>
    <w:rsid w:val="00ED1ADE"/>
    <w:rsid w:val="00ED2A4D"/>
    <w:rsid w:val="00ED3187"/>
    <w:rsid w:val="00ED3692"/>
    <w:rsid w:val="00ED44BD"/>
    <w:rsid w:val="00ED4A77"/>
    <w:rsid w:val="00ED4B0D"/>
    <w:rsid w:val="00ED4B6E"/>
    <w:rsid w:val="00ED54F0"/>
    <w:rsid w:val="00ED5981"/>
    <w:rsid w:val="00ED5EF6"/>
    <w:rsid w:val="00ED613A"/>
    <w:rsid w:val="00ED6514"/>
    <w:rsid w:val="00ED66B2"/>
    <w:rsid w:val="00ED71BA"/>
    <w:rsid w:val="00ED728F"/>
    <w:rsid w:val="00ED73A1"/>
    <w:rsid w:val="00ED7615"/>
    <w:rsid w:val="00ED7CA2"/>
    <w:rsid w:val="00EE04F9"/>
    <w:rsid w:val="00EE05E0"/>
    <w:rsid w:val="00EE13DA"/>
    <w:rsid w:val="00EE1595"/>
    <w:rsid w:val="00EE1E71"/>
    <w:rsid w:val="00EE2087"/>
    <w:rsid w:val="00EE20C2"/>
    <w:rsid w:val="00EE2A9D"/>
    <w:rsid w:val="00EE3384"/>
    <w:rsid w:val="00EE391B"/>
    <w:rsid w:val="00EE499F"/>
    <w:rsid w:val="00EE56E2"/>
    <w:rsid w:val="00EE5FCD"/>
    <w:rsid w:val="00EE63BF"/>
    <w:rsid w:val="00EE6D45"/>
    <w:rsid w:val="00EE6E89"/>
    <w:rsid w:val="00EE7C80"/>
    <w:rsid w:val="00EF0D4B"/>
    <w:rsid w:val="00EF0FE6"/>
    <w:rsid w:val="00EF1130"/>
    <w:rsid w:val="00EF1432"/>
    <w:rsid w:val="00EF1511"/>
    <w:rsid w:val="00EF1D6E"/>
    <w:rsid w:val="00EF1F01"/>
    <w:rsid w:val="00EF2C39"/>
    <w:rsid w:val="00EF2C5F"/>
    <w:rsid w:val="00EF3811"/>
    <w:rsid w:val="00EF3AC4"/>
    <w:rsid w:val="00EF3FF9"/>
    <w:rsid w:val="00EF41AF"/>
    <w:rsid w:val="00EF4B87"/>
    <w:rsid w:val="00EF4DB4"/>
    <w:rsid w:val="00EF4FFB"/>
    <w:rsid w:val="00EF50D5"/>
    <w:rsid w:val="00EF5234"/>
    <w:rsid w:val="00EF55E9"/>
    <w:rsid w:val="00EF5B41"/>
    <w:rsid w:val="00EF611C"/>
    <w:rsid w:val="00EF625F"/>
    <w:rsid w:val="00EF62C0"/>
    <w:rsid w:val="00EF68C9"/>
    <w:rsid w:val="00EF6D5A"/>
    <w:rsid w:val="00EF71E6"/>
    <w:rsid w:val="00F0058A"/>
    <w:rsid w:val="00F00630"/>
    <w:rsid w:val="00F00922"/>
    <w:rsid w:val="00F00924"/>
    <w:rsid w:val="00F00E86"/>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06"/>
    <w:rsid w:val="00F07134"/>
    <w:rsid w:val="00F0724D"/>
    <w:rsid w:val="00F07378"/>
    <w:rsid w:val="00F073B2"/>
    <w:rsid w:val="00F10B81"/>
    <w:rsid w:val="00F10BC9"/>
    <w:rsid w:val="00F11078"/>
    <w:rsid w:val="00F113C9"/>
    <w:rsid w:val="00F11C01"/>
    <w:rsid w:val="00F11D80"/>
    <w:rsid w:val="00F133C7"/>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4F1B"/>
    <w:rsid w:val="00F254C4"/>
    <w:rsid w:val="00F25641"/>
    <w:rsid w:val="00F256D8"/>
    <w:rsid w:val="00F25824"/>
    <w:rsid w:val="00F25E8C"/>
    <w:rsid w:val="00F26065"/>
    <w:rsid w:val="00F262B8"/>
    <w:rsid w:val="00F266E3"/>
    <w:rsid w:val="00F2689C"/>
    <w:rsid w:val="00F26A97"/>
    <w:rsid w:val="00F27E44"/>
    <w:rsid w:val="00F30313"/>
    <w:rsid w:val="00F303BC"/>
    <w:rsid w:val="00F30472"/>
    <w:rsid w:val="00F31052"/>
    <w:rsid w:val="00F31068"/>
    <w:rsid w:val="00F318A1"/>
    <w:rsid w:val="00F31CF5"/>
    <w:rsid w:val="00F3265C"/>
    <w:rsid w:val="00F32C4A"/>
    <w:rsid w:val="00F33262"/>
    <w:rsid w:val="00F340A3"/>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3B10"/>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2FCD"/>
    <w:rsid w:val="00F630B4"/>
    <w:rsid w:val="00F635EF"/>
    <w:rsid w:val="00F6394D"/>
    <w:rsid w:val="00F63BF4"/>
    <w:rsid w:val="00F63C55"/>
    <w:rsid w:val="00F63C60"/>
    <w:rsid w:val="00F64991"/>
    <w:rsid w:val="00F65425"/>
    <w:rsid w:val="00F65BA9"/>
    <w:rsid w:val="00F65BC8"/>
    <w:rsid w:val="00F65EEA"/>
    <w:rsid w:val="00F66205"/>
    <w:rsid w:val="00F6630F"/>
    <w:rsid w:val="00F66419"/>
    <w:rsid w:val="00F66B9E"/>
    <w:rsid w:val="00F67079"/>
    <w:rsid w:val="00F673B1"/>
    <w:rsid w:val="00F67B58"/>
    <w:rsid w:val="00F67E81"/>
    <w:rsid w:val="00F7044B"/>
    <w:rsid w:val="00F70B6F"/>
    <w:rsid w:val="00F70FD4"/>
    <w:rsid w:val="00F71342"/>
    <w:rsid w:val="00F71C68"/>
    <w:rsid w:val="00F724E2"/>
    <w:rsid w:val="00F74103"/>
    <w:rsid w:val="00F7410A"/>
    <w:rsid w:val="00F745A4"/>
    <w:rsid w:val="00F74C0C"/>
    <w:rsid w:val="00F74E75"/>
    <w:rsid w:val="00F758E1"/>
    <w:rsid w:val="00F75BB5"/>
    <w:rsid w:val="00F75FD5"/>
    <w:rsid w:val="00F7604C"/>
    <w:rsid w:val="00F76D4E"/>
    <w:rsid w:val="00F7708A"/>
    <w:rsid w:val="00F773A9"/>
    <w:rsid w:val="00F8056E"/>
    <w:rsid w:val="00F805B7"/>
    <w:rsid w:val="00F810C1"/>
    <w:rsid w:val="00F81623"/>
    <w:rsid w:val="00F81D25"/>
    <w:rsid w:val="00F8245C"/>
    <w:rsid w:val="00F82928"/>
    <w:rsid w:val="00F829B9"/>
    <w:rsid w:val="00F82B45"/>
    <w:rsid w:val="00F83045"/>
    <w:rsid w:val="00F83615"/>
    <w:rsid w:val="00F83C74"/>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993"/>
    <w:rsid w:val="00F93291"/>
    <w:rsid w:val="00F934DD"/>
    <w:rsid w:val="00F97A34"/>
    <w:rsid w:val="00F97E4A"/>
    <w:rsid w:val="00F97EA1"/>
    <w:rsid w:val="00FA003A"/>
    <w:rsid w:val="00FA05C8"/>
    <w:rsid w:val="00FA0678"/>
    <w:rsid w:val="00FA0DB6"/>
    <w:rsid w:val="00FA1F2F"/>
    <w:rsid w:val="00FA23F7"/>
    <w:rsid w:val="00FA27EB"/>
    <w:rsid w:val="00FA2CA8"/>
    <w:rsid w:val="00FA35B6"/>
    <w:rsid w:val="00FA38AF"/>
    <w:rsid w:val="00FA3EBC"/>
    <w:rsid w:val="00FA423C"/>
    <w:rsid w:val="00FA44D0"/>
    <w:rsid w:val="00FA4590"/>
    <w:rsid w:val="00FA55A2"/>
    <w:rsid w:val="00FA672F"/>
    <w:rsid w:val="00FA775E"/>
    <w:rsid w:val="00FA7792"/>
    <w:rsid w:val="00FA7AA8"/>
    <w:rsid w:val="00FA7F1D"/>
    <w:rsid w:val="00FB011C"/>
    <w:rsid w:val="00FB0D60"/>
    <w:rsid w:val="00FB18FD"/>
    <w:rsid w:val="00FB1AB4"/>
    <w:rsid w:val="00FB236E"/>
    <w:rsid w:val="00FB2BF5"/>
    <w:rsid w:val="00FB2F8E"/>
    <w:rsid w:val="00FB30C3"/>
    <w:rsid w:val="00FB39B0"/>
    <w:rsid w:val="00FB5138"/>
    <w:rsid w:val="00FB547F"/>
    <w:rsid w:val="00FB5A71"/>
    <w:rsid w:val="00FB5B9A"/>
    <w:rsid w:val="00FB63F6"/>
    <w:rsid w:val="00FB7823"/>
    <w:rsid w:val="00FC05B2"/>
    <w:rsid w:val="00FC08B3"/>
    <w:rsid w:val="00FC09D7"/>
    <w:rsid w:val="00FC0ABE"/>
    <w:rsid w:val="00FC1269"/>
    <w:rsid w:val="00FC13F3"/>
    <w:rsid w:val="00FC22D0"/>
    <w:rsid w:val="00FC3177"/>
    <w:rsid w:val="00FC330F"/>
    <w:rsid w:val="00FC38D4"/>
    <w:rsid w:val="00FC391E"/>
    <w:rsid w:val="00FC39B3"/>
    <w:rsid w:val="00FC3BB7"/>
    <w:rsid w:val="00FC4345"/>
    <w:rsid w:val="00FC444A"/>
    <w:rsid w:val="00FC453D"/>
    <w:rsid w:val="00FC4A89"/>
    <w:rsid w:val="00FC5856"/>
    <w:rsid w:val="00FC598F"/>
    <w:rsid w:val="00FC619B"/>
    <w:rsid w:val="00FC665F"/>
    <w:rsid w:val="00FC6C35"/>
    <w:rsid w:val="00FC6D59"/>
    <w:rsid w:val="00FC6F5F"/>
    <w:rsid w:val="00FC7561"/>
    <w:rsid w:val="00FC765F"/>
    <w:rsid w:val="00FC778B"/>
    <w:rsid w:val="00FC78F5"/>
    <w:rsid w:val="00FC7ACA"/>
    <w:rsid w:val="00FC7AD2"/>
    <w:rsid w:val="00FD10B3"/>
    <w:rsid w:val="00FD11C3"/>
    <w:rsid w:val="00FD154E"/>
    <w:rsid w:val="00FD24D7"/>
    <w:rsid w:val="00FD29CE"/>
    <w:rsid w:val="00FD2C8C"/>
    <w:rsid w:val="00FD2D02"/>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0FF0"/>
    <w:rsid w:val="00FE114F"/>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08"/>
    <w:rsid w:val="00FF183C"/>
    <w:rsid w:val="00FF1A06"/>
    <w:rsid w:val="00FF1AD3"/>
    <w:rsid w:val="00FF1B46"/>
    <w:rsid w:val="00FF1FCC"/>
    <w:rsid w:val="00FF219D"/>
    <w:rsid w:val="00FF2A7B"/>
    <w:rsid w:val="00FF3D2B"/>
    <w:rsid w:val="00FF4684"/>
    <w:rsid w:val="00FF49B4"/>
    <w:rsid w:val="00FF49F4"/>
    <w:rsid w:val="00FF5C6A"/>
    <w:rsid w:val="00FF651D"/>
    <w:rsid w:val="00FF6843"/>
    <w:rsid w:val="00FF6C25"/>
    <w:rsid w:val="00FF6D24"/>
    <w:rsid w:val="00FF7EBC"/>
    <w:rsid w:val="010651D9"/>
    <w:rsid w:val="011F6449"/>
    <w:rsid w:val="01236AFB"/>
    <w:rsid w:val="01361389"/>
    <w:rsid w:val="019F7441"/>
    <w:rsid w:val="01B37585"/>
    <w:rsid w:val="01D55165"/>
    <w:rsid w:val="01DF6BF8"/>
    <w:rsid w:val="01EC2C57"/>
    <w:rsid w:val="02301FCF"/>
    <w:rsid w:val="02426589"/>
    <w:rsid w:val="025F0711"/>
    <w:rsid w:val="026B2E25"/>
    <w:rsid w:val="02824D4D"/>
    <w:rsid w:val="02DC4B10"/>
    <w:rsid w:val="02DD76CE"/>
    <w:rsid w:val="02F36323"/>
    <w:rsid w:val="02F5619C"/>
    <w:rsid w:val="0326446A"/>
    <w:rsid w:val="032D5555"/>
    <w:rsid w:val="036634D2"/>
    <w:rsid w:val="03D83129"/>
    <w:rsid w:val="03DD35E4"/>
    <w:rsid w:val="03EB753A"/>
    <w:rsid w:val="04076900"/>
    <w:rsid w:val="041A5A3B"/>
    <w:rsid w:val="042311BA"/>
    <w:rsid w:val="042B157A"/>
    <w:rsid w:val="048F763B"/>
    <w:rsid w:val="049F330E"/>
    <w:rsid w:val="04AA775C"/>
    <w:rsid w:val="04AF1889"/>
    <w:rsid w:val="04F66F48"/>
    <w:rsid w:val="050A04AB"/>
    <w:rsid w:val="05251E14"/>
    <w:rsid w:val="05A16594"/>
    <w:rsid w:val="05A7762D"/>
    <w:rsid w:val="060E5941"/>
    <w:rsid w:val="06110FAF"/>
    <w:rsid w:val="06493CA7"/>
    <w:rsid w:val="065A6178"/>
    <w:rsid w:val="066F1CF3"/>
    <w:rsid w:val="069140D4"/>
    <w:rsid w:val="06930BB8"/>
    <w:rsid w:val="07245D42"/>
    <w:rsid w:val="07264C62"/>
    <w:rsid w:val="074D008A"/>
    <w:rsid w:val="0779354C"/>
    <w:rsid w:val="07CA7FF5"/>
    <w:rsid w:val="07F40498"/>
    <w:rsid w:val="08061376"/>
    <w:rsid w:val="08452D77"/>
    <w:rsid w:val="086401F8"/>
    <w:rsid w:val="08751CAA"/>
    <w:rsid w:val="087E4C40"/>
    <w:rsid w:val="08A871D0"/>
    <w:rsid w:val="08AC118C"/>
    <w:rsid w:val="08CB77A9"/>
    <w:rsid w:val="08D66AD6"/>
    <w:rsid w:val="08DA33A3"/>
    <w:rsid w:val="08E80F13"/>
    <w:rsid w:val="09335624"/>
    <w:rsid w:val="0944690F"/>
    <w:rsid w:val="09535675"/>
    <w:rsid w:val="095F057D"/>
    <w:rsid w:val="09642282"/>
    <w:rsid w:val="09733572"/>
    <w:rsid w:val="09772C16"/>
    <w:rsid w:val="097D0556"/>
    <w:rsid w:val="098353B5"/>
    <w:rsid w:val="09956C9C"/>
    <w:rsid w:val="09A92330"/>
    <w:rsid w:val="09B06B87"/>
    <w:rsid w:val="09C13146"/>
    <w:rsid w:val="09E04166"/>
    <w:rsid w:val="0A1C0718"/>
    <w:rsid w:val="0A3E7710"/>
    <w:rsid w:val="0A4D43B0"/>
    <w:rsid w:val="0A5B7E63"/>
    <w:rsid w:val="0AA374A5"/>
    <w:rsid w:val="0AAB7649"/>
    <w:rsid w:val="0ABC5606"/>
    <w:rsid w:val="0B30404E"/>
    <w:rsid w:val="0B4B540D"/>
    <w:rsid w:val="0B4C6C14"/>
    <w:rsid w:val="0B547599"/>
    <w:rsid w:val="0B631A88"/>
    <w:rsid w:val="0B683D45"/>
    <w:rsid w:val="0B7F3F11"/>
    <w:rsid w:val="0B884417"/>
    <w:rsid w:val="0BBA0BCE"/>
    <w:rsid w:val="0BF6188C"/>
    <w:rsid w:val="0BF73C91"/>
    <w:rsid w:val="0C170175"/>
    <w:rsid w:val="0C571A41"/>
    <w:rsid w:val="0C5C1171"/>
    <w:rsid w:val="0C5E1CBC"/>
    <w:rsid w:val="0C615B50"/>
    <w:rsid w:val="0C8445DA"/>
    <w:rsid w:val="0C87121B"/>
    <w:rsid w:val="0CC007F7"/>
    <w:rsid w:val="0CC617AC"/>
    <w:rsid w:val="0CC71781"/>
    <w:rsid w:val="0CE618DF"/>
    <w:rsid w:val="0CFE707A"/>
    <w:rsid w:val="0D063BDA"/>
    <w:rsid w:val="0D08375F"/>
    <w:rsid w:val="0D1507A5"/>
    <w:rsid w:val="0D184CFB"/>
    <w:rsid w:val="0D2E35AF"/>
    <w:rsid w:val="0D4A7419"/>
    <w:rsid w:val="0D62660F"/>
    <w:rsid w:val="0D7D09ED"/>
    <w:rsid w:val="0D827401"/>
    <w:rsid w:val="0D84094E"/>
    <w:rsid w:val="0D8A00E9"/>
    <w:rsid w:val="0D8D589E"/>
    <w:rsid w:val="0DA01C73"/>
    <w:rsid w:val="0DD63300"/>
    <w:rsid w:val="0DE33306"/>
    <w:rsid w:val="0DF50604"/>
    <w:rsid w:val="0DF702FE"/>
    <w:rsid w:val="0E060E51"/>
    <w:rsid w:val="0E5604B2"/>
    <w:rsid w:val="0E6D5D79"/>
    <w:rsid w:val="0E83792A"/>
    <w:rsid w:val="0E937FF7"/>
    <w:rsid w:val="0E9D0089"/>
    <w:rsid w:val="0EB02DE0"/>
    <w:rsid w:val="0EB803EE"/>
    <w:rsid w:val="0EF94D4B"/>
    <w:rsid w:val="0F4958DC"/>
    <w:rsid w:val="0F515DF7"/>
    <w:rsid w:val="0F596BA8"/>
    <w:rsid w:val="0F6248D2"/>
    <w:rsid w:val="0F693536"/>
    <w:rsid w:val="0F7B0511"/>
    <w:rsid w:val="0F7B24F3"/>
    <w:rsid w:val="0F7B76D9"/>
    <w:rsid w:val="0F816ACD"/>
    <w:rsid w:val="0F9832DB"/>
    <w:rsid w:val="0FBF3FD2"/>
    <w:rsid w:val="0FBF7FF3"/>
    <w:rsid w:val="102D547F"/>
    <w:rsid w:val="10646583"/>
    <w:rsid w:val="107D4B15"/>
    <w:rsid w:val="108A3C80"/>
    <w:rsid w:val="10A75D1B"/>
    <w:rsid w:val="10BA31FF"/>
    <w:rsid w:val="10C26171"/>
    <w:rsid w:val="10DA360C"/>
    <w:rsid w:val="10F33360"/>
    <w:rsid w:val="10FC16EA"/>
    <w:rsid w:val="110F1D40"/>
    <w:rsid w:val="11266F33"/>
    <w:rsid w:val="118963A1"/>
    <w:rsid w:val="11C6522A"/>
    <w:rsid w:val="11E104CC"/>
    <w:rsid w:val="11E20309"/>
    <w:rsid w:val="12255233"/>
    <w:rsid w:val="12371D74"/>
    <w:rsid w:val="12530213"/>
    <w:rsid w:val="12685D2F"/>
    <w:rsid w:val="127723A9"/>
    <w:rsid w:val="12862074"/>
    <w:rsid w:val="12883966"/>
    <w:rsid w:val="129E45B4"/>
    <w:rsid w:val="12D81596"/>
    <w:rsid w:val="12FC5EFD"/>
    <w:rsid w:val="13072A44"/>
    <w:rsid w:val="131507D5"/>
    <w:rsid w:val="13345697"/>
    <w:rsid w:val="13411523"/>
    <w:rsid w:val="135F4BE2"/>
    <w:rsid w:val="139B1A0A"/>
    <w:rsid w:val="139D25C7"/>
    <w:rsid w:val="13BF3CE4"/>
    <w:rsid w:val="13F54E26"/>
    <w:rsid w:val="141008D8"/>
    <w:rsid w:val="14125FE6"/>
    <w:rsid w:val="146D271E"/>
    <w:rsid w:val="146E6B13"/>
    <w:rsid w:val="14982588"/>
    <w:rsid w:val="149A5AD9"/>
    <w:rsid w:val="14A7619D"/>
    <w:rsid w:val="14F93EC9"/>
    <w:rsid w:val="150536C3"/>
    <w:rsid w:val="150C1963"/>
    <w:rsid w:val="151447A0"/>
    <w:rsid w:val="154A6454"/>
    <w:rsid w:val="154B0C55"/>
    <w:rsid w:val="15762120"/>
    <w:rsid w:val="15BB209F"/>
    <w:rsid w:val="15F542CD"/>
    <w:rsid w:val="16007AB2"/>
    <w:rsid w:val="163C2586"/>
    <w:rsid w:val="163F7FC2"/>
    <w:rsid w:val="16A8729C"/>
    <w:rsid w:val="16B33777"/>
    <w:rsid w:val="16BC70A7"/>
    <w:rsid w:val="16C6339E"/>
    <w:rsid w:val="16F93C3E"/>
    <w:rsid w:val="171F3E7E"/>
    <w:rsid w:val="172F2D79"/>
    <w:rsid w:val="17557BEF"/>
    <w:rsid w:val="17D349C1"/>
    <w:rsid w:val="18071D38"/>
    <w:rsid w:val="182C2DE0"/>
    <w:rsid w:val="1830729E"/>
    <w:rsid w:val="185D11EC"/>
    <w:rsid w:val="1870062C"/>
    <w:rsid w:val="18817102"/>
    <w:rsid w:val="18830A15"/>
    <w:rsid w:val="18852B28"/>
    <w:rsid w:val="188B5321"/>
    <w:rsid w:val="190C02C6"/>
    <w:rsid w:val="198A6011"/>
    <w:rsid w:val="19932372"/>
    <w:rsid w:val="19A20DD5"/>
    <w:rsid w:val="19AE03F1"/>
    <w:rsid w:val="1A071A03"/>
    <w:rsid w:val="1A1F16AE"/>
    <w:rsid w:val="1A3B5C77"/>
    <w:rsid w:val="1A7C7103"/>
    <w:rsid w:val="1A984BAD"/>
    <w:rsid w:val="1AB8220E"/>
    <w:rsid w:val="1AE4166C"/>
    <w:rsid w:val="1AF06CFB"/>
    <w:rsid w:val="1AF11B8D"/>
    <w:rsid w:val="1B0B5E0C"/>
    <w:rsid w:val="1B11359C"/>
    <w:rsid w:val="1B2A271F"/>
    <w:rsid w:val="1B341914"/>
    <w:rsid w:val="1B490035"/>
    <w:rsid w:val="1B4F12C0"/>
    <w:rsid w:val="1B530544"/>
    <w:rsid w:val="1B713184"/>
    <w:rsid w:val="1BA209CF"/>
    <w:rsid w:val="1BB4777D"/>
    <w:rsid w:val="1BC16115"/>
    <w:rsid w:val="1BD75AB8"/>
    <w:rsid w:val="1C0459C2"/>
    <w:rsid w:val="1C1B3B4A"/>
    <w:rsid w:val="1C3C5A5F"/>
    <w:rsid w:val="1C7A6810"/>
    <w:rsid w:val="1C88086E"/>
    <w:rsid w:val="1CB80C2C"/>
    <w:rsid w:val="1D266CE1"/>
    <w:rsid w:val="1D3963AF"/>
    <w:rsid w:val="1D546102"/>
    <w:rsid w:val="1D682ED0"/>
    <w:rsid w:val="1D6A673C"/>
    <w:rsid w:val="1D9247AE"/>
    <w:rsid w:val="1DB567EC"/>
    <w:rsid w:val="1DF51A98"/>
    <w:rsid w:val="1E3D060F"/>
    <w:rsid w:val="1E3F7D2E"/>
    <w:rsid w:val="1E4134E4"/>
    <w:rsid w:val="1E5062B3"/>
    <w:rsid w:val="1E523514"/>
    <w:rsid w:val="1E6A081E"/>
    <w:rsid w:val="1E714A66"/>
    <w:rsid w:val="1E802593"/>
    <w:rsid w:val="1E8B6156"/>
    <w:rsid w:val="1EA57449"/>
    <w:rsid w:val="1EA703CC"/>
    <w:rsid w:val="1EB7330C"/>
    <w:rsid w:val="1ECA0EE7"/>
    <w:rsid w:val="1F0A0FF3"/>
    <w:rsid w:val="1F5771FF"/>
    <w:rsid w:val="1F971C93"/>
    <w:rsid w:val="1FCB2EDF"/>
    <w:rsid w:val="1FD52DD5"/>
    <w:rsid w:val="1FE868A9"/>
    <w:rsid w:val="20034907"/>
    <w:rsid w:val="200362D5"/>
    <w:rsid w:val="20052E16"/>
    <w:rsid w:val="200D34F7"/>
    <w:rsid w:val="20173E4B"/>
    <w:rsid w:val="20267C46"/>
    <w:rsid w:val="204E48BC"/>
    <w:rsid w:val="208921B3"/>
    <w:rsid w:val="20973DEB"/>
    <w:rsid w:val="20B26522"/>
    <w:rsid w:val="20B44310"/>
    <w:rsid w:val="211116EB"/>
    <w:rsid w:val="2116462E"/>
    <w:rsid w:val="21293D11"/>
    <w:rsid w:val="216133FC"/>
    <w:rsid w:val="21C34AF1"/>
    <w:rsid w:val="21C900B3"/>
    <w:rsid w:val="21D56769"/>
    <w:rsid w:val="21E52EF3"/>
    <w:rsid w:val="21FB5D7B"/>
    <w:rsid w:val="22015E94"/>
    <w:rsid w:val="220B1C3D"/>
    <w:rsid w:val="220C0769"/>
    <w:rsid w:val="221D1D20"/>
    <w:rsid w:val="222C3D81"/>
    <w:rsid w:val="22334A87"/>
    <w:rsid w:val="22BE6801"/>
    <w:rsid w:val="233500BF"/>
    <w:rsid w:val="23377FF7"/>
    <w:rsid w:val="236B425F"/>
    <w:rsid w:val="23836192"/>
    <w:rsid w:val="23901F29"/>
    <w:rsid w:val="239C0061"/>
    <w:rsid w:val="23B908A4"/>
    <w:rsid w:val="23E95BEF"/>
    <w:rsid w:val="23FD0064"/>
    <w:rsid w:val="2401791F"/>
    <w:rsid w:val="242D31FB"/>
    <w:rsid w:val="245375B0"/>
    <w:rsid w:val="24642C0A"/>
    <w:rsid w:val="24AF7F78"/>
    <w:rsid w:val="24B22173"/>
    <w:rsid w:val="24B95AD9"/>
    <w:rsid w:val="24BE24DA"/>
    <w:rsid w:val="24CF5825"/>
    <w:rsid w:val="24D663E6"/>
    <w:rsid w:val="24D77F2B"/>
    <w:rsid w:val="2553326B"/>
    <w:rsid w:val="258314EB"/>
    <w:rsid w:val="258B00E2"/>
    <w:rsid w:val="258B7398"/>
    <w:rsid w:val="25A917A6"/>
    <w:rsid w:val="25BE27CC"/>
    <w:rsid w:val="25C01E7E"/>
    <w:rsid w:val="25E006E5"/>
    <w:rsid w:val="25F74A5C"/>
    <w:rsid w:val="2628662C"/>
    <w:rsid w:val="262D45DE"/>
    <w:rsid w:val="26621CE7"/>
    <w:rsid w:val="26865DB2"/>
    <w:rsid w:val="26871DC8"/>
    <w:rsid w:val="26A53EF9"/>
    <w:rsid w:val="26A94201"/>
    <w:rsid w:val="26AC274F"/>
    <w:rsid w:val="27044A29"/>
    <w:rsid w:val="271D34C8"/>
    <w:rsid w:val="276142BF"/>
    <w:rsid w:val="276D0DF8"/>
    <w:rsid w:val="277549C7"/>
    <w:rsid w:val="27783712"/>
    <w:rsid w:val="27907362"/>
    <w:rsid w:val="27C46B92"/>
    <w:rsid w:val="28333E1D"/>
    <w:rsid w:val="28454BD6"/>
    <w:rsid w:val="28455253"/>
    <w:rsid w:val="28551971"/>
    <w:rsid w:val="285B1C53"/>
    <w:rsid w:val="285C4CC5"/>
    <w:rsid w:val="289F7086"/>
    <w:rsid w:val="28AD1821"/>
    <w:rsid w:val="28C32028"/>
    <w:rsid w:val="28CC490F"/>
    <w:rsid w:val="28DE40AA"/>
    <w:rsid w:val="28FC235B"/>
    <w:rsid w:val="29345E77"/>
    <w:rsid w:val="294C65AD"/>
    <w:rsid w:val="296F5A87"/>
    <w:rsid w:val="29806583"/>
    <w:rsid w:val="298B3C4C"/>
    <w:rsid w:val="29BA7907"/>
    <w:rsid w:val="29E65EFC"/>
    <w:rsid w:val="29F26D24"/>
    <w:rsid w:val="29FF3178"/>
    <w:rsid w:val="2A15033F"/>
    <w:rsid w:val="2A1662C1"/>
    <w:rsid w:val="2A1C7367"/>
    <w:rsid w:val="2A2815FA"/>
    <w:rsid w:val="2A6D6092"/>
    <w:rsid w:val="2A7D76B4"/>
    <w:rsid w:val="2A863051"/>
    <w:rsid w:val="2A8A67DD"/>
    <w:rsid w:val="2B153132"/>
    <w:rsid w:val="2B437463"/>
    <w:rsid w:val="2B470311"/>
    <w:rsid w:val="2B490B90"/>
    <w:rsid w:val="2B762959"/>
    <w:rsid w:val="2B7807EE"/>
    <w:rsid w:val="2B8204A0"/>
    <w:rsid w:val="2B9B2EEA"/>
    <w:rsid w:val="2BA50BF7"/>
    <w:rsid w:val="2BB205C0"/>
    <w:rsid w:val="2BBF00EC"/>
    <w:rsid w:val="2BC37CFD"/>
    <w:rsid w:val="2BD44105"/>
    <w:rsid w:val="2BD5237F"/>
    <w:rsid w:val="2BE536CE"/>
    <w:rsid w:val="2BE758D9"/>
    <w:rsid w:val="2BEB287E"/>
    <w:rsid w:val="2C09049E"/>
    <w:rsid w:val="2C0A653C"/>
    <w:rsid w:val="2C191F85"/>
    <w:rsid w:val="2CDB6DF8"/>
    <w:rsid w:val="2CE82D6F"/>
    <w:rsid w:val="2D343236"/>
    <w:rsid w:val="2DD15014"/>
    <w:rsid w:val="2DF72DE4"/>
    <w:rsid w:val="2E0220AF"/>
    <w:rsid w:val="2E4B082A"/>
    <w:rsid w:val="2E5D4E86"/>
    <w:rsid w:val="2E5D790B"/>
    <w:rsid w:val="2E9A3C18"/>
    <w:rsid w:val="2EBB0FEE"/>
    <w:rsid w:val="2EC63002"/>
    <w:rsid w:val="2F0A6B38"/>
    <w:rsid w:val="2F1210B4"/>
    <w:rsid w:val="2F61116A"/>
    <w:rsid w:val="2F946CCB"/>
    <w:rsid w:val="2FD25781"/>
    <w:rsid w:val="2FD94FE7"/>
    <w:rsid w:val="2FDC745C"/>
    <w:rsid w:val="2FFD7934"/>
    <w:rsid w:val="301E6064"/>
    <w:rsid w:val="303A0D58"/>
    <w:rsid w:val="30733ACD"/>
    <w:rsid w:val="307C370E"/>
    <w:rsid w:val="308C3862"/>
    <w:rsid w:val="309379D8"/>
    <w:rsid w:val="30A270F7"/>
    <w:rsid w:val="30DF1478"/>
    <w:rsid w:val="30EC586F"/>
    <w:rsid w:val="313905F0"/>
    <w:rsid w:val="314550B7"/>
    <w:rsid w:val="314B3A53"/>
    <w:rsid w:val="315B5608"/>
    <w:rsid w:val="319C6071"/>
    <w:rsid w:val="31AC537E"/>
    <w:rsid w:val="31E3679B"/>
    <w:rsid w:val="31E732FD"/>
    <w:rsid w:val="31F14A27"/>
    <w:rsid w:val="32472899"/>
    <w:rsid w:val="32517576"/>
    <w:rsid w:val="3260395B"/>
    <w:rsid w:val="326276D3"/>
    <w:rsid w:val="32805DAB"/>
    <w:rsid w:val="32AB1912"/>
    <w:rsid w:val="32B31CDC"/>
    <w:rsid w:val="32B43860"/>
    <w:rsid w:val="32BE5C2C"/>
    <w:rsid w:val="32FB6478"/>
    <w:rsid w:val="33263B3F"/>
    <w:rsid w:val="33570580"/>
    <w:rsid w:val="336963EB"/>
    <w:rsid w:val="337A6A8A"/>
    <w:rsid w:val="33816EEB"/>
    <w:rsid w:val="33E24CF9"/>
    <w:rsid w:val="33EB55CD"/>
    <w:rsid w:val="33EC4C02"/>
    <w:rsid w:val="340D2360"/>
    <w:rsid w:val="3410665D"/>
    <w:rsid w:val="34211214"/>
    <w:rsid w:val="342E63AB"/>
    <w:rsid w:val="34950E68"/>
    <w:rsid w:val="34986E94"/>
    <w:rsid w:val="34AF62C9"/>
    <w:rsid w:val="34CB4388"/>
    <w:rsid w:val="34FA6E12"/>
    <w:rsid w:val="353A55E3"/>
    <w:rsid w:val="354D7158"/>
    <w:rsid w:val="35887BD1"/>
    <w:rsid w:val="358D5588"/>
    <w:rsid w:val="35D850E1"/>
    <w:rsid w:val="3637718A"/>
    <w:rsid w:val="363A3B40"/>
    <w:rsid w:val="365302AE"/>
    <w:rsid w:val="36607A0A"/>
    <w:rsid w:val="366E227C"/>
    <w:rsid w:val="366F2E0D"/>
    <w:rsid w:val="367B6A5C"/>
    <w:rsid w:val="36A74ADA"/>
    <w:rsid w:val="36AD60D5"/>
    <w:rsid w:val="36B224F9"/>
    <w:rsid w:val="36EC0CC9"/>
    <w:rsid w:val="36F44255"/>
    <w:rsid w:val="373F410B"/>
    <w:rsid w:val="37A80BE0"/>
    <w:rsid w:val="37EB034F"/>
    <w:rsid w:val="37EE7094"/>
    <w:rsid w:val="38296C89"/>
    <w:rsid w:val="383002EB"/>
    <w:rsid w:val="38586797"/>
    <w:rsid w:val="38706E63"/>
    <w:rsid w:val="38BC0149"/>
    <w:rsid w:val="38D66824"/>
    <w:rsid w:val="38D87D1C"/>
    <w:rsid w:val="38EE2B03"/>
    <w:rsid w:val="38FF6D29"/>
    <w:rsid w:val="39335925"/>
    <w:rsid w:val="39636459"/>
    <w:rsid w:val="396B7F6C"/>
    <w:rsid w:val="39B417A9"/>
    <w:rsid w:val="39D3116A"/>
    <w:rsid w:val="39FC5695"/>
    <w:rsid w:val="3A006D8E"/>
    <w:rsid w:val="3A3651E5"/>
    <w:rsid w:val="3A744481"/>
    <w:rsid w:val="3A8C7BEF"/>
    <w:rsid w:val="3A906246"/>
    <w:rsid w:val="3B1A3241"/>
    <w:rsid w:val="3B2349B7"/>
    <w:rsid w:val="3B53405D"/>
    <w:rsid w:val="3B616CFF"/>
    <w:rsid w:val="3B6259F6"/>
    <w:rsid w:val="3B7D732B"/>
    <w:rsid w:val="3B976654"/>
    <w:rsid w:val="3BC01EFC"/>
    <w:rsid w:val="3BCA786A"/>
    <w:rsid w:val="3BD31E2F"/>
    <w:rsid w:val="3BF15831"/>
    <w:rsid w:val="3C105946"/>
    <w:rsid w:val="3C196E25"/>
    <w:rsid w:val="3C471448"/>
    <w:rsid w:val="3C5F759A"/>
    <w:rsid w:val="3C6C525A"/>
    <w:rsid w:val="3CCE23CB"/>
    <w:rsid w:val="3CD17D17"/>
    <w:rsid w:val="3D007B53"/>
    <w:rsid w:val="3D3C7F39"/>
    <w:rsid w:val="3D440F09"/>
    <w:rsid w:val="3D4504A0"/>
    <w:rsid w:val="3D8734BB"/>
    <w:rsid w:val="3D91318F"/>
    <w:rsid w:val="3D9A11D4"/>
    <w:rsid w:val="3DA16D89"/>
    <w:rsid w:val="3DA364BE"/>
    <w:rsid w:val="3DE041CB"/>
    <w:rsid w:val="3E0D48F6"/>
    <w:rsid w:val="3E1868B4"/>
    <w:rsid w:val="3E377251"/>
    <w:rsid w:val="3E42664B"/>
    <w:rsid w:val="3E5A7334"/>
    <w:rsid w:val="3E72738E"/>
    <w:rsid w:val="3E7B5D6B"/>
    <w:rsid w:val="3E843E66"/>
    <w:rsid w:val="3E8F51FE"/>
    <w:rsid w:val="3E926F87"/>
    <w:rsid w:val="3E9A59DE"/>
    <w:rsid w:val="3EAF4836"/>
    <w:rsid w:val="3EC33DFA"/>
    <w:rsid w:val="3EEA576C"/>
    <w:rsid w:val="3F060E16"/>
    <w:rsid w:val="3F1D1096"/>
    <w:rsid w:val="3F2F0234"/>
    <w:rsid w:val="3F6363FE"/>
    <w:rsid w:val="3F756B8F"/>
    <w:rsid w:val="3F95482B"/>
    <w:rsid w:val="4019356B"/>
    <w:rsid w:val="404C3770"/>
    <w:rsid w:val="40592157"/>
    <w:rsid w:val="406E1CAE"/>
    <w:rsid w:val="40A0133A"/>
    <w:rsid w:val="40C31A53"/>
    <w:rsid w:val="40FF545D"/>
    <w:rsid w:val="410067C8"/>
    <w:rsid w:val="418F0D2A"/>
    <w:rsid w:val="41BF676C"/>
    <w:rsid w:val="41C041EE"/>
    <w:rsid w:val="41D01505"/>
    <w:rsid w:val="42474939"/>
    <w:rsid w:val="424C3C57"/>
    <w:rsid w:val="42613FF3"/>
    <w:rsid w:val="42660D96"/>
    <w:rsid w:val="428667D2"/>
    <w:rsid w:val="42C13FA2"/>
    <w:rsid w:val="42CD1CE0"/>
    <w:rsid w:val="42E1381E"/>
    <w:rsid w:val="42E42CCB"/>
    <w:rsid w:val="42ED6459"/>
    <w:rsid w:val="42FE58DD"/>
    <w:rsid w:val="43174B3D"/>
    <w:rsid w:val="434B790E"/>
    <w:rsid w:val="4360274F"/>
    <w:rsid w:val="43652B81"/>
    <w:rsid w:val="43977AB6"/>
    <w:rsid w:val="43A16A84"/>
    <w:rsid w:val="43A3342B"/>
    <w:rsid w:val="43C77C27"/>
    <w:rsid w:val="43DE09EE"/>
    <w:rsid w:val="44002FAD"/>
    <w:rsid w:val="442742D8"/>
    <w:rsid w:val="448919A2"/>
    <w:rsid w:val="449101DD"/>
    <w:rsid w:val="44965DFA"/>
    <w:rsid w:val="44994A34"/>
    <w:rsid w:val="44A2060D"/>
    <w:rsid w:val="44DE1391"/>
    <w:rsid w:val="44EB11D6"/>
    <w:rsid w:val="451B225C"/>
    <w:rsid w:val="452410C9"/>
    <w:rsid w:val="45317DFB"/>
    <w:rsid w:val="456D3CE4"/>
    <w:rsid w:val="4579042C"/>
    <w:rsid w:val="457F0571"/>
    <w:rsid w:val="45851176"/>
    <w:rsid w:val="45AC5A5D"/>
    <w:rsid w:val="45C63B94"/>
    <w:rsid w:val="460E7DA5"/>
    <w:rsid w:val="46422483"/>
    <w:rsid w:val="4659254A"/>
    <w:rsid w:val="465B0637"/>
    <w:rsid w:val="465E3F0D"/>
    <w:rsid w:val="466A16E6"/>
    <w:rsid w:val="46883961"/>
    <w:rsid w:val="46893133"/>
    <w:rsid w:val="46893F2B"/>
    <w:rsid w:val="46A63BDA"/>
    <w:rsid w:val="46C4686E"/>
    <w:rsid w:val="472E0158"/>
    <w:rsid w:val="477B778F"/>
    <w:rsid w:val="478203EC"/>
    <w:rsid w:val="47B025FA"/>
    <w:rsid w:val="4809698F"/>
    <w:rsid w:val="4811697D"/>
    <w:rsid w:val="48395978"/>
    <w:rsid w:val="487A3E25"/>
    <w:rsid w:val="488B5503"/>
    <w:rsid w:val="48937E21"/>
    <w:rsid w:val="489A0361"/>
    <w:rsid w:val="48B94FF3"/>
    <w:rsid w:val="48C45C6F"/>
    <w:rsid w:val="48C76BF4"/>
    <w:rsid w:val="48DF33D4"/>
    <w:rsid w:val="48E37AAB"/>
    <w:rsid w:val="48FD4B4C"/>
    <w:rsid w:val="48FD5A16"/>
    <w:rsid w:val="490A68E0"/>
    <w:rsid w:val="491055FE"/>
    <w:rsid w:val="492A0E97"/>
    <w:rsid w:val="495753D6"/>
    <w:rsid w:val="495F5B3E"/>
    <w:rsid w:val="496F77D7"/>
    <w:rsid w:val="497654FD"/>
    <w:rsid w:val="49B04D70"/>
    <w:rsid w:val="49B64211"/>
    <w:rsid w:val="49E56AF9"/>
    <w:rsid w:val="49F6167F"/>
    <w:rsid w:val="4A064FA0"/>
    <w:rsid w:val="4A0712BA"/>
    <w:rsid w:val="4A16615C"/>
    <w:rsid w:val="4A4424D7"/>
    <w:rsid w:val="4A7E62C5"/>
    <w:rsid w:val="4AB82D0F"/>
    <w:rsid w:val="4AEB7664"/>
    <w:rsid w:val="4AFD7C19"/>
    <w:rsid w:val="4B0567D1"/>
    <w:rsid w:val="4B151CBC"/>
    <w:rsid w:val="4B236AAE"/>
    <w:rsid w:val="4B707271"/>
    <w:rsid w:val="4B9739F7"/>
    <w:rsid w:val="4BEE2503"/>
    <w:rsid w:val="4BF00726"/>
    <w:rsid w:val="4C124497"/>
    <w:rsid w:val="4C245A30"/>
    <w:rsid w:val="4C3D66F5"/>
    <w:rsid w:val="4C5A66CF"/>
    <w:rsid w:val="4CB6685F"/>
    <w:rsid w:val="4CB82AD5"/>
    <w:rsid w:val="4CC367FE"/>
    <w:rsid w:val="4CD03B43"/>
    <w:rsid w:val="4D077F3C"/>
    <w:rsid w:val="4D123355"/>
    <w:rsid w:val="4D2A3B31"/>
    <w:rsid w:val="4D312C52"/>
    <w:rsid w:val="4D5123C6"/>
    <w:rsid w:val="4D905305"/>
    <w:rsid w:val="4D9642D9"/>
    <w:rsid w:val="4D964A72"/>
    <w:rsid w:val="4D9C1254"/>
    <w:rsid w:val="4D9C1893"/>
    <w:rsid w:val="4E151B03"/>
    <w:rsid w:val="4E157897"/>
    <w:rsid w:val="4E793892"/>
    <w:rsid w:val="4E800872"/>
    <w:rsid w:val="4EC569ED"/>
    <w:rsid w:val="4ED50EA1"/>
    <w:rsid w:val="4EEC050C"/>
    <w:rsid w:val="4F104EC3"/>
    <w:rsid w:val="4F250268"/>
    <w:rsid w:val="4F47354A"/>
    <w:rsid w:val="4F911C54"/>
    <w:rsid w:val="4FA74C51"/>
    <w:rsid w:val="4FE625E0"/>
    <w:rsid w:val="4FF166B7"/>
    <w:rsid w:val="5021480F"/>
    <w:rsid w:val="504A29F2"/>
    <w:rsid w:val="50962ECB"/>
    <w:rsid w:val="50A42E38"/>
    <w:rsid w:val="50A4577F"/>
    <w:rsid w:val="50B73D1F"/>
    <w:rsid w:val="50BD5BC9"/>
    <w:rsid w:val="50C11EEE"/>
    <w:rsid w:val="50DB62B4"/>
    <w:rsid w:val="50E97CFC"/>
    <w:rsid w:val="50FA4028"/>
    <w:rsid w:val="5100200B"/>
    <w:rsid w:val="510D65B7"/>
    <w:rsid w:val="511157AB"/>
    <w:rsid w:val="512C1180"/>
    <w:rsid w:val="5142540C"/>
    <w:rsid w:val="514364CA"/>
    <w:rsid w:val="518832C8"/>
    <w:rsid w:val="519D3C50"/>
    <w:rsid w:val="51A0432A"/>
    <w:rsid w:val="51A86090"/>
    <w:rsid w:val="51B7396D"/>
    <w:rsid w:val="51C4760A"/>
    <w:rsid w:val="51EA1F63"/>
    <w:rsid w:val="52283433"/>
    <w:rsid w:val="522E4CC3"/>
    <w:rsid w:val="5244713B"/>
    <w:rsid w:val="52615633"/>
    <w:rsid w:val="526B7CC5"/>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722618"/>
    <w:rsid w:val="54A4459A"/>
    <w:rsid w:val="54B3506A"/>
    <w:rsid w:val="54CA0D16"/>
    <w:rsid w:val="54DD4057"/>
    <w:rsid w:val="54E7490F"/>
    <w:rsid w:val="550764A4"/>
    <w:rsid w:val="550B2BF6"/>
    <w:rsid w:val="55214EB5"/>
    <w:rsid w:val="552A3C28"/>
    <w:rsid w:val="55364EFD"/>
    <w:rsid w:val="555D4828"/>
    <w:rsid w:val="557A4C8B"/>
    <w:rsid w:val="558931E1"/>
    <w:rsid w:val="55923347"/>
    <w:rsid w:val="55925180"/>
    <w:rsid w:val="55983B1B"/>
    <w:rsid w:val="55A8376B"/>
    <w:rsid w:val="55AE459E"/>
    <w:rsid w:val="55B22FA5"/>
    <w:rsid w:val="55DC29B6"/>
    <w:rsid w:val="55DD4241"/>
    <w:rsid w:val="56204B57"/>
    <w:rsid w:val="563C5781"/>
    <w:rsid w:val="566B6D1E"/>
    <w:rsid w:val="566E49DC"/>
    <w:rsid w:val="567F7FA4"/>
    <w:rsid w:val="57032A2C"/>
    <w:rsid w:val="570F5219"/>
    <w:rsid w:val="571D7FF8"/>
    <w:rsid w:val="575D12B5"/>
    <w:rsid w:val="57610A87"/>
    <w:rsid w:val="577B1140"/>
    <w:rsid w:val="577B7F21"/>
    <w:rsid w:val="577F181B"/>
    <w:rsid w:val="57921984"/>
    <w:rsid w:val="579737F0"/>
    <w:rsid w:val="57AB7B30"/>
    <w:rsid w:val="57AF5251"/>
    <w:rsid w:val="57B26373"/>
    <w:rsid w:val="57B63F04"/>
    <w:rsid w:val="57CD20C2"/>
    <w:rsid w:val="57D675AB"/>
    <w:rsid w:val="57D95FDD"/>
    <w:rsid w:val="57DE5EB8"/>
    <w:rsid w:val="583310F2"/>
    <w:rsid w:val="58917D2F"/>
    <w:rsid w:val="5894085C"/>
    <w:rsid w:val="58A12453"/>
    <w:rsid w:val="58AE4F0C"/>
    <w:rsid w:val="58B85899"/>
    <w:rsid w:val="58E363A9"/>
    <w:rsid w:val="59063473"/>
    <w:rsid w:val="59293864"/>
    <w:rsid w:val="595E1678"/>
    <w:rsid w:val="596C0CB3"/>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AFC6067"/>
    <w:rsid w:val="5B2E1A1D"/>
    <w:rsid w:val="5B4077C3"/>
    <w:rsid w:val="5B49552F"/>
    <w:rsid w:val="5B5A4B3C"/>
    <w:rsid w:val="5B843A1C"/>
    <w:rsid w:val="5B873E3F"/>
    <w:rsid w:val="5B9601D2"/>
    <w:rsid w:val="5BBE50CA"/>
    <w:rsid w:val="5C02690E"/>
    <w:rsid w:val="5C196DA7"/>
    <w:rsid w:val="5C2A048C"/>
    <w:rsid w:val="5C6914DA"/>
    <w:rsid w:val="5C80234E"/>
    <w:rsid w:val="5C8A680C"/>
    <w:rsid w:val="5CA14C6C"/>
    <w:rsid w:val="5D0C4701"/>
    <w:rsid w:val="5D0F0395"/>
    <w:rsid w:val="5D221076"/>
    <w:rsid w:val="5D397964"/>
    <w:rsid w:val="5D5A391C"/>
    <w:rsid w:val="5D5F10C0"/>
    <w:rsid w:val="5D891B7B"/>
    <w:rsid w:val="5DAD38EE"/>
    <w:rsid w:val="5DD07337"/>
    <w:rsid w:val="5DD6277E"/>
    <w:rsid w:val="5E006862"/>
    <w:rsid w:val="5E0207B9"/>
    <w:rsid w:val="5E1834A1"/>
    <w:rsid w:val="5E261785"/>
    <w:rsid w:val="5E4A7017"/>
    <w:rsid w:val="5E552BBA"/>
    <w:rsid w:val="5E611C10"/>
    <w:rsid w:val="5E7A0F3F"/>
    <w:rsid w:val="5EA93E10"/>
    <w:rsid w:val="5EF3065B"/>
    <w:rsid w:val="5EFC7377"/>
    <w:rsid w:val="5F06174D"/>
    <w:rsid w:val="5F1E1D1D"/>
    <w:rsid w:val="5F2B6F72"/>
    <w:rsid w:val="5F3A3602"/>
    <w:rsid w:val="5F45733B"/>
    <w:rsid w:val="5F6277C6"/>
    <w:rsid w:val="5F6D0B1D"/>
    <w:rsid w:val="5F8D0B82"/>
    <w:rsid w:val="5FCC5339"/>
    <w:rsid w:val="5FE34A5B"/>
    <w:rsid w:val="5FF03A6E"/>
    <w:rsid w:val="5FFE1E36"/>
    <w:rsid w:val="60232584"/>
    <w:rsid w:val="607330CE"/>
    <w:rsid w:val="60825176"/>
    <w:rsid w:val="609F2AC4"/>
    <w:rsid w:val="60FA2EE8"/>
    <w:rsid w:val="61054A27"/>
    <w:rsid w:val="610A52BC"/>
    <w:rsid w:val="611D2366"/>
    <w:rsid w:val="61421856"/>
    <w:rsid w:val="615227C4"/>
    <w:rsid w:val="61632EF9"/>
    <w:rsid w:val="61654E3F"/>
    <w:rsid w:val="6182292A"/>
    <w:rsid w:val="619F7F92"/>
    <w:rsid w:val="61F01D56"/>
    <w:rsid w:val="61F47A98"/>
    <w:rsid w:val="61F94C26"/>
    <w:rsid w:val="62000E56"/>
    <w:rsid w:val="624F3E49"/>
    <w:rsid w:val="62632286"/>
    <w:rsid w:val="62885958"/>
    <w:rsid w:val="62D11B87"/>
    <w:rsid w:val="62D52D32"/>
    <w:rsid w:val="62F40B65"/>
    <w:rsid w:val="62FC2CFE"/>
    <w:rsid w:val="63024505"/>
    <w:rsid w:val="632903FC"/>
    <w:rsid w:val="635600A5"/>
    <w:rsid w:val="635B1DB5"/>
    <w:rsid w:val="63711FED"/>
    <w:rsid w:val="63880DDC"/>
    <w:rsid w:val="638D750D"/>
    <w:rsid w:val="63AC6CC0"/>
    <w:rsid w:val="64055776"/>
    <w:rsid w:val="64240056"/>
    <w:rsid w:val="643E143A"/>
    <w:rsid w:val="64491666"/>
    <w:rsid w:val="64782E49"/>
    <w:rsid w:val="6489557F"/>
    <w:rsid w:val="648B6EEF"/>
    <w:rsid w:val="64AD2180"/>
    <w:rsid w:val="64C158BF"/>
    <w:rsid w:val="64CE2EAA"/>
    <w:rsid w:val="653C3090"/>
    <w:rsid w:val="65854376"/>
    <w:rsid w:val="658767BE"/>
    <w:rsid w:val="65892531"/>
    <w:rsid w:val="66195831"/>
    <w:rsid w:val="662E75B1"/>
    <w:rsid w:val="66342C2E"/>
    <w:rsid w:val="6637048D"/>
    <w:rsid w:val="663E784C"/>
    <w:rsid w:val="668B6A45"/>
    <w:rsid w:val="67011F07"/>
    <w:rsid w:val="672F3F24"/>
    <w:rsid w:val="673E055F"/>
    <w:rsid w:val="67446C37"/>
    <w:rsid w:val="674D0433"/>
    <w:rsid w:val="67551CE3"/>
    <w:rsid w:val="678F42DA"/>
    <w:rsid w:val="67A22552"/>
    <w:rsid w:val="67B22DCC"/>
    <w:rsid w:val="67BE71AA"/>
    <w:rsid w:val="67D90273"/>
    <w:rsid w:val="67DE5875"/>
    <w:rsid w:val="67E22141"/>
    <w:rsid w:val="67E55852"/>
    <w:rsid w:val="67EB1AB4"/>
    <w:rsid w:val="67FA1285"/>
    <w:rsid w:val="67FC0AA6"/>
    <w:rsid w:val="68077DF9"/>
    <w:rsid w:val="68361984"/>
    <w:rsid w:val="68551F4F"/>
    <w:rsid w:val="687C10C9"/>
    <w:rsid w:val="68840C16"/>
    <w:rsid w:val="68872541"/>
    <w:rsid w:val="68876EFB"/>
    <w:rsid w:val="68884654"/>
    <w:rsid w:val="689F444F"/>
    <w:rsid w:val="68B96DBB"/>
    <w:rsid w:val="68CA2805"/>
    <w:rsid w:val="68CF70AD"/>
    <w:rsid w:val="68E937A3"/>
    <w:rsid w:val="68F640F6"/>
    <w:rsid w:val="691664E5"/>
    <w:rsid w:val="69256789"/>
    <w:rsid w:val="692866CF"/>
    <w:rsid w:val="693E15D3"/>
    <w:rsid w:val="69522712"/>
    <w:rsid w:val="695452C0"/>
    <w:rsid w:val="69627681"/>
    <w:rsid w:val="6977531D"/>
    <w:rsid w:val="69A74FFE"/>
    <w:rsid w:val="69A91168"/>
    <w:rsid w:val="69CC2BFF"/>
    <w:rsid w:val="69FD55B8"/>
    <w:rsid w:val="6A002D52"/>
    <w:rsid w:val="6A0B1C62"/>
    <w:rsid w:val="6A1011E7"/>
    <w:rsid w:val="6A2406C8"/>
    <w:rsid w:val="6A3C6D13"/>
    <w:rsid w:val="6ADE0BD1"/>
    <w:rsid w:val="6AE96859"/>
    <w:rsid w:val="6B064398"/>
    <w:rsid w:val="6B147746"/>
    <w:rsid w:val="6B24787C"/>
    <w:rsid w:val="6B563571"/>
    <w:rsid w:val="6B573233"/>
    <w:rsid w:val="6B5B6274"/>
    <w:rsid w:val="6B935D53"/>
    <w:rsid w:val="6B9914C7"/>
    <w:rsid w:val="6BFB6DB8"/>
    <w:rsid w:val="6C196F71"/>
    <w:rsid w:val="6C226FCB"/>
    <w:rsid w:val="6C31226F"/>
    <w:rsid w:val="6C552F0B"/>
    <w:rsid w:val="6C8C67B7"/>
    <w:rsid w:val="6C9D744C"/>
    <w:rsid w:val="6D167928"/>
    <w:rsid w:val="6D237F77"/>
    <w:rsid w:val="6D26299B"/>
    <w:rsid w:val="6D4772EC"/>
    <w:rsid w:val="6D9078AF"/>
    <w:rsid w:val="6DA46816"/>
    <w:rsid w:val="6DAA3FEF"/>
    <w:rsid w:val="6DC0172B"/>
    <w:rsid w:val="6DCB690C"/>
    <w:rsid w:val="6DD41A5B"/>
    <w:rsid w:val="6DF43C2E"/>
    <w:rsid w:val="6DF51CA3"/>
    <w:rsid w:val="6E4224F5"/>
    <w:rsid w:val="6E8335BD"/>
    <w:rsid w:val="6E8E12EF"/>
    <w:rsid w:val="6E972936"/>
    <w:rsid w:val="6EB5370B"/>
    <w:rsid w:val="6ED2525C"/>
    <w:rsid w:val="6ED446C5"/>
    <w:rsid w:val="6F1057E5"/>
    <w:rsid w:val="6F2A7D94"/>
    <w:rsid w:val="6F775E48"/>
    <w:rsid w:val="6F8331F1"/>
    <w:rsid w:val="6FAE1A09"/>
    <w:rsid w:val="6FD75BF8"/>
    <w:rsid w:val="6FE55124"/>
    <w:rsid w:val="702932C7"/>
    <w:rsid w:val="704D04A2"/>
    <w:rsid w:val="706825F6"/>
    <w:rsid w:val="707723D0"/>
    <w:rsid w:val="70904454"/>
    <w:rsid w:val="70DA42FD"/>
    <w:rsid w:val="70E062F3"/>
    <w:rsid w:val="70F5661B"/>
    <w:rsid w:val="71041CF8"/>
    <w:rsid w:val="71360107"/>
    <w:rsid w:val="713B688E"/>
    <w:rsid w:val="71AD032E"/>
    <w:rsid w:val="71B66B18"/>
    <w:rsid w:val="71D43752"/>
    <w:rsid w:val="71F1796A"/>
    <w:rsid w:val="72152D13"/>
    <w:rsid w:val="72154626"/>
    <w:rsid w:val="72220DAF"/>
    <w:rsid w:val="72262B5D"/>
    <w:rsid w:val="72283FF7"/>
    <w:rsid w:val="722E7212"/>
    <w:rsid w:val="723A0474"/>
    <w:rsid w:val="725923E4"/>
    <w:rsid w:val="72864BF7"/>
    <w:rsid w:val="729023FC"/>
    <w:rsid w:val="72FB66AE"/>
    <w:rsid w:val="739048A5"/>
    <w:rsid w:val="73C0646E"/>
    <w:rsid w:val="74005123"/>
    <w:rsid w:val="742222F5"/>
    <w:rsid w:val="74461A37"/>
    <w:rsid w:val="74476126"/>
    <w:rsid w:val="74706664"/>
    <w:rsid w:val="747F3682"/>
    <w:rsid w:val="748A4CCB"/>
    <w:rsid w:val="749C4185"/>
    <w:rsid w:val="75067759"/>
    <w:rsid w:val="752540C8"/>
    <w:rsid w:val="752E6DCD"/>
    <w:rsid w:val="753A476D"/>
    <w:rsid w:val="754206C3"/>
    <w:rsid w:val="754E350B"/>
    <w:rsid w:val="7551380D"/>
    <w:rsid w:val="75600BE5"/>
    <w:rsid w:val="7564475C"/>
    <w:rsid w:val="7583797F"/>
    <w:rsid w:val="75AD3D8E"/>
    <w:rsid w:val="75D20F1D"/>
    <w:rsid w:val="75DA2C18"/>
    <w:rsid w:val="75F54412"/>
    <w:rsid w:val="76067942"/>
    <w:rsid w:val="761D08E0"/>
    <w:rsid w:val="76297DEC"/>
    <w:rsid w:val="763B6F45"/>
    <w:rsid w:val="76516E0F"/>
    <w:rsid w:val="765D347C"/>
    <w:rsid w:val="76826699"/>
    <w:rsid w:val="76C0482F"/>
    <w:rsid w:val="76C87133"/>
    <w:rsid w:val="76CD08D5"/>
    <w:rsid w:val="76DB4B92"/>
    <w:rsid w:val="76FD013A"/>
    <w:rsid w:val="77052AA4"/>
    <w:rsid w:val="77136511"/>
    <w:rsid w:val="77340A39"/>
    <w:rsid w:val="77351FD0"/>
    <w:rsid w:val="77472422"/>
    <w:rsid w:val="777D1E86"/>
    <w:rsid w:val="777F31F2"/>
    <w:rsid w:val="77D1700D"/>
    <w:rsid w:val="77EC04CC"/>
    <w:rsid w:val="784F42A6"/>
    <w:rsid w:val="785121CA"/>
    <w:rsid w:val="78656BA2"/>
    <w:rsid w:val="78775729"/>
    <w:rsid w:val="78A42DB0"/>
    <w:rsid w:val="78A656AB"/>
    <w:rsid w:val="78B2245C"/>
    <w:rsid w:val="78E172CC"/>
    <w:rsid w:val="78EA1D1F"/>
    <w:rsid w:val="7904172F"/>
    <w:rsid w:val="7908111E"/>
    <w:rsid w:val="790F7E27"/>
    <w:rsid w:val="79277560"/>
    <w:rsid w:val="792A231A"/>
    <w:rsid w:val="79316829"/>
    <w:rsid w:val="793547C6"/>
    <w:rsid w:val="797E66A9"/>
    <w:rsid w:val="798518A4"/>
    <w:rsid w:val="798A3C76"/>
    <w:rsid w:val="79A97383"/>
    <w:rsid w:val="79C6605A"/>
    <w:rsid w:val="79D26573"/>
    <w:rsid w:val="79E27E8B"/>
    <w:rsid w:val="79F850CE"/>
    <w:rsid w:val="79FD443C"/>
    <w:rsid w:val="7A1D1975"/>
    <w:rsid w:val="7A3E5150"/>
    <w:rsid w:val="7A4670D6"/>
    <w:rsid w:val="7A534B63"/>
    <w:rsid w:val="7A5E1AFB"/>
    <w:rsid w:val="7A615382"/>
    <w:rsid w:val="7A67303B"/>
    <w:rsid w:val="7A8D479E"/>
    <w:rsid w:val="7AA8721A"/>
    <w:rsid w:val="7AAB1D04"/>
    <w:rsid w:val="7ABA4368"/>
    <w:rsid w:val="7AD05746"/>
    <w:rsid w:val="7AE1149D"/>
    <w:rsid w:val="7AE14228"/>
    <w:rsid w:val="7B0F7D15"/>
    <w:rsid w:val="7B257FFD"/>
    <w:rsid w:val="7B273D20"/>
    <w:rsid w:val="7B343476"/>
    <w:rsid w:val="7B3D5BB4"/>
    <w:rsid w:val="7B5A2978"/>
    <w:rsid w:val="7B5A7E4C"/>
    <w:rsid w:val="7B607AF4"/>
    <w:rsid w:val="7B667AF9"/>
    <w:rsid w:val="7B71585E"/>
    <w:rsid w:val="7B7468F8"/>
    <w:rsid w:val="7BB57A83"/>
    <w:rsid w:val="7BC400E1"/>
    <w:rsid w:val="7BEE0103"/>
    <w:rsid w:val="7C0A0FE4"/>
    <w:rsid w:val="7C0F6C2A"/>
    <w:rsid w:val="7C254906"/>
    <w:rsid w:val="7C590818"/>
    <w:rsid w:val="7C7C10F6"/>
    <w:rsid w:val="7C853BEA"/>
    <w:rsid w:val="7C881368"/>
    <w:rsid w:val="7CE27788"/>
    <w:rsid w:val="7D0C32F1"/>
    <w:rsid w:val="7D0F408D"/>
    <w:rsid w:val="7D491C6C"/>
    <w:rsid w:val="7D5429C0"/>
    <w:rsid w:val="7D6E6D43"/>
    <w:rsid w:val="7DB57A34"/>
    <w:rsid w:val="7DD93D16"/>
    <w:rsid w:val="7DE60973"/>
    <w:rsid w:val="7DEF0916"/>
    <w:rsid w:val="7E1E5218"/>
    <w:rsid w:val="7E246903"/>
    <w:rsid w:val="7E602EE5"/>
    <w:rsid w:val="7E9A4E1F"/>
    <w:rsid w:val="7EA7723A"/>
    <w:rsid w:val="7EF56FBB"/>
    <w:rsid w:val="7F0768EB"/>
    <w:rsid w:val="7F143BEC"/>
    <w:rsid w:val="7F1B3618"/>
    <w:rsid w:val="7F3E7CAB"/>
    <w:rsid w:val="7F660214"/>
    <w:rsid w:val="7F715AF2"/>
    <w:rsid w:val="7F886E69"/>
    <w:rsid w:val="BB7FA927"/>
    <w:rsid w:val="BEAEA1FC"/>
    <w:rsid w:val="ECED2B49"/>
    <w:rsid w:val="F5FFD31F"/>
    <w:rsid w:val="F9F591E7"/>
    <w:rsid w:val="FF77A1AA"/>
    <w:rsid w:val="FFFBDE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after="160" w:line="278"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967"/>
    <w:qFormat/>
    <w:uiPriority w:val="9"/>
    <w:pPr>
      <w:keepNext/>
      <w:keepLines/>
      <w:tabs>
        <w:tab w:val="left" w:pos="432"/>
        <w:tab w:val="left" w:pos="1110"/>
      </w:tabs>
      <w:adjustRightInd/>
      <w:spacing w:line="360" w:lineRule="auto"/>
      <w:ind w:left="210" w:leftChars="100" w:firstLine="357" w:firstLineChars="148"/>
      <w:jc w:val="left"/>
      <w:outlineLvl w:val="1"/>
    </w:pPr>
    <w:rPr>
      <w:rFonts w:ascii="宋体" w:hAnsi="宋体"/>
      <w:b/>
      <w:bCs/>
      <w:sz w:val="24"/>
      <w:lang w:val="zh-CN"/>
    </w:rPr>
  </w:style>
  <w:style w:type="paragraph" w:styleId="4">
    <w:name w:val="heading 3"/>
    <w:basedOn w:val="1"/>
    <w:next w:val="5"/>
    <w:link w:val="102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39"/>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4"/>
    <w:qFormat/>
    <w:uiPriority w:val="0"/>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link w:val="321"/>
    <w:qFormat/>
    <w:uiPriority w:val="0"/>
    <w:pPr>
      <w:ind w:firstLine="420"/>
    </w:pPr>
    <w:rPr>
      <w:rFonts w:hAnsi="Calibri" w:cs="Times New Roman"/>
      <w:snapToGrid/>
      <w:szCs w:val="20"/>
    </w:rPr>
  </w:style>
  <w:style w:type="paragraph" w:styleId="25">
    <w:name w:val="Body Text Indent"/>
    <w:basedOn w:val="1"/>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next w:val="6"/>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39"/>
    <w:pPr>
      <w:ind w:left="1680" w:leftChars="800"/>
    </w:pPr>
  </w:style>
  <w:style w:type="paragraph" w:styleId="32">
    <w:name w:val="toc 3"/>
    <w:basedOn w:val="1"/>
    <w:next w:val="1"/>
    <w:qFormat/>
    <w:uiPriority w:val="39"/>
    <w:pPr>
      <w:tabs>
        <w:tab w:val="right" w:leader="dot" w:pos="8268"/>
      </w:tabs>
      <w:spacing w:line="460" w:lineRule="exact"/>
      <w:ind w:left="840" w:leftChars="400" w:firstLine="482"/>
    </w:pPr>
    <w:rPr>
      <w:rFonts w:ascii="宋体" w:hAnsi="宋体"/>
    </w:rPr>
  </w:style>
  <w:style w:type="paragraph" w:styleId="33">
    <w:name w:val="Plain Text"/>
    <w:basedOn w:val="1"/>
    <w:link w:val="126"/>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39"/>
    <w:pPr>
      <w:ind w:left="2940" w:leftChars="1400"/>
    </w:pPr>
  </w:style>
  <w:style w:type="paragraph" w:styleId="36">
    <w:name w:val="Date"/>
    <w:basedOn w:val="1"/>
    <w:next w:val="1"/>
    <w:link w:val="182"/>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9"/>
    <w:qFormat/>
    <w:uiPriority w:val="0"/>
    <w:rPr>
      <w:sz w:val="18"/>
      <w:szCs w:val="18"/>
    </w:rPr>
  </w:style>
  <w:style w:type="paragraph" w:styleId="40">
    <w:name w:val="footer"/>
    <w:basedOn w:val="1"/>
    <w:link w:val="383"/>
    <w:qFormat/>
    <w:uiPriority w:val="0"/>
    <w:pPr>
      <w:tabs>
        <w:tab w:val="center" w:pos="4153"/>
        <w:tab w:val="right" w:pos="8306"/>
      </w:tabs>
      <w:snapToGrid w:val="0"/>
      <w:jc w:val="left"/>
    </w:pPr>
    <w:rPr>
      <w:sz w:val="18"/>
      <w:szCs w:val="18"/>
    </w:rPr>
  </w:style>
  <w:style w:type="paragraph" w:styleId="41">
    <w:name w:val="header"/>
    <w:basedOn w:val="1"/>
    <w:link w:val="392"/>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39"/>
  </w:style>
  <w:style w:type="paragraph" w:styleId="44">
    <w:name w:val="toc 4"/>
    <w:basedOn w:val="1"/>
    <w:next w:val="1"/>
    <w:qFormat/>
    <w:uiPriority w:val="39"/>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4"/>
    <w:qFormat/>
    <w:uiPriority w:val="0"/>
    <w:pPr>
      <w:adjustRightInd w:val="0"/>
      <w:snapToGrid w:val="0"/>
      <w:spacing w:before="240" w:after="480" w:line="278" w:lineRule="auto"/>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39"/>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39"/>
    <w:pPr>
      <w:ind w:left="420" w:leftChars="200"/>
    </w:pPr>
  </w:style>
  <w:style w:type="paragraph" w:styleId="55">
    <w:name w:val="toc 9"/>
    <w:basedOn w:val="1"/>
    <w:next w:val="1"/>
    <w:qFormat/>
    <w:uiPriority w:val="39"/>
    <w:pPr>
      <w:ind w:left="3360" w:leftChars="1600"/>
    </w:pPr>
  </w:style>
  <w:style w:type="paragraph" w:styleId="56">
    <w:name w:val="Body Text 2"/>
    <w:basedOn w:val="1"/>
    <w:link w:val="302"/>
    <w:qFormat/>
    <w:uiPriority w:val="0"/>
    <w:pPr>
      <w:spacing w:after="120" w:line="480" w:lineRule="auto"/>
    </w:pPr>
  </w:style>
  <w:style w:type="paragraph" w:styleId="57">
    <w:name w:val="List 4"/>
    <w:basedOn w:val="1"/>
    <w:qFormat/>
    <w:uiPriority w:val="0"/>
    <w:pPr>
      <w:adjustRightInd/>
      <w:ind w:left="1680" w:hanging="420"/>
    </w:pPr>
    <w:rPr>
      <w:rFonts w:eastAsia="楷体_GB2312"/>
      <w:sz w:val="32"/>
      <w:szCs w:val="22"/>
    </w:rPr>
  </w:style>
  <w:style w:type="paragraph" w:styleId="58">
    <w:name w:val="HTML Preformatted"/>
    <w:basedOn w:val="1"/>
    <w:link w:val="30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7"/>
    <w:qFormat/>
    <w:uiPriority w:val="0"/>
    <w:rPr>
      <w:b/>
      <w:bCs/>
    </w:rPr>
  </w:style>
  <w:style w:type="paragraph" w:styleId="62">
    <w:name w:val="Body Text First Indent 2"/>
    <w:basedOn w:val="25"/>
    <w:link w:val="122"/>
    <w:qFormat/>
    <w:uiPriority w:val="0"/>
    <w:pPr>
      <w:adjustRightInd/>
      <w:spacing w:after="120" w:line="240" w:lineRule="auto"/>
      <w:ind w:left="420" w:leftChars="200" w:firstLine="210"/>
    </w:pPr>
    <w:rPr>
      <w:sz w:val="21"/>
    </w:rPr>
  </w:style>
  <w:style w:type="table" w:styleId="64">
    <w:name w:val="Table Grid"/>
    <w:basedOn w:val="6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0"/>
    <w:rPr>
      <w:sz w:val="21"/>
      <w:szCs w:val="21"/>
    </w:rPr>
  </w:style>
  <w:style w:type="character" w:styleId="80">
    <w:name w:val="footnote reference"/>
    <w:basedOn w:val="70"/>
    <w:unhideWhenUsed/>
    <w:qFormat/>
    <w:uiPriority w:val="99"/>
    <w:rPr>
      <w:vertAlign w:val="superscript"/>
    </w:rPr>
  </w:style>
  <w:style w:type="character" w:customStyle="1" w:styleId="81">
    <w:name w:val="标题 2 Char"/>
    <w:qFormat/>
    <w:uiPriority w:val="0"/>
    <w:rPr>
      <w:rFonts w:ascii="Arial" w:hAnsi="Arial" w:eastAsia="黑体"/>
      <w:b/>
      <w:kern w:val="2"/>
      <w:sz w:val="32"/>
      <w:lang w:val="en-US" w:eastAsia="zh-CN"/>
    </w:rPr>
  </w:style>
  <w:style w:type="paragraph" w:customStyle="1" w:styleId="82">
    <w:name w:val="AONormal"/>
    <w:qFormat/>
    <w:uiPriority w:val="0"/>
    <w:pPr>
      <w:autoSpaceDE w:val="0"/>
      <w:autoSpaceDN w:val="0"/>
      <w:adjustRightInd w:val="0"/>
      <w:spacing w:after="160" w:line="400" w:lineRule="exact"/>
      <w:ind w:firstLine="440" w:firstLineChars="200"/>
    </w:pPr>
    <w:rPr>
      <w:rFonts w:ascii="华文楷体" w:hAnsi="华文楷体" w:eastAsia="华文楷体" w:cs="华文楷体"/>
      <w:sz w:val="22"/>
      <w:szCs w:val="21"/>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line="278" w:lineRule="auto"/>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6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47"/>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pPr>
      <w:spacing w:after="160" w:line="278" w:lineRule="auto"/>
    </w:pPr>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after="160"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0"/>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6"/>
    <w:qFormat/>
    <w:uiPriority w:val="0"/>
    <w:rPr>
      <w:rFonts w:ascii="宋体"/>
      <w:kern w:val="2"/>
      <w:sz w:val="24"/>
      <w:szCs w:val="21"/>
      <w:lang w:val="zh-CN"/>
    </w:rPr>
  </w:style>
  <w:style w:type="character" w:customStyle="1" w:styleId="183">
    <w:name w:val="标题 9 字符"/>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39"/>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70"/>
    <w:qFormat/>
    <w:uiPriority w:val="0"/>
    <w:rPr>
      <w:rFonts w:ascii="仿宋_GB2312" w:hAnsi="仿宋" w:eastAsia="仿宋_GB2312" w:cs="仿宋_GB2312"/>
      <w:sz w:val="32"/>
      <w:szCs w:val="30"/>
      <w:lang w:val="zh-CN"/>
    </w:rPr>
  </w:style>
  <w:style w:type="character" w:customStyle="1" w:styleId="219">
    <w:name w:val="HTML 地址 字符"/>
    <w:link w:val="30"/>
    <w:qFormat/>
    <w:uiPriority w:val="99"/>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spacing w:after="160" w:line="278" w:lineRule="auto"/>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表段落1"/>
    <w:basedOn w:val="1"/>
    <w:qFormat/>
    <w:uiPriority w:val="0"/>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0"/>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60"/>
    <w:qFormat/>
    <w:uiPriority w:val="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7"/>
    <w:qFormat/>
    <w:uiPriority w:val="0"/>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0"/>
    <w:qFormat/>
    <w:uiPriority w:val="99"/>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8"/>
    <w:qFormat/>
    <w:uiPriority w:val="0"/>
    <w:rPr>
      <w:rFonts w:ascii="黑体" w:hAnsi="Courier New" w:eastAsia="黑体"/>
    </w:rPr>
  </w:style>
  <w:style w:type="character" w:customStyle="1" w:styleId="302">
    <w:name w:val="正文文本 2 字符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9"/>
    <w:qFormat/>
    <w:uiPriority w:val="0"/>
    <w:rPr>
      <w:b/>
      <w:bCs/>
      <w:kern w:val="2"/>
      <w:sz w:val="24"/>
      <w:szCs w:val="24"/>
    </w:rPr>
  </w:style>
  <w:style w:type="character" w:customStyle="1" w:styleId="308">
    <w:name w:val="正文文本缩进 2 字符"/>
    <w:link w:val="37"/>
    <w:qFormat/>
    <w:uiPriority w:val="99"/>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0"/>
    <w:qFormat/>
    <w:uiPriority w:val="99"/>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6"/>
    <w:qFormat/>
    <w:uiPriority w:val="0"/>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1"/>
    <w:qFormat/>
    <w:uiPriority w:val="99"/>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qFormat/>
    <w:uiPriority w:val="99"/>
    <w:rPr>
      <w:kern w:val="2"/>
      <w:sz w:val="21"/>
      <w:szCs w:val="24"/>
    </w:rPr>
  </w:style>
  <w:style w:type="character" w:customStyle="1" w:styleId="345">
    <w:name w:val="签名 字符"/>
    <w:link w:val="42"/>
    <w:qFormat/>
    <w:uiPriority w:val="99"/>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3"/>
    <w:qFormat/>
    <w:uiPriority w:val="99"/>
    <w:rPr>
      <w:kern w:val="2"/>
      <w:sz w:val="24"/>
    </w:rPr>
  </w:style>
  <w:style w:type="character" w:customStyle="1" w:styleId="376">
    <w:name w:val="日期 Char1"/>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0"/>
    <w:qFormat/>
    <w:locked/>
    <w:uiPriority w:val="0"/>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1"/>
    <w:qFormat/>
    <w:uiPriority w:val="0"/>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pPr>
      <w:spacing w:after="160" w:line="278" w:lineRule="auto"/>
    </w:pPr>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line="278" w:lineRule="auto"/>
      <w:jc w:val="center"/>
    </w:pPr>
    <w:rPr>
      <w:rFonts w:ascii="Arial" w:hAnsi="Arial" w:eastAsia="黑体" w:cs="宋体"/>
      <w:bCs/>
      <w:kern w:val="2"/>
      <w:sz w:val="52"/>
      <w:lang w:val="en-US" w:eastAsia="zh-CN" w:bidi="ar-SA"/>
    </w:rPr>
  </w:style>
  <w:style w:type="paragraph" w:customStyle="1" w:styleId="451">
    <w:name w:val="封面公司名"/>
    <w:qFormat/>
    <w:uiPriority w:val="0"/>
    <w:pPr>
      <w:spacing w:after="160" w:line="278" w:lineRule="auto"/>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hAnsi="Arial"/>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line="278" w:lineRule="auto"/>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spacing w:after="160" w:line="278" w:lineRule="auto"/>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99"/>
    <w:pPr>
      <w:spacing w:after="160" w:line="278" w:lineRule="auto"/>
    </w:pPr>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line="278" w:lineRule="auto"/>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after="160"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hAnsi="Cambria"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spacing w:after="160" w:line="278" w:lineRule="auto"/>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after="160"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line="278" w:lineRule="auto"/>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after="160"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line="278" w:lineRule="auto"/>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link w:val="1027"/>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after="160"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line="278" w:lineRule="auto"/>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spacing w:after="160" w:line="278" w:lineRule="auto"/>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line="278" w:lineRule="auto"/>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line="278" w:lineRule="auto"/>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spacing w:after="160" w:line="278" w:lineRule="auto"/>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spacing w:after="160" w:line="278" w:lineRule="auto"/>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after="160"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after="160"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line="278" w:lineRule="auto"/>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pPr>
      <w:spacing w:after="160" w:line="278" w:lineRule="auto"/>
    </w:pPr>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after="160"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hAnsi="Arial"/>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after="160" w:line="278" w:lineRule="auto"/>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after="160"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768">
    <w:name w:val="修订3"/>
    <w:qFormat/>
    <w:uiPriority w:val="0"/>
    <w:pPr>
      <w:spacing w:after="160" w:line="278" w:lineRule="auto"/>
    </w:pPr>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11"/>
    <w:qFormat/>
    <w:uiPriority w:val="99"/>
    <w:pPr>
      <w:widowControl w:val="0"/>
      <w:spacing w:after="160" w:line="278" w:lineRule="auto"/>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pPr>
      <w:spacing w:after="160" w:line="278" w:lineRule="auto"/>
    </w:pPr>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line="278" w:lineRule="auto"/>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spacing w:after="160" w:line="278" w:lineRule="auto"/>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line="278" w:lineRule="auto"/>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link w:val="1026"/>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11"/>
    <w:basedOn w:val="1"/>
    <w:link w:val="1036"/>
    <w:qFormat/>
    <w:uiPriority w:val="99"/>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after="160"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spacing w:after="160" w:line="278" w:lineRule="auto"/>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spacing w:after="160" w:line="278" w:lineRule="auto"/>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8"/>
    <w:qFormat/>
    <w:uiPriority w:val="99"/>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99"/>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spacing w:after="160" w:line="278" w:lineRule="auto"/>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pPr>
      <w:spacing w:after="160" w:line="278" w:lineRule="auto"/>
    </w:pPr>
    <w:rPr>
      <w:rFonts w:ascii="Times New Roman" w:hAnsi="Times New Roman" w:eastAsia="宋体" w:cs="Times New Roman"/>
      <w:kern w:val="2"/>
      <w:sz w:val="21"/>
      <w:szCs w:val="24"/>
      <w:lang w:val="en-US" w:eastAsia="zh-CN" w:bidi="ar-SA"/>
    </w:rPr>
  </w:style>
  <w:style w:type="character" w:customStyle="1" w:styleId="965">
    <w:name w:val="未处理的提及2"/>
    <w:basedOn w:val="70"/>
    <w:unhideWhenUsed/>
    <w:qFormat/>
    <w:uiPriority w:val="99"/>
    <w:rPr>
      <w:color w:val="605E5C"/>
      <w:shd w:val="clear" w:color="auto" w:fill="E1DFDD"/>
    </w:rPr>
  </w:style>
  <w:style w:type="paragraph" w:customStyle="1" w:styleId="966">
    <w:name w:val="jd-正文1"/>
    <w:basedOn w:val="1"/>
    <w:qFormat/>
    <w:uiPriority w:val="0"/>
    <w:pPr>
      <w:widowControl/>
      <w:adjustRightInd/>
      <w:spacing w:line="360" w:lineRule="auto"/>
      <w:ind w:firstLine="482" w:firstLineChars="200"/>
    </w:pPr>
    <w:rPr>
      <w:rFonts w:ascii="宋体" w:hAnsi="宋体" w:cs="宋体"/>
      <w:sz w:val="24"/>
      <w:szCs w:val="20"/>
    </w:rPr>
  </w:style>
  <w:style w:type="character" w:customStyle="1" w:styleId="967">
    <w:name w:val="标题 2 字符1"/>
    <w:link w:val="3"/>
    <w:qFormat/>
    <w:uiPriority w:val="9"/>
    <w:rPr>
      <w:rFonts w:ascii="宋体" w:hAnsi="宋体"/>
      <w:b/>
      <w:bCs/>
      <w:kern w:val="2"/>
      <w:sz w:val="24"/>
      <w:szCs w:val="24"/>
      <w:lang w:val="zh-CN"/>
    </w:rPr>
  </w:style>
  <w:style w:type="paragraph" w:customStyle="1" w:styleId="968">
    <w:name w:val="_正文"/>
    <w:basedOn w:val="1"/>
    <w:link w:val="969"/>
    <w:qFormat/>
    <w:uiPriority w:val="0"/>
    <w:pPr>
      <w:tabs>
        <w:tab w:val="left" w:pos="840"/>
      </w:tabs>
      <w:adjustRightInd/>
      <w:spacing w:line="360" w:lineRule="auto"/>
      <w:ind w:firstLine="200" w:firstLineChars="200"/>
    </w:pPr>
    <w:rPr>
      <w:sz w:val="24"/>
    </w:rPr>
  </w:style>
  <w:style w:type="character" w:customStyle="1" w:styleId="969">
    <w:name w:val="_正文 Char"/>
    <w:link w:val="968"/>
    <w:qFormat/>
    <w:uiPriority w:val="0"/>
    <w:rPr>
      <w:kern w:val="2"/>
      <w:sz w:val="24"/>
      <w:szCs w:val="24"/>
    </w:rPr>
  </w:style>
  <w:style w:type="paragraph" w:customStyle="1" w:styleId="970">
    <w:name w:val="正文（上会）"/>
    <w:basedOn w:val="1"/>
    <w:link w:val="971"/>
    <w:qFormat/>
    <w:uiPriority w:val="0"/>
    <w:pPr>
      <w:adjustRightInd/>
      <w:spacing w:line="336" w:lineRule="auto"/>
      <w:ind w:firstLine="200" w:firstLineChars="200"/>
    </w:pPr>
    <w:rPr>
      <w:rFonts w:ascii="仿宋_GB2312" w:hAnsi="仿宋_GB2312" w:eastAsia="仿宋_GB2312" w:cs="仿宋_GB2312"/>
      <w:sz w:val="32"/>
      <w:szCs w:val="32"/>
    </w:rPr>
  </w:style>
  <w:style w:type="character" w:customStyle="1" w:styleId="971">
    <w:name w:val="正文（上会） 字符"/>
    <w:link w:val="970"/>
    <w:qFormat/>
    <w:uiPriority w:val="0"/>
    <w:rPr>
      <w:rFonts w:ascii="仿宋_GB2312" w:hAnsi="仿宋_GB2312" w:eastAsia="仿宋_GB2312" w:cs="仿宋_GB2312"/>
      <w:kern w:val="2"/>
      <w:sz w:val="32"/>
      <w:szCs w:val="32"/>
    </w:rPr>
  </w:style>
  <w:style w:type="paragraph" w:customStyle="1" w:styleId="972">
    <w:name w:val="修订5"/>
    <w:hidden/>
    <w:semiHidden/>
    <w:qFormat/>
    <w:uiPriority w:val="99"/>
    <w:pPr>
      <w:spacing w:after="160" w:line="278" w:lineRule="auto"/>
    </w:pPr>
    <w:rPr>
      <w:rFonts w:ascii="Times New Roman" w:hAnsi="Times New Roman" w:eastAsia="宋体" w:cs="Times New Roman"/>
      <w:kern w:val="2"/>
      <w:sz w:val="21"/>
      <w:szCs w:val="24"/>
      <w:lang w:val="en-US" w:eastAsia="zh-CN" w:bidi="ar-SA"/>
    </w:rPr>
  </w:style>
  <w:style w:type="character" w:customStyle="1" w:styleId="973">
    <w:name w:val="未处理的提及3"/>
    <w:basedOn w:val="70"/>
    <w:unhideWhenUsed/>
    <w:qFormat/>
    <w:uiPriority w:val="99"/>
    <w:rPr>
      <w:color w:val="605E5C"/>
      <w:shd w:val="clear" w:color="auto" w:fill="E1DFDD"/>
    </w:rPr>
  </w:style>
  <w:style w:type="paragraph" w:customStyle="1" w:styleId="974">
    <w:name w:val="修订6"/>
    <w:hidden/>
    <w:semiHidden/>
    <w:qFormat/>
    <w:uiPriority w:val="99"/>
    <w:pPr>
      <w:spacing w:after="160" w:line="278" w:lineRule="auto"/>
    </w:pPr>
    <w:rPr>
      <w:rFonts w:ascii="Times New Roman" w:hAnsi="Times New Roman" w:eastAsia="宋体" w:cs="Times New Roman"/>
      <w:kern w:val="2"/>
      <w:sz w:val="21"/>
      <w:szCs w:val="24"/>
      <w:lang w:val="en-US" w:eastAsia="zh-CN" w:bidi="ar-SA"/>
    </w:rPr>
  </w:style>
  <w:style w:type="character" w:customStyle="1" w:styleId="975">
    <w:name w:val="font181"/>
    <w:basedOn w:val="70"/>
    <w:qFormat/>
    <w:uiPriority w:val="0"/>
    <w:rPr>
      <w:rFonts w:hint="eastAsia" w:ascii="宋体" w:hAnsi="宋体" w:eastAsia="宋体" w:cs="宋体"/>
      <w:color w:val="000000"/>
      <w:sz w:val="22"/>
      <w:szCs w:val="22"/>
      <w:u w:val="none"/>
    </w:rPr>
  </w:style>
  <w:style w:type="character" w:customStyle="1" w:styleId="976">
    <w:name w:val="font131"/>
    <w:basedOn w:val="70"/>
    <w:qFormat/>
    <w:uiPriority w:val="0"/>
    <w:rPr>
      <w:rFonts w:hint="eastAsia" w:ascii="宋体" w:hAnsi="宋体" w:eastAsia="宋体" w:cs="宋体"/>
      <w:color w:val="000000"/>
      <w:sz w:val="22"/>
      <w:szCs w:val="22"/>
      <w:u w:val="none"/>
    </w:rPr>
  </w:style>
  <w:style w:type="character" w:customStyle="1" w:styleId="977">
    <w:name w:val="font151"/>
    <w:basedOn w:val="70"/>
    <w:qFormat/>
    <w:uiPriority w:val="0"/>
    <w:rPr>
      <w:rFonts w:hint="eastAsia" w:ascii="宋体" w:hAnsi="宋体" w:eastAsia="宋体" w:cs="宋体"/>
      <w:b/>
      <w:bCs/>
      <w:color w:val="000000"/>
      <w:sz w:val="22"/>
      <w:szCs w:val="22"/>
      <w:u w:val="none"/>
    </w:rPr>
  </w:style>
  <w:style w:type="character" w:customStyle="1" w:styleId="978">
    <w:name w:val="font161"/>
    <w:basedOn w:val="70"/>
    <w:qFormat/>
    <w:uiPriority w:val="0"/>
    <w:rPr>
      <w:rFonts w:hint="eastAsia" w:ascii="宋体" w:hAnsi="宋体" w:eastAsia="宋体" w:cs="宋体"/>
      <w:b/>
      <w:bCs/>
      <w:color w:val="000000"/>
      <w:sz w:val="20"/>
      <w:szCs w:val="20"/>
      <w:u w:val="none"/>
    </w:rPr>
  </w:style>
  <w:style w:type="character" w:customStyle="1" w:styleId="979">
    <w:name w:val="font191"/>
    <w:basedOn w:val="70"/>
    <w:qFormat/>
    <w:uiPriority w:val="0"/>
    <w:rPr>
      <w:rFonts w:hint="eastAsia" w:ascii="宋体" w:hAnsi="宋体" w:eastAsia="宋体" w:cs="宋体"/>
      <w:color w:val="000000"/>
      <w:sz w:val="22"/>
      <w:szCs w:val="22"/>
      <w:u w:val="none"/>
    </w:rPr>
  </w:style>
  <w:style w:type="paragraph" w:customStyle="1" w:styleId="980">
    <w:name w:val="修订7"/>
    <w:hidden/>
    <w:semiHidden/>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981">
    <w:name w:val="修订8"/>
    <w:hidden/>
    <w:semiHidden/>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982">
    <w:name w:val="修订9"/>
    <w:hidden/>
    <w:semiHidden/>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983">
    <w:name w:val="修订10"/>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984">
    <w:name w:val="修订11"/>
    <w:hidden/>
    <w:semiHidden/>
    <w:qFormat/>
    <w:uiPriority w:val="99"/>
    <w:pPr>
      <w:spacing w:after="160" w:line="278" w:lineRule="auto"/>
    </w:pPr>
    <w:rPr>
      <w:rFonts w:ascii="Times New Roman" w:hAnsi="Times New Roman" w:eastAsia="宋体" w:cs="Times New Roman"/>
      <w:kern w:val="2"/>
      <w:sz w:val="21"/>
      <w:szCs w:val="24"/>
      <w:lang w:val="en-US" w:eastAsia="zh-CN" w:bidi="ar-SA"/>
    </w:rPr>
  </w:style>
  <w:style w:type="character" w:customStyle="1" w:styleId="985">
    <w:name w:val="未处理的提及4"/>
    <w:basedOn w:val="70"/>
    <w:unhideWhenUsed/>
    <w:qFormat/>
    <w:uiPriority w:val="99"/>
    <w:rPr>
      <w:color w:val="605E5C"/>
      <w:shd w:val="clear" w:color="auto" w:fill="E1DFDD"/>
    </w:rPr>
  </w:style>
  <w:style w:type="paragraph" w:customStyle="1" w:styleId="986">
    <w:name w:val="修订12"/>
    <w:hidden/>
    <w:semiHidden/>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987">
    <w:name w:val="正文！"/>
    <w:basedOn w:val="1"/>
    <w:qFormat/>
    <w:uiPriority w:val="0"/>
    <w:pPr>
      <w:adjustRightInd/>
      <w:spacing w:line="360" w:lineRule="auto"/>
      <w:ind w:firstLine="200" w:firstLineChars="200"/>
    </w:pPr>
    <w:rPr>
      <w:szCs w:val="21"/>
    </w:rPr>
  </w:style>
  <w:style w:type="paragraph" w:customStyle="1" w:styleId="988">
    <w:name w:val="修订13"/>
    <w:hidden/>
    <w:semiHidden/>
    <w:qFormat/>
    <w:uiPriority w:val="99"/>
    <w:pPr>
      <w:spacing w:after="160" w:line="278" w:lineRule="auto"/>
    </w:pPr>
    <w:rPr>
      <w:rFonts w:ascii="Times New Roman" w:hAnsi="Times New Roman" w:eastAsia="宋体" w:cs="Times New Roman"/>
      <w:kern w:val="2"/>
      <w:sz w:val="21"/>
      <w:szCs w:val="24"/>
      <w:lang w:val="en-US" w:eastAsia="zh-CN" w:bidi="ar-SA"/>
    </w:rPr>
  </w:style>
  <w:style w:type="character" w:customStyle="1" w:styleId="989">
    <w:name w:val="未处理的提及5"/>
    <w:basedOn w:val="70"/>
    <w:unhideWhenUsed/>
    <w:qFormat/>
    <w:uiPriority w:val="99"/>
    <w:rPr>
      <w:color w:val="605E5C"/>
      <w:shd w:val="clear" w:color="auto" w:fill="E1DFDD"/>
    </w:rPr>
  </w:style>
  <w:style w:type="character" w:customStyle="1" w:styleId="990">
    <w:name w:val="未处理的提及6"/>
    <w:basedOn w:val="70"/>
    <w:unhideWhenUsed/>
    <w:qFormat/>
    <w:uiPriority w:val="99"/>
    <w:rPr>
      <w:color w:val="605E5C"/>
      <w:shd w:val="clear" w:color="auto" w:fill="E1DFDD"/>
    </w:rPr>
  </w:style>
  <w:style w:type="character" w:customStyle="1" w:styleId="991">
    <w:name w:val="未处理的提及7"/>
    <w:basedOn w:val="70"/>
    <w:unhideWhenUsed/>
    <w:qFormat/>
    <w:uiPriority w:val="99"/>
    <w:rPr>
      <w:color w:val="605E5C"/>
      <w:shd w:val="clear" w:color="auto" w:fill="E1DFDD"/>
    </w:rPr>
  </w:style>
  <w:style w:type="paragraph" w:customStyle="1" w:styleId="992">
    <w:name w:val="正文空2字"/>
    <w:basedOn w:val="99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93">
    <w:name w:val="左对齐正文"/>
    <w:qFormat/>
    <w:uiPriority w:val="99"/>
    <w:pPr>
      <w:spacing w:after="160" w:line="278" w:lineRule="auto"/>
    </w:pPr>
    <w:rPr>
      <w:rFonts w:ascii="Calibri" w:hAnsi="Calibri" w:eastAsia="仿宋_GB2312" w:cs="Calibri"/>
      <w:kern w:val="2"/>
      <w:sz w:val="32"/>
      <w:szCs w:val="32"/>
      <w:lang w:val="en-US" w:eastAsia="zh-CN" w:bidi="ar-SA"/>
    </w:rPr>
  </w:style>
  <w:style w:type="character" w:customStyle="1" w:styleId="994">
    <w:name w:val="fontstyle01"/>
    <w:basedOn w:val="70"/>
    <w:qFormat/>
    <w:uiPriority w:val="0"/>
    <w:rPr>
      <w:rFonts w:hint="eastAsia" w:ascii="宋体" w:hAnsi="宋体" w:eastAsia="宋体"/>
      <w:color w:val="000000"/>
      <w:sz w:val="18"/>
      <w:szCs w:val="18"/>
    </w:rPr>
  </w:style>
  <w:style w:type="character" w:customStyle="1" w:styleId="995">
    <w:name w:val="未处理的提及8"/>
    <w:basedOn w:val="70"/>
    <w:unhideWhenUsed/>
    <w:qFormat/>
    <w:uiPriority w:val="99"/>
    <w:rPr>
      <w:color w:val="605E5C"/>
      <w:shd w:val="clear" w:color="auto" w:fill="E1DFDD"/>
    </w:rPr>
  </w:style>
  <w:style w:type="paragraph" w:customStyle="1" w:styleId="996">
    <w:name w:val="修订14"/>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997">
    <w:name w:val="修订15"/>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character" w:customStyle="1" w:styleId="998">
    <w:name w:val="未处理的提及9"/>
    <w:basedOn w:val="70"/>
    <w:unhideWhenUsed/>
    <w:qFormat/>
    <w:uiPriority w:val="99"/>
    <w:rPr>
      <w:color w:val="605E5C"/>
      <w:shd w:val="clear" w:color="auto" w:fill="E1DFDD"/>
    </w:rPr>
  </w:style>
  <w:style w:type="character" w:customStyle="1" w:styleId="999">
    <w:name w:val="未处理的提及10"/>
    <w:basedOn w:val="70"/>
    <w:unhideWhenUsed/>
    <w:qFormat/>
    <w:uiPriority w:val="99"/>
    <w:rPr>
      <w:color w:val="605E5C"/>
      <w:shd w:val="clear" w:color="auto" w:fill="E1DFDD"/>
    </w:rPr>
  </w:style>
  <w:style w:type="character" w:customStyle="1" w:styleId="1000">
    <w:name w:val="未处理的提及11"/>
    <w:basedOn w:val="70"/>
    <w:unhideWhenUsed/>
    <w:qFormat/>
    <w:uiPriority w:val="99"/>
    <w:rPr>
      <w:color w:val="605E5C"/>
      <w:shd w:val="clear" w:color="auto" w:fill="E1DFDD"/>
    </w:rPr>
  </w:style>
  <w:style w:type="character" w:customStyle="1" w:styleId="1001">
    <w:name w:val="正文文本缩进 2 Char"/>
    <w:qFormat/>
    <w:uiPriority w:val="0"/>
    <w:rPr>
      <w:rFonts w:ascii="仿宋_GB2312" w:hAnsi="宋体" w:cs="Arial"/>
      <w:b/>
      <w:bCs/>
      <w:color w:val="000000"/>
      <w:sz w:val="24"/>
      <w:szCs w:val="24"/>
    </w:rPr>
  </w:style>
  <w:style w:type="character" w:customStyle="1" w:styleId="1002">
    <w:name w:val="签名 Char"/>
    <w:qFormat/>
    <w:uiPriority w:val="0"/>
    <w:rPr>
      <w:rFonts w:eastAsia="仿宋_GB2312"/>
      <w:sz w:val="24"/>
    </w:rPr>
  </w:style>
  <w:style w:type="character" w:customStyle="1" w:styleId="1003">
    <w:name w:val="文档结构图 Char1"/>
    <w:qFormat/>
    <w:uiPriority w:val="0"/>
    <w:rPr>
      <w:kern w:val="2"/>
      <w:sz w:val="21"/>
      <w:szCs w:val="24"/>
      <w:shd w:val="clear" w:color="auto" w:fill="000080"/>
    </w:rPr>
  </w:style>
  <w:style w:type="character" w:customStyle="1" w:styleId="1004">
    <w:name w:val="日期 Char"/>
    <w:qFormat/>
    <w:uiPriority w:val="0"/>
    <w:rPr>
      <w:rFonts w:eastAsia="楷体_GB2312"/>
      <w:kern w:val="2"/>
      <w:sz w:val="32"/>
      <w:lang w:val="en-US" w:eastAsia="zh-CN" w:bidi="ar-SA"/>
    </w:rPr>
  </w:style>
  <w:style w:type="character" w:customStyle="1" w:styleId="1005">
    <w:name w:val="副标题 Char"/>
    <w:qFormat/>
    <w:uiPriority w:val="0"/>
    <w:rPr>
      <w:rFonts w:ascii="Arial" w:hAnsi="Arial" w:eastAsia="隶书"/>
      <w:b/>
      <w:bCs/>
      <w:kern w:val="28"/>
      <w:sz w:val="44"/>
      <w:szCs w:val="32"/>
      <w:lang w:val="en-US" w:eastAsia="zh-CN" w:bidi="ar-SA"/>
    </w:rPr>
  </w:style>
  <w:style w:type="character" w:customStyle="1" w:styleId="1006">
    <w:name w:val="weby11"/>
    <w:qFormat/>
    <w:uiPriority w:val="0"/>
    <w:rPr>
      <w:sz w:val="18"/>
    </w:rPr>
  </w:style>
  <w:style w:type="character" w:customStyle="1" w:styleId="1007">
    <w:name w:val="纯文本 字符2"/>
    <w:qFormat/>
    <w:uiPriority w:val="0"/>
    <w:rPr>
      <w:rFonts w:ascii="宋体" w:hAnsi="Courier New" w:eastAsia="宋体" w:cs="Times New Roman"/>
      <w:sz w:val="24"/>
      <w:szCs w:val="24"/>
    </w:rPr>
  </w:style>
  <w:style w:type="character" w:customStyle="1" w:styleId="1008">
    <w:name w:val="正文缩进 Char2"/>
    <w:qFormat/>
    <w:uiPriority w:val="0"/>
    <w:rPr>
      <w:rFonts w:ascii="宋体" w:eastAsia="宋体"/>
      <w:snapToGrid w:val="0"/>
      <w:color w:val="000000"/>
      <w:kern w:val="28"/>
      <w:sz w:val="28"/>
      <w:lang w:val="en-US" w:eastAsia="zh-CN" w:bidi="ar-SA"/>
    </w:rPr>
  </w:style>
  <w:style w:type="character" w:customStyle="1" w:styleId="1009">
    <w:name w:val="正文文本缩进 3 Char"/>
    <w:qFormat/>
    <w:uiPriority w:val="0"/>
    <w:rPr>
      <w:rFonts w:ascii="仿宋_GB2312" w:hAnsi="宋体" w:eastAsia="仿宋_GB2312"/>
      <w:color w:val="000000"/>
      <w:sz w:val="24"/>
      <w:szCs w:val="24"/>
    </w:rPr>
  </w:style>
  <w:style w:type="character" w:customStyle="1" w:styleId="1010">
    <w:name w:val="亚运 4级标题 字符"/>
    <w:link w:val="1011"/>
    <w:qFormat/>
    <w:uiPriority w:val="0"/>
    <w:rPr>
      <w:rFonts w:ascii="黑体" w:hAnsi="黑体" w:eastAsia="仿宋"/>
      <w:bCs/>
      <w:color w:val="000000"/>
      <w:sz w:val="30"/>
      <w:szCs w:val="30"/>
    </w:rPr>
  </w:style>
  <w:style w:type="paragraph" w:customStyle="1" w:styleId="1011">
    <w:name w:val="亚运 4级标题"/>
    <w:basedOn w:val="6"/>
    <w:link w:val="1010"/>
    <w:qFormat/>
    <w:uiPriority w:val="0"/>
    <w:pPr>
      <w:tabs>
        <w:tab w:val="left" w:pos="840"/>
        <w:tab w:val="clear" w:pos="864"/>
      </w:tabs>
      <w:snapToGrid w:val="0"/>
      <w:spacing w:before="0" w:after="0" w:line="360" w:lineRule="auto"/>
      <w:ind w:left="0" w:firstLine="0"/>
      <w:textAlignment w:val="baseline"/>
    </w:pPr>
    <w:rPr>
      <w:rFonts w:ascii="黑体" w:hAnsi="黑体" w:eastAsia="仿宋"/>
      <w:b w:val="0"/>
      <w:color w:val="000000"/>
      <w:kern w:val="0"/>
      <w:sz w:val="30"/>
      <w:szCs w:val="30"/>
      <w:lang w:val="en-US"/>
    </w:rPr>
  </w:style>
  <w:style w:type="character" w:customStyle="1" w:styleId="1012">
    <w:name w:val="HTML 地址 Char"/>
    <w:qFormat/>
    <w:uiPriority w:val="0"/>
    <w:rPr>
      <w:rFonts w:ascii="宋体" w:hAnsi="宋体"/>
      <w:i/>
      <w:iCs/>
      <w:sz w:val="24"/>
      <w:szCs w:val="24"/>
    </w:rPr>
  </w:style>
  <w:style w:type="character" w:customStyle="1" w:styleId="1013">
    <w:name w:val="class3"/>
    <w:qFormat/>
    <w:uiPriority w:val="0"/>
  </w:style>
  <w:style w:type="character" w:customStyle="1" w:styleId="1014">
    <w:name w:val="尾注文本 Char"/>
    <w:qFormat/>
    <w:uiPriority w:val="0"/>
    <w:rPr>
      <w:kern w:val="2"/>
      <w:sz w:val="21"/>
      <w:szCs w:val="24"/>
      <w:lang w:val="zh-CN"/>
    </w:rPr>
  </w:style>
  <w:style w:type="character" w:customStyle="1" w:styleId="1015">
    <w:name w:val="hui121"/>
    <w:qFormat/>
    <w:uiPriority w:val="0"/>
    <w:rPr>
      <w:rFonts w:eastAsia="宋体"/>
      <w:color w:val="333333"/>
      <w:kern w:val="2"/>
      <w:sz w:val="18"/>
      <w:szCs w:val="18"/>
      <w:lang w:val="en-US" w:eastAsia="zh-CN" w:bidi="ar-SA"/>
    </w:rPr>
  </w:style>
  <w:style w:type="character" w:customStyle="1" w:styleId="1016">
    <w:name w:val="正文文本 3 Char"/>
    <w:qFormat/>
    <w:uiPriority w:val="0"/>
    <w:rPr>
      <w:rFonts w:ascii="Times New Roman" w:hAnsi="宋体" w:eastAsia="仿宋_GB2312"/>
      <w:b/>
      <w:bCs/>
      <w:sz w:val="24"/>
    </w:rPr>
  </w:style>
  <w:style w:type="character" w:customStyle="1" w:styleId="1017">
    <w:name w:val="标题 Char2"/>
    <w:qFormat/>
    <w:uiPriority w:val="10"/>
    <w:rPr>
      <w:b/>
      <w:sz w:val="24"/>
      <w:lang w:val="en-GB"/>
    </w:rPr>
  </w:style>
  <w:style w:type="character" w:customStyle="1" w:styleId="1018">
    <w:name w:val="亚运 5级标题 字符"/>
    <w:link w:val="1019"/>
    <w:qFormat/>
    <w:uiPriority w:val="0"/>
    <w:rPr>
      <w:rFonts w:ascii="宋体" w:hAnsi="宋体"/>
      <w:b/>
      <w:bCs/>
      <w:color w:val="000000"/>
      <w:kern w:val="2"/>
      <w:sz w:val="24"/>
      <w:szCs w:val="28"/>
    </w:rPr>
  </w:style>
  <w:style w:type="paragraph" w:customStyle="1" w:styleId="1019">
    <w:name w:val="亚运 5级标题"/>
    <w:basedOn w:val="7"/>
    <w:link w:val="1018"/>
    <w:qFormat/>
    <w:uiPriority w:val="0"/>
    <w:pPr>
      <w:tabs>
        <w:tab w:val="left" w:pos="840"/>
        <w:tab w:val="clear" w:pos="1008"/>
      </w:tabs>
      <w:spacing w:before="0" w:after="0" w:line="360" w:lineRule="auto"/>
      <w:ind w:left="0" w:firstLine="0"/>
      <w:textAlignment w:val="baseline"/>
    </w:pPr>
    <w:rPr>
      <w:rFonts w:ascii="宋体" w:hAnsi="宋体"/>
      <w:color w:val="000000"/>
      <w:sz w:val="24"/>
    </w:rPr>
  </w:style>
  <w:style w:type="character" w:customStyle="1" w:styleId="1020">
    <w:name w:val="脚注文本 Char"/>
    <w:qFormat/>
    <w:uiPriority w:val="0"/>
    <w:rPr>
      <w:rFonts w:ascii="Calibri"/>
      <w:color w:val="0000FF"/>
      <w:sz w:val="21"/>
    </w:rPr>
  </w:style>
  <w:style w:type="character" w:customStyle="1" w:styleId="1021">
    <w:name w:val="label_list1"/>
    <w:qFormat/>
    <w:uiPriority w:val="0"/>
  </w:style>
  <w:style w:type="character" w:customStyle="1" w:styleId="1022">
    <w:name w:val="style41"/>
    <w:qFormat/>
    <w:uiPriority w:val="0"/>
    <w:rPr>
      <w:sz w:val="18"/>
      <w:szCs w:val="18"/>
    </w:rPr>
  </w:style>
  <w:style w:type="character" w:customStyle="1" w:styleId="1023">
    <w:name w:val="正文缩 Char"/>
    <w:link w:val="1024"/>
    <w:qFormat/>
    <w:uiPriority w:val="0"/>
    <w:rPr>
      <w:rFonts w:eastAsia="楷体_GB2312"/>
      <w:kern w:val="2"/>
      <w:sz w:val="24"/>
      <w:szCs w:val="24"/>
    </w:rPr>
  </w:style>
  <w:style w:type="paragraph" w:customStyle="1" w:styleId="1024">
    <w:name w:val="正文缩"/>
    <w:basedOn w:val="1"/>
    <w:link w:val="1023"/>
    <w:qFormat/>
    <w:uiPriority w:val="0"/>
    <w:pPr>
      <w:adjustRightInd/>
      <w:spacing w:line="360" w:lineRule="auto"/>
      <w:ind w:firstLine="200" w:firstLineChars="200"/>
    </w:pPr>
    <w:rPr>
      <w:rFonts w:eastAsia="楷体_GB2312"/>
      <w:sz w:val="24"/>
    </w:rPr>
  </w:style>
  <w:style w:type="character" w:customStyle="1" w:styleId="1025">
    <w:name w:val="标题 3 字符1"/>
    <w:link w:val="4"/>
    <w:qFormat/>
    <w:uiPriority w:val="0"/>
    <w:rPr>
      <w:b/>
      <w:bCs/>
      <w:kern w:val="2"/>
      <w:sz w:val="32"/>
      <w:szCs w:val="32"/>
    </w:rPr>
  </w:style>
  <w:style w:type="character" w:customStyle="1" w:styleId="1026">
    <w:name w:val="正文1 字符"/>
    <w:link w:val="840"/>
    <w:qFormat/>
    <w:uiPriority w:val="0"/>
    <w:rPr>
      <w:rFonts w:ascii="仿宋_GB2312" w:hAnsi="Courier New" w:eastAsia="仿宋_GB2312"/>
      <w:kern w:val="28"/>
      <w:sz w:val="24"/>
      <w:szCs w:val="24"/>
    </w:rPr>
  </w:style>
  <w:style w:type="character" w:customStyle="1" w:styleId="1027">
    <w:name w:val="List Paragraph Char"/>
    <w:link w:val="612"/>
    <w:qFormat/>
    <w:locked/>
    <w:uiPriority w:val="0"/>
    <w:rPr>
      <w:rFonts w:eastAsia="楷体_GB2312" w:cs="Lucida Sans"/>
      <w:kern w:val="2"/>
      <w:sz w:val="24"/>
      <w:szCs w:val="24"/>
    </w:rPr>
  </w:style>
  <w:style w:type="character" w:customStyle="1" w:styleId="1028">
    <w:name w:val="列出段落 Char3"/>
    <w:qFormat/>
    <w:uiPriority w:val="0"/>
  </w:style>
  <w:style w:type="character" w:customStyle="1" w:styleId="1029">
    <w:name w:val="NormalCharacter"/>
    <w:qFormat/>
    <w:uiPriority w:val="0"/>
    <w:rPr>
      <w:rFonts w:ascii="Times New Roman" w:hAnsi="Times New Roman" w:eastAsia="宋体" w:cs="Times New Roman"/>
    </w:rPr>
  </w:style>
  <w:style w:type="character" w:customStyle="1" w:styleId="1030">
    <w:name w:val="称呼 Char"/>
    <w:qFormat/>
    <w:uiPriority w:val="0"/>
    <w:rPr>
      <w:rFonts w:ascii="仿宋_GB2312" w:eastAsia="仿宋_GB2312"/>
      <w:kern w:val="2"/>
      <w:sz w:val="28"/>
    </w:rPr>
  </w:style>
  <w:style w:type="character" w:customStyle="1" w:styleId="1031">
    <w:name w:val="页脚 Char2"/>
    <w:qFormat/>
    <w:locked/>
    <w:uiPriority w:val="99"/>
    <w:rPr>
      <w:kern w:val="2"/>
      <w:sz w:val="18"/>
      <w:szCs w:val="18"/>
    </w:rPr>
  </w:style>
  <w:style w:type="character" w:customStyle="1" w:styleId="1032">
    <w:name w:val="HTML 预设格式 Char"/>
    <w:qFormat/>
    <w:uiPriority w:val="99"/>
    <w:rPr>
      <w:rFonts w:ascii="宋体" w:hAnsi="宋体" w:cs="宋体"/>
      <w:sz w:val="24"/>
      <w:szCs w:val="24"/>
    </w:rPr>
  </w:style>
  <w:style w:type="character" w:customStyle="1" w:styleId="1033">
    <w:name w:val="批注主题 Char1"/>
    <w:qFormat/>
    <w:uiPriority w:val="0"/>
    <w:rPr>
      <w:b/>
      <w:bCs/>
      <w:kern w:val="2"/>
      <w:sz w:val="21"/>
      <w:szCs w:val="24"/>
    </w:rPr>
  </w:style>
  <w:style w:type="character" w:customStyle="1" w:styleId="1034">
    <w:name w:val="ca-3"/>
    <w:qFormat/>
    <w:uiPriority w:val="0"/>
    <w:rPr>
      <w:rFonts w:eastAsia="宋体"/>
      <w:kern w:val="2"/>
      <w:sz w:val="24"/>
      <w:szCs w:val="24"/>
      <w:lang w:val="en-US" w:eastAsia="zh-CN" w:bidi="ar-SA"/>
    </w:rPr>
  </w:style>
  <w:style w:type="character" w:customStyle="1" w:styleId="1035">
    <w:name w:val="正文文字缩进1 Char Char"/>
    <w:qFormat/>
    <w:uiPriority w:val="0"/>
    <w:rPr>
      <w:rFonts w:ascii="宋体" w:hAnsi="Courier New" w:eastAsia="宋体" w:cs="Times New Roman"/>
      <w:spacing w:val="-4"/>
      <w:sz w:val="18"/>
      <w:szCs w:val="20"/>
    </w:rPr>
  </w:style>
  <w:style w:type="character" w:customStyle="1" w:styleId="1036">
    <w:name w:val="列表段落 字符1"/>
    <w:link w:val="862"/>
    <w:qFormat/>
    <w:locked/>
    <w:uiPriority w:val="99"/>
    <w:rPr>
      <w:rFonts w:ascii="Calibri" w:hAnsi="Calibri"/>
      <w:kern w:val="2"/>
      <w:sz w:val="24"/>
      <w:szCs w:val="24"/>
    </w:rPr>
  </w:style>
  <w:style w:type="character" w:customStyle="1" w:styleId="1037">
    <w:name w:val="亚运3级标题 字符"/>
    <w:link w:val="1038"/>
    <w:qFormat/>
    <w:uiPriority w:val="0"/>
    <w:rPr>
      <w:rFonts w:ascii="黑体" w:hAnsi="黑体" w:eastAsia="仿宋" w:cs="Arial"/>
      <w:bCs/>
      <w:kern w:val="2"/>
      <w:sz w:val="30"/>
      <w:szCs w:val="30"/>
    </w:rPr>
  </w:style>
  <w:style w:type="paragraph" w:customStyle="1" w:styleId="1038">
    <w:name w:val="亚运3级标题"/>
    <w:basedOn w:val="1"/>
    <w:link w:val="1037"/>
    <w:qFormat/>
    <w:uiPriority w:val="0"/>
    <w:pPr>
      <w:keepNext/>
      <w:keepLines/>
      <w:tabs>
        <w:tab w:val="left" w:pos="720"/>
        <w:tab w:val="left" w:pos="840"/>
      </w:tabs>
      <w:snapToGrid w:val="0"/>
      <w:spacing w:line="360" w:lineRule="auto"/>
      <w:outlineLvl w:val="2"/>
    </w:pPr>
    <w:rPr>
      <w:rFonts w:ascii="黑体" w:hAnsi="黑体" w:eastAsia="仿宋" w:cs="Arial"/>
      <w:bCs/>
      <w:sz w:val="30"/>
      <w:szCs w:val="30"/>
    </w:rPr>
  </w:style>
  <w:style w:type="character" w:customStyle="1" w:styleId="1039">
    <w:name w:val="正文文本缩进 字符2"/>
    <w:qFormat/>
    <w:uiPriority w:val="0"/>
    <w:rPr>
      <w:kern w:val="2"/>
      <w:sz w:val="28"/>
    </w:rPr>
  </w:style>
  <w:style w:type="character" w:customStyle="1" w:styleId="1040">
    <w:name w:val="正文文本缩进 Char3"/>
    <w:qFormat/>
    <w:uiPriority w:val="0"/>
    <w:rPr>
      <w:rFonts w:ascii="宋体" w:hAnsi="宋体"/>
      <w:kern w:val="2"/>
      <w:sz w:val="24"/>
      <w:szCs w:val="24"/>
    </w:rPr>
  </w:style>
  <w:style w:type="character" w:customStyle="1" w:styleId="1041">
    <w:name w:val="日期 字符1"/>
    <w:qFormat/>
    <w:uiPriority w:val="0"/>
    <w:rPr>
      <w:rFonts w:ascii="Times New Roman" w:hAnsi="Times New Roman" w:eastAsia="楷体_GB2312" w:cs="Times New Roman"/>
      <w:sz w:val="32"/>
      <w:szCs w:val="20"/>
    </w:rPr>
  </w:style>
  <w:style w:type="character" w:customStyle="1" w:styleId="1042">
    <w:name w:val="批注文字 字符2"/>
    <w:qFormat/>
    <w:uiPriority w:val="0"/>
    <w:rPr>
      <w:rFonts w:ascii="Times New Roman" w:hAnsi="Times New Roman" w:eastAsia="宋体" w:cs="Times New Roman"/>
      <w:szCs w:val="24"/>
    </w:rPr>
  </w:style>
  <w:style w:type="character" w:customStyle="1" w:styleId="1043">
    <w:name w:val="class4"/>
    <w:qFormat/>
    <w:uiPriority w:val="0"/>
  </w:style>
  <w:style w:type="character" w:customStyle="1" w:styleId="1044">
    <w:name w:val="普通文字 Char Char"/>
    <w:qFormat/>
    <w:uiPriority w:val="0"/>
    <w:rPr>
      <w:rFonts w:ascii="宋体" w:hAnsi="Courier New" w:eastAsia="宋体"/>
      <w:sz w:val="24"/>
      <w:szCs w:val="24"/>
      <w:lang w:bidi="ar-SA"/>
    </w:rPr>
  </w:style>
  <w:style w:type="character" w:customStyle="1" w:styleId="1045">
    <w:name w:val="无"/>
    <w:qFormat/>
    <w:uiPriority w:val="0"/>
  </w:style>
  <w:style w:type="character" w:customStyle="1" w:styleId="1046">
    <w:name w:val="页眉 Char2"/>
    <w:qFormat/>
    <w:uiPriority w:val="99"/>
    <w:rPr>
      <w:kern w:val="2"/>
      <w:sz w:val="18"/>
      <w:szCs w:val="18"/>
    </w:rPr>
  </w:style>
  <w:style w:type="character" w:customStyle="1" w:styleId="1047">
    <w:name w:val="标题 4 Char2"/>
    <w:qFormat/>
    <w:uiPriority w:val="9"/>
    <w:rPr>
      <w:rFonts w:ascii="Arial" w:hAnsi="Arial" w:eastAsia="黑体"/>
      <w:b/>
      <w:bCs/>
      <w:kern w:val="2"/>
      <w:sz w:val="28"/>
      <w:szCs w:val="28"/>
      <w:lang w:val="zh-CN"/>
    </w:rPr>
  </w:style>
  <w:style w:type="character" w:customStyle="1" w:styleId="1048">
    <w:name w:val="Char Char241"/>
    <w:qFormat/>
    <w:uiPriority w:val="0"/>
    <w:rPr>
      <w:rFonts w:ascii="Times New Roman" w:hAnsi="Times New Roman" w:eastAsia="宋体" w:cs="Times New Roman"/>
      <w:szCs w:val="20"/>
    </w:rPr>
  </w:style>
  <w:style w:type="character" w:customStyle="1" w:styleId="1049">
    <w:name w:val="批注文字 Char1"/>
    <w:qFormat/>
    <w:uiPriority w:val="0"/>
    <w:rPr>
      <w:kern w:val="2"/>
      <w:sz w:val="21"/>
      <w:szCs w:val="24"/>
    </w:rPr>
  </w:style>
  <w:style w:type="paragraph" w:customStyle="1" w:styleId="1050">
    <w:name w:val="xl9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b/>
      <w:bCs/>
      <w:kern w:val="0"/>
      <w:sz w:val="20"/>
      <w:szCs w:val="20"/>
    </w:rPr>
  </w:style>
  <w:style w:type="paragraph" w:customStyle="1" w:styleId="1051">
    <w:name w:val="正文缩进2字符"/>
    <w:qFormat/>
    <w:uiPriority w:val="0"/>
    <w:pPr>
      <w:spacing w:after="160"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1052">
    <w:name w:val="xl99"/>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jc w:val="center"/>
    </w:pPr>
    <w:rPr>
      <w:rFonts w:ascii="宋体" w:hAnsi="宋体" w:cs="宋体"/>
      <w:b/>
      <w:bCs/>
      <w:kern w:val="0"/>
      <w:sz w:val="20"/>
      <w:szCs w:val="20"/>
    </w:rPr>
  </w:style>
  <w:style w:type="paragraph" w:customStyle="1" w:styleId="1053">
    <w:name w:val="[Normal]"/>
    <w:qFormat/>
    <w:uiPriority w:val="0"/>
    <w:pPr>
      <w:spacing w:after="160" w:line="278" w:lineRule="auto"/>
    </w:pPr>
    <w:rPr>
      <w:rFonts w:ascii="宋体" w:hAnsi="宋体" w:eastAsia="宋体" w:cs="Times New Roman"/>
      <w:sz w:val="24"/>
      <w:szCs w:val="22"/>
      <w:lang w:val="zh-CN" w:eastAsia="zh-CN" w:bidi="ar-SA"/>
    </w:rPr>
  </w:style>
  <w:style w:type="paragraph" w:customStyle="1" w:styleId="1054">
    <w:name w:val="图"/>
    <w:basedOn w:val="1"/>
    <w:qFormat/>
    <w:uiPriority w:val="0"/>
    <w:pPr>
      <w:keepNext/>
      <w:spacing w:before="60" w:after="60" w:line="300" w:lineRule="auto"/>
      <w:jc w:val="center"/>
      <w:textAlignment w:val="center"/>
    </w:pPr>
    <w:rPr>
      <w:spacing w:val="20"/>
      <w:kern w:val="0"/>
      <w:sz w:val="24"/>
      <w:szCs w:val="20"/>
    </w:rPr>
  </w:style>
  <w:style w:type="paragraph" w:customStyle="1" w:styleId="1055">
    <w:name w:val="正文_0_0"/>
    <w:qFormat/>
    <w:uiPriority w:val="0"/>
    <w:pPr>
      <w:widowControl w:val="0"/>
      <w:spacing w:after="160" w:line="278" w:lineRule="auto"/>
      <w:jc w:val="both"/>
    </w:pPr>
    <w:rPr>
      <w:rFonts w:ascii="Times New Roman" w:hAnsi="Times New Roman" w:eastAsia="宋体" w:cs="Times New Roman"/>
      <w:kern w:val="2"/>
      <w:sz w:val="21"/>
      <w:szCs w:val="22"/>
      <w:lang w:val="en-US" w:eastAsia="zh-CN" w:bidi="ar-SA"/>
    </w:rPr>
  </w:style>
  <w:style w:type="paragraph" w:customStyle="1" w:styleId="1056">
    <w:name w:val="xl9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b/>
      <w:bCs/>
      <w:kern w:val="0"/>
      <w:sz w:val="20"/>
      <w:szCs w:val="20"/>
    </w:rPr>
  </w:style>
  <w:style w:type="paragraph" w:customStyle="1" w:styleId="1057">
    <w:name w:val="xl64"/>
    <w:basedOn w:val="1"/>
    <w:qFormat/>
    <w:uiPriority w:val="0"/>
    <w:pPr>
      <w:widowControl/>
      <w:pBdr>
        <w:top w:val="single" w:color="auto" w:sz="4" w:space="0"/>
        <w:left w:val="single" w:color="auto" w:sz="4" w:space="0"/>
        <w:bottom w:val="single" w:color="auto" w:sz="4" w:space="0"/>
        <w:right w:val="single" w:color="auto" w:sz="4" w:space="0"/>
      </w:pBdr>
      <w:shd w:val="clear" w:color="auto" w:fill="FFFF00"/>
      <w:adjustRightInd/>
      <w:spacing w:before="100" w:beforeAutospacing="1" w:after="100" w:afterAutospacing="1"/>
      <w:jc w:val="left"/>
      <w:textAlignment w:val="top"/>
    </w:pPr>
    <w:rPr>
      <w:rFonts w:ascii="宋体" w:hAnsi="宋体" w:cs="宋体"/>
      <w:kern w:val="0"/>
      <w:sz w:val="24"/>
    </w:rPr>
  </w:style>
  <w:style w:type="paragraph" w:customStyle="1" w:styleId="1058">
    <w:name w:val="xl101"/>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pPr>
    <w:rPr>
      <w:rFonts w:ascii="宋体" w:hAnsi="宋体" w:cs="宋体"/>
      <w:kern w:val="0"/>
      <w:sz w:val="20"/>
      <w:szCs w:val="20"/>
    </w:rPr>
  </w:style>
  <w:style w:type="paragraph" w:customStyle="1" w:styleId="1059">
    <w:name w:val="f1"/>
    <w:basedOn w:val="1"/>
    <w:qFormat/>
    <w:uiPriority w:val="0"/>
    <w:pPr>
      <w:widowControl/>
      <w:adjustRightInd/>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060">
    <w:name w:val="无间隔21"/>
    <w:qFormat/>
    <w:uiPriority w:val="0"/>
    <w:pPr>
      <w:widowControl w:val="0"/>
      <w:spacing w:after="160" w:line="278" w:lineRule="auto"/>
      <w:jc w:val="both"/>
    </w:pPr>
    <w:rPr>
      <w:rFonts w:ascii="Times New Roman" w:hAnsi="Times New Roman" w:eastAsia="宋体" w:cs="Times New Roman"/>
      <w:kern w:val="2"/>
      <w:sz w:val="21"/>
      <w:szCs w:val="22"/>
      <w:lang w:val="en-US" w:eastAsia="zh-CN" w:bidi="ar-SA"/>
    </w:rPr>
  </w:style>
  <w:style w:type="paragraph" w:customStyle="1" w:styleId="1061">
    <w:name w:val="xl100"/>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pPr>
    <w:rPr>
      <w:rFonts w:ascii="宋体" w:hAnsi="宋体" w:cs="宋体"/>
      <w:kern w:val="0"/>
      <w:sz w:val="20"/>
      <w:szCs w:val="20"/>
    </w:rPr>
  </w:style>
  <w:style w:type="paragraph" w:customStyle="1" w:styleId="1062">
    <w:name w:val="toc 71"/>
    <w:next w:val="1"/>
    <w:qFormat/>
    <w:uiPriority w:val="0"/>
    <w:pPr>
      <w:wordWrap w:val="0"/>
      <w:spacing w:after="160" w:line="278" w:lineRule="auto"/>
      <w:ind w:left="2550"/>
      <w:jc w:val="both"/>
    </w:pPr>
    <w:rPr>
      <w:rFonts w:ascii="Times New Roman" w:hAnsi="Times New Roman" w:eastAsia="宋体" w:cs="Times New Roman"/>
      <w:sz w:val="21"/>
      <w:szCs w:val="22"/>
      <w:lang w:val="en-US" w:eastAsia="zh-CN" w:bidi="ar-SA"/>
    </w:rPr>
  </w:style>
  <w:style w:type="paragraph" w:customStyle="1" w:styleId="1063">
    <w:name w:val="TOC 标题2"/>
    <w:basedOn w:val="2"/>
    <w:next w:val="1"/>
    <w:qFormat/>
    <w:uiPriority w:val="39"/>
    <w:pPr>
      <w:widowControl/>
      <w:tabs>
        <w:tab w:val="clear" w:pos="432"/>
      </w:tabs>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064">
    <w:name w:val="列表段落11"/>
    <w:basedOn w:val="1"/>
    <w:qFormat/>
    <w:uiPriority w:val="34"/>
    <w:pPr>
      <w:adjustRightInd/>
      <w:ind w:right="238" w:firstLine="420"/>
    </w:pPr>
    <w:rPr>
      <w:rFonts w:ascii="Calibri" w:hAnsi="Calibri"/>
      <w:sz w:val="24"/>
    </w:rPr>
  </w:style>
  <w:style w:type="paragraph" w:customStyle="1" w:styleId="1065">
    <w:name w:val="标题A"/>
    <w:basedOn w:val="2"/>
    <w:qFormat/>
    <w:uiPriority w:val="0"/>
    <w:pPr>
      <w:tabs>
        <w:tab w:val="clear" w:pos="432"/>
      </w:tabs>
      <w:spacing w:before="100" w:beforeAutospacing="1" w:after="60" w:line="240" w:lineRule="auto"/>
      <w:ind w:left="0" w:firstLine="0"/>
      <w:jc w:val="center"/>
      <w:textAlignment w:val="baseline"/>
    </w:pPr>
    <w:rPr>
      <w:rFonts w:ascii="Arial" w:hAnsi="Arial"/>
      <w:sz w:val="28"/>
    </w:rPr>
  </w:style>
  <w:style w:type="paragraph" w:customStyle="1" w:styleId="1066">
    <w:name w:val="xl98"/>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jc w:val="center"/>
    </w:pPr>
    <w:rPr>
      <w:rFonts w:ascii="宋体" w:hAnsi="宋体" w:cs="宋体"/>
      <w:kern w:val="0"/>
      <w:sz w:val="20"/>
      <w:szCs w:val="20"/>
    </w:rPr>
  </w:style>
  <w:style w:type="paragraph" w:customStyle="1" w:styleId="1067">
    <w:name w:val="xl6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1068">
    <w:name w:val="标题B"/>
    <w:basedOn w:val="3"/>
    <w:qFormat/>
    <w:uiPriority w:val="0"/>
    <w:pPr>
      <w:tabs>
        <w:tab w:val="clear" w:pos="432"/>
        <w:tab w:val="clear" w:pos="1110"/>
      </w:tabs>
      <w:adjustRightInd w:val="0"/>
      <w:spacing w:before="100" w:beforeAutospacing="1" w:after="100" w:afterAutospacing="1" w:line="240" w:lineRule="auto"/>
      <w:ind w:left="0" w:leftChars="0" w:firstLine="0" w:firstLineChars="0"/>
      <w:jc w:val="center"/>
      <w:textAlignment w:val="baseline"/>
    </w:pPr>
    <w:rPr>
      <w:rFonts w:ascii="Arial" w:hAnsi="Arial"/>
      <w:kern w:val="0"/>
      <w:sz w:val="28"/>
      <w:szCs w:val="28"/>
    </w:rPr>
  </w:style>
  <w:style w:type="paragraph" w:customStyle="1" w:styleId="1069">
    <w:name w:val="Table Bullet"/>
    <w:basedOn w:val="1"/>
    <w:qFormat/>
    <w:uiPriority w:val="0"/>
    <w:pPr>
      <w:widowControl/>
      <w:tabs>
        <w:tab w:val="left" w:pos="2688"/>
      </w:tabs>
      <w:adjustRightInd/>
      <w:ind w:left="360" w:hanging="360"/>
      <w:jc w:val="left"/>
    </w:pPr>
    <w:rPr>
      <w:rFonts w:ascii="宋体"/>
      <w:snapToGrid w:val="0"/>
      <w:color w:val="000000"/>
      <w:kern w:val="0"/>
      <w:sz w:val="23"/>
      <w:szCs w:val="20"/>
    </w:rPr>
  </w:style>
  <w:style w:type="paragraph" w:customStyle="1" w:styleId="1070">
    <w:name w:val="正文_13"/>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071">
    <w:name w:val="xl97"/>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jc w:val="center"/>
    </w:pPr>
    <w:rPr>
      <w:rFonts w:ascii="宋体" w:hAnsi="宋体" w:cs="宋体"/>
      <w:b/>
      <w:bCs/>
      <w:kern w:val="0"/>
      <w:sz w:val="20"/>
      <w:szCs w:val="20"/>
    </w:rPr>
  </w:style>
  <w:style w:type="paragraph" w:customStyle="1" w:styleId="1072">
    <w:name w:val="纯文本3"/>
    <w:basedOn w:val="1"/>
    <w:qFormat/>
    <w:uiPriority w:val="0"/>
    <w:pPr>
      <w:widowControl/>
      <w:adjustRightInd/>
      <w:jc w:val="left"/>
    </w:pPr>
    <w:rPr>
      <w:rFonts w:hint="eastAsia" w:ascii="宋体" w:hAnsi="Courier New"/>
      <w:szCs w:val="20"/>
    </w:rPr>
  </w:style>
  <w:style w:type="paragraph" w:customStyle="1" w:styleId="1073">
    <w:name w:val="列出段落21"/>
    <w:basedOn w:val="1"/>
    <w:qFormat/>
    <w:uiPriority w:val="34"/>
    <w:pPr>
      <w:adjustRightInd/>
      <w:ind w:firstLine="420" w:firstLineChars="200"/>
    </w:pPr>
    <w:rPr>
      <w:rFonts w:ascii="等线" w:hAnsi="等线" w:eastAsia="等线"/>
      <w:szCs w:val="22"/>
    </w:rPr>
  </w:style>
  <w:style w:type="paragraph" w:customStyle="1" w:styleId="1074">
    <w:name w:val="简单回函地址"/>
    <w:basedOn w:val="1"/>
    <w:qFormat/>
    <w:uiPriority w:val="0"/>
    <w:pPr>
      <w:spacing w:line="312" w:lineRule="atLeast"/>
      <w:textAlignment w:val="baseline"/>
    </w:pPr>
    <w:rPr>
      <w:kern w:val="0"/>
      <w:szCs w:val="20"/>
    </w:rPr>
  </w:style>
  <w:style w:type="paragraph" w:customStyle="1" w:styleId="1075">
    <w:name w:val="cjk"/>
    <w:basedOn w:val="1"/>
    <w:qFormat/>
    <w:uiPriority w:val="0"/>
    <w:pPr>
      <w:widowControl/>
      <w:adjustRightInd/>
      <w:spacing w:line="480" w:lineRule="auto"/>
      <w:jc w:val="left"/>
    </w:pPr>
    <w:rPr>
      <w:rFonts w:ascii="宋体" w:hAnsi="宋体" w:cs="宋体"/>
      <w:kern w:val="0"/>
      <w:sz w:val="24"/>
      <w:szCs w:val="22"/>
    </w:rPr>
  </w:style>
  <w:style w:type="paragraph" w:customStyle="1" w:styleId="1076">
    <w:name w:val="修订16"/>
    <w:unhideWhenUsed/>
    <w:qFormat/>
    <w:uiPriority w:val="99"/>
    <w:pPr>
      <w:spacing w:after="160" w:line="278" w:lineRule="auto"/>
    </w:pPr>
    <w:rPr>
      <w:rFonts w:ascii="Times New Roman" w:hAnsi="Times New Roman" w:eastAsia="宋体" w:cs="Times New Roman"/>
      <w:kern w:val="2"/>
      <w:sz w:val="21"/>
      <w:szCs w:val="22"/>
      <w:lang w:val="en-US" w:eastAsia="zh-CN" w:bidi="ar-SA"/>
    </w:rPr>
  </w:style>
  <w:style w:type="paragraph" w:customStyle="1" w:styleId="1077">
    <w:name w:val="UserStyle_0"/>
    <w:qFormat/>
    <w:uiPriority w:val="0"/>
    <w:pPr>
      <w:spacing w:after="160" w:line="278" w:lineRule="auto"/>
      <w:textAlignment w:val="baseline"/>
    </w:pPr>
    <w:rPr>
      <w:rFonts w:ascii="Arial" w:hAnsi="Arial" w:eastAsia="宋体" w:cs="Times New Roman"/>
      <w:color w:val="000000"/>
      <w:sz w:val="24"/>
      <w:szCs w:val="24"/>
      <w:lang w:val="en-US" w:eastAsia="zh-CN" w:bidi="ar-SA"/>
    </w:rPr>
  </w:style>
  <w:style w:type="paragraph" w:customStyle="1" w:styleId="1078">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宋体" w:hAnsi="宋体" w:cs="宋体"/>
      <w:kern w:val="0"/>
      <w:sz w:val="24"/>
    </w:rPr>
  </w:style>
  <w:style w:type="paragraph" w:customStyle="1" w:styleId="1079">
    <w:name w:val="标题C"/>
    <w:basedOn w:val="4"/>
    <w:qFormat/>
    <w:uiPriority w:val="0"/>
    <w:pPr>
      <w:tabs>
        <w:tab w:val="clear" w:pos="900"/>
      </w:tabs>
      <w:spacing w:before="100" w:beforeAutospacing="1" w:after="100" w:afterAutospacing="1" w:line="240" w:lineRule="auto"/>
      <w:ind w:left="0" w:firstLine="0"/>
      <w:jc w:val="center"/>
      <w:textAlignment w:val="baseline"/>
    </w:pPr>
    <w:rPr>
      <w:kern w:val="0"/>
      <w:sz w:val="24"/>
      <w:szCs w:val="24"/>
    </w:rPr>
  </w:style>
  <w:style w:type="paragraph" w:customStyle="1" w:styleId="1080">
    <w:name w:val="xl102"/>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pPr>
    <w:rPr>
      <w:rFonts w:ascii="宋体" w:hAnsi="宋体" w:cs="宋体"/>
      <w:kern w:val="0"/>
      <w:sz w:val="20"/>
      <w:szCs w:val="20"/>
    </w:rPr>
  </w:style>
  <w:style w:type="paragraph" w:customStyle="1" w:styleId="1081">
    <w:name w:val="Char Char Char Char Char Char Char Char Char Char Char Char Char Char Char Char Char Char Char Char Char Char Char Char Char Char Char Char Char1 Char Char Char Char Char Char Char Char Char Char Char Char"/>
    <w:basedOn w:val="1"/>
    <w:unhideWhenUsed/>
    <w:qFormat/>
    <w:uiPriority w:val="0"/>
    <w:pPr>
      <w:adjustRightInd/>
    </w:pPr>
    <w:rPr>
      <w:rFonts w:hint="eastAsia" w:ascii="仿宋_GB2312" w:eastAsia="仿宋_GB2312"/>
      <w:b/>
      <w:sz w:val="32"/>
    </w:rPr>
  </w:style>
  <w:style w:type="paragraph" w:customStyle="1" w:styleId="1082">
    <w:name w:val="xl10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1083">
    <w:name w:val="xl103"/>
    <w:basedOn w:val="1"/>
    <w:qFormat/>
    <w:uiPriority w:val="0"/>
    <w:pPr>
      <w:widowControl/>
      <w:adjustRightInd/>
      <w:spacing w:before="100" w:beforeAutospacing="1" w:after="100" w:afterAutospacing="1"/>
      <w:jc w:val="center"/>
    </w:pPr>
    <w:rPr>
      <w:rFonts w:ascii="宋体" w:hAnsi="宋体" w:cs="宋体"/>
      <w:kern w:val="0"/>
      <w:sz w:val="24"/>
    </w:rPr>
  </w:style>
  <w:style w:type="paragraph" w:customStyle="1" w:styleId="1084">
    <w:name w:val="修订17"/>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1085">
    <w:name w:val="修订18"/>
    <w:hidden/>
    <w:unhideWhenUsed/>
    <w:qFormat/>
    <w:uiPriority w:val="99"/>
    <w:rPr>
      <w:rFonts w:ascii="Times New Roman" w:hAnsi="Times New Roman" w:eastAsia="宋体" w:cs="Times New Roman"/>
      <w:kern w:val="2"/>
      <w:sz w:val="21"/>
      <w:szCs w:val="24"/>
      <w:lang w:val="en-US" w:eastAsia="zh-CN" w:bidi="ar-SA"/>
    </w:rPr>
  </w:style>
  <w:style w:type="paragraph" w:customStyle="1" w:styleId="1086">
    <w:name w:val="修订19"/>
    <w:hidden/>
    <w:unhideWhenUsed/>
    <w:qFormat/>
    <w:uiPriority w:val="99"/>
    <w:rPr>
      <w:rFonts w:ascii="Times New Roman" w:hAnsi="Times New Roman" w:eastAsia="宋体" w:cs="Times New Roman"/>
      <w:kern w:val="2"/>
      <w:sz w:val="21"/>
      <w:szCs w:val="24"/>
      <w:lang w:val="en-US" w:eastAsia="zh-CN" w:bidi="ar-SA"/>
    </w:rPr>
  </w:style>
  <w:style w:type="paragraph" w:customStyle="1" w:styleId="1087">
    <w:name w:val="修订20"/>
    <w:hidden/>
    <w:unhideWhenUsed/>
    <w:qFormat/>
    <w:uiPriority w:val="99"/>
    <w:rPr>
      <w:rFonts w:ascii="Times New Roman" w:hAnsi="Times New Roman" w:eastAsia="宋体" w:cs="Times New Roman"/>
      <w:kern w:val="2"/>
      <w:sz w:val="21"/>
      <w:szCs w:val="24"/>
      <w:lang w:val="en-US" w:eastAsia="zh-CN" w:bidi="ar-SA"/>
    </w:rPr>
  </w:style>
  <w:style w:type="paragraph" w:styleId="1088">
    <w:name w:val="List Paragraph"/>
    <w:basedOn w:val="1"/>
    <w:unhideWhenUsed/>
    <w:qFormat/>
    <w:uiPriority w:val="99"/>
    <w:pPr>
      <w:ind w:firstLine="420" w:firstLineChars="200"/>
    </w:pPr>
  </w:style>
  <w:style w:type="paragraph" w:customStyle="1" w:styleId="1089">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jpeg"/><Relationship Id="rId26" Type="http://schemas.openxmlformats.org/officeDocument/2006/relationships/theme" Target="theme/theme1.xml"/><Relationship Id="rId25" Type="http://schemas.openxmlformats.org/officeDocument/2006/relationships/footer" Target="foot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106</Pages>
  <Words>9489</Words>
  <Characters>10385</Characters>
  <Lines>416</Lines>
  <Paragraphs>117</Paragraphs>
  <TotalTime>12</TotalTime>
  <ScaleCrop>false</ScaleCrop>
  <LinksUpToDate>false</LinksUpToDate>
  <CharactersWithSpaces>10738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2025-01-03T21:06:00Z</dcterms:created>
  <dc:creator>玥</dc:creator>
  <cp:lastModifiedBy>Leez</cp:lastModifiedBy>
  <cp:lastPrinted>2023-03-12T01:43:00Z</cp:lastPrinted>
  <dcterms:modified xsi:type="dcterms:W3CDTF">2025-06-26T09:51:05Z</dcterms:modified>
  <dc:title>杭州市市民卡扩大发卡工程</dc:title>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7B937A01EE6646C3BE3590371CA199C9_13</vt:lpwstr>
  </property>
  <property fmtid="{D5CDD505-2E9C-101B-9397-08002B2CF9AE}" pid="5" name="KSOTemplateDocerSaveRecord">
    <vt:lpwstr>eyJoZGlkIjoiNWJmMzEyZjFjNDlhZDFiNGZhZDI0YzBjMzQ5MjBhOGIiLCJ1c2VySWQiOiIyMTQ2NjI3OTcifQ==</vt:lpwstr>
  </property>
</Properties>
</file>