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5E66">
      <w:pPr>
        <w:spacing w:line="360" w:lineRule="auto"/>
        <w:ind w:left="120" w:firstLine="22"/>
        <w:jc w:val="center"/>
        <w:rPr>
          <w:rFonts w:hint="eastAsia" w:ascii="宋体" w:hAnsi="宋体" w:cs="宋体"/>
          <w:b/>
          <w:color w:val="auto"/>
          <w:sz w:val="24"/>
          <w:highlight w:val="none"/>
        </w:rPr>
      </w:pPr>
    </w:p>
    <w:p w14:paraId="0E943989">
      <w:pPr>
        <w:spacing w:line="360" w:lineRule="auto"/>
        <w:ind w:left="120" w:firstLine="22"/>
        <w:jc w:val="center"/>
        <w:rPr>
          <w:rFonts w:hint="eastAsia" w:ascii="宋体" w:hAnsi="宋体" w:cs="宋体"/>
          <w:b/>
          <w:color w:val="auto"/>
          <w:sz w:val="24"/>
          <w:highlight w:val="none"/>
        </w:rPr>
      </w:pPr>
    </w:p>
    <w:p w14:paraId="6770055F">
      <w:pPr>
        <w:adjustRightInd/>
        <w:spacing w:line="360" w:lineRule="auto"/>
        <w:ind w:left="120" w:firstLine="22"/>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bookmarkStart w:id="0" w:name="_Hlk201160629"/>
      <w:r>
        <w:rPr>
          <w:rFonts w:hint="eastAsia" w:ascii="宋体" w:hAnsi="宋体" w:cs="宋体"/>
          <w:color w:val="auto"/>
          <w:sz w:val="44"/>
          <w:szCs w:val="44"/>
          <w:highlight w:val="none"/>
        </w:rPr>
        <w:t>上城区“数智组工”平台信创提升改造项目</w:t>
      </w:r>
    </w:p>
    <w:p w14:paraId="4F8B0E17">
      <w:pPr>
        <w:adjustRightInd/>
        <w:spacing w:line="360" w:lineRule="auto"/>
        <w:ind w:left="120" w:firstLine="22"/>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采购文件 </w:t>
      </w:r>
      <w:bookmarkEnd w:id="0"/>
    </w:p>
    <w:p w14:paraId="24A85682">
      <w:pPr>
        <w:adjustRightInd/>
        <w:spacing w:line="360" w:lineRule="auto"/>
        <w:ind w:left="120" w:firstLine="22"/>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90B7E02">
      <w:pPr>
        <w:rPr>
          <w:color w:val="auto"/>
          <w:highlight w:val="none"/>
        </w:rPr>
      </w:pPr>
    </w:p>
    <w:p w14:paraId="78EE092F">
      <w:pPr>
        <w:snapToGrid w:val="0"/>
        <w:spacing w:line="360" w:lineRule="auto"/>
        <w:ind w:left="120" w:firstLine="22"/>
        <w:jc w:val="center"/>
        <w:rPr>
          <w:rFonts w:hint="eastAsia" w:ascii="宋体" w:hAnsi="宋体" w:cs="宋体"/>
          <w:color w:val="auto"/>
          <w:sz w:val="30"/>
          <w:szCs w:val="30"/>
          <w:highlight w:val="none"/>
        </w:rPr>
      </w:pPr>
      <w:r>
        <w:rPr>
          <w:rFonts w:ascii="宋体" w:hAnsi="宋体" w:cs="宋体"/>
          <w:color w:val="auto"/>
          <w:kern w:val="0"/>
          <w:sz w:val="24"/>
          <w:highlight w:val="none"/>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7"/>
                    <a:stretch>
                      <a:fillRect/>
                    </a:stretch>
                  </pic:blipFill>
                  <pic:spPr>
                    <a:xfrm>
                      <a:off x="0" y="0"/>
                      <a:ext cx="1781175" cy="1358265"/>
                    </a:xfrm>
                    <a:prstGeom prst="rect">
                      <a:avLst/>
                    </a:prstGeom>
                    <a:noFill/>
                    <a:ln>
                      <a:noFill/>
                    </a:ln>
                  </pic:spPr>
                </pic:pic>
              </a:graphicData>
            </a:graphic>
          </wp:inline>
        </w:drawing>
      </w:r>
    </w:p>
    <w:p w14:paraId="5EE356F2">
      <w:pPr>
        <w:snapToGrid w:val="0"/>
        <w:spacing w:line="360" w:lineRule="auto"/>
        <w:ind w:left="120" w:firstLine="22"/>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编号:CTZB-2025060381</w:t>
      </w:r>
    </w:p>
    <w:p w14:paraId="528B59F4">
      <w:pPr>
        <w:adjustRightInd/>
        <w:spacing w:line="360" w:lineRule="auto"/>
        <w:ind w:left="120" w:firstLine="22"/>
        <w:rPr>
          <w:rFonts w:hint="eastAsia" w:ascii="宋体" w:hAnsi="宋体" w:cs="宋体"/>
          <w:color w:val="auto"/>
          <w:sz w:val="28"/>
          <w:szCs w:val="20"/>
          <w:highlight w:val="none"/>
        </w:rPr>
      </w:pPr>
      <w:r>
        <w:rPr>
          <w:rFonts w:hint="eastAsia" w:ascii="宋体" w:hAnsi="宋体" w:cs="宋体"/>
          <w:color w:val="auto"/>
          <w:sz w:val="28"/>
          <w:szCs w:val="20"/>
          <w:highlight w:val="none"/>
        </w:rPr>
        <w:t xml:space="preserve">                                </w:t>
      </w:r>
    </w:p>
    <w:p w14:paraId="4706CFE4">
      <w:pPr>
        <w:spacing w:line="360" w:lineRule="auto"/>
        <w:ind w:left="120" w:firstLine="22"/>
        <w:rPr>
          <w:rFonts w:hint="eastAsia" w:ascii="宋体" w:hAnsi="宋体" w:cs="宋体"/>
          <w:color w:val="auto"/>
          <w:sz w:val="24"/>
          <w:highlight w:val="none"/>
        </w:rPr>
      </w:pPr>
      <w:r>
        <w:rPr>
          <w:rFonts w:hint="eastAsia" w:ascii="宋体" w:hAnsi="宋体" w:cs="宋体"/>
          <w:b/>
          <w:color w:val="auto"/>
          <w:sz w:val="44"/>
          <w:szCs w:val="44"/>
          <w:highlight w:val="none"/>
        </w:rPr>
        <w:t xml:space="preserve">                    </w:t>
      </w:r>
    </w:p>
    <w:p w14:paraId="6B622708">
      <w:pPr>
        <w:spacing w:line="360" w:lineRule="auto"/>
        <w:ind w:left="120" w:firstLine="22"/>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2F804981">
      <w:pPr>
        <w:snapToGrid w:val="0"/>
        <w:spacing w:line="360" w:lineRule="auto"/>
        <w:ind w:left="120" w:firstLine="1285" w:firstLineChars="40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   标  人：</w:t>
      </w:r>
      <w:bookmarkStart w:id="1" w:name="_Hlk201160535"/>
      <w:r>
        <w:rPr>
          <w:rFonts w:hint="eastAsia" w:ascii="宋体" w:hAnsi="宋体" w:cs="宋体"/>
          <w:b/>
          <w:bCs/>
          <w:color w:val="auto"/>
          <w:sz w:val="32"/>
          <w:szCs w:val="32"/>
          <w:highlight w:val="none"/>
        </w:rPr>
        <w:t>中共杭州市上城区委组织部</w:t>
      </w:r>
      <w:bookmarkEnd w:id="1"/>
    </w:p>
    <w:p w14:paraId="6790AD68">
      <w:pPr>
        <w:snapToGrid w:val="0"/>
        <w:spacing w:line="360" w:lineRule="auto"/>
        <w:ind w:left="120" w:firstLine="2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招标代理机构：浙江省成套招标代理有限公司</w:t>
      </w:r>
    </w:p>
    <w:p w14:paraId="34595CED">
      <w:pPr>
        <w:snapToGrid w:val="0"/>
        <w:spacing w:line="360" w:lineRule="auto"/>
        <w:ind w:left="120" w:firstLine="2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二〇二五年六月</w:t>
      </w:r>
    </w:p>
    <w:p w14:paraId="634ECA62">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60B70D15">
      <w:pPr>
        <w:pStyle w:val="637"/>
        <w:spacing w:line="360" w:lineRule="auto"/>
        <w:ind w:left="210" w:firstLine="357"/>
        <w:outlineLvl w:val="9"/>
        <w:rPr>
          <w:rFonts w:hint="eastAsia" w:ascii="宋体" w:hAnsi="宋体" w:eastAsia="宋体"/>
          <w:color w:val="auto"/>
          <w:highlight w:val="none"/>
        </w:rPr>
      </w:pPr>
    </w:p>
    <w:p w14:paraId="697DC5A7">
      <w:pPr>
        <w:spacing w:line="360" w:lineRule="auto"/>
        <w:ind w:left="120" w:firstLine="22"/>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9148E82">
      <w:pPr>
        <w:spacing w:line="360" w:lineRule="auto"/>
        <w:ind w:left="120" w:firstLine="22"/>
        <w:rPr>
          <w:rFonts w:hint="eastAsia" w:ascii="宋体" w:hAnsi="宋体" w:cs="宋体"/>
          <w:color w:val="auto"/>
          <w:sz w:val="32"/>
          <w:szCs w:val="32"/>
          <w:highlight w:val="none"/>
        </w:rPr>
      </w:pPr>
    </w:p>
    <w:p w14:paraId="44ABC7D9">
      <w:pPr>
        <w:spacing w:line="360" w:lineRule="auto"/>
        <w:ind w:left="120" w:firstLine="22"/>
        <w:rPr>
          <w:rFonts w:hint="eastAsia" w:ascii="宋体" w:hAnsi="宋体" w:cs="宋体"/>
          <w:color w:val="auto"/>
          <w:sz w:val="32"/>
          <w:szCs w:val="32"/>
          <w:highlight w:val="none"/>
        </w:rPr>
      </w:pPr>
    </w:p>
    <w:p w14:paraId="0D1EB9A2">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EC4419B">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A15DBA1">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97A74D">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BF9F988">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E6B7F7">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2C453C">
      <w:pPr>
        <w:spacing w:line="360" w:lineRule="auto"/>
        <w:ind w:left="120" w:firstLine="549" w:firstLineChars="229"/>
        <w:rPr>
          <w:rFonts w:hint="eastAsia" w:ascii="宋体" w:hAnsi="宋体" w:cs="宋体"/>
          <w:color w:val="auto"/>
          <w:sz w:val="24"/>
          <w:highlight w:val="none"/>
        </w:rPr>
      </w:pPr>
      <w:bookmarkStart w:id="3" w:name="_Hlt91233176"/>
      <w:bookmarkEnd w:id="3"/>
      <w:bookmarkStart w:id="4" w:name="_Toc91899869"/>
    </w:p>
    <w:p w14:paraId="4A690C14">
      <w:pPr>
        <w:spacing w:line="360" w:lineRule="auto"/>
        <w:ind w:left="120" w:firstLine="549" w:firstLineChars="229"/>
        <w:rPr>
          <w:rFonts w:hint="eastAsia" w:ascii="宋体" w:hAnsi="宋体" w:cs="宋体"/>
          <w:color w:val="auto"/>
          <w:sz w:val="24"/>
          <w:highlight w:val="none"/>
        </w:rPr>
      </w:pPr>
    </w:p>
    <w:p w14:paraId="3B0129B7">
      <w:pPr>
        <w:spacing w:line="360" w:lineRule="auto"/>
        <w:ind w:left="120" w:firstLine="549" w:firstLineChars="229"/>
        <w:rPr>
          <w:rFonts w:hint="eastAsia" w:ascii="宋体" w:hAnsi="宋体" w:cs="宋体"/>
          <w:color w:val="auto"/>
          <w:sz w:val="24"/>
          <w:highlight w:val="none"/>
        </w:rPr>
      </w:pPr>
    </w:p>
    <w:p w14:paraId="36AA3224">
      <w:pPr>
        <w:spacing w:line="360" w:lineRule="auto"/>
        <w:ind w:left="120" w:firstLine="549" w:firstLineChars="229"/>
        <w:rPr>
          <w:rFonts w:hint="eastAsia" w:ascii="宋体" w:hAnsi="宋体" w:cs="宋体"/>
          <w:color w:val="auto"/>
          <w:sz w:val="24"/>
          <w:highlight w:val="none"/>
        </w:rPr>
      </w:pPr>
    </w:p>
    <w:p w14:paraId="3A524EB1">
      <w:pPr>
        <w:spacing w:line="360" w:lineRule="auto"/>
        <w:ind w:left="120" w:firstLine="549" w:firstLineChars="229"/>
        <w:rPr>
          <w:rFonts w:hint="eastAsia" w:ascii="宋体" w:hAnsi="宋体" w:cs="宋体"/>
          <w:color w:val="auto"/>
          <w:sz w:val="24"/>
          <w:highlight w:val="none"/>
        </w:rPr>
      </w:pPr>
    </w:p>
    <w:p w14:paraId="02A1BE50">
      <w:pPr>
        <w:spacing w:line="360" w:lineRule="auto"/>
        <w:ind w:left="120" w:firstLine="549" w:firstLineChars="229"/>
        <w:rPr>
          <w:rFonts w:hint="eastAsia" w:ascii="宋体" w:hAnsi="宋体" w:cs="宋体"/>
          <w:color w:val="auto"/>
          <w:sz w:val="24"/>
          <w:highlight w:val="none"/>
        </w:rPr>
      </w:pPr>
    </w:p>
    <w:p w14:paraId="120EA6A8">
      <w:pPr>
        <w:spacing w:line="360" w:lineRule="auto"/>
        <w:ind w:left="120" w:firstLine="549" w:firstLineChars="229"/>
        <w:rPr>
          <w:rFonts w:hint="eastAsia" w:ascii="宋体" w:hAnsi="宋体" w:cs="宋体"/>
          <w:color w:val="auto"/>
          <w:sz w:val="24"/>
          <w:highlight w:val="none"/>
        </w:rPr>
      </w:pPr>
    </w:p>
    <w:p w14:paraId="571C3939">
      <w:pPr>
        <w:spacing w:line="360" w:lineRule="auto"/>
        <w:ind w:left="120" w:firstLine="549" w:firstLineChars="229"/>
        <w:rPr>
          <w:rFonts w:hint="eastAsia" w:ascii="宋体" w:hAnsi="宋体" w:cs="宋体"/>
          <w:color w:val="auto"/>
          <w:sz w:val="24"/>
          <w:highlight w:val="none"/>
        </w:rPr>
      </w:pPr>
    </w:p>
    <w:p w14:paraId="70CC2768">
      <w:pPr>
        <w:spacing w:line="360" w:lineRule="auto"/>
        <w:ind w:left="120" w:firstLine="549" w:firstLineChars="229"/>
        <w:rPr>
          <w:rFonts w:hint="eastAsia" w:ascii="宋体" w:hAnsi="宋体" w:cs="宋体"/>
          <w:color w:val="auto"/>
          <w:sz w:val="24"/>
          <w:highlight w:val="none"/>
        </w:rPr>
      </w:pPr>
    </w:p>
    <w:bookmarkEnd w:id="4"/>
    <w:p w14:paraId="6310A99B">
      <w:pPr>
        <w:adjustRightInd/>
        <w:spacing w:line="360" w:lineRule="auto"/>
        <w:ind w:left="120" w:firstLine="22"/>
        <w:jc w:val="center"/>
        <w:outlineLvl w:val="0"/>
        <w:rPr>
          <w:rFonts w:hint="eastAsia" w:ascii="宋体" w:hAnsi="宋体" w:cs="宋体"/>
          <w:b/>
          <w:color w:val="auto"/>
          <w:sz w:val="36"/>
          <w:szCs w:val="20"/>
          <w:highlight w:val="none"/>
        </w:rPr>
      </w:pPr>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11477DA6">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EABF0B7">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上城区“数智组工”平台信创提升改造项目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"https://www.zcygov.cn/）获取（下载）采购文件，并于2025年%20%20月%20%20日09点30分00秒"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https://www.zcygov.cn/）获取（下载）采购文件，并于2025年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53E8B27">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6D1595">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CTZB-2025060381</w:t>
      </w:r>
    </w:p>
    <w:p w14:paraId="52E1DABB">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 上城区“数智组工”平台信创提升改造项目</w:t>
      </w:r>
    </w:p>
    <w:p w14:paraId="3D911D7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99</w:t>
      </w:r>
      <w:r>
        <w:rPr>
          <w:rFonts w:ascii="宋体" w:hAnsi="宋体" w:cs="宋体"/>
          <w:color w:val="auto"/>
          <w:sz w:val="24"/>
          <w:highlight w:val="none"/>
        </w:rPr>
        <w:t>0000.00</w:t>
      </w:r>
    </w:p>
    <w:p w14:paraId="0324166E">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99</w:t>
      </w:r>
      <w:r>
        <w:rPr>
          <w:rFonts w:ascii="宋体" w:hAnsi="宋体" w:cs="宋体"/>
          <w:color w:val="auto"/>
          <w:sz w:val="24"/>
          <w:highlight w:val="none"/>
        </w:rPr>
        <w:t>0000.00</w:t>
      </w:r>
    </w:p>
    <w:p w14:paraId="1A7D3648">
      <w:pPr>
        <w:shd w:val="clear" w:color="auto" w:fill="FFFFFF"/>
        <w:snapToGrid w:val="0"/>
        <w:spacing w:line="360" w:lineRule="auto"/>
        <w:ind w:firstLine="720" w:firstLineChars="300"/>
        <w:rPr>
          <w:rFonts w:hint="eastAsia" w:ascii="宋体" w:hAnsi="宋体" w:cs="宋体"/>
          <w:color w:val="auto"/>
          <w:sz w:val="24"/>
          <w:highlight w:val="none"/>
        </w:rPr>
      </w:pPr>
      <w:r>
        <w:rPr>
          <w:rFonts w:hint="eastAsia" w:ascii="宋体" w:hAnsi="宋体" w:cs="宋体"/>
          <w:bCs/>
          <w:color w:val="auto"/>
          <w:sz w:val="24"/>
          <w:highlight w:val="none"/>
        </w:rPr>
        <w:t>标项名称:</w:t>
      </w:r>
      <w:r>
        <w:rPr>
          <w:rFonts w:hint="eastAsia" w:ascii="宋体" w:hAnsi="宋体"/>
          <w:color w:val="auto"/>
          <w:highlight w:val="none"/>
        </w:rPr>
        <w:t xml:space="preserve"> </w:t>
      </w:r>
      <w:bookmarkStart w:id="12" w:name="OLE_LINK1"/>
      <w:r>
        <w:rPr>
          <w:rFonts w:hint="eastAsia" w:ascii="宋体" w:hAnsi="宋体" w:cs="宋体"/>
          <w:color w:val="auto"/>
          <w:sz w:val="24"/>
          <w:highlight w:val="none"/>
        </w:rPr>
        <w:t>上城区“数智组工”平台信创提升改造</w:t>
      </w:r>
      <w:bookmarkEnd w:id="12"/>
    </w:p>
    <w:p w14:paraId="5098241A">
      <w:pPr>
        <w:shd w:val="clear" w:color="auto" w:fill="FFFFFF"/>
        <w:snapToGrid w:val="0"/>
        <w:spacing w:line="360" w:lineRule="auto"/>
        <w:ind w:firstLine="720" w:firstLineChars="300"/>
        <w:rPr>
          <w:rFonts w:hint="eastAsia" w:ascii="宋体" w:hAnsi="宋体" w:cs="宋体"/>
          <w:bCs/>
          <w:color w:val="auto"/>
          <w:sz w:val="24"/>
          <w:highlight w:val="none"/>
        </w:rPr>
      </w:pPr>
      <w:r>
        <w:rPr>
          <w:rFonts w:hint="eastAsia" w:ascii="宋体" w:hAnsi="宋体" w:cs="宋体"/>
          <w:bCs/>
          <w:color w:val="auto"/>
          <w:sz w:val="24"/>
          <w:highlight w:val="none"/>
        </w:rPr>
        <w:t>数量: 1  </w:t>
      </w:r>
    </w:p>
    <w:p w14:paraId="77ADCFE9">
      <w:pPr>
        <w:shd w:val="clear" w:color="auto" w:fill="FFFFFF"/>
        <w:snapToGrid w:val="0"/>
        <w:spacing w:line="360" w:lineRule="auto"/>
        <w:ind w:firstLine="720" w:firstLineChars="300"/>
        <w:rPr>
          <w:rFonts w:hint="eastAsia" w:ascii="宋体" w:hAnsi="宋体" w:cs="宋体"/>
          <w:bCs/>
          <w:color w:val="auto"/>
          <w:sz w:val="24"/>
          <w:highlight w:val="none"/>
        </w:rPr>
      </w:pPr>
      <w:r>
        <w:rPr>
          <w:rFonts w:hint="eastAsia" w:ascii="宋体" w:hAnsi="宋体" w:cs="宋体"/>
          <w:bCs/>
          <w:color w:val="auto"/>
          <w:sz w:val="24"/>
          <w:highlight w:val="none"/>
        </w:rPr>
        <w:t xml:space="preserve">预算金额（元）:990000.00    </w:t>
      </w:r>
    </w:p>
    <w:p w14:paraId="620E0F02">
      <w:pPr>
        <w:tabs>
          <w:tab w:val="left" w:pos="525"/>
        </w:tabs>
        <w:snapToGrid w:val="0"/>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采购需求：</w:t>
      </w:r>
      <w:bookmarkStart w:id="13" w:name="OLE_LINK2"/>
      <w:r>
        <w:rPr>
          <w:rFonts w:hint="eastAsia" w:ascii="宋体" w:hAnsi="宋体" w:cs="宋体"/>
          <w:color w:val="auto"/>
          <w:sz w:val="24"/>
          <w:highlight w:val="none"/>
        </w:rPr>
        <w:t>建设内容涉及应用功能改造、一单位一平台、系统适配和迁移部署等，确保“数智组工”平台安全平稳运行，助力组织工作高效推进。</w:t>
      </w:r>
      <w:bookmarkEnd w:id="13"/>
      <w:r>
        <w:rPr>
          <w:rFonts w:hint="eastAsia" w:ascii="宋体" w:hAnsi="宋体" w:cs="宋体"/>
          <w:color w:val="auto"/>
          <w:sz w:val="24"/>
          <w:highlight w:val="none"/>
        </w:rPr>
        <w:t>具体以采购文件第三部分采购需求为准，供应商可点击本公告下方“浏览采购文件”查看采购需求。</w:t>
      </w:r>
    </w:p>
    <w:p w14:paraId="5062B92F">
      <w:pPr>
        <w:pStyle w:val="131"/>
        <w:ind w:left="120" w:firstLine="482"/>
        <w:rPr>
          <w:rFonts w:hint="eastAsia" w:ascii="宋体" w:hAnsi="宋体" w:cs="宋体"/>
          <w:bCs/>
          <w:color w:val="auto"/>
          <w:highlight w:val="none"/>
        </w:rPr>
      </w:pPr>
      <w:r>
        <w:rPr>
          <w:rFonts w:hint="eastAsia" w:ascii="宋体" w:hAnsi="宋体" w:cs="宋体"/>
          <w:b/>
          <w:color w:val="auto"/>
          <w:highlight w:val="none"/>
        </w:rPr>
        <w:t>合同履约期限：</w:t>
      </w:r>
      <w:bookmarkStart w:id="14" w:name="_Hlk201142651"/>
      <w:r>
        <w:rPr>
          <w:rFonts w:ascii="宋体" w:hAnsi="宋体"/>
          <w:color w:val="auto"/>
          <w:highlight w:val="none"/>
        </w:rPr>
        <w:t>合同签订后</w:t>
      </w:r>
      <w:r>
        <w:rPr>
          <w:rFonts w:hint="eastAsia" w:ascii="宋体" w:hAnsi="宋体"/>
          <w:color w:val="auto"/>
          <w:highlight w:val="none"/>
        </w:rPr>
        <w:t>至2025年10月底前完成系统建设及通过终验，自终验之日起提供2年免费的</w:t>
      </w:r>
      <w:r>
        <w:rPr>
          <w:rFonts w:hint="eastAsia" w:ascii="宋体" w:hAnsi="宋体" w:cs="宋体"/>
          <w:bCs/>
          <w:color w:val="auto"/>
          <w:highlight w:val="none"/>
        </w:rPr>
        <w:t>运维服务</w:t>
      </w:r>
      <w:r>
        <w:rPr>
          <w:rFonts w:hint="eastAsia" w:ascii="宋体" w:hAnsi="宋体" w:cs="宋体"/>
          <w:color w:val="auto"/>
          <w:highlight w:val="none"/>
        </w:rPr>
        <w:t>。</w:t>
      </w:r>
      <w:bookmarkEnd w:id="14"/>
    </w:p>
    <w:p w14:paraId="76672AC5">
      <w:pPr>
        <w:pStyle w:val="5"/>
        <w:spacing w:line="360" w:lineRule="auto"/>
        <w:ind w:left="120" w:firstLine="482" w:firstLineChars="20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29085376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75785927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EE0BA94">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3E62B913">
      <w:pPr>
        <w:spacing w:line="360" w:lineRule="auto"/>
        <w:ind w:left="119" w:firstLine="480" w:firstLineChars="200"/>
        <w:rPr>
          <w:rFonts w:hint="eastAsia" w:ascii="宋体" w:hAnsi="宋体" w:cs="宋体"/>
          <w:snapToGrid w:val="0"/>
          <w:color w:val="auto"/>
          <w:kern w:val="28"/>
          <w:sz w:val="24"/>
          <w:szCs w:val="20"/>
          <w:highlight w:val="none"/>
        </w:rPr>
      </w:pPr>
      <w:bookmarkStart w:id="15" w:name="_Hlk133442352"/>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62EABC">
      <w:pPr>
        <w:spacing w:line="360" w:lineRule="auto"/>
        <w:ind w:left="119"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9D43086">
      <w:pPr>
        <w:spacing w:line="360" w:lineRule="auto"/>
        <w:ind w:left="119"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C5652D4">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6B47A2A">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7283385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BF6D5A">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6282834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14:paraId="6ED31C90">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1115830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服务全部由符合政策要求的小微企业承接，提供小微企业声明函；</w:t>
      </w:r>
    </w:p>
    <w:p w14:paraId="33FBBEB8">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26942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BD05CCD">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3851B02">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46A0335">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p w14:paraId="7209B5CF">
      <w:pPr>
        <w:widowControl/>
        <w:snapToGrid w:val="0"/>
        <w:spacing w:line="360" w:lineRule="auto"/>
        <w:ind w:firstLine="480" w:firstLineChars="200"/>
        <w:jc w:val="left"/>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有特定资格要求：        ，该特定条件的法律法规依据：        。</w:t>
      </w:r>
    </w:p>
    <w:p w14:paraId="7990B0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5.单位</w:t>
      </w:r>
      <w:r>
        <w:rPr>
          <w:rFonts w:hint="eastAsia" w:ascii="宋体" w:hAnsi="宋体" w:cs="宋体"/>
          <w:color w:val="auto"/>
          <w:sz w:val="24"/>
          <w:highlight w:val="none"/>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5"/>
    <w:p w14:paraId="3EDC5469">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59F1E2E">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455A2F9">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45A299C">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1FB28E0">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B5C0619">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462B611">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9EF5A81">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E6FE6C5">
      <w:pPr>
        <w:spacing w:line="360" w:lineRule="auto"/>
        <w:ind w:left="120"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点30分00秒</w:t>
      </w:r>
      <w:r>
        <w:rPr>
          <w:rFonts w:hint="eastAsia" w:ascii="宋体" w:hAnsi="宋体" w:cs="宋体"/>
          <w:bCs/>
          <w:color w:val="auto"/>
          <w:sz w:val="24"/>
          <w:highlight w:val="none"/>
          <w:u w:val="single"/>
        </w:rPr>
        <w:t xml:space="preserve">  </w:t>
      </w:r>
    </w:p>
    <w:p w14:paraId="35F50097">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w:t>
      </w:r>
      <w:r>
        <w:rPr>
          <w:rStyle w:val="77"/>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），杭州市文晖路42号现代置业大厦西楼17楼</w:t>
      </w:r>
      <w:r>
        <w:rPr>
          <w:rFonts w:hint="eastAsia" w:ascii="宋体" w:hAnsi="宋体" w:cs="宋体"/>
          <w:color w:val="auto"/>
          <w:sz w:val="24"/>
          <w:highlight w:val="none"/>
          <w:lang w:val="en-US" w:eastAsia="zh-CN"/>
        </w:rPr>
        <w:t>开标室二</w:t>
      </w:r>
      <w:r>
        <w:rPr>
          <w:rFonts w:hint="eastAsia" w:ascii="宋体" w:hAnsi="宋体" w:cs="宋体"/>
          <w:color w:val="auto"/>
          <w:sz w:val="24"/>
          <w:highlight w:val="none"/>
        </w:rPr>
        <w:t>。</w:t>
      </w:r>
    </w:p>
    <w:p w14:paraId="13245F59">
      <w:pPr>
        <w:tabs>
          <w:tab w:val="left" w:pos="900"/>
        </w:tabs>
        <w:snapToGrid w:val="0"/>
        <w:spacing w:line="360" w:lineRule="auto"/>
        <w:ind w:left="120" w:firstLine="22"/>
        <w:jc w:val="left"/>
        <w:rPr>
          <w:rFonts w:hint="eastAsia" w:ascii="宋体" w:hAnsi="宋体"/>
          <w:color w:val="auto"/>
          <w:highlight w:val="none"/>
        </w:rPr>
      </w:pPr>
      <w:r>
        <w:rPr>
          <w:rFonts w:hint="eastAsia" w:ascii="宋体" w:hAnsi="宋体" w:cs="宋体"/>
          <w:b/>
          <w:bCs/>
          <w:color w:val="auto"/>
          <w:sz w:val="24"/>
          <w:highlight w:val="none"/>
        </w:rPr>
        <w:t xml:space="preserve">五、采购意向公开链接 </w:t>
      </w:r>
      <w:r>
        <w:rPr>
          <w:color w:val="auto"/>
          <w:highlight w:val="none"/>
        </w:rPr>
        <w:t>https://zfcg.czt.zj.gov.cn/site/detail?parentId=600007&amp;articleId=lZA9iaXH0OjFlc6p1ZQYoA%3D%3D</w:t>
      </w:r>
    </w:p>
    <w:p w14:paraId="756A9F89">
      <w:pPr>
        <w:tabs>
          <w:tab w:val="left" w:pos="900"/>
        </w:tabs>
        <w:snapToGrid w:val="0"/>
        <w:spacing w:line="360" w:lineRule="auto"/>
        <w:ind w:left="120" w:firstLine="22"/>
        <w:jc w:val="left"/>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1677528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AA65710">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5A67065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D6ADF1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FD6AF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FE72D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3F891A91">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9CD12CF">
      <w:pPr>
        <w:widowControl/>
        <w:snapToGrid w:val="0"/>
        <w:spacing w:line="360" w:lineRule="auto"/>
        <w:ind w:firstLine="480" w:firstLineChars="200"/>
        <w:jc w:val="left"/>
        <w:rPr>
          <w:rFonts w:hint="eastAsia" w:ascii="宋体" w:hAnsi="宋体" w:cs="宋体"/>
          <w:color w:val="auto"/>
          <w:kern w:val="0"/>
          <w:sz w:val="24"/>
          <w:highlight w:val="none"/>
        </w:rPr>
      </w:pPr>
      <w:bookmarkStart w:id="16" w:name="_Toc22159"/>
      <w:bookmarkStart w:id="17" w:name="_Toc27200"/>
      <w:bookmarkStart w:id="18" w:name="_Toc97219764"/>
      <w:bookmarkStart w:id="19" w:name="_Toc18831"/>
      <w:r>
        <w:rPr>
          <w:rFonts w:hint="eastAsia" w:ascii="宋体" w:hAnsi="宋体" w:cs="宋体"/>
          <w:color w:val="auto"/>
          <w:kern w:val="0"/>
          <w:sz w:val="24"/>
          <w:highlight w:val="none"/>
        </w:rPr>
        <w:t>1. 名称：中共杭州市上城区委组织部</w:t>
      </w:r>
    </w:p>
    <w:p w14:paraId="1B57326B">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sz w:val="24"/>
          <w:highlight w:val="none"/>
        </w:rPr>
        <w:t>杭州市上城区望潮路77号</w:t>
      </w:r>
      <w:r>
        <w:rPr>
          <w:rFonts w:hint="eastAsia" w:ascii="宋体" w:hAnsi="宋体"/>
          <w:bCs/>
          <w:color w:val="auto"/>
          <w:kern w:val="0"/>
          <w:sz w:val="24"/>
          <w:highlight w:val="none"/>
        </w:rPr>
        <w:t>；</w:t>
      </w:r>
    </w:p>
    <w:p w14:paraId="7B35F494">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传真：/</w:t>
      </w:r>
    </w:p>
    <w:p w14:paraId="5FF4DD6E">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项目联系人（询问）：王晓蕾</w:t>
      </w:r>
    </w:p>
    <w:p w14:paraId="4FDFB4FA">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项目联系方式（询问）：0571-89500302</w:t>
      </w:r>
    </w:p>
    <w:p w14:paraId="542EC9DD">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质疑联系人：崔宏杰</w:t>
      </w:r>
    </w:p>
    <w:p w14:paraId="22030478">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质疑联系方式：0571-</w:t>
      </w:r>
      <w:r>
        <w:rPr>
          <w:rFonts w:ascii="宋体" w:hAnsi="宋体" w:cs="宋体"/>
          <w:color w:val="auto"/>
          <w:kern w:val="0"/>
          <w:sz w:val="24"/>
          <w:highlight w:val="none"/>
        </w:rPr>
        <w:t>89500299</w:t>
      </w:r>
    </w:p>
    <w:bookmarkEnd w:id="16"/>
    <w:bookmarkEnd w:id="17"/>
    <w:bookmarkEnd w:id="18"/>
    <w:bookmarkEnd w:id="19"/>
    <w:p w14:paraId="68CF399F">
      <w:pPr>
        <w:widowControl/>
        <w:snapToGrid w:val="0"/>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70E27448">
      <w:pPr>
        <w:pStyle w:val="966"/>
        <w:adjustRightInd w:val="0"/>
        <w:snapToGrid w:val="0"/>
        <w:ind w:left="120" w:firstLine="480"/>
        <w:rPr>
          <w:rFonts w:hint="eastAsia"/>
          <w:color w:val="auto"/>
          <w:szCs w:val="24"/>
          <w:highlight w:val="none"/>
        </w:rPr>
      </w:pPr>
      <w:r>
        <w:rPr>
          <w:color w:val="auto"/>
          <w:szCs w:val="24"/>
          <w:highlight w:val="none"/>
        </w:rPr>
        <w:t xml:space="preserve">2. </w:t>
      </w:r>
      <w:r>
        <w:rPr>
          <w:rFonts w:hint="eastAsia"/>
          <w:color w:val="auto"/>
          <w:szCs w:val="24"/>
          <w:highlight w:val="none"/>
        </w:rPr>
        <w:t>采购代理机构信息</w:t>
      </w:r>
    </w:p>
    <w:p w14:paraId="3A93E119">
      <w:pPr>
        <w:pStyle w:val="966"/>
        <w:adjustRightInd w:val="0"/>
        <w:snapToGrid w:val="0"/>
        <w:ind w:left="120" w:firstLine="480"/>
        <w:rPr>
          <w:rFonts w:hint="eastAsia"/>
          <w:color w:val="auto"/>
          <w:szCs w:val="24"/>
          <w:highlight w:val="none"/>
        </w:rPr>
      </w:pPr>
      <w:r>
        <w:rPr>
          <w:rFonts w:hint="eastAsia"/>
          <w:color w:val="auto"/>
          <w:szCs w:val="24"/>
          <w:highlight w:val="none"/>
        </w:rPr>
        <w:t>名称：浙江省成套招标代理有限公司</w:t>
      </w:r>
    </w:p>
    <w:p w14:paraId="562F4822">
      <w:pPr>
        <w:pStyle w:val="966"/>
        <w:adjustRightInd w:val="0"/>
        <w:snapToGrid w:val="0"/>
        <w:ind w:left="120" w:firstLine="480"/>
        <w:rPr>
          <w:rFonts w:hint="eastAsia"/>
          <w:color w:val="auto"/>
          <w:szCs w:val="24"/>
          <w:highlight w:val="none"/>
        </w:rPr>
      </w:pPr>
      <w:r>
        <w:rPr>
          <w:rFonts w:hint="eastAsia"/>
          <w:color w:val="auto"/>
          <w:szCs w:val="24"/>
          <w:highlight w:val="none"/>
        </w:rPr>
        <w:t>地址：</w:t>
      </w:r>
      <w:r>
        <w:rPr>
          <w:rFonts w:hint="eastAsia"/>
          <w:color w:val="auto"/>
          <w:szCs w:val="24"/>
          <w:highlight w:val="none"/>
          <w:lang w:val="zh-CN"/>
        </w:rPr>
        <w:t>杭州市文晖路</w:t>
      </w:r>
      <w:r>
        <w:rPr>
          <w:color w:val="auto"/>
          <w:szCs w:val="24"/>
          <w:highlight w:val="none"/>
          <w:lang w:val="zh-CN"/>
        </w:rPr>
        <w:t>42号现代置业大厦西楼17、18楼</w:t>
      </w:r>
    </w:p>
    <w:p w14:paraId="6EEF2833">
      <w:pPr>
        <w:pStyle w:val="966"/>
        <w:adjustRightInd w:val="0"/>
        <w:snapToGrid w:val="0"/>
        <w:ind w:left="120" w:firstLine="480"/>
        <w:rPr>
          <w:rFonts w:hint="eastAsia"/>
          <w:color w:val="auto"/>
          <w:szCs w:val="24"/>
          <w:highlight w:val="none"/>
        </w:rPr>
      </w:pPr>
      <w:r>
        <w:rPr>
          <w:rFonts w:hint="eastAsia"/>
          <w:color w:val="auto"/>
          <w:szCs w:val="24"/>
          <w:highlight w:val="none"/>
        </w:rPr>
        <w:t>传真：</w:t>
      </w:r>
      <w:r>
        <w:rPr>
          <w:color w:val="auto"/>
          <w:szCs w:val="24"/>
          <w:highlight w:val="none"/>
        </w:rPr>
        <w:t>4008-266-163转08156</w:t>
      </w:r>
    </w:p>
    <w:p w14:paraId="67E62349">
      <w:pPr>
        <w:pStyle w:val="966"/>
        <w:adjustRightInd w:val="0"/>
        <w:snapToGrid w:val="0"/>
        <w:ind w:left="120" w:firstLine="480"/>
        <w:rPr>
          <w:rFonts w:hint="eastAsia"/>
          <w:color w:val="auto"/>
          <w:szCs w:val="24"/>
          <w:highlight w:val="none"/>
        </w:rPr>
      </w:pPr>
      <w:r>
        <w:rPr>
          <w:rFonts w:hint="eastAsia"/>
          <w:color w:val="auto"/>
          <w:szCs w:val="24"/>
          <w:highlight w:val="none"/>
        </w:rPr>
        <w:t>项目联系人</w:t>
      </w:r>
      <w:r>
        <w:rPr>
          <w:rFonts w:hint="eastAsia"/>
          <w:color w:val="auto"/>
          <w:highlight w:val="none"/>
        </w:rPr>
        <w:t>（询问）</w:t>
      </w:r>
      <w:r>
        <w:rPr>
          <w:rFonts w:hint="eastAsia"/>
          <w:color w:val="auto"/>
          <w:szCs w:val="24"/>
          <w:highlight w:val="none"/>
        </w:rPr>
        <w:t>：陆佳</w:t>
      </w:r>
    </w:p>
    <w:p w14:paraId="02E4A3FB">
      <w:pPr>
        <w:pStyle w:val="966"/>
        <w:adjustRightInd w:val="0"/>
        <w:snapToGrid w:val="0"/>
        <w:ind w:left="120" w:firstLine="480"/>
        <w:rPr>
          <w:rFonts w:hint="eastAsia"/>
          <w:color w:val="auto"/>
          <w:szCs w:val="24"/>
          <w:highlight w:val="none"/>
        </w:rPr>
      </w:pPr>
      <w:r>
        <w:rPr>
          <w:rFonts w:hint="eastAsia"/>
          <w:color w:val="auto"/>
          <w:szCs w:val="24"/>
          <w:highlight w:val="none"/>
        </w:rPr>
        <w:t>项目联系方式</w:t>
      </w:r>
      <w:r>
        <w:rPr>
          <w:rFonts w:hint="eastAsia"/>
          <w:color w:val="auto"/>
          <w:highlight w:val="none"/>
        </w:rPr>
        <w:t>（询问）</w:t>
      </w:r>
      <w:r>
        <w:rPr>
          <w:rFonts w:hint="eastAsia"/>
          <w:color w:val="auto"/>
          <w:szCs w:val="24"/>
          <w:highlight w:val="none"/>
        </w:rPr>
        <w:t>：</w:t>
      </w:r>
      <w:r>
        <w:rPr>
          <w:color w:val="auto"/>
          <w:szCs w:val="24"/>
          <w:highlight w:val="none"/>
        </w:rPr>
        <w:t>0571-87634685</w:t>
      </w:r>
    </w:p>
    <w:p w14:paraId="18737C5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质疑联系人：冯东东 </w:t>
      </w:r>
    </w:p>
    <w:p w14:paraId="21762399">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质疑联系方式：0571-85331293</w:t>
      </w:r>
    </w:p>
    <w:p w14:paraId="4C407714">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（请通过以下路径在线提起质疑：政采云-项目采购-询问质疑投诉-质疑列表）    </w:t>
      </w:r>
    </w:p>
    <w:p w14:paraId="60251394">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3.同级政府采购监督管理部门            </w:t>
      </w:r>
    </w:p>
    <w:p w14:paraId="096D0264">
      <w:pPr>
        <w:spacing w:line="360" w:lineRule="auto"/>
        <w:ind w:firstLine="480"/>
        <w:rPr>
          <w:rFonts w:hint="eastAsia" w:ascii="宋体" w:hAnsi="宋体" w:cs="宋体"/>
          <w:color w:val="auto"/>
          <w:sz w:val="24"/>
          <w:highlight w:val="none"/>
        </w:rPr>
      </w:pPr>
      <w:r>
        <w:rPr>
          <w:rFonts w:ascii="宋体" w:hAnsi="宋体" w:cs="宋体"/>
          <w:color w:val="auto"/>
          <w:sz w:val="24"/>
          <w:highlight w:val="none"/>
        </w:rPr>
        <w:t>名称：杭州市上城区财政局、浙江省政府采购行政裁决服务中心（杭州）</w:t>
      </w:r>
    </w:p>
    <w:p w14:paraId="36015FD7">
      <w:pPr>
        <w:spacing w:line="360" w:lineRule="auto"/>
        <w:ind w:left="420" w:leftChars="200" w:firstLine="240" w:firstLineChars="100"/>
        <w:rPr>
          <w:rFonts w:hint="eastAsia" w:ascii="宋体" w:hAnsi="宋体" w:cs="宋体"/>
          <w:color w:val="auto"/>
          <w:sz w:val="24"/>
          <w:highlight w:val="none"/>
        </w:rPr>
      </w:pPr>
      <w:r>
        <w:rPr>
          <w:rFonts w:ascii="宋体" w:hAnsi="宋体" w:cs="宋体"/>
          <w:color w:val="auto"/>
          <w:sz w:val="24"/>
          <w:highlight w:val="none"/>
        </w:rPr>
        <w:t>地址：杭州市上城区清泰街549号城建综合大楼11楼（快递仅限ems或顺丰）</w:t>
      </w:r>
    </w:p>
    <w:p w14:paraId="6DC686B5">
      <w:pPr>
        <w:spacing w:line="360" w:lineRule="auto"/>
        <w:ind w:firstLine="566" w:firstLineChars="236"/>
        <w:rPr>
          <w:rFonts w:hint="eastAsia" w:ascii="宋体" w:hAnsi="宋体" w:cs="宋体"/>
          <w:color w:val="auto"/>
          <w:sz w:val="24"/>
          <w:highlight w:val="none"/>
        </w:rPr>
      </w:pPr>
      <w:r>
        <w:rPr>
          <w:rFonts w:ascii="宋体" w:hAnsi="宋体" w:cs="宋体"/>
          <w:color w:val="auto"/>
          <w:sz w:val="24"/>
          <w:highlight w:val="none"/>
        </w:rPr>
        <w:t>传真：/</w:t>
      </w:r>
    </w:p>
    <w:p w14:paraId="742AB228">
      <w:pPr>
        <w:spacing w:line="360" w:lineRule="auto"/>
        <w:ind w:firstLine="567"/>
        <w:rPr>
          <w:rFonts w:hint="eastAsia" w:ascii="宋体" w:hAnsi="宋体" w:cs="宋体"/>
          <w:color w:val="auto"/>
          <w:sz w:val="24"/>
          <w:highlight w:val="none"/>
        </w:rPr>
      </w:pPr>
      <w:r>
        <w:rPr>
          <w:rFonts w:ascii="宋体" w:hAnsi="宋体" w:cs="宋体"/>
          <w:color w:val="auto"/>
          <w:sz w:val="24"/>
          <w:highlight w:val="none"/>
        </w:rPr>
        <w:t>联系人：王老师</w:t>
      </w:r>
    </w:p>
    <w:p w14:paraId="250191A8">
      <w:pPr>
        <w:spacing w:line="360" w:lineRule="auto"/>
        <w:ind w:firstLine="480"/>
        <w:rPr>
          <w:rFonts w:hint="eastAsia" w:ascii="宋体" w:hAnsi="宋体" w:cs="宋体"/>
          <w:color w:val="auto"/>
          <w:sz w:val="24"/>
          <w:highlight w:val="none"/>
        </w:rPr>
      </w:pPr>
      <w:r>
        <w:rPr>
          <w:rFonts w:ascii="宋体" w:hAnsi="宋体" w:cs="宋体"/>
          <w:color w:val="auto"/>
          <w:sz w:val="24"/>
          <w:highlight w:val="none"/>
        </w:rPr>
        <w:t>监督投诉电话：0571-87227671</w:t>
      </w:r>
    </w:p>
    <w:p w14:paraId="483DADE0">
      <w:pPr>
        <w:spacing w:line="360" w:lineRule="auto"/>
        <w:ind w:left="119"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1444E0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47252B6">
      <w:pPr>
        <w:widowControl/>
        <w:adjustRightInd/>
        <w:spacing w:line="360" w:lineRule="auto"/>
        <w:ind w:left="120" w:firstLine="22"/>
        <w:jc w:val="center"/>
        <w:outlineLvl w:val="0"/>
        <w:rPr>
          <w:rFonts w:hint="eastAsia" w:ascii="宋体" w:hAnsi="宋体" w:cs="宋体"/>
          <w:b/>
          <w:color w:val="auto"/>
          <w:sz w:val="36"/>
          <w:szCs w:val="20"/>
          <w:highlight w:val="none"/>
        </w:rPr>
      </w:pPr>
      <w:r>
        <w:rPr>
          <w:rFonts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20DBE6BD">
      <w:pPr>
        <w:adjustRightInd/>
        <w:spacing w:line="360" w:lineRule="auto"/>
        <w:ind w:left="120" w:firstLine="3845" w:firstLineChars="1197"/>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5DC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F2F9EBD">
            <w:pPr>
              <w:snapToGrid w:val="0"/>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50E99216">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2B963AE2">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488A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28ECEEB">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4BA4FD9D">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13A24DA0">
            <w:pPr>
              <w:spacing w:line="360" w:lineRule="auto"/>
              <w:ind w:firstLine="22"/>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5E1FC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8AB9C49">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0A97571E">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6AF5CF05">
            <w:pPr>
              <w:snapToGrid w:val="0"/>
              <w:spacing w:line="360" w:lineRule="auto"/>
              <w:ind w:left="12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rPr>
              <w:t>上城区“数智组工”平台信创提升改造，</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软件和信息技术服务业行业。</w:t>
            </w:r>
          </w:p>
          <w:p w14:paraId="7313EAB3">
            <w:pPr>
              <w:pStyle w:val="2"/>
              <w:ind w:left="0" w:leftChars="0" w:firstLine="0" w:firstLineChars="0"/>
              <w:rPr>
                <w:rFonts w:hint="eastAsia"/>
                <w:color w:val="auto"/>
                <w:highlight w:val="none"/>
              </w:rPr>
            </w:pPr>
            <w:r>
              <w:rPr>
                <w:color w:val="auto"/>
                <w:highlight w:val="none"/>
                <w:lang w:val="en-US"/>
              </w:rPr>
              <w:t>根据</w:t>
            </w:r>
            <w:r>
              <w:rPr>
                <w:color w:val="auto"/>
                <w:highlight w:val="none"/>
              </w:rPr>
              <w:t>《关于印发中小企业划型标准规定的通知》（工信部联企业〔2011〕300）</w:t>
            </w:r>
            <w:r>
              <w:rPr>
                <w:color w:val="auto"/>
                <w:highlight w:val="none"/>
                <w:lang w:val="en-US"/>
              </w:rPr>
              <w:t>规定：</w:t>
            </w:r>
            <w:r>
              <w:rPr>
                <w:rFonts w:hint="eastAsia"/>
                <w:color w:val="auto"/>
                <w:highlight w:val="none"/>
              </w:rPr>
              <w:t>软件和信息技术服务业行业：</w:t>
            </w:r>
            <w:r>
              <w:rPr>
                <w:rFonts w:hint="eastAsia"/>
                <w:color w:val="auto"/>
                <w:highlight w:val="non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auto"/>
                <w:highlight w:val="none"/>
              </w:rPr>
              <w:t>。</w:t>
            </w:r>
          </w:p>
        </w:tc>
      </w:tr>
      <w:tr w14:paraId="04745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41C2304">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4677FC10">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040DC0B7">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7015961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EA6EA39">
            <w:pPr>
              <w:spacing w:line="360" w:lineRule="auto"/>
              <w:ind w:left="120" w:firstLine="22"/>
              <w:rPr>
                <w:rFonts w:hint="eastAsia" w:ascii="宋体" w:hAnsi="宋体" w:cs="宋体"/>
                <w:color w:val="auto"/>
                <w:highlight w:val="none"/>
              </w:rPr>
            </w:pPr>
            <w:sdt>
              <w:sdtPr>
                <w:rPr>
                  <w:rFonts w:hint="eastAsia" w:ascii="宋体" w:hAnsi="宋体" w:cs="宋体"/>
                  <w:color w:val="auto"/>
                  <w:kern w:val="0"/>
                  <w:sz w:val="24"/>
                  <w:highlight w:val="none"/>
                </w:rPr>
                <w:id w:val="15720767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2ED0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EABF041">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252CEF2B">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47DFFA58">
            <w:pPr>
              <w:snapToGrid w:val="0"/>
              <w:spacing w:line="360" w:lineRule="auto"/>
              <w:ind w:left="120"/>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726132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仿宋"/>
                <w:color w:val="auto"/>
                <w:sz w:val="24"/>
                <w:highlight w:val="none"/>
                <w:u w:val="single"/>
              </w:rPr>
              <w:t>培训、测评</w:t>
            </w:r>
            <w:r>
              <w:rPr>
                <w:rFonts w:hint="eastAsia" w:ascii="宋体" w:hAnsi="宋体" w:cs="宋体"/>
                <w:color w:val="auto"/>
                <w:sz w:val="24"/>
                <w:highlight w:val="none"/>
              </w:rPr>
              <w:t>工作分包，分包部分合同金额比例应达到合同总金额的1%，分包供应商应具备承接分包内容所必需的设备和专业技术能力，总包供应商对分包内容承担连带责任。</w:t>
            </w:r>
          </w:p>
          <w:p w14:paraId="7693E4DF">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914402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C0363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注：不得限制中型企业向小微企业合理分包。</w:t>
            </w:r>
          </w:p>
        </w:tc>
      </w:tr>
      <w:tr w14:paraId="6F324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97C070D">
            <w:pPr>
              <w:snapToGrid w:val="0"/>
              <w:spacing w:line="360" w:lineRule="auto"/>
              <w:ind w:left="120" w:firstLine="22"/>
              <w:jc w:val="center"/>
              <w:rPr>
                <w:rFonts w:hint="eastAsia" w:ascii="宋体" w:hAnsi="宋体" w:cs="宋体"/>
                <w:color w:val="auto"/>
                <w:sz w:val="24"/>
                <w:highlight w:val="none"/>
              </w:rPr>
            </w:pPr>
          </w:p>
          <w:p w14:paraId="4627413C">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6AFE6785">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3CD65985">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971714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351511">
            <w:pPr>
              <w:spacing w:line="360" w:lineRule="auto"/>
              <w:ind w:left="120" w:firstLine="22"/>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283765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D75E72C">
            <w:pPr>
              <w:spacing w:line="360" w:lineRule="auto"/>
              <w:ind w:left="120" w:firstLine="22"/>
              <w:rPr>
                <w:rFonts w:hint="eastAsia" w:ascii="宋体" w:hAnsi="宋体"/>
                <w:color w:val="auto"/>
                <w:highlight w:val="none"/>
              </w:rPr>
            </w:pPr>
            <w:r>
              <w:rPr>
                <w:rFonts w:ascii="Segoe UI Symbol" w:hAnsi="Segoe UI Symbol" w:cs="Segoe UI Symbol"/>
                <w:color w:val="auto"/>
                <w:highlight w:val="none"/>
              </w:rPr>
              <w:t>☐</w:t>
            </w:r>
            <w:r>
              <w:rPr>
                <w:rFonts w:hint="eastAsia" w:ascii="宋体" w:hAnsi="宋体" w:cs="宋体"/>
                <w:color w:val="auto"/>
                <w:sz w:val="24"/>
                <w:highlight w:val="none"/>
              </w:rPr>
              <w:t>C不统一组织，供应商在获取采购文件后，自行至项目现场考察。地点： ，联系人： ，联系方式： 。</w:t>
            </w:r>
          </w:p>
        </w:tc>
      </w:tr>
      <w:tr w14:paraId="542BB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7C4377B">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3D915881">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0BFD1938">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10989187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7BD3058">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14:paraId="7FF45FE1">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0F389E">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FBE53C">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995EE7C">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EAF40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BA0501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2D47E4">
            <w:pPr>
              <w:spacing w:line="360" w:lineRule="auto"/>
              <w:ind w:left="120" w:firstLine="22"/>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6629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D46C1C3">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0E8431A1">
            <w:pPr>
              <w:snapToGrid w:val="0"/>
              <w:spacing w:line="360" w:lineRule="auto"/>
              <w:ind w:firstLine="22"/>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0070B486">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664164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14:paraId="7ECA33A5">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B组织。</w:t>
            </w:r>
          </w:p>
          <w:p w14:paraId="2E2C3F46">
            <w:pPr>
              <w:snapToGrid w:val="0"/>
              <w:spacing w:line="360" w:lineRule="auto"/>
              <w:rPr>
                <w:rFonts w:hint="eastAsia" w:ascii="宋体" w:hAnsi="宋体"/>
                <w:b/>
                <w:bCs/>
                <w:color w:val="auto"/>
                <w:kern w:val="0"/>
                <w:sz w:val="24"/>
                <w:highlight w:val="none"/>
              </w:rPr>
            </w:pPr>
            <w:r>
              <w:rPr>
                <w:rFonts w:hint="eastAsia" w:ascii="宋体" w:hAnsi="宋体"/>
                <w:b/>
                <w:bCs/>
                <w:color w:val="auto"/>
                <w:kern w:val="0"/>
                <w:sz w:val="24"/>
                <w:highlight w:val="none"/>
              </w:rPr>
              <w:t>（</w:t>
            </w:r>
            <w:r>
              <w:rPr>
                <w:rFonts w:ascii="宋体" w:hAnsi="宋体"/>
                <w:b/>
                <w:bCs/>
                <w:color w:val="auto"/>
                <w:kern w:val="0"/>
                <w:sz w:val="24"/>
                <w:highlight w:val="none"/>
              </w:rPr>
              <w:t>1）在评标时安排每个供应商进行</w:t>
            </w:r>
            <w:r>
              <w:rPr>
                <w:rFonts w:hint="eastAsia" w:ascii="宋体" w:hAnsi="宋体"/>
                <w:b/>
                <w:bCs/>
                <w:color w:val="auto"/>
                <w:kern w:val="0"/>
                <w:sz w:val="24"/>
                <w:highlight w:val="none"/>
              </w:rPr>
              <w:t>系统</w:t>
            </w:r>
            <w:r>
              <w:rPr>
                <w:rFonts w:ascii="宋体" w:hAnsi="宋体"/>
                <w:b/>
                <w:bCs/>
                <w:color w:val="auto"/>
                <w:kern w:val="0"/>
                <w:sz w:val="24"/>
                <w:highlight w:val="none"/>
              </w:rPr>
              <w:t>演示。每个供应商时间不超过15分钟，讲解次序以投标文件解密时间先后次序为准，演示人员不超过3人</w:t>
            </w:r>
            <w:r>
              <w:rPr>
                <w:rFonts w:hint="eastAsia" w:ascii="宋体" w:hAnsi="宋体"/>
                <w:b/>
                <w:bCs/>
                <w:color w:val="auto"/>
                <w:kern w:val="0"/>
                <w:sz w:val="24"/>
                <w:highlight w:val="none"/>
              </w:rPr>
              <w:t>（针对现场演示）</w:t>
            </w:r>
            <w:r>
              <w:rPr>
                <w:rFonts w:ascii="宋体" w:hAnsi="宋体"/>
                <w:b/>
                <w:bCs/>
                <w:color w:val="auto"/>
                <w:kern w:val="0"/>
                <w:sz w:val="24"/>
                <w:highlight w:val="none"/>
              </w:rPr>
              <w:t>。演示结束后按要求解答评标委员会提问。</w:t>
            </w:r>
          </w:p>
          <w:p w14:paraId="728428E2">
            <w:pPr>
              <w:snapToGrid w:val="0"/>
              <w:spacing w:line="360" w:lineRule="auto"/>
              <w:rPr>
                <w:rFonts w:hint="eastAsia" w:ascii="宋体" w:hAnsi="宋体"/>
                <w:b/>
                <w:bCs/>
                <w:color w:val="auto"/>
                <w:kern w:val="0"/>
                <w:sz w:val="24"/>
                <w:highlight w:val="none"/>
              </w:rPr>
            </w:pPr>
            <w:r>
              <w:rPr>
                <w:rFonts w:hint="eastAsia" w:ascii="宋体" w:hAnsi="宋体"/>
                <w:b/>
                <w:bCs/>
                <w:color w:val="auto"/>
                <w:kern w:val="0"/>
                <w:sz w:val="24"/>
                <w:highlight w:val="none"/>
              </w:rPr>
              <w:t>（</w:t>
            </w:r>
            <w:r>
              <w:rPr>
                <w:rFonts w:ascii="宋体" w:hAnsi="宋体"/>
                <w:b/>
                <w:bCs/>
                <w:color w:val="auto"/>
                <w:kern w:val="0"/>
                <w:sz w:val="24"/>
                <w:highlight w:val="none"/>
              </w:rPr>
              <w:t>2）</w:t>
            </w:r>
            <w:r>
              <w:rPr>
                <w:rFonts w:hint="eastAsia" w:ascii="宋体" w:hAnsi="宋体"/>
                <w:b/>
                <w:bCs/>
                <w:color w:val="auto"/>
                <w:kern w:val="0"/>
                <w:sz w:val="24"/>
                <w:highlight w:val="none"/>
              </w:rPr>
              <w:t>演示方式：</w:t>
            </w:r>
          </w:p>
          <w:p w14:paraId="532158BE">
            <w:pPr>
              <w:snapToGrid w:val="0"/>
              <w:spacing w:line="360" w:lineRule="auto"/>
              <w:rPr>
                <w:rFonts w:hint="eastAsia" w:ascii="宋体" w:hAnsi="宋体" w:cs="宋体"/>
                <w:color w:val="auto"/>
                <w:highlight w:val="none"/>
              </w:rPr>
            </w:pPr>
            <w:r>
              <w:rPr>
                <w:rFonts w:hint="eastAsia" w:ascii="宋体" w:hAnsi="宋体" w:cs="宋体"/>
                <w:b/>
                <w:bCs/>
                <w:color w:val="auto"/>
                <w:kern w:val="0"/>
                <w:sz w:val="24"/>
                <w:highlight w:val="none"/>
              </w:rPr>
              <w:t>现场演示：</w:t>
            </w:r>
            <w:r>
              <w:rPr>
                <w:rFonts w:hint="eastAsia" w:ascii="宋体" w:hAnsi="宋体" w:cs="宋体"/>
                <w:color w:val="auto"/>
                <w:kern w:val="0"/>
                <w:sz w:val="24"/>
                <w:highlight w:val="none"/>
              </w:rPr>
              <w:t>评审现场不具备网络环境，仅提供电源和投影设备，供应商需提前自筹搭建演示所需环境。演示地点：</w:t>
            </w:r>
            <w:r>
              <w:rPr>
                <w:rFonts w:hint="eastAsia" w:ascii="宋体" w:hAnsi="宋体" w:cs="宋体"/>
                <w:color w:val="auto"/>
                <w:kern w:val="28"/>
                <w:sz w:val="24"/>
                <w:highlight w:val="none"/>
              </w:rPr>
              <w:t>杭州市拱墅区文晖路42号现代置业大厦西楼13楼7号会议室</w:t>
            </w:r>
            <w:r>
              <w:rPr>
                <w:rFonts w:hint="eastAsia" w:ascii="宋体" w:hAnsi="宋体" w:cs="宋体"/>
                <w:color w:val="auto"/>
                <w:kern w:val="0"/>
                <w:sz w:val="24"/>
                <w:highlight w:val="none"/>
              </w:rPr>
              <w:t>。</w:t>
            </w:r>
          </w:p>
          <w:p w14:paraId="41564791">
            <w:pPr>
              <w:snapToGrid w:val="0"/>
              <w:spacing w:line="360" w:lineRule="auto"/>
              <w:rPr>
                <w:rFonts w:hint="eastAsia" w:ascii="宋体" w:hAnsi="宋体" w:cs="宋体"/>
                <w:color w:val="auto"/>
                <w:kern w:val="0"/>
                <w:sz w:val="24"/>
                <w:highlight w:val="none"/>
              </w:rPr>
            </w:pPr>
            <w:r>
              <w:rPr>
                <w:rFonts w:hint="eastAsia" w:ascii="宋体" w:hAnsi="宋体" w:cs="宋体"/>
                <w:b/>
                <w:bCs/>
                <w:color w:val="auto"/>
                <w:kern w:val="0"/>
                <w:sz w:val="24"/>
                <w:highlight w:val="none"/>
              </w:rPr>
              <w:t>钉钉在线演示：</w:t>
            </w:r>
            <w:r>
              <w:rPr>
                <w:rFonts w:hint="eastAsia" w:ascii="宋体" w:hAnsi="宋体" w:cs="宋体"/>
                <w:color w:val="auto"/>
                <w:kern w:val="0"/>
                <w:sz w:val="24"/>
                <w:highlight w:val="none"/>
              </w:rPr>
              <w:t>需在开标前书面告知采购代理机构（格式自拟），并在开标前准备好演示所需环境。</w:t>
            </w:r>
          </w:p>
          <w:p w14:paraId="260457A6">
            <w:pPr>
              <w:snapToGrid w:val="0"/>
              <w:spacing w:line="360" w:lineRule="auto"/>
              <w:rPr>
                <w:rFonts w:hint="eastAsia" w:ascii="宋体" w:hAnsi="宋体" w:cs="宋体"/>
                <w:color w:val="auto"/>
                <w:kern w:val="0"/>
                <w:sz w:val="24"/>
                <w:highlight w:val="none"/>
              </w:rPr>
            </w:pPr>
            <w:r>
              <w:rPr>
                <w:rFonts w:hint="eastAsia" w:ascii="宋体" w:hAnsi="宋体" w:cs="宋体"/>
                <w:b/>
                <w:bCs/>
                <w:color w:val="auto"/>
                <w:kern w:val="0"/>
                <w:sz w:val="24"/>
                <w:highlight w:val="none"/>
              </w:rPr>
              <w:t>拍摄视频演示：</w:t>
            </w:r>
            <w:r>
              <w:rPr>
                <w:rFonts w:hint="eastAsia" w:ascii="宋体" w:hAnsi="宋体" w:cs="宋体"/>
                <w:color w:val="auto"/>
                <w:kern w:val="0"/>
                <w:sz w:val="24"/>
                <w:highlight w:val="none"/>
              </w:rPr>
              <w:t>将演示内容拍摄为视频，拷贝U盘（密封），在开标截止时间前送达（或邮寄）至</w:t>
            </w:r>
            <w:r>
              <w:rPr>
                <w:rFonts w:hint="eastAsia" w:ascii="宋体" w:hAnsi="宋体" w:cs="宋体"/>
                <w:color w:val="auto"/>
                <w:kern w:val="28"/>
                <w:sz w:val="24"/>
                <w:highlight w:val="none"/>
              </w:rPr>
              <w:t>杭州市拱墅区文晖路42号现代置业大厦西楼13楼1301室</w:t>
            </w:r>
            <w:r>
              <w:rPr>
                <w:rFonts w:hint="eastAsia" w:ascii="宋体" w:hAnsi="宋体" w:cs="宋体"/>
                <w:color w:val="auto"/>
                <w:kern w:val="0"/>
                <w:sz w:val="24"/>
                <w:highlight w:val="none"/>
              </w:rPr>
              <w:t>。</w:t>
            </w:r>
            <w:r>
              <w:rPr>
                <w:rFonts w:hint="eastAsia" w:ascii="宋体" w:hAnsi="宋体" w:cs="宋体"/>
                <w:color w:val="auto"/>
                <w:kern w:val="28"/>
                <w:sz w:val="24"/>
                <w:highlight w:val="none"/>
              </w:rPr>
              <w:t>演示视频签收人员联系电话：</w:t>
            </w:r>
            <w:r>
              <w:rPr>
                <w:rFonts w:hint="eastAsia" w:ascii="宋体" w:hAnsi="宋体" w:cs="宋体"/>
                <w:color w:val="auto"/>
                <w:sz w:val="24"/>
                <w:highlight w:val="none"/>
                <w:u w:val="single"/>
              </w:rPr>
              <w:t>陆佳，0571-87634685。</w:t>
            </w:r>
          </w:p>
          <w:p w14:paraId="0FA34A35">
            <w:pPr>
              <w:pStyle w:val="81"/>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（3）演示内容：详见评分标准。</w:t>
            </w:r>
          </w:p>
        </w:tc>
      </w:tr>
      <w:tr w14:paraId="6E57D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0E6153E4">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46DC0FB8">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0353E109">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3ECCBEB">
            <w:pPr>
              <w:spacing w:line="360" w:lineRule="auto"/>
              <w:ind w:left="120" w:firstLine="22"/>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投标人未提供有效的资格证明文件的，视为投标人不具备采购文件中规定的资格要求，投标无效。</w:t>
            </w:r>
          </w:p>
        </w:tc>
      </w:tr>
      <w:tr w14:paraId="58ED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3A2C0CAC">
            <w:pPr>
              <w:snapToGrid w:val="0"/>
              <w:spacing w:line="360" w:lineRule="auto"/>
              <w:ind w:left="120" w:firstLine="22"/>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46EEF295">
            <w:pPr>
              <w:snapToGrid w:val="0"/>
              <w:spacing w:line="360" w:lineRule="auto"/>
              <w:ind w:left="120" w:firstLine="22"/>
              <w:jc w:val="center"/>
              <w:rPr>
                <w:rFonts w:hint="eastAsia"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7DD1EA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（2）资信证明文件：根据采购文件第四部分评标标准提供。</w:t>
            </w:r>
          </w:p>
        </w:tc>
      </w:tr>
      <w:tr w14:paraId="0E18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1DA146DD">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4F28557D">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59648802">
            <w:pPr>
              <w:pStyle w:val="81"/>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C28847">
            <w:pPr>
              <w:pStyle w:val="81"/>
              <w:spacing w:line="360" w:lineRule="auto"/>
              <w:ind w:firstLine="480"/>
              <w:rPr>
                <w:rFonts w:hint="eastAsia" w:ascii="宋体" w:hAnsi="宋体" w:eastAsia="宋体" w:cs="宋体"/>
                <w:color w:val="auto"/>
                <w:sz w:val="24"/>
                <w:szCs w:val="24"/>
                <w:highlight w:val="none"/>
              </w:rPr>
            </w:pPr>
            <w:sdt>
              <w:sdtPr>
                <w:rPr>
                  <w:rFonts w:hint="eastAsia" w:ascii="宋体" w:hAnsi="宋体" w:eastAsia="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ascii="Segoe UI Symbol" w:hAnsi="Segoe UI Symbol" w:eastAsia="宋体" w:cs="Segoe UI Symbol"/>
                    <w:color w:val="auto"/>
                    <w:sz w:val="24"/>
                    <w:szCs w:val="24"/>
                    <w:highlight w:val="none"/>
                  </w:rPr>
                  <w:t>☐</w:t>
                </w:r>
              </w:sdtContent>
            </w:sdt>
            <w:r>
              <w:rPr>
                <w:rFonts w:hint="eastAsia" w:ascii="宋体" w:hAnsi="宋体" w:eastAsia="宋体" w:cs="宋体"/>
                <w:color w:val="auto"/>
                <w:sz w:val="24"/>
                <w:szCs w:val="24"/>
                <w:highlight w:val="none"/>
              </w:rPr>
              <w:t xml:space="preserve">强制采购。产品：    </w:t>
            </w:r>
          </w:p>
          <w:p w14:paraId="41F2AD36">
            <w:pPr>
              <w:pStyle w:val="8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15EBCAE9">
            <w:pPr>
              <w:pStyle w:val="8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11D406DE">
            <w:pPr>
              <w:pStyle w:val="81"/>
              <w:spacing w:line="360" w:lineRule="auto"/>
              <w:ind w:firstLine="480" w:firstLineChars="0"/>
              <w:rPr>
                <w:rFonts w:hint="eastAsia" w:ascii="宋体" w:hAnsi="宋体" w:eastAsia="宋体"/>
                <w:color w:val="auto"/>
                <w:highlight w:val="none"/>
              </w:rPr>
            </w:pPr>
            <w:sdt>
              <w:sdtPr>
                <w:rPr>
                  <w:rFonts w:hint="eastAsia" w:ascii="宋体" w:hAnsi="宋体" w:eastAsia="宋体" w:cs="宋体"/>
                  <w:color w:val="auto"/>
                  <w:sz w:val="24"/>
                  <w:highlight w:val="none"/>
                </w:rPr>
                <w:id w:val="416988416"/>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sym w:font="Wingdings" w:char="F0FE"/>
                </w:r>
              </w:sdtContent>
            </w:sdt>
            <w:r>
              <w:rPr>
                <w:rFonts w:hint="eastAsia" w:ascii="宋体" w:hAnsi="宋体" w:eastAsia="宋体" w:cs="宋体"/>
                <w:color w:val="auto"/>
                <w:sz w:val="24"/>
                <w:szCs w:val="24"/>
                <w:highlight w:val="none"/>
              </w:rPr>
              <w:t>无</w:t>
            </w:r>
          </w:p>
        </w:tc>
      </w:tr>
      <w:tr w14:paraId="6F765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041C25F">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05CAA675">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4A609837">
            <w:pPr>
              <w:snapToGrid w:val="0"/>
              <w:spacing w:line="360" w:lineRule="auto"/>
              <w:ind w:left="120" w:firstLine="22"/>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投标文件中价格全部采用人民币报价。采购文件未列明，而投标人认为必需的费用也需列入报价。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BC5B48">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投标报价出现下列情形的，投标无效：</w:t>
            </w:r>
          </w:p>
          <w:p w14:paraId="3306C92D">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投标文件出现不是唯一的、有选择性投标报价的；</w:t>
            </w:r>
          </w:p>
          <w:p w14:paraId="26608C1B">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投标报价超过采购文件中规定的预算金额或者最高限价的;</w:t>
            </w:r>
          </w:p>
          <w:p w14:paraId="60EBA998">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4BD6187D">
            <w:pPr>
              <w:snapToGrid w:val="0"/>
              <w:spacing w:line="360" w:lineRule="auto"/>
              <w:ind w:left="120" w:firstLine="22"/>
              <w:jc w:val="left"/>
              <w:rPr>
                <w:rFonts w:hint="eastAsia" w:ascii="宋体" w:hAnsi="宋体" w:cs="宋体"/>
                <w:color w:val="auto"/>
                <w:sz w:val="24"/>
                <w:highlight w:val="none"/>
              </w:rPr>
            </w:pPr>
            <w:r>
              <w:rPr>
                <w:rFonts w:hint="eastAsia" w:ascii="宋体" w:hAnsi="宋体" w:cs="宋体"/>
                <w:b/>
                <w:bCs/>
                <w:color w:val="auto"/>
                <w:kern w:val="0"/>
                <w:sz w:val="24"/>
                <w:highlight w:val="none"/>
                <w:lang w:val="zh-CN"/>
              </w:rPr>
              <w:t>投标人对根据修正原则修正后的报价不确认的。</w:t>
            </w:r>
          </w:p>
        </w:tc>
      </w:tr>
      <w:tr w14:paraId="2CAF4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B3322C2">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63C923D9">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36711E97">
            <w:pPr>
              <w:spacing w:line="360" w:lineRule="auto"/>
              <w:ind w:left="120"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686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5BADC5E9">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348E5017">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52A35108">
            <w:pPr>
              <w:pStyle w:val="33"/>
              <w:spacing w:line="360" w:lineRule="auto"/>
              <w:ind w:left="120" w:firstLine="22"/>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EC41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677B386C">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7D306A5C">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456D578A">
            <w:pPr>
              <w:spacing w:line="360" w:lineRule="auto"/>
              <w:ind w:left="120" w:firstLine="2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DC14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139B91DC">
            <w:pPr>
              <w:snapToGrid w:val="0"/>
              <w:spacing w:line="360" w:lineRule="auto"/>
              <w:ind w:left="120" w:firstLine="22"/>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523759BF">
            <w:pPr>
              <w:snapToGrid w:val="0"/>
              <w:spacing w:line="360" w:lineRule="auto"/>
              <w:ind w:left="120" w:firstLine="22"/>
              <w:jc w:val="center"/>
              <w:rPr>
                <w:rFonts w:hint="eastAsia"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07AD066">
            <w:pPr>
              <w:spacing w:line="360" w:lineRule="auto"/>
              <w:ind w:left="120" w:firstLine="22"/>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7142388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联合体投标的，联合体各方均需按采购文件第四部分评标标准要求提供资信证明文件，否则视为不符合相关要求。</w:t>
            </w:r>
          </w:p>
          <w:p w14:paraId="7299B4FD">
            <w:pPr>
              <w:spacing w:line="360" w:lineRule="auto"/>
              <w:ind w:left="120" w:firstLine="22"/>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9696712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联合体投标的，联合体中有一方或者联合体成员根据分工按采购文件第四部分评标标准要求提供资信证明文件的，视为符合了相关要求。</w:t>
            </w:r>
          </w:p>
        </w:tc>
      </w:tr>
      <w:tr w14:paraId="0374B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B23A8C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320E277E">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bCs/>
                <w:color w:val="auto"/>
                <w:spacing w:val="-6"/>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40DE0C4">
            <w:pPr>
              <w:spacing w:line="360" w:lineRule="auto"/>
              <w:ind w:left="120" w:firstLine="22"/>
              <w:rPr>
                <w:rFonts w:hint="eastAsia" w:ascii="宋体" w:hAnsi="宋体" w:cs="宋体"/>
                <w:color w:val="auto"/>
                <w:spacing w:val="-6"/>
                <w:sz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14:paraId="58A44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EAF43AC">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4C3F4DB">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3C952118">
            <w:pPr>
              <w:autoSpaceDE w:val="0"/>
              <w:autoSpaceDN w:val="0"/>
              <w:snapToGrid w:val="0"/>
              <w:spacing w:line="360" w:lineRule="auto"/>
              <w:ind w:left="120" w:firstLine="22"/>
              <w:textAlignment w:val="bottom"/>
              <w:rPr>
                <w:rFonts w:hint="eastAsia" w:ascii="宋体" w:hAnsi="宋体" w:cs="宋体"/>
                <w:color w:val="auto"/>
                <w:sz w:val="24"/>
                <w:highlight w:val="none"/>
              </w:rPr>
            </w:pPr>
            <w:r>
              <w:rPr>
                <w:rFonts w:hint="eastAsia" w:ascii="宋体" w:hAnsi="宋体" w:cs="宋体"/>
                <w:snapToGrid w:val="0"/>
                <w:color w:val="auto"/>
                <w:kern w:val="0"/>
                <w:sz w:val="24"/>
                <w:highlight w:val="none"/>
              </w:rPr>
              <w:t>收到中标通知书5个工作日内，中标人需向招标代理机构支付招标代理服务费。</w:t>
            </w:r>
            <w:r>
              <w:rPr>
                <w:rFonts w:hint="eastAsia" w:ascii="宋体" w:hAnsi="宋体" w:cs="宋体"/>
                <w:color w:val="auto"/>
                <w:sz w:val="24"/>
                <w:highlight w:val="none"/>
              </w:rPr>
              <w:t>参照国家计委关于印发《招标代理服务收费管理暂行办法》的通知（计价格[2002]1980号文）规定的80%向中标供应商收取（不足5</w:t>
            </w:r>
            <w:r>
              <w:rPr>
                <w:rFonts w:ascii="宋体" w:hAnsi="宋体" w:cs="宋体"/>
                <w:color w:val="auto"/>
                <w:sz w:val="24"/>
                <w:highlight w:val="none"/>
              </w:rPr>
              <w:t>000</w:t>
            </w:r>
            <w:r>
              <w:rPr>
                <w:rFonts w:hint="eastAsia" w:ascii="宋体" w:hAnsi="宋体" w:cs="宋体"/>
                <w:color w:val="auto"/>
                <w:sz w:val="24"/>
                <w:highlight w:val="none"/>
              </w:rPr>
              <w:t>元按5</w:t>
            </w:r>
            <w:r>
              <w:rPr>
                <w:rFonts w:ascii="宋体" w:hAnsi="宋体" w:cs="宋体"/>
                <w:color w:val="auto"/>
                <w:sz w:val="24"/>
                <w:highlight w:val="none"/>
              </w:rPr>
              <w:t>000</w:t>
            </w:r>
            <w:r>
              <w:rPr>
                <w:rFonts w:hint="eastAsia" w:ascii="宋体" w:hAnsi="宋体" w:cs="宋体"/>
                <w:color w:val="auto"/>
                <w:sz w:val="24"/>
                <w:highlight w:val="none"/>
              </w:rPr>
              <w:t>元计）。</w:t>
            </w:r>
          </w:p>
          <w:p w14:paraId="40235DA6">
            <w:pPr>
              <w:pStyle w:val="131"/>
              <w:snapToGrid w:val="0"/>
              <w:spacing w:before="0"/>
              <w:ind w:left="120" w:firstLine="22" w:firstLineChars="0"/>
              <w:rPr>
                <w:rFonts w:hint="eastAsia"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14:paraId="27CC9188">
            <w:pPr>
              <w:pStyle w:val="131"/>
              <w:snapToGrid w:val="0"/>
              <w:spacing w:before="0"/>
              <w:ind w:left="120" w:firstLine="22" w:firstLineChars="0"/>
              <w:rPr>
                <w:rFonts w:hint="eastAsia"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14:paraId="6DF7DB48">
            <w:pPr>
              <w:spacing w:line="360" w:lineRule="auto"/>
              <w:ind w:firstLine="228" w:firstLineChars="100"/>
              <w:rPr>
                <w:rFonts w:hint="eastAsia" w:ascii="宋体" w:hAnsi="宋体" w:cs="宋体"/>
                <w:color w:val="auto"/>
                <w:kern w:val="0"/>
                <w:sz w:val="24"/>
                <w:highlight w:val="none"/>
              </w:rPr>
            </w:pPr>
            <w:r>
              <w:rPr>
                <w:rFonts w:hint="eastAsia" w:ascii="宋体" w:hAnsi="宋体" w:cs="宋体"/>
                <w:color w:val="auto"/>
                <w:spacing w:val="-6"/>
                <w:sz w:val="24"/>
                <w:highlight w:val="none"/>
              </w:rPr>
              <w:t>银行账号：</w:t>
            </w:r>
            <w:r>
              <w:rPr>
                <w:rFonts w:ascii="宋体" w:hAnsi="宋体" w:cs="宋体"/>
                <w:color w:val="auto"/>
                <w:spacing w:val="-6"/>
                <w:sz w:val="24"/>
                <w:highlight w:val="none"/>
              </w:rPr>
              <w:t>7331 6101 8260 0126 385。</w:t>
            </w:r>
          </w:p>
        </w:tc>
      </w:tr>
    </w:tbl>
    <w:p w14:paraId="305BDA55">
      <w:pPr>
        <w:snapToGrid w:val="0"/>
        <w:spacing w:line="360" w:lineRule="auto"/>
        <w:ind w:left="120" w:firstLine="22"/>
        <w:jc w:val="center"/>
        <w:rPr>
          <w:rFonts w:hint="eastAsia" w:ascii="宋体" w:hAnsi="宋体" w:cs="宋体"/>
          <w:b/>
          <w:color w:val="auto"/>
          <w:sz w:val="32"/>
          <w:szCs w:val="20"/>
          <w:highlight w:val="none"/>
        </w:rPr>
      </w:pPr>
    </w:p>
    <w:bookmarkEnd w:id="11"/>
    <w:p w14:paraId="4ED3A99F">
      <w:pPr>
        <w:adjustRightInd/>
        <w:spacing w:line="360" w:lineRule="auto"/>
        <w:ind w:left="120" w:firstLine="3845" w:firstLineChars="1197"/>
        <w:rPr>
          <w:rFonts w:hint="eastAsia" w:ascii="宋体" w:hAnsi="宋体" w:cs="宋体"/>
          <w:b/>
          <w:color w:val="auto"/>
          <w:sz w:val="32"/>
          <w:szCs w:val="20"/>
          <w:highlight w:val="none"/>
        </w:rPr>
      </w:pPr>
      <w:bookmarkStart w:id="20" w:name="_Toc164416483"/>
      <w:bookmarkStart w:id="21" w:name="第三部分"/>
    </w:p>
    <w:p w14:paraId="291F2230">
      <w:pPr>
        <w:pStyle w:val="81"/>
        <w:rPr>
          <w:rFonts w:hint="eastAsia"/>
          <w:color w:val="auto"/>
          <w:highlight w:val="none"/>
        </w:rPr>
      </w:pPr>
    </w:p>
    <w:p w14:paraId="2A6F54B8">
      <w:pPr>
        <w:pStyle w:val="81"/>
        <w:rPr>
          <w:rFonts w:hint="eastAsia"/>
          <w:color w:val="auto"/>
          <w:highlight w:val="none"/>
        </w:rPr>
      </w:pPr>
    </w:p>
    <w:p w14:paraId="0C11E30D">
      <w:pPr>
        <w:pStyle w:val="81"/>
        <w:rPr>
          <w:rFonts w:hint="eastAsia"/>
          <w:color w:val="auto"/>
          <w:highlight w:val="none"/>
        </w:rPr>
      </w:pPr>
    </w:p>
    <w:p w14:paraId="254012C9">
      <w:pPr>
        <w:pStyle w:val="81"/>
        <w:rPr>
          <w:rFonts w:hint="eastAsia"/>
          <w:color w:val="auto"/>
          <w:highlight w:val="none"/>
        </w:rPr>
      </w:pPr>
    </w:p>
    <w:p w14:paraId="261D712D">
      <w:pPr>
        <w:pStyle w:val="81"/>
        <w:rPr>
          <w:rFonts w:hint="eastAsia"/>
          <w:color w:val="auto"/>
          <w:highlight w:val="none"/>
        </w:rPr>
      </w:pPr>
    </w:p>
    <w:p w14:paraId="528BA21D">
      <w:pPr>
        <w:pStyle w:val="81"/>
        <w:rPr>
          <w:rFonts w:hint="eastAsia"/>
          <w:color w:val="auto"/>
          <w:highlight w:val="none"/>
        </w:rPr>
      </w:pPr>
    </w:p>
    <w:p w14:paraId="51D71969">
      <w:pPr>
        <w:pStyle w:val="81"/>
        <w:rPr>
          <w:rFonts w:hint="eastAsia"/>
          <w:color w:val="auto"/>
          <w:highlight w:val="none"/>
        </w:rPr>
      </w:pPr>
    </w:p>
    <w:p w14:paraId="43F6BA0B">
      <w:pPr>
        <w:pStyle w:val="81"/>
        <w:rPr>
          <w:rFonts w:hint="eastAsia"/>
          <w:color w:val="auto"/>
          <w:highlight w:val="none"/>
        </w:rPr>
      </w:pPr>
    </w:p>
    <w:p w14:paraId="6B4C1D39">
      <w:pPr>
        <w:pStyle w:val="81"/>
        <w:rPr>
          <w:rFonts w:hint="eastAsia"/>
          <w:color w:val="auto"/>
          <w:highlight w:val="none"/>
        </w:rPr>
      </w:pPr>
    </w:p>
    <w:p w14:paraId="6209FCC1">
      <w:pPr>
        <w:pStyle w:val="81"/>
        <w:rPr>
          <w:rFonts w:hint="eastAsia"/>
          <w:color w:val="auto"/>
          <w:highlight w:val="none"/>
        </w:rPr>
      </w:pPr>
    </w:p>
    <w:p w14:paraId="34326B6E">
      <w:pPr>
        <w:pStyle w:val="81"/>
        <w:rPr>
          <w:rFonts w:hint="eastAsia"/>
          <w:color w:val="auto"/>
          <w:highlight w:val="none"/>
        </w:rPr>
      </w:pPr>
    </w:p>
    <w:p w14:paraId="0D502358">
      <w:pPr>
        <w:pStyle w:val="81"/>
        <w:rPr>
          <w:rFonts w:hint="eastAsia"/>
          <w:color w:val="auto"/>
          <w:highlight w:val="none"/>
        </w:rPr>
      </w:pPr>
    </w:p>
    <w:p w14:paraId="5668AC47">
      <w:pPr>
        <w:pStyle w:val="81"/>
        <w:rPr>
          <w:rFonts w:hint="eastAsia"/>
          <w:color w:val="auto"/>
          <w:highlight w:val="none"/>
        </w:rPr>
      </w:pPr>
    </w:p>
    <w:p w14:paraId="08A5FA4F">
      <w:pPr>
        <w:pStyle w:val="81"/>
        <w:rPr>
          <w:rFonts w:hint="eastAsia"/>
          <w:color w:val="auto"/>
          <w:highlight w:val="none"/>
        </w:rPr>
      </w:pPr>
    </w:p>
    <w:p w14:paraId="62806C5C">
      <w:pPr>
        <w:pStyle w:val="81"/>
        <w:rPr>
          <w:rFonts w:hint="eastAsia"/>
          <w:color w:val="auto"/>
          <w:highlight w:val="none"/>
        </w:rPr>
      </w:pPr>
    </w:p>
    <w:p w14:paraId="73C9E015">
      <w:pPr>
        <w:widowControl/>
        <w:adjustRightInd/>
        <w:spacing w:after="0" w:line="240" w:lineRule="auto"/>
        <w:jc w:val="left"/>
        <w:rPr>
          <w:rFonts w:hint="eastAsia" w:ascii="华文楷体" w:hAnsi="华文楷体" w:eastAsia="华文楷体" w:cs="华文楷体"/>
          <w:color w:val="auto"/>
          <w:kern w:val="0"/>
          <w:sz w:val="22"/>
          <w:szCs w:val="21"/>
          <w:highlight w:val="none"/>
        </w:rPr>
      </w:pPr>
      <w:r>
        <w:rPr>
          <w:rFonts w:hint="eastAsia"/>
          <w:color w:val="auto"/>
          <w:highlight w:val="none"/>
        </w:rPr>
        <w:br w:type="page"/>
      </w:r>
    </w:p>
    <w:p w14:paraId="22A67D97">
      <w:pPr>
        <w:pStyle w:val="81"/>
        <w:rPr>
          <w:rFonts w:hint="eastAsia"/>
          <w:color w:val="auto"/>
          <w:highlight w:val="none"/>
        </w:rPr>
      </w:pPr>
    </w:p>
    <w:p w14:paraId="682CDC59">
      <w:pPr>
        <w:adjustRightInd/>
        <w:spacing w:line="360" w:lineRule="auto"/>
        <w:ind w:left="120" w:firstLine="22"/>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1C0E4203">
      <w:pPr>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6A073458">
      <w:pPr>
        <w:snapToGrid w:val="0"/>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本采购文件适用于该项目的招标、投标、开标、资格审查及信用信息查询、评标、定标、合同、验收等行为（法律、法规另有规定的，从其规定）。</w:t>
      </w:r>
    </w:p>
    <w:p w14:paraId="31700A35">
      <w:pPr>
        <w:adjustRightInd/>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2.定义</w:t>
      </w:r>
    </w:p>
    <w:p w14:paraId="32445ED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3F7DBF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6BE557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EE2968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5B62F2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3CEC0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136923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14:paraId="459530FC">
      <w:pPr>
        <w:adjustRightInd/>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14:paraId="078512EF">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7341712">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465C283">
      <w:pPr>
        <w:spacing w:line="360" w:lineRule="auto"/>
        <w:ind w:left="120"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E4058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5CB552D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333764BC">
      <w:pPr>
        <w:spacing w:line="360" w:lineRule="auto"/>
        <w:ind w:left="120"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6F205257">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603CFD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4924E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01880F0">
      <w:pPr>
        <w:widowControl/>
        <w:spacing w:line="360" w:lineRule="auto"/>
        <w:ind w:left="120"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174FAE">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4588D8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43AE45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256A51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0821C5">
      <w:pPr>
        <w:spacing w:line="360" w:lineRule="auto"/>
        <w:ind w:left="1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3.3.6</w:t>
      </w:r>
      <w:r>
        <w:rPr>
          <w:rFonts w:hint="eastAsia" w:ascii="宋体" w:hAnsi="宋体" w:cs="宋体"/>
          <w:b/>
          <w:bCs/>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color w:val="auto"/>
          <w:sz w:val="24"/>
          <w:highlight w:val="none"/>
        </w:rPr>
        <w:t>。</w:t>
      </w:r>
    </w:p>
    <w:p w14:paraId="7004682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41D1F25">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C40D3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7DFC596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54FEF6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3BA3D7">
      <w:pPr>
        <w:spacing w:line="360" w:lineRule="auto"/>
        <w:ind w:firstLine="482" w:firstLineChars="200"/>
        <w:rPr>
          <w:b/>
          <w:bCs/>
          <w:color w:val="auto"/>
          <w:sz w:val="24"/>
          <w:highlight w:val="none"/>
        </w:rPr>
      </w:pPr>
      <w:r>
        <w:rPr>
          <w:rFonts w:hint="eastAsia" w:cs="宋体"/>
          <w:b/>
          <w:bCs/>
          <w:color w:val="auto"/>
          <w:sz w:val="24"/>
          <w:highlight w:val="none"/>
        </w:rPr>
        <w:t>平等对待内外资企业和符合条件的破产重整企业，切实保障企业公平竞争，平等维护企业的合法利益。</w:t>
      </w:r>
    </w:p>
    <w:p w14:paraId="0F094DF8">
      <w:pPr>
        <w:spacing w:line="360" w:lineRule="auto"/>
        <w:ind w:left="120" w:firstLine="241" w:firstLineChars="100"/>
        <w:outlineLvl w:val="2"/>
        <w:rPr>
          <w:rFonts w:hint="eastAsia" w:ascii="宋体" w:hAnsi="宋体" w:cs="宋体"/>
          <w:b/>
          <w:color w:val="auto"/>
          <w:sz w:val="24"/>
          <w:highlight w:val="none"/>
        </w:rPr>
      </w:pPr>
      <w:r>
        <w:rPr>
          <w:rFonts w:hint="eastAsia" w:ascii="宋体" w:hAnsi="宋体" w:cs="宋体"/>
          <w:b/>
          <w:color w:val="auto"/>
          <w:sz w:val="24"/>
          <w:highlight w:val="none"/>
        </w:rPr>
        <w:t>4. 询问、质疑、投诉</w:t>
      </w:r>
      <w:r>
        <w:rPr>
          <w:rFonts w:hint="eastAsia" w:ascii="宋体" w:hAnsi="宋体" w:cs="仿宋"/>
          <w:b/>
          <w:color w:val="auto"/>
          <w:sz w:val="24"/>
          <w:highlight w:val="none"/>
        </w:rPr>
        <w:t>、补偿救济</w:t>
      </w:r>
    </w:p>
    <w:p w14:paraId="7300D4EB">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F5338F">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6C7B5EA">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9A97FF">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3C5CEC8">
      <w:pPr>
        <w:pStyle w:val="33"/>
        <w:spacing w:line="360" w:lineRule="auto"/>
        <w:ind w:left="120"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69A8A87">
      <w:pPr>
        <w:pStyle w:val="33"/>
        <w:spacing w:line="360" w:lineRule="auto"/>
        <w:ind w:left="120"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1C1158B">
      <w:pPr>
        <w:pStyle w:val="5"/>
        <w:spacing w:line="360" w:lineRule="auto"/>
        <w:ind w:left="120"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37642753">
      <w:pPr>
        <w:pStyle w:val="33"/>
        <w:spacing w:line="360" w:lineRule="auto"/>
        <w:ind w:left="479" w:leftChars="228" w:firstLine="22"/>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8456CFA">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A7273C9">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3D0AC00">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7636EDE">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CA0FF96">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779D52B">
      <w:pPr>
        <w:pStyle w:val="33"/>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F38486">
      <w:pPr>
        <w:pStyle w:val="33"/>
        <w:spacing w:line="360" w:lineRule="auto"/>
        <w:ind w:left="120"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42FE179">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BE99BCD">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质疑函范本及制作说明详见附件2。</w:t>
      </w:r>
    </w:p>
    <w:p w14:paraId="1C0ACDD5">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4.3.4对同一采购程序环节的质疑，供应商须在法定质疑期内一次性提出。</w:t>
      </w:r>
    </w:p>
    <w:p w14:paraId="65872D5B">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DE3F91E">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DD8AD71">
      <w:pPr>
        <w:pStyle w:val="889"/>
        <w:shd w:val="clear" w:color="auto" w:fill="FFFFFF"/>
        <w:snapToGrid w:val="0"/>
        <w:spacing w:after="240" w:afterAutospacing="0" w:line="360" w:lineRule="auto"/>
        <w:ind w:left="120" w:firstLine="480" w:firstLineChars="200"/>
        <w:contextualSpacing/>
        <w:rPr>
          <w:rFonts w:hint="eastAsia"/>
          <w:color w:val="auto"/>
          <w:highlight w:val="none"/>
          <w:lang w:val="zh-CN"/>
        </w:rPr>
      </w:pPr>
      <w:r>
        <w:rPr>
          <w:rFonts w:hint="eastAsia"/>
          <w:color w:val="auto"/>
          <w:highlight w:val="none"/>
          <w:lang w:val="zh-CN"/>
        </w:rPr>
        <w:t>4.4供应商投诉</w:t>
      </w:r>
    </w:p>
    <w:p w14:paraId="7C82B511">
      <w:pPr>
        <w:pStyle w:val="889"/>
        <w:shd w:val="clear" w:color="auto" w:fill="FFFFFF"/>
        <w:snapToGrid w:val="0"/>
        <w:spacing w:after="240" w:afterAutospacing="0" w:line="360" w:lineRule="auto"/>
        <w:ind w:left="120" w:firstLine="501" w:firstLineChars="209"/>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D695878">
      <w:pPr>
        <w:pStyle w:val="889"/>
        <w:shd w:val="clear" w:color="auto" w:fill="FFFFFF"/>
        <w:snapToGrid w:val="0"/>
        <w:spacing w:after="240" w:afterAutospacing="0" w:line="360" w:lineRule="auto"/>
        <w:ind w:left="120" w:firstLine="501" w:firstLineChars="209"/>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D73C0D9">
      <w:pPr>
        <w:pStyle w:val="889"/>
        <w:shd w:val="clear" w:color="auto" w:fill="FFFFFF"/>
        <w:snapToGrid w:val="0"/>
        <w:spacing w:after="240" w:afterAutospacing="0" w:line="360" w:lineRule="auto"/>
        <w:ind w:left="120" w:firstLine="501" w:firstLineChars="209"/>
        <w:contextualSpacing/>
        <w:rPr>
          <w:rFonts w:hint="eastAsia"/>
          <w:color w:val="auto"/>
          <w:highlight w:val="none"/>
        </w:rPr>
      </w:pPr>
      <w:r>
        <w:rPr>
          <w:rFonts w:hint="eastAsia"/>
          <w:color w:val="auto"/>
          <w:highlight w:val="none"/>
        </w:rPr>
        <w:t>4.4.3供应商投诉应当有明确的请求和必要的证明材料。</w:t>
      </w:r>
    </w:p>
    <w:p w14:paraId="2CBA02B9">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7074E64">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E5754B3">
      <w:pPr>
        <w:pStyle w:val="889"/>
        <w:shd w:val="clear" w:color="auto" w:fill="FFFFFF"/>
        <w:spacing w:after="240" w:afterAutospacing="0" w:line="360" w:lineRule="auto"/>
        <w:ind w:left="120" w:firstLine="480"/>
        <w:contextualSpacing/>
        <w:rPr>
          <w:rFonts w:hint="eastAsia"/>
          <w:color w:val="auto"/>
          <w:highlight w:val="none"/>
          <w:lang w:val="zh-CN"/>
        </w:rPr>
      </w:pPr>
      <w:r>
        <w:rPr>
          <w:rFonts w:hint="eastAsia"/>
          <w:color w:val="auto"/>
          <w:highlight w:val="none"/>
          <w:lang w:val="zh-CN"/>
        </w:rPr>
        <w:t>4.5 补偿救济</w:t>
      </w:r>
    </w:p>
    <w:p w14:paraId="27595954">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9C4C090">
      <w:pPr>
        <w:pStyle w:val="889"/>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投诉书范本及制作说明详见附件3。</w:t>
      </w:r>
    </w:p>
    <w:p w14:paraId="7C1C0E01">
      <w:pPr>
        <w:pStyle w:val="131"/>
        <w:snapToGrid w:val="0"/>
        <w:spacing w:before="0"/>
        <w:ind w:left="120" w:firstLine="360"/>
        <w:rPr>
          <w:rFonts w:hint="eastAsia" w:ascii="宋体" w:hAnsi="宋体" w:cs="宋体"/>
          <w:color w:val="auto"/>
          <w:sz w:val="18"/>
          <w:szCs w:val="18"/>
          <w:highlight w:val="none"/>
        </w:rPr>
      </w:pPr>
    </w:p>
    <w:p w14:paraId="5B523752">
      <w:pPr>
        <w:adjustRightInd/>
        <w:spacing w:line="360" w:lineRule="auto"/>
        <w:ind w:left="120" w:firstLine="22"/>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C212179">
      <w:pPr>
        <w:adjustRightInd/>
        <w:spacing w:line="360" w:lineRule="auto"/>
        <w:ind w:left="120" w:firstLine="22"/>
        <w:outlineLvl w:val="2"/>
        <w:rPr>
          <w:rFonts w:hint="eastAsia" w:ascii="宋体" w:hAnsi="宋体" w:cs="宋体"/>
          <w:b/>
          <w:color w:val="auto"/>
          <w:sz w:val="24"/>
          <w:highlight w:val="none"/>
          <w:lang w:val="zh-CN"/>
        </w:rPr>
      </w:pPr>
      <w:r>
        <w:rPr>
          <w:rFonts w:hint="eastAsia" w:ascii="宋体" w:hAnsi="宋体" w:cs="宋体"/>
          <w:b/>
          <w:color w:val="auto"/>
          <w:sz w:val="24"/>
          <w:highlight w:val="none"/>
          <w:lang w:val="zh-CN"/>
        </w:rPr>
        <w:t>5．采购文件的构成</w:t>
      </w:r>
    </w:p>
    <w:p w14:paraId="1E0E1340">
      <w:pPr>
        <w:pStyle w:val="33"/>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1D052E22">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AC78473">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03310F2A">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C1F7A94">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EAE3BB6">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D358B93">
      <w:pPr>
        <w:pStyle w:val="33"/>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38688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10E9DF2">
      <w:pPr>
        <w:adjustRightInd/>
        <w:spacing w:line="360" w:lineRule="auto"/>
        <w:ind w:left="120" w:firstLine="22"/>
        <w:outlineLvl w:val="2"/>
        <w:rPr>
          <w:rFonts w:hint="eastAsia" w:ascii="宋体" w:hAnsi="宋体" w:cs="宋体"/>
          <w:b/>
          <w:color w:val="auto"/>
          <w:sz w:val="24"/>
          <w:highlight w:val="none"/>
          <w:lang w:val="zh-CN"/>
        </w:rPr>
      </w:pPr>
      <w:r>
        <w:rPr>
          <w:rFonts w:hint="eastAsia" w:ascii="宋体" w:hAnsi="宋体" w:cs="宋体"/>
          <w:b/>
          <w:color w:val="auto"/>
          <w:sz w:val="24"/>
          <w:highlight w:val="none"/>
          <w:lang w:val="zh-CN"/>
        </w:rPr>
        <w:t>6. 采购文件的澄清、修改</w:t>
      </w:r>
    </w:p>
    <w:p w14:paraId="48CE0868">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6.1已获取采购文件的潜在投标人，若有问题需要澄清，应于投标截止时间前，以书面形式向采购代理机构提出。</w:t>
      </w:r>
    </w:p>
    <w:p w14:paraId="2325602A">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6BE6F1B0">
      <w:pPr>
        <w:pStyle w:val="23"/>
        <w:ind w:left="120" w:firstLine="2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5D2E341">
      <w:pPr>
        <w:pStyle w:val="33"/>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7.开标前答疑会或现场考察</w:t>
      </w:r>
    </w:p>
    <w:p w14:paraId="5664E0E5">
      <w:pPr>
        <w:pStyle w:val="33"/>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7149871">
      <w:pPr>
        <w:adjustRightInd/>
        <w:spacing w:line="360" w:lineRule="auto"/>
        <w:ind w:left="120" w:firstLine="22"/>
        <w:jc w:val="center"/>
        <w:outlineLvl w:val="1"/>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C290C6D">
      <w:pPr>
        <w:pStyle w:val="33"/>
        <w:spacing w:line="360" w:lineRule="auto"/>
        <w:ind w:left="120" w:firstLine="22"/>
        <w:outlineLvl w:val="2"/>
        <w:rPr>
          <w:rFonts w:hint="eastAsia" w:hAnsi="宋体" w:cs="宋体"/>
          <w:b/>
          <w:color w:val="auto"/>
          <w:sz w:val="24"/>
          <w:szCs w:val="24"/>
          <w:highlight w:val="none"/>
          <w:lang w:val="zh-CN"/>
        </w:rPr>
      </w:pPr>
      <w:r>
        <w:rPr>
          <w:rFonts w:hint="eastAsia" w:hAnsi="宋体" w:cs="宋体"/>
          <w:b/>
          <w:color w:val="auto"/>
          <w:sz w:val="24"/>
          <w:szCs w:val="24"/>
          <w:highlight w:val="none"/>
        </w:rPr>
        <w:t>8</w:t>
      </w:r>
      <w:r>
        <w:rPr>
          <w:rFonts w:hint="eastAsia" w:hAnsi="宋体" w:cs="宋体"/>
          <w:b/>
          <w:color w:val="auto"/>
          <w:sz w:val="24"/>
          <w:szCs w:val="24"/>
          <w:highlight w:val="none"/>
          <w:lang w:val="zh-CN"/>
        </w:rPr>
        <w:t>. 采购文件的获取</w:t>
      </w:r>
    </w:p>
    <w:p w14:paraId="7DCEA8A8">
      <w:pPr>
        <w:spacing w:line="360" w:lineRule="auto"/>
        <w:ind w:left="120"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详见招标公告中获取采购文件的时间期限、地点、方式及采购文件售价。</w:t>
      </w:r>
    </w:p>
    <w:p w14:paraId="7C2926FE">
      <w:pPr>
        <w:pStyle w:val="33"/>
        <w:spacing w:line="360" w:lineRule="auto"/>
        <w:ind w:left="120" w:firstLine="22"/>
        <w:outlineLvl w:val="2"/>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51C9E91D">
      <w:pPr>
        <w:pStyle w:val="5"/>
        <w:spacing w:line="360" w:lineRule="auto"/>
        <w:ind w:left="120"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A00EDB4">
      <w:pPr>
        <w:pStyle w:val="33"/>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20ABE903">
      <w:pPr>
        <w:autoSpaceDE w:val="0"/>
        <w:autoSpaceDN w:val="0"/>
        <w:spacing w:line="360" w:lineRule="auto"/>
        <w:ind w:left="12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16CAAA">
      <w:pPr>
        <w:pStyle w:val="33"/>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4B69CCE6">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4E6782F">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89D7ABE">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C7A926F">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5063C6">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810664B">
      <w:pPr>
        <w:snapToGrid w:val="0"/>
        <w:spacing w:line="360" w:lineRule="auto"/>
        <w:ind w:left="12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8310A09">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C5ADD5A">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4EA969E">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6A10BD6">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B4FBB74">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D71925">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2EC8FA2">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4F28F9">
      <w:pPr>
        <w:snapToGrid w:val="0"/>
        <w:spacing w:line="360" w:lineRule="auto"/>
        <w:ind w:left="120"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E39A3E">
      <w:pPr>
        <w:snapToGrid w:val="0"/>
        <w:spacing w:line="360" w:lineRule="auto"/>
        <w:ind w:left="120"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A128CB">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6A6DFB8">
      <w:pPr>
        <w:spacing w:line="360" w:lineRule="auto"/>
        <w:ind w:left="120"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AE165DF">
      <w:pPr>
        <w:spacing w:line="360" w:lineRule="auto"/>
        <w:ind w:left="120"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40DCF30">
      <w:pPr>
        <w:pStyle w:val="131"/>
        <w:snapToGrid w:val="0"/>
        <w:spacing w:before="0"/>
        <w:ind w:left="120" w:firstLine="723" w:firstLineChars="300"/>
        <w:rPr>
          <w:rFonts w:hint="eastAsia" w:ascii="宋体" w:hAnsi="宋体" w:cs="仿宋_GB2312"/>
          <w:b/>
          <w:bCs/>
          <w:color w:val="auto"/>
          <w:kern w:val="0"/>
          <w:szCs w:val="24"/>
          <w:highlight w:val="none"/>
        </w:rPr>
      </w:pPr>
      <w:r>
        <w:rPr>
          <w:rFonts w:hint="eastAsia" w:ascii="宋体" w:hAnsi="宋体" w:cs="仿宋_GB2312"/>
          <w:b/>
          <w:bCs/>
          <w:color w:val="auto"/>
          <w:kern w:val="0"/>
          <w:szCs w:val="24"/>
          <w:highlight w:val="none"/>
        </w:rPr>
        <w:t>投标人可事先在公开官网查询、核对相关证书和报告内容，确保投标（响应）文件资料准确无误。投标人应对投标文件中材料的真实性、合法性负责。</w:t>
      </w:r>
    </w:p>
    <w:p w14:paraId="30D2409A">
      <w:pPr>
        <w:pStyle w:val="131"/>
        <w:snapToGrid w:val="0"/>
        <w:spacing w:before="0"/>
        <w:ind w:left="120" w:firstLine="482"/>
        <w:outlineLvl w:val="2"/>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D051776">
      <w:pPr>
        <w:spacing w:line="360" w:lineRule="auto"/>
        <w:ind w:left="120"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1761B03C">
      <w:pPr>
        <w:spacing w:line="360" w:lineRule="auto"/>
        <w:ind w:left="12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12.2投标人进行电子投标应安装客户端软件—“政采云电子交易客户端”，并按照采购文件和电子交易平台的要求编制并加密投标文件。投标人未按规定加密的投标文件，电子交易平台将拒收并提示。</w:t>
      </w:r>
    </w:p>
    <w:p w14:paraId="19B2A146">
      <w:pPr>
        <w:spacing w:line="360" w:lineRule="auto"/>
        <w:ind w:left="12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E1CC19">
      <w:pPr>
        <w:snapToGrid w:val="0"/>
        <w:spacing w:line="360" w:lineRule="auto"/>
        <w:ind w:left="120" w:firstLine="22"/>
        <w:outlineLvl w:val="2"/>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55FDAD6">
      <w:pPr>
        <w:pStyle w:val="131"/>
        <w:snapToGrid w:val="0"/>
        <w:spacing w:before="0"/>
        <w:ind w:left="120" w:firstLine="480"/>
        <w:rPr>
          <w:rFonts w:hint="eastAsia" w:ascii="宋体" w:hAnsi="宋体" w:cs="宋体"/>
          <w:b/>
          <w:color w:val="auto"/>
          <w:highlight w:val="none"/>
        </w:rPr>
      </w:pPr>
      <w:r>
        <w:rPr>
          <w:rFonts w:hint="eastAsia" w:ascii="宋体" w:hAnsi="宋体" w:cs="宋体"/>
          <w:color w:val="auto"/>
          <w:szCs w:val="24"/>
          <w:highlight w:val="none"/>
        </w:rPr>
        <w:t>13.1投标文件按照采购文件第六部分格式要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▲投标人的投标文件未按照采购文件要求签署、盖章的，其投标无效</w:t>
      </w:r>
      <w:r>
        <w:rPr>
          <w:rFonts w:hint="eastAsia" w:ascii="宋体" w:hAnsi="宋体" w:cs="宋体"/>
          <w:color w:val="auto"/>
          <w:szCs w:val="24"/>
          <w:highlight w:val="none"/>
        </w:rPr>
        <w:t>。</w:t>
      </w:r>
    </w:p>
    <w:p w14:paraId="195B120C">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D002B7">
      <w:pPr>
        <w:pStyle w:val="131"/>
        <w:snapToGrid w:val="0"/>
        <w:spacing w:before="0"/>
        <w:ind w:left="120" w:firstLine="480"/>
        <w:rPr>
          <w:rFonts w:hint="eastAsia" w:ascii="宋体" w:hAnsi="宋体" w:cs="宋体"/>
          <w:color w:val="auto"/>
          <w:szCs w:val="24"/>
          <w:highlight w:val="none"/>
        </w:rPr>
      </w:pPr>
      <w:r>
        <w:rPr>
          <w:rFonts w:hint="eastAsia" w:ascii="宋体" w:hAnsi="宋体" w:cs="宋体"/>
          <w:color w:val="auto"/>
          <w:highlight w:val="none"/>
        </w:rPr>
        <w:t>13.3采购文件对投标文件签署、盖章的要求适用于电子签名。</w:t>
      </w:r>
    </w:p>
    <w:p w14:paraId="280514B4">
      <w:pPr>
        <w:pStyle w:val="33"/>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14. 投标文件的提交、补充、修改、撤回</w:t>
      </w:r>
    </w:p>
    <w:p w14:paraId="65F7F848">
      <w:pPr>
        <w:pStyle w:val="131"/>
        <w:ind w:left="120"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FCD984">
      <w:pPr>
        <w:pStyle w:val="131"/>
        <w:spacing w:before="0"/>
        <w:ind w:left="120"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31845B">
      <w:pPr>
        <w:pStyle w:val="131"/>
        <w:spacing w:before="0"/>
        <w:ind w:left="120"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DAF6403">
      <w:pPr>
        <w:pStyle w:val="33"/>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C9C8F79">
      <w:pPr>
        <w:pStyle w:val="33"/>
        <w:spacing w:line="360" w:lineRule="auto"/>
        <w:ind w:left="120"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D38DA43">
      <w:pPr>
        <w:pStyle w:val="33"/>
        <w:spacing w:line="360" w:lineRule="auto"/>
        <w:ind w:left="120"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91A3D38">
      <w:pPr>
        <w:pStyle w:val="33"/>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EAB5101">
      <w:pPr>
        <w:pStyle w:val="33"/>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采购文件第二部分投标人须知前附表规定的备份投标文件送达地点；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D4F6E07">
      <w:pPr>
        <w:pStyle w:val="33"/>
        <w:spacing w:line="360" w:lineRule="auto"/>
        <w:ind w:left="120"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B3CD423">
      <w:pPr>
        <w:pStyle w:val="131"/>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7A33B7F">
      <w:pPr>
        <w:pStyle w:val="25"/>
        <w:spacing w:line="360" w:lineRule="auto"/>
        <w:ind w:left="120" w:firstLine="360" w:firstLineChars="150"/>
        <w:rPr>
          <w:rFonts w:hint="eastAsia" w:cs="宋体"/>
          <w:color w:val="auto"/>
          <w:szCs w:val="21"/>
          <w:highlight w:val="none"/>
        </w:rPr>
      </w:pPr>
      <w:r>
        <w:rPr>
          <w:rFonts w:hint="eastAsia" w:cs="宋体"/>
          <w:color w:val="auto"/>
          <w:szCs w:val="21"/>
          <w:highlight w:val="none"/>
        </w:rPr>
        <w:t>有采购文件第四部分</w:t>
      </w:r>
      <w:r>
        <w:rPr>
          <w:rFonts w:cs="宋体"/>
          <w:color w:val="auto"/>
          <w:szCs w:val="21"/>
          <w:highlight w:val="none"/>
        </w:rPr>
        <w:t>4.2规定</w:t>
      </w:r>
      <w:r>
        <w:rPr>
          <w:rFonts w:hint="eastAsia" w:cs="宋体"/>
          <w:color w:val="auto"/>
          <w:szCs w:val="21"/>
          <w:highlight w:val="none"/>
        </w:rPr>
        <w:t>的情形之一的，投标无效：</w:t>
      </w:r>
    </w:p>
    <w:p w14:paraId="7C2E6FD8">
      <w:pPr>
        <w:pStyle w:val="131"/>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C85A336">
      <w:pPr>
        <w:spacing w:line="360" w:lineRule="auto"/>
        <w:ind w:left="120"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诺的投标有效期少于采购文件中载明的投标有效期的，投标无效。</w:t>
      </w:r>
    </w:p>
    <w:p w14:paraId="4DD31E44">
      <w:pPr>
        <w:pStyle w:val="131"/>
        <w:spacing w:before="0"/>
        <w:ind w:left="120"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73CF3C4">
      <w:pPr>
        <w:pStyle w:val="131"/>
        <w:spacing w:before="0"/>
        <w:ind w:left="120"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60709C">
      <w:pPr>
        <w:pStyle w:val="131"/>
        <w:spacing w:before="0"/>
        <w:ind w:left="120" w:firstLine="1928" w:firstLineChars="600"/>
        <w:outlineLvl w:val="1"/>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6CCD24F">
      <w:pPr>
        <w:pStyle w:val="557"/>
        <w:spacing w:before="0" w:line="360" w:lineRule="auto"/>
        <w:ind w:left="0" w:firstLine="241" w:firstLineChars="100"/>
        <w:contextualSpacing/>
        <w:outlineLvl w:val="2"/>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AACFF08">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18.1采购代理机构按照采购文件规定的时间通过电子交易平台组织开标，所有投标人均应当准时在线参加。投标人不足3家的，不得开标。</w:t>
      </w:r>
    </w:p>
    <w:p w14:paraId="39C0CA0C">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18.2开标时，电子交易平台按开标时间自动提取所有投标文件。采购代理机构依托电子交易平台发起开始解密指令，投标人按照平台提示和采购文件的规定在半小时内完成在线解密。</w:t>
      </w:r>
    </w:p>
    <w:p w14:paraId="3413F6AB">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EABC75">
      <w:pPr>
        <w:pStyle w:val="557"/>
        <w:spacing w:before="0" w:line="360" w:lineRule="auto"/>
        <w:ind w:left="0" w:firstLine="22"/>
        <w:contextualSpacing/>
        <w:outlineLvl w:val="2"/>
        <w:rPr>
          <w:rFonts w:hint="eastAsia" w:ascii="宋体" w:hAnsi="宋体" w:cs="宋体"/>
          <w:b/>
          <w:color w:val="auto"/>
          <w:sz w:val="24"/>
          <w:szCs w:val="24"/>
          <w:highlight w:val="none"/>
        </w:rPr>
      </w:pPr>
      <w:r>
        <w:rPr>
          <w:rFonts w:ascii="宋体" w:hAnsi="宋体" w:cs="宋体"/>
          <w:b/>
          <w:color w:val="auto"/>
          <w:sz w:val="24"/>
          <w:szCs w:val="24"/>
          <w:highlight w:val="none"/>
        </w:rPr>
        <w:t>19、资格审查</w:t>
      </w:r>
    </w:p>
    <w:p w14:paraId="544CD980">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采购人或采购代理机构依据法律法规和采购文件的规定，对投标人的资格进行审查。</w:t>
      </w:r>
    </w:p>
    <w:p w14:paraId="2340ED3A">
      <w:pPr>
        <w:pStyle w:val="131"/>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19.2投标人未按照采购文件要求提供与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投标人不具备采购文件中规定的资格要求，其投标无效。</w:t>
      </w:r>
    </w:p>
    <w:p w14:paraId="0CD988DD">
      <w:pPr>
        <w:pStyle w:val="131"/>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0644202">
      <w:pPr>
        <w:pStyle w:val="131"/>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144F148">
      <w:pPr>
        <w:pStyle w:val="131"/>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7CE95DF3">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1FC62ACA">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064566F">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54AC00">
      <w:pPr>
        <w:pStyle w:val="131"/>
        <w:spacing w:before="0"/>
        <w:ind w:left="119"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57675F">
      <w:pPr>
        <w:pStyle w:val="131"/>
        <w:spacing w:before="0"/>
        <w:ind w:left="120" w:firstLine="22" w:firstLineChars="0"/>
        <w:rPr>
          <w:rFonts w:hint="eastAsia" w:ascii="宋体" w:hAnsi="宋体" w:cs="宋体"/>
          <w:color w:val="auto"/>
          <w:kern w:val="0"/>
          <w:szCs w:val="24"/>
          <w:highlight w:val="none"/>
        </w:rPr>
      </w:pPr>
    </w:p>
    <w:p w14:paraId="07258C98">
      <w:pPr>
        <w:snapToGrid w:val="0"/>
        <w:spacing w:line="360" w:lineRule="auto"/>
        <w:ind w:left="120" w:firstLine="22"/>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68F580B">
      <w:pPr>
        <w:spacing w:line="360" w:lineRule="auto"/>
        <w:ind w:left="120" w:firstLine="482" w:firstLineChars="200"/>
        <w:outlineLvl w:val="2"/>
        <w:rPr>
          <w:rFonts w:hint="eastAsia"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auto"/>
          <w:sz w:val="24"/>
          <w:highlight w:val="none"/>
        </w:rPr>
        <w:t>详见采购文件第四部分评标办法。</w:t>
      </w:r>
    </w:p>
    <w:p w14:paraId="04317A03">
      <w:pPr>
        <w:snapToGrid w:val="0"/>
        <w:spacing w:line="360" w:lineRule="auto"/>
        <w:ind w:left="120" w:firstLine="22"/>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79227AA9">
      <w:pPr>
        <w:pStyle w:val="25"/>
        <w:spacing w:line="360" w:lineRule="auto"/>
        <w:ind w:left="479" w:hanging="479" w:hangingChars="199"/>
        <w:outlineLvl w:val="2"/>
        <w:rPr>
          <w:rFonts w:hint="eastAsia" w:cs="宋体"/>
          <w:b/>
          <w:color w:val="auto"/>
          <w:highlight w:val="none"/>
        </w:rPr>
      </w:pPr>
      <w:r>
        <w:rPr>
          <w:rFonts w:hint="eastAsia" w:cs="宋体"/>
          <w:b/>
          <w:color w:val="auto"/>
          <w:highlight w:val="none"/>
        </w:rPr>
        <w:t>22. 确定中标供应商</w:t>
      </w:r>
    </w:p>
    <w:p w14:paraId="3AC8A0BA">
      <w:pPr>
        <w:pStyle w:val="131"/>
        <w:snapToGrid w:val="0"/>
        <w:spacing w:before="0"/>
        <w:ind w:left="120"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DCAD8CF">
      <w:pPr>
        <w:pStyle w:val="131"/>
        <w:snapToGrid w:val="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9EC63DA">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23.1自中标人确定之日起2个工作日内，采购代理机构通过电子交易平台向中标人发出中标通知书，同时编制发布采购结果公告。采购代理机构也可以以纸质形式进行中标通知。</w:t>
      </w:r>
    </w:p>
    <w:p w14:paraId="6CBF7630">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color w:val="auto"/>
          <w:kern w:val="0"/>
          <w:szCs w:val="24"/>
          <w:highlight w:val="none"/>
        </w:rPr>
        <w:t>资格审查情况、评审专家抽取规则、符合性审查情况、</w:t>
      </w:r>
      <w:bookmarkEnd w:id="23"/>
      <w:r>
        <w:rPr>
          <w:rFonts w:hint="eastAsia" w:ascii="宋体" w:hAnsi="宋体" w:cs="宋体"/>
          <w:color w:val="auto"/>
          <w:kern w:val="0"/>
          <w:szCs w:val="24"/>
          <w:highlight w:val="none"/>
        </w:rPr>
        <w:t>未中标情况说明、中标公告期限以及评审专家名单、评分汇总及明细。</w:t>
      </w:r>
    </w:p>
    <w:p w14:paraId="08260108">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23.3公告期限为1个工作日。</w:t>
      </w:r>
    </w:p>
    <w:p w14:paraId="35025178">
      <w:pPr>
        <w:pStyle w:val="131"/>
        <w:snapToGrid w:val="0"/>
        <w:spacing w:before="0"/>
        <w:ind w:firstLine="480"/>
        <w:rPr>
          <w:rStyle w:val="79"/>
          <w:rFonts w:hint="eastAsia" w:ascii="宋体" w:hAnsi="宋体"/>
          <w:color w:val="auto"/>
          <w:highlight w:val="none"/>
        </w:rPr>
      </w:pPr>
      <w:r>
        <w:rPr>
          <w:rFonts w:hint="eastAsia" w:ascii="宋体" w:hAnsi="宋体" w:cs="宋体"/>
          <w:color w:val="auto"/>
          <w:kern w:val="0"/>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FC3FF6">
      <w:pPr>
        <w:snapToGrid w:val="0"/>
        <w:spacing w:line="360" w:lineRule="auto"/>
        <w:ind w:left="120" w:leftChars="57" w:firstLine="482" w:firstLineChars="150"/>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4C2E9243">
      <w:pPr>
        <w:pStyle w:val="25"/>
        <w:spacing w:line="360" w:lineRule="auto"/>
        <w:ind w:left="478" w:hanging="477" w:hangingChars="199"/>
        <w:outlineLvl w:val="2"/>
        <w:rPr>
          <w:rFonts w:hint="eastAsia" w:cs="宋体"/>
          <w:b/>
          <w:color w:val="auto"/>
          <w:highlight w:val="none"/>
        </w:rPr>
      </w:pPr>
      <w:r>
        <w:rPr>
          <w:rFonts w:hint="eastAsia" w:cs="宋体"/>
          <w:bCs/>
          <w:color w:val="auto"/>
          <w:highlight w:val="none"/>
        </w:rPr>
        <w:t xml:space="preserve">24. </w:t>
      </w:r>
      <w:r>
        <w:rPr>
          <w:rFonts w:hint="eastAsia" w:cs="宋体"/>
          <w:color w:val="auto"/>
          <w:highlight w:val="none"/>
        </w:rPr>
        <w:t>合同主要条款详见第五部分拟签订的合同文本。</w:t>
      </w:r>
    </w:p>
    <w:p w14:paraId="31AE02A3">
      <w:pPr>
        <w:pStyle w:val="25"/>
        <w:spacing w:line="360" w:lineRule="auto"/>
        <w:ind w:left="479" w:hanging="479" w:hangingChars="199"/>
        <w:outlineLvl w:val="2"/>
        <w:rPr>
          <w:rFonts w:hint="eastAsia" w:cs="宋体"/>
          <w:b/>
          <w:color w:val="auto"/>
          <w:highlight w:val="none"/>
        </w:rPr>
      </w:pPr>
      <w:r>
        <w:rPr>
          <w:rFonts w:hint="eastAsia" w:cs="宋体"/>
          <w:b/>
          <w:color w:val="auto"/>
          <w:highlight w:val="none"/>
        </w:rPr>
        <w:t>25. 合同的签订</w:t>
      </w:r>
    </w:p>
    <w:p w14:paraId="7BA7E913">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A57124">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F25A01">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25.3如签订合同并生效后，供应商无故拒绝或延期，除按照合同条款处理外，列入不良行为记录一次，并给予通报。</w:t>
      </w:r>
    </w:p>
    <w:p w14:paraId="6873AFCD">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25.4中标供应商拒绝与采购人签订合同的，采购人可以按照评审报告推荐的中标或者成交候选人名单排序，确定下一候选人为中标供应商，也可以重新开展政府采购活动。</w:t>
      </w:r>
    </w:p>
    <w:p w14:paraId="392C4AB4">
      <w:pPr>
        <w:pStyle w:val="131"/>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25.5采购合同由采购人与中标供应商根据采购文件、投标文件等内容通过政府采购电子交易平台在线签订，自动备案。</w:t>
      </w:r>
    </w:p>
    <w:p w14:paraId="733A9F33">
      <w:pPr>
        <w:pStyle w:val="25"/>
        <w:spacing w:line="360" w:lineRule="auto"/>
        <w:ind w:left="479" w:hanging="479" w:hangingChars="199"/>
        <w:outlineLvl w:val="2"/>
        <w:rPr>
          <w:rFonts w:hint="eastAsia" w:cs="宋体"/>
          <w:b/>
          <w:color w:val="auto"/>
          <w:highlight w:val="none"/>
        </w:rPr>
      </w:pPr>
      <w:r>
        <w:rPr>
          <w:rFonts w:hint="eastAsia" w:cs="宋体"/>
          <w:b/>
          <w:color w:val="auto"/>
          <w:highlight w:val="none"/>
        </w:rPr>
        <w:t>26. 履约保证金</w:t>
      </w:r>
    </w:p>
    <w:p w14:paraId="2AFA5021">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E0CB57">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DE5C223">
      <w:pPr>
        <w:pStyle w:val="25"/>
        <w:spacing w:line="360" w:lineRule="auto"/>
        <w:ind w:left="479" w:hanging="479" w:hangingChars="199"/>
        <w:outlineLvl w:val="2"/>
        <w:rPr>
          <w:rFonts w:hint="eastAsia" w:cs="宋体"/>
          <w:b/>
          <w:color w:val="auto"/>
          <w:highlight w:val="none"/>
        </w:rPr>
      </w:pPr>
      <w:r>
        <w:rPr>
          <w:rFonts w:hint="eastAsia" w:cs="宋体"/>
          <w:b/>
          <w:color w:val="auto"/>
          <w:highlight w:val="none"/>
        </w:rPr>
        <w:t>27.预付款</w:t>
      </w:r>
    </w:p>
    <w:p w14:paraId="0255AA63">
      <w:pPr>
        <w:pStyle w:val="131"/>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B763A22">
      <w:pPr>
        <w:snapToGrid w:val="0"/>
        <w:spacing w:line="360" w:lineRule="auto"/>
        <w:ind w:left="120" w:firstLine="22"/>
        <w:jc w:val="center"/>
        <w:outlineLvl w:val="1"/>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1A0FD99">
      <w:pPr>
        <w:pStyle w:val="131"/>
        <w:snapToGrid w:val="0"/>
        <w:spacing w:before="0"/>
        <w:ind w:left="120" w:firstLine="22" w:firstLineChars="0"/>
        <w:outlineLvl w:val="2"/>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82DBFDB">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E261658">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633E305">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F99015E">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BD66916">
      <w:pPr>
        <w:pStyle w:val="131"/>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B8A473C">
      <w:pPr>
        <w:pStyle w:val="131"/>
        <w:snapToGrid w:val="0"/>
        <w:spacing w:before="0"/>
        <w:ind w:left="120" w:firstLine="22" w:firstLineChars="0"/>
        <w:outlineLvl w:val="2"/>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2DBA542">
      <w:pPr>
        <w:snapToGrid w:val="0"/>
        <w:spacing w:line="360" w:lineRule="auto"/>
        <w:ind w:left="120" w:leftChars="57" w:firstLine="482" w:firstLineChars="150"/>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九、验收</w:t>
      </w:r>
    </w:p>
    <w:p w14:paraId="1F5FB45D">
      <w:pPr>
        <w:pStyle w:val="25"/>
        <w:spacing w:line="360" w:lineRule="auto"/>
        <w:ind w:left="120" w:firstLine="22" w:firstLineChars="0"/>
        <w:outlineLvl w:val="2"/>
        <w:rPr>
          <w:rFonts w:hint="eastAsia" w:cs="宋体"/>
          <w:b/>
          <w:color w:val="auto"/>
          <w:highlight w:val="none"/>
        </w:rPr>
      </w:pPr>
      <w:r>
        <w:rPr>
          <w:rFonts w:hint="eastAsia" w:cs="宋体"/>
          <w:b/>
          <w:color w:val="auto"/>
          <w:highlight w:val="none"/>
        </w:rPr>
        <w:t>30.验收</w:t>
      </w:r>
    </w:p>
    <w:p w14:paraId="35971007">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4EB7E1">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F11CB1">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E65FC9">
      <w:pPr>
        <w:tabs>
          <w:tab w:val="left" w:pos="0"/>
        </w:tabs>
        <w:spacing w:line="360" w:lineRule="auto"/>
        <w:ind w:left="120" w:firstLine="480" w:firstLineChars="20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7DF55F4F">
      <w:pPr>
        <w:spacing w:line="360" w:lineRule="auto"/>
        <w:ind w:firstLine="720" w:firstLineChars="300"/>
        <w:rPr>
          <w:rFonts w:hint="eastAsia" w:ascii="宋体" w:hAnsi="宋体" w:cs="宋体"/>
          <w:color w:val="auto"/>
          <w:sz w:val="24"/>
          <w:highlight w:val="none"/>
        </w:rPr>
      </w:pPr>
      <w:bookmarkStart w:id="24" w:name="_Hlt68072998"/>
      <w:bookmarkEnd w:id="24"/>
      <w:bookmarkStart w:id="25" w:name="_Hlt74730295"/>
      <w:bookmarkEnd w:id="25"/>
      <w:bookmarkStart w:id="26" w:name="_Hlt74729768"/>
      <w:bookmarkEnd w:id="26"/>
      <w:bookmarkStart w:id="27" w:name="_Hlt74707468"/>
      <w:bookmarkEnd w:id="27"/>
      <w:bookmarkStart w:id="28" w:name="_Hlt75236011"/>
      <w:bookmarkEnd w:id="28"/>
      <w:bookmarkStart w:id="29" w:name="_Hlt68072990"/>
      <w:bookmarkEnd w:id="29"/>
      <w:bookmarkStart w:id="30" w:name="_Hlt68057669"/>
      <w:bookmarkEnd w:id="30"/>
      <w:bookmarkStart w:id="31" w:name="_Hlt75236290"/>
      <w:bookmarkEnd w:id="31"/>
      <w:bookmarkStart w:id="32" w:name="_Hlt74714665"/>
      <w:bookmarkEnd w:id="32"/>
      <w:bookmarkStart w:id="33" w:name="_Hlt68073093"/>
      <w:bookmarkEnd w:id="33"/>
      <w:bookmarkStart w:id="34" w:name="_Hlt68403820"/>
      <w:bookmarkEnd w:id="34"/>
      <w:bookmarkStart w:id="35" w:name="_Hlt75236101"/>
      <w:bookmarkEnd w:id="35"/>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95649DE">
      <w:pPr>
        <w:tabs>
          <w:tab w:val="left" w:pos="0"/>
        </w:tabs>
        <w:spacing w:line="360" w:lineRule="auto"/>
        <w:ind w:left="120" w:firstLine="22"/>
        <w:rPr>
          <w:rFonts w:hint="eastAsia"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p>
    <w:bookmarkEnd w:id="20"/>
    <w:bookmarkEnd w:id="21"/>
    <w:p w14:paraId="0E5CB746">
      <w:pPr>
        <w:spacing w:line="360" w:lineRule="auto"/>
        <w:ind w:left="120" w:firstLine="22"/>
        <w:jc w:val="center"/>
        <w:outlineLvl w:val="0"/>
        <w:rPr>
          <w:rFonts w:hint="eastAsia" w:ascii="宋体" w:hAnsi="宋体" w:cs="宋体"/>
          <w:b/>
          <w:color w:val="auto"/>
          <w:sz w:val="36"/>
          <w:szCs w:val="36"/>
          <w:highlight w:val="none"/>
        </w:rPr>
      </w:pPr>
      <w:bookmarkStart w:id="36" w:name="第四部分"/>
      <w:r>
        <w:rPr>
          <w:rFonts w:hint="eastAsia" w:ascii="宋体" w:hAnsi="宋体" w:cs="宋体"/>
          <w:b/>
          <w:color w:val="auto"/>
          <w:sz w:val="36"/>
          <w:szCs w:val="36"/>
          <w:highlight w:val="none"/>
        </w:rPr>
        <w:t>第三部分   采购需求</w:t>
      </w:r>
    </w:p>
    <w:p w14:paraId="15EFA1F1">
      <w:pPr>
        <w:adjustRightInd/>
        <w:spacing w:after="0" w:line="360" w:lineRule="auto"/>
        <w:outlineLvl w:val="1"/>
        <w:rPr>
          <w:rFonts w:hint="eastAsia" w:ascii="宋体" w:hAnsi="宋体"/>
          <w:b/>
          <w:bCs/>
          <w:color w:val="auto"/>
          <w:sz w:val="24"/>
          <w:highlight w:val="none"/>
        </w:rPr>
      </w:pPr>
      <w:bookmarkStart w:id="37" w:name="_Hlk166695287"/>
      <w:r>
        <w:rPr>
          <w:rFonts w:hint="eastAsia" w:ascii="宋体" w:hAnsi="宋体"/>
          <w:b/>
          <w:bCs/>
          <w:color w:val="auto"/>
          <w:sz w:val="24"/>
          <w:highlight w:val="none"/>
        </w:rPr>
        <w:t>一、建设目标</w:t>
      </w:r>
    </w:p>
    <w:p w14:paraId="25246628">
      <w:p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杭州市上城区人民政府办公室关于印发上城区电子政务项目管理办法的通知》、上城区信创办《关于启动2025年度政务信息系统信创改造工作的通知》相关要求，建设上城区“数智组工”平台信创改造项目，聚焦于实现统一门户集成、统一用户管理、统一授权管理、统一安全防护、统一资源管理，通过整合组织部内部信息系统（包括江河汇才智慧人才、红色十二时辰、幸福邻里坊、绩效e考通），推动系统集成、要素汇聚、场景应用，实现信息系统的“好用、管用、想用、耐用”，进一步巩固深化“一单位一平台”国产化信创适配改造融合，深化国产操作系统及数据库的兼容适配与性能调优，推动技术生态成熟化。</w:t>
      </w:r>
    </w:p>
    <w:p w14:paraId="006FCA93">
      <w:pPr>
        <w:adjustRightInd/>
        <w:spacing w:after="0" w:line="360" w:lineRule="auto"/>
        <w:outlineLvl w:val="1"/>
        <w:rPr>
          <w:rFonts w:hint="eastAsia" w:ascii="宋体" w:hAnsi="宋体"/>
          <w:b/>
          <w:bCs/>
          <w:color w:val="auto"/>
          <w:sz w:val="24"/>
          <w:highlight w:val="none"/>
        </w:rPr>
      </w:pPr>
      <w:bookmarkStart w:id="38" w:name="OLE_LINK3"/>
      <w:r>
        <w:rPr>
          <w:rFonts w:hint="eastAsia" w:ascii="宋体" w:hAnsi="宋体"/>
          <w:b/>
          <w:bCs/>
          <w:color w:val="auto"/>
          <w:sz w:val="24"/>
          <w:highlight w:val="none"/>
        </w:rPr>
        <w:t>二、建设内容</w:t>
      </w:r>
    </w:p>
    <w:p w14:paraId="5BBB2C29">
      <w:pPr>
        <w:numPr>
          <w:ilvl w:val="0"/>
          <w:numId w:val="1"/>
        </w:numPr>
        <w:adjustRightInd/>
        <w:spacing w:after="0" w:line="360" w:lineRule="auto"/>
        <w:rPr>
          <w:rFonts w:hint="eastAsia" w:ascii="宋体" w:hAnsi="宋体"/>
          <w:color w:val="auto"/>
          <w:sz w:val="24"/>
          <w:highlight w:val="none"/>
        </w:rPr>
      </w:pPr>
      <w:r>
        <w:rPr>
          <w:rFonts w:hint="eastAsia" w:ascii="宋体" w:hAnsi="宋体"/>
          <w:color w:val="auto"/>
          <w:sz w:val="24"/>
          <w:highlight w:val="none"/>
        </w:rPr>
        <w:t>信创改造：</w:t>
      </w:r>
    </w:p>
    <w:p w14:paraId="369A1B08">
      <w:pPr>
        <w:numPr>
          <w:ilvl w:val="0"/>
          <w:numId w:val="2"/>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江河汇才智慧人才系统：解决人才政策碎片化问题，归集政策“一键申办”，人才安居等诉求响应时效缩短。</w:t>
      </w:r>
    </w:p>
    <w:p w14:paraId="510BC3B1">
      <w:pPr>
        <w:numPr>
          <w:ilvl w:val="0"/>
          <w:numId w:val="2"/>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红色十二时辰系统：破解场地利用率低、预约分散难题，整合场地资源，提升线上预约率。</w:t>
      </w:r>
    </w:p>
    <w:p w14:paraId="4B5F4992">
      <w:pPr>
        <w:numPr>
          <w:ilvl w:val="0"/>
          <w:numId w:val="2"/>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幸福邻里坊系统：针对社区治理数据孤岛问题，打通部门数据壁垒，构建智慧治理模型。</w:t>
      </w:r>
    </w:p>
    <w:p w14:paraId="219651F0">
      <w:pPr>
        <w:numPr>
          <w:ilvl w:val="0"/>
          <w:numId w:val="2"/>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绩效e考通系统：变革传统人工考核低效模式，实现全区干部考核数字化，提升任务办结率。</w:t>
      </w:r>
    </w:p>
    <w:p w14:paraId="1ED22D3F">
      <w:pPr>
        <w:numPr>
          <w:ilvl w:val="0"/>
          <w:numId w:val="1"/>
        </w:numPr>
        <w:adjustRightInd/>
        <w:spacing w:after="0" w:line="360" w:lineRule="auto"/>
        <w:rPr>
          <w:rFonts w:hint="eastAsia" w:ascii="宋体" w:hAnsi="宋体"/>
          <w:color w:val="auto"/>
          <w:sz w:val="24"/>
          <w:highlight w:val="none"/>
        </w:rPr>
      </w:pPr>
      <w:r>
        <w:rPr>
          <w:rFonts w:hint="eastAsia" w:ascii="宋体" w:hAnsi="宋体"/>
          <w:color w:val="auto"/>
          <w:sz w:val="24"/>
          <w:highlight w:val="none"/>
        </w:rPr>
        <w:t>建设“数智组工”平台：实现江河汇才智慧人才、红色十二时辰、幸福邻里坊及绩效e考通的门户集成，实现统一用户、权限、接口及接入管理。</w:t>
      </w:r>
    </w:p>
    <w:tbl>
      <w:tblPr>
        <w:tblStyle w:val="63"/>
        <w:tblW w:w="4998" w:type="pct"/>
        <w:tblInd w:w="0" w:type="dxa"/>
        <w:tblLayout w:type="autofit"/>
        <w:tblCellMar>
          <w:top w:w="0" w:type="dxa"/>
          <w:left w:w="108" w:type="dxa"/>
          <w:bottom w:w="0" w:type="dxa"/>
          <w:right w:w="108" w:type="dxa"/>
        </w:tblCellMar>
      </w:tblPr>
      <w:tblGrid>
        <w:gridCol w:w="552"/>
        <w:gridCol w:w="1285"/>
        <w:gridCol w:w="1863"/>
        <w:gridCol w:w="5868"/>
      </w:tblGrid>
      <w:tr w14:paraId="63FBE19C">
        <w:tblPrEx>
          <w:tblCellMar>
            <w:top w:w="0" w:type="dxa"/>
            <w:left w:w="108" w:type="dxa"/>
            <w:bottom w:w="0" w:type="dxa"/>
            <w:right w:w="108" w:type="dxa"/>
          </w:tblCellMar>
        </w:tblPrEx>
        <w:trPr>
          <w:trHeight w:val="288"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001E8130">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序号</w:t>
            </w:r>
          </w:p>
        </w:tc>
        <w:tc>
          <w:tcPr>
            <w:tcW w:w="671" w:type="pct"/>
            <w:tcBorders>
              <w:top w:val="single" w:color="000000" w:sz="4" w:space="0"/>
              <w:left w:val="single" w:color="000000" w:sz="4" w:space="0"/>
              <w:bottom w:val="single" w:color="000000" w:sz="4" w:space="0"/>
              <w:right w:val="single" w:color="000000" w:sz="4" w:space="0"/>
            </w:tcBorders>
            <w:vAlign w:val="center"/>
          </w:tcPr>
          <w:p w14:paraId="2D4EC3DD">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系统</w:t>
            </w:r>
          </w:p>
        </w:tc>
        <w:tc>
          <w:tcPr>
            <w:tcW w:w="973" w:type="pct"/>
            <w:tcBorders>
              <w:top w:val="single" w:color="000000" w:sz="4" w:space="0"/>
              <w:left w:val="single" w:color="000000" w:sz="4" w:space="0"/>
              <w:bottom w:val="single" w:color="000000" w:sz="4" w:space="0"/>
              <w:right w:val="single" w:color="000000" w:sz="4" w:space="0"/>
            </w:tcBorders>
            <w:vAlign w:val="center"/>
          </w:tcPr>
          <w:p w14:paraId="41BCBC52">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模块</w:t>
            </w:r>
          </w:p>
        </w:tc>
        <w:tc>
          <w:tcPr>
            <w:tcW w:w="3065" w:type="pct"/>
            <w:tcBorders>
              <w:top w:val="single" w:color="000000" w:sz="4" w:space="0"/>
              <w:left w:val="single" w:color="000000" w:sz="4" w:space="0"/>
              <w:bottom w:val="single" w:color="000000" w:sz="4" w:space="0"/>
              <w:right w:val="single" w:color="000000" w:sz="4" w:space="0"/>
            </w:tcBorders>
            <w:vAlign w:val="center"/>
          </w:tcPr>
          <w:p w14:paraId="00915F26">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描述</w:t>
            </w:r>
          </w:p>
        </w:tc>
      </w:tr>
      <w:tr w14:paraId="62258C02">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510B0F57">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1</w:t>
            </w:r>
          </w:p>
        </w:tc>
        <w:tc>
          <w:tcPr>
            <w:tcW w:w="671" w:type="pct"/>
            <w:vMerge w:val="restart"/>
            <w:tcBorders>
              <w:top w:val="single" w:color="000000" w:sz="4" w:space="0"/>
              <w:left w:val="single" w:color="000000" w:sz="4" w:space="0"/>
              <w:bottom w:val="single" w:color="000000" w:sz="4" w:space="0"/>
              <w:right w:val="single" w:color="000000" w:sz="4" w:space="0"/>
            </w:tcBorders>
            <w:vAlign w:val="center"/>
          </w:tcPr>
          <w:p w14:paraId="3058509A">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江河汇才智慧人才</w:t>
            </w:r>
          </w:p>
        </w:tc>
        <w:tc>
          <w:tcPr>
            <w:tcW w:w="973" w:type="pct"/>
            <w:tcBorders>
              <w:top w:val="single" w:color="000000" w:sz="4" w:space="0"/>
              <w:left w:val="single" w:color="000000" w:sz="4" w:space="0"/>
              <w:bottom w:val="single" w:color="000000" w:sz="4" w:space="0"/>
              <w:right w:val="single" w:color="000000" w:sz="4" w:space="0"/>
            </w:tcBorders>
            <w:vAlign w:val="center"/>
          </w:tcPr>
          <w:p w14:paraId="4718EF2C">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PC服务端</w:t>
            </w:r>
          </w:p>
        </w:tc>
        <w:tc>
          <w:tcPr>
            <w:tcW w:w="3065" w:type="pct"/>
            <w:tcBorders>
              <w:top w:val="single" w:color="000000" w:sz="4" w:space="0"/>
              <w:left w:val="single" w:color="000000" w:sz="4" w:space="0"/>
              <w:bottom w:val="single" w:color="000000" w:sz="4" w:space="0"/>
              <w:right w:val="single" w:color="000000" w:sz="4" w:space="0"/>
            </w:tcBorders>
            <w:vAlign w:val="center"/>
          </w:tcPr>
          <w:p w14:paraId="229C52E9">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实现pc服务端首页、走进上城、金靴奔跑申报及资金补贴申请、商务人才申报、人才公寓申请、资源对接等模块。</w:t>
            </w:r>
          </w:p>
        </w:tc>
      </w:tr>
      <w:tr w14:paraId="4DDD4E0A">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557920FC">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F351D8">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6B978D54">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移动服务端</w:t>
            </w:r>
          </w:p>
        </w:tc>
        <w:tc>
          <w:tcPr>
            <w:tcW w:w="3065" w:type="pct"/>
            <w:tcBorders>
              <w:top w:val="single" w:color="000000" w:sz="4" w:space="0"/>
              <w:left w:val="single" w:color="000000" w:sz="4" w:space="0"/>
              <w:bottom w:val="single" w:color="000000" w:sz="4" w:space="0"/>
              <w:right w:val="single" w:color="000000" w:sz="4" w:space="0"/>
            </w:tcBorders>
            <w:vAlign w:val="center"/>
          </w:tcPr>
          <w:p w14:paraId="3015C2C2">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实现移动服务端区级人才码服务、移动端首页、走进上城、区级服务、资源对接、链接服务等模块。</w:t>
            </w:r>
          </w:p>
        </w:tc>
      </w:tr>
      <w:tr w14:paraId="05187C4F">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3E07AD00">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3</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84AAE6">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479D017C">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运营端</w:t>
            </w:r>
          </w:p>
        </w:tc>
        <w:tc>
          <w:tcPr>
            <w:tcW w:w="3065" w:type="pct"/>
            <w:tcBorders>
              <w:top w:val="single" w:color="000000" w:sz="4" w:space="0"/>
              <w:left w:val="single" w:color="000000" w:sz="4" w:space="0"/>
              <w:bottom w:val="single" w:color="000000" w:sz="4" w:space="0"/>
              <w:right w:val="single" w:color="000000" w:sz="4" w:space="0"/>
            </w:tcBorders>
            <w:vAlign w:val="center"/>
          </w:tcPr>
          <w:p w14:paraId="6D4EDA45">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实现运营端工作台、账户管理、运营管理、金靴奔跑申报及资金申请各级审核、商务人才审核、人才公寓审核、资源对接管理模块。</w:t>
            </w:r>
          </w:p>
        </w:tc>
      </w:tr>
      <w:tr w14:paraId="0BEE2DD0">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1765A444">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4</w:t>
            </w:r>
          </w:p>
        </w:tc>
        <w:tc>
          <w:tcPr>
            <w:tcW w:w="671" w:type="pct"/>
            <w:vMerge w:val="restart"/>
            <w:tcBorders>
              <w:top w:val="single" w:color="000000" w:sz="4" w:space="0"/>
              <w:left w:val="single" w:color="000000" w:sz="4" w:space="0"/>
              <w:bottom w:val="single" w:color="000000" w:sz="4" w:space="0"/>
              <w:right w:val="single" w:color="000000" w:sz="4" w:space="0"/>
            </w:tcBorders>
            <w:vAlign w:val="center"/>
          </w:tcPr>
          <w:p w14:paraId="315B75B5">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红色十二时辰</w:t>
            </w:r>
          </w:p>
        </w:tc>
        <w:tc>
          <w:tcPr>
            <w:tcW w:w="973" w:type="pct"/>
            <w:tcBorders>
              <w:top w:val="single" w:color="000000" w:sz="4" w:space="0"/>
              <w:left w:val="single" w:color="000000" w:sz="4" w:space="0"/>
              <w:bottom w:val="single" w:color="000000" w:sz="4" w:space="0"/>
              <w:right w:val="single" w:color="000000" w:sz="4" w:space="0"/>
            </w:tcBorders>
            <w:vAlign w:val="center"/>
          </w:tcPr>
          <w:p w14:paraId="1CBF72A7">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街道数字党建大屏</w:t>
            </w:r>
          </w:p>
        </w:tc>
        <w:tc>
          <w:tcPr>
            <w:tcW w:w="3065" w:type="pct"/>
            <w:tcBorders>
              <w:top w:val="single" w:color="000000" w:sz="4" w:space="0"/>
              <w:left w:val="single" w:color="000000" w:sz="4" w:space="0"/>
              <w:bottom w:val="single" w:color="000000" w:sz="4" w:space="0"/>
              <w:right w:val="single" w:color="000000" w:sz="4" w:space="0"/>
            </w:tcBorders>
            <w:vAlign w:val="center"/>
          </w:tcPr>
          <w:p w14:paraId="779E3899">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服务在线模块、地图模块、用户需求模块、未来流量模块、热度分析模块、评价指数模块。</w:t>
            </w:r>
          </w:p>
        </w:tc>
      </w:tr>
      <w:tr w14:paraId="629D6165">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4B602B26">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5</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643F8C">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77E6C987">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区级数字党建大屏</w:t>
            </w:r>
          </w:p>
        </w:tc>
        <w:tc>
          <w:tcPr>
            <w:tcW w:w="3065" w:type="pct"/>
            <w:tcBorders>
              <w:top w:val="single" w:color="000000" w:sz="4" w:space="0"/>
              <w:left w:val="single" w:color="000000" w:sz="4" w:space="0"/>
              <w:bottom w:val="single" w:color="000000" w:sz="4" w:space="0"/>
              <w:right w:val="single" w:color="000000" w:sz="4" w:space="0"/>
            </w:tcBorders>
            <w:vAlign w:val="center"/>
          </w:tcPr>
          <w:p w14:paraId="6BCE40EB">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服务在线模块、今日开展活动数模块、入馆人数模块、地图模块、居民画像模块、未来流量模块、热度分析模块、评价指数模块。</w:t>
            </w:r>
          </w:p>
        </w:tc>
      </w:tr>
      <w:tr w14:paraId="36411728">
        <w:tblPrEx>
          <w:tblCellMar>
            <w:top w:w="0" w:type="dxa"/>
            <w:left w:w="108" w:type="dxa"/>
            <w:bottom w:w="0" w:type="dxa"/>
            <w:right w:w="108" w:type="dxa"/>
          </w:tblCellMar>
        </w:tblPrEx>
        <w:trPr>
          <w:trHeight w:val="90"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4AAE3A6E">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6</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046687">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58DE1758">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数字党建系统管理后台</w:t>
            </w:r>
          </w:p>
        </w:tc>
        <w:tc>
          <w:tcPr>
            <w:tcW w:w="3065" w:type="pct"/>
            <w:tcBorders>
              <w:top w:val="single" w:color="000000" w:sz="4" w:space="0"/>
              <w:left w:val="single" w:color="000000" w:sz="4" w:space="0"/>
              <w:bottom w:val="single" w:color="000000" w:sz="4" w:space="0"/>
              <w:right w:val="single" w:color="000000" w:sz="4" w:space="0"/>
            </w:tcBorders>
            <w:vAlign w:val="center"/>
          </w:tcPr>
          <w:p w14:paraId="5B325DB0">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街道管理模块、阵地管理模块、数据统计分析模块、积分管理模块、系统管理模块、运维管理模块、登录模块。</w:t>
            </w:r>
          </w:p>
        </w:tc>
      </w:tr>
      <w:tr w14:paraId="1AC52BAE">
        <w:tblPrEx>
          <w:tblCellMar>
            <w:top w:w="0" w:type="dxa"/>
            <w:left w:w="108" w:type="dxa"/>
            <w:bottom w:w="0" w:type="dxa"/>
            <w:right w:w="108" w:type="dxa"/>
          </w:tblCellMar>
        </w:tblPrEx>
        <w:trPr>
          <w:trHeight w:val="1152"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7A223AC9">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7</w:t>
            </w:r>
          </w:p>
        </w:tc>
        <w:tc>
          <w:tcPr>
            <w:tcW w:w="671" w:type="pct"/>
            <w:vMerge w:val="restart"/>
            <w:tcBorders>
              <w:top w:val="single" w:color="000000" w:sz="4" w:space="0"/>
              <w:left w:val="single" w:color="000000" w:sz="4" w:space="0"/>
              <w:bottom w:val="single" w:color="000000" w:sz="4" w:space="0"/>
              <w:right w:val="single" w:color="000000" w:sz="4" w:space="0"/>
            </w:tcBorders>
            <w:vAlign w:val="center"/>
          </w:tcPr>
          <w:p w14:paraId="0E362862">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幸福邻里坊</w:t>
            </w:r>
          </w:p>
        </w:tc>
        <w:tc>
          <w:tcPr>
            <w:tcW w:w="973" w:type="pct"/>
            <w:tcBorders>
              <w:top w:val="single" w:color="000000" w:sz="4" w:space="0"/>
              <w:left w:val="single" w:color="000000" w:sz="4" w:space="0"/>
              <w:bottom w:val="single" w:color="000000" w:sz="4" w:space="0"/>
              <w:right w:val="single" w:color="000000" w:sz="4" w:space="0"/>
            </w:tcBorders>
            <w:vAlign w:val="center"/>
          </w:tcPr>
          <w:p w14:paraId="4EB7F8B7">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驾驶舱系统免登接口开发</w:t>
            </w:r>
          </w:p>
        </w:tc>
        <w:tc>
          <w:tcPr>
            <w:tcW w:w="3065" w:type="pct"/>
            <w:tcBorders>
              <w:top w:val="single" w:color="000000" w:sz="4" w:space="0"/>
              <w:left w:val="single" w:color="000000" w:sz="4" w:space="0"/>
              <w:bottom w:val="single" w:color="000000" w:sz="4" w:space="0"/>
              <w:right w:val="single" w:color="000000" w:sz="4" w:space="0"/>
            </w:tcBorders>
            <w:vAlign w:val="center"/>
          </w:tcPr>
          <w:p w14:paraId="02CD5867">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用户体系梳理：用户权限、角色、组织架构系统化整理。</w:t>
            </w:r>
            <w:r>
              <w:rPr>
                <w:rFonts w:hint="eastAsia" w:ascii="宋体" w:hAnsi="宋体"/>
                <w:color w:val="auto"/>
                <w:sz w:val="24"/>
                <w:highlight w:val="none"/>
              </w:rPr>
              <w:br w:type="textWrapping"/>
            </w:r>
            <w:r>
              <w:rPr>
                <w:rFonts w:hint="eastAsia" w:ascii="宋体" w:hAnsi="宋体"/>
                <w:color w:val="auto"/>
                <w:sz w:val="24"/>
                <w:highlight w:val="none"/>
              </w:rPr>
              <w:t>组织增删改接口：开发组织新建/编辑/删除功能接口。</w:t>
            </w:r>
            <w:r>
              <w:rPr>
                <w:rFonts w:hint="eastAsia" w:ascii="宋体" w:hAnsi="宋体"/>
                <w:color w:val="auto"/>
                <w:sz w:val="24"/>
                <w:highlight w:val="none"/>
              </w:rPr>
              <w:br w:type="textWrapping"/>
            </w:r>
            <w:r>
              <w:rPr>
                <w:rFonts w:hint="eastAsia" w:ascii="宋体" w:hAnsi="宋体"/>
                <w:color w:val="auto"/>
                <w:sz w:val="24"/>
                <w:highlight w:val="none"/>
              </w:rPr>
              <w:t>查询接口：用户及组织信息检索功能实现。</w:t>
            </w:r>
            <w:r>
              <w:rPr>
                <w:rFonts w:hint="eastAsia" w:ascii="宋体" w:hAnsi="宋体"/>
                <w:color w:val="auto"/>
                <w:sz w:val="24"/>
                <w:highlight w:val="none"/>
              </w:rPr>
              <w:br w:type="textWrapping"/>
            </w:r>
            <w:r>
              <w:rPr>
                <w:rFonts w:hint="eastAsia" w:ascii="宋体" w:hAnsi="宋体"/>
                <w:color w:val="auto"/>
                <w:sz w:val="24"/>
                <w:highlight w:val="none"/>
              </w:rPr>
              <w:t>账户登录集成：统一身份认证登录登出接口对接。</w:t>
            </w:r>
          </w:p>
        </w:tc>
      </w:tr>
      <w:tr w14:paraId="203AC04E">
        <w:tblPrEx>
          <w:tblCellMar>
            <w:top w:w="0" w:type="dxa"/>
            <w:left w:w="108" w:type="dxa"/>
            <w:bottom w:w="0" w:type="dxa"/>
            <w:right w:w="108" w:type="dxa"/>
          </w:tblCellMar>
        </w:tblPrEx>
        <w:trPr>
          <w:trHeight w:val="864"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192977E6">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8</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E97A2F">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26014FCB">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群众端数据对接</w:t>
            </w:r>
          </w:p>
        </w:tc>
        <w:tc>
          <w:tcPr>
            <w:tcW w:w="3065" w:type="pct"/>
            <w:tcBorders>
              <w:top w:val="single" w:color="000000" w:sz="4" w:space="0"/>
              <w:left w:val="single" w:color="000000" w:sz="4" w:space="0"/>
              <w:bottom w:val="single" w:color="000000" w:sz="4" w:space="0"/>
              <w:right w:val="single" w:color="000000" w:sz="4" w:space="0"/>
            </w:tcBorders>
            <w:vAlign w:val="center"/>
          </w:tcPr>
          <w:p w14:paraId="1B5ED5BF">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数据对接：对接“红色十二时辰”系统预约数据接口。</w:t>
            </w:r>
            <w:r>
              <w:rPr>
                <w:rFonts w:hint="eastAsia" w:ascii="宋体" w:hAnsi="宋体"/>
                <w:color w:val="auto"/>
                <w:sz w:val="24"/>
                <w:highlight w:val="none"/>
              </w:rPr>
              <w:br w:type="textWrapping"/>
            </w:r>
            <w:r>
              <w:rPr>
                <w:rFonts w:hint="eastAsia" w:ascii="宋体" w:hAnsi="宋体"/>
                <w:color w:val="auto"/>
                <w:sz w:val="24"/>
                <w:highlight w:val="none"/>
              </w:rPr>
              <w:t>功能合并：跨系统场馆预约功能整合开发、复用用户体系架构，优化组织管理接口。</w:t>
            </w:r>
          </w:p>
        </w:tc>
      </w:tr>
      <w:tr w14:paraId="1F55E6D1">
        <w:tblPrEx>
          <w:tblCellMar>
            <w:top w:w="0" w:type="dxa"/>
            <w:left w:w="108" w:type="dxa"/>
            <w:bottom w:w="0" w:type="dxa"/>
            <w:right w:w="108" w:type="dxa"/>
          </w:tblCellMar>
        </w:tblPrEx>
        <w:trPr>
          <w:trHeight w:val="864"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08F0217E">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9</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41983D">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127A6894">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群众端信息整合优化</w:t>
            </w:r>
          </w:p>
        </w:tc>
        <w:tc>
          <w:tcPr>
            <w:tcW w:w="3065" w:type="pct"/>
            <w:tcBorders>
              <w:top w:val="single" w:color="000000" w:sz="4" w:space="0"/>
              <w:left w:val="single" w:color="000000" w:sz="4" w:space="0"/>
              <w:bottom w:val="single" w:color="000000" w:sz="4" w:space="0"/>
              <w:right w:val="single" w:color="000000" w:sz="4" w:space="0"/>
            </w:tcBorders>
            <w:vAlign w:val="center"/>
          </w:tcPr>
          <w:p w14:paraId="7D0AB886">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用户体系、组织结构信息梳理：到对系统内部的用户信息、权限、角色、组织架构等进行系统的整理和规划。</w:t>
            </w:r>
            <w:r>
              <w:rPr>
                <w:rFonts w:hint="eastAsia" w:ascii="宋体" w:hAnsi="宋体"/>
                <w:color w:val="auto"/>
                <w:sz w:val="24"/>
                <w:highlight w:val="none"/>
              </w:rPr>
              <w:br w:type="textWrapping"/>
            </w:r>
            <w:r>
              <w:rPr>
                <w:rFonts w:hint="eastAsia" w:ascii="宋体" w:hAnsi="宋体"/>
                <w:color w:val="auto"/>
                <w:sz w:val="24"/>
                <w:highlight w:val="none"/>
              </w:rPr>
              <w:t>权限体系开发：用户组织增删改接口开发。</w:t>
            </w:r>
          </w:p>
        </w:tc>
      </w:tr>
      <w:tr w14:paraId="0260BD8D">
        <w:tblPrEx>
          <w:tblCellMar>
            <w:top w:w="0" w:type="dxa"/>
            <w:left w:w="108" w:type="dxa"/>
            <w:bottom w:w="0" w:type="dxa"/>
            <w:right w:w="108" w:type="dxa"/>
          </w:tblCellMar>
        </w:tblPrEx>
        <w:trPr>
          <w:trHeight w:val="288"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3D849666">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10</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8AA2EB">
            <w:pPr>
              <w:adjustRightInd/>
              <w:spacing w:after="0" w:line="360" w:lineRule="auto"/>
              <w:outlineLvl w:val="0"/>
              <w:rPr>
                <w:rFonts w:hint="eastAsia" w:ascii="宋体" w:hAnsi="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vAlign w:val="center"/>
          </w:tcPr>
          <w:p w14:paraId="3B98DF5F">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功能开发支持</w:t>
            </w:r>
          </w:p>
        </w:tc>
        <w:tc>
          <w:tcPr>
            <w:tcW w:w="3065" w:type="pct"/>
            <w:tcBorders>
              <w:top w:val="single" w:color="000000" w:sz="4" w:space="0"/>
              <w:left w:val="single" w:color="000000" w:sz="4" w:space="0"/>
              <w:bottom w:val="single" w:color="000000" w:sz="4" w:space="0"/>
              <w:right w:val="single" w:color="000000" w:sz="4" w:space="0"/>
            </w:tcBorders>
            <w:vAlign w:val="center"/>
          </w:tcPr>
          <w:p w14:paraId="72BE1CB8">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系统联调实施：配合跨系统功能联调及数据交互开发</w:t>
            </w:r>
          </w:p>
        </w:tc>
      </w:tr>
      <w:tr w14:paraId="20763CCA">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545483B1">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11</w:t>
            </w:r>
          </w:p>
        </w:tc>
        <w:tc>
          <w:tcPr>
            <w:tcW w:w="671" w:type="pct"/>
            <w:tcBorders>
              <w:top w:val="single" w:color="000000" w:sz="4" w:space="0"/>
              <w:left w:val="single" w:color="000000" w:sz="4" w:space="0"/>
              <w:bottom w:val="single" w:color="000000" w:sz="4" w:space="0"/>
              <w:right w:val="single" w:color="000000" w:sz="4" w:space="0"/>
            </w:tcBorders>
            <w:vAlign w:val="center"/>
          </w:tcPr>
          <w:p w14:paraId="494D035B">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绩效e考通</w:t>
            </w:r>
          </w:p>
        </w:tc>
        <w:tc>
          <w:tcPr>
            <w:tcW w:w="973" w:type="pct"/>
            <w:tcBorders>
              <w:top w:val="single" w:color="000000" w:sz="4" w:space="0"/>
              <w:left w:val="single" w:color="000000" w:sz="4" w:space="0"/>
              <w:bottom w:val="single" w:color="000000" w:sz="4" w:space="0"/>
              <w:right w:val="single" w:color="000000" w:sz="4" w:space="0"/>
            </w:tcBorders>
            <w:vAlign w:val="center"/>
          </w:tcPr>
          <w:p w14:paraId="2A8693AD">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开发与接入</w:t>
            </w:r>
          </w:p>
        </w:tc>
        <w:tc>
          <w:tcPr>
            <w:tcW w:w="3065" w:type="pct"/>
            <w:tcBorders>
              <w:top w:val="single" w:color="000000" w:sz="4" w:space="0"/>
              <w:left w:val="single" w:color="000000" w:sz="4" w:space="0"/>
              <w:bottom w:val="single" w:color="000000" w:sz="4" w:space="0"/>
              <w:right w:val="single" w:color="000000" w:sz="4" w:space="0"/>
            </w:tcBorders>
            <w:vAlign w:val="center"/>
          </w:tcPr>
          <w:p w14:paraId="07DC109E">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免登接口开发、统一消息接口开发、浙政钉接入、IRS的数据资源调用开发。</w:t>
            </w:r>
          </w:p>
        </w:tc>
      </w:tr>
      <w:tr w14:paraId="466F4281">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vAlign w:val="center"/>
          </w:tcPr>
          <w:p w14:paraId="7306DE7B">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12</w:t>
            </w:r>
          </w:p>
        </w:tc>
        <w:tc>
          <w:tcPr>
            <w:tcW w:w="671" w:type="pct"/>
            <w:tcBorders>
              <w:top w:val="single" w:color="000000" w:sz="4" w:space="0"/>
              <w:left w:val="single" w:color="000000" w:sz="4" w:space="0"/>
              <w:bottom w:val="single" w:color="000000" w:sz="4" w:space="0"/>
              <w:right w:val="single" w:color="000000" w:sz="4" w:space="0"/>
            </w:tcBorders>
            <w:vAlign w:val="center"/>
          </w:tcPr>
          <w:p w14:paraId="6992115D">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“数智组工”平台</w:t>
            </w:r>
          </w:p>
        </w:tc>
        <w:tc>
          <w:tcPr>
            <w:tcW w:w="973" w:type="pct"/>
            <w:tcBorders>
              <w:top w:val="single" w:color="000000" w:sz="4" w:space="0"/>
              <w:left w:val="single" w:color="000000" w:sz="4" w:space="0"/>
              <w:bottom w:val="single" w:color="000000" w:sz="4" w:space="0"/>
              <w:right w:val="single" w:color="000000" w:sz="4" w:space="0"/>
            </w:tcBorders>
            <w:vAlign w:val="center"/>
          </w:tcPr>
          <w:p w14:paraId="23B10038">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w:t>
            </w:r>
          </w:p>
        </w:tc>
        <w:tc>
          <w:tcPr>
            <w:tcW w:w="3065" w:type="pct"/>
            <w:tcBorders>
              <w:top w:val="single" w:color="000000" w:sz="4" w:space="0"/>
              <w:left w:val="single" w:color="000000" w:sz="4" w:space="0"/>
              <w:bottom w:val="single" w:color="000000" w:sz="4" w:space="0"/>
              <w:right w:val="single" w:color="000000" w:sz="4" w:space="0"/>
            </w:tcBorders>
            <w:vAlign w:val="center"/>
          </w:tcPr>
          <w:p w14:paraId="5862193E">
            <w:pPr>
              <w:adjustRightInd/>
              <w:spacing w:after="0" w:line="360" w:lineRule="auto"/>
              <w:outlineLvl w:val="0"/>
              <w:rPr>
                <w:rFonts w:hint="eastAsia" w:ascii="宋体" w:hAnsi="宋体"/>
                <w:color w:val="auto"/>
                <w:sz w:val="24"/>
                <w:highlight w:val="none"/>
              </w:rPr>
            </w:pPr>
            <w:r>
              <w:rPr>
                <w:rFonts w:hint="eastAsia" w:ascii="宋体" w:hAnsi="宋体"/>
                <w:color w:val="auto"/>
                <w:sz w:val="24"/>
                <w:highlight w:val="none"/>
              </w:rPr>
              <w:t>实现江河汇才、红色十二时辰、幸福邻里坊及绩效e考通的门户集成，实现统一用户、权限、接口及接入管理。</w:t>
            </w:r>
          </w:p>
        </w:tc>
      </w:tr>
    </w:tbl>
    <w:p w14:paraId="355726AE">
      <w:pPr>
        <w:adjustRightInd/>
        <w:spacing w:after="0" w:line="360" w:lineRule="auto"/>
        <w:rPr>
          <w:rFonts w:hint="eastAsia" w:ascii="宋体" w:hAnsi="宋体"/>
          <w:b/>
          <w:bCs/>
          <w:color w:val="auto"/>
          <w:sz w:val="24"/>
          <w:highlight w:val="none"/>
        </w:rPr>
      </w:pPr>
    </w:p>
    <w:p w14:paraId="6B73B68D">
      <w:pPr>
        <w:adjustRightInd/>
        <w:spacing w:after="0" w:line="360" w:lineRule="auto"/>
        <w:outlineLvl w:val="1"/>
        <w:rPr>
          <w:rFonts w:hint="eastAsia" w:ascii="宋体" w:hAnsi="宋体"/>
          <w:b/>
          <w:bCs/>
          <w:color w:val="auto"/>
          <w:sz w:val="24"/>
          <w:highlight w:val="none"/>
        </w:rPr>
      </w:pPr>
      <w:r>
        <w:rPr>
          <w:rFonts w:hint="eastAsia" w:ascii="宋体" w:hAnsi="宋体"/>
          <w:b/>
          <w:bCs/>
          <w:color w:val="auto"/>
          <w:sz w:val="24"/>
          <w:highlight w:val="none"/>
        </w:rPr>
        <w:t>三、其他需求</w:t>
      </w:r>
    </w:p>
    <w:p w14:paraId="512F3B27">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IRS应用编目</w:t>
      </w:r>
    </w:p>
    <w:p w14:paraId="1BFD31CB">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按照《应用目录编制规范（试行）》做好应用及数字资源规范编目，根据项目进程动态调整资源状态，建设厂商入驻ISV。</w:t>
      </w:r>
    </w:p>
    <w:p w14:paraId="5B6BFE6E">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数据源头贯标</w:t>
      </w:r>
    </w:p>
    <w:p w14:paraId="590C98F4">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根据“一数一源一标准”要求和“有标贯标、无标立标、以标控质、达标入库”原则，实施源头贯标工作。</w:t>
      </w:r>
    </w:p>
    <w:p w14:paraId="53549E0F">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信创环境</w:t>
      </w:r>
    </w:p>
    <w:p w14:paraId="704081FC">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使用国产化服务器、操作系统、数据库及中间件等进行系统部署。</w:t>
      </w:r>
    </w:p>
    <w:p w14:paraId="75C786E5">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数据归集共享</w:t>
      </w:r>
    </w:p>
    <w:p w14:paraId="028F0431">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按需完成数据“全量全要素”归集；加强源头治理、系统治理，提升数据质量；通过省IRS申请使用公共数据，重视数据利用成效；依法合规对外开放数据比例不应低于30%。</w:t>
      </w:r>
    </w:p>
    <w:p w14:paraId="43A08F29">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组件利用</w:t>
      </w:r>
    </w:p>
    <w:p w14:paraId="01A0FD0E">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项目中的应用系统必须通过省组件超市至少使用1个强制类组件，按需使用全省组件超市的各类共享组件。</w:t>
      </w:r>
    </w:p>
    <w:p w14:paraId="1818AE72">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应用接入“浙里办、浙政钉”</w:t>
      </w:r>
    </w:p>
    <w:p w14:paraId="05E91346">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做好应用“浙里办、浙政钉”两端发布工作，其中浙政钉端必须达到100%治理侧应用发布。</w:t>
      </w:r>
    </w:p>
    <w:p w14:paraId="59952AD3">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入驻应用工厂</w:t>
      </w:r>
    </w:p>
    <w:p w14:paraId="4A98C04C">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应用代码规范接入省应用工厂，开展安全扫描并及时整改必修问题和漏洞。</w:t>
      </w:r>
    </w:p>
    <w:p w14:paraId="61160B75">
      <w:pPr>
        <w:numPr>
          <w:ilvl w:val="0"/>
          <w:numId w:val="3"/>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业务保障需求</w:t>
      </w:r>
    </w:p>
    <w:p w14:paraId="25C27E44">
      <w:pPr>
        <w:adjustRightInd/>
        <w:spacing w:after="0" w:line="360" w:lineRule="auto"/>
        <w:rPr>
          <w:rFonts w:hint="eastAsia" w:ascii="宋体" w:hAnsi="宋体"/>
          <w:color w:val="auto"/>
          <w:sz w:val="24"/>
          <w:highlight w:val="none"/>
        </w:rPr>
      </w:pPr>
      <w:r>
        <w:rPr>
          <w:rFonts w:hint="eastAsia" w:ascii="宋体" w:hAnsi="宋体"/>
          <w:color w:val="auto"/>
          <w:sz w:val="24"/>
          <w:highlight w:val="none"/>
        </w:rPr>
        <w:t>对于信创改造项目，可用性分析主要涉及对系统进行渗透测试、信息安全等级保护二级测评、信创适配、</w:t>
      </w:r>
      <w:r>
        <w:rPr>
          <w:rFonts w:hint="eastAsia" w:ascii="宋体" w:hAnsi="宋体" w:cs="宋体"/>
          <w:color w:val="auto"/>
          <w:sz w:val="24"/>
          <w:highlight w:val="none"/>
        </w:rPr>
        <w:t>密码应用、密码方案评审、密码测评</w:t>
      </w:r>
      <w:r>
        <w:rPr>
          <w:rFonts w:hint="eastAsia" w:ascii="宋体" w:hAnsi="宋体"/>
          <w:color w:val="auto"/>
          <w:sz w:val="24"/>
          <w:highlight w:val="none"/>
        </w:rPr>
        <w:t>等，以确保数据的完整性、可用性及安全性。</w:t>
      </w:r>
    </w:p>
    <w:bookmarkEnd w:id="37"/>
    <w:p w14:paraId="3172CCB9">
      <w:pPr>
        <w:adjustRightInd/>
        <w:spacing w:after="0" w:line="360" w:lineRule="auto"/>
        <w:outlineLvl w:val="1"/>
        <w:rPr>
          <w:rFonts w:hint="eastAsia" w:ascii="宋体" w:hAnsi="宋体"/>
          <w:b/>
          <w:bCs/>
          <w:color w:val="auto"/>
          <w:sz w:val="24"/>
          <w:highlight w:val="none"/>
        </w:rPr>
      </w:pPr>
      <w:r>
        <w:rPr>
          <w:rFonts w:hint="eastAsia" w:ascii="宋体" w:hAnsi="宋体"/>
          <w:b/>
          <w:bCs/>
          <w:color w:val="auto"/>
          <w:sz w:val="24"/>
          <w:highlight w:val="none"/>
        </w:rPr>
        <w:t>四、人员要求</w:t>
      </w:r>
    </w:p>
    <w:p w14:paraId="1C249CC4">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中标人应在投标文件中提供一份详细的投入本项目组成人员名单，包括所有项目组核心成员构成、各项目组人员资质及项目经验介绍，并承诺一旦中标，未经采购人书面同意，项目组核心成员不得变更。投标人要充分考虑项目实施的经验、技术方面的因素，提供优质的项目组人员。</w:t>
      </w:r>
    </w:p>
    <w:p w14:paraId="439ED096">
      <w:pPr>
        <w:adjustRightInd/>
        <w:spacing w:after="0" w:line="360" w:lineRule="auto"/>
        <w:outlineLvl w:val="1"/>
        <w:rPr>
          <w:rFonts w:hint="eastAsia" w:ascii="宋体" w:hAnsi="宋体"/>
          <w:b/>
          <w:bCs/>
          <w:color w:val="auto"/>
          <w:sz w:val="24"/>
          <w:highlight w:val="none"/>
        </w:rPr>
      </w:pPr>
      <w:r>
        <w:rPr>
          <w:rFonts w:hint="eastAsia" w:ascii="宋体" w:hAnsi="宋体"/>
          <w:b/>
          <w:bCs/>
          <w:color w:val="auto"/>
          <w:sz w:val="24"/>
          <w:highlight w:val="none"/>
        </w:rPr>
        <w:t>五、软件调测、实施及文档要求</w:t>
      </w:r>
    </w:p>
    <w:p w14:paraId="3EB4EBF9">
      <w:pPr>
        <w:numPr>
          <w:ilvl w:val="0"/>
          <w:numId w:val="4"/>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中标人应向采购单位提交测试内容和方法。移交测试计划和技术内容由中标人拟定，经采购人确认。</w:t>
      </w:r>
    </w:p>
    <w:p w14:paraId="3DCD955C">
      <w:pPr>
        <w:numPr>
          <w:ilvl w:val="0"/>
          <w:numId w:val="4"/>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实施要求：</w:t>
      </w:r>
    </w:p>
    <w:p w14:paraId="12E7C576">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a.中标人应在实施前提供详细的实施方案，并提交采购人认可。</w:t>
      </w:r>
    </w:p>
    <w:p w14:paraId="608F0DF1">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b.实施过程应严格执行相关的规范，并保证安全。</w:t>
      </w:r>
    </w:p>
    <w:p w14:paraId="6B16BABA">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c.中标人应根据采购人的需要，在规定的时间内，保证质量，完成系统建设。</w:t>
      </w:r>
    </w:p>
    <w:p w14:paraId="62066C27">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d.实施过程中应科学、合理地掌握与其他工作界面的协调、交叉。</w:t>
      </w:r>
    </w:p>
    <w:p w14:paraId="2B6FF44D">
      <w:pPr>
        <w:adjustRightInd/>
        <w:spacing w:before="120" w:beforeLines="50" w:after="0"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中标人提供的书面技术资料应能满足确保系统正常运行所需的管理、运营及维护有关的全套文件。</w:t>
      </w:r>
    </w:p>
    <w:p w14:paraId="00FC098A">
      <w:pPr>
        <w:numPr>
          <w:ilvl w:val="0"/>
          <w:numId w:val="4"/>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中标人应针对采购人的网络信息资料严格保密，否则将负法律责任。</w:t>
      </w:r>
    </w:p>
    <w:p w14:paraId="6006A542">
      <w:pPr>
        <w:adjustRightInd/>
        <w:spacing w:after="0" w:line="360" w:lineRule="auto"/>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六、培训要求</w:t>
      </w:r>
    </w:p>
    <w:p w14:paraId="79FEC2AB">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中标人必须为招标人提供系统使用、系统操作和管理维护培训，培训形式包括现场操作培训、上机操作培训、理论基础知识培训等。</w:t>
      </w:r>
    </w:p>
    <w:p w14:paraId="3D7F22CA">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投标人应在投标文件中提供详细的培训计划，包括培训项目、人数、地点、日程、资料、其它等详细内容，为所有被培训人员提供培训用文字资料和讲义等相关用品。</w:t>
      </w:r>
    </w:p>
    <w:p w14:paraId="51668536">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培训目的：达到使管理方员工在培训后能够独立地使用和操作系统，使管理方系统维护人员能够独立进行系统管理、维护的效果。</w:t>
      </w:r>
    </w:p>
    <w:p w14:paraId="65113CAF">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中标人培训人员必须是公司的资深工程师</w:t>
      </w:r>
      <w:r>
        <w:rPr>
          <w:rFonts w:ascii="宋体" w:hAnsi="宋体"/>
          <w:color w:val="auto"/>
          <w:sz w:val="24"/>
          <w:highlight w:val="none"/>
        </w:rPr>
        <w:t>,应保证提供有参与系统开发和丰富授课经验的教员。</w:t>
      </w:r>
    </w:p>
    <w:p w14:paraId="6151FE22">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培训总时间要求：建设基本完工后，项目试运行培训要求不少于</w:t>
      </w:r>
      <w:r>
        <w:rPr>
          <w:rFonts w:ascii="宋体" w:hAnsi="宋体"/>
          <w:color w:val="auto"/>
          <w:sz w:val="24"/>
          <w:highlight w:val="none"/>
        </w:rPr>
        <w:t>1次。</w:t>
      </w:r>
    </w:p>
    <w:p w14:paraId="218F4229">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应准备培训教材和培训资料的电子材料和纸质材料，培训教材和培训资料的语言应为简体中文。所有培训费用（含培训教材费），已包括在投标总价中。</w:t>
      </w:r>
    </w:p>
    <w:p w14:paraId="0FE9D047">
      <w:pPr>
        <w:numPr>
          <w:ilvl w:val="0"/>
          <w:numId w:val="5"/>
        </w:numPr>
        <w:adjustRightInd/>
        <w:snapToGrid w:val="0"/>
        <w:spacing w:after="0"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每次培训需在杭州市范围内举行，如需对培训次数、培训场地等变更，则实际培训时间、人数和地点按中标人与项目招标人商定的为准。培训人数应满足管理方的实际需要。</w:t>
      </w:r>
    </w:p>
    <w:p w14:paraId="17E7DBCF">
      <w:pPr>
        <w:adjustRightInd/>
        <w:spacing w:after="0" w:line="360" w:lineRule="auto"/>
        <w:ind w:firstLine="482" w:firstLineChars="200"/>
        <w:outlineLvl w:val="1"/>
        <w:rPr>
          <w:rFonts w:hint="eastAsia" w:ascii="宋体" w:hAnsi="宋体"/>
          <w:b/>
          <w:bCs/>
          <w:color w:val="auto"/>
          <w:sz w:val="24"/>
          <w:highlight w:val="none"/>
        </w:rPr>
      </w:pPr>
      <w:r>
        <w:rPr>
          <w:rFonts w:hint="eastAsia" w:ascii="宋体" w:hAnsi="宋体"/>
          <w:b/>
          <w:bCs/>
          <w:color w:val="auto"/>
          <w:sz w:val="24"/>
          <w:highlight w:val="none"/>
        </w:rPr>
        <w:t>七、保密要求</w:t>
      </w:r>
    </w:p>
    <w:p w14:paraId="34E84787">
      <w:pPr>
        <w:numPr>
          <w:ilvl w:val="0"/>
          <w:numId w:val="6"/>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在项目开发过程和系统运行过程中，投标人所获得的、有关采购人或属于采购人的商业秘密包括生产管理的方式方法与资料、产品技术资料、客户名单、销售渠道、企业战略及其他被认为是秘密的信息，未经采购人同意，不得泄露给任何第三方。</w:t>
      </w:r>
    </w:p>
    <w:p w14:paraId="4E0CC9C7">
      <w:pPr>
        <w:numPr>
          <w:ilvl w:val="0"/>
          <w:numId w:val="6"/>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任何一方为本项目需要，向任何人透露有关资料或信息且认为是其秘密信息，应事先予以注明。</w:t>
      </w:r>
    </w:p>
    <w:p w14:paraId="5BA5B8EC">
      <w:pPr>
        <w:numPr>
          <w:ilvl w:val="0"/>
          <w:numId w:val="6"/>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上述秘密信息，投标人只能将该信息用于服务本项目，而且只能由相应的工程技术人员使用。</w:t>
      </w:r>
    </w:p>
    <w:p w14:paraId="7FB42992">
      <w:pPr>
        <w:numPr>
          <w:ilvl w:val="0"/>
          <w:numId w:val="6"/>
        </w:numPr>
        <w:adjustRightInd/>
        <w:snapToGrid w:val="0"/>
        <w:spacing w:after="0" w:line="360" w:lineRule="auto"/>
        <w:ind w:firstLine="480" w:firstLineChars="200"/>
        <w:contextualSpacing/>
        <w:rPr>
          <w:rFonts w:hint="eastAsia" w:ascii="宋体" w:hAnsi="宋体" w:cs="仿宋"/>
          <w:color w:val="auto"/>
          <w:sz w:val="24"/>
          <w:highlight w:val="none"/>
        </w:rPr>
      </w:pPr>
      <w:r>
        <w:rPr>
          <w:rFonts w:hint="eastAsia" w:ascii="宋体" w:hAnsi="宋体" w:cs="仿宋"/>
          <w:color w:val="auto"/>
          <w:sz w:val="24"/>
          <w:highlight w:val="none"/>
        </w:rPr>
        <w:t>投标人应遵循采购人各项安全保密制度和规章，所有信息数据在迁移、处理等过程中严禁私自复制、传输，完成建设任务后，档案信息数据必须物理清除。</w:t>
      </w:r>
    </w:p>
    <w:p w14:paraId="3DABBF33">
      <w:pPr>
        <w:numPr>
          <w:ilvl w:val="0"/>
          <w:numId w:val="6"/>
        </w:numPr>
        <w:adjustRightInd/>
        <w:snapToGrid w:val="0"/>
        <w:spacing w:after="0" w:line="360" w:lineRule="auto"/>
        <w:ind w:firstLine="480" w:firstLineChars="200"/>
        <w:contextualSpacing/>
        <w:rPr>
          <w:rFonts w:hint="eastAsia" w:ascii="宋体" w:hAnsi="宋体" w:cs="仿宋"/>
          <w:bCs/>
          <w:color w:val="auto"/>
          <w:sz w:val="24"/>
          <w:highlight w:val="none"/>
        </w:rPr>
      </w:pPr>
      <w:r>
        <w:rPr>
          <w:rFonts w:hint="eastAsia" w:ascii="宋体" w:hAnsi="宋体" w:cs="仿宋"/>
          <w:color w:val="auto"/>
          <w:sz w:val="24"/>
          <w:highlight w:val="none"/>
        </w:rPr>
        <w:t>在投标文件中应对该项内容提交书面承诺书，作为签订项目保密协议的依据，并作为合同密不可分的一部分。</w:t>
      </w:r>
    </w:p>
    <w:p w14:paraId="00D2D66E">
      <w:pPr>
        <w:adjustRightInd/>
        <w:spacing w:after="0" w:line="360" w:lineRule="auto"/>
        <w:ind w:firstLine="482" w:firstLineChars="200"/>
        <w:outlineLvl w:val="1"/>
        <w:rPr>
          <w:rFonts w:hint="eastAsia" w:ascii="宋体" w:hAnsi="宋体"/>
          <w:b/>
          <w:bCs/>
          <w:color w:val="auto"/>
          <w:sz w:val="24"/>
          <w:highlight w:val="none"/>
          <w:lang w:eastAsia="zh-Hans"/>
        </w:rPr>
      </w:pPr>
      <w:r>
        <w:rPr>
          <w:rFonts w:hint="eastAsia" w:ascii="宋体" w:hAnsi="宋体"/>
          <w:b/>
          <w:bCs/>
          <w:color w:val="auto"/>
          <w:sz w:val="24"/>
          <w:highlight w:val="none"/>
        </w:rPr>
        <w:t>八、</w:t>
      </w:r>
      <w:r>
        <w:rPr>
          <w:rFonts w:hint="eastAsia" w:ascii="宋体" w:hAnsi="宋体"/>
          <w:b/>
          <w:bCs/>
          <w:color w:val="auto"/>
          <w:sz w:val="24"/>
          <w:highlight w:val="none"/>
          <w:lang w:eastAsia="zh-Hans"/>
        </w:rPr>
        <w:t>售后服务与质量保证</w:t>
      </w:r>
    </w:p>
    <w:p w14:paraId="3378F7B4">
      <w:pPr>
        <w:tabs>
          <w:tab w:val="left" w:pos="840"/>
        </w:tabs>
        <w:adjustRightInd/>
        <w:spacing w:after="0" w:line="360" w:lineRule="auto"/>
        <w:ind w:right="-512" w:firstLine="480" w:firstLineChars="200"/>
        <w:rPr>
          <w:rFonts w:hint="eastAsia" w:ascii="宋体" w:hAnsi="宋体" w:cs="宋体"/>
          <w:color w:val="auto"/>
          <w:sz w:val="24"/>
          <w:highlight w:val="none"/>
        </w:rPr>
      </w:pPr>
      <w:r>
        <w:rPr>
          <w:rFonts w:hint="eastAsia" w:ascii="宋体" w:hAnsi="宋体" w:cs="宋体"/>
          <w:color w:val="auto"/>
          <w:sz w:val="24"/>
          <w:highlight w:val="none"/>
        </w:rPr>
        <w:t>1、质保期要求</w:t>
      </w:r>
    </w:p>
    <w:p w14:paraId="42C381A5">
      <w:pPr>
        <w:widowControl/>
        <w:adjustRightInd/>
        <w:spacing w:after="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验收后，中标人为本项目提供2年免费运维服务，投标人针对各类故障必须提供7*24小时立即响应服务，在出现系统问题的1小时内给予问题的反馈，如需现场解决，如需现场解决，在故障发生的2小时内，派技术人员到达现场；承诺尽力在最短时间内恢复系统正常运行，并分析故障原因，提出书面故障分析报告及防范措施，如果故障不能在24小时内排除，则应提供技术团队到达现场进行处理。投标人每月应对系统进行现场巡检，如巡检中发现软硬件问题，应及时诊断修复并提交故障报告及附解决措施。</w:t>
      </w:r>
    </w:p>
    <w:p w14:paraId="61516055">
      <w:pPr>
        <w:tabs>
          <w:tab w:val="left" w:pos="840"/>
        </w:tabs>
        <w:adjustRightInd/>
        <w:spacing w:after="0" w:line="360" w:lineRule="auto"/>
        <w:ind w:right="-512" w:firstLine="480" w:firstLineChars="200"/>
        <w:rPr>
          <w:rFonts w:hint="eastAsia" w:ascii="宋体" w:hAnsi="宋体" w:cs="宋体"/>
          <w:color w:val="auto"/>
          <w:sz w:val="24"/>
          <w:highlight w:val="none"/>
        </w:rPr>
      </w:pPr>
      <w:r>
        <w:rPr>
          <w:rFonts w:hint="eastAsia" w:ascii="宋体" w:hAnsi="宋体" w:cs="宋体"/>
          <w:color w:val="auto"/>
          <w:sz w:val="24"/>
          <w:highlight w:val="none"/>
        </w:rPr>
        <w:t>2、质量保证</w:t>
      </w:r>
    </w:p>
    <w:p w14:paraId="09E986AE">
      <w:pPr>
        <w:widowControl/>
        <w:adjustRightInd/>
        <w:spacing w:after="0" w:line="360" w:lineRule="auto"/>
        <w:ind w:firstLine="480" w:firstLineChars="200"/>
        <w:jc w:val="left"/>
        <w:rPr>
          <w:rFonts w:hint="eastAsia" w:ascii="宋体" w:hAnsi="宋体" w:cs="??"/>
          <w:color w:val="auto"/>
          <w:kern w:val="0"/>
          <w:sz w:val="24"/>
          <w:highlight w:val="none"/>
        </w:rPr>
      </w:pPr>
      <w:r>
        <w:rPr>
          <w:rFonts w:hint="eastAsia" w:ascii="宋体" w:hAnsi="宋体" w:cs="??"/>
          <w:color w:val="auto"/>
          <w:kern w:val="0"/>
          <w:sz w:val="24"/>
          <w:highlight w:val="none"/>
        </w:rPr>
        <w:t>1)投标人须保证所提供产品符合国家有关规定。投标人须保证所提供软硬件产品为全新设备且具有合法的版权或使用权，本项目采购的产品，如在本项目范围内使用过程中出现版权或使用权纠纷，应由投标人负责，采购人不承担责任。</w:t>
      </w:r>
    </w:p>
    <w:p w14:paraId="5EE086F8">
      <w:pPr>
        <w:widowControl/>
        <w:adjustRightInd/>
        <w:spacing w:after="0" w:line="360" w:lineRule="auto"/>
        <w:ind w:firstLine="480" w:firstLineChars="200"/>
        <w:jc w:val="left"/>
        <w:rPr>
          <w:rFonts w:hint="eastAsia" w:ascii="宋体" w:hAnsi="宋体" w:cs="??"/>
          <w:color w:val="auto"/>
          <w:kern w:val="0"/>
          <w:sz w:val="24"/>
          <w:highlight w:val="none"/>
        </w:rPr>
      </w:pPr>
      <w:r>
        <w:rPr>
          <w:rFonts w:hint="eastAsia" w:ascii="宋体" w:hAnsi="宋体" w:cs="??"/>
          <w:color w:val="auto"/>
          <w:kern w:val="0"/>
          <w:sz w:val="24"/>
          <w:highlight w:val="none"/>
        </w:rPr>
        <w:t>2)投标人必须保证解决项目所涉及的技术问题，如因技术原因无法满足采购人需求，由此产生的风险由投标人承担。</w:t>
      </w:r>
    </w:p>
    <w:p w14:paraId="66A6B60D">
      <w:pPr>
        <w:widowControl/>
        <w:adjustRightInd/>
        <w:spacing w:after="0" w:line="360" w:lineRule="auto"/>
        <w:ind w:firstLine="480" w:firstLineChars="200"/>
        <w:jc w:val="left"/>
        <w:rPr>
          <w:rFonts w:hint="eastAsia" w:ascii="宋体" w:hAnsi="宋体" w:cs="??"/>
          <w:color w:val="auto"/>
          <w:kern w:val="0"/>
          <w:sz w:val="24"/>
          <w:highlight w:val="none"/>
        </w:rPr>
      </w:pPr>
      <w:r>
        <w:rPr>
          <w:rFonts w:hint="eastAsia" w:ascii="宋体" w:hAnsi="宋体" w:cs="??"/>
          <w:color w:val="auto"/>
          <w:kern w:val="0"/>
          <w:sz w:val="24"/>
          <w:highlight w:val="none"/>
        </w:rPr>
        <w:t>3)投标人在质保期内，如遇软件产品升级、改版，应免费提供更新、升级服务。</w:t>
      </w:r>
    </w:p>
    <w:p w14:paraId="24A30863">
      <w:pPr>
        <w:widowControl/>
        <w:adjustRightInd/>
        <w:spacing w:after="0" w:line="360" w:lineRule="auto"/>
        <w:ind w:firstLine="480" w:firstLineChars="200"/>
        <w:jc w:val="left"/>
        <w:rPr>
          <w:rFonts w:hint="eastAsia" w:ascii="宋体" w:hAnsi="宋体" w:cs="??"/>
          <w:color w:val="auto"/>
          <w:kern w:val="0"/>
          <w:sz w:val="24"/>
          <w:highlight w:val="none"/>
        </w:rPr>
      </w:pPr>
      <w:r>
        <w:rPr>
          <w:rFonts w:hint="eastAsia" w:ascii="宋体" w:hAnsi="宋体" w:cs="??"/>
          <w:color w:val="auto"/>
          <w:kern w:val="0"/>
          <w:sz w:val="24"/>
          <w:highlight w:val="none"/>
        </w:rPr>
        <w:t>4)特别提示1：中标人有义务保证采购人系统的完整性，如项目实施过程中因缺少设备、配件或服务导致采购人系统无法正常运行，中标人须承诺免费提供。</w:t>
      </w:r>
    </w:p>
    <w:p w14:paraId="1D857484">
      <w:pPr>
        <w:widowControl/>
        <w:adjustRightInd/>
        <w:spacing w:after="0" w:line="360" w:lineRule="auto"/>
        <w:ind w:firstLine="480" w:firstLineChars="200"/>
        <w:jc w:val="left"/>
        <w:rPr>
          <w:rFonts w:hint="eastAsia" w:ascii="宋体" w:hAnsi="宋体" w:cs="??"/>
          <w:color w:val="auto"/>
          <w:kern w:val="0"/>
          <w:sz w:val="24"/>
          <w:highlight w:val="none"/>
        </w:rPr>
      </w:pPr>
      <w:r>
        <w:rPr>
          <w:rFonts w:hint="eastAsia" w:ascii="宋体" w:hAnsi="宋体" w:cs="??"/>
          <w:color w:val="auto"/>
          <w:kern w:val="0"/>
          <w:sz w:val="24"/>
          <w:highlight w:val="none"/>
        </w:rPr>
        <w:t>5)特别提示2：采购人需求在试运行期内，仍有可能不断完善，投标人须承诺在采购需求或政策法规范围内，随着采购人需求的变动随时作出响应。正式验收通过后，若有需求变动，在免费维护期内，投标人须承诺在采购需求和政策法规范围内，仍应免费按采购人需求对整个系统做出相应修改，以满足采购人的需求。版权归杭州市人民代表大会常务委员会办公厅所有。</w:t>
      </w:r>
    </w:p>
    <w:bookmarkEnd w:id="38"/>
    <w:p w14:paraId="23D3A86C">
      <w:pPr>
        <w:pStyle w:val="2"/>
        <w:rPr>
          <w:rFonts w:hint="eastAsia"/>
          <w:color w:val="auto"/>
          <w:highlight w:val="none"/>
        </w:rPr>
      </w:pPr>
      <w:r>
        <w:rPr>
          <w:rFonts w:hint="eastAsia"/>
          <w:color w:val="auto"/>
          <w:highlight w:val="none"/>
        </w:rPr>
        <w:t>九、</w:t>
      </w:r>
      <w:r>
        <w:rPr>
          <w:color w:val="auto"/>
          <w:highlight w:val="none"/>
        </w:rPr>
        <w:t>验收</w:t>
      </w:r>
    </w:p>
    <w:p w14:paraId="09F1011E">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1、验收组织和程序</w:t>
      </w:r>
    </w:p>
    <w:p w14:paraId="7DC4931E">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794CE114">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（2）验收方法：验收小组验收。</w:t>
      </w:r>
    </w:p>
    <w:p w14:paraId="1563ADC9">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2C0EB2B1">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（4）验收流程：</w:t>
      </w:r>
    </w:p>
    <w:p w14:paraId="4AE9EC65">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1）项目验收负责人根据验收方案组织验收小组现场验收，并准备验收材料并通知各验收参与方在指定时间指定地点联合验收，包括采购人、供应商、验收小组、其他验收参与方等。</w:t>
      </w:r>
    </w:p>
    <w:p w14:paraId="0B1EAC19">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32BCE08C">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12FF2DCF">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628D1498">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5）验收不合格的，采购人应责令供应商采取补救措施，向供应商发出整改通知书，并依法及时处理。整改结束后，由供应商通知采购人或其委托的验收组织机构重新验收。</w:t>
      </w:r>
    </w:p>
    <w:p w14:paraId="595C0679">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2、履约验收内容</w:t>
      </w:r>
    </w:p>
    <w:p w14:paraId="3A714871">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（1）技术履约内容</w:t>
      </w:r>
    </w:p>
    <w:p w14:paraId="26F4F3E4">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1）满足所有采购需求及响应文件承诺。</w:t>
      </w:r>
    </w:p>
    <w:p w14:paraId="1E3D2754">
      <w:pPr>
        <w:adjustRightInd/>
        <w:snapToGrid w:val="0"/>
        <w:spacing w:after="0" w:line="360" w:lineRule="auto"/>
        <w:ind w:left="480"/>
        <w:contextualSpacing/>
        <w:rPr>
          <w:rFonts w:hint="eastAsia" w:ascii="宋体" w:hAnsi="宋体" w:cs="仿宋"/>
          <w:color w:val="auto"/>
          <w:sz w:val="24"/>
          <w:highlight w:val="none"/>
        </w:rPr>
      </w:pPr>
      <w:r>
        <w:rPr>
          <w:rFonts w:hint="eastAsia" w:ascii="宋体" w:hAnsi="宋体" w:cs="Helvetica"/>
          <w:color w:val="auto"/>
          <w:kern w:val="0"/>
          <w:sz w:val="24"/>
          <w:highlight w:val="none"/>
        </w:rPr>
        <w:t>2）</w:t>
      </w:r>
      <w:r>
        <w:rPr>
          <w:rFonts w:hint="eastAsia" w:ascii="宋体" w:hAnsi="宋体" w:cs="仿宋"/>
          <w:color w:val="auto"/>
          <w:sz w:val="24"/>
          <w:highlight w:val="none"/>
        </w:rPr>
        <w:t>在最终验收之前，应用系统要求通过测评；</w:t>
      </w:r>
    </w:p>
    <w:p w14:paraId="2B1A8F85">
      <w:pPr>
        <w:adjustRightInd/>
        <w:snapToGrid w:val="0"/>
        <w:spacing w:after="0" w:line="360" w:lineRule="auto"/>
        <w:contextualSpacing/>
        <w:rPr>
          <w:rFonts w:hint="eastAsia" w:ascii="宋体" w:hAnsi="宋体" w:cs="仿宋"/>
          <w:color w:val="auto"/>
          <w:sz w:val="24"/>
          <w:highlight w:val="none"/>
        </w:rPr>
      </w:pPr>
      <w:r>
        <w:rPr>
          <w:rFonts w:hint="eastAsia" w:ascii="宋体" w:hAnsi="宋体" w:cs="仿宋"/>
          <w:color w:val="auto"/>
          <w:sz w:val="24"/>
          <w:highlight w:val="none"/>
        </w:rPr>
        <w:t>3）项目最终验收时，中标人将所有项目文档完整移交采购人。</w:t>
      </w:r>
    </w:p>
    <w:p w14:paraId="3500982A">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（2）商务履约内容</w:t>
      </w:r>
    </w:p>
    <w:p w14:paraId="72DA5B98">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1）服务周期满足采购要求。</w:t>
      </w:r>
    </w:p>
    <w:p w14:paraId="3DF8DC57">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（3）验收标准</w:t>
      </w:r>
    </w:p>
    <w:p w14:paraId="0F29D4D8">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1）供应商完成采购文件要求的全部服务，内容、数量达到采购文件要求。</w:t>
      </w:r>
    </w:p>
    <w:p w14:paraId="52D710C6">
      <w:pPr>
        <w:adjustRightInd/>
        <w:snapToGrid w:val="0"/>
        <w:spacing w:after="0" w:line="360" w:lineRule="auto"/>
        <w:ind w:left="480"/>
        <w:contextualSpacing/>
        <w:rPr>
          <w:rFonts w:hint="eastAsia" w:ascii="宋体" w:hAnsi="宋体" w:cs="仿宋"/>
          <w:color w:val="auto"/>
          <w:sz w:val="24"/>
          <w:highlight w:val="none"/>
        </w:rPr>
      </w:pPr>
      <w:r>
        <w:rPr>
          <w:rFonts w:hint="eastAsia" w:ascii="宋体" w:hAnsi="宋体" w:cs="Helvetica"/>
          <w:color w:val="auto"/>
          <w:kern w:val="0"/>
          <w:sz w:val="24"/>
          <w:highlight w:val="none"/>
        </w:rPr>
        <w:t>2）</w:t>
      </w:r>
      <w:r>
        <w:rPr>
          <w:rFonts w:hint="eastAsia" w:ascii="宋体" w:hAnsi="宋体" w:cs="仿宋"/>
          <w:color w:val="auto"/>
          <w:sz w:val="24"/>
          <w:highlight w:val="none"/>
        </w:rPr>
        <w:t>在最终验收之前，应用系统要求通过测评；</w:t>
      </w:r>
    </w:p>
    <w:p w14:paraId="1FAB5F83">
      <w:pPr>
        <w:adjustRightInd/>
        <w:snapToGrid w:val="0"/>
        <w:spacing w:after="0" w:line="360" w:lineRule="auto"/>
        <w:contextualSpacing/>
        <w:rPr>
          <w:rFonts w:hint="eastAsia" w:ascii="宋体" w:hAnsi="宋体" w:cs="仿宋"/>
          <w:color w:val="auto"/>
          <w:sz w:val="24"/>
          <w:highlight w:val="none"/>
        </w:rPr>
      </w:pPr>
      <w:r>
        <w:rPr>
          <w:rFonts w:hint="eastAsia" w:ascii="宋体" w:hAnsi="宋体" w:cs="仿宋"/>
          <w:color w:val="auto"/>
          <w:sz w:val="24"/>
          <w:highlight w:val="none"/>
        </w:rPr>
        <w:t>3）项目最终验收时，中标人将所有项目文档完整移交采购人。</w:t>
      </w:r>
    </w:p>
    <w:p w14:paraId="0C7BE76E">
      <w:pPr>
        <w:pStyle w:val="968"/>
        <w:ind w:left="120" w:firstLine="480"/>
        <w:rPr>
          <w:rFonts w:hint="eastAsia" w:ascii="宋体" w:hAnsi="宋体" w:cs="仿宋"/>
          <w:color w:val="auto"/>
          <w:highlight w:val="none"/>
        </w:rPr>
      </w:pPr>
      <w:r>
        <w:rPr>
          <w:rFonts w:hint="eastAsia" w:ascii="宋体" w:hAnsi="宋体" w:cs="仿宋"/>
          <w:color w:val="auto"/>
          <w:highlight w:val="none"/>
        </w:rPr>
        <w:t>4</w:t>
      </w:r>
      <w:r>
        <w:rPr>
          <w:rFonts w:ascii="宋体" w:hAnsi="宋体" w:cs="仿宋"/>
          <w:color w:val="auto"/>
          <w:highlight w:val="none"/>
        </w:rPr>
        <w:t>、履约验收其他事项</w:t>
      </w:r>
    </w:p>
    <w:p w14:paraId="086A1B57">
      <w:pPr>
        <w:pStyle w:val="968"/>
        <w:ind w:left="120" w:firstLine="480"/>
        <w:rPr>
          <w:rFonts w:hint="eastAsia" w:ascii="宋体" w:hAnsi="宋体" w:cs="仿宋"/>
          <w:color w:val="auto"/>
          <w:highlight w:val="none"/>
        </w:rPr>
      </w:pPr>
      <w:r>
        <w:rPr>
          <w:rFonts w:ascii="宋体" w:hAnsi="宋体" w:cs="仿宋"/>
          <w:color w:val="auto"/>
          <w:highlight w:val="none"/>
        </w:rPr>
        <w:t>（1）供应商提供相关服务过程中有违反合同约定、不达约定标准情况的，采购人有权要求供应商限期整改，供应商未按采购人要求整改的，采购人有权拒绝验收，供应商应承担相应的违约责任。</w:t>
      </w:r>
    </w:p>
    <w:p w14:paraId="69A78ACE">
      <w:pPr>
        <w:pStyle w:val="968"/>
        <w:ind w:left="120" w:firstLine="480"/>
        <w:rPr>
          <w:rFonts w:hint="eastAsia" w:ascii="宋体" w:hAnsi="宋体" w:cs="仿宋"/>
          <w:color w:val="auto"/>
          <w:highlight w:val="none"/>
        </w:rPr>
      </w:pPr>
      <w:r>
        <w:rPr>
          <w:rFonts w:ascii="宋体" w:hAnsi="宋体" w:cs="仿宋"/>
          <w:color w:val="auto"/>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5B84F57F">
      <w:pPr>
        <w:tabs>
          <w:tab w:val="left" w:pos="525"/>
        </w:tabs>
        <w:spacing w:line="360" w:lineRule="auto"/>
        <w:ind w:left="120" w:firstLine="241" w:firstLineChars="100"/>
        <w:outlineLvl w:val="1"/>
        <w:rPr>
          <w:rFonts w:hint="eastAsia" w:ascii="宋体" w:hAnsi="宋体" w:cs="宋体"/>
          <w:b/>
          <w:color w:val="auto"/>
          <w:sz w:val="24"/>
          <w:highlight w:val="none"/>
        </w:rPr>
      </w:pPr>
      <w:r>
        <w:rPr>
          <w:rFonts w:hint="eastAsia" w:ascii="宋体" w:hAnsi="宋体" w:cs="宋体"/>
          <w:b/>
          <w:color w:val="auto"/>
          <w:sz w:val="24"/>
          <w:highlight w:val="none"/>
        </w:rPr>
        <w:t>十、服务标准</w:t>
      </w:r>
    </w:p>
    <w:p w14:paraId="16CB0239">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1．本次采购的服务所涉及的标准、规范、验收标准、规范，应符合国家有关条例及规范。如有新的标准应采纳新标准；若同时有几个标准（国际标准、国家标准、行业标准、企业标准等），则按最高层次的标准执行。</w:t>
      </w:r>
    </w:p>
    <w:p w14:paraId="05210C91">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2．中国国家标准及其它被普遍认可的标准，由采购人认可的其他国家的其他权威标准；原有规范若已被废弃，则以相应的新规范为准。</w:t>
      </w:r>
    </w:p>
    <w:p w14:paraId="5FEBD191">
      <w:pPr>
        <w:tabs>
          <w:tab w:val="left" w:pos="0"/>
        </w:tabs>
        <w:spacing w:line="360" w:lineRule="auto"/>
        <w:ind w:firstLine="480"/>
        <w:rPr>
          <w:rFonts w:hint="eastAsia" w:ascii="宋体" w:hAnsi="宋体" w:cs="Helvetica"/>
          <w:color w:val="auto"/>
          <w:kern w:val="0"/>
          <w:sz w:val="24"/>
          <w:highlight w:val="none"/>
        </w:rPr>
      </w:pPr>
      <w:r>
        <w:rPr>
          <w:rFonts w:hint="eastAsia" w:ascii="宋体" w:hAnsi="宋体" w:cs="Helvetica"/>
          <w:color w:val="auto"/>
          <w:kern w:val="0"/>
          <w:sz w:val="24"/>
          <w:highlight w:val="none"/>
        </w:rPr>
        <w:t>3．供应商提供的服务必须满足招标文件中提出的相关要求。</w:t>
      </w:r>
    </w:p>
    <w:p w14:paraId="74D39F09">
      <w:pPr>
        <w:adjustRightInd/>
        <w:spacing w:after="0" w:line="360" w:lineRule="auto"/>
        <w:outlineLvl w:val="0"/>
        <w:rPr>
          <w:rFonts w:hint="eastAsia" w:ascii="宋体" w:hAnsi="宋体" w:cs="Helvetica"/>
          <w:color w:val="auto"/>
          <w:sz w:val="24"/>
          <w:highlight w:val="none"/>
        </w:rPr>
      </w:pPr>
      <w:r>
        <w:rPr>
          <w:rFonts w:hint="eastAsia" w:ascii="宋体" w:hAnsi="宋体" w:cs="宋体"/>
          <w:b/>
          <w:color w:val="auto"/>
          <w:sz w:val="24"/>
          <w:highlight w:val="none"/>
        </w:rPr>
        <w:br w:type="page"/>
      </w:r>
    </w:p>
    <w:p w14:paraId="758903AB">
      <w:pPr>
        <w:spacing w:line="360" w:lineRule="auto"/>
        <w:ind w:left="120" w:firstLine="22"/>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9" w:name="_Toc184308058"/>
      <w:bookmarkEnd w:id="39"/>
      <w:bookmarkStart w:id="40" w:name="_Toc184313239"/>
      <w:bookmarkEnd w:id="40"/>
      <w:bookmarkStart w:id="41" w:name="_Toc184313303"/>
      <w:bookmarkEnd w:id="41"/>
      <w:bookmarkStart w:id="42" w:name="_Toc184312088"/>
      <w:bookmarkEnd w:id="42"/>
      <w:bookmarkStart w:id="43" w:name="_Toc184308077"/>
      <w:bookmarkEnd w:id="43"/>
      <w:bookmarkStart w:id="44" w:name="_Toc184314468"/>
      <w:bookmarkEnd w:id="44"/>
      <w:bookmarkStart w:id="45" w:name="_Toc184308059"/>
      <w:bookmarkEnd w:id="45"/>
      <w:bookmarkStart w:id="46" w:name="_Toc184313272"/>
      <w:bookmarkEnd w:id="46"/>
      <w:bookmarkStart w:id="47" w:name="_Toc184313242"/>
      <w:bookmarkEnd w:id="47"/>
      <w:bookmarkStart w:id="48" w:name="_Toc184312077"/>
      <w:bookmarkEnd w:id="48"/>
      <w:bookmarkStart w:id="49" w:name="_Toc184308108"/>
      <w:bookmarkEnd w:id="49"/>
      <w:bookmarkStart w:id="50" w:name="_Toc184308091"/>
      <w:bookmarkEnd w:id="50"/>
      <w:bookmarkStart w:id="51" w:name="_Toc184310300"/>
      <w:bookmarkEnd w:id="51"/>
      <w:bookmarkStart w:id="52" w:name="_Toc184312071"/>
      <w:bookmarkEnd w:id="52"/>
      <w:bookmarkStart w:id="53" w:name="_Toc184313259"/>
      <w:bookmarkEnd w:id="53"/>
      <w:bookmarkStart w:id="54" w:name="_Toc184313296"/>
      <w:bookmarkEnd w:id="54"/>
      <w:bookmarkStart w:id="55" w:name="_Toc184312069"/>
      <w:bookmarkEnd w:id="55"/>
      <w:bookmarkStart w:id="56" w:name="_Toc184313267"/>
      <w:bookmarkEnd w:id="56"/>
      <w:bookmarkStart w:id="57" w:name="_Toc184312107"/>
      <w:bookmarkEnd w:id="57"/>
      <w:bookmarkStart w:id="58" w:name="_Toc184312084"/>
      <w:bookmarkEnd w:id="58"/>
      <w:bookmarkStart w:id="59" w:name="_Toc184310276"/>
      <w:bookmarkEnd w:id="59"/>
      <w:bookmarkStart w:id="60" w:name="_Toc184308073"/>
      <w:bookmarkEnd w:id="60"/>
      <w:bookmarkStart w:id="61" w:name="_Toc184308105"/>
      <w:bookmarkEnd w:id="61"/>
      <w:bookmarkStart w:id="62" w:name="_Toc184314429"/>
      <w:bookmarkEnd w:id="62"/>
      <w:bookmarkStart w:id="63" w:name="_Toc184312075"/>
      <w:bookmarkEnd w:id="63"/>
      <w:bookmarkStart w:id="64" w:name="_Toc184313282"/>
      <w:bookmarkEnd w:id="64"/>
      <w:bookmarkStart w:id="65" w:name="_Toc184312123"/>
      <w:bookmarkEnd w:id="65"/>
      <w:bookmarkStart w:id="66" w:name="_Toc184314419"/>
      <w:bookmarkEnd w:id="66"/>
      <w:bookmarkStart w:id="67" w:name="_Toc184310273"/>
      <w:bookmarkEnd w:id="67"/>
      <w:bookmarkStart w:id="68" w:name="_Toc184310288"/>
      <w:bookmarkEnd w:id="68"/>
      <w:bookmarkStart w:id="69" w:name="_Toc184310303"/>
      <w:bookmarkEnd w:id="69"/>
      <w:bookmarkStart w:id="70" w:name="_Toc184313262"/>
      <w:bookmarkEnd w:id="70"/>
      <w:bookmarkStart w:id="71" w:name="_Toc184313300"/>
      <w:bookmarkEnd w:id="71"/>
      <w:bookmarkStart w:id="72" w:name="_Toc184308065"/>
      <w:bookmarkEnd w:id="72"/>
      <w:bookmarkStart w:id="73" w:name="_Toc184310281"/>
      <w:bookmarkEnd w:id="73"/>
      <w:bookmarkStart w:id="74" w:name="_Toc184312097"/>
      <w:bookmarkEnd w:id="74"/>
      <w:bookmarkStart w:id="75" w:name="_Toc184314445"/>
      <w:bookmarkEnd w:id="75"/>
      <w:bookmarkStart w:id="76" w:name="_Toc184314453"/>
      <w:bookmarkEnd w:id="76"/>
      <w:bookmarkStart w:id="77" w:name="_Toc184314423"/>
      <w:bookmarkEnd w:id="77"/>
      <w:bookmarkStart w:id="78" w:name="_Toc184308087"/>
      <w:bookmarkEnd w:id="78"/>
      <w:bookmarkStart w:id="79" w:name="_Toc184314452"/>
      <w:bookmarkEnd w:id="79"/>
      <w:bookmarkStart w:id="80" w:name="_Toc184313301"/>
      <w:bookmarkEnd w:id="80"/>
      <w:bookmarkStart w:id="81" w:name="_Toc184313255"/>
      <w:bookmarkEnd w:id="81"/>
      <w:bookmarkStart w:id="82" w:name="_Toc184312136"/>
      <w:bookmarkEnd w:id="82"/>
      <w:bookmarkStart w:id="83" w:name="_Toc184314435"/>
      <w:bookmarkEnd w:id="83"/>
      <w:bookmarkStart w:id="84" w:name="_Toc184310325"/>
      <w:bookmarkEnd w:id="84"/>
      <w:bookmarkStart w:id="85" w:name="_Toc184314479"/>
      <w:bookmarkEnd w:id="85"/>
      <w:bookmarkStart w:id="86" w:name="_Toc184313256"/>
      <w:bookmarkEnd w:id="86"/>
      <w:bookmarkStart w:id="87" w:name="_Toc184314472"/>
      <w:bookmarkEnd w:id="87"/>
      <w:bookmarkStart w:id="88" w:name="_Toc184313245"/>
      <w:bookmarkEnd w:id="88"/>
      <w:bookmarkStart w:id="89" w:name="_Toc184314425"/>
      <w:bookmarkEnd w:id="89"/>
      <w:bookmarkStart w:id="90" w:name="_Toc184312089"/>
      <w:bookmarkEnd w:id="90"/>
      <w:bookmarkStart w:id="91" w:name="_Toc184312083"/>
      <w:bookmarkEnd w:id="91"/>
      <w:bookmarkStart w:id="92" w:name="_Toc184313291"/>
      <w:bookmarkEnd w:id="92"/>
      <w:bookmarkStart w:id="93" w:name="_Toc184312079"/>
      <w:bookmarkEnd w:id="93"/>
      <w:bookmarkStart w:id="94" w:name="_Toc184308082"/>
      <w:bookmarkEnd w:id="94"/>
      <w:bookmarkStart w:id="95" w:name="_Toc184312121"/>
      <w:bookmarkEnd w:id="95"/>
      <w:bookmarkStart w:id="96" w:name="_Toc184313292"/>
      <w:bookmarkEnd w:id="96"/>
      <w:bookmarkStart w:id="97" w:name="_Toc184310321"/>
      <w:bookmarkEnd w:id="97"/>
      <w:bookmarkStart w:id="98" w:name="_Toc184312068"/>
      <w:bookmarkEnd w:id="98"/>
      <w:bookmarkStart w:id="99" w:name="_Toc184310320"/>
      <w:bookmarkEnd w:id="99"/>
      <w:bookmarkStart w:id="100" w:name="_Toc184313263"/>
      <w:bookmarkEnd w:id="100"/>
      <w:bookmarkStart w:id="101" w:name="_Toc184314451"/>
      <w:bookmarkEnd w:id="101"/>
      <w:bookmarkStart w:id="102" w:name="_Toc184308040"/>
      <w:bookmarkEnd w:id="102"/>
      <w:bookmarkStart w:id="103" w:name="_Toc184310278"/>
      <w:bookmarkEnd w:id="103"/>
      <w:bookmarkStart w:id="104" w:name="_Toc184314454"/>
      <w:bookmarkEnd w:id="104"/>
      <w:bookmarkStart w:id="105" w:name="_Toc184313266"/>
      <w:bookmarkEnd w:id="105"/>
      <w:bookmarkStart w:id="106" w:name="_Toc184314473"/>
      <w:bookmarkEnd w:id="106"/>
      <w:bookmarkStart w:id="107" w:name="_Toc184313243"/>
      <w:bookmarkEnd w:id="107"/>
      <w:bookmarkStart w:id="108" w:name="_Toc184308038"/>
      <w:bookmarkEnd w:id="108"/>
      <w:bookmarkStart w:id="109" w:name="_Toc184308104"/>
      <w:bookmarkEnd w:id="109"/>
      <w:bookmarkStart w:id="110" w:name="_Toc184310302"/>
      <w:bookmarkEnd w:id="110"/>
      <w:bookmarkStart w:id="111" w:name="_Toc184310315"/>
      <w:bookmarkEnd w:id="111"/>
      <w:bookmarkStart w:id="112" w:name="_Toc184308092"/>
      <w:bookmarkEnd w:id="112"/>
      <w:bookmarkStart w:id="113" w:name="_Toc184314412"/>
      <w:bookmarkEnd w:id="113"/>
      <w:bookmarkStart w:id="114" w:name="_Toc184313279"/>
      <w:bookmarkEnd w:id="114"/>
      <w:bookmarkStart w:id="115" w:name="_Toc184313276"/>
      <w:bookmarkEnd w:id="115"/>
      <w:bookmarkStart w:id="116" w:name="_Toc184310337"/>
      <w:bookmarkEnd w:id="116"/>
      <w:bookmarkStart w:id="117" w:name="_Toc184314480"/>
      <w:bookmarkEnd w:id="117"/>
      <w:bookmarkStart w:id="118" w:name="_Toc184310305"/>
      <w:bookmarkEnd w:id="118"/>
      <w:bookmarkStart w:id="119" w:name="_Toc184310309"/>
      <w:bookmarkEnd w:id="119"/>
      <w:bookmarkStart w:id="120" w:name="_Toc184308037"/>
      <w:bookmarkEnd w:id="120"/>
      <w:bookmarkStart w:id="121" w:name="_Toc184310335"/>
      <w:bookmarkEnd w:id="121"/>
      <w:bookmarkStart w:id="122" w:name="_Toc184314426"/>
      <w:bookmarkEnd w:id="122"/>
      <w:bookmarkStart w:id="123" w:name="_Toc184314447"/>
      <w:bookmarkEnd w:id="123"/>
      <w:bookmarkStart w:id="124" w:name="_Toc184310275"/>
      <w:bookmarkEnd w:id="124"/>
      <w:bookmarkStart w:id="125" w:name="_Toc184310343"/>
      <w:bookmarkEnd w:id="125"/>
      <w:bookmarkStart w:id="126" w:name="_Toc184310339"/>
      <w:bookmarkEnd w:id="126"/>
      <w:bookmarkStart w:id="127" w:name="_Toc184310284"/>
      <w:bookmarkEnd w:id="127"/>
      <w:bookmarkStart w:id="128" w:name="_Toc184312101"/>
      <w:bookmarkEnd w:id="128"/>
      <w:bookmarkStart w:id="129" w:name="_Toc184314411"/>
      <w:bookmarkEnd w:id="129"/>
      <w:bookmarkStart w:id="130" w:name="_Toc184314476"/>
      <w:bookmarkEnd w:id="130"/>
      <w:bookmarkStart w:id="131" w:name="_Toc184310283"/>
      <w:bookmarkEnd w:id="131"/>
      <w:bookmarkStart w:id="132" w:name="_Toc184313244"/>
      <w:bookmarkEnd w:id="132"/>
      <w:bookmarkStart w:id="133" w:name="_Toc184310318"/>
      <w:bookmarkEnd w:id="133"/>
      <w:bookmarkStart w:id="134" w:name="_Toc184312131"/>
      <w:bookmarkEnd w:id="134"/>
      <w:bookmarkStart w:id="135" w:name="_Toc184314437"/>
      <w:bookmarkEnd w:id="135"/>
      <w:bookmarkStart w:id="136" w:name="_Toc184314477"/>
      <w:bookmarkEnd w:id="136"/>
      <w:bookmarkStart w:id="137" w:name="_Toc184312102"/>
      <w:bookmarkEnd w:id="137"/>
      <w:bookmarkStart w:id="138" w:name="_Toc184313269"/>
      <w:bookmarkEnd w:id="138"/>
      <w:bookmarkStart w:id="139" w:name="_Toc184310326"/>
      <w:bookmarkEnd w:id="139"/>
      <w:bookmarkStart w:id="140" w:name="_Toc184308094"/>
      <w:bookmarkEnd w:id="140"/>
      <w:bookmarkStart w:id="141" w:name="_Toc184310286"/>
      <w:bookmarkEnd w:id="141"/>
      <w:bookmarkStart w:id="142" w:name="_Toc184308106"/>
      <w:bookmarkEnd w:id="142"/>
      <w:bookmarkStart w:id="143" w:name="_Toc184312130"/>
      <w:bookmarkEnd w:id="143"/>
      <w:bookmarkStart w:id="144" w:name="_Toc184308043"/>
      <w:bookmarkEnd w:id="144"/>
      <w:bookmarkStart w:id="145" w:name="_Toc184313310"/>
      <w:bookmarkEnd w:id="145"/>
      <w:bookmarkStart w:id="146" w:name="_Toc184310342"/>
      <w:bookmarkEnd w:id="146"/>
      <w:bookmarkStart w:id="147" w:name="_Toc184310304"/>
      <w:bookmarkEnd w:id="147"/>
      <w:bookmarkStart w:id="148" w:name="_Toc184312072"/>
      <w:bookmarkEnd w:id="148"/>
      <w:bookmarkStart w:id="149" w:name="_Toc184313249"/>
      <w:bookmarkEnd w:id="149"/>
      <w:bookmarkStart w:id="150" w:name="_Toc184313251"/>
      <w:bookmarkEnd w:id="150"/>
      <w:bookmarkStart w:id="151" w:name="_Toc184314455"/>
      <w:bookmarkEnd w:id="151"/>
      <w:bookmarkStart w:id="152" w:name="_Toc184313271"/>
      <w:bookmarkEnd w:id="152"/>
      <w:bookmarkStart w:id="153" w:name="_Toc184308101"/>
      <w:bookmarkEnd w:id="153"/>
      <w:bookmarkStart w:id="154" w:name="_Toc184314456"/>
      <w:bookmarkEnd w:id="154"/>
      <w:bookmarkStart w:id="155" w:name="_Toc184308103"/>
      <w:bookmarkEnd w:id="155"/>
      <w:bookmarkStart w:id="156" w:name="_Toc184313246"/>
      <w:bookmarkEnd w:id="156"/>
      <w:bookmarkStart w:id="157" w:name="_Toc184312112"/>
      <w:bookmarkEnd w:id="157"/>
      <w:bookmarkStart w:id="158" w:name="_Toc184312096"/>
      <w:bookmarkEnd w:id="158"/>
      <w:bookmarkStart w:id="159" w:name="_Toc184310341"/>
      <w:bookmarkEnd w:id="159"/>
      <w:bookmarkStart w:id="160" w:name="_Toc184308068"/>
      <w:bookmarkEnd w:id="160"/>
      <w:bookmarkStart w:id="161" w:name="_Toc184314436"/>
      <w:bookmarkEnd w:id="161"/>
      <w:bookmarkStart w:id="162" w:name="_Toc184308095"/>
      <w:bookmarkEnd w:id="162"/>
      <w:bookmarkStart w:id="163" w:name="_Toc184312126"/>
      <w:bookmarkEnd w:id="163"/>
      <w:bookmarkStart w:id="164" w:name="_Toc184312108"/>
      <w:bookmarkEnd w:id="164"/>
      <w:bookmarkStart w:id="165" w:name="_Toc184313274"/>
      <w:bookmarkEnd w:id="165"/>
      <w:bookmarkStart w:id="166" w:name="_Toc184314449"/>
      <w:bookmarkEnd w:id="166"/>
      <w:bookmarkStart w:id="167" w:name="_Toc184308102"/>
      <w:bookmarkEnd w:id="167"/>
      <w:bookmarkStart w:id="168" w:name="_Toc184312081"/>
      <w:bookmarkEnd w:id="168"/>
      <w:bookmarkStart w:id="169" w:name="_Toc184313278"/>
      <w:bookmarkEnd w:id="169"/>
      <w:bookmarkStart w:id="170" w:name="_Toc184314467"/>
      <w:bookmarkEnd w:id="170"/>
      <w:bookmarkStart w:id="171" w:name="_Toc184308055"/>
      <w:bookmarkEnd w:id="171"/>
      <w:bookmarkStart w:id="172" w:name="_Toc184308045"/>
      <w:bookmarkEnd w:id="172"/>
      <w:bookmarkStart w:id="173" w:name="_Toc184308052"/>
      <w:bookmarkEnd w:id="173"/>
      <w:bookmarkStart w:id="174" w:name="_Toc184308051"/>
      <w:bookmarkEnd w:id="174"/>
      <w:bookmarkStart w:id="175" w:name="_Toc184310292"/>
      <w:bookmarkEnd w:id="175"/>
      <w:bookmarkStart w:id="176" w:name="_Toc184313268"/>
      <w:bookmarkEnd w:id="176"/>
      <w:bookmarkStart w:id="177" w:name="_Toc184312087"/>
      <w:bookmarkEnd w:id="177"/>
      <w:bookmarkStart w:id="178" w:name="_Toc184313240"/>
      <w:bookmarkEnd w:id="178"/>
      <w:bookmarkStart w:id="179" w:name="_Toc184313297"/>
      <w:bookmarkEnd w:id="179"/>
      <w:bookmarkStart w:id="180" w:name="_Toc184308054"/>
      <w:bookmarkEnd w:id="180"/>
      <w:bookmarkStart w:id="181" w:name="_Toc184308069"/>
      <w:bookmarkEnd w:id="181"/>
      <w:bookmarkStart w:id="182" w:name="_Toc184310306"/>
      <w:bookmarkEnd w:id="182"/>
      <w:bookmarkStart w:id="183" w:name="_Toc184313304"/>
      <w:bookmarkEnd w:id="183"/>
      <w:bookmarkStart w:id="184" w:name="_Toc184312113"/>
      <w:bookmarkEnd w:id="184"/>
      <w:bookmarkStart w:id="185" w:name="_Toc184312128"/>
      <w:bookmarkEnd w:id="185"/>
      <w:bookmarkStart w:id="186" w:name="_Toc184312110"/>
      <w:bookmarkEnd w:id="186"/>
      <w:bookmarkStart w:id="187" w:name="_Toc184308064"/>
      <w:bookmarkEnd w:id="187"/>
      <w:bookmarkStart w:id="188" w:name="_Toc184313289"/>
      <w:bookmarkEnd w:id="188"/>
      <w:bookmarkStart w:id="189" w:name="_Toc184313265"/>
      <w:bookmarkEnd w:id="189"/>
      <w:bookmarkStart w:id="190" w:name="_Toc184308062"/>
      <w:bookmarkEnd w:id="190"/>
      <w:bookmarkStart w:id="191" w:name="_Toc184308099"/>
      <w:bookmarkEnd w:id="191"/>
      <w:bookmarkStart w:id="192" w:name="_Toc184308067"/>
      <w:bookmarkEnd w:id="192"/>
      <w:bookmarkStart w:id="193" w:name="_Toc184312132"/>
      <w:bookmarkEnd w:id="193"/>
      <w:bookmarkStart w:id="194" w:name="_Toc184308074"/>
      <w:bookmarkEnd w:id="194"/>
      <w:bookmarkStart w:id="195" w:name="_Toc184314481"/>
      <w:bookmarkEnd w:id="195"/>
      <w:bookmarkStart w:id="196" w:name="_Toc184314465"/>
      <w:bookmarkEnd w:id="196"/>
      <w:bookmarkStart w:id="197" w:name="_Toc184313293"/>
      <w:bookmarkEnd w:id="197"/>
      <w:bookmarkStart w:id="198" w:name="_Toc184314439"/>
      <w:bookmarkEnd w:id="198"/>
      <w:bookmarkStart w:id="199" w:name="_Toc184312125"/>
      <w:bookmarkEnd w:id="199"/>
      <w:bookmarkStart w:id="200" w:name="_Toc184314431"/>
      <w:bookmarkEnd w:id="200"/>
      <w:bookmarkStart w:id="201" w:name="_Toc184313308"/>
      <w:bookmarkEnd w:id="201"/>
      <w:bookmarkStart w:id="202" w:name="_Toc184313281"/>
      <w:bookmarkEnd w:id="202"/>
      <w:bookmarkStart w:id="203" w:name="_Toc184312135"/>
      <w:bookmarkEnd w:id="203"/>
      <w:bookmarkStart w:id="204" w:name="_Toc184308049"/>
      <w:bookmarkEnd w:id="204"/>
      <w:bookmarkStart w:id="205" w:name="_Toc184310287"/>
      <w:bookmarkEnd w:id="205"/>
      <w:bookmarkStart w:id="206" w:name="_Toc184312106"/>
      <w:bookmarkEnd w:id="206"/>
      <w:bookmarkStart w:id="207" w:name="_Toc184312099"/>
      <w:bookmarkEnd w:id="207"/>
      <w:bookmarkStart w:id="208" w:name="_Toc184312116"/>
      <w:bookmarkEnd w:id="208"/>
      <w:bookmarkStart w:id="209" w:name="_Toc184313302"/>
      <w:bookmarkEnd w:id="209"/>
      <w:bookmarkStart w:id="210" w:name="_Toc184310272"/>
      <w:bookmarkEnd w:id="210"/>
      <w:bookmarkStart w:id="211" w:name="_Toc184308075"/>
      <w:bookmarkEnd w:id="211"/>
      <w:bookmarkStart w:id="212" w:name="_Toc184310294"/>
      <w:bookmarkEnd w:id="212"/>
      <w:bookmarkStart w:id="213" w:name="_Toc184313309"/>
      <w:bookmarkEnd w:id="213"/>
      <w:bookmarkStart w:id="214" w:name="_Toc184313273"/>
      <w:bookmarkEnd w:id="214"/>
      <w:bookmarkStart w:id="215" w:name="_Toc184308079"/>
      <w:bookmarkEnd w:id="215"/>
      <w:bookmarkStart w:id="216" w:name="_Toc184314410"/>
      <w:bookmarkEnd w:id="216"/>
      <w:bookmarkStart w:id="217" w:name="_Toc184310297"/>
      <w:bookmarkEnd w:id="217"/>
      <w:bookmarkStart w:id="218" w:name="_Toc184314463"/>
      <w:bookmarkEnd w:id="218"/>
      <w:bookmarkStart w:id="219" w:name="_Toc184313287"/>
      <w:bookmarkEnd w:id="219"/>
      <w:bookmarkStart w:id="220" w:name="_Toc184308071"/>
      <w:bookmarkEnd w:id="220"/>
      <w:bookmarkStart w:id="221" w:name="_Toc184313238"/>
      <w:bookmarkEnd w:id="221"/>
      <w:bookmarkStart w:id="222" w:name="_Toc184310277"/>
      <w:bookmarkEnd w:id="222"/>
      <w:bookmarkStart w:id="223" w:name="_Toc184310310"/>
      <w:bookmarkEnd w:id="223"/>
      <w:bookmarkStart w:id="224" w:name="_Toc184314471"/>
      <w:bookmarkEnd w:id="224"/>
      <w:bookmarkStart w:id="225" w:name="_Toc184312067"/>
      <w:bookmarkEnd w:id="225"/>
      <w:bookmarkStart w:id="226" w:name="_Toc184313275"/>
      <w:bookmarkEnd w:id="226"/>
      <w:bookmarkStart w:id="227" w:name="_Toc184313283"/>
      <w:bookmarkEnd w:id="227"/>
      <w:bookmarkStart w:id="228" w:name="_Toc184314428"/>
      <w:bookmarkEnd w:id="228"/>
      <w:bookmarkStart w:id="229" w:name="_Toc184314461"/>
      <w:bookmarkEnd w:id="229"/>
      <w:bookmarkStart w:id="230" w:name="_Toc184312092"/>
      <w:bookmarkEnd w:id="230"/>
      <w:bookmarkStart w:id="231" w:name="_Toc184308083"/>
      <w:bookmarkEnd w:id="231"/>
      <w:bookmarkStart w:id="232" w:name="_Toc184312138"/>
      <w:bookmarkEnd w:id="232"/>
      <w:bookmarkStart w:id="233" w:name="_Toc184310290"/>
      <w:bookmarkEnd w:id="233"/>
      <w:bookmarkStart w:id="234" w:name="_Toc184313253"/>
      <w:bookmarkEnd w:id="234"/>
      <w:bookmarkStart w:id="235" w:name="_Toc184310319"/>
      <w:bookmarkEnd w:id="235"/>
      <w:bookmarkStart w:id="236" w:name="_Toc184312080"/>
      <w:bookmarkEnd w:id="236"/>
      <w:bookmarkStart w:id="237" w:name="_Toc184308046"/>
      <w:bookmarkEnd w:id="237"/>
      <w:bookmarkStart w:id="238" w:name="_Toc184308063"/>
      <w:bookmarkEnd w:id="238"/>
      <w:bookmarkStart w:id="239" w:name="_Toc184313270"/>
      <w:bookmarkEnd w:id="239"/>
      <w:bookmarkStart w:id="240" w:name="_Toc184312105"/>
      <w:bookmarkEnd w:id="240"/>
      <w:bookmarkStart w:id="241" w:name="_Toc184308093"/>
      <w:bookmarkEnd w:id="241"/>
      <w:bookmarkStart w:id="242" w:name="_Toc184308039"/>
      <w:bookmarkEnd w:id="242"/>
      <w:bookmarkStart w:id="243" w:name="_Toc184313290"/>
      <w:bookmarkEnd w:id="243"/>
      <w:bookmarkStart w:id="244" w:name="_Toc184308044"/>
      <w:bookmarkEnd w:id="244"/>
      <w:bookmarkStart w:id="245" w:name="_Toc184308056"/>
      <w:bookmarkEnd w:id="245"/>
      <w:bookmarkStart w:id="246" w:name="_Toc184308053"/>
      <w:bookmarkEnd w:id="246"/>
      <w:bookmarkStart w:id="247" w:name="_Toc184314482"/>
      <w:bookmarkEnd w:id="247"/>
      <w:bookmarkStart w:id="248" w:name="_Toc184314430"/>
      <w:bookmarkEnd w:id="248"/>
      <w:bookmarkStart w:id="249" w:name="_Toc184313305"/>
      <w:bookmarkEnd w:id="249"/>
      <w:bookmarkStart w:id="250" w:name="_Toc184308060"/>
      <w:bookmarkEnd w:id="250"/>
      <w:bookmarkStart w:id="251" w:name="_Toc184312114"/>
      <w:bookmarkEnd w:id="251"/>
      <w:bookmarkStart w:id="252" w:name="_Toc184310322"/>
      <w:bookmarkEnd w:id="252"/>
      <w:bookmarkStart w:id="253" w:name="_Toc184314441"/>
      <w:bookmarkEnd w:id="253"/>
      <w:bookmarkStart w:id="254" w:name="_Toc184313299"/>
      <w:bookmarkEnd w:id="254"/>
      <w:bookmarkStart w:id="255" w:name="_Toc184312137"/>
      <w:bookmarkEnd w:id="255"/>
      <w:bookmarkStart w:id="256" w:name="_Toc184314457"/>
      <w:bookmarkEnd w:id="256"/>
      <w:bookmarkStart w:id="257" w:name="_Toc184308086"/>
      <w:bookmarkEnd w:id="257"/>
      <w:bookmarkStart w:id="258" w:name="_Toc184310317"/>
      <w:bookmarkEnd w:id="258"/>
      <w:bookmarkStart w:id="259" w:name="_Toc184310312"/>
      <w:bookmarkEnd w:id="259"/>
      <w:bookmarkStart w:id="260" w:name="_Toc184312094"/>
      <w:bookmarkEnd w:id="260"/>
      <w:bookmarkStart w:id="261" w:name="_Toc184312070"/>
      <w:bookmarkEnd w:id="261"/>
      <w:bookmarkStart w:id="262" w:name="_Toc184310316"/>
      <w:bookmarkEnd w:id="262"/>
      <w:bookmarkStart w:id="263" w:name="_Toc184308078"/>
      <w:bookmarkEnd w:id="263"/>
      <w:bookmarkStart w:id="264" w:name="_Toc184308107"/>
      <w:bookmarkEnd w:id="264"/>
      <w:bookmarkStart w:id="265" w:name="_Toc184313295"/>
      <w:bookmarkEnd w:id="265"/>
      <w:bookmarkStart w:id="266" w:name="_Toc184313284"/>
      <w:bookmarkEnd w:id="266"/>
      <w:bookmarkStart w:id="267" w:name="_Toc184312115"/>
      <w:bookmarkEnd w:id="267"/>
      <w:bookmarkStart w:id="268" w:name="_Toc184313248"/>
      <w:bookmarkEnd w:id="268"/>
      <w:bookmarkStart w:id="269" w:name="_Toc184314416"/>
      <w:bookmarkEnd w:id="269"/>
      <w:bookmarkStart w:id="270" w:name="_Toc184314444"/>
      <w:bookmarkEnd w:id="270"/>
      <w:bookmarkStart w:id="271" w:name="_Toc184313307"/>
      <w:bookmarkEnd w:id="271"/>
      <w:bookmarkStart w:id="272" w:name="_Toc184310285"/>
      <w:bookmarkEnd w:id="272"/>
      <w:bookmarkStart w:id="273" w:name="_Toc184312076"/>
      <w:bookmarkEnd w:id="273"/>
      <w:bookmarkStart w:id="274" w:name="_Toc184314458"/>
      <w:bookmarkEnd w:id="274"/>
      <w:bookmarkStart w:id="275" w:name="_Toc184312139"/>
      <w:bookmarkEnd w:id="275"/>
      <w:bookmarkStart w:id="276" w:name="_Toc184314470"/>
      <w:bookmarkEnd w:id="276"/>
      <w:bookmarkStart w:id="277" w:name="_Toc184312093"/>
      <w:bookmarkEnd w:id="277"/>
      <w:bookmarkStart w:id="278" w:name="_Toc184314434"/>
      <w:bookmarkEnd w:id="278"/>
      <w:bookmarkStart w:id="279" w:name="_Toc184310301"/>
      <w:bookmarkEnd w:id="279"/>
      <w:bookmarkStart w:id="280" w:name="_Toc184312120"/>
      <w:bookmarkEnd w:id="280"/>
      <w:bookmarkStart w:id="281" w:name="_Toc184310340"/>
      <w:bookmarkEnd w:id="281"/>
      <w:bookmarkStart w:id="282" w:name="_Toc184308097"/>
      <w:bookmarkEnd w:id="282"/>
      <w:bookmarkStart w:id="283" w:name="_Toc184312098"/>
      <w:bookmarkEnd w:id="283"/>
      <w:bookmarkStart w:id="284" w:name="_Toc184308050"/>
      <w:bookmarkEnd w:id="284"/>
      <w:bookmarkStart w:id="285" w:name="_Toc184308098"/>
      <w:bookmarkEnd w:id="285"/>
      <w:bookmarkStart w:id="286" w:name="_Toc184308047"/>
      <w:bookmarkEnd w:id="286"/>
      <w:bookmarkStart w:id="287" w:name="_Toc184314448"/>
      <w:bookmarkEnd w:id="287"/>
      <w:bookmarkStart w:id="288" w:name="_Toc184314443"/>
      <w:bookmarkEnd w:id="288"/>
      <w:bookmarkStart w:id="289" w:name="_Toc184312122"/>
      <w:bookmarkEnd w:id="289"/>
      <w:bookmarkStart w:id="290" w:name="_Toc184308090"/>
      <w:bookmarkEnd w:id="290"/>
      <w:bookmarkStart w:id="291" w:name="_Toc184314442"/>
      <w:bookmarkEnd w:id="291"/>
      <w:bookmarkStart w:id="292" w:name="_Toc184313285"/>
      <w:bookmarkEnd w:id="292"/>
      <w:bookmarkStart w:id="293" w:name="_Toc184310280"/>
      <w:bookmarkEnd w:id="293"/>
      <w:bookmarkStart w:id="294" w:name="_Toc184313250"/>
      <w:bookmarkEnd w:id="294"/>
      <w:bookmarkStart w:id="295" w:name="_Toc184308084"/>
      <w:bookmarkEnd w:id="295"/>
      <w:bookmarkStart w:id="296" w:name="_Toc184308088"/>
      <w:bookmarkEnd w:id="296"/>
      <w:bookmarkStart w:id="297" w:name="_Toc184310282"/>
      <w:bookmarkEnd w:id="297"/>
      <w:bookmarkStart w:id="298" w:name="_Toc184314432"/>
      <w:bookmarkEnd w:id="298"/>
      <w:bookmarkStart w:id="299" w:name="_Toc184310295"/>
      <w:bookmarkEnd w:id="299"/>
      <w:bookmarkStart w:id="300" w:name="_Toc184314469"/>
      <w:bookmarkEnd w:id="300"/>
      <w:bookmarkStart w:id="301" w:name="_Toc184313277"/>
      <w:bookmarkEnd w:id="301"/>
      <w:bookmarkStart w:id="302" w:name="_Toc184312078"/>
      <w:bookmarkEnd w:id="302"/>
      <w:bookmarkStart w:id="303" w:name="_Toc184314474"/>
      <w:bookmarkEnd w:id="303"/>
      <w:bookmarkStart w:id="304" w:name="_Toc184310307"/>
      <w:bookmarkEnd w:id="304"/>
      <w:bookmarkStart w:id="305" w:name="_Toc184313280"/>
      <w:bookmarkEnd w:id="305"/>
      <w:bookmarkStart w:id="306" w:name="_Toc184314446"/>
      <w:bookmarkEnd w:id="306"/>
      <w:bookmarkStart w:id="307" w:name="_Toc184312082"/>
      <w:bookmarkEnd w:id="307"/>
      <w:bookmarkStart w:id="308" w:name="_Toc184310327"/>
      <w:bookmarkEnd w:id="308"/>
      <w:bookmarkStart w:id="309" w:name="_Toc184310332"/>
      <w:bookmarkEnd w:id="309"/>
      <w:bookmarkStart w:id="310" w:name="_Toc184314427"/>
      <w:bookmarkEnd w:id="310"/>
      <w:bookmarkStart w:id="311" w:name="_Toc184313298"/>
      <w:bookmarkEnd w:id="311"/>
      <w:bookmarkStart w:id="312" w:name="_Toc184310279"/>
      <w:bookmarkEnd w:id="312"/>
      <w:bookmarkStart w:id="313" w:name="_Toc184312091"/>
      <w:bookmarkEnd w:id="313"/>
      <w:bookmarkStart w:id="314" w:name="_Toc184314418"/>
      <w:bookmarkEnd w:id="314"/>
      <w:bookmarkStart w:id="315" w:name="_Toc184312100"/>
      <w:bookmarkEnd w:id="315"/>
      <w:bookmarkStart w:id="316" w:name="_Toc184310313"/>
      <w:bookmarkEnd w:id="316"/>
      <w:bookmarkStart w:id="317" w:name="_Toc184308085"/>
      <w:bookmarkEnd w:id="317"/>
      <w:bookmarkStart w:id="318" w:name="_Toc184314433"/>
      <w:bookmarkEnd w:id="318"/>
      <w:bookmarkStart w:id="319" w:name="_Toc184313257"/>
      <w:bookmarkEnd w:id="319"/>
      <w:bookmarkStart w:id="320" w:name="_Toc184312103"/>
      <w:bookmarkEnd w:id="320"/>
      <w:bookmarkStart w:id="321" w:name="_Toc184312119"/>
      <w:bookmarkEnd w:id="321"/>
      <w:bookmarkStart w:id="322" w:name="_Toc184310333"/>
      <w:bookmarkEnd w:id="322"/>
      <w:bookmarkStart w:id="323" w:name="_Toc184310328"/>
      <w:bookmarkEnd w:id="323"/>
      <w:bookmarkStart w:id="324" w:name="_Toc184308042"/>
      <w:bookmarkEnd w:id="324"/>
      <w:bookmarkStart w:id="325" w:name="_Toc184313241"/>
      <w:bookmarkEnd w:id="325"/>
      <w:bookmarkStart w:id="326" w:name="_Toc184310296"/>
      <w:bookmarkEnd w:id="326"/>
      <w:bookmarkStart w:id="327" w:name="_Toc184313286"/>
      <w:bookmarkEnd w:id="327"/>
      <w:bookmarkStart w:id="328" w:name="_Toc184310299"/>
      <w:bookmarkEnd w:id="328"/>
      <w:bookmarkStart w:id="329" w:name="_Toc184314413"/>
      <w:bookmarkEnd w:id="329"/>
      <w:bookmarkStart w:id="330" w:name="_Toc184310311"/>
      <w:bookmarkEnd w:id="330"/>
      <w:bookmarkStart w:id="331" w:name="_Toc184314450"/>
      <w:bookmarkEnd w:id="331"/>
      <w:bookmarkStart w:id="332" w:name="_Toc184314466"/>
      <w:bookmarkEnd w:id="332"/>
      <w:bookmarkStart w:id="333" w:name="_Toc184312104"/>
      <w:bookmarkEnd w:id="333"/>
      <w:bookmarkStart w:id="334" w:name="_Toc184313294"/>
      <w:bookmarkEnd w:id="334"/>
      <w:bookmarkStart w:id="335" w:name="_Toc184313261"/>
      <w:bookmarkEnd w:id="335"/>
      <w:bookmarkStart w:id="336" w:name="_Toc184313247"/>
      <w:bookmarkEnd w:id="336"/>
      <w:bookmarkStart w:id="337" w:name="_Toc184310324"/>
      <w:bookmarkEnd w:id="337"/>
      <w:bookmarkStart w:id="338" w:name="_Toc184313288"/>
      <w:bookmarkEnd w:id="338"/>
      <w:bookmarkStart w:id="339" w:name="_Toc184314415"/>
      <w:bookmarkEnd w:id="339"/>
      <w:bookmarkStart w:id="340" w:name="_Toc184310308"/>
      <w:bookmarkEnd w:id="340"/>
      <w:bookmarkStart w:id="341" w:name="_Toc184314478"/>
      <w:bookmarkEnd w:id="341"/>
      <w:bookmarkStart w:id="342" w:name="_Toc184308072"/>
      <w:bookmarkEnd w:id="342"/>
      <w:bookmarkStart w:id="343" w:name="_Toc184314438"/>
      <w:bookmarkEnd w:id="343"/>
      <w:bookmarkStart w:id="344" w:name="_Toc184308070"/>
      <w:bookmarkEnd w:id="344"/>
      <w:bookmarkStart w:id="345" w:name="_Toc184314421"/>
      <w:bookmarkEnd w:id="345"/>
      <w:bookmarkStart w:id="346" w:name="_Toc184310344"/>
      <w:bookmarkEnd w:id="346"/>
      <w:bookmarkStart w:id="347" w:name="_Toc184313252"/>
      <w:bookmarkEnd w:id="347"/>
      <w:bookmarkStart w:id="348" w:name="_Toc184312134"/>
      <w:bookmarkEnd w:id="348"/>
      <w:bookmarkStart w:id="349" w:name="_Toc184314475"/>
      <w:bookmarkEnd w:id="349"/>
      <w:bookmarkStart w:id="350" w:name="_Toc184310293"/>
      <w:bookmarkEnd w:id="350"/>
      <w:bookmarkStart w:id="351" w:name="_Toc184308057"/>
      <w:bookmarkEnd w:id="351"/>
      <w:bookmarkStart w:id="352" w:name="_Toc184310331"/>
      <w:bookmarkEnd w:id="352"/>
      <w:bookmarkStart w:id="353" w:name="_Toc184310314"/>
      <w:bookmarkEnd w:id="353"/>
      <w:bookmarkStart w:id="354" w:name="_Toc184310338"/>
      <w:bookmarkEnd w:id="354"/>
      <w:bookmarkStart w:id="355" w:name="_Toc184310274"/>
      <w:bookmarkEnd w:id="355"/>
      <w:bookmarkStart w:id="356" w:name="_Toc184312073"/>
      <w:bookmarkEnd w:id="356"/>
      <w:bookmarkStart w:id="357" w:name="_Toc184310329"/>
      <w:bookmarkEnd w:id="357"/>
      <w:bookmarkStart w:id="358" w:name="_Toc184308089"/>
      <w:bookmarkEnd w:id="358"/>
      <w:bookmarkStart w:id="359" w:name="_Toc184314414"/>
      <w:bookmarkEnd w:id="359"/>
      <w:bookmarkStart w:id="360" w:name="_Toc184314440"/>
      <w:bookmarkEnd w:id="360"/>
      <w:bookmarkStart w:id="361" w:name="_Toc184312127"/>
      <w:bookmarkEnd w:id="361"/>
      <w:bookmarkStart w:id="362" w:name="_Toc184308036"/>
      <w:bookmarkEnd w:id="362"/>
      <w:bookmarkStart w:id="363" w:name="_Toc184312085"/>
      <w:bookmarkEnd w:id="363"/>
      <w:bookmarkStart w:id="364" w:name="_Toc184308096"/>
      <w:bookmarkEnd w:id="364"/>
      <w:bookmarkStart w:id="365" w:name="_Toc184310298"/>
      <w:bookmarkEnd w:id="365"/>
      <w:bookmarkStart w:id="366" w:name="_Toc184312086"/>
      <w:bookmarkEnd w:id="366"/>
      <w:bookmarkStart w:id="367" w:name="_Toc184310289"/>
      <w:bookmarkEnd w:id="367"/>
      <w:bookmarkStart w:id="368" w:name="_Toc184313264"/>
      <w:bookmarkEnd w:id="368"/>
      <w:bookmarkStart w:id="369" w:name="_Toc184308100"/>
      <w:bookmarkEnd w:id="369"/>
      <w:bookmarkStart w:id="370" w:name="_Toc184310323"/>
      <w:bookmarkEnd w:id="370"/>
      <w:bookmarkStart w:id="371" w:name="_Toc184312111"/>
      <w:bookmarkEnd w:id="371"/>
      <w:bookmarkStart w:id="372" w:name="_Toc184314464"/>
      <w:bookmarkEnd w:id="372"/>
      <w:bookmarkStart w:id="373" w:name="_Toc184313254"/>
      <w:bookmarkEnd w:id="373"/>
      <w:bookmarkStart w:id="374" w:name="_Toc184308076"/>
      <w:bookmarkEnd w:id="374"/>
      <w:bookmarkStart w:id="375" w:name="_Toc184312074"/>
      <w:bookmarkEnd w:id="375"/>
      <w:bookmarkStart w:id="376" w:name="_Toc184313306"/>
      <w:bookmarkEnd w:id="376"/>
      <w:bookmarkStart w:id="377" w:name="_Toc184310330"/>
      <w:bookmarkEnd w:id="377"/>
      <w:bookmarkStart w:id="378" w:name="_Toc184314417"/>
      <w:bookmarkEnd w:id="378"/>
      <w:bookmarkStart w:id="379" w:name="_Toc184308048"/>
      <w:bookmarkEnd w:id="379"/>
      <w:bookmarkStart w:id="380" w:name="_Toc184308080"/>
      <w:bookmarkEnd w:id="380"/>
      <w:bookmarkStart w:id="381" w:name="_Toc184313258"/>
      <w:bookmarkEnd w:id="381"/>
      <w:bookmarkStart w:id="382" w:name="_Toc184312118"/>
      <w:bookmarkEnd w:id="382"/>
      <w:bookmarkStart w:id="383" w:name="_Toc184314460"/>
      <w:bookmarkEnd w:id="383"/>
      <w:bookmarkStart w:id="384" w:name="_Toc184310336"/>
      <w:bookmarkEnd w:id="384"/>
      <w:bookmarkStart w:id="385" w:name="_Toc184313260"/>
      <w:bookmarkEnd w:id="385"/>
      <w:bookmarkStart w:id="386" w:name="_Toc184308041"/>
      <w:bookmarkEnd w:id="386"/>
      <w:bookmarkStart w:id="387" w:name="_Toc184308066"/>
      <w:bookmarkEnd w:id="387"/>
      <w:bookmarkStart w:id="388" w:name="_Toc184308061"/>
      <w:bookmarkEnd w:id="388"/>
      <w:bookmarkStart w:id="389" w:name="_Toc184314420"/>
      <w:bookmarkEnd w:id="389"/>
      <w:bookmarkStart w:id="390" w:name="_Toc184314462"/>
      <w:bookmarkEnd w:id="390"/>
      <w:bookmarkStart w:id="391" w:name="_Toc184314459"/>
      <w:bookmarkEnd w:id="391"/>
      <w:bookmarkStart w:id="392" w:name="_Toc184312124"/>
      <w:bookmarkEnd w:id="392"/>
      <w:bookmarkStart w:id="393" w:name="_Toc184312109"/>
      <w:bookmarkEnd w:id="393"/>
      <w:bookmarkStart w:id="394" w:name="_Toc184312095"/>
      <w:bookmarkEnd w:id="394"/>
      <w:bookmarkStart w:id="395" w:name="_Toc184308081"/>
      <w:bookmarkEnd w:id="395"/>
      <w:bookmarkStart w:id="396" w:name="_Toc184310291"/>
      <w:bookmarkEnd w:id="396"/>
      <w:bookmarkStart w:id="397" w:name="_Toc184312133"/>
      <w:bookmarkEnd w:id="397"/>
      <w:bookmarkStart w:id="398" w:name="_Toc184312117"/>
      <w:bookmarkEnd w:id="398"/>
      <w:bookmarkStart w:id="399" w:name="_Toc184314424"/>
      <w:bookmarkEnd w:id="399"/>
      <w:bookmarkStart w:id="400" w:name="_Toc184314422"/>
      <w:bookmarkEnd w:id="400"/>
      <w:bookmarkStart w:id="401" w:name="_Toc184310334"/>
      <w:bookmarkEnd w:id="401"/>
      <w:bookmarkStart w:id="402" w:name="_Toc184312090"/>
      <w:bookmarkEnd w:id="402"/>
      <w:bookmarkStart w:id="403" w:name="_Toc184312129"/>
      <w:bookmarkEnd w:id="403"/>
      <w:r>
        <w:rPr>
          <w:rFonts w:hint="eastAsia" w:ascii="宋体" w:hAnsi="宋体" w:cs="宋体"/>
          <w:b/>
          <w:color w:val="auto"/>
          <w:sz w:val="36"/>
          <w:szCs w:val="36"/>
          <w:highlight w:val="none"/>
        </w:rPr>
        <w:t>评标办法</w:t>
      </w:r>
    </w:p>
    <w:p w14:paraId="245EAA70">
      <w:pPr>
        <w:snapToGrid w:val="0"/>
        <w:spacing w:line="360" w:lineRule="auto"/>
        <w:ind w:left="120" w:firstLine="22"/>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266" w:type="pct"/>
        <w:tblInd w:w="-436" w:type="dxa"/>
        <w:tblLayout w:type="fixed"/>
        <w:tblCellMar>
          <w:top w:w="0" w:type="dxa"/>
          <w:left w:w="108" w:type="dxa"/>
          <w:bottom w:w="0" w:type="dxa"/>
          <w:right w:w="108" w:type="dxa"/>
        </w:tblCellMar>
      </w:tblPr>
      <w:tblGrid>
        <w:gridCol w:w="997"/>
        <w:gridCol w:w="1256"/>
        <w:gridCol w:w="5105"/>
        <w:gridCol w:w="778"/>
        <w:gridCol w:w="913"/>
        <w:gridCol w:w="1032"/>
      </w:tblGrid>
      <w:tr w14:paraId="11546599">
        <w:tblPrEx>
          <w:tblCellMar>
            <w:top w:w="0" w:type="dxa"/>
            <w:left w:w="108" w:type="dxa"/>
            <w:bottom w:w="0" w:type="dxa"/>
            <w:right w:w="108" w:type="dxa"/>
          </w:tblCellMar>
        </w:tblPrEx>
        <w:trPr>
          <w:trHeight w:val="879" w:hRule="atLeast"/>
        </w:trPr>
        <w:tc>
          <w:tcPr>
            <w:tcW w:w="4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BD5324">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623" w:type="pct"/>
            <w:tcBorders>
              <w:top w:val="single" w:color="000000" w:sz="8" w:space="0"/>
              <w:left w:val="nil"/>
              <w:bottom w:val="single" w:color="000000" w:sz="8" w:space="0"/>
              <w:right w:val="single" w:color="000000" w:sz="8" w:space="0"/>
            </w:tcBorders>
            <w:shd w:val="clear" w:color="auto" w:fill="auto"/>
            <w:vAlign w:val="center"/>
          </w:tcPr>
          <w:p w14:paraId="202B7EB8">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评分内容</w:t>
            </w:r>
          </w:p>
        </w:tc>
        <w:tc>
          <w:tcPr>
            <w:tcW w:w="2532" w:type="pct"/>
            <w:tcBorders>
              <w:top w:val="single" w:color="000000" w:sz="8" w:space="0"/>
              <w:left w:val="nil"/>
              <w:bottom w:val="single" w:color="000000" w:sz="8" w:space="0"/>
              <w:right w:val="single" w:color="000000" w:sz="8" w:space="0"/>
            </w:tcBorders>
            <w:shd w:val="clear" w:color="auto" w:fill="auto"/>
            <w:vAlign w:val="center"/>
          </w:tcPr>
          <w:p w14:paraId="3FA92F3D">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评分标准</w:t>
            </w:r>
          </w:p>
        </w:tc>
        <w:tc>
          <w:tcPr>
            <w:tcW w:w="386" w:type="pct"/>
            <w:tcBorders>
              <w:top w:val="single" w:color="000000" w:sz="8" w:space="0"/>
              <w:left w:val="nil"/>
              <w:bottom w:val="single" w:color="000000" w:sz="8" w:space="0"/>
              <w:right w:val="single" w:color="000000" w:sz="8" w:space="0"/>
            </w:tcBorders>
            <w:shd w:val="clear" w:color="auto" w:fill="auto"/>
            <w:vAlign w:val="center"/>
          </w:tcPr>
          <w:p w14:paraId="5885FB32">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分值</w:t>
            </w:r>
          </w:p>
        </w:tc>
        <w:tc>
          <w:tcPr>
            <w:tcW w:w="453" w:type="pct"/>
            <w:tcBorders>
              <w:top w:val="single" w:color="000000" w:sz="8" w:space="0"/>
              <w:left w:val="nil"/>
              <w:bottom w:val="single" w:color="000000" w:sz="8" w:space="0"/>
              <w:right w:val="single" w:color="000000" w:sz="8" w:space="0"/>
            </w:tcBorders>
            <w:shd w:val="clear" w:color="auto" w:fill="auto"/>
            <w:vAlign w:val="center"/>
          </w:tcPr>
          <w:p w14:paraId="2702844F">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主观分/客观分属性</w:t>
            </w:r>
          </w:p>
        </w:tc>
        <w:tc>
          <w:tcPr>
            <w:tcW w:w="513" w:type="pct"/>
            <w:tcBorders>
              <w:top w:val="single" w:color="000000" w:sz="8" w:space="0"/>
              <w:left w:val="nil"/>
              <w:bottom w:val="single" w:color="000000" w:sz="8" w:space="0"/>
              <w:right w:val="single" w:color="000000" w:sz="8" w:space="0"/>
            </w:tcBorders>
            <w:shd w:val="clear" w:color="auto" w:fill="auto"/>
            <w:vAlign w:val="center"/>
          </w:tcPr>
          <w:p w14:paraId="269A87B1">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投标文件中评标标准相应的商务技术资料目录*</w:t>
            </w:r>
          </w:p>
        </w:tc>
      </w:tr>
      <w:tr w14:paraId="7D05EE6A">
        <w:tblPrEx>
          <w:tblCellMar>
            <w:top w:w="0" w:type="dxa"/>
            <w:left w:w="108" w:type="dxa"/>
            <w:bottom w:w="0" w:type="dxa"/>
            <w:right w:w="108" w:type="dxa"/>
          </w:tblCellMar>
        </w:tblPrEx>
        <w:trPr>
          <w:trHeight w:val="1167" w:hRule="atLeast"/>
        </w:trPr>
        <w:tc>
          <w:tcPr>
            <w:tcW w:w="494" w:type="pct"/>
            <w:tcBorders>
              <w:top w:val="nil"/>
              <w:left w:val="single" w:color="000000" w:sz="8" w:space="0"/>
              <w:bottom w:val="single" w:color="auto" w:sz="4" w:space="0"/>
              <w:right w:val="single" w:color="000000" w:sz="8" w:space="0"/>
            </w:tcBorders>
            <w:shd w:val="clear" w:color="auto" w:fill="auto"/>
            <w:noWrap/>
            <w:vAlign w:val="center"/>
          </w:tcPr>
          <w:p w14:paraId="6DCA5F51">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p>
        </w:tc>
        <w:tc>
          <w:tcPr>
            <w:tcW w:w="623" w:type="pct"/>
            <w:tcBorders>
              <w:top w:val="nil"/>
              <w:left w:val="nil"/>
              <w:bottom w:val="single" w:color="000000" w:sz="8" w:space="0"/>
              <w:right w:val="single" w:color="000000" w:sz="8" w:space="0"/>
            </w:tcBorders>
            <w:shd w:val="clear" w:color="auto" w:fill="auto"/>
            <w:vAlign w:val="center"/>
          </w:tcPr>
          <w:p w14:paraId="07B7A43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投标人的业绩情况</w:t>
            </w:r>
          </w:p>
        </w:tc>
        <w:tc>
          <w:tcPr>
            <w:tcW w:w="2532" w:type="pct"/>
            <w:tcBorders>
              <w:top w:val="nil"/>
              <w:left w:val="nil"/>
              <w:bottom w:val="single" w:color="000000" w:sz="8" w:space="0"/>
              <w:right w:val="single" w:color="000000" w:sz="8" w:space="0"/>
            </w:tcBorders>
            <w:shd w:val="clear" w:color="auto" w:fill="auto"/>
            <w:vAlign w:val="center"/>
          </w:tcPr>
          <w:p w14:paraId="2B244460">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投标人自2022年1月1日以来（以合同签订时间为准），承担过软件系统开发（或软件集成）项目业绩的，得1分。（证明材料：须提供合同复印件，否则不得分）</w:t>
            </w:r>
          </w:p>
        </w:tc>
        <w:tc>
          <w:tcPr>
            <w:tcW w:w="386" w:type="pct"/>
            <w:tcBorders>
              <w:top w:val="nil"/>
              <w:left w:val="nil"/>
              <w:bottom w:val="single" w:color="000000" w:sz="8" w:space="0"/>
              <w:right w:val="single" w:color="000000" w:sz="8" w:space="0"/>
            </w:tcBorders>
            <w:shd w:val="clear" w:color="auto" w:fill="auto"/>
            <w:vAlign w:val="center"/>
          </w:tcPr>
          <w:p w14:paraId="295FE1A8">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453" w:type="pct"/>
            <w:tcBorders>
              <w:top w:val="nil"/>
              <w:left w:val="nil"/>
              <w:bottom w:val="single" w:color="000000" w:sz="8" w:space="0"/>
              <w:right w:val="single" w:color="000000" w:sz="8" w:space="0"/>
            </w:tcBorders>
            <w:shd w:val="clear" w:color="auto" w:fill="auto"/>
            <w:vAlign w:val="center"/>
          </w:tcPr>
          <w:p w14:paraId="5E60A825">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客观分</w:t>
            </w:r>
          </w:p>
        </w:tc>
        <w:tc>
          <w:tcPr>
            <w:tcW w:w="513" w:type="pct"/>
            <w:tcBorders>
              <w:top w:val="nil"/>
              <w:left w:val="nil"/>
              <w:bottom w:val="single" w:color="000000" w:sz="8" w:space="0"/>
              <w:right w:val="single" w:color="000000" w:sz="8" w:space="0"/>
            </w:tcBorders>
            <w:shd w:val="clear" w:color="auto" w:fill="auto"/>
            <w:vAlign w:val="center"/>
          </w:tcPr>
          <w:p w14:paraId="3D1F8389">
            <w:pPr>
              <w:spacing w:line="360" w:lineRule="auto"/>
              <w:rPr>
                <w:rFonts w:hint="eastAsia" w:ascii="宋体" w:hAnsi="宋体" w:cs="宋体"/>
                <w:color w:val="auto"/>
                <w:sz w:val="24"/>
                <w:highlight w:val="none"/>
              </w:rPr>
            </w:pPr>
          </w:p>
        </w:tc>
      </w:tr>
      <w:tr w14:paraId="6D9E5E79">
        <w:tblPrEx>
          <w:tblCellMar>
            <w:top w:w="0" w:type="dxa"/>
            <w:left w:w="108" w:type="dxa"/>
            <w:bottom w:w="0" w:type="dxa"/>
            <w:right w:w="108" w:type="dxa"/>
          </w:tblCellMar>
        </w:tblPrEx>
        <w:trPr>
          <w:trHeight w:val="879" w:hRule="atLeast"/>
        </w:trPr>
        <w:tc>
          <w:tcPr>
            <w:tcW w:w="494"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67985BEE">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623" w:type="pct"/>
            <w:tcBorders>
              <w:top w:val="nil"/>
              <w:left w:val="nil"/>
              <w:bottom w:val="single" w:color="000000" w:sz="8" w:space="0"/>
              <w:right w:val="single" w:color="000000" w:sz="8" w:space="0"/>
            </w:tcBorders>
            <w:shd w:val="clear" w:color="auto" w:fill="auto"/>
            <w:vAlign w:val="center"/>
          </w:tcPr>
          <w:p w14:paraId="5B0BAA60">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项目服务期</w:t>
            </w:r>
          </w:p>
        </w:tc>
        <w:tc>
          <w:tcPr>
            <w:tcW w:w="2532" w:type="pct"/>
            <w:tcBorders>
              <w:top w:val="nil"/>
              <w:left w:val="nil"/>
              <w:bottom w:val="single" w:color="000000" w:sz="8" w:space="0"/>
              <w:right w:val="single" w:color="000000" w:sz="8" w:space="0"/>
            </w:tcBorders>
            <w:shd w:val="clear" w:color="auto" w:fill="auto"/>
            <w:vAlign w:val="center"/>
          </w:tcPr>
          <w:p w14:paraId="69941ACF">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投标人承诺项目服务期（建设期或运维期）等于或优于招标文件要求的，得3分，否则不得分。（证明材料：须提供承诺函并加盖公章，格式自拟）</w:t>
            </w:r>
          </w:p>
        </w:tc>
        <w:tc>
          <w:tcPr>
            <w:tcW w:w="386" w:type="pct"/>
            <w:tcBorders>
              <w:top w:val="nil"/>
              <w:left w:val="nil"/>
              <w:bottom w:val="single" w:color="000000" w:sz="8" w:space="0"/>
              <w:right w:val="single" w:color="000000" w:sz="8" w:space="0"/>
            </w:tcBorders>
            <w:shd w:val="clear" w:color="auto" w:fill="auto"/>
            <w:vAlign w:val="center"/>
          </w:tcPr>
          <w:p w14:paraId="71D573A7">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53" w:type="pct"/>
            <w:tcBorders>
              <w:top w:val="nil"/>
              <w:left w:val="nil"/>
              <w:bottom w:val="single" w:color="000000" w:sz="8" w:space="0"/>
              <w:right w:val="single" w:color="000000" w:sz="8" w:space="0"/>
            </w:tcBorders>
            <w:shd w:val="clear" w:color="auto" w:fill="auto"/>
            <w:vAlign w:val="center"/>
          </w:tcPr>
          <w:p w14:paraId="24C2C28F">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客观分</w:t>
            </w:r>
          </w:p>
        </w:tc>
        <w:tc>
          <w:tcPr>
            <w:tcW w:w="513" w:type="pct"/>
            <w:tcBorders>
              <w:top w:val="nil"/>
              <w:left w:val="nil"/>
              <w:bottom w:val="single" w:color="000000" w:sz="8" w:space="0"/>
              <w:right w:val="single" w:color="000000" w:sz="8" w:space="0"/>
            </w:tcBorders>
            <w:shd w:val="clear" w:color="auto" w:fill="auto"/>
            <w:vAlign w:val="center"/>
          </w:tcPr>
          <w:p w14:paraId="5EAEA936">
            <w:pPr>
              <w:spacing w:line="360" w:lineRule="auto"/>
              <w:rPr>
                <w:rFonts w:hint="eastAsia" w:ascii="宋体" w:hAnsi="宋体" w:cs="宋体"/>
                <w:color w:val="auto"/>
                <w:sz w:val="24"/>
                <w:highlight w:val="none"/>
              </w:rPr>
            </w:pPr>
          </w:p>
        </w:tc>
      </w:tr>
      <w:tr w14:paraId="5AAFC10D">
        <w:tblPrEx>
          <w:tblCellMar>
            <w:top w:w="0" w:type="dxa"/>
            <w:left w:w="108" w:type="dxa"/>
            <w:bottom w:w="0" w:type="dxa"/>
            <w:right w:w="108" w:type="dxa"/>
          </w:tblCellMar>
        </w:tblPrEx>
        <w:trPr>
          <w:trHeight w:val="1455" w:hRule="atLeast"/>
        </w:trPr>
        <w:tc>
          <w:tcPr>
            <w:tcW w:w="494" w:type="pct"/>
            <w:vMerge w:val="restart"/>
            <w:tcBorders>
              <w:top w:val="nil"/>
              <w:left w:val="single" w:color="000000" w:sz="8" w:space="0"/>
              <w:bottom w:val="single" w:color="auto" w:sz="4" w:space="0"/>
              <w:right w:val="single" w:color="000000" w:sz="8" w:space="0"/>
            </w:tcBorders>
            <w:shd w:val="clear" w:color="auto" w:fill="auto"/>
            <w:noWrap/>
            <w:vAlign w:val="center"/>
          </w:tcPr>
          <w:p w14:paraId="6F9B2A56">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w:t>
            </w:r>
          </w:p>
        </w:tc>
        <w:tc>
          <w:tcPr>
            <w:tcW w:w="623" w:type="pct"/>
            <w:vMerge w:val="restart"/>
            <w:tcBorders>
              <w:top w:val="nil"/>
              <w:left w:val="nil"/>
              <w:right w:val="single" w:color="000000" w:sz="8" w:space="0"/>
            </w:tcBorders>
            <w:shd w:val="clear" w:color="auto" w:fill="auto"/>
            <w:vAlign w:val="center"/>
          </w:tcPr>
          <w:p w14:paraId="2EB4121D">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整体方案</w:t>
            </w:r>
          </w:p>
        </w:tc>
        <w:tc>
          <w:tcPr>
            <w:tcW w:w="2532" w:type="pct"/>
            <w:tcBorders>
              <w:top w:val="nil"/>
              <w:left w:val="nil"/>
              <w:bottom w:val="single" w:color="000000" w:sz="8" w:space="0"/>
              <w:right w:val="single" w:color="000000" w:sz="8" w:space="0"/>
            </w:tcBorders>
            <w:shd w:val="clear" w:color="auto" w:fill="auto"/>
            <w:vAlign w:val="center"/>
          </w:tcPr>
          <w:p w14:paraId="4D27B987">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（1）投标人按符合</w:t>
            </w:r>
            <w:r>
              <w:rPr>
                <w:rFonts w:hint="eastAsia" w:ascii="宋体" w:hAnsi="宋体" w:cs="宋体"/>
                <w:color w:val="auto"/>
                <w:sz w:val="24"/>
                <w:highlight w:val="none"/>
              </w:rPr>
              <w:t>上城区“数智组工”平台信创提升改造项目</w:t>
            </w:r>
            <w:r>
              <w:rPr>
                <w:rFonts w:hint="eastAsia" w:ascii="宋体" w:hAnsi="宋体" w:cs="宋体"/>
                <w:color w:val="auto"/>
                <w:kern w:val="0"/>
                <w:sz w:val="24"/>
                <w:highlight w:val="none"/>
                <w:lang w:bidi="ar"/>
              </w:rPr>
              <w:t>建设</w:t>
            </w:r>
            <w:bookmarkStart w:id="527" w:name="_GoBack"/>
            <w:bookmarkEnd w:id="527"/>
            <w:r>
              <w:rPr>
                <w:rFonts w:hint="eastAsia" w:ascii="宋体" w:hAnsi="宋体" w:cs="宋体"/>
                <w:color w:val="auto"/>
                <w:kern w:val="0"/>
                <w:sz w:val="24"/>
                <w:highlight w:val="none"/>
                <w:lang w:val="en-US" w:eastAsia="zh-CN" w:bidi="ar"/>
              </w:rPr>
              <w:t>系统</w:t>
            </w:r>
            <w:r>
              <w:rPr>
                <w:rFonts w:hint="eastAsia" w:ascii="宋体" w:hAnsi="宋体" w:cs="宋体"/>
                <w:color w:val="auto"/>
                <w:kern w:val="0"/>
                <w:sz w:val="24"/>
                <w:highlight w:val="none"/>
                <w:lang w:bidi="ar"/>
              </w:rPr>
              <w:t>改造背景、总体规划、核心价值。方案清晰、完整响应</w:t>
            </w:r>
            <w:r>
              <w:rPr>
                <w:rFonts w:hint="eastAsia"/>
                <w:color w:val="auto"/>
                <w:kern w:val="0"/>
                <w:sz w:val="24"/>
                <w:highlight w:val="none"/>
                <w:lang w:bidi="ar"/>
              </w:rPr>
              <w:t>。</w:t>
            </w:r>
            <w:r>
              <w:rPr>
                <w:rFonts w:hint="eastAsia" w:ascii="宋体" w:hAnsi="宋体" w:cs="宋体"/>
                <w:color w:val="auto"/>
                <w:kern w:val="0"/>
                <w:sz w:val="24"/>
                <w:highlight w:val="none"/>
                <w:lang w:bidi="ar"/>
              </w:rPr>
              <w:t>（得分：5、4、3、2、1、0）</w:t>
            </w:r>
          </w:p>
        </w:tc>
        <w:tc>
          <w:tcPr>
            <w:tcW w:w="386" w:type="pct"/>
            <w:tcBorders>
              <w:top w:val="nil"/>
              <w:left w:val="nil"/>
              <w:bottom w:val="single" w:color="000000" w:sz="8" w:space="0"/>
              <w:right w:val="single" w:color="000000" w:sz="8" w:space="0"/>
            </w:tcBorders>
            <w:shd w:val="clear" w:color="auto" w:fill="auto"/>
            <w:vAlign w:val="center"/>
          </w:tcPr>
          <w:p w14:paraId="08054577">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nil"/>
              <w:left w:val="nil"/>
              <w:bottom w:val="single" w:color="000000" w:sz="8" w:space="0"/>
              <w:right w:val="single" w:color="000000" w:sz="8" w:space="0"/>
            </w:tcBorders>
            <w:shd w:val="clear" w:color="auto" w:fill="auto"/>
            <w:vAlign w:val="center"/>
          </w:tcPr>
          <w:p w14:paraId="4D469C67">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28EB01C6">
            <w:pPr>
              <w:spacing w:line="360" w:lineRule="auto"/>
              <w:rPr>
                <w:rFonts w:hint="eastAsia" w:ascii="宋体" w:hAnsi="宋体" w:cs="宋体"/>
                <w:color w:val="auto"/>
                <w:sz w:val="24"/>
                <w:highlight w:val="none"/>
              </w:rPr>
            </w:pPr>
          </w:p>
        </w:tc>
      </w:tr>
      <w:tr w14:paraId="0F4A9B2C">
        <w:tblPrEx>
          <w:tblCellMar>
            <w:top w:w="0" w:type="dxa"/>
            <w:left w:w="108" w:type="dxa"/>
            <w:bottom w:w="0" w:type="dxa"/>
            <w:right w:w="108" w:type="dxa"/>
          </w:tblCellMar>
        </w:tblPrEx>
        <w:trPr>
          <w:trHeight w:val="1419" w:hRule="atLeast"/>
        </w:trPr>
        <w:tc>
          <w:tcPr>
            <w:tcW w:w="49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238DEB70">
            <w:pPr>
              <w:spacing w:line="360" w:lineRule="auto"/>
              <w:jc w:val="center"/>
              <w:rPr>
                <w:rFonts w:hint="eastAsia" w:ascii="宋体" w:hAnsi="宋体" w:cs="宋体"/>
                <w:b/>
                <w:bCs/>
                <w:color w:val="auto"/>
                <w:sz w:val="24"/>
                <w:highlight w:val="none"/>
              </w:rPr>
            </w:pPr>
          </w:p>
        </w:tc>
        <w:tc>
          <w:tcPr>
            <w:tcW w:w="623" w:type="pct"/>
            <w:vMerge w:val="continue"/>
            <w:tcBorders>
              <w:left w:val="nil"/>
              <w:bottom w:val="single" w:color="auto" w:sz="4" w:space="0"/>
              <w:right w:val="single" w:color="000000" w:sz="8" w:space="0"/>
            </w:tcBorders>
            <w:shd w:val="clear" w:color="auto" w:fill="auto"/>
            <w:vAlign w:val="center"/>
          </w:tcPr>
          <w:p w14:paraId="168DE7C1">
            <w:pPr>
              <w:spacing w:line="360" w:lineRule="auto"/>
              <w:jc w:val="center"/>
              <w:rPr>
                <w:rFonts w:hint="eastAsia" w:ascii="宋体" w:hAnsi="宋体" w:cs="宋体"/>
                <w:color w:val="auto"/>
                <w:sz w:val="24"/>
                <w:highlight w:val="none"/>
              </w:rPr>
            </w:pPr>
          </w:p>
        </w:tc>
        <w:tc>
          <w:tcPr>
            <w:tcW w:w="2532" w:type="pct"/>
            <w:tcBorders>
              <w:top w:val="nil"/>
              <w:left w:val="nil"/>
              <w:bottom w:val="single" w:color="auto" w:sz="4" w:space="0"/>
              <w:right w:val="single" w:color="000000" w:sz="8" w:space="0"/>
            </w:tcBorders>
            <w:shd w:val="clear" w:color="auto" w:fill="auto"/>
            <w:vAlign w:val="center"/>
          </w:tcPr>
          <w:p w14:paraId="5D009634">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（2）与需求的符合情况：包括①需求分析、②功能性能满足、③信创专项符合程度。根据方案的完整性、符合性进行打分。（得分：5、4、3、2、1、0）</w:t>
            </w:r>
          </w:p>
        </w:tc>
        <w:tc>
          <w:tcPr>
            <w:tcW w:w="386" w:type="pct"/>
            <w:tcBorders>
              <w:top w:val="nil"/>
              <w:left w:val="nil"/>
              <w:bottom w:val="single" w:color="auto" w:sz="4" w:space="0"/>
              <w:right w:val="single" w:color="000000" w:sz="8" w:space="0"/>
            </w:tcBorders>
            <w:shd w:val="clear" w:color="auto" w:fill="auto"/>
            <w:vAlign w:val="center"/>
          </w:tcPr>
          <w:p w14:paraId="7A8F207B">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nil"/>
              <w:left w:val="nil"/>
              <w:bottom w:val="single" w:color="auto" w:sz="4" w:space="0"/>
              <w:right w:val="single" w:color="000000" w:sz="8" w:space="0"/>
            </w:tcBorders>
            <w:shd w:val="clear" w:color="auto" w:fill="auto"/>
            <w:vAlign w:val="center"/>
          </w:tcPr>
          <w:p w14:paraId="5FDDF57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auto" w:sz="4" w:space="0"/>
              <w:right w:val="single" w:color="000000" w:sz="8" w:space="0"/>
            </w:tcBorders>
            <w:shd w:val="clear" w:color="auto" w:fill="auto"/>
            <w:vAlign w:val="center"/>
          </w:tcPr>
          <w:p w14:paraId="611F77FA">
            <w:pPr>
              <w:spacing w:line="360" w:lineRule="auto"/>
              <w:rPr>
                <w:rFonts w:hint="eastAsia" w:ascii="宋体" w:hAnsi="宋体" w:cs="宋体"/>
                <w:color w:val="auto"/>
                <w:sz w:val="24"/>
                <w:highlight w:val="none"/>
              </w:rPr>
            </w:pPr>
          </w:p>
        </w:tc>
      </w:tr>
      <w:tr w14:paraId="40EB6051">
        <w:tblPrEx>
          <w:tblCellMar>
            <w:top w:w="0" w:type="dxa"/>
            <w:left w:w="108" w:type="dxa"/>
            <w:bottom w:w="0" w:type="dxa"/>
            <w:right w:w="108" w:type="dxa"/>
          </w:tblCellMar>
        </w:tblPrEx>
        <w:trPr>
          <w:trHeight w:val="1455" w:hRule="atLeast"/>
        </w:trPr>
        <w:tc>
          <w:tcPr>
            <w:tcW w:w="494" w:type="pct"/>
            <w:vMerge w:val="restart"/>
            <w:tcBorders>
              <w:top w:val="single" w:color="auto" w:sz="4" w:space="0"/>
              <w:left w:val="single" w:color="000000" w:sz="8" w:space="0"/>
              <w:right w:val="single" w:color="000000" w:sz="8" w:space="0"/>
            </w:tcBorders>
            <w:shd w:val="clear" w:color="auto" w:fill="auto"/>
            <w:noWrap/>
            <w:vAlign w:val="center"/>
          </w:tcPr>
          <w:p w14:paraId="3C2FA94C">
            <w:pPr>
              <w:spacing w:line="360" w:lineRule="auto"/>
              <w:jc w:val="center"/>
              <w:textAlignment w:val="center"/>
              <w:rPr>
                <w:rFonts w:hint="eastAsia" w:ascii="宋体" w:hAnsi="宋体" w:cs="宋体"/>
                <w:b/>
                <w:bCs/>
                <w:color w:val="auto"/>
                <w:sz w:val="24"/>
                <w:highlight w:val="none"/>
              </w:rPr>
            </w:pPr>
          </w:p>
        </w:tc>
        <w:tc>
          <w:tcPr>
            <w:tcW w:w="623" w:type="pct"/>
            <w:vMerge w:val="restart"/>
            <w:tcBorders>
              <w:top w:val="single" w:color="auto" w:sz="4" w:space="0"/>
              <w:left w:val="nil"/>
              <w:right w:val="single" w:color="000000" w:sz="8" w:space="0"/>
            </w:tcBorders>
            <w:shd w:val="clear" w:color="auto" w:fill="auto"/>
            <w:vAlign w:val="center"/>
          </w:tcPr>
          <w:p w14:paraId="0B7E98F0">
            <w:pPr>
              <w:spacing w:line="360" w:lineRule="auto"/>
              <w:jc w:val="center"/>
              <w:textAlignment w:val="center"/>
              <w:rPr>
                <w:rFonts w:hint="eastAsia" w:ascii="宋体" w:hAnsi="宋体" w:cs="宋体"/>
                <w:color w:val="auto"/>
                <w:sz w:val="24"/>
                <w:highlight w:val="none"/>
              </w:rPr>
            </w:pPr>
          </w:p>
        </w:tc>
        <w:tc>
          <w:tcPr>
            <w:tcW w:w="2532" w:type="pct"/>
            <w:tcBorders>
              <w:top w:val="single" w:color="auto" w:sz="4" w:space="0"/>
              <w:left w:val="nil"/>
              <w:bottom w:val="single" w:color="000000" w:sz="8" w:space="0"/>
              <w:right w:val="single" w:color="000000" w:sz="8" w:space="0"/>
            </w:tcBorders>
            <w:shd w:val="clear" w:color="auto" w:fill="auto"/>
            <w:vAlign w:val="center"/>
          </w:tcPr>
          <w:p w14:paraId="12BDD7E0">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（3）技术路线，包括：</w:t>
            </w:r>
          </w:p>
          <w:p w14:paraId="180F780E">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1）采用主流且经过验证的技术栈</w:t>
            </w:r>
          </w:p>
          <w:p w14:paraId="247D7619">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2）兼容现有系统，支持与外部系统快速集成</w:t>
            </w:r>
          </w:p>
          <w:p w14:paraId="7C285BB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33539C5A">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29A201F0">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4731147A">
            <w:pPr>
              <w:spacing w:line="360" w:lineRule="auto"/>
              <w:jc w:val="center"/>
              <w:rPr>
                <w:rFonts w:hint="eastAsia" w:ascii="宋体" w:hAnsi="宋体" w:cs="宋体"/>
                <w:color w:val="auto"/>
                <w:sz w:val="24"/>
                <w:highlight w:val="none"/>
              </w:rPr>
            </w:pPr>
          </w:p>
        </w:tc>
      </w:tr>
      <w:tr w14:paraId="69602C7F">
        <w:tblPrEx>
          <w:tblCellMar>
            <w:top w:w="0" w:type="dxa"/>
            <w:left w:w="108" w:type="dxa"/>
            <w:bottom w:w="0" w:type="dxa"/>
            <w:right w:w="108" w:type="dxa"/>
          </w:tblCellMar>
        </w:tblPrEx>
        <w:trPr>
          <w:trHeight w:val="1171" w:hRule="atLeast"/>
        </w:trPr>
        <w:tc>
          <w:tcPr>
            <w:tcW w:w="494" w:type="pct"/>
            <w:vMerge w:val="continue"/>
            <w:tcBorders>
              <w:left w:val="single" w:color="000000" w:sz="8" w:space="0"/>
              <w:right w:val="single" w:color="000000" w:sz="8" w:space="0"/>
            </w:tcBorders>
            <w:shd w:val="clear" w:color="auto" w:fill="auto"/>
            <w:noWrap/>
            <w:vAlign w:val="center"/>
          </w:tcPr>
          <w:p w14:paraId="20DACEA8">
            <w:pPr>
              <w:spacing w:line="360" w:lineRule="auto"/>
              <w:jc w:val="center"/>
              <w:rPr>
                <w:rFonts w:hint="eastAsia" w:ascii="宋体" w:hAnsi="宋体" w:cs="宋体"/>
                <w:b/>
                <w:bCs/>
                <w:color w:val="auto"/>
                <w:sz w:val="24"/>
                <w:highlight w:val="none"/>
              </w:rPr>
            </w:pPr>
          </w:p>
        </w:tc>
        <w:tc>
          <w:tcPr>
            <w:tcW w:w="623" w:type="pct"/>
            <w:vMerge w:val="continue"/>
            <w:tcBorders>
              <w:left w:val="nil"/>
              <w:right w:val="single" w:color="000000" w:sz="8" w:space="0"/>
            </w:tcBorders>
            <w:shd w:val="clear" w:color="auto" w:fill="auto"/>
            <w:vAlign w:val="center"/>
          </w:tcPr>
          <w:p w14:paraId="0536C499">
            <w:pPr>
              <w:spacing w:line="360" w:lineRule="auto"/>
              <w:jc w:val="center"/>
              <w:rPr>
                <w:rFonts w:hint="eastAsia" w:ascii="宋体" w:hAnsi="宋体" w:cs="宋体"/>
                <w:color w:val="auto"/>
                <w:sz w:val="24"/>
                <w:highlight w:val="none"/>
              </w:rPr>
            </w:pPr>
          </w:p>
        </w:tc>
        <w:tc>
          <w:tcPr>
            <w:tcW w:w="2532" w:type="pct"/>
            <w:tcBorders>
              <w:top w:val="nil"/>
              <w:left w:val="nil"/>
              <w:bottom w:val="single" w:color="auto" w:sz="4" w:space="0"/>
              <w:right w:val="single" w:color="000000" w:sz="8" w:space="0"/>
            </w:tcBorders>
            <w:shd w:val="clear" w:color="auto" w:fill="auto"/>
            <w:vAlign w:val="center"/>
          </w:tcPr>
          <w:p w14:paraId="2120D296">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（4）系统架构设计，包括：</w:t>
            </w:r>
          </w:p>
          <w:p w14:paraId="033B9665">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1)展示层、服务层、数据层等分层清晰</w:t>
            </w:r>
          </w:p>
          <w:p w14:paraId="20054243">
            <w:pPr>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w:t>
            </w:r>
            <w:r>
              <w:rPr>
                <w:rFonts w:hint="eastAsia" w:ascii="宋体" w:hAnsi="宋体" w:cs="宋体"/>
                <w:color w:val="auto"/>
                <w:kern w:val="0"/>
                <w:sz w:val="24"/>
                <w:highlight w:val="none"/>
                <w:lang w:bidi="ar"/>
              </w:rPr>
              <w:t>并发量、响应时间满足业务需求</w:t>
            </w:r>
          </w:p>
          <w:p w14:paraId="04CBC635">
            <w:pPr>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187F9CC6">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72AE1046">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1AB33E0D">
            <w:pPr>
              <w:spacing w:line="360" w:lineRule="auto"/>
              <w:jc w:val="center"/>
              <w:rPr>
                <w:rFonts w:hint="eastAsia" w:ascii="宋体" w:hAnsi="宋体" w:cs="宋体"/>
                <w:color w:val="auto"/>
                <w:sz w:val="24"/>
                <w:highlight w:val="none"/>
              </w:rPr>
            </w:pPr>
          </w:p>
        </w:tc>
      </w:tr>
      <w:tr w14:paraId="2F1F38C8">
        <w:tblPrEx>
          <w:tblCellMar>
            <w:top w:w="0" w:type="dxa"/>
            <w:left w:w="108" w:type="dxa"/>
            <w:bottom w:w="0" w:type="dxa"/>
            <w:right w:w="108" w:type="dxa"/>
          </w:tblCellMar>
        </w:tblPrEx>
        <w:trPr>
          <w:trHeight w:val="1978" w:hRule="atLeast"/>
        </w:trPr>
        <w:tc>
          <w:tcPr>
            <w:tcW w:w="494" w:type="pct"/>
            <w:vMerge w:val="continue"/>
            <w:tcBorders>
              <w:left w:val="single" w:color="000000" w:sz="8" w:space="0"/>
              <w:bottom w:val="single" w:color="auto" w:sz="4" w:space="0"/>
              <w:right w:val="single" w:color="000000" w:sz="8" w:space="0"/>
            </w:tcBorders>
            <w:shd w:val="clear" w:color="auto" w:fill="auto"/>
            <w:noWrap/>
            <w:vAlign w:val="center"/>
          </w:tcPr>
          <w:p w14:paraId="2997F1AF">
            <w:pPr>
              <w:spacing w:line="360" w:lineRule="auto"/>
              <w:jc w:val="center"/>
              <w:rPr>
                <w:rFonts w:hint="eastAsia" w:ascii="宋体" w:hAnsi="宋体" w:cs="宋体"/>
                <w:b/>
                <w:bCs/>
                <w:color w:val="auto"/>
                <w:sz w:val="24"/>
                <w:highlight w:val="none"/>
              </w:rPr>
            </w:pPr>
          </w:p>
        </w:tc>
        <w:tc>
          <w:tcPr>
            <w:tcW w:w="623" w:type="pct"/>
            <w:vMerge w:val="continue"/>
            <w:tcBorders>
              <w:left w:val="nil"/>
              <w:bottom w:val="single" w:color="auto" w:sz="4" w:space="0"/>
              <w:right w:val="single" w:color="000000" w:sz="8" w:space="0"/>
            </w:tcBorders>
            <w:shd w:val="clear" w:color="auto" w:fill="auto"/>
            <w:vAlign w:val="center"/>
          </w:tcPr>
          <w:p w14:paraId="451F8F7B">
            <w:pPr>
              <w:spacing w:line="360" w:lineRule="auto"/>
              <w:jc w:val="center"/>
              <w:rPr>
                <w:rFonts w:hint="eastAsia" w:ascii="宋体" w:hAnsi="宋体" w:cs="宋体"/>
                <w:color w:val="auto"/>
                <w:sz w:val="24"/>
                <w:highlight w:val="none"/>
              </w:rPr>
            </w:pPr>
          </w:p>
        </w:tc>
        <w:tc>
          <w:tcPr>
            <w:tcW w:w="2532" w:type="pct"/>
            <w:tcBorders>
              <w:top w:val="single" w:color="auto" w:sz="4" w:space="0"/>
              <w:left w:val="nil"/>
              <w:bottom w:val="single" w:color="auto" w:sz="4" w:space="0"/>
              <w:right w:val="single" w:color="000000" w:sz="8" w:space="0"/>
            </w:tcBorders>
            <w:shd w:val="clear" w:color="auto" w:fill="auto"/>
            <w:vAlign w:val="center"/>
          </w:tcPr>
          <w:p w14:paraId="66D03168">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（5）信息数据设计，包括：</w:t>
            </w:r>
          </w:p>
          <w:p w14:paraId="5C0446CF">
            <w:pPr>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1)数据存储符合国产化数据库相关标准与要求。</w:t>
            </w:r>
          </w:p>
          <w:p w14:paraId="2B1D5FD9">
            <w:pPr>
              <w:widowControl/>
              <w:spacing w:line="360" w:lineRule="auto"/>
              <w:textAlignment w:val="center"/>
              <w:rPr>
                <w:color w:val="auto"/>
                <w:highlight w:val="none"/>
              </w:rPr>
            </w:pPr>
            <w:r>
              <w:rPr>
                <w:rFonts w:hint="eastAsia" w:ascii="宋体" w:hAnsi="宋体" w:cs="宋体"/>
                <w:color w:val="auto"/>
                <w:kern w:val="0"/>
                <w:sz w:val="24"/>
                <w:highlight w:val="none"/>
                <w:lang w:bidi="ar"/>
              </w:rPr>
              <w:t>2)数据结构设计合理，紧贴业务需求</w:t>
            </w:r>
          </w:p>
          <w:p w14:paraId="20F2C9D9">
            <w:pPr>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1D363E49">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45002FB1">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3332637B">
            <w:pPr>
              <w:spacing w:line="360" w:lineRule="auto"/>
              <w:jc w:val="center"/>
              <w:rPr>
                <w:rFonts w:hint="eastAsia" w:ascii="宋体" w:hAnsi="宋体" w:cs="宋体"/>
                <w:color w:val="auto"/>
                <w:sz w:val="24"/>
                <w:highlight w:val="none"/>
              </w:rPr>
            </w:pPr>
          </w:p>
        </w:tc>
      </w:tr>
      <w:tr w14:paraId="3197F252">
        <w:tblPrEx>
          <w:tblCellMar>
            <w:top w:w="0" w:type="dxa"/>
            <w:left w:w="108" w:type="dxa"/>
            <w:bottom w:w="0" w:type="dxa"/>
            <w:right w:w="108" w:type="dxa"/>
          </w:tblCellMar>
        </w:tblPrEx>
        <w:trPr>
          <w:trHeight w:val="1167" w:hRule="atLeast"/>
        </w:trPr>
        <w:tc>
          <w:tcPr>
            <w:tcW w:w="494" w:type="pct"/>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5BD214FD">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4</w:t>
            </w:r>
          </w:p>
        </w:tc>
        <w:tc>
          <w:tcPr>
            <w:tcW w:w="623" w:type="pct"/>
            <w:vMerge w:val="restart"/>
            <w:tcBorders>
              <w:top w:val="single" w:color="auto" w:sz="4" w:space="0"/>
              <w:left w:val="nil"/>
              <w:bottom w:val="single" w:color="000000" w:sz="8" w:space="0"/>
              <w:right w:val="single" w:color="000000" w:sz="8" w:space="0"/>
            </w:tcBorders>
            <w:shd w:val="clear" w:color="auto" w:fill="auto"/>
            <w:vAlign w:val="center"/>
          </w:tcPr>
          <w:p w14:paraId="257C20ED">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功能响应符合性</w:t>
            </w:r>
          </w:p>
        </w:tc>
        <w:tc>
          <w:tcPr>
            <w:tcW w:w="2532" w:type="pct"/>
            <w:tcBorders>
              <w:top w:val="single" w:color="auto" w:sz="4" w:space="0"/>
              <w:left w:val="nil"/>
              <w:bottom w:val="single" w:color="000000" w:sz="8" w:space="0"/>
              <w:right w:val="single" w:color="000000" w:sz="8" w:space="0"/>
            </w:tcBorders>
            <w:shd w:val="clear" w:color="auto" w:fill="auto"/>
            <w:vAlign w:val="center"/>
          </w:tcPr>
          <w:p w14:paraId="2607F6F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投标人按详细阐述对软件功能实现方面的理解情况和所采取的技术水平，以及整体功能的完整性情况，投标人针对本项目系统建设需求模块功能模块提供文字、图片进行设计描述。</w:t>
            </w:r>
          </w:p>
        </w:tc>
        <w:tc>
          <w:tcPr>
            <w:tcW w:w="386" w:type="pct"/>
            <w:tcBorders>
              <w:top w:val="single" w:color="auto" w:sz="4" w:space="0"/>
              <w:left w:val="nil"/>
              <w:bottom w:val="single" w:color="auto" w:sz="4" w:space="0"/>
              <w:right w:val="single" w:color="000000" w:sz="8" w:space="0"/>
            </w:tcBorders>
            <w:shd w:val="clear" w:color="auto" w:fill="auto"/>
            <w:vAlign w:val="center"/>
          </w:tcPr>
          <w:p w14:paraId="1A9A5DE4">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453" w:type="pct"/>
            <w:tcBorders>
              <w:top w:val="single" w:color="auto" w:sz="4" w:space="0"/>
              <w:left w:val="nil"/>
              <w:bottom w:val="single" w:color="auto" w:sz="4" w:space="0"/>
              <w:right w:val="single" w:color="000000" w:sz="8" w:space="0"/>
            </w:tcBorders>
            <w:shd w:val="clear" w:color="auto" w:fill="auto"/>
            <w:vAlign w:val="center"/>
          </w:tcPr>
          <w:p w14:paraId="2F10A67B">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CCF8E6F">
            <w:pPr>
              <w:spacing w:line="360" w:lineRule="auto"/>
              <w:rPr>
                <w:rFonts w:hint="eastAsia" w:ascii="宋体" w:hAnsi="宋体" w:cs="宋体"/>
                <w:color w:val="auto"/>
                <w:sz w:val="24"/>
                <w:highlight w:val="none"/>
              </w:rPr>
            </w:pPr>
          </w:p>
        </w:tc>
      </w:tr>
      <w:tr w14:paraId="246F4FCF">
        <w:tblPrEx>
          <w:tblCellMar>
            <w:top w:w="0" w:type="dxa"/>
            <w:left w:w="108" w:type="dxa"/>
            <w:bottom w:w="0" w:type="dxa"/>
            <w:right w:w="108" w:type="dxa"/>
          </w:tblCellMar>
        </w:tblPrEx>
        <w:trPr>
          <w:trHeight w:val="591"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D37FDE5">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58140651">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1343403F">
            <w:pPr>
              <w:widowControl/>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（1）江河汇才智慧人才</w:t>
            </w:r>
          </w:p>
          <w:p w14:paraId="16047D2B">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1）服务器适配</w:t>
            </w:r>
          </w:p>
          <w:p w14:paraId="45428AA6">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2）操作系统适配</w:t>
            </w:r>
          </w:p>
          <w:p w14:paraId="24CDECB4">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3）数据库适配</w:t>
            </w:r>
          </w:p>
          <w:p w14:paraId="0AFE8C89">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4）功能改造：</w:t>
            </w:r>
          </w:p>
          <w:p w14:paraId="626220C2">
            <w:pPr>
              <w:widowControl/>
              <w:numPr>
                <w:ilvl w:val="0"/>
                <w:numId w:val="7"/>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PC服务端：首页、走进上城、在线办事、资源对接</w:t>
            </w:r>
          </w:p>
          <w:p w14:paraId="698FAD22">
            <w:pPr>
              <w:widowControl/>
              <w:numPr>
                <w:ilvl w:val="0"/>
                <w:numId w:val="7"/>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移动版服务端：首页、走进上城、区级服务、资源对接、链接服务、人才码</w:t>
            </w:r>
          </w:p>
          <w:p w14:paraId="47F1D874">
            <w:pPr>
              <w:widowControl/>
              <w:numPr>
                <w:ilvl w:val="0"/>
                <w:numId w:val="7"/>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PC运营治理端：账号管理、运营管理、政策审核、资源对接</w:t>
            </w:r>
          </w:p>
          <w:p w14:paraId="2409B195">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一单位一平台接入，根据方案的完整性、符合性进行打分。（得分：5、4、3、2、1、0）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22EE79FF">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31CAEF73">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5150D103">
            <w:pPr>
              <w:spacing w:line="360" w:lineRule="auto"/>
              <w:rPr>
                <w:rFonts w:hint="eastAsia" w:ascii="宋体" w:hAnsi="宋体" w:cs="宋体"/>
                <w:color w:val="auto"/>
                <w:sz w:val="24"/>
                <w:highlight w:val="none"/>
              </w:rPr>
            </w:pPr>
          </w:p>
        </w:tc>
      </w:tr>
      <w:tr w14:paraId="3FB92771">
        <w:tblPrEx>
          <w:tblCellMar>
            <w:top w:w="0" w:type="dxa"/>
            <w:left w:w="108" w:type="dxa"/>
            <w:bottom w:w="0" w:type="dxa"/>
            <w:right w:w="108" w:type="dxa"/>
          </w:tblCellMar>
        </w:tblPrEx>
        <w:trPr>
          <w:trHeight w:val="1167"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D558B5E">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35D086D1">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1BD0C875">
            <w:pPr>
              <w:widowControl/>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（2）红色十二时辰</w:t>
            </w:r>
          </w:p>
          <w:p w14:paraId="33A703C0">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1）服务器适配</w:t>
            </w:r>
          </w:p>
          <w:p w14:paraId="2947AF06">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2）操作系统适配</w:t>
            </w:r>
          </w:p>
          <w:p w14:paraId="3E123D97">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3）数据库适配</w:t>
            </w:r>
          </w:p>
          <w:p w14:paraId="5CD19D79">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4）功能改造：</w:t>
            </w:r>
          </w:p>
          <w:p w14:paraId="70932011">
            <w:pPr>
              <w:widowControl/>
              <w:numPr>
                <w:ilvl w:val="0"/>
                <w:numId w:val="8"/>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街道数字党建大屏</w:t>
            </w:r>
          </w:p>
          <w:p w14:paraId="574228B5">
            <w:pPr>
              <w:widowControl/>
              <w:numPr>
                <w:ilvl w:val="0"/>
                <w:numId w:val="8"/>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区级数字党建大屏</w:t>
            </w:r>
          </w:p>
          <w:p w14:paraId="20207D66">
            <w:pPr>
              <w:widowControl/>
              <w:numPr>
                <w:ilvl w:val="0"/>
                <w:numId w:val="8"/>
              </w:numPr>
              <w:adjustRightInd/>
              <w:spacing w:after="0"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数字党建系统管理后台</w:t>
            </w:r>
          </w:p>
          <w:p w14:paraId="19777D23">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④</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一单位一平台接入</w:t>
            </w:r>
          </w:p>
          <w:p w14:paraId="18085B5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13A4F838">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3AD32721">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5190EBF6">
            <w:pPr>
              <w:spacing w:line="360" w:lineRule="auto"/>
              <w:rPr>
                <w:rFonts w:hint="eastAsia" w:ascii="宋体" w:hAnsi="宋体" w:cs="宋体"/>
                <w:color w:val="auto"/>
                <w:sz w:val="24"/>
                <w:highlight w:val="none"/>
              </w:rPr>
            </w:pPr>
          </w:p>
        </w:tc>
      </w:tr>
      <w:tr w14:paraId="24A4A35A">
        <w:tblPrEx>
          <w:tblCellMar>
            <w:top w:w="0" w:type="dxa"/>
            <w:left w:w="108" w:type="dxa"/>
            <w:bottom w:w="0" w:type="dxa"/>
            <w:right w:w="108" w:type="dxa"/>
          </w:tblCellMar>
        </w:tblPrEx>
        <w:trPr>
          <w:trHeight w:val="879"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D2AE32E">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315A4057">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6E632145">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（3）幸福邻里坊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1）账号体系对接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2）单点登录对接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3）权限控制对接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4）门户入口对接</w:t>
            </w:r>
          </w:p>
          <w:p w14:paraId="6C0041D6">
            <w:pPr>
              <w:pStyle w:val="81"/>
              <w:spacing w:line="360" w:lineRule="auto"/>
              <w:ind w:firstLine="0" w:firstLineChars="0"/>
              <w:rPr>
                <w:rFonts w:hint="eastAsia" w:ascii="宋体" w:hAnsi="宋体" w:eastAsia="宋体"/>
                <w:color w:val="auto"/>
                <w:sz w:val="24"/>
                <w:szCs w:val="24"/>
                <w:highlight w:val="none"/>
                <w:lang w:bidi="ar"/>
              </w:rPr>
            </w:pPr>
            <w:r>
              <w:rPr>
                <w:rFonts w:hint="eastAsia" w:ascii="宋体" w:hAnsi="宋体" w:eastAsia="宋体" w:cs="宋体"/>
                <w:color w:val="auto"/>
                <w:sz w:val="24"/>
                <w:szCs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60EA8CA0">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2121C6E5">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27D800D5">
            <w:pPr>
              <w:spacing w:line="360" w:lineRule="auto"/>
              <w:rPr>
                <w:rFonts w:hint="eastAsia" w:ascii="宋体" w:hAnsi="宋体" w:cs="宋体"/>
                <w:color w:val="auto"/>
                <w:sz w:val="24"/>
                <w:highlight w:val="none"/>
              </w:rPr>
            </w:pPr>
          </w:p>
        </w:tc>
      </w:tr>
      <w:tr w14:paraId="54845006">
        <w:tblPrEx>
          <w:tblCellMar>
            <w:top w:w="0" w:type="dxa"/>
            <w:left w:w="108" w:type="dxa"/>
            <w:bottom w:w="0" w:type="dxa"/>
            <w:right w:w="108" w:type="dxa"/>
          </w:tblCellMar>
        </w:tblPrEx>
        <w:trPr>
          <w:trHeight w:val="879"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B1B8178">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4942C743">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21E33A0C">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（4）绩效e考通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1）免登接口开发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2）统一消息接口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3）移动端接入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4）一单位一平台接入</w:t>
            </w:r>
          </w:p>
          <w:p w14:paraId="253696A2">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3A3D8823">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659C84E6">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40A351C2">
            <w:pPr>
              <w:spacing w:line="360" w:lineRule="auto"/>
              <w:rPr>
                <w:rFonts w:hint="eastAsia" w:ascii="宋体" w:hAnsi="宋体" w:cs="宋体"/>
                <w:color w:val="auto"/>
                <w:sz w:val="24"/>
                <w:highlight w:val="none"/>
              </w:rPr>
            </w:pPr>
          </w:p>
        </w:tc>
      </w:tr>
      <w:tr w14:paraId="1838FC16">
        <w:tblPrEx>
          <w:tblCellMar>
            <w:top w:w="0" w:type="dxa"/>
            <w:left w:w="108" w:type="dxa"/>
            <w:bottom w:w="0" w:type="dxa"/>
            <w:right w:w="108" w:type="dxa"/>
          </w:tblCellMar>
        </w:tblPrEx>
        <w:trPr>
          <w:trHeight w:val="879"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2FEDA22">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36033008">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3356691D">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（5）“数智组工”平台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1）统一用户、授权、集成、安全、资源、消息管理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2）工作台门户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3）用户中心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4）认证中心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5）消息中心</w:t>
            </w:r>
          </w:p>
          <w:p w14:paraId="150B5EF2">
            <w:pPr>
              <w:pStyle w:val="81"/>
              <w:spacing w:line="360" w:lineRule="auto"/>
              <w:ind w:firstLine="0" w:firstLineChars="0"/>
              <w:rPr>
                <w:rFonts w:hint="eastAsia" w:ascii="宋体" w:hAnsi="宋体" w:eastAsia="宋体"/>
                <w:color w:val="auto"/>
                <w:sz w:val="24"/>
                <w:szCs w:val="24"/>
                <w:highlight w:val="none"/>
                <w:lang w:bidi="ar"/>
              </w:rPr>
            </w:pPr>
            <w:r>
              <w:rPr>
                <w:rFonts w:hint="eastAsia" w:ascii="宋体" w:hAnsi="宋体" w:eastAsia="宋体" w:cs="宋体"/>
                <w:color w:val="auto"/>
                <w:sz w:val="24"/>
                <w:szCs w:val="24"/>
                <w:highlight w:val="none"/>
                <w:lang w:bidi="ar"/>
              </w:rPr>
              <w:t>根据方案的完整性、符合性进行打分。（得分：5、4、3、2、1、0）</w:t>
            </w:r>
          </w:p>
        </w:tc>
        <w:tc>
          <w:tcPr>
            <w:tcW w:w="386" w:type="pct"/>
            <w:tcBorders>
              <w:top w:val="single" w:color="auto" w:sz="4" w:space="0"/>
              <w:left w:val="nil"/>
              <w:bottom w:val="single" w:color="auto" w:sz="4" w:space="0"/>
              <w:right w:val="single" w:color="000000" w:sz="8" w:space="0"/>
            </w:tcBorders>
            <w:shd w:val="clear" w:color="auto" w:fill="auto"/>
            <w:vAlign w:val="center"/>
          </w:tcPr>
          <w:p w14:paraId="7046227B">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auto" w:sz="4" w:space="0"/>
              <w:right w:val="single" w:color="000000" w:sz="8" w:space="0"/>
            </w:tcBorders>
            <w:shd w:val="clear" w:color="auto" w:fill="auto"/>
            <w:vAlign w:val="center"/>
          </w:tcPr>
          <w:p w14:paraId="4DA5CE35">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auto" w:sz="4" w:space="0"/>
              <w:right w:val="single" w:color="000000" w:sz="8" w:space="0"/>
            </w:tcBorders>
            <w:shd w:val="clear" w:color="auto" w:fill="auto"/>
            <w:vAlign w:val="center"/>
          </w:tcPr>
          <w:p w14:paraId="6CE4951A">
            <w:pPr>
              <w:spacing w:line="360" w:lineRule="auto"/>
              <w:rPr>
                <w:rFonts w:hint="eastAsia" w:ascii="宋体" w:hAnsi="宋体" w:cs="宋体"/>
                <w:color w:val="auto"/>
                <w:sz w:val="24"/>
                <w:highlight w:val="none"/>
              </w:rPr>
            </w:pPr>
          </w:p>
        </w:tc>
      </w:tr>
      <w:tr w14:paraId="7A7E8560">
        <w:tblPrEx>
          <w:tblCellMar>
            <w:top w:w="0" w:type="dxa"/>
            <w:left w:w="108" w:type="dxa"/>
            <w:bottom w:w="0" w:type="dxa"/>
            <w:right w:w="108" w:type="dxa"/>
          </w:tblCellMar>
        </w:tblPrEx>
        <w:trPr>
          <w:trHeight w:val="2607" w:hRule="atLeast"/>
        </w:trPr>
        <w:tc>
          <w:tcPr>
            <w:tcW w:w="494"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5D2B925C">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w:t>
            </w:r>
          </w:p>
        </w:tc>
        <w:tc>
          <w:tcPr>
            <w:tcW w:w="623" w:type="pct"/>
            <w:tcBorders>
              <w:top w:val="single" w:color="auto" w:sz="4" w:space="0"/>
              <w:left w:val="nil"/>
              <w:bottom w:val="single" w:color="000000" w:sz="8" w:space="0"/>
              <w:right w:val="single" w:color="000000" w:sz="8" w:space="0"/>
            </w:tcBorders>
            <w:shd w:val="clear" w:color="auto" w:fill="auto"/>
            <w:vAlign w:val="center"/>
          </w:tcPr>
          <w:p w14:paraId="6B9AC05E">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数据迁移</w:t>
            </w:r>
          </w:p>
        </w:tc>
        <w:tc>
          <w:tcPr>
            <w:tcW w:w="2532" w:type="pct"/>
            <w:tcBorders>
              <w:top w:val="single" w:color="auto" w:sz="4" w:space="0"/>
              <w:left w:val="nil"/>
              <w:bottom w:val="single" w:color="000000" w:sz="8" w:space="0"/>
              <w:right w:val="single" w:color="000000" w:sz="8" w:space="0"/>
            </w:tcBorders>
            <w:shd w:val="clear" w:color="auto" w:fill="auto"/>
            <w:vAlign w:val="center"/>
          </w:tcPr>
          <w:p w14:paraId="2AD2B409">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提供针对本项目建设内容的历史数据迁移方案，内容包括但不限于数据迁移需求分析、软硬件环境现状、系统容量需求分析、数据迁移风险、数据迁移实施方案等方面，根据方案的完整性、符合性进行打分。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5、4、3、2、1、0）</w:t>
            </w:r>
          </w:p>
        </w:tc>
        <w:tc>
          <w:tcPr>
            <w:tcW w:w="386" w:type="pct"/>
            <w:tcBorders>
              <w:top w:val="single" w:color="auto" w:sz="4" w:space="0"/>
              <w:left w:val="nil"/>
              <w:bottom w:val="single" w:color="000000" w:sz="8" w:space="0"/>
              <w:right w:val="single" w:color="000000" w:sz="8" w:space="0"/>
            </w:tcBorders>
            <w:shd w:val="clear" w:color="auto" w:fill="auto"/>
            <w:vAlign w:val="center"/>
          </w:tcPr>
          <w:p w14:paraId="705187A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453" w:type="pct"/>
            <w:tcBorders>
              <w:top w:val="single" w:color="auto" w:sz="4" w:space="0"/>
              <w:left w:val="nil"/>
              <w:bottom w:val="single" w:color="000000" w:sz="8" w:space="0"/>
              <w:right w:val="single" w:color="000000" w:sz="8" w:space="0"/>
            </w:tcBorders>
            <w:shd w:val="clear" w:color="auto" w:fill="auto"/>
            <w:vAlign w:val="center"/>
          </w:tcPr>
          <w:p w14:paraId="02CEB97D">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single" w:color="auto" w:sz="4" w:space="0"/>
              <w:left w:val="nil"/>
              <w:bottom w:val="single" w:color="000000" w:sz="8" w:space="0"/>
              <w:right w:val="single" w:color="000000" w:sz="8" w:space="0"/>
            </w:tcBorders>
            <w:shd w:val="clear" w:color="auto" w:fill="auto"/>
            <w:vAlign w:val="center"/>
          </w:tcPr>
          <w:p w14:paraId="4FAEA862">
            <w:pPr>
              <w:spacing w:line="360" w:lineRule="auto"/>
              <w:rPr>
                <w:rFonts w:hint="eastAsia" w:ascii="宋体" w:hAnsi="宋体" w:cs="宋体"/>
                <w:color w:val="auto"/>
                <w:sz w:val="24"/>
                <w:highlight w:val="none"/>
              </w:rPr>
            </w:pPr>
          </w:p>
        </w:tc>
      </w:tr>
      <w:tr w14:paraId="6FA894D8">
        <w:tblPrEx>
          <w:tblCellMar>
            <w:top w:w="0" w:type="dxa"/>
            <w:left w:w="108" w:type="dxa"/>
            <w:bottom w:w="0" w:type="dxa"/>
            <w:right w:w="108" w:type="dxa"/>
          </w:tblCellMar>
        </w:tblPrEx>
        <w:trPr>
          <w:trHeight w:val="2044"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62CFB98C">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6</w:t>
            </w:r>
          </w:p>
        </w:tc>
        <w:tc>
          <w:tcPr>
            <w:tcW w:w="623" w:type="pct"/>
            <w:tcBorders>
              <w:top w:val="nil"/>
              <w:left w:val="nil"/>
              <w:bottom w:val="single" w:color="000000" w:sz="8" w:space="0"/>
              <w:right w:val="single" w:color="000000" w:sz="8" w:space="0"/>
            </w:tcBorders>
            <w:shd w:val="clear" w:color="auto" w:fill="auto"/>
            <w:vAlign w:val="center"/>
          </w:tcPr>
          <w:p w14:paraId="560E0B7F">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质量保障</w:t>
            </w:r>
          </w:p>
        </w:tc>
        <w:tc>
          <w:tcPr>
            <w:tcW w:w="2532" w:type="pct"/>
            <w:tcBorders>
              <w:top w:val="nil"/>
              <w:left w:val="nil"/>
              <w:bottom w:val="single" w:color="auto" w:sz="4" w:space="0"/>
              <w:right w:val="single" w:color="000000" w:sz="8" w:space="0"/>
            </w:tcBorders>
            <w:shd w:val="clear" w:color="auto" w:fill="auto"/>
            <w:vAlign w:val="center"/>
          </w:tcPr>
          <w:p w14:paraId="73DBE69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投标人按采购人要求</w:t>
            </w:r>
          </w:p>
          <w:p w14:paraId="562A3ECB">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①具有明确的建设质量目标</w:t>
            </w:r>
          </w:p>
          <w:p w14:paraId="2DB7C90A">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②具有质量保证措施</w:t>
            </w:r>
          </w:p>
          <w:p w14:paraId="7EA84F8F">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③具有详细可行的实施内容等。</w:t>
            </w:r>
          </w:p>
          <w:p w14:paraId="1A01135E">
            <w:pPr>
              <w:spacing w:after="0"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4、3、2、1、0）</w:t>
            </w:r>
          </w:p>
        </w:tc>
        <w:tc>
          <w:tcPr>
            <w:tcW w:w="386" w:type="pct"/>
            <w:tcBorders>
              <w:top w:val="nil"/>
              <w:left w:val="nil"/>
              <w:bottom w:val="single" w:color="000000" w:sz="8" w:space="0"/>
              <w:right w:val="single" w:color="000000" w:sz="8" w:space="0"/>
            </w:tcBorders>
            <w:shd w:val="clear" w:color="auto" w:fill="auto"/>
            <w:vAlign w:val="center"/>
          </w:tcPr>
          <w:p w14:paraId="3650BEB6">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53" w:type="pct"/>
            <w:tcBorders>
              <w:top w:val="nil"/>
              <w:left w:val="nil"/>
              <w:bottom w:val="single" w:color="000000" w:sz="8" w:space="0"/>
              <w:right w:val="single" w:color="000000" w:sz="8" w:space="0"/>
            </w:tcBorders>
            <w:shd w:val="clear" w:color="auto" w:fill="auto"/>
            <w:vAlign w:val="center"/>
          </w:tcPr>
          <w:p w14:paraId="52B1237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70AB1DF1">
            <w:pPr>
              <w:spacing w:line="360" w:lineRule="auto"/>
              <w:rPr>
                <w:rFonts w:hint="eastAsia" w:ascii="宋体" w:hAnsi="宋体" w:cs="宋体"/>
                <w:color w:val="auto"/>
                <w:sz w:val="24"/>
                <w:highlight w:val="none"/>
              </w:rPr>
            </w:pPr>
          </w:p>
        </w:tc>
      </w:tr>
      <w:tr w14:paraId="660251E4">
        <w:tblPrEx>
          <w:tblCellMar>
            <w:top w:w="0" w:type="dxa"/>
            <w:left w:w="108" w:type="dxa"/>
            <w:bottom w:w="0" w:type="dxa"/>
            <w:right w:w="108" w:type="dxa"/>
          </w:tblCellMar>
        </w:tblPrEx>
        <w:trPr>
          <w:trHeight w:val="2101"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31630AB2">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7</w:t>
            </w:r>
          </w:p>
        </w:tc>
        <w:tc>
          <w:tcPr>
            <w:tcW w:w="623" w:type="pct"/>
            <w:tcBorders>
              <w:top w:val="nil"/>
              <w:left w:val="nil"/>
              <w:bottom w:val="single" w:color="000000" w:sz="8" w:space="0"/>
              <w:right w:val="single" w:color="000000" w:sz="8" w:space="0"/>
            </w:tcBorders>
            <w:shd w:val="clear" w:color="auto" w:fill="auto"/>
            <w:vAlign w:val="center"/>
          </w:tcPr>
          <w:p w14:paraId="3F9E1B9E">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进度保障</w:t>
            </w:r>
          </w:p>
        </w:tc>
        <w:tc>
          <w:tcPr>
            <w:tcW w:w="2532" w:type="pct"/>
            <w:tcBorders>
              <w:top w:val="single" w:color="auto" w:sz="4" w:space="0"/>
              <w:left w:val="nil"/>
              <w:bottom w:val="single" w:color="auto" w:sz="4" w:space="0"/>
              <w:right w:val="single" w:color="000000" w:sz="8" w:space="0"/>
            </w:tcBorders>
            <w:shd w:val="clear" w:color="auto" w:fill="auto"/>
            <w:vAlign w:val="center"/>
          </w:tcPr>
          <w:p w14:paraId="2F9644C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投标人按采购人要求</w:t>
            </w:r>
          </w:p>
          <w:p w14:paraId="32D971F7">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①具有明确的实施计划</w:t>
            </w:r>
          </w:p>
          <w:p w14:paraId="5AF5EB3E">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②具有进度保证措施</w:t>
            </w:r>
          </w:p>
          <w:p w14:paraId="274E938C">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③具有详细可行的实施内容等。</w:t>
            </w:r>
          </w:p>
          <w:p w14:paraId="0C7F3C87">
            <w:pPr>
              <w:spacing w:after="0"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4、3、2、1、0）</w:t>
            </w:r>
          </w:p>
        </w:tc>
        <w:tc>
          <w:tcPr>
            <w:tcW w:w="386" w:type="pct"/>
            <w:tcBorders>
              <w:top w:val="nil"/>
              <w:left w:val="nil"/>
              <w:bottom w:val="single" w:color="000000" w:sz="8" w:space="0"/>
              <w:right w:val="single" w:color="000000" w:sz="8" w:space="0"/>
            </w:tcBorders>
            <w:shd w:val="clear" w:color="auto" w:fill="auto"/>
            <w:vAlign w:val="center"/>
          </w:tcPr>
          <w:p w14:paraId="0841B248">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53" w:type="pct"/>
            <w:tcBorders>
              <w:top w:val="nil"/>
              <w:left w:val="nil"/>
              <w:bottom w:val="single" w:color="000000" w:sz="8" w:space="0"/>
              <w:right w:val="single" w:color="000000" w:sz="8" w:space="0"/>
            </w:tcBorders>
            <w:shd w:val="clear" w:color="auto" w:fill="auto"/>
            <w:vAlign w:val="center"/>
          </w:tcPr>
          <w:p w14:paraId="5B612036">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381DB054">
            <w:pPr>
              <w:spacing w:line="360" w:lineRule="auto"/>
              <w:rPr>
                <w:rFonts w:hint="eastAsia" w:ascii="宋体" w:hAnsi="宋体" w:cs="宋体"/>
                <w:color w:val="auto"/>
                <w:sz w:val="24"/>
                <w:highlight w:val="none"/>
              </w:rPr>
            </w:pPr>
          </w:p>
        </w:tc>
      </w:tr>
      <w:tr w14:paraId="30522CF5">
        <w:tblPrEx>
          <w:tblCellMar>
            <w:top w:w="0" w:type="dxa"/>
            <w:left w:w="108" w:type="dxa"/>
            <w:bottom w:w="0" w:type="dxa"/>
            <w:right w:w="108" w:type="dxa"/>
          </w:tblCellMar>
        </w:tblPrEx>
        <w:trPr>
          <w:trHeight w:val="1882"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020C8DB2">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8</w:t>
            </w:r>
          </w:p>
        </w:tc>
        <w:tc>
          <w:tcPr>
            <w:tcW w:w="623" w:type="pct"/>
            <w:tcBorders>
              <w:top w:val="nil"/>
              <w:left w:val="nil"/>
              <w:bottom w:val="single" w:color="000000" w:sz="8" w:space="0"/>
              <w:right w:val="single" w:color="000000" w:sz="8" w:space="0"/>
            </w:tcBorders>
            <w:shd w:val="clear" w:color="auto" w:fill="auto"/>
            <w:vAlign w:val="center"/>
          </w:tcPr>
          <w:p w14:paraId="36A48E6D">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培训方案</w:t>
            </w:r>
          </w:p>
        </w:tc>
        <w:tc>
          <w:tcPr>
            <w:tcW w:w="2532" w:type="pct"/>
            <w:tcBorders>
              <w:top w:val="single" w:color="auto" w:sz="4" w:space="0"/>
              <w:left w:val="nil"/>
              <w:bottom w:val="single" w:color="auto" w:sz="4" w:space="0"/>
              <w:right w:val="single" w:color="000000" w:sz="8" w:space="0"/>
            </w:tcBorders>
            <w:shd w:val="clear" w:color="auto" w:fill="auto"/>
            <w:vAlign w:val="center"/>
          </w:tcPr>
          <w:p w14:paraId="61F8BE3F">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培训计划包括①培训内容、②培训时间地点、③培训对象，④培训师资力量等；</w:t>
            </w:r>
          </w:p>
          <w:p w14:paraId="1EA74EC8">
            <w:pPr>
              <w:spacing w:after="0"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4、3、2、1、0）</w:t>
            </w:r>
          </w:p>
        </w:tc>
        <w:tc>
          <w:tcPr>
            <w:tcW w:w="386" w:type="pct"/>
            <w:tcBorders>
              <w:top w:val="nil"/>
              <w:left w:val="nil"/>
              <w:bottom w:val="single" w:color="000000" w:sz="8" w:space="0"/>
              <w:right w:val="single" w:color="000000" w:sz="8" w:space="0"/>
            </w:tcBorders>
            <w:shd w:val="clear" w:color="auto" w:fill="auto"/>
            <w:vAlign w:val="center"/>
          </w:tcPr>
          <w:p w14:paraId="1386049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53" w:type="pct"/>
            <w:tcBorders>
              <w:top w:val="nil"/>
              <w:left w:val="nil"/>
              <w:bottom w:val="single" w:color="000000" w:sz="8" w:space="0"/>
              <w:right w:val="single" w:color="000000" w:sz="8" w:space="0"/>
            </w:tcBorders>
            <w:shd w:val="clear" w:color="auto" w:fill="auto"/>
            <w:vAlign w:val="center"/>
          </w:tcPr>
          <w:p w14:paraId="176B7FC2">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1210F9F7">
            <w:pPr>
              <w:spacing w:line="360" w:lineRule="auto"/>
              <w:rPr>
                <w:rFonts w:hint="eastAsia" w:ascii="宋体" w:hAnsi="宋体" w:cs="宋体"/>
                <w:color w:val="auto"/>
                <w:sz w:val="24"/>
                <w:highlight w:val="none"/>
              </w:rPr>
            </w:pPr>
          </w:p>
        </w:tc>
      </w:tr>
      <w:tr w14:paraId="326EE9FC">
        <w:tblPrEx>
          <w:tblCellMar>
            <w:top w:w="0" w:type="dxa"/>
            <w:left w:w="108" w:type="dxa"/>
            <w:bottom w:w="0" w:type="dxa"/>
            <w:right w:w="108" w:type="dxa"/>
          </w:tblCellMar>
        </w:tblPrEx>
        <w:trPr>
          <w:trHeight w:val="1493"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5B937DA2">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9</w:t>
            </w:r>
          </w:p>
        </w:tc>
        <w:tc>
          <w:tcPr>
            <w:tcW w:w="623" w:type="pct"/>
            <w:tcBorders>
              <w:top w:val="nil"/>
              <w:left w:val="nil"/>
              <w:bottom w:val="single" w:color="000000" w:sz="8" w:space="0"/>
              <w:right w:val="single" w:color="000000" w:sz="8" w:space="0"/>
            </w:tcBorders>
            <w:shd w:val="clear" w:color="auto" w:fill="auto"/>
            <w:vAlign w:val="center"/>
          </w:tcPr>
          <w:p w14:paraId="44478665">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验收方案</w:t>
            </w:r>
          </w:p>
        </w:tc>
        <w:tc>
          <w:tcPr>
            <w:tcW w:w="2532" w:type="pct"/>
            <w:tcBorders>
              <w:top w:val="single" w:color="auto" w:sz="4" w:space="0"/>
              <w:left w:val="nil"/>
              <w:bottom w:val="single" w:color="000000" w:sz="8" w:space="0"/>
              <w:right w:val="single" w:color="000000" w:sz="8" w:space="0"/>
            </w:tcBorders>
            <w:shd w:val="clear" w:color="auto" w:fill="auto"/>
            <w:vAlign w:val="center"/>
          </w:tcPr>
          <w:p w14:paraId="06FBA2AB">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验收方案包括①提供渗透测试报告、信创测评报告信息安全等级保护二级测评报告、②通过密评、③配合验收小组验收根据方案的完整性、符合性进行打分。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 xml:space="preserve"> 3、2、1、0）</w:t>
            </w:r>
          </w:p>
        </w:tc>
        <w:tc>
          <w:tcPr>
            <w:tcW w:w="386" w:type="pct"/>
            <w:tcBorders>
              <w:top w:val="nil"/>
              <w:left w:val="nil"/>
              <w:bottom w:val="single" w:color="000000" w:sz="8" w:space="0"/>
              <w:right w:val="single" w:color="000000" w:sz="8" w:space="0"/>
            </w:tcBorders>
            <w:shd w:val="clear" w:color="auto" w:fill="auto"/>
            <w:vAlign w:val="center"/>
          </w:tcPr>
          <w:p w14:paraId="7E9C22A7">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53" w:type="pct"/>
            <w:tcBorders>
              <w:top w:val="nil"/>
              <w:left w:val="nil"/>
              <w:bottom w:val="single" w:color="000000" w:sz="8" w:space="0"/>
              <w:right w:val="single" w:color="000000" w:sz="8" w:space="0"/>
            </w:tcBorders>
            <w:shd w:val="clear" w:color="auto" w:fill="auto"/>
            <w:vAlign w:val="center"/>
          </w:tcPr>
          <w:p w14:paraId="46EA6B23">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2A1CEAF8">
            <w:pPr>
              <w:spacing w:line="360" w:lineRule="auto"/>
              <w:rPr>
                <w:rFonts w:hint="eastAsia" w:ascii="宋体" w:hAnsi="宋体" w:cs="宋体"/>
                <w:color w:val="auto"/>
                <w:sz w:val="24"/>
                <w:highlight w:val="none"/>
              </w:rPr>
            </w:pPr>
          </w:p>
        </w:tc>
      </w:tr>
      <w:tr w14:paraId="208C5691">
        <w:tblPrEx>
          <w:tblCellMar>
            <w:top w:w="0" w:type="dxa"/>
            <w:left w:w="108" w:type="dxa"/>
            <w:bottom w:w="0" w:type="dxa"/>
            <w:right w:w="108" w:type="dxa"/>
          </w:tblCellMar>
        </w:tblPrEx>
        <w:trPr>
          <w:trHeight w:val="1455"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641343BC">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10</w:t>
            </w:r>
          </w:p>
        </w:tc>
        <w:tc>
          <w:tcPr>
            <w:tcW w:w="623" w:type="pct"/>
            <w:tcBorders>
              <w:top w:val="nil"/>
              <w:left w:val="nil"/>
              <w:bottom w:val="single" w:color="000000" w:sz="8" w:space="0"/>
              <w:right w:val="single" w:color="000000" w:sz="8" w:space="0"/>
            </w:tcBorders>
            <w:shd w:val="clear" w:color="auto" w:fill="auto"/>
            <w:vAlign w:val="center"/>
          </w:tcPr>
          <w:p w14:paraId="521A5F4F">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应急预案</w:t>
            </w:r>
          </w:p>
        </w:tc>
        <w:tc>
          <w:tcPr>
            <w:tcW w:w="2532" w:type="pct"/>
            <w:tcBorders>
              <w:top w:val="nil"/>
              <w:left w:val="nil"/>
              <w:bottom w:val="single" w:color="000000" w:sz="8" w:space="0"/>
              <w:right w:val="single" w:color="000000" w:sz="8" w:space="0"/>
            </w:tcBorders>
            <w:shd w:val="clear" w:color="auto" w:fill="auto"/>
            <w:vAlign w:val="center"/>
          </w:tcPr>
          <w:p w14:paraId="58C735A3">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应急预案包括①预案完整性、②快速响应机制、③容灾与备份。根据方案的完整性、符合性进行打分。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4、3、2、1、0）</w:t>
            </w:r>
          </w:p>
        </w:tc>
        <w:tc>
          <w:tcPr>
            <w:tcW w:w="386" w:type="pct"/>
            <w:tcBorders>
              <w:top w:val="nil"/>
              <w:left w:val="nil"/>
              <w:bottom w:val="single" w:color="000000" w:sz="8" w:space="0"/>
              <w:right w:val="single" w:color="000000" w:sz="8" w:space="0"/>
            </w:tcBorders>
            <w:shd w:val="clear" w:color="auto" w:fill="auto"/>
            <w:vAlign w:val="center"/>
          </w:tcPr>
          <w:p w14:paraId="6D61832E">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53" w:type="pct"/>
            <w:tcBorders>
              <w:top w:val="nil"/>
              <w:left w:val="nil"/>
              <w:bottom w:val="single" w:color="000000" w:sz="8" w:space="0"/>
              <w:right w:val="single" w:color="000000" w:sz="8" w:space="0"/>
            </w:tcBorders>
            <w:shd w:val="clear" w:color="auto" w:fill="auto"/>
            <w:vAlign w:val="center"/>
          </w:tcPr>
          <w:p w14:paraId="50F27B2A">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016BD30D">
            <w:pPr>
              <w:spacing w:line="360" w:lineRule="auto"/>
              <w:rPr>
                <w:rFonts w:hint="eastAsia" w:ascii="宋体" w:hAnsi="宋体" w:cs="宋体"/>
                <w:color w:val="auto"/>
                <w:sz w:val="24"/>
                <w:highlight w:val="none"/>
              </w:rPr>
            </w:pPr>
          </w:p>
        </w:tc>
      </w:tr>
      <w:tr w14:paraId="226D616F">
        <w:tblPrEx>
          <w:tblCellMar>
            <w:top w:w="0" w:type="dxa"/>
            <w:left w:w="108" w:type="dxa"/>
            <w:bottom w:w="0" w:type="dxa"/>
            <w:right w:w="108" w:type="dxa"/>
          </w:tblCellMar>
        </w:tblPrEx>
        <w:trPr>
          <w:trHeight w:val="1743"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42E1BF09">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11</w:t>
            </w:r>
          </w:p>
        </w:tc>
        <w:tc>
          <w:tcPr>
            <w:tcW w:w="623" w:type="pct"/>
            <w:tcBorders>
              <w:top w:val="nil"/>
              <w:left w:val="nil"/>
              <w:bottom w:val="single" w:color="000000" w:sz="8" w:space="0"/>
              <w:right w:val="single" w:color="000000" w:sz="8" w:space="0"/>
            </w:tcBorders>
            <w:shd w:val="clear" w:color="auto" w:fill="auto"/>
            <w:vAlign w:val="center"/>
          </w:tcPr>
          <w:p w14:paraId="696A90C0">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安全保障</w:t>
            </w:r>
          </w:p>
        </w:tc>
        <w:tc>
          <w:tcPr>
            <w:tcW w:w="2532" w:type="pct"/>
            <w:tcBorders>
              <w:top w:val="nil"/>
              <w:left w:val="nil"/>
              <w:bottom w:val="single" w:color="000000" w:sz="8" w:space="0"/>
              <w:right w:val="single" w:color="000000" w:sz="8" w:space="0"/>
            </w:tcBorders>
            <w:shd w:val="clear" w:color="auto" w:fill="auto"/>
            <w:vAlign w:val="center"/>
          </w:tcPr>
          <w:p w14:paraId="383FFB0E">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安全保障①安全访问控制、②数据与网络安全、③安全审计与监控。根据方案的完整性、符合性进行打分。</w:t>
            </w:r>
            <w:r>
              <w:rPr>
                <w:rFonts w:hint="eastAsia" w:ascii="宋体" w:hAnsi="宋体" w:cs="宋体"/>
                <w:color w:val="auto"/>
                <w:sz w:val="24"/>
                <w:highlight w:val="none"/>
                <w:lang w:bidi="ar"/>
              </w:rPr>
              <w:t>（</w:t>
            </w:r>
            <w:r>
              <w:rPr>
                <w:rFonts w:hint="eastAsia" w:ascii="宋体" w:hAnsi="宋体" w:cs="宋体"/>
                <w:color w:val="auto"/>
                <w:kern w:val="0"/>
                <w:sz w:val="24"/>
                <w:highlight w:val="none"/>
                <w:lang w:bidi="ar"/>
              </w:rPr>
              <w:t>得分：</w:t>
            </w:r>
            <w:r>
              <w:rPr>
                <w:rFonts w:hint="eastAsia" w:ascii="宋体" w:hAnsi="宋体" w:cs="宋体"/>
                <w:color w:val="auto"/>
                <w:sz w:val="24"/>
                <w:highlight w:val="none"/>
                <w:lang w:bidi="ar"/>
              </w:rPr>
              <w:t>4、3、2、1、0）</w:t>
            </w:r>
          </w:p>
        </w:tc>
        <w:tc>
          <w:tcPr>
            <w:tcW w:w="386" w:type="pct"/>
            <w:tcBorders>
              <w:top w:val="nil"/>
              <w:left w:val="nil"/>
              <w:bottom w:val="single" w:color="000000" w:sz="8" w:space="0"/>
              <w:right w:val="single" w:color="000000" w:sz="8" w:space="0"/>
            </w:tcBorders>
            <w:shd w:val="clear" w:color="auto" w:fill="auto"/>
            <w:vAlign w:val="center"/>
          </w:tcPr>
          <w:p w14:paraId="098F11BE">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453" w:type="pct"/>
            <w:tcBorders>
              <w:top w:val="nil"/>
              <w:left w:val="nil"/>
              <w:bottom w:val="single" w:color="000000" w:sz="8" w:space="0"/>
              <w:right w:val="single" w:color="000000" w:sz="8" w:space="0"/>
            </w:tcBorders>
            <w:shd w:val="clear" w:color="auto" w:fill="auto"/>
            <w:vAlign w:val="center"/>
          </w:tcPr>
          <w:p w14:paraId="50A86EB4">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68ABD092">
            <w:pPr>
              <w:spacing w:line="360" w:lineRule="auto"/>
              <w:rPr>
                <w:rFonts w:hint="eastAsia" w:ascii="宋体" w:hAnsi="宋体" w:cs="宋体"/>
                <w:color w:val="auto"/>
                <w:sz w:val="24"/>
                <w:highlight w:val="none"/>
              </w:rPr>
            </w:pPr>
          </w:p>
        </w:tc>
      </w:tr>
      <w:tr w14:paraId="253D62EC">
        <w:tblPrEx>
          <w:tblCellMar>
            <w:top w:w="0" w:type="dxa"/>
            <w:left w:w="108" w:type="dxa"/>
            <w:bottom w:w="0" w:type="dxa"/>
            <w:right w:w="108" w:type="dxa"/>
          </w:tblCellMar>
        </w:tblPrEx>
        <w:trPr>
          <w:trHeight w:val="3183"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593FA47B">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12</w:t>
            </w:r>
          </w:p>
        </w:tc>
        <w:tc>
          <w:tcPr>
            <w:tcW w:w="623" w:type="pct"/>
            <w:tcBorders>
              <w:top w:val="nil"/>
              <w:left w:val="nil"/>
              <w:bottom w:val="single" w:color="000000" w:sz="8" w:space="0"/>
              <w:right w:val="single" w:color="000000" w:sz="8" w:space="0"/>
            </w:tcBorders>
            <w:shd w:val="clear" w:color="auto" w:fill="auto"/>
            <w:vAlign w:val="center"/>
          </w:tcPr>
          <w:p w14:paraId="7995F59F">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售后服务方案</w:t>
            </w:r>
          </w:p>
        </w:tc>
        <w:tc>
          <w:tcPr>
            <w:tcW w:w="2532" w:type="pct"/>
            <w:tcBorders>
              <w:top w:val="nil"/>
              <w:left w:val="nil"/>
              <w:bottom w:val="single" w:color="000000" w:sz="8" w:space="0"/>
              <w:right w:val="single" w:color="000000" w:sz="8" w:space="0"/>
            </w:tcBorders>
            <w:shd w:val="clear" w:color="auto" w:fill="auto"/>
            <w:vAlign w:val="center"/>
          </w:tcPr>
          <w:p w14:paraId="08FCC708">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提供完整详尽的售后服务方案，服务内容包括：①投标人针对各类故障必须提供7*24小时立即响应服务，承诺一般故障在2小时内解决，复杂故障在24小时内解决，如果故障不能在24小时内排除，则应提供技术团队到达现场进行处理。②投标人每月应对系统进行现场巡检，如巡检中发现软硬件问题，应及时诊断修复并提交故障报告及附解决措施；提供承诺或方案，符合要求得3分，不符合要求不得分。</w:t>
            </w:r>
          </w:p>
        </w:tc>
        <w:tc>
          <w:tcPr>
            <w:tcW w:w="386" w:type="pct"/>
            <w:tcBorders>
              <w:top w:val="nil"/>
              <w:left w:val="nil"/>
              <w:bottom w:val="single" w:color="000000" w:sz="8" w:space="0"/>
              <w:right w:val="single" w:color="000000" w:sz="8" w:space="0"/>
            </w:tcBorders>
            <w:shd w:val="clear" w:color="auto" w:fill="auto"/>
            <w:vAlign w:val="center"/>
          </w:tcPr>
          <w:p w14:paraId="646C3188">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53" w:type="pct"/>
            <w:tcBorders>
              <w:top w:val="nil"/>
              <w:left w:val="nil"/>
              <w:bottom w:val="single" w:color="000000" w:sz="8" w:space="0"/>
              <w:right w:val="single" w:color="000000" w:sz="8" w:space="0"/>
            </w:tcBorders>
            <w:shd w:val="clear" w:color="auto" w:fill="auto"/>
            <w:vAlign w:val="center"/>
          </w:tcPr>
          <w:p w14:paraId="25B50E04">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客观分</w:t>
            </w:r>
          </w:p>
        </w:tc>
        <w:tc>
          <w:tcPr>
            <w:tcW w:w="513" w:type="pct"/>
            <w:tcBorders>
              <w:top w:val="nil"/>
              <w:left w:val="nil"/>
              <w:bottom w:val="single" w:color="000000" w:sz="8" w:space="0"/>
              <w:right w:val="single" w:color="000000" w:sz="8" w:space="0"/>
            </w:tcBorders>
            <w:shd w:val="clear" w:color="auto" w:fill="auto"/>
            <w:vAlign w:val="center"/>
          </w:tcPr>
          <w:p w14:paraId="2DE7809A">
            <w:pPr>
              <w:spacing w:line="360" w:lineRule="auto"/>
              <w:rPr>
                <w:rFonts w:hint="eastAsia" w:ascii="宋体" w:hAnsi="宋体" w:cs="宋体"/>
                <w:color w:val="auto"/>
                <w:sz w:val="24"/>
                <w:highlight w:val="none"/>
              </w:rPr>
            </w:pPr>
          </w:p>
        </w:tc>
      </w:tr>
      <w:tr w14:paraId="6E7D23EA">
        <w:tblPrEx>
          <w:tblCellMar>
            <w:top w:w="0" w:type="dxa"/>
            <w:left w:w="108" w:type="dxa"/>
            <w:bottom w:w="0" w:type="dxa"/>
            <w:right w:w="108" w:type="dxa"/>
          </w:tblCellMar>
        </w:tblPrEx>
        <w:trPr>
          <w:trHeight w:val="591" w:hRule="atLeast"/>
        </w:trPr>
        <w:tc>
          <w:tcPr>
            <w:tcW w:w="494" w:type="pct"/>
            <w:vMerge w:val="restart"/>
            <w:tcBorders>
              <w:top w:val="nil"/>
              <w:left w:val="single" w:color="000000" w:sz="8" w:space="0"/>
              <w:bottom w:val="single" w:color="000000" w:sz="8" w:space="0"/>
              <w:right w:val="single" w:color="000000" w:sz="8" w:space="0"/>
            </w:tcBorders>
            <w:shd w:val="clear" w:color="auto" w:fill="auto"/>
            <w:noWrap/>
            <w:vAlign w:val="center"/>
          </w:tcPr>
          <w:p w14:paraId="3F08BC72">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13</w:t>
            </w:r>
          </w:p>
        </w:tc>
        <w:tc>
          <w:tcPr>
            <w:tcW w:w="623" w:type="pct"/>
            <w:vMerge w:val="restart"/>
            <w:tcBorders>
              <w:top w:val="nil"/>
              <w:left w:val="nil"/>
              <w:bottom w:val="single" w:color="000000" w:sz="8" w:space="0"/>
              <w:right w:val="single" w:color="000000" w:sz="8" w:space="0"/>
            </w:tcBorders>
            <w:shd w:val="clear" w:color="auto" w:fill="auto"/>
            <w:vAlign w:val="center"/>
          </w:tcPr>
          <w:p w14:paraId="4D322A8B">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系统方案演示</w:t>
            </w:r>
          </w:p>
        </w:tc>
        <w:tc>
          <w:tcPr>
            <w:tcW w:w="2532" w:type="pct"/>
            <w:tcBorders>
              <w:top w:val="nil"/>
              <w:left w:val="nil"/>
              <w:bottom w:val="single" w:color="000000" w:sz="8" w:space="0"/>
              <w:right w:val="single" w:color="000000" w:sz="8" w:space="0"/>
            </w:tcBorders>
            <w:shd w:val="clear" w:color="auto" w:fill="auto"/>
            <w:vAlign w:val="center"/>
          </w:tcPr>
          <w:p w14:paraId="1896FB21">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针对上城区“数智组工”平台信创提升改造项目的演示：</w:t>
            </w:r>
          </w:p>
        </w:tc>
        <w:tc>
          <w:tcPr>
            <w:tcW w:w="386" w:type="pct"/>
            <w:tcBorders>
              <w:top w:val="nil"/>
              <w:left w:val="nil"/>
              <w:bottom w:val="single" w:color="000000" w:sz="8" w:space="0"/>
              <w:right w:val="single" w:color="000000" w:sz="8" w:space="0"/>
            </w:tcBorders>
            <w:shd w:val="clear" w:color="auto" w:fill="auto"/>
            <w:vAlign w:val="center"/>
          </w:tcPr>
          <w:p w14:paraId="732CD24A">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453" w:type="pct"/>
            <w:tcBorders>
              <w:top w:val="nil"/>
              <w:left w:val="nil"/>
              <w:bottom w:val="single" w:color="000000" w:sz="8" w:space="0"/>
              <w:right w:val="single" w:color="000000" w:sz="8" w:space="0"/>
            </w:tcBorders>
            <w:shd w:val="clear" w:color="auto" w:fill="auto"/>
            <w:vAlign w:val="center"/>
          </w:tcPr>
          <w:p w14:paraId="198C4EA8">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513" w:type="pct"/>
            <w:tcBorders>
              <w:top w:val="nil"/>
              <w:left w:val="nil"/>
              <w:bottom w:val="single" w:color="000000" w:sz="8" w:space="0"/>
              <w:right w:val="single" w:color="000000" w:sz="8" w:space="0"/>
            </w:tcBorders>
            <w:shd w:val="clear" w:color="auto" w:fill="auto"/>
            <w:vAlign w:val="center"/>
          </w:tcPr>
          <w:p w14:paraId="36B23A8E">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6A0803FA">
        <w:tblPrEx>
          <w:tblCellMar>
            <w:top w:w="0" w:type="dxa"/>
            <w:left w:w="108" w:type="dxa"/>
            <w:bottom w:w="0" w:type="dxa"/>
            <w:right w:w="108" w:type="dxa"/>
          </w:tblCellMar>
        </w:tblPrEx>
        <w:trPr>
          <w:trHeight w:val="879"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1D7A90A">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597CC72A">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22F16AA1">
            <w:pPr>
              <w:pStyle w:val="1086"/>
              <w:widowControl/>
              <w:numPr>
                <w:ilvl w:val="0"/>
                <w:numId w:val="9"/>
              </w:numPr>
              <w:spacing w:line="360" w:lineRule="auto"/>
              <w:ind w:firstLineChars="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江河汇才智慧人才</w:t>
            </w:r>
          </w:p>
          <w:p w14:paraId="22946A32">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包含金靴奔跑申报及资金补贴申请、人才公寓申请等信息，根据演示的完整性、符合性进行打分。（得分：2、1、0.5、0）</w:t>
            </w:r>
          </w:p>
        </w:tc>
        <w:tc>
          <w:tcPr>
            <w:tcW w:w="386" w:type="pct"/>
            <w:tcBorders>
              <w:top w:val="nil"/>
              <w:left w:val="nil"/>
              <w:bottom w:val="single" w:color="000000" w:sz="8" w:space="0"/>
              <w:right w:val="single" w:color="000000" w:sz="8" w:space="0"/>
            </w:tcBorders>
            <w:shd w:val="clear" w:color="auto" w:fill="auto"/>
            <w:vAlign w:val="center"/>
          </w:tcPr>
          <w:p w14:paraId="32BAD37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453" w:type="pct"/>
            <w:tcBorders>
              <w:top w:val="nil"/>
              <w:left w:val="nil"/>
              <w:bottom w:val="single" w:color="000000" w:sz="8" w:space="0"/>
              <w:right w:val="single" w:color="000000" w:sz="8" w:space="0"/>
            </w:tcBorders>
            <w:shd w:val="clear" w:color="auto" w:fill="auto"/>
            <w:vAlign w:val="center"/>
          </w:tcPr>
          <w:p w14:paraId="44501549">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4F4D782C">
            <w:pPr>
              <w:spacing w:line="360" w:lineRule="auto"/>
              <w:rPr>
                <w:rFonts w:hint="eastAsia" w:ascii="宋体" w:hAnsi="宋体" w:cs="宋体"/>
                <w:color w:val="auto"/>
                <w:sz w:val="24"/>
                <w:highlight w:val="none"/>
              </w:rPr>
            </w:pPr>
          </w:p>
        </w:tc>
      </w:tr>
      <w:tr w14:paraId="5D5A68B6">
        <w:tblPrEx>
          <w:tblCellMar>
            <w:top w:w="0" w:type="dxa"/>
            <w:left w:w="108" w:type="dxa"/>
            <w:bottom w:w="0" w:type="dxa"/>
            <w:right w:w="108" w:type="dxa"/>
          </w:tblCellMar>
        </w:tblPrEx>
        <w:trPr>
          <w:trHeight w:val="1167"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08D7F69">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5F5DC712">
            <w:pPr>
              <w:spacing w:line="360" w:lineRule="auto"/>
              <w:jc w:val="center"/>
              <w:rPr>
                <w:rFonts w:hint="eastAsia" w:ascii="宋体" w:hAnsi="宋体" w:cs="宋体"/>
                <w:color w:val="auto"/>
                <w:sz w:val="24"/>
                <w:highlight w:val="none"/>
              </w:rPr>
            </w:pPr>
          </w:p>
        </w:tc>
        <w:tc>
          <w:tcPr>
            <w:tcW w:w="2532" w:type="pct"/>
            <w:tcBorders>
              <w:top w:val="nil"/>
              <w:left w:val="nil"/>
              <w:bottom w:val="single" w:color="000000" w:sz="8" w:space="0"/>
              <w:right w:val="single" w:color="000000" w:sz="8" w:space="0"/>
            </w:tcBorders>
            <w:shd w:val="clear" w:color="auto" w:fill="auto"/>
            <w:vAlign w:val="center"/>
          </w:tcPr>
          <w:p w14:paraId="2BAAD4E8">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（2）红色十二时辰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包含街道数字党建大屏、区级数字党建大屏</w:t>
            </w:r>
            <w:bookmarkStart w:id="404" w:name="OLE_LINK5"/>
            <w:r>
              <w:rPr>
                <w:rFonts w:hint="eastAsia" w:ascii="宋体" w:hAnsi="宋体" w:cs="宋体"/>
                <w:color w:val="auto"/>
                <w:kern w:val="0"/>
                <w:sz w:val="24"/>
                <w:highlight w:val="none"/>
                <w:lang w:bidi="ar"/>
              </w:rPr>
              <w:t>，根据演示的完整性、符合性进行打分。（得分：2、1、0.5、0）</w:t>
            </w:r>
            <w:bookmarkEnd w:id="404"/>
          </w:p>
        </w:tc>
        <w:tc>
          <w:tcPr>
            <w:tcW w:w="386" w:type="pct"/>
            <w:tcBorders>
              <w:top w:val="nil"/>
              <w:left w:val="nil"/>
              <w:bottom w:val="single" w:color="000000" w:sz="8" w:space="0"/>
              <w:right w:val="single" w:color="000000" w:sz="8" w:space="0"/>
            </w:tcBorders>
            <w:shd w:val="clear" w:color="auto" w:fill="auto"/>
            <w:vAlign w:val="center"/>
          </w:tcPr>
          <w:p w14:paraId="53B69A2D">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453" w:type="pct"/>
            <w:tcBorders>
              <w:top w:val="nil"/>
              <w:left w:val="nil"/>
              <w:bottom w:val="single" w:color="000000" w:sz="8" w:space="0"/>
              <w:right w:val="single" w:color="000000" w:sz="8" w:space="0"/>
            </w:tcBorders>
            <w:shd w:val="clear" w:color="auto" w:fill="auto"/>
            <w:vAlign w:val="center"/>
          </w:tcPr>
          <w:p w14:paraId="1F459EA5">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4CE3E1CE">
            <w:pPr>
              <w:spacing w:line="360" w:lineRule="auto"/>
              <w:jc w:val="center"/>
              <w:rPr>
                <w:rFonts w:hint="eastAsia" w:ascii="宋体" w:hAnsi="宋体" w:cs="宋体"/>
                <w:color w:val="auto"/>
                <w:sz w:val="24"/>
                <w:highlight w:val="none"/>
              </w:rPr>
            </w:pPr>
          </w:p>
        </w:tc>
      </w:tr>
      <w:tr w14:paraId="5C967333">
        <w:tblPrEx>
          <w:tblCellMar>
            <w:top w:w="0" w:type="dxa"/>
            <w:left w:w="108" w:type="dxa"/>
            <w:bottom w:w="0" w:type="dxa"/>
            <w:right w:w="108" w:type="dxa"/>
          </w:tblCellMar>
        </w:tblPrEx>
        <w:trPr>
          <w:trHeight w:val="1364"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06FF5E4">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12391BA0">
            <w:pPr>
              <w:spacing w:line="360" w:lineRule="auto"/>
              <w:jc w:val="center"/>
              <w:rPr>
                <w:rFonts w:hint="eastAsia" w:ascii="宋体" w:hAnsi="宋体" w:cs="宋体"/>
                <w:color w:val="auto"/>
                <w:sz w:val="24"/>
                <w:highlight w:val="none"/>
              </w:rPr>
            </w:pPr>
          </w:p>
        </w:tc>
        <w:tc>
          <w:tcPr>
            <w:tcW w:w="2532" w:type="pct"/>
            <w:tcBorders>
              <w:top w:val="nil"/>
              <w:left w:val="nil"/>
              <w:bottom w:val="single" w:color="auto" w:sz="4" w:space="0"/>
              <w:right w:val="single" w:color="000000" w:sz="8" w:space="0"/>
            </w:tcBorders>
            <w:shd w:val="clear" w:color="auto" w:fill="auto"/>
            <w:vAlign w:val="center"/>
          </w:tcPr>
          <w:p w14:paraId="33E57CE7">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（3）“数智组工”平台</w:t>
            </w:r>
          </w:p>
          <w:p w14:paraId="05F5711B">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含所有系统登录访问，根据演示的完整性、符合性进行打分。（得分：1、0.5、0）</w:t>
            </w:r>
          </w:p>
        </w:tc>
        <w:tc>
          <w:tcPr>
            <w:tcW w:w="386" w:type="pct"/>
            <w:tcBorders>
              <w:top w:val="nil"/>
              <w:left w:val="nil"/>
              <w:bottom w:val="single" w:color="000000" w:sz="8" w:space="0"/>
              <w:right w:val="single" w:color="000000" w:sz="8" w:space="0"/>
            </w:tcBorders>
            <w:shd w:val="clear" w:color="auto" w:fill="auto"/>
            <w:vAlign w:val="center"/>
          </w:tcPr>
          <w:p w14:paraId="3400BB5A">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453" w:type="pct"/>
            <w:tcBorders>
              <w:top w:val="nil"/>
              <w:left w:val="nil"/>
              <w:bottom w:val="single" w:color="000000" w:sz="8" w:space="0"/>
              <w:right w:val="single" w:color="000000" w:sz="8" w:space="0"/>
            </w:tcBorders>
            <w:shd w:val="clear" w:color="auto" w:fill="auto"/>
            <w:vAlign w:val="center"/>
          </w:tcPr>
          <w:p w14:paraId="1B203B6C">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主观分</w:t>
            </w:r>
          </w:p>
        </w:tc>
        <w:tc>
          <w:tcPr>
            <w:tcW w:w="513" w:type="pct"/>
            <w:tcBorders>
              <w:top w:val="nil"/>
              <w:left w:val="nil"/>
              <w:bottom w:val="single" w:color="000000" w:sz="8" w:space="0"/>
              <w:right w:val="single" w:color="000000" w:sz="8" w:space="0"/>
            </w:tcBorders>
            <w:shd w:val="clear" w:color="auto" w:fill="auto"/>
            <w:vAlign w:val="center"/>
          </w:tcPr>
          <w:p w14:paraId="3E945BE7">
            <w:pPr>
              <w:spacing w:line="360" w:lineRule="auto"/>
              <w:rPr>
                <w:rFonts w:hint="eastAsia" w:ascii="宋体" w:hAnsi="宋体" w:cs="宋体"/>
                <w:color w:val="auto"/>
                <w:sz w:val="24"/>
                <w:highlight w:val="none"/>
              </w:rPr>
            </w:pPr>
          </w:p>
        </w:tc>
      </w:tr>
      <w:tr w14:paraId="51E6AC43">
        <w:tblPrEx>
          <w:tblCellMar>
            <w:top w:w="0" w:type="dxa"/>
            <w:left w:w="108" w:type="dxa"/>
            <w:bottom w:w="0" w:type="dxa"/>
            <w:right w:w="108" w:type="dxa"/>
          </w:tblCellMar>
        </w:tblPrEx>
        <w:trPr>
          <w:trHeight w:val="879" w:hRule="atLeast"/>
        </w:trPr>
        <w:tc>
          <w:tcPr>
            <w:tcW w:w="494"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2CE53E8">
            <w:pPr>
              <w:spacing w:line="360" w:lineRule="auto"/>
              <w:jc w:val="center"/>
              <w:rPr>
                <w:rFonts w:hint="eastAsia" w:ascii="宋体" w:hAnsi="宋体" w:cs="宋体"/>
                <w:b/>
                <w:bCs/>
                <w:color w:val="auto"/>
                <w:sz w:val="24"/>
                <w:highlight w:val="none"/>
              </w:rPr>
            </w:pPr>
          </w:p>
        </w:tc>
        <w:tc>
          <w:tcPr>
            <w:tcW w:w="623" w:type="pct"/>
            <w:vMerge w:val="continue"/>
            <w:tcBorders>
              <w:top w:val="nil"/>
              <w:left w:val="nil"/>
              <w:bottom w:val="single" w:color="000000" w:sz="8" w:space="0"/>
              <w:right w:val="single" w:color="000000" w:sz="8" w:space="0"/>
            </w:tcBorders>
            <w:shd w:val="clear" w:color="auto" w:fill="auto"/>
            <w:vAlign w:val="center"/>
          </w:tcPr>
          <w:p w14:paraId="10759FBC">
            <w:pPr>
              <w:spacing w:line="360" w:lineRule="auto"/>
              <w:jc w:val="center"/>
              <w:rPr>
                <w:rFonts w:hint="eastAsia" w:ascii="宋体" w:hAnsi="宋体" w:cs="宋体"/>
                <w:color w:val="auto"/>
                <w:sz w:val="24"/>
                <w:highlight w:val="none"/>
              </w:rPr>
            </w:pPr>
          </w:p>
        </w:tc>
        <w:tc>
          <w:tcPr>
            <w:tcW w:w="2532" w:type="pct"/>
            <w:tcBorders>
              <w:top w:val="single" w:color="auto" w:sz="4" w:space="0"/>
              <w:left w:val="nil"/>
              <w:bottom w:val="single" w:color="000000" w:sz="8" w:space="0"/>
              <w:right w:val="single" w:color="000000" w:sz="8" w:space="0"/>
            </w:tcBorders>
            <w:shd w:val="clear" w:color="auto" w:fill="auto"/>
            <w:vAlign w:val="center"/>
          </w:tcPr>
          <w:p w14:paraId="0B7DA878">
            <w:pPr>
              <w:widowControl/>
              <w:spacing w:line="360" w:lineRule="auto"/>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无演示此项不得分，演示时间不得超过15分钟。</w:t>
            </w:r>
          </w:p>
        </w:tc>
        <w:tc>
          <w:tcPr>
            <w:tcW w:w="386" w:type="pct"/>
            <w:tcBorders>
              <w:top w:val="nil"/>
              <w:left w:val="nil"/>
              <w:bottom w:val="single" w:color="000000" w:sz="8" w:space="0"/>
              <w:right w:val="single" w:color="000000" w:sz="8" w:space="0"/>
            </w:tcBorders>
            <w:shd w:val="clear" w:color="auto" w:fill="auto"/>
            <w:vAlign w:val="center"/>
          </w:tcPr>
          <w:p w14:paraId="6EB4CDC5">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453" w:type="pct"/>
            <w:tcBorders>
              <w:top w:val="nil"/>
              <w:left w:val="nil"/>
              <w:bottom w:val="single" w:color="000000" w:sz="8" w:space="0"/>
              <w:right w:val="single" w:color="000000" w:sz="8" w:space="0"/>
            </w:tcBorders>
            <w:shd w:val="clear" w:color="auto" w:fill="auto"/>
            <w:vAlign w:val="center"/>
          </w:tcPr>
          <w:p w14:paraId="2946F807">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513" w:type="pct"/>
            <w:tcBorders>
              <w:top w:val="nil"/>
              <w:left w:val="nil"/>
              <w:bottom w:val="single" w:color="000000" w:sz="8" w:space="0"/>
              <w:right w:val="single" w:color="000000" w:sz="8" w:space="0"/>
            </w:tcBorders>
            <w:shd w:val="clear" w:color="auto" w:fill="auto"/>
            <w:vAlign w:val="center"/>
          </w:tcPr>
          <w:p w14:paraId="22A5E8F4">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225D4AA3">
        <w:tblPrEx>
          <w:tblCellMar>
            <w:top w:w="0" w:type="dxa"/>
            <w:left w:w="108" w:type="dxa"/>
            <w:bottom w:w="0" w:type="dxa"/>
            <w:right w:w="108" w:type="dxa"/>
          </w:tblCellMar>
        </w:tblPrEx>
        <w:trPr>
          <w:trHeight w:val="1872" w:hRule="atLeast"/>
        </w:trPr>
        <w:tc>
          <w:tcPr>
            <w:tcW w:w="494" w:type="pct"/>
            <w:tcBorders>
              <w:top w:val="nil"/>
              <w:left w:val="single" w:color="000000" w:sz="8" w:space="0"/>
              <w:bottom w:val="single" w:color="000000" w:sz="8" w:space="0"/>
              <w:right w:val="single" w:color="000000" w:sz="8" w:space="0"/>
            </w:tcBorders>
            <w:shd w:val="clear" w:color="auto" w:fill="auto"/>
            <w:noWrap/>
            <w:vAlign w:val="center"/>
          </w:tcPr>
          <w:p w14:paraId="196B5518">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14</w:t>
            </w:r>
          </w:p>
        </w:tc>
        <w:tc>
          <w:tcPr>
            <w:tcW w:w="623" w:type="pct"/>
            <w:tcBorders>
              <w:top w:val="nil"/>
              <w:left w:val="nil"/>
              <w:bottom w:val="single" w:color="000000" w:sz="8" w:space="0"/>
              <w:right w:val="single" w:color="000000" w:sz="8" w:space="0"/>
            </w:tcBorders>
            <w:shd w:val="clear" w:color="auto" w:fill="auto"/>
            <w:vAlign w:val="center"/>
          </w:tcPr>
          <w:p w14:paraId="45AC2986">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投标报价</w:t>
            </w:r>
          </w:p>
        </w:tc>
        <w:tc>
          <w:tcPr>
            <w:tcW w:w="2532" w:type="pct"/>
            <w:tcBorders>
              <w:top w:val="nil"/>
              <w:left w:val="nil"/>
              <w:bottom w:val="single" w:color="auto" w:sz="4" w:space="0"/>
              <w:right w:val="single" w:color="000000" w:sz="8" w:space="0"/>
            </w:tcBorders>
            <w:shd w:val="clear" w:color="auto" w:fill="auto"/>
            <w:vAlign w:val="center"/>
          </w:tcPr>
          <w:p w14:paraId="78C1CF2B">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价格分采用低价优先法计算，即满足招标文件要求且投标价格最低的投标报价为评标基准价，其他投标人的价格分按照下列公式计算：价格分=（评标基准价/投标报价）×10%×100</w:t>
            </w:r>
          </w:p>
          <w:p w14:paraId="3E35AE7D">
            <w:pPr>
              <w:spacing w:after="0"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评审过程中，不得去掉报价中的最高报价和最低报价。</w:t>
            </w:r>
          </w:p>
        </w:tc>
        <w:tc>
          <w:tcPr>
            <w:tcW w:w="386" w:type="pct"/>
            <w:tcBorders>
              <w:top w:val="nil"/>
              <w:left w:val="nil"/>
              <w:bottom w:val="single" w:color="000000" w:sz="8" w:space="0"/>
              <w:right w:val="single" w:color="000000" w:sz="8" w:space="0"/>
            </w:tcBorders>
            <w:shd w:val="clear" w:color="auto" w:fill="auto"/>
            <w:vAlign w:val="center"/>
          </w:tcPr>
          <w:p w14:paraId="2C73D3A5">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453" w:type="pct"/>
            <w:tcBorders>
              <w:top w:val="nil"/>
              <w:left w:val="nil"/>
              <w:bottom w:val="single" w:color="000000" w:sz="8" w:space="0"/>
              <w:right w:val="single" w:color="000000" w:sz="8" w:space="0"/>
            </w:tcBorders>
            <w:shd w:val="clear" w:color="auto" w:fill="auto"/>
            <w:vAlign w:val="center"/>
          </w:tcPr>
          <w:p w14:paraId="728B196F">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客观分</w:t>
            </w:r>
          </w:p>
        </w:tc>
        <w:tc>
          <w:tcPr>
            <w:tcW w:w="513" w:type="pct"/>
            <w:tcBorders>
              <w:top w:val="nil"/>
              <w:left w:val="nil"/>
              <w:bottom w:val="single" w:color="000000" w:sz="8" w:space="0"/>
              <w:right w:val="single" w:color="000000" w:sz="8" w:space="0"/>
            </w:tcBorders>
            <w:shd w:val="clear" w:color="auto" w:fill="auto"/>
            <w:vAlign w:val="center"/>
          </w:tcPr>
          <w:p w14:paraId="5D5BB5E0">
            <w:pPr>
              <w:spacing w:line="360" w:lineRule="auto"/>
              <w:jc w:val="center"/>
              <w:rPr>
                <w:rFonts w:hint="eastAsia" w:ascii="宋体" w:hAnsi="宋体" w:cs="宋体"/>
                <w:color w:val="auto"/>
                <w:sz w:val="24"/>
                <w:highlight w:val="none"/>
              </w:rPr>
            </w:pPr>
          </w:p>
        </w:tc>
      </w:tr>
    </w:tbl>
    <w:p w14:paraId="70051725">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55CEAC">
      <w:pPr>
        <w:adjustRightInd/>
        <w:spacing w:line="360" w:lineRule="auto"/>
        <w:ind w:left="120" w:firstLine="22"/>
        <w:outlineLvl w:val="1"/>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0CE64313">
      <w:pPr>
        <w:adjustRightInd/>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综合评分法，是指投标文件满足采购文件全部实质性要求，且按照评审因素的量化指标评审得分最高的投标人为中标候选人的评标方法。</w:t>
      </w:r>
    </w:p>
    <w:p w14:paraId="78A7F848">
      <w:pPr>
        <w:adjustRightInd/>
        <w:spacing w:line="360" w:lineRule="auto"/>
        <w:ind w:left="120" w:firstLine="22"/>
        <w:outlineLvl w:val="1"/>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5EECCDD4">
      <w:pPr>
        <w:spacing w:line="360" w:lineRule="auto"/>
        <w:ind w:left="120"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DA1189B">
      <w:pPr>
        <w:adjustRightInd/>
        <w:spacing w:line="360" w:lineRule="auto"/>
        <w:ind w:left="120" w:firstLine="22"/>
        <w:outlineLvl w:val="1"/>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6839BCEF">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评标委员会应当对符合资格的投标人的投标文件进行符合性审查，以确定其是否满足采购文件的实质性要求。不满足采购文件的实质性要求的，投标无效。</w:t>
      </w:r>
    </w:p>
    <w:p w14:paraId="0A1219BC">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评标委员会应当按照采购文件中规定的评标方法和标准，对符合性审查合格的投标文件进行商务和技术评估，综合比较与评价。</w:t>
      </w:r>
    </w:p>
    <w:p w14:paraId="7371ECE7">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49A4F2E">
      <w:pPr>
        <w:spacing w:line="360" w:lineRule="auto"/>
        <w:ind w:left="120"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EDC7BE3">
      <w:pPr>
        <w:pStyle w:val="131"/>
        <w:spacing w:before="0"/>
        <w:ind w:left="120"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B89AE1F">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BE9C25C">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1D2413A">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A1D2704">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6E68DF">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5B9F120">
      <w:pPr>
        <w:snapToGrid w:val="0"/>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96448B7">
      <w:pPr>
        <w:snapToGrid w:val="0"/>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3.4.3投标报价超过采购文件中规定的预算金额或者最高限价的，投标无效。</w:t>
      </w:r>
    </w:p>
    <w:p w14:paraId="17468A7F">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3BE0EA">
      <w:pPr>
        <w:pStyle w:val="131"/>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C301C03">
      <w:pPr>
        <w:spacing w:line="360" w:lineRule="auto"/>
        <w:ind w:left="120"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1名</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5CAFA955">
      <w:pPr>
        <w:spacing w:line="360" w:lineRule="auto"/>
        <w:ind w:left="120"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0000A9">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264AFB">
      <w:pPr>
        <w:adjustRightInd/>
        <w:spacing w:line="360" w:lineRule="auto"/>
        <w:ind w:left="120" w:firstLine="22"/>
        <w:outlineLvl w:val="1"/>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51175520">
      <w:pPr>
        <w:pStyle w:val="131"/>
        <w:spacing w:before="0"/>
        <w:ind w:left="120"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299395">
      <w:pPr>
        <w:pStyle w:val="25"/>
        <w:snapToGrid w:val="0"/>
        <w:spacing w:line="360" w:lineRule="auto"/>
        <w:ind w:left="120" w:firstLine="472" w:firstLineChars="196"/>
        <w:rPr>
          <w:rFonts w:hint="eastAsia" w:cs="宋体"/>
          <w:color w:val="auto"/>
          <w:highlight w:val="none"/>
        </w:rPr>
      </w:pPr>
      <w:r>
        <w:rPr>
          <w:rFonts w:hint="eastAsia" w:cs="宋体"/>
          <w:b/>
          <w:bCs/>
          <w:color w:val="auto"/>
          <w:highlight w:val="none"/>
        </w:rPr>
        <w:t>4.2投标无效。</w:t>
      </w:r>
      <w:r>
        <w:rPr>
          <w:rFonts w:hint="eastAsia" w:cs="宋体"/>
          <w:color w:val="auto"/>
          <w:highlight w:val="none"/>
        </w:rPr>
        <w:t>有下列情形之一的，投标无效：</w:t>
      </w:r>
    </w:p>
    <w:p w14:paraId="610F5E4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5A05E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449A76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8A8306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75691C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F2434E5">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B0E23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7CD3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7DC4BD8">
      <w:pPr>
        <w:spacing w:line="360" w:lineRule="auto"/>
        <w:ind w:firstLine="480" w:firstLineChars="200"/>
        <w:rPr>
          <w:rFonts w:hint="eastAsia" w:ascii="宋体" w:hAnsi="宋体"/>
          <w:color w:val="auto"/>
          <w:highlight w:val="none"/>
        </w:rPr>
      </w:pPr>
      <w:r>
        <w:rPr>
          <w:rFonts w:hint="eastAsia" w:ascii="宋体" w:hAnsi="宋体" w:cs="宋体"/>
          <w:color w:val="auto"/>
          <w:kern w:val="0"/>
          <w:sz w:val="24"/>
          <w:highlight w:val="none"/>
        </w:rPr>
        <w:t>4.2.9投标人提供虚假材料投标的；</w:t>
      </w:r>
    </w:p>
    <w:p w14:paraId="5956A89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6C8F4E59">
      <w:pPr>
        <w:spacing w:line="360" w:lineRule="auto"/>
        <w:ind w:firstLine="480" w:firstLineChars="200"/>
        <w:rPr>
          <w:rFonts w:hint="eastAsia" w:ascii="宋体" w:hAnsi="宋体"/>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0BD98D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49CD775">
      <w:pPr>
        <w:spacing w:line="279"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60026032">
      <w:pPr>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6313CF3">
      <w:pPr>
        <w:pStyle w:val="25"/>
        <w:snapToGrid w:val="0"/>
        <w:spacing w:line="360" w:lineRule="auto"/>
        <w:ind w:firstLine="482"/>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FC0780">
      <w:pPr>
        <w:pStyle w:val="25"/>
        <w:snapToGrid w:val="0"/>
        <w:spacing w:line="360" w:lineRule="auto"/>
        <w:ind w:left="120"/>
        <w:rPr>
          <w:rFonts w:hint="eastAsia" w:cs="宋体"/>
          <w:color w:val="auto"/>
          <w:highlight w:val="none"/>
        </w:rPr>
      </w:pPr>
      <w:r>
        <w:rPr>
          <w:rFonts w:hint="eastAsia" w:cs="宋体"/>
          <w:color w:val="auto"/>
          <w:highlight w:val="none"/>
        </w:rPr>
        <w:t>5.1符合专业条件的供应商或者对采购文件作实质响应的供应商不足3家的；</w:t>
      </w:r>
    </w:p>
    <w:p w14:paraId="14B88F72">
      <w:pPr>
        <w:pStyle w:val="25"/>
        <w:snapToGrid w:val="0"/>
        <w:spacing w:line="360" w:lineRule="auto"/>
        <w:ind w:left="120"/>
        <w:rPr>
          <w:rFonts w:hint="eastAsia" w:cs="宋体"/>
          <w:color w:val="auto"/>
          <w:highlight w:val="none"/>
        </w:rPr>
      </w:pPr>
      <w:r>
        <w:rPr>
          <w:rFonts w:hint="eastAsia" w:cs="宋体"/>
          <w:color w:val="auto"/>
          <w:highlight w:val="none"/>
        </w:rPr>
        <w:t>5.2出现影响采购公正的违法、违规行为的；</w:t>
      </w:r>
    </w:p>
    <w:p w14:paraId="0763C902">
      <w:pPr>
        <w:pStyle w:val="25"/>
        <w:snapToGrid w:val="0"/>
        <w:spacing w:line="360" w:lineRule="auto"/>
        <w:ind w:left="120"/>
        <w:rPr>
          <w:rFonts w:hint="eastAsia" w:cs="宋体"/>
          <w:color w:val="auto"/>
          <w:highlight w:val="none"/>
        </w:rPr>
      </w:pPr>
      <w:r>
        <w:rPr>
          <w:rFonts w:hint="eastAsia" w:cs="宋体"/>
          <w:color w:val="auto"/>
          <w:highlight w:val="none"/>
        </w:rPr>
        <w:t>5.3投标人的报价均超过了采购预算，采购人不能支付的；</w:t>
      </w:r>
    </w:p>
    <w:p w14:paraId="1A22F4DF">
      <w:pPr>
        <w:pStyle w:val="25"/>
        <w:snapToGrid w:val="0"/>
        <w:spacing w:line="360" w:lineRule="auto"/>
        <w:ind w:left="120"/>
        <w:rPr>
          <w:rFonts w:hint="eastAsia" w:cs="宋体"/>
          <w:color w:val="auto"/>
          <w:highlight w:val="none"/>
        </w:rPr>
      </w:pPr>
      <w:r>
        <w:rPr>
          <w:rFonts w:hint="eastAsia" w:cs="宋体"/>
          <w:color w:val="auto"/>
          <w:highlight w:val="none"/>
        </w:rPr>
        <w:t>5.4因重大变故，采购任务取消的。</w:t>
      </w:r>
    </w:p>
    <w:p w14:paraId="4A18C9C1">
      <w:pPr>
        <w:pStyle w:val="25"/>
        <w:snapToGrid w:val="0"/>
        <w:spacing w:line="360" w:lineRule="auto"/>
        <w:ind w:left="120"/>
        <w:rPr>
          <w:rFonts w:hint="eastAsia" w:cs="宋体"/>
          <w:color w:val="auto"/>
          <w:highlight w:val="none"/>
        </w:rPr>
      </w:pPr>
      <w:r>
        <w:rPr>
          <w:rFonts w:hint="eastAsia" w:cs="宋体"/>
          <w:color w:val="auto"/>
          <w:highlight w:val="none"/>
        </w:rPr>
        <w:t>废标后，采购代理机构应当将废标理由通知所有投标人。</w:t>
      </w:r>
    </w:p>
    <w:p w14:paraId="3400DA8A">
      <w:pPr>
        <w:pStyle w:val="25"/>
        <w:snapToGrid w:val="0"/>
        <w:spacing w:line="360" w:lineRule="auto"/>
        <w:ind w:firstLine="482"/>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1FCCA96A">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8C13B7">
      <w:pPr>
        <w:pStyle w:val="25"/>
        <w:snapToGrid w:val="0"/>
        <w:spacing w:line="360" w:lineRule="auto"/>
        <w:ind w:left="120"/>
        <w:rPr>
          <w:rFonts w:hint="eastAsia" w:cs="宋体"/>
          <w:color w:val="auto"/>
          <w:highlight w:val="none"/>
        </w:rPr>
      </w:pPr>
      <w:r>
        <w:rPr>
          <w:rFonts w:hint="eastAsia" w:cs="宋体"/>
          <w:color w:val="auto"/>
          <w:highlight w:val="none"/>
        </w:rPr>
        <w:t>7.1未确定中标供应商的，终止本次政府采购活动，重新开展政府采购活动。</w:t>
      </w:r>
    </w:p>
    <w:p w14:paraId="5DDCFC8A">
      <w:pPr>
        <w:pStyle w:val="25"/>
        <w:snapToGrid w:val="0"/>
        <w:spacing w:line="360" w:lineRule="auto"/>
        <w:ind w:left="12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128A8">
      <w:pPr>
        <w:pStyle w:val="25"/>
        <w:snapToGrid w:val="0"/>
        <w:spacing w:line="360" w:lineRule="auto"/>
        <w:ind w:left="12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011656F">
      <w:pPr>
        <w:pStyle w:val="25"/>
        <w:snapToGrid w:val="0"/>
        <w:spacing w:line="360" w:lineRule="auto"/>
        <w:ind w:left="12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66D3A34">
      <w:pPr>
        <w:pStyle w:val="25"/>
        <w:snapToGrid w:val="0"/>
        <w:spacing w:line="360" w:lineRule="auto"/>
        <w:ind w:left="12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6"/>
    <w:p w14:paraId="675EB66E">
      <w:pPr>
        <w:pStyle w:val="81"/>
        <w:rPr>
          <w:rFonts w:hint="eastAsia"/>
          <w:color w:val="auto"/>
          <w:highlight w:val="none"/>
        </w:rPr>
      </w:pPr>
      <w:bookmarkStart w:id="405" w:name="第五部分"/>
      <w:bookmarkStart w:id="406" w:name="_Toc86217003"/>
    </w:p>
    <w:p w14:paraId="37897620">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sectPr>
          <w:pgSz w:w="11907" w:h="16840"/>
          <w:pgMar w:top="680" w:right="1134" w:bottom="471" w:left="1417" w:header="851" w:footer="851" w:gutter="0"/>
          <w:cols w:space="720" w:num="1"/>
        </w:sectPr>
      </w:pPr>
    </w:p>
    <w:p w14:paraId="2F856D23">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CB8A471">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2895CE4">
      <w:pPr>
        <w:spacing w:line="360" w:lineRule="auto"/>
        <w:ind w:left="120" w:firstLine="22"/>
        <w:jc w:val="center"/>
        <w:rPr>
          <w:rFonts w:hint="eastAsia" w:ascii="宋体" w:hAnsi="宋体" w:cs="宋体"/>
          <w:b/>
          <w:color w:val="auto"/>
          <w:sz w:val="24"/>
          <w:highlight w:val="none"/>
        </w:rPr>
      </w:pPr>
    </w:p>
    <w:p w14:paraId="2ABD6880">
      <w:pPr>
        <w:spacing w:line="360" w:lineRule="auto"/>
        <w:ind w:left="120" w:firstLine="22"/>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5ECFE4">
      <w:pPr>
        <w:spacing w:line="360" w:lineRule="auto"/>
        <w:ind w:left="120" w:firstLine="22"/>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335A2C0E">
      <w:pPr>
        <w:pStyle w:val="702"/>
        <w:ind w:firstLine="3317" w:firstLineChars="118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2558E0D7">
      <w:pPr>
        <w:spacing w:before="120"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DB66415">
      <w:pPr>
        <w:pStyle w:val="599"/>
        <w:spacing w:before="120"/>
        <w:ind w:left="120" w:firstLine="22"/>
        <w:rPr>
          <w:rFonts w:hint="eastAsia" w:ascii="宋体" w:hAnsi="宋体" w:eastAsia="宋体" w:cs="宋体"/>
          <w:color w:val="auto"/>
          <w:szCs w:val="24"/>
          <w:highlight w:val="none"/>
        </w:rPr>
      </w:pPr>
    </w:p>
    <w:p w14:paraId="392A5A83">
      <w:pPr>
        <w:pStyle w:val="599"/>
        <w:spacing w:before="120"/>
        <w:ind w:left="120" w:firstLine="22"/>
        <w:rPr>
          <w:rFonts w:hint="eastAsia" w:ascii="宋体" w:hAnsi="宋体" w:eastAsia="宋体" w:cs="宋体"/>
          <w:color w:val="auto"/>
          <w:szCs w:val="24"/>
          <w:highlight w:val="none"/>
        </w:rPr>
      </w:pPr>
    </w:p>
    <w:p w14:paraId="28DF281C">
      <w:pPr>
        <w:spacing w:line="360" w:lineRule="auto"/>
        <w:ind w:left="120" w:firstLine="22"/>
        <w:rPr>
          <w:rFonts w:hint="eastAsia" w:ascii="宋体" w:hAnsi="宋体" w:cs="宋体"/>
          <w:color w:val="auto"/>
          <w:sz w:val="24"/>
          <w:highlight w:val="none"/>
        </w:rPr>
      </w:pPr>
    </w:p>
    <w:p w14:paraId="14128FD1">
      <w:pPr>
        <w:spacing w:before="120"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241001">
      <w:pPr>
        <w:spacing w:before="120" w:line="360" w:lineRule="auto"/>
        <w:ind w:left="120" w:firstLine="22"/>
        <w:rPr>
          <w:rFonts w:hint="eastAsia" w:ascii="宋体" w:hAnsi="宋体" w:cs="宋体"/>
          <w:color w:val="auto"/>
          <w:sz w:val="24"/>
          <w:highlight w:val="none"/>
        </w:rPr>
      </w:pPr>
    </w:p>
    <w:p w14:paraId="2D86D05B">
      <w:pPr>
        <w:spacing w:before="120"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7F3EC4E">
      <w:pPr>
        <w:spacing w:before="120" w:line="360" w:lineRule="auto"/>
        <w:ind w:left="120" w:firstLine="22"/>
        <w:rPr>
          <w:rFonts w:hint="eastAsia" w:ascii="宋体" w:hAnsi="宋体" w:cs="宋体"/>
          <w:color w:val="auto"/>
          <w:sz w:val="24"/>
          <w:highlight w:val="none"/>
        </w:rPr>
      </w:pPr>
    </w:p>
    <w:p w14:paraId="53BD3D7B">
      <w:pPr>
        <w:spacing w:before="120" w:line="360" w:lineRule="auto"/>
        <w:ind w:left="120"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DEC8D06">
      <w:pPr>
        <w:spacing w:before="120" w:line="360" w:lineRule="auto"/>
        <w:ind w:left="120" w:firstLine="22"/>
        <w:rPr>
          <w:rFonts w:hint="eastAsia" w:ascii="宋体" w:hAnsi="宋体" w:cs="宋体"/>
          <w:color w:val="auto"/>
          <w:sz w:val="24"/>
          <w:highlight w:val="none"/>
        </w:rPr>
      </w:pPr>
    </w:p>
    <w:p w14:paraId="16EAE3E4">
      <w:pPr>
        <w:spacing w:before="120" w:line="360" w:lineRule="auto"/>
        <w:ind w:left="120"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C356AF5">
      <w:pPr>
        <w:widowControl/>
        <w:spacing w:line="360" w:lineRule="auto"/>
        <w:ind w:left="120" w:firstLine="22"/>
        <w:jc w:val="left"/>
        <w:rPr>
          <w:rFonts w:hint="eastAsia" w:ascii="宋体" w:hAnsi="宋体" w:cs="宋体"/>
          <w:color w:val="auto"/>
          <w:kern w:val="0"/>
          <w:sz w:val="24"/>
          <w:highlight w:val="none"/>
        </w:rPr>
        <w:sectPr>
          <w:pgSz w:w="11907" w:h="16840"/>
          <w:pgMar w:top="680" w:right="1134" w:bottom="471" w:left="1417" w:header="851" w:footer="851" w:gutter="0"/>
          <w:cols w:space="720" w:num="1"/>
        </w:sectPr>
      </w:pPr>
    </w:p>
    <w:p w14:paraId="38551DA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中共杭州市上城区委组织部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上城区“数智组工”平台信创提升改造项目</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345EA78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中共杭州市上城区委组织部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E4D60B9">
      <w:pPr>
        <w:spacing w:line="360" w:lineRule="auto"/>
        <w:ind w:left="120" w:firstLine="482" w:firstLineChars="200"/>
        <w:rPr>
          <w:rFonts w:hint="eastAsia" w:ascii="宋体" w:hAnsi="宋体" w:cs="宋体"/>
          <w:color w:val="auto"/>
          <w:sz w:val="24"/>
          <w:highlight w:val="none"/>
        </w:rPr>
      </w:pPr>
      <w:bookmarkStart w:id="407" w:name="_Toc15367"/>
      <w:bookmarkStart w:id="408" w:name="_Toc19273"/>
      <w:bookmarkStart w:id="409" w:name="_Toc28855"/>
      <w:bookmarkStart w:id="410" w:name="_Toc22967"/>
      <w:bookmarkStart w:id="411" w:name="_Toc20421"/>
      <w:r>
        <w:rPr>
          <w:rFonts w:hint="eastAsia" w:ascii="宋体" w:hAnsi="宋体" w:cs="宋体"/>
          <w:b/>
          <w:color w:val="auto"/>
          <w:sz w:val="24"/>
          <w:highlight w:val="none"/>
        </w:rPr>
        <w:t>1.1 合同组成部分</w:t>
      </w:r>
      <w:bookmarkEnd w:id="407"/>
      <w:bookmarkEnd w:id="408"/>
      <w:bookmarkEnd w:id="409"/>
      <w:bookmarkEnd w:id="410"/>
      <w:bookmarkEnd w:id="411"/>
    </w:p>
    <w:p w14:paraId="6984770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D6BE2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E4AA98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7155759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68CA60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0CCB212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7C3CCAD">
      <w:pPr>
        <w:spacing w:line="360" w:lineRule="auto"/>
        <w:ind w:left="120" w:firstLine="482" w:firstLineChars="200"/>
        <w:rPr>
          <w:rFonts w:hint="eastAsia" w:ascii="宋体" w:hAnsi="宋体" w:cs="宋体"/>
          <w:b/>
          <w:color w:val="auto"/>
          <w:sz w:val="24"/>
          <w:highlight w:val="none"/>
        </w:rPr>
      </w:pPr>
      <w:bookmarkStart w:id="412" w:name="_Toc6311"/>
      <w:bookmarkStart w:id="413" w:name="_Toc18585"/>
      <w:bookmarkStart w:id="414" w:name="_Toc2918"/>
      <w:bookmarkStart w:id="415" w:name="_Toc22185"/>
      <w:bookmarkStart w:id="416" w:name="_Toc6773"/>
      <w:r>
        <w:rPr>
          <w:rFonts w:hint="eastAsia" w:ascii="宋体" w:hAnsi="宋体" w:cs="宋体"/>
          <w:b/>
          <w:color w:val="auto"/>
          <w:sz w:val="24"/>
          <w:highlight w:val="none"/>
        </w:rPr>
        <w:t>1.2 标的</w:t>
      </w:r>
      <w:bookmarkEnd w:id="412"/>
      <w:bookmarkEnd w:id="413"/>
      <w:bookmarkEnd w:id="414"/>
      <w:bookmarkEnd w:id="415"/>
      <w:bookmarkEnd w:id="416"/>
    </w:p>
    <w:p w14:paraId="5D8FFE2F">
      <w:pPr>
        <w:spacing w:line="360" w:lineRule="auto"/>
        <w:ind w:left="420" w:firstLine="482" w:firstLineChars="200"/>
        <w:outlineLvl w:val="2"/>
        <w:rPr>
          <w:rFonts w:hint="eastAsia" w:ascii="宋体" w:hAnsi="宋体"/>
          <w:b/>
          <w:bCs/>
          <w:color w:val="auto"/>
          <w:sz w:val="24"/>
          <w:highlight w:val="none"/>
        </w:rPr>
      </w:pPr>
      <w:bookmarkStart w:id="417" w:name="_Toc1814"/>
      <w:bookmarkStart w:id="418" w:name="_Toc8772"/>
      <w:bookmarkStart w:id="419" w:name="_Toc3625"/>
      <w:bookmarkStart w:id="420" w:name="_Toc22618"/>
      <w:bookmarkStart w:id="421" w:name="_Toc4760"/>
      <w:bookmarkStart w:id="422" w:name="_Toc31421"/>
      <w:bookmarkStart w:id="423" w:name="_Toc10340"/>
      <w:bookmarkStart w:id="424" w:name="_Toc11108"/>
      <w:r>
        <w:rPr>
          <w:rFonts w:hint="eastAsia" w:ascii="宋体" w:hAnsi="宋体"/>
          <w:b/>
          <w:bCs/>
          <w:color w:val="auto"/>
          <w:sz w:val="24"/>
          <w:highlight w:val="none"/>
        </w:rPr>
        <w:t>1.2.1建设内容</w:t>
      </w:r>
    </w:p>
    <w:p w14:paraId="78173C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信创改造：</w:t>
      </w:r>
    </w:p>
    <w:p w14:paraId="2E6B46F0">
      <w:pPr>
        <w:numPr>
          <w:ilvl w:val="0"/>
          <w:numId w:val="10"/>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江河汇才智慧人才系统：解决人才政策碎片化问题，归集政策“一键申办”，人才安居等诉求响应时效缩短。</w:t>
      </w:r>
    </w:p>
    <w:p w14:paraId="648D2373">
      <w:pPr>
        <w:numPr>
          <w:ilvl w:val="0"/>
          <w:numId w:val="10"/>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红色十二时辰系统：破解场地利用率低、预约分散难题，整合场地资源，提升线上预约率。</w:t>
      </w:r>
    </w:p>
    <w:p w14:paraId="1595F0CF">
      <w:pPr>
        <w:numPr>
          <w:ilvl w:val="0"/>
          <w:numId w:val="10"/>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幸福邻里坊系统：针对社区治理数据孤岛问题，打通部门数据壁垒，构建智慧治理模型。</w:t>
      </w:r>
    </w:p>
    <w:p w14:paraId="3443FC9B">
      <w:pPr>
        <w:numPr>
          <w:ilvl w:val="0"/>
          <w:numId w:val="10"/>
        </w:numPr>
        <w:adjustRightInd/>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绩效e考通系统：变革传统人工考核低效模式，实现全区干部考核数字化，提升任务办结率。</w:t>
      </w:r>
    </w:p>
    <w:p w14:paraId="2F3EA4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建设“数智组工”平台：实现江河汇才、红色十二时辰、幸福邻里坊及绩效e考通的门户集成，实现统一用户、权限、接口及接入管理。</w:t>
      </w:r>
    </w:p>
    <w:tbl>
      <w:tblPr>
        <w:tblStyle w:val="63"/>
        <w:tblW w:w="4998" w:type="pct"/>
        <w:tblInd w:w="0" w:type="dxa"/>
        <w:tblLayout w:type="autofit"/>
        <w:tblCellMar>
          <w:top w:w="0" w:type="dxa"/>
          <w:left w:w="108" w:type="dxa"/>
          <w:bottom w:w="0" w:type="dxa"/>
          <w:right w:w="108" w:type="dxa"/>
        </w:tblCellMar>
      </w:tblPr>
      <w:tblGrid>
        <w:gridCol w:w="537"/>
        <w:gridCol w:w="1246"/>
        <w:gridCol w:w="1807"/>
        <w:gridCol w:w="5692"/>
      </w:tblGrid>
      <w:tr w14:paraId="14F1FA3B">
        <w:tblPrEx>
          <w:tblCellMar>
            <w:top w:w="0" w:type="dxa"/>
            <w:left w:w="108" w:type="dxa"/>
            <w:bottom w:w="0" w:type="dxa"/>
            <w:right w:w="108" w:type="dxa"/>
          </w:tblCellMar>
        </w:tblPrEx>
        <w:trPr>
          <w:trHeight w:val="288"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FC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44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A71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模块</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EE4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描述</w:t>
            </w:r>
          </w:p>
        </w:tc>
      </w:tr>
      <w:tr w14:paraId="1429511F">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543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0B75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江河汇才智慧人才</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898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PC服务端</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BCA1">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实现pc服务端首页、走进上城、金靴奔跑申报及资金补贴申请、商务人才申报、人才公寓申请、资源对接等模块。</w:t>
            </w:r>
          </w:p>
        </w:tc>
      </w:tr>
      <w:tr w14:paraId="31D5634D">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C39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5915">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587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移动服务端</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AA69">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实现移动服务端区级人才码服务、移动端首页、走进上城、区级服务、资源对接、链接服务等模块。</w:t>
            </w:r>
          </w:p>
        </w:tc>
      </w:tr>
      <w:tr w14:paraId="2A14F02D">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3C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233A">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222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运营端</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9027">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实现运营端工作台、账户管理、运营管理、金靴奔跑申报及资金申请各级审核、商务人才审核、人才公寓审核、资源对接管理模块。</w:t>
            </w:r>
          </w:p>
        </w:tc>
      </w:tr>
      <w:tr w14:paraId="52B9FC4B">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B72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6287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红色十二时辰</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456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街道数字党建大屏</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94E6">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服务在线模块、地图模块、用户需求模块、未来流量模块、热度分析模块、评价指数模块。</w:t>
            </w:r>
          </w:p>
        </w:tc>
      </w:tr>
      <w:tr w14:paraId="0D2C61DB">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A0B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58CD">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9AA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区级数字党建大屏</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948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服务在线模块、今日开展活动数模块、入馆人数模块、地图模块、居民画像模块、未来流量模块、热度分析模块、评价指数模块。</w:t>
            </w:r>
          </w:p>
        </w:tc>
      </w:tr>
      <w:tr w14:paraId="7651E118">
        <w:tblPrEx>
          <w:tblCellMar>
            <w:top w:w="0" w:type="dxa"/>
            <w:left w:w="108" w:type="dxa"/>
            <w:bottom w:w="0" w:type="dxa"/>
            <w:right w:w="108" w:type="dxa"/>
          </w:tblCellMar>
        </w:tblPrEx>
        <w:trPr>
          <w:trHeight w:val="9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BB5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D074">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BAB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数字党建系统管理后台</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0B9A">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街道管理模块、阵地管理模块、数据统计分析模块、积分管理模块、系统管理模块、运维管理模块、登录模块。</w:t>
            </w:r>
          </w:p>
        </w:tc>
      </w:tr>
      <w:tr w14:paraId="72FDA216">
        <w:tblPrEx>
          <w:tblCellMar>
            <w:top w:w="0" w:type="dxa"/>
            <w:left w:w="108" w:type="dxa"/>
            <w:bottom w:w="0" w:type="dxa"/>
            <w:right w:w="108" w:type="dxa"/>
          </w:tblCellMar>
        </w:tblPrEx>
        <w:trPr>
          <w:trHeight w:val="1152"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40D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54E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幸福邻里坊</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C3A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驾驶舱系统免登接口开发</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1403">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用户体系梳理：用户权限、角色、组织架构系统化整理。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组织增删改接口：开发组织新建/编辑/删除功能接口。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查询接口：用户及组织信息检索功能实现。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账户登录集成：统一身份认证登录登出接口对接。</w:t>
            </w:r>
          </w:p>
        </w:tc>
      </w:tr>
      <w:tr w14:paraId="3F14131E">
        <w:tblPrEx>
          <w:tblCellMar>
            <w:top w:w="0" w:type="dxa"/>
            <w:left w:w="108" w:type="dxa"/>
            <w:bottom w:w="0" w:type="dxa"/>
            <w:right w:w="108" w:type="dxa"/>
          </w:tblCellMar>
        </w:tblPrEx>
        <w:trPr>
          <w:trHeight w:val="864"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0E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C6C7">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9E8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群众端数据对接</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7465">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数据对接：对接“红色十二时辰”系统预约数据接口。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功能合并：跨系统场馆预约功能整合开发、复用用户体系架构，优化组织管理接口。</w:t>
            </w:r>
          </w:p>
        </w:tc>
      </w:tr>
      <w:tr w14:paraId="11F8B5DB">
        <w:tblPrEx>
          <w:tblCellMar>
            <w:top w:w="0" w:type="dxa"/>
            <w:left w:w="108" w:type="dxa"/>
            <w:bottom w:w="0" w:type="dxa"/>
            <w:right w:w="108" w:type="dxa"/>
          </w:tblCellMar>
        </w:tblPrEx>
        <w:trPr>
          <w:trHeight w:val="864"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4A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2753B">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09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群众端信息整合优化</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0D0F">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用户体系、组织结构信息梳理：到对系统内部的用户信息、权限、角色、组织架构等进行系统的整理和规划。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权限体系开发：用户组织增删改接口开发。</w:t>
            </w:r>
          </w:p>
        </w:tc>
      </w:tr>
      <w:tr w14:paraId="1FD8E37C">
        <w:tblPrEx>
          <w:tblCellMar>
            <w:top w:w="0" w:type="dxa"/>
            <w:left w:w="108" w:type="dxa"/>
            <w:bottom w:w="0" w:type="dxa"/>
            <w:right w:w="108" w:type="dxa"/>
          </w:tblCellMar>
        </w:tblPrEx>
        <w:trPr>
          <w:trHeight w:val="288"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53A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5179">
            <w:pPr>
              <w:jc w:val="center"/>
              <w:rPr>
                <w:rFonts w:hint="eastAsia" w:ascii="宋体" w:hAnsi="宋体" w:cs="宋体"/>
                <w:color w:val="auto"/>
                <w:sz w:val="24"/>
                <w:highlight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421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功能开发支持</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7E9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系统联调实施：配合跨系统功能联调及数据交互开发</w:t>
            </w:r>
          </w:p>
        </w:tc>
      </w:tr>
      <w:tr w14:paraId="45AF498D">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DF4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128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绩效e考通</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3CB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开发与接入</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7F30">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免登接口开发、统一消息接口开发、浙政钉接入、IRS的数据资源调用开发。</w:t>
            </w:r>
          </w:p>
        </w:tc>
      </w:tr>
      <w:tr w14:paraId="565CBDD4">
        <w:tblPrEx>
          <w:tblCellMar>
            <w:top w:w="0" w:type="dxa"/>
            <w:left w:w="108" w:type="dxa"/>
            <w:bottom w:w="0" w:type="dxa"/>
            <w:right w:w="108" w:type="dxa"/>
          </w:tblCellMar>
        </w:tblPrEx>
        <w:trPr>
          <w:trHeight w:val="57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7C7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BDB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“数智组工”平台</w:t>
            </w:r>
          </w:p>
        </w:tc>
        <w:tc>
          <w:tcPr>
            <w:tcW w:w="9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0ED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3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F1E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实现江河汇才、红色十二时辰、幸福邻里坊及绩效e考通的门户集成，实现统一用户、权限、接口及接入管理。</w:t>
            </w:r>
          </w:p>
        </w:tc>
      </w:tr>
    </w:tbl>
    <w:p w14:paraId="3EEB58B7">
      <w:pPr>
        <w:rPr>
          <w:rFonts w:hint="eastAsia" w:ascii="宋体" w:hAnsi="宋体"/>
          <w:color w:val="auto"/>
          <w:sz w:val="24"/>
          <w:highlight w:val="none"/>
        </w:rPr>
      </w:pPr>
    </w:p>
    <w:p w14:paraId="65B73121">
      <w:pPr>
        <w:spacing w:line="360" w:lineRule="auto"/>
        <w:ind w:left="420"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1.2.2其他需求</w:t>
      </w:r>
    </w:p>
    <w:p w14:paraId="3FE4B839">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IRS应用编目</w:t>
      </w:r>
    </w:p>
    <w:p w14:paraId="447C38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按照《应用目录编制规范（试行）》做好应用及数字资源规范编目，根据项目进程动态调整资源状态，建设厂商入驻ISV。</w:t>
      </w:r>
    </w:p>
    <w:p w14:paraId="6C905F83">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数据源头贯标</w:t>
      </w:r>
    </w:p>
    <w:p w14:paraId="79AD1CB2">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根据“一数一源一标准”要求和“有标贯标、无标立标、以标控质、达标入库”原则，实施源头贯标工作。</w:t>
      </w:r>
    </w:p>
    <w:p w14:paraId="0132DF77">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信创环境</w:t>
      </w:r>
    </w:p>
    <w:p w14:paraId="17B38304">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使用国产化服务器、操作系统、数据库及中间件等进行系统部署。</w:t>
      </w:r>
    </w:p>
    <w:p w14:paraId="5CB5FF6D">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数据归集共享</w:t>
      </w:r>
    </w:p>
    <w:p w14:paraId="4D14EF2C">
      <w:pPr>
        <w:snapToGrid w:val="0"/>
        <w:spacing w:line="360" w:lineRule="auto"/>
        <w:ind w:firstLine="480" w:firstLineChars="200"/>
        <w:contextualSpacing/>
        <w:rPr>
          <w:rFonts w:hint="eastAsia" w:ascii="宋体" w:hAnsi="宋体"/>
          <w:color w:val="auto"/>
          <w:sz w:val="24"/>
          <w:highlight w:val="none"/>
        </w:rPr>
      </w:pPr>
      <w:r>
        <w:rPr>
          <w:rFonts w:ascii="宋体" w:hAnsi="宋体" w:cs="宋体"/>
          <w:color w:val="auto"/>
          <w:sz w:val="24"/>
          <w:highlight w:val="none"/>
        </w:rPr>
        <w:t>按需完成数据“全量全要素”归集；加强源头治理、系统治理，提升数据质量；通过省IRS申请使用公共数据，重视数据利用成效；依法合规对外开放数据比例不应低于30%。</w:t>
      </w:r>
    </w:p>
    <w:p w14:paraId="372842CD">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组件利用</w:t>
      </w:r>
    </w:p>
    <w:p w14:paraId="1E9787D1">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项目中的应用系统必须通过省组件超市至少使用1个强制类组件，按需使用全省组件超市的各类共享组件。</w:t>
      </w:r>
    </w:p>
    <w:p w14:paraId="3642327F">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应用接入“浙里办、浙政钉”</w:t>
      </w:r>
    </w:p>
    <w:p w14:paraId="2497F640">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做好应用“浙里办、浙政钉”两端发布工作，其中浙政钉端必须达到100%治理侧应用发布。</w:t>
      </w:r>
    </w:p>
    <w:p w14:paraId="74CEACFE">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入驻应用工厂</w:t>
      </w:r>
    </w:p>
    <w:p w14:paraId="37CF91DF">
      <w:pPr>
        <w:snapToGrid w:val="0"/>
        <w:spacing w:line="360" w:lineRule="auto"/>
        <w:ind w:firstLine="480" w:firstLineChars="200"/>
        <w:contextualSpacing/>
        <w:rPr>
          <w:rFonts w:hint="eastAsia" w:ascii="宋体" w:hAnsi="宋体"/>
          <w:color w:val="auto"/>
          <w:sz w:val="24"/>
          <w:highlight w:val="none"/>
        </w:rPr>
      </w:pPr>
      <w:r>
        <w:rPr>
          <w:rFonts w:ascii="宋体" w:hAnsi="宋体" w:cs="宋体"/>
          <w:color w:val="auto"/>
          <w:sz w:val="24"/>
          <w:highlight w:val="none"/>
        </w:rPr>
        <w:t>应用</w:t>
      </w:r>
      <w:r>
        <w:rPr>
          <w:rFonts w:hint="eastAsia" w:ascii="宋体" w:hAnsi="宋体" w:cs="宋体"/>
          <w:color w:val="auto"/>
          <w:sz w:val="24"/>
          <w:highlight w:val="none"/>
        </w:rPr>
        <w:t>代码规范</w:t>
      </w:r>
      <w:r>
        <w:rPr>
          <w:rFonts w:ascii="宋体" w:hAnsi="宋体" w:cs="宋体"/>
          <w:color w:val="auto"/>
          <w:sz w:val="24"/>
          <w:highlight w:val="none"/>
        </w:rPr>
        <w:t>接入省应用工厂</w:t>
      </w:r>
      <w:r>
        <w:rPr>
          <w:rFonts w:hint="eastAsia" w:ascii="宋体" w:hAnsi="宋体" w:cs="宋体"/>
          <w:color w:val="auto"/>
          <w:sz w:val="24"/>
          <w:highlight w:val="none"/>
        </w:rPr>
        <w:t>，</w:t>
      </w:r>
      <w:r>
        <w:rPr>
          <w:rFonts w:ascii="宋体" w:hAnsi="宋体" w:cs="宋体"/>
          <w:color w:val="auto"/>
          <w:sz w:val="24"/>
          <w:highlight w:val="none"/>
        </w:rPr>
        <w:t>开展</w:t>
      </w:r>
      <w:r>
        <w:rPr>
          <w:rFonts w:hint="eastAsia" w:ascii="宋体" w:hAnsi="宋体" w:cs="宋体"/>
          <w:color w:val="auto"/>
          <w:sz w:val="24"/>
          <w:highlight w:val="none"/>
        </w:rPr>
        <w:t>安全扫描</w:t>
      </w:r>
      <w:r>
        <w:rPr>
          <w:rFonts w:ascii="宋体" w:hAnsi="宋体" w:cs="宋体"/>
          <w:color w:val="auto"/>
          <w:sz w:val="24"/>
          <w:highlight w:val="none"/>
        </w:rPr>
        <w:t>并及时</w:t>
      </w:r>
      <w:r>
        <w:rPr>
          <w:rFonts w:hint="eastAsia" w:ascii="宋体" w:hAnsi="宋体" w:cs="宋体"/>
          <w:color w:val="auto"/>
          <w:sz w:val="24"/>
          <w:highlight w:val="none"/>
        </w:rPr>
        <w:t>整改必修问题和漏洞。</w:t>
      </w:r>
    </w:p>
    <w:p w14:paraId="311BECC2">
      <w:pPr>
        <w:numPr>
          <w:ilvl w:val="0"/>
          <w:numId w:val="11"/>
        </w:numPr>
        <w:adjustRightInd/>
        <w:snapToGrid w:val="0"/>
        <w:spacing w:after="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业务保障需求</w:t>
      </w:r>
    </w:p>
    <w:p w14:paraId="175692AA">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对于信创改造项目，可用性分析主要涉及对系统进行渗透测试、信息安全等级保护二级测评、信创适配、密码应用、密码方案评审、密码测评等，以确保数据的完整性、可用性及安全性。</w:t>
      </w:r>
    </w:p>
    <w:p w14:paraId="6F454278">
      <w:pPr>
        <w:spacing w:line="360" w:lineRule="auto"/>
        <w:ind w:left="420"/>
        <w:outlineLvl w:val="1"/>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1.3 价款</w:t>
      </w:r>
    </w:p>
    <w:p w14:paraId="4F13F712">
      <w:pPr>
        <w:spacing w:line="360" w:lineRule="auto"/>
        <w:ind w:left="120" w:firstLine="480" w:firstLineChars="200"/>
        <w:rPr>
          <w:rFonts w:hint="eastAsia" w:ascii="宋体" w:hAnsi="宋体"/>
          <w:color w:val="auto"/>
          <w:sz w:val="24"/>
          <w:highlight w:val="none"/>
        </w:rPr>
      </w:pPr>
      <w:r>
        <w:rPr>
          <w:rFonts w:hint="eastAsia" w:ascii="宋体" w:hAnsi="宋体"/>
          <w:color w:val="auto"/>
          <w:sz w:val="24"/>
          <w:highlight w:val="none"/>
        </w:rPr>
        <w:t>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BFA4295">
      <w:pPr>
        <w:spacing w:line="360" w:lineRule="auto"/>
        <w:ind w:left="120"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CA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92E30">
            <w:pPr>
              <w:pStyle w:val="320"/>
              <w:spacing w:line="360" w:lineRule="auto"/>
              <w:ind w:left="120" w:firstLine="22"/>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58CDBC08">
            <w:pPr>
              <w:pStyle w:val="320"/>
              <w:spacing w:line="360" w:lineRule="auto"/>
              <w:ind w:left="120" w:firstLine="22"/>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7B35B84">
            <w:pPr>
              <w:pStyle w:val="320"/>
              <w:spacing w:line="360" w:lineRule="auto"/>
              <w:ind w:left="120" w:firstLine="22"/>
              <w:jc w:val="center"/>
              <w:rPr>
                <w:rFonts w:hint="eastAsia" w:hAnsi="宋体"/>
                <w:color w:val="auto"/>
                <w:sz w:val="24"/>
                <w:szCs w:val="24"/>
                <w:highlight w:val="none"/>
              </w:rPr>
            </w:pPr>
            <w:r>
              <w:rPr>
                <w:rFonts w:hAnsi="宋体"/>
                <w:color w:val="auto"/>
                <w:sz w:val="24"/>
                <w:szCs w:val="24"/>
                <w:highlight w:val="none"/>
              </w:rPr>
              <w:t>分项价格</w:t>
            </w:r>
          </w:p>
        </w:tc>
      </w:tr>
      <w:tr w14:paraId="5B2B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D88BCC">
            <w:pPr>
              <w:pStyle w:val="320"/>
              <w:spacing w:line="360" w:lineRule="auto"/>
              <w:ind w:left="120" w:firstLine="22"/>
              <w:jc w:val="center"/>
              <w:rPr>
                <w:rFonts w:hint="eastAsia" w:hAnsi="宋体"/>
                <w:color w:val="auto"/>
                <w:sz w:val="24"/>
                <w:szCs w:val="24"/>
                <w:highlight w:val="none"/>
              </w:rPr>
            </w:pPr>
          </w:p>
        </w:tc>
        <w:tc>
          <w:tcPr>
            <w:tcW w:w="3402" w:type="dxa"/>
            <w:vAlign w:val="center"/>
          </w:tcPr>
          <w:p w14:paraId="0D77C6D6">
            <w:pPr>
              <w:pStyle w:val="320"/>
              <w:spacing w:line="360" w:lineRule="auto"/>
              <w:ind w:left="120" w:firstLine="22"/>
              <w:jc w:val="center"/>
              <w:rPr>
                <w:rFonts w:hint="eastAsia" w:hAnsi="宋体"/>
                <w:color w:val="auto"/>
                <w:sz w:val="24"/>
                <w:szCs w:val="24"/>
                <w:highlight w:val="none"/>
              </w:rPr>
            </w:pPr>
          </w:p>
        </w:tc>
        <w:tc>
          <w:tcPr>
            <w:tcW w:w="2552" w:type="dxa"/>
            <w:vAlign w:val="center"/>
          </w:tcPr>
          <w:p w14:paraId="4713BC49">
            <w:pPr>
              <w:pStyle w:val="320"/>
              <w:spacing w:line="360" w:lineRule="auto"/>
              <w:ind w:left="120" w:firstLine="22"/>
              <w:jc w:val="center"/>
              <w:rPr>
                <w:rFonts w:hint="eastAsia" w:hAnsi="宋体"/>
                <w:color w:val="auto"/>
                <w:sz w:val="24"/>
                <w:szCs w:val="24"/>
                <w:highlight w:val="none"/>
              </w:rPr>
            </w:pPr>
          </w:p>
        </w:tc>
      </w:tr>
      <w:tr w14:paraId="629B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ACA89E">
            <w:pPr>
              <w:pStyle w:val="320"/>
              <w:spacing w:line="360" w:lineRule="auto"/>
              <w:ind w:left="120" w:firstLine="22"/>
              <w:jc w:val="center"/>
              <w:rPr>
                <w:rFonts w:hint="eastAsia" w:hAnsi="宋体"/>
                <w:color w:val="auto"/>
                <w:sz w:val="24"/>
                <w:szCs w:val="24"/>
                <w:highlight w:val="none"/>
              </w:rPr>
            </w:pPr>
          </w:p>
        </w:tc>
        <w:tc>
          <w:tcPr>
            <w:tcW w:w="3402" w:type="dxa"/>
            <w:vAlign w:val="center"/>
          </w:tcPr>
          <w:p w14:paraId="03CD643C">
            <w:pPr>
              <w:pStyle w:val="320"/>
              <w:spacing w:line="360" w:lineRule="auto"/>
              <w:ind w:left="120" w:firstLine="22"/>
              <w:jc w:val="center"/>
              <w:rPr>
                <w:rFonts w:hint="eastAsia" w:hAnsi="宋体"/>
                <w:color w:val="auto"/>
                <w:sz w:val="24"/>
                <w:szCs w:val="24"/>
                <w:highlight w:val="none"/>
              </w:rPr>
            </w:pPr>
          </w:p>
        </w:tc>
        <w:tc>
          <w:tcPr>
            <w:tcW w:w="2552" w:type="dxa"/>
            <w:vAlign w:val="center"/>
          </w:tcPr>
          <w:p w14:paraId="798AF310">
            <w:pPr>
              <w:pStyle w:val="320"/>
              <w:spacing w:line="360" w:lineRule="auto"/>
              <w:ind w:left="120" w:firstLine="22"/>
              <w:jc w:val="center"/>
              <w:rPr>
                <w:rFonts w:hint="eastAsia" w:hAnsi="宋体"/>
                <w:color w:val="auto"/>
                <w:sz w:val="24"/>
                <w:szCs w:val="24"/>
                <w:highlight w:val="none"/>
              </w:rPr>
            </w:pPr>
          </w:p>
        </w:tc>
      </w:tr>
      <w:tr w14:paraId="20BE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43DB7B">
            <w:pPr>
              <w:pStyle w:val="320"/>
              <w:spacing w:line="360" w:lineRule="auto"/>
              <w:ind w:left="120" w:firstLine="22"/>
              <w:jc w:val="center"/>
              <w:rPr>
                <w:rFonts w:hint="eastAsia" w:hAnsi="宋体"/>
                <w:color w:val="auto"/>
                <w:sz w:val="24"/>
                <w:szCs w:val="24"/>
                <w:highlight w:val="none"/>
              </w:rPr>
            </w:pPr>
          </w:p>
        </w:tc>
        <w:tc>
          <w:tcPr>
            <w:tcW w:w="3402" w:type="dxa"/>
            <w:vAlign w:val="center"/>
          </w:tcPr>
          <w:p w14:paraId="5147C491">
            <w:pPr>
              <w:pStyle w:val="320"/>
              <w:spacing w:line="360" w:lineRule="auto"/>
              <w:ind w:left="120" w:firstLine="22"/>
              <w:jc w:val="center"/>
              <w:rPr>
                <w:rFonts w:hint="eastAsia" w:hAnsi="宋体"/>
                <w:color w:val="auto"/>
                <w:sz w:val="24"/>
                <w:szCs w:val="24"/>
                <w:highlight w:val="none"/>
              </w:rPr>
            </w:pPr>
          </w:p>
        </w:tc>
        <w:tc>
          <w:tcPr>
            <w:tcW w:w="2552" w:type="dxa"/>
            <w:vAlign w:val="center"/>
          </w:tcPr>
          <w:p w14:paraId="494CC212">
            <w:pPr>
              <w:pStyle w:val="320"/>
              <w:spacing w:line="360" w:lineRule="auto"/>
              <w:ind w:left="120" w:firstLine="22"/>
              <w:jc w:val="center"/>
              <w:rPr>
                <w:rFonts w:hint="eastAsia" w:hAnsi="宋体"/>
                <w:color w:val="auto"/>
                <w:sz w:val="24"/>
                <w:szCs w:val="24"/>
                <w:highlight w:val="none"/>
              </w:rPr>
            </w:pPr>
          </w:p>
        </w:tc>
      </w:tr>
      <w:tr w14:paraId="1810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FBDDEB">
            <w:pPr>
              <w:pStyle w:val="320"/>
              <w:spacing w:line="360" w:lineRule="auto"/>
              <w:ind w:left="120" w:firstLine="22"/>
              <w:jc w:val="center"/>
              <w:rPr>
                <w:rFonts w:hint="eastAsia" w:hAnsi="宋体"/>
                <w:color w:val="auto"/>
                <w:sz w:val="24"/>
                <w:szCs w:val="24"/>
                <w:highlight w:val="none"/>
              </w:rPr>
            </w:pPr>
          </w:p>
        </w:tc>
        <w:tc>
          <w:tcPr>
            <w:tcW w:w="3402" w:type="dxa"/>
            <w:vAlign w:val="center"/>
          </w:tcPr>
          <w:p w14:paraId="1A7D54BE">
            <w:pPr>
              <w:pStyle w:val="320"/>
              <w:spacing w:line="360" w:lineRule="auto"/>
              <w:ind w:left="120" w:firstLine="22"/>
              <w:jc w:val="center"/>
              <w:rPr>
                <w:rFonts w:hint="eastAsia" w:hAnsi="宋体"/>
                <w:color w:val="auto"/>
                <w:sz w:val="24"/>
                <w:szCs w:val="24"/>
                <w:highlight w:val="none"/>
              </w:rPr>
            </w:pPr>
          </w:p>
        </w:tc>
        <w:tc>
          <w:tcPr>
            <w:tcW w:w="2552" w:type="dxa"/>
            <w:vAlign w:val="center"/>
          </w:tcPr>
          <w:p w14:paraId="5528C4BB">
            <w:pPr>
              <w:pStyle w:val="320"/>
              <w:spacing w:line="360" w:lineRule="auto"/>
              <w:ind w:left="120" w:firstLine="22"/>
              <w:jc w:val="center"/>
              <w:rPr>
                <w:rFonts w:hint="eastAsia" w:hAnsi="宋体"/>
                <w:color w:val="auto"/>
                <w:sz w:val="24"/>
                <w:szCs w:val="24"/>
                <w:highlight w:val="none"/>
              </w:rPr>
            </w:pPr>
          </w:p>
        </w:tc>
      </w:tr>
      <w:tr w14:paraId="5333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D94FDB">
            <w:pPr>
              <w:pStyle w:val="320"/>
              <w:spacing w:line="360" w:lineRule="auto"/>
              <w:ind w:left="120" w:firstLine="22"/>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DD944D9">
            <w:pPr>
              <w:pStyle w:val="320"/>
              <w:spacing w:line="360" w:lineRule="auto"/>
              <w:ind w:left="120" w:firstLine="22"/>
              <w:jc w:val="center"/>
              <w:rPr>
                <w:rFonts w:hint="eastAsia" w:hAnsi="宋体"/>
                <w:color w:val="auto"/>
                <w:sz w:val="24"/>
                <w:szCs w:val="24"/>
                <w:highlight w:val="none"/>
              </w:rPr>
            </w:pPr>
          </w:p>
        </w:tc>
      </w:tr>
    </w:tbl>
    <w:p w14:paraId="687FEC3E">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1.4履约保证金</w:t>
      </w:r>
    </w:p>
    <w:p w14:paraId="0E96EE74">
      <w:pPr>
        <w:pStyle w:val="960"/>
        <w:spacing w:before="0" w:beforeAutospacing="0" w:after="0" w:afterAutospacing="0" w:line="360" w:lineRule="auto"/>
        <w:ind w:left="120" w:firstLine="480" w:firstLineChars="20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w:t>
      </w:r>
    </w:p>
    <w:p w14:paraId="4F468925">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1.5付款方式、时间和条件</w:t>
      </w:r>
    </w:p>
    <w:p w14:paraId="600822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甲方应严格履行合同，及时组织验收，验收合格后及时将合同款支付完毕。甲方自合同生效后，具备实施条件，5个工作日内将资金支付到合同约定的乙方账户，有条件的甲方可以即时支付。甲方不得以机构变动、人员更替、政策调整、单位放假等为由延迟付款。</w:t>
      </w:r>
    </w:p>
    <w:p w14:paraId="331A2B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1.5.2付款条件（进度和方式）</w:t>
      </w:r>
    </w:p>
    <w:tbl>
      <w:tblPr>
        <w:tblStyle w:val="63"/>
        <w:tblW w:w="8951"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5"/>
        <w:gridCol w:w="1626"/>
        <w:gridCol w:w="6470"/>
      </w:tblGrid>
      <w:tr w14:paraId="4E9045A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8" w:hRule="atLeast"/>
          <w:tblHeader/>
        </w:trPr>
        <w:tc>
          <w:tcPr>
            <w:tcW w:w="855" w:type="dxa"/>
            <w:vAlign w:val="center"/>
          </w:tcPr>
          <w:p w14:paraId="0E050F00">
            <w:pPr>
              <w:spacing w:after="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26" w:type="dxa"/>
            <w:vAlign w:val="center"/>
          </w:tcPr>
          <w:p w14:paraId="731D1983">
            <w:pPr>
              <w:spacing w:after="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付款比例（%）</w:t>
            </w:r>
          </w:p>
        </w:tc>
        <w:tc>
          <w:tcPr>
            <w:tcW w:w="6470" w:type="dxa"/>
            <w:vAlign w:val="center"/>
          </w:tcPr>
          <w:p w14:paraId="3E689E5E">
            <w:pPr>
              <w:spacing w:after="0"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r>
      <w:tr w14:paraId="27EBE6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vAlign w:val="center"/>
          </w:tcPr>
          <w:p w14:paraId="0FCCF8C7">
            <w:pPr>
              <w:spacing w:after="0" w:line="560" w:lineRule="exact"/>
              <w:jc w:val="center"/>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1</w:t>
            </w:r>
          </w:p>
        </w:tc>
        <w:tc>
          <w:tcPr>
            <w:tcW w:w="1626" w:type="dxa"/>
            <w:vAlign w:val="center"/>
          </w:tcPr>
          <w:p w14:paraId="4570AD5B">
            <w:pPr>
              <w:spacing w:after="0" w:line="560" w:lineRule="exact"/>
              <w:jc w:val="center"/>
              <w:rPr>
                <w:rFonts w:hint="eastAsia" w:ascii="宋体" w:hAnsi="宋体" w:cs="宋体"/>
                <w:color w:val="auto"/>
                <w:sz w:val="24"/>
                <w:highlight w:val="none"/>
              </w:rPr>
            </w:pPr>
            <w:r>
              <w:rPr>
                <w:rFonts w:hint="eastAsia" w:ascii="宋体" w:hAnsi="宋体"/>
                <w:color w:val="auto"/>
                <w:sz w:val="24"/>
                <w:highlight w:val="none"/>
              </w:rPr>
              <w:t>40%</w:t>
            </w:r>
          </w:p>
        </w:tc>
        <w:tc>
          <w:tcPr>
            <w:tcW w:w="6470" w:type="dxa"/>
            <w:vAlign w:val="center"/>
          </w:tcPr>
          <w:p w14:paraId="0EB74558">
            <w:pPr>
              <w:spacing w:after="0" w:line="560" w:lineRule="exact"/>
              <w:jc w:val="left"/>
              <w:rPr>
                <w:rFonts w:hint="eastAsia" w:ascii="宋体" w:hAnsi="宋体" w:cs="宋体"/>
                <w:color w:val="auto"/>
                <w:sz w:val="24"/>
                <w:highlight w:val="none"/>
              </w:rPr>
            </w:pPr>
            <w:r>
              <w:rPr>
                <w:rFonts w:hint="eastAsia" w:ascii="宋体" w:hAnsi="宋体" w:cs="宋体"/>
                <w:color w:val="auto"/>
                <w:sz w:val="24"/>
                <w:highlight w:val="none"/>
              </w:rPr>
              <w:t>第一期付款：合同生效后，具备实施条件，5个工作日内，支付合同总价40%的预付款；</w:t>
            </w:r>
          </w:p>
        </w:tc>
      </w:tr>
      <w:tr w14:paraId="6837A09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vAlign w:val="center"/>
          </w:tcPr>
          <w:p w14:paraId="200262A0">
            <w:pPr>
              <w:spacing w:after="0" w:line="560" w:lineRule="exact"/>
              <w:jc w:val="center"/>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2</w:t>
            </w:r>
          </w:p>
        </w:tc>
        <w:tc>
          <w:tcPr>
            <w:tcW w:w="1626" w:type="dxa"/>
            <w:vAlign w:val="center"/>
          </w:tcPr>
          <w:p w14:paraId="168E5C49">
            <w:pPr>
              <w:spacing w:after="0" w:line="560" w:lineRule="exact"/>
              <w:jc w:val="center"/>
              <w:rPr>
                <w:rFonts w:hint="eastAsia" w:ascii="宋体" w:hAnsi="宋体" w:cs="宋体"/>
                <w:color w:val="auto"/>
                <w:sz w:val="24"/>
                <w:highlight w:val="none"/>
              </w:rPr>
            </w:pPr>
            <w:r>
              <w:rPr>
                <w:rFonts w:hint="eastAsia" w:ascii="宋体" w:hAnsi="宋体"/>
                <w:color w:val="auto"/>
                <w:sz w:val="24"/>
                <w:highlight w:val="none"/>
              </w:rPr>
              <w:t>40%</w:t>
            </w:r>
          </w:p>
        </w:tc>
        <w:tc>
          <w:tcPr>
            <w:tcW w:w="6470" w:type="dxa"/>
            <w:vAlign w:val="center"/>
          </w:tcPr>
          <w:p w14:paraId="6E770CEC">
            <w:pPr>
              <w:spacing w:after="0" w:line="560" w:lineRule="exact"/>
              <w:jc w:val="left"/>
              <w:rPr>
                <w:rFonts w:hint="eastAsia" w:ascii="宋体" w:hAnsi="宋体" w:cs="宋体"/>
                <w:color w:val="auto"/>
                <w:sz w:val="24"/>
                <w:highlight w:val="none"/>
              </w:rPr>
            </w:pPr>
            <w:r>
              <w:rPr>
                <w:rFonts w:hint="eastAsia" w:ascii="宋体" w:hAnsi="宋体" w:cs="宋体"/>
                <w:color w:val="auto"/>
                <w:sz w:val="24"/>
                <w:highlight w:val="none"/>
              </w:rPr>
              <w:t>第二期付款：项目完成，投入试运行，通过初验，5个工作日内支付合同总价40%；</w:t>
            </w:r>
          </w:p>
        </w:tc>
      </w:tr>
      <w:tr w14:paraId="1A92A1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855" w:type="dxa"/>
            <w:vAlign w:val="center"/>
          </w:tcPr>
          <w:p w14:paraId="391969A6">
            <w:pPr>
              <w:spacing w:after="0" w:line="560" w:lineRule="exact"/>
              <w:jc w:val="center"/>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3</w:t>
            </w:r>
          </w:p>
        </w:tc>
        <w:tc>
          <w:tcPr>
            <w:tcW w:w="1626" w:type="dxa"/>
            <w:vAlign w:val="center"/>
          </w:tcPr>
          <w:p w14:paraId="1EF6CB24">
            <w:pPr>
              <w:spacing w:after="0" w:line="560" w:lineRule="exact"/>
              <w:jc w:val="center"/>
              <w:rPr>
                <w:rFonts w:hint="eastAsia" w:ascii="宋体" w:hAnsi="宋体" w:cs="宋体"/>
                <w:color w:val="auto"/>
                <w:sz w:val="24"/>
                <w:highlight w:val="none"/>
              </w:rPr>
            </w:pPr>
            <w:r>
              <w:rPr>
                <w:rFonts w:hint="eastAsia" w:ascii="宋体" w:hAnsi="宋体"/>
                <w:color w:val="auto"/>
                <w:sz w:val="24"/>
                <w:highlight w:val="none"/>
              </w:rPr>
              <w:t>20%</w:t>
            </w:r>
          </w:p>
        </w:tc>
        <w:tc>
          <w:tcPr>
            <w:tcW w:w="6470" w:type="dxa"/>
            <w:vAlign w:val="center"/>
          </w:tcPr>
          <w:p w14:paraId="7CDBE2A4">
            <w:pPr>
              <w:spacing w:after="0" w:line="560" w:lineRule="exact"/>
              <w:jc w:val="left"/>
              <w:rPr>
                <w:rFonts w:hint="eastAsia" w:ascii="宋体" w:hAnsi="宋体" w:cs="宋体"/>
                <w:color w:val="auto"/>
                <w:sz w:val="24"/>
                <w:highlight w:val="none"/>
              </w:rPr>
            </w:pPr>
            <w:r>
              <w:rPr>
                <w:rFonts w:hint="eastAsia" w:ascii="宋体" w:hAnsi="宋体" w:cs="宋体"/>
                <w:color w:val="auto"/>
                <w:sz w:val="24"/>
                <w:highlight w:val="none"/>
              </w:rPr>
              <w:t>第三期付款：项目通过终验后，具备支付条件，5个工作日内支付合同总价20%。</w:t>
            </w:r>
          </w:p>
        </w:tc>
      </w:tr>
    </w:tbl>
    <w:p w14:paraId="063BD956">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1.6履行期限、地点和方式、产权、验收</w:t>
      </w:r>
    </w:p>
    <w:p w14:paraId="410D7F2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1.6.1履行方式：合同签订后至2025年10月底前完成系统建设及通过终验；</w:t>
      </w:r>
    </w:p>
    <w:p w14:paraId="3DD2C205">
      <w:pPr>
        <w:spacing w:line="360" w:lineRule="auto"/>
        <w:ind w:firstLine="480" w:firstLineChars="200"/>
        <w:jc w:val="left"/>
        <w:rPr>
          <w:rFonts w:hint="eastAsia" w:ascii="宋体" w:hAnsi="宋体" w:cs="宋体"/>
          <w:iCs/>
          <w:color w:val="auto"/>
          <w:sz w:val="24"/>
          <w:highlight w:val="none"/>
        </w:rPr>
      </w:pPr>
      <w:r>
        <w:rPr>
          <w:rFonts w:hint="eastAsia" w:ascii="宋体" w:hAnsi="宋体" w:cs="宋体"/>
          <w:color w:val="auto"/>
          <w:sz w:val="24"/>
          <w:highlight w:val="none"/>
        </w:rPr>
        <w:t>1.6.2</w:t>
      </w:r>
      <w:bookmarkStart w:id="425" w:name="_Hlk201160923"/>
      <w:r>
        <w:rPr>
          <w:rFonts w:hint="eastAsia" w:ascii="宋体" w:hAnsi="宋体" w:cs="宋体"/>
          <w:color w:val="auto"/>
          <w:sz w:val="24"/>
          <w:highlight w:val="none"/>
        </w:rPr>
        <w:t>履行期限：自终验之日起提供2年免费的运维服务</w:t>
      </w:r>
      <w:bookmarkEnd w:id="425"/>
      <w:r>
        <w:rPr>
          <w:rFonts w:hint="eastAsia" w:ascii="宋体" w:hAnsi="宋体" w:cs="宋体"/>
          <w:color w:val="auto"/>
          <w:sz w:val="24"/>
          <w:highlight w:val="none"/>
        </w:rPr>
        <w:t>；</w:t>
      </w:r>
    </w:p>
    <w:p w14:paraId="596A1A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1.6.3履行地点：甲方指定地点（杭州）；</w:t>
      </w:r>
    </w:p>
    <w:p w14:paraId="56753AB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1.6.4</w:t>
      </w:r>
      <w:r>
        <w:rPr>
          <w:rFonts w:hint="eastAsia" w:ascii="宋体" w:hAnsi="宋体" w:cs="宋体"/>
          <w:b/>
          <w:color w:val="auto"/>
          <w:sz w:val="24"/>
          <w:highlight w:val="none"/>
        </w:rPr>
        <w:t>知识产权</w:t>
      </w:r>
      <w:r>
        <w:rPr>
          <w:rFonts w:hint="eastAsia" w:ascii="宋体" w:hAnsi="宋体" w:cs="宋体"/>
          <w:color w:val="auto"/>
          <w:sz w:val="24"/>
          <w:highlight w:val="none"/>
        </w:rPr>
        <w:t>：乙方应保证其提供的服务不受任何第三方提出的侵犯著作权、商标权、专利权等知识产权方面的起诉；如果任何第三方提出侵权指控，那么乙方须与该第三方交涉并承担由此发生的一切责任、费用和赔偿；</w:t>
      </w:r>
    </w:p>
    <w:p w14:paraId="6A5A2C7C">
      <w:pPr>
        <w:widowControl/>
        <w:overflowPunct w:val="0"/>
        <w:autoSpaceDE w:val="0"/>
        <w:autoSpaceDN w:val="0"/>
        <w:spacing w:line="360" w:lineRule="auto"/>
        <w:ind w:firstLine="470" w:firstLineChars="196"/>
        <w:jc w:val="left"/>
        <w:textAlignment w:val="baseline"/>
        <w:rPr>
          <w:rFonts w:hint="eastAsia" w:ascii="宋体" w:hAnsi="宋体" w:cs="宋体"/>
          <w:color w:val="auto"/>
          <w:sz w:val="24"/>
          <w:highlight w:val="none"/>
        </w:rPr>
      </w:pPr>
      <w:r>
        <w:rPr>
          <w:rFonts w:hint="eastAsia" w:ascii="宋体" w:hAnsi="宋体" w:cs="宋体"/>
          <w:color w:val="auto"/>
          <w:sz w:val="24"/>
          <w:highlight w:val="none"/>
        </w:rPr>
        <w:t>1.6.5</w:t>
      </w:r>
      <w:r>
        <w:rPr>
          <w:rFonts w:hint="eastAsia" w:ascii="宋体" w:hAnsi="宋体" w:cs="宋体"/>
          <w:b/>
          <w:color w:val="auto"/>
          <w:sz w:val="24"/>
          <w:highlight w:val="none"/>
        </w:rPr>
        <w:t>知识产权归属、处理方式：项目所产生的知识产权（源代码、开发文档等）及采集数据归甲方所有，但不包括乙方在本项目前已经合法拥有的知识产权。</w:t>
      </w:r>
      <w:r>
        <w:rPr>
          <w:rFonts w:hint="eastAsia" w:ascii="宋体" w:hAnsi="宋体" w:cs="宋体"/>
          <w:color w:val="auto"/>
          <w:sz w:val="24"/>
          <w:highlight w:val="none"/>
        </w:rPr>
        <w:t>若涉及到个人或企业数据采集等处理行为，甲方应当遵守《个人信息保护法》，取得数据权利人的同意，不存在侵犯第三方合法权益，若与第三方发生纠纷，与乙方无关。</w:t>
      </w:r>
    </w:p>
    <w:p w14:paraId="20697F1E">
      <w:pPr>
        <w:overflowPunct w:val="0"/>
        <w:autoSpaceDE w:val="0"/>
        <w:autoSpaceDN w:val="0"/>
        <w:spacing w:after="0"/>
        <w:ind w:left="120" w:firstLine="470" w:firstLineChars="196"/>
        <w:textAlignment w:val="baseline"/>
        <w:rPr>
          <w:color w:val="auto"/>
          <w:highlight w:val="none"/>
        </w:rPr>
      </w:pPr>
      <w:r>
        <w:rPr>
          <w:rFonts w:hint="eastAsia" w:ascii="宋体" w:hAnsi="宋体" w:cs="宋体"/>
          <w:color w:val="auto"/>
          <w:sz w:val="24"/>
          <w:szCs w:val="21"/>
          <w:highlight w:val="none"/>
        </w:rPr>
        <w:t>1.6.6验收：甲方在接到乙方验收需求后15个工作日内按照实际成果对项目进行验收。如甲方无故拒绝验收的，视为验收通过。甲方在乙方提供服务过程中，有权不定期对服务内容和质量进行考核。乙方应当给予配合。乙方在提供服务过程中如存在违反合同相关约定的，甲方有权要求乙方立即整改，乙方未按要求整改的，甲方有权拒绝验收，并可中止合同履行。</w:t>
      </w:r>
    </w:p>
    <w:bookmarkEnd w:id="417"/>
    <w:bookmarkEnd w:id="418"/>
    <w:bookmarkEnd w:id="419"/>
    <w:bookmarkEnd w:id="420"/>
    <w:bookmarkEnd w:id="421"/>
    <w:bookmarkEnd w:id="422"/>
    <w:bookmarkEnd w:id="423"/>
    <w:bookmarkEnd w:id="424"/>
    <w:p w14:paraId="0A3E7539">
      <w:pPr>
        <w:spacing w:line="360" w:lineRule="auto"/>
        <w:ind w:left="120" w:firstLine="482" w:firstLineChars="200"/>
        <w:rPr>
          <w:rFonts w:hint="eastAsia" w:ascii="宋体" w:hAnsi="宋体" w:cs="宋体"/>
          <w:color w:val="auto"/>
          <w:sz w:val="24"/>
          <w:highlight w:val="none"/>
          <w:u w:val="single"/>
        </w:rPr>
      </w:pPr>
      <w:bookmarkStart w:id="426" w:name="_Toc2375"/>
      <w:bookmarkStart w:id="427" w:name="_Toc8586"/>
      <w:bookmarkStart w:id="428" w:name="_Toc3079"/>
      <w:bookmarkStart w:id="429" w:name="_Toc24662"/>
      <w:bookmarkStart w:id="430" w:name="_Toc5698"/>
      <w:r>
        <w:rPr>
          <w:rFonts w:hint="eastAsia" w:ascii="宋体" w:hAnsi="宋体" w:cs="宋体"/>
          <w:b/>
          <w:color w:val="auto"/>
          <w:sz w:val="24"/>
          <w:highlight w:val="none"/>
        </w:rPr>
        <w:t>1.7违约责任</w:t>
      </w:r>
      <w:bookmarkEnd w:id="426"/>
      <w:bookmarkEnd w:id="427"/>
      <w:bookmarkEnd w:id="428"/>
      <w:bookmarkEnd w:id="429"/>
      <w:bookmarkEnd w:id="430"/>
    </w:p>
    <w:p w14:paraId="1923BE96">
      <w:pPr>
        <w:spacing w:line="360" w:lineRule="auto"/>
        <w:ind w:left="120" w:firstLine="480" w:firstLineChars="200"/>
        <w:rPr>
          <w:rFonts w:hint="eastAsia" w:ascii="宋体" w:hAnsi="宋体" w:cs="宋体"/>
          <w:color w:val="auto"/>
          <w:sz w:val="24"/>
          <w:highlight w:val="none"/>
        </w:rPr>
      </w:pPr>
      <w:bookmarkStart w:id="431" w:name="_Hlk129533809"/>
      <w:bookmarkStart w:id="432" w:name="_Hlk201245061"/>
      <w:r>
        <w:rPr>
          <w:rFonts w:hint="eastAsia" w:ascii="宋体" w:hAnsi="宋体" w:cs="宋体"/>
          <w:color w:val="auto"/>
          <w:sz w:val="24"/>
          <w:highlight w:val="none"/>
        </w:rPr>
        <w:t>1.7.1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B5340C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1.7.2服务中涉及的货物，除不可抗力外，如果乙方没有按照本合同约定的期限、地点和方式交付货物，那么甲方可要求乙方支付违约金，违约金按每迟延交付货物一日的应交付而未交付货物价格的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0.5</w:t>
      </w:r>
      <w:r>
        <w:rPr>
          <w:rFonts w:hint="eastAsia" w:ascii="宋体" w:hAnsi="宋体" w:cs="宋体"/>
          <w:color w:val="auto"/>
          <w:sz w:val="24"/>
          <w:highlight w:val="none"/>
        </w:rPr>
        <w:t xml:space="preserve"> %计算，最高限额为本合同总价的  </w:t>
      </w:r>
      <w:r>
        <w:rPr>
          <w:rFonts w:hint="eastAsia" w:ascii="宋体" w:hAnsi="宋体" w:cs="宋体"/>
          <w:color w:val="auto"/>
          <w:sz w:val="24"/>
          <w:highlight w:val="none"/>
          <w:u w:val="single"/>
        </w:rPr>
        <w:t xml:space="preserve">5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3E90CA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E972DE5">
      <w:pPr>
        <w:spacing w:line="360" w:lineRule="auto"/>
        <w:ind w:left="120" w:firstLine="480" w:firstLineChars="200"/>
        <w:rPr>
          <w:rFonts w:hint="eastAsia" w:ascii="宋体" w:hAnsi="宋体" w:cs="宋体"/>
          <w:color w:val="auto"/>
          <w:sz w:val="24"/>
          <w:highlight w:val="none"/>
        </w:rPr>
      </w:pPr>
      <w:bookmarkStart w:id="433" w:name="_Toc18683"/>
      <w:bookmarkStart w:id="434" w:name="_Toc26807"/>
      <w:bookmarkStart w:id="435" w:name="_Toc30329"/>
      <w:bookmarkStart w:id="436" w:name="_Toc9497"/>
      <w:bookmarkStart w:id="437" w:name="_Toc32454"/>
      <w:r>
        <w:rPr>
          <w:rFonts w:hint="eastAsia" w:ascii="宋体" w:hAnsi="宋体" w:cs="宋体"/>
          <w:color w:val="auto"/>
          <w:sz w:val="24"/>
          <w:highlight w:val="none"/>
        </w:rPr>
        <w:t>1.7.4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C8921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9A605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1.7.6如果出现政府采购监督管理部门在处理投诉事项期间，书面通知甲方暂停采购活动的情形，或者询问或质疑事项可能影响中标或者成交结果的，导致甲方中止履行合同的情形，均不视为甲方违约。</w:t>
      </w:r>
    </w:p>
    <w:bookmarkEnd w:id="431"/>
    <w:p w14:paraId="1A6EC279">
      <w:pPr>
        <w:spacing w:line="360" w:lineRule="auto"/>
        <w:ind w:left="12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1.7.7</w:t>
      </w:r>
      <w:bookmarkStart w:id="438" w:name="_Hlk201161001"/>
      <w:r>
        <w:rPr>
          <w:rFonts w:hint="eastAsia" w:ascii="宋体" w:hAnsi="宋体" w:cs="宋体"/>
          <w:color w:val="auto"/>
          <w:sz w:val="24"/>
          <w:highlight w:val="none"/>
        </w:rPr>
        <w:t>乙方应承担的违约金、损失及其他费用，甲方均有权在应付款中予以扣除。乙方应承担的损失包括但不限于甲方聘请第三方的费用、律师费、仲裁费。</w:t>
      </w:r>
      <w:bookmarkEnd w:id="438"/>
    </w:p>
    <w:bookmarkEnd w:id="432"/>
    <w:p w14:paraId="26275FC5">
      <w:pPr>
        <w:spacing w:line="360" w:lineRule="auto"/>
        <w:ind w:left="12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1.7.8违约责任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14:paraId="4F91D64E">
      <w:pPr>
        <w:spacing w:line="360" w:lineRule="auto"/>
        <w:ind w:left="120" w:firstLine="482" w:firstLineChars="200"/>
        <w:rPr>
          <w:rFonts w:hint="eastAsia" w:ascii="宋体" w:hAnsi="宋体" w:cs="宋体"/>
          <w:b/>
          <w:color w:val="auto"/>
          <w:sz w:val="24"/>
          <w:highlight w:val="none"/>
        </w:rPr>
      </w:pPr>
      <w:bookmarkStart w:id="439" w:name="_Toc28375"/>
      <w:bookmarkStart w:id="440" w:name="_Toc16021"/>
      <w:bookmarkStart w:id="441" w:name="_Toc15583"/>
      <w:r>
        <w:rPr>
          <w:rFonts w:hint="eastAsia" w:ascii="宋体" w:hAnsi="宋体" w:cs="宋体"/>
          <w:b/>
          <w:color w:val="auto"/>
          <w:sz w:val="24"/>
          <w:highlight w:val="none"/>
        </w:rPr>
        <w:t>1.8合同争议的解决</w:t>
      </w:r>
      <w:bookmarkEnd w:id="439"/>
      <w:bookmarkEnd w:id="440"/>
      <w:bookmarkEnd w:id="441"/>
    </w:p>
    <w:p w14:paraId="28D74657">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2"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w:t>
      </w:r>
      <w:r>
        <w:rPr>
          <w:rFonts w:hint="eastAsia" w:ascii="宋体" w:hAnsi="宋体" w:cs="宋体"/>
          <w:color w:val="auto"/>
          <w:sz w:val="24"/>
          <w:highlight w:val="none"/>
        </w:rPr>
        <w:t xml:space="preserve"> 规定的方式解决：</w:t>
      </w:r>
    </w:p>
    <w:p w14:paraId="65B24B39">
      <w:pPr>
        <w:spacing w:line="360" w:lineRule="auto"/>
        <w:ind w:left="-420" w:leftChars="-200" w:right="-420" w:rightChars="-200" w:firstLine="1080" w:firstLineChars="450"/>
        <w:rPr>
          <w:rFonts w:hint="eastAsia" w:ascii="宋体" w:hAnsi="宋体" w:cs="宋体"/>
          <w:color w:val="auto"/>
          <w:sz w:val="24"/>
          <w:highlight w:val="none"/>
        </w:rPr>
      </w:pPr>
      <w:r>
        <w:rPr>
          <w:rFonts w:hint="eastAsia" w:ascii="宋体" w:hAnsi="宋体" w:cs="宋体"/>
          <w:color w:val="auto"/>
          <w:sz w:val="24"/>
          <w:highlight w:val="none"/>
        </w:rPr>
        <w:t>1、将争议提交杭州仲裁委员会依申请仲裁时其现行有效的仲裁规则裁决；</w:t>
      </w:r>
    </w:p>
    <w:p w14:paraId="03FCBED3">
      <w:pPr>
        <w:spacing w:line="360" w:lineRule="auto"/>
        <w:ind w:left="-420" w:leftChars="-200" w:right="-420" w:rightChars="-200" w:firstLine="1080" w:firstLineChars="450"/>
        <w:rPr>
          <w:rFonts w:hint="eastAsia" w:ascii="宋体" w:hAnsi="宋体" w:cs="宋体"/>
          <w:color w:val="auto"/>
          <w:sz w:val="24"/>
          <w:highlight w:val="none"/>
        </w:rPr>
      </w:pPr>
      <w:r>
        <w:rPr>
          <w:rFonts w:hint="eastAsia" w:ascii="宋体" w:hAnsi="宋体" w:cs="宋体"/>
          <w:color w:val="auto"/>
          <w:sz w:val="24"/>
          <w:highlight w:val="none"/>
        </w:rPr>
        <w:t>2、 向甲方所在地人民法院起诉。</w:t>
      </w:r>
    </w:p>
    <w:bookmarkEnd w:id="442"/>
    <w:p w14:paraId="12315476">
      <w:pPr>
        <w:spacing w:line="360" w:lineRule="auto"/>
        <w:ind w:left="120" w:firstLine="482" w:firstLineChars="200"/>
        <w:rPr>
          <w:rFonts w:hint="eastAsia" w:ascii="宋体" w:hAnsi="宋体" w:cs="宋体"/>
          <w:b/>
          <w:color w:val="auto"/>
          <w:sz w:val="24"/>
          <w:highlight w:val="none"/>
        </w:rPr>
      </w:pPr>
      <w:bookmarkStart w:id="443" w:name="_Toc7245"/>
      <w:bookmarkStart w:id="444" w:name="_Toc15322"/>
      <w:bookmarkStart w:id="445" w:name="_Toc11173"/>
      <w:r>
        <w:rPr>
          <w:rFonts w:hint="eastAsia" w:ascii="宋体" w:hAnsi="宋体" w:cs="宋体"/>
          <w:b/>
          <w:color w:val="auto"/>
          <w:sz w:val="24"/>
          <w:highlight w:val="none"/>
        </w:rPr>
        <w:t>1.9 合同生效</w:t>
      </w:r>
      <w:bookmarkEnd w:id="443"/>
      <w:bookmarkEnd w:id="444"/>
      <w:bookmarkEnd w:id="445"/>
    </w:p>
    <w:p w14:paraId="0981E2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本合同经甲方、乙方法定代表人或其委托人签字并加盖双方公章后生效。</w:t>
      </w:r>
    </w:p>
    <w:p w14:paraId="56C7D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本合同一式私肆份，甲乙双方各执贰份。</w:t>
      </w:r>
    </w:p>
    <w:p w14:paraId="4B9562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与本合同有关标书及记录同本合同具有同等法律效果。</w:t>
      </w:r>
    </w:p>
    <w:p w14:paraId="3CE94F8F">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1.10 合同转让和分包</w:t>
      </w:r>
    </w:p>
    <w:p w14:paraId="5D9DF9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6BABE7">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1.11 网络及安全责任条款</w:t>
      </w:r>
    </w:p>
    <w:p w14:paraId="0DAE7D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数据保护：项目实施过程中，乙方应遵守《中华人民共和国网络安全法》等法律法规，保护信息安全，要求签订保密协议，乙方应对涉及的工作秘密、敏感数据进行保护，未经甲方认可不得擅自将数据运用或流转其他单位。此外，乙方应当按照国家网络安全等级保护管理制度规定，在项目终验之前就本合同项下设计的数据信息完成等级保护测评。乙方如存在任何泄露甲方秘密、信息及存在任何不符合国家针对数据、信息保护要求的行为的，应当承担相应责任。乙方应按照《网络安全法》、《数据安全法》、《个人信息保护法》的要求，履行网络和数据安全相关责任和义务，项目涉及人员需签订《保密承诺书》，对驻场服务人员进行背景审查。乙方应加强网络安全风险监测，制定应急预案，完善应急机制。确保第一时间检测发现，第一时间应急处置，第一时间向甲方报告。由于乙方原因，受到国家级、省级、市级安全问题通报或造成特别重大事故的，每次扣除合同款5万元、3万元、1万元，乙方不及时处置安全事件、隐患的,每次扣除合同款1万元。若乙方未根据整改报告按期整改的，每次扣除合同款1万元。以上扣除总额不超过合同的20%。</w:t>
      </w:r>
    </w:p>
    <w:p w14:paraId="7A200D15">
      <w:pPr>
        <w:rPr>
          <w:color w:val="auto"/>
          <w:highlight w:val="none"/>
        </w:rPr>
      </w:pPr>
    </w:p>
    <w:p w14:paraId="3AA2D17F">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34BBA26">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B310272">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0237A390">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2B8A7E1E">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7B14FE38">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F699976">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1312C18">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67561AC">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030CBDE">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B09C8F5">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216F3985">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FE66FA">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4C15F7C">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978E9A4">
      <w:pPr>
        <w:spacing w:line="360" w:lineRule="auto"/>
        <w:jc w:val="cente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第二部分 合同一般条款</w:t>
      </w:r>
    </w:p>
    <w:p w14:paraId="2EA8315D">
      <w:pPr>
        <w:spacing w:line="360" w:lineRule="auto"/>
        <w:ind w:left="120" w:firstLine="482" w:firstLineChars="200"/>
        <w:rPr>
          <w:rFonts w:hint="eastAsia" w:ascii="宋体" w:hAnsi="宋体" w:cs="宋体"/>
          <w:b/>
          <w:color w:val="auto"/>
          <w:sz w:val="24"/>
          <w:highlight w:val="none"/>
        </w:rPr>
      </w:pPr>
      <w:bookmarkStart w:id="446" w:name="_Toc19680"/>
      <w:bookmarkStart w:id="447" w:name="_Toc5228"/>
      <w:bookmarkStart w:id="448" w:name="_Toc25079"/>
      <w:bookmarkStart w:id="449" w:name="_Toc31297"/>
      <w:bookmarkStart w:id="450" w:name="_Toc14021"/>
      <w:r>
        <w:rPr>
          <w:rFonts w:hint="eastAsia" w:ascii="宋体" w:hAnsi="宋体" w:cs="宋体"/>
          <w:b/>
          <w:color w:val="auto"/>
          <w:sz w:val="24"/>
          <w:highlight w:val="none"/>
        </w:rPr>
        <w:t>2.1 定义</w:t>
      </w:r>
      <w:bookmarkEnd w:id="446"/>
      <w:bookmarkEnd w:id="447"/>
      <w:bookmarkEnd w:id="448"/>
      <w:bookmarkEnd w:id="449"/>
      <w:bookmarkEnd w:id="450"/>
    </w:p>
    <w:p w14:paraId="057A8F2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9D1D6B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227937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34FD87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92F866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2F44C47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32AE9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3F601BF6">
      <w:pPr>
        <w:spacing w:line="360" w:lineRule="auto"/>
        <w:ind w:left="120" w:firstLine="482" w:firstLineChars="200"/>
        <w:rPr>
          <w:rFonts w:hint="eastAsia" w:ascii="宋体" w:hAnsi="宋体" w:cs="宋体"/>
          <w:b/>
          <w:color w:val="auto"/>
          <w:sz w:val="24"/>
          <w:highlight w:val="none"/>
        </w:rPr>
      </w:pPr>
      <w:bookmarkStart w:id="451" w:name="_Toc23289"/>
      <w:bookmarkStart w:id="452" w:name="_Toc3769"/>
      <w:bookmarkStart w:id="453" w:name="_Toc16752"/>
      <w:bookmarkStart w:id="454" w:name="_Toc31402"/>
      <w:bookmarkStart w:id="455" w:name="_Toc19539"/>
      <w:r>
        <w:rPr>
          <w:rFonts w:hint="eastAsia" w:ascii="宋体" w:hAnsi="宋体" w:cs="宋体"/>
          <w:b/>
          <w:color w:val="auto"/>
          <w:sz w:val="24"/>
          <w:highlight w:val="none"/>
        </w:rPr>
        <w:t>2.2 技术规范</w:t>
      </w:r>
      <w:bookmarkEnd w:id="451"/>
      <w:bookmarkEnd w:id="452"/>
      <w:bookmarkEnd w:id="453"/>
      <w:bookmarkEnd w:id="454"/>
      <w:bookmarkEnd w:id="455"/>
    </w:p>
    <w:p w14:paraId="651D8F3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0B6168">
      <w:pPr>
        <w:spacing w:line="360" w:lineRule="auto"/>
        <w:ind w:left="120" w:firstLine="482" w:firstLineChars="200"/>
        <w:rPr>
          <w:rFonts w:hint="eastAsia" w:ascii="宋体" w:hAnsi="宋体" w:cs="宋体"/>
          <w:b/>
          <w:color w:val="auto"/>
          <w:sz w:val="24"/>
          <w:highlight w:val="none"/>
        </w:rPr>
      </w:pPr>
      <w:bookmarkStart w:id="456" w:name="_Toc4133"/>
      <w:bookmarkStart w:id="457" w:name="_Toc12412"/>
      <w:bookmarkStart w:id="458" w:name="_Toc27945"/>
      <w:bookmarkStart w:id="459" w:name="_Toc9161"/>
      <w:bookmarkStart w:id="460" w:name="_Toc13673"/>
      <w:r>
        <w:rPr>
          <w:rFonts w:hint="eastAsia" w:ascii="宋体" w:hAnsi="宋体" w:cs="宋体"/>
          <w:b/>
          <w:color w:val="auto"/>
          <w:sz w:val="24"/>
          <w:highlight w:val="none"/>
        </w:rPr>
        <w:t>2.3 知识产权</w:t>
      </w:r>
      <w:bookmarkEnd w:id="456"/>
      <w:bookmarkEnd w:id="457"/>
      <w:bookmarkEnd w:id="458"/>
      <w:bookmarkEnd w:id="459"/>
      <w:bookmarkEnd w:id="460"/>
    </w:p>
    <w:p w14:paraId="61A4B05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2.3.1 </w:t>
      </w:r>
      <w:bookmarkStart w:id="461" w:name="_Hlk133442661"/>
      <w:r>
        <w:rPr>
          <w:rFonts w:hint="eastAsia" w:ascii="宋体" w:hAnsi="宋体" w:cs="宋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61"/>
    </w:p>
    <w:p w14:paraId="060EDAF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F32740">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45357CD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00345F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089FB088">
      <w:pPr>
        <w:spacing w:line="360" w:lineRule="auto"/>
        <w:ind w:left="120" w:firstLine="482" w:firstLineChars="200"/>
        <w:rPr>
          <w:rFonts w:hint="eastAsia" w:ascii="宋体" w:hAnsi="宋体" w:cs="宋体"/>
          <w:b/>
          <w:color w:val="auto"/>
          <w:sz w:val="24"/>
          <w:highlight w:val="none"/>
        </w:rPr>
      </w:pPr>
      <w:bookmarkStart w:id="462" w:name="_Toc32670"/>
      <w:bookmarkStart w:id="463" w:name="_Toc26555"/>
      <w:bookmarkStart w:id="464" w:name="_Toc15447"/>
      <w:bookmarkStart w:id="465" w:name="_Toc22011"/>
      <w:bookmarkStart w:id="466" w:name="_Toc31233"/>
      <w:r>
        <w:rPr>
          <w:rFonts w:hint="eastAsia" w:ascii="宋体" w:hAnsi="宋体" w:cs="宋体"/>
          <w:b/>
          <w:color w:val="auto"/>
          <w:sz w:val="24"/>
          <w:highlight w:val="none"/>
        </w:rPr>
        <w:t>2.5 结算方式和付款条件</w:t>
      </w:r>
      <w:bookmarkEnd w:id="462"/>
      <w:bookmarkEnd w:id="463"/>
      <w:bookmarkEnd w:id="464"/>
      <w:bookmarkEnd w:id="465"/>
      <w:bookmarkEnd w:id="466"/>
    </w:p>
    <w:p w14:paraId="714413C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B82A09">
      <w:pPr>
        <w:spacing w:line="360" w:lineRule="auto"/>
        <w:ind w:left="120" w:firstLine="482" w:firstLineChars="200"/>
        <w:rPr>
          <w:rFonts w:hint="eastAsia" w:ascii="宋体" w:hAnsi="宋体" w:cs="宋体"/>
          <w:b/>
          <w:color w:val="auto"/>
          <w:sz w:val="24"/>
          <w:highlight w:val="none"/>
        </w:rPr>
      </w:pPr>
      <w:bookmarkStart w:id="467" w:name="_Toc30507"/>
      <w:bookmarkStart w:id="468" w:name="_Toc16163"/>
      <w:bookmarkStart w:id="469" w:name="_Toc13467"/>
      <w:bookmarkStart w:id="470" w:name="_Toc13154"/>
      <w:bookmarkStart w:id="471" w:name="_Toc18990"/>
      <w:r>
        <w:rPr>
          <w:rFonts w:hint="eastAsia" w:ascii="宋体" w:hAnsi="宋体" w:cs="宋体"/>
          <w:b/>
          <w:color w:val="auto"/>
          <w:sz w:val="24"/>
          <w:highlight w:val="none"/>
        </w:rPr>
        <w:t>2.6 技术资料和保密义务</w:t>
      </w:r>
      <w:bookmarkEnd w:id="467"/>
      <w:bookmarkEnd w:id="468"/>
      <w:bookmarkEnd w:id="469"/>
      <w:bookmarkEnd w:id="470"/>
      <w:bookmarkEnd w:id="471"/>
    </w:p>
    <w:p w14:paraId="43318CA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EED1C3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9610D8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B50C4D1">
      <w:pPr>
        <w:spacing w:line="360" w:lineRule="auto"/>
        <w:ind w:left="120" w:firstLine="482" w:firstLineChars="200"/>
        <w:rPr>
          <w:rFonts w:hint="eastAsia" w:ascii="宋体" w:hAnsi="宋体" w:cs="宋体"/>
          <w:b/>
          <w:color w:val="auto"/>
          <w:sz w:val="24"/>
          <w:highlight w:val="none"/>
        </w:rPr>
      </w:pPr>
      <w:bookmarkStart w:id="472" w:name="_Toc19069"/>
      <w:r>
        <w:rPr>
          <w:rFonts w:hint="eastAsia" w:ascii="宋体" w:hAnsi="宋体" w:cs="宋体"/>
          <w:b/>
          <w:color w:val="auto"/>
          <w:sz w:val="24"/>
          <w:highlight w:val="none"/>
        </w:rPr>
        <w:t>2.7 质量保证</w:t>
      </w:r>
      <w:bookmarkEnd w:id="472"/>
    </w:p>
    <w:p w14:paraId="549B586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69C008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9CDE87C">
      <w:pPr>
        <w:spacing w:line="360" w:lineRule="auto"/>
        <w:ind w:left="120" w:firstLine="482" w:firstLineChars="200"/>
        <w:rPr>
          <w:rFonts w:hint="eastAsia" w:ascii="宋体" w:hAnsi="宋体" w:cs="宋体"/>
          <w:b/>
          <w:color w:val="auto"/>
          <w:sz w:val="24"/>
          <w:highlight w:val="none"/>
        </w:rPr>
      </w:pPr>
      <w:bookmarkStart w:id="473" w:name="_Toc22267"/>
      <w:r>
        <w:rPr>
          <w:rFonts w:hint="eastAsia" w:ascii="宋体" w:hAnsi="宋体" w:cs="宋体"/>
          <w:b/>
          <w:color w:val="auto"/>
          <w:sz w:val="24"/>
          <w:highlight w:val="none"/>
        </w:rPr>
        <w:t>2.8 延迟履行</w:t>
      </w:r>
      <w:bookmarkEnd w:id="473"/>
    </w:p>
    <w:p w14:paraId="3B5C868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7A2E78D">
      <w:pPr>
        <w:spacing w:line="360" w:lineRule="auto"/>
        <w:ind w:left="120" w:firstLine="482" w:firstLineChars="200"/>
        <w:rPr>
          <w:rFonts w:hint="eastAsia" w:ascii="宋体" w:hAnsi="宋体" w:cs="宋体"/>
          <w:b/>
          <w:color w:val="auto"/>
          <w:sz w:val="24"/>
          <w:highlight w:val="none"/>
        </w:rPr>
      </w:pPr>
      <w:bookmarkStart w:id="474" w:name="_Toc10611"/>
      <w:r>
        <w:rPr>
          <w:rFonts w:hint="eastAsia" w:ascii="宋体" w:hAnsi="宋体" w:cs="宋体"/>
          <w:b/>
          <w:color w:val="auto"/>
          <w:sz w:val="24"/>
          <w:highlight w:val="none"/>
        </w:rPr>
        <w:t>2.9 合同变更</w:t>
      </w:r>
      <w:bookmarkEnd w:id="474"/>
    </w:p>
    <w:p w14:paraId="6F99F0A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B1133F">
      <w:pPr>
        <w:spacing w:line="360" w:lineRule="auto"/>
        <w:ind w:left="120" w:firstLine="482" w:firstLineChars="200"/>
        <w:rPr>
          <w:rFonts w:hint="eastAsia" w:ascii="宋体" w:hAnsi="宋体" w:cs="宋体"/>
          <w:b/>
          <w:color w:val="auto"/>
          <w:sz w:val="24"/>
          <w:highlight w:val="none"/>
        </w:rPr>
      </w:pPr>
      <w:bookmarkStart w:id="475" w:name="_Toc21830"/>
      <w:bookmarkStart w:id="476" w:name="_Toc26689"/>
      <w:bookmarkStart w:id="477" w:name="_Toc42"/>
      <w:bookmarkStart w:id="478" w:name="_Toc10663"/>
      <w:bookmarkStart w:id="479" w:name="_Toc23368"/>
      <w:r>
        <w:rPr>
          <w:rFonts w:hint="eastAsia" w:ascii="宋体" w:hAnsi="宋体" w:cs="宋体"/>
          <w:b/>
          <w:color w:val="auto"/>
          <w:sz w:val="24"/>
          <w:highlight w:val="none"/>
        </w:rPr>
        <w:t>2.10 合同转让和分包</w:t>
      </w:r>
      <w:bookmarkEnd w:id="475"/>
      <w:bookmarkEnd w:id="476"/>
      <w:bookmarkEnd w:id="477"/>
      <w:bookmarkEnd w:id="478"/>
      <w:bookmarkEnd w:id="479"/>
    </w:p>
    <w:p w14:paraId="473C521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264672">
      <w:pPr>
        <w:spacing w:line="360" w:lineRule="auto"/>
        <w:ind w:left="120" w:firstLine="482" w:firstLineChars="200"/>
        <w:rPr>
          <w:rFonts w:hint="eastAsia" w:ascii="宋体" w:hAnsi="宋体" w:cs="宋体"/>
          <w:b/>
          <w:color w:val="auto"/>
          <w:sz w:val="24"/>
          <w:highlight w:val="none"/>
        </w:rPr>
      </w:pPr>
      <w:bookmarkStart w:id="480" w:name="_Toc25571"/>
      <w:bookmarkStart w:id="481" w:name="_Toc32494"/>
      <w:bookmarkStart w:id="482" w:name="_Toc4720"/>
      <w:bookmarkStart w:id="483" w:name="_Toc26633"/>
      <w:bookmarkStart w:id="484" w:name="_Toc14371"/>
      <w:r>
        <w:rPr>
          <w:rFonts w:hint="eastAsia" w:ascii="宋体" w:hAnsi="宋体" w:cs="宋体"/>
          <w:b/>
          <w:color w:val="auto"/>
          <w:sz w:val="24"/>
          <w:highlight w:val="none"/>
        </w:rPr>
        <w:t>2.11 不可抗力</w:t>
      </w:r>
      <w:bookmarkEnd w:id="480"/>
      <w:bookmarkEnd w:id="481"/>
      <w:bookmarkEnd w:id="482"/>
      <w:bookmarkEnd w:id="483"/>
      <w:bookmarkEnd w:id="484"/>
    </w:p>
    <w:p w14:paraId="07697A8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748F45D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37783CE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AC5291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8C5E931">
      <w:pPr>
        <w:spacing w:line="360" w:lineRule="auto"/>
        <w:ind w:left="120" w:firstLine="482" w:firstLineChars="200"/>
        <w:rPr>
          <w:rFonts w:hint="eastAsia" w:ascii="宋体" w:hAnsi="宋体" w:cs="宋体"/>
          <w:b/>
          <w:color w:val="auto"/>
          <w:sz w:val="24"/>
          <w:highlight w:val="none"/>
        </w:rPr>
      </w:pPr>
      <w:bookmarkStart w:id="485" w:name="_Toc25783"/>
      <w:bookmarkStart w:id="486" w:name="_Toc24465"/>
      <w:bookmarkStart w:id="487" w:name="_Toc3638"/>
      <w:bookmarkStart w:id="488" w:name="_Toc14115"/>
      <w:bookmarkStart w:id="489" w:name="_Toc23854"/>
      <w:r>
        <w:rPr>
          <w:rFonts w:hint="eastAsia" w:ascii="宋体" w:hAnsi="宋体" w:cs="宋体"/>
          <w:b/>
          <w:color w:val="auto"/>
          <w:sz w:val="24"/>
          <w:highlight w:val="none"/>
        </w:rPr>
        <w:t>2.12 税费</w:t>
      </w:r>
      <w:bookmarkEnd w:id="485"/>
      <w:bookmarkEnd w:id="486"/>
      <w:bookmarkEnd w:id="487"/>
      <w:bookmarkEnd w:id="488"/>
      <w:bookmarkEnd w:id="489"/>
    </w:p>
    <w:p w14:paraId="7B8FB91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53BD9634">
      <w:pPr>
        <w:spacing w:line="360" w:lineRule="auto"/>
        <w:ind w:left="120" w:firstLine="482" w:firstLineChars="200"/>
        <w:rPr>
          <w:rFonts w:hint="eastAsia" w:ascii="宋体" w:hAnsi="宋体" w:cs="宋体"/>
          <w:b/>
          <w:color w:val="auto"/>
          <w:sz w:val="24"/>
          <w:highlight w:val="none"/>
        </w:rPr>
      </w:pPr>
      <w:bookmarkStart w:id="490" w:name="_Toc14814"/>
      <w:bookmarkStart w:id="491" w:name="_Toc30105"/>
      <w:bookmarkStart w:id="492" w:name="_Toc7315"/>
      <w:bookmarkStart w:id="493" w:name="_Toc26883"/>
      <w:bookmarkStart w:id="494" w:name="_Toc25525"/>
      <w:r>
        <w:rPr>
          <w:rFonts w:hint="eastAsia" w:ascii="宋体" w:hAnsi="宋体" w:cs="宋体"/>
          <w:b/>
          <w:color w:val="auto"/>
          <w:sz w:val="24"/>
          <w:highlight w:val="none"/>
        </w:rPr>
        <w:t>2.13 乙方破产</w:t>
      </w:r>
      <w:bookmarkEnd w:id="490"/>
      <w:bookmarkEnd w:id="491"/>
      <w:bookmarkEnd w:id="492"/>
      <w:bookmarkEnd w:id="493"/>
      <w:bookmarkEnd w:id="494"/>
    </w:p>
    <w:p w14:paraId="2B382EB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651CEA">
      <w:pPr>
        <w:spacing w:line="360" w:lineRule="auto"/>
        <w:ind w:left="120" w:firstLine="482" w:firstLineChars="200"/>
        <w:rPr>
          <w:rFonts w:hint="eastAsia" w:ascii="宋体" w:hAnsi="宋体" w:cs="宋体"/>
          <w:b/>
          <w:color w:val="auto"/>
          <w:sz w:val="24"/>
          <w:highlight w:val="none"/>
        </w:rPr>
      </w:pPr>
      <w:bookmarkStart w:id="495" w:name="_Toc23323"/>
      <w:bookmarkStart w:id="496" w:name="_Toc1123"/>
      <w:bookmarkStart w:id="497" w:name="_Toc2016"/>
      <w:r>
        <w:rPr>
          <w:rFonts w:hint="eastAsia" w:ascii="宋体" w:hAnsi="宋体" w:cs="宋体"/>
          <w:b/>
          <w:color w:val="auto"/>
          <w:sz w:val="24"/>
          <w:highlight w:val="none"/>
        </w:rPr>
        <w:t>2.14 合同中止、终止</w:t>
      </w:r>
      <w:bookmarkEnd w:id="495"/>
      <w:bookmarkEnd w:id="496"/>
      <w:bookmarkEnd w:id="497"/>
    </w:p>
    <w:p w14:paraId="33130F3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7D3B21B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0888167">
      <w:pPr>
        <w:spacing w:line="360" w:lineRule="auto"/>
        <w:ind w:left="120" w:firstLine="482" w:firstLineChars="200"/>
        <w:rPr>
          <w:rFonts w:hint="eastAsia" w:ascii="宋体" w:hAnsi="宋体" w:cs="宋体"/>
          <w:b/>
          <w:color w:val="auto"/>
          <w:sz w:val="24"/>
          <w:highlight w:val="none"/>
        </w:rPr>
      </w:pPr>
      <w:bookmarkStart w:id="498" w:name="_Toc17363"/>
      <w:bookmarkStart w:id="499" w:name="_Toc1969"/>
      <w:bookmarkStart w:id="500" w:name="_Toc14525"/>
      <w:r>
        <w:rPr>
          <w:rFonts w:hint="eastAsia" w:ascii="宋体" w:hAnsi="宋体" w:cs="宋体"/>
          <w:b/>
          <w:color w:val="auto"/>
          <w:sz w:val="24"/>
          <w:highlight w:val="none"/>
        </w:rPr>
        <w:t>2.15 检验和验收</w:t>
      </w:r>
      <w:bookmarkEnd w:id="498"/>
      <w:bookmarkEnd w:id="499"/>
      <w:bookmarkEnd w:id="500"/>
    </w:p>
    <w:p w14:paraId="6FD9413B">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7CA85516">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D5397B">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F0B13B3">
      <w:pPr>
        <w:spacing w:line="360" w:lineRule="auto"/>
        <w:ind w:left="120" w:firstLine="482" w:firstLineChars="200"/>
        <w:rPr>
          <w:rFonts w:hint="eastAsia" w:ascii="宋体" w:hAnsi="宋体" w:cs="宋体"/>
          <w:b/>
          <w:color w:val="auto"/>
          <w:sz w:val="24"/>
          <w:highlight w:val="none"/>
        </w:rPr>
      </w:pPr>
      <w:bookmarkStart w:id="501" w:name="_Toc12666"/>
      <w:bookmarkStart w:id="502" w:name="_Toc9808"/>
      <w:bookmarkStart w:id="503" w:name="_Toc31892"/>
      <w:bookmarkStart w:id="504" w:name="_Toc25198"/>
      <w:bookmarkStart w:id="505" w:name="_Toc2308"/>
      <w:r>
        <w:rPr>
          <w:rFonts w:hint="eastAsia" w:ascii="宋体" w:hAnsi="宋体" w:cs="宋体"/>
          <w:b/>
          <w:color w:val="auto"/>
          <w:sz w:val="24"/>
          <w:highlight w:val="none"/>
        </w:rPr>
        <w:t>2.16 通知和送达</w:t>
      </w:r>
      <w:bookmarkEnd w:id="501"/>
      <w:bookmarkEnd w:id="502"/>
      <w:bookmarkEnd w:id="503"/>
      <w:bookmarkEnd w:id="504"/>
      <w:bookmarkEnd w:id="505"/>
    </w:p>
    <w:p w14:paraId="16FFA913">
      <w:pPr>
        <w:spacing w:line="360" w:lineRule="auto"/>
        <w:ind w:left="120" w:firstLine="480" w:firstLineChars="200"/>
        <w:rPr>
          <w:rFonts w:hint="eastAsia" w:ascii="宋体" w:hAnsi="宋体" w:cs="宋体"/>
          <w:color w:val="auto"/>
          <w:sz w:val="24"/>
          <w:highlight w:val="none"/>
        </w:rPr>
      </w:pPr>
      <w:bookmarkStart w:id="506" w:name="_Toc27674"/>
      <w:bookmarkStart w:id="507" w:name="_Toc18401"/>
      <w:r>
        <w:rPr>
          <w:rFonts w:hint="eastAsia" w:ascii="宋体" w:hAnsi="宋体" w:cs="宋体"/>
          <w:color w:val="auto"/>
          <w:sz w:val="24"/>
          <w:highlight w:val="none"/>
        </w:rPr>
        <w:t xml:space="preserve">2.16.1任何一方因履行合同而以合同第一部分尾部所列明的传真或电子邮件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6905F8D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25295AFB">
      <w:pPr>
        <w:spacing w:line="360" w:lineRule="auto"/>
        <w:ind w:left="120" w:firstLine="482" w:firstLineChars="200"/>
        <w:rPr>
          <w:rFonts w:hint="eastAsia" w:ascii="宋体" w:hAnsi="宋体" w:cs="宋体"/>
          <w:b/>
          <w:color w:val="auto"/>
          <w:sz w:val="24"/>
          <w:highlight w:val="none"/>
        </w:rPr>
      </w:pPr>
      <w:bookmarkStart w:id="508" w:name="_Toc5063"/>
      <w:bookmarkStart w:id="509" w:name="_Toc28906"/>
      <w:bookmarkStart w:id="510" w:name="_Toc12254"/>
      <w:bookmarkStart w:id="511" w:name="_Toc20808"/>
      <w:bookmarkStart w:id="512" w:name="_Toc27644"/>
      <w:r>
        <w:rPr>
          <w:rFonts w:hint="eastAsia" w:ascii="宋体" w:hAnsi="宋体" w:cs="宋体"/>
          <w:b/>
          <w:color w:val="auto"/>
          <w:sz w:val="24"/>
          <w:highlight w:val="none"/>
        </w:rPr>
        <w:t>2.17 合同使用的文字和适用的法律</w:t>
      </w:r>
      <w:bookmarkEnd w:id="508"/>
      <w:bookmarkEnd w:id="509"/>
      <w:bookmarkEnd w:id="510"/>
      <w:bookmarkEnd w:id="511"/>
      <w:bookmarkEnd w:id="512"/>
    </w:p>
    <w:p w14:paraId="3E940C1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0A10EC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4DC086CA">
      <w:pPr>
        <w:spacing w:line="360" w:lineRule="auto"/>
        <w:ind w:left="120" w:firstLine="482" w:firstLineChars="200"/>
        <w:rPr>
          <w:rFonts w:hint="eastAsia" w:ascii="宋体" w:hAnsi="宋体" w:cs="宋体"/>
          <w:b/>
          <w:color w:val="auto"/>
          <w:sz w:val="24"/>
          <w:highlight w:val="none"/>
        </w:rPr>
      </w:pPr>
      <w:bookmarkStart w:id="513" w:name="_Toc30599"/>
      <w:bookmarkStart w:id="514" w:name="_Toc4355"/>
      <w:bookmarkStart w:id="515" w:name="_Toc18540"/>
      <w:r>
        <w:rPr>
          <w:rFonts w:hint="eastAsia" w:ascii="宋体" w:hAnsi="宋体" w:cs="宋体"/>
          <w:b/>
          <w:color w:val="auto"/>
          <w:sz w:val="24"/>
          <w:highlight w:val="none"/>
        </w:rPr>
        <w:t>2.18 计量单位</w:t>
      </w:r>
      <w:bookmarkEnd w:id="513"/>
      <w:bookmarkEnd w:id="514"/>
      <w:bookmarkEnd w:id="515"/>
    </w:p>
    <w:p w14:paraId="6DFFCA7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9067A2B">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588975B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C770E15">
      <w:pPr>
        <w:pStyle w:val="33"/>
        <w:snapToGrid w:val="0"/>
        <w:spacing w:before="120" w:after="120" w:line="360" w:lineRule="auto"/>
        <w:ind w:left="1" w:firstLine="513" w:firstLineChars="213"/>
        <w:rPr>
          <w:rFonts w:hint="eastAsia" w:hAnsi="宋体"/>
          <w:b/>
          <w:bCs/>
          <w:color w:val="auto"/>
          <w:sz w:val="24"/>
          <w:szCs w:val="24"/>
          <w:highlight w:val="none"/>
        </w:rPr>
      </w:pPr>
      <w:r>
        <w:rPr>
          <w:rFonts w:hint="eastAsia" w:hAnsi="宋体"/>
          <w:b/>
          <w:bCs/>
          <w:color w:val="auto"/>
          <w:sz w:val="24"/>
          <w:szCs w:val="24"/>
          <w:highlight w:val="none"/>
        </w:rPr>
        <w:t>2.20特别约定</w:t>
      </w:r>
    </w:p>
    <w:p w14:paraId="6E641278">
      <w:pPr>
        <w:pStyle w:val="33"/>
        <w:snapToGrid w:val="0"/>
        <w:spacing w:before="120" w:after="120" w:line="360" w:lineRule="auto"/>
        <w:ind w:left="1" w:firstLine="513" w:firstLineChars="213"/>
        <w:rPr>
          <w:rFonts w:hint="eastAsia" w:hAnsi="宋体"/>
          <w:b/>
          <w:bCs/>
          <w:color w:val="auto"/>
          <w:sz w:val="24"/>
          <w:szCs w:val="24"/>
          <w:highlight w:val="none"/>
        </w:rPr>
      </w:pPr>
      <w:r>
        <w:rPr>
          <w:rFonts w:hint="eastAsia" w:hAnsi="宋体"/>
          <w:b/>
          <w:bCs/>
          <w:color w:val="auto"/>
          <w:sz w:val="24"/>
          <w:szCs w:val="24"/>
          <w:highlight w:val="none"/>
        </w:rPr>
        <w:t>2.20.1因法律、法规、规章、政策等的调整变化等，导致甲方无法或无需使用根据本合同约定由乙方提供的部分服务的，甲方不因此构成违约，乙方应当继续提供合同约定的其他服务内容，合同已履行部分的内容不受影响。合同费用最终按乙方实际提供服务的内容、工作量及验收情况进行结算，多退少补（不超过合同总价）。</w:t>
      </w:r>
    </w:p>
    <w:p w14:paraId="10257371">
      <w:pPr>
        <w:spacing w:line="360" w:lineRule="auto"/>
        <w:ind w:left="120" w:firstLine="482" w:firstLineChars="200"/>
        <w:rPr>
          <w:rFonts w:hint="eastAsia" w:ascii="宋体" w:hAnsi="宋体"/>
          <w:b/>
          <w:bCs/>
          <w:color w:val="auto"/>
          <w:sz w:val="24"/>
          <w:highlight w:val="none"/>
        </w:rPr>
      </w:pPr>
      <w:r>
        <w:rPr>
          <w:rFonts w:hint="eastAsia" w:ascii="宋体" w:hAnsi="宋体"/>
          <w:b/>
          <w:bCs/>
          <w:color w:val="auto"/>
          <w:sz w:val="24"/>
          <w:highlight w:val="none"/>
        </w:rPr>
        <w:t>2．20.2因法律、法规、规章、政策等的调整变化等，导致甲方无法或无需使用根据本合同约定由乙方提供的全部服务的，甲方有权在告知乙方后，本着公平、平等的原则解除合同，甲方不因此构成违约。费用按乙方实际提供服务的内容、工作量以及验收情况进行结算，多退少补（不超过合同总价）。合同解除后，不影响合同已履行部分的内容，且乙方应当配合甲方进行项目的必要收尾工作。</w:t>
      </w:r>
    </w:p>
    <w:p w14:paraId="07CA749F">
      <w:pPr>
        <w:spacing w:line="360" w:lineRule="auto"/>
        <w:ind w:left="120" w:firstLine="22"/>
        <w:jc w:val="center"/>
        <w:outlineLvl w:val="1"/>
        <w:rPr>
          <w:rFonts w:hint="eastAsia"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8"/>
          <w:szCs w:val="28"/>
          <w:highlight w:val="none"/>
        </w:rPr>
        <w:t>第三部分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合同专用条款</w:t>
      </w:r>
    </w:p>
    <w:p w14:paraId="7CE89E92">
      <w:pPr>
        <w:spacing w:line="360" w:lineRule="auto"/>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9"/>
        <w:gridCol w:w="8018"/>
      </w:tblGrid>
      <w:tr w14:paraId="5E692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03184AB1">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018" w:type="dxa"/>
            <w:tcBorders>
              <w:top w:val="single" w:color="auto" w:sz="6" w:space="0"/>
              <w:left w:val="single" w:color="auto" w:sz="6" w:space="0"/>
              <w:bottom w:val="single" w:color="auto" w:sz="6" w:space="0"/>
              <w:right w:val="single" w:color="auto" w:sz="6" w:space="0"/>
            </w:tcBorders>
            <w:vAlign w:val="center"/>
          </w:tcPr>
          <w:p w14:paraId="55F62152">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0BD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0365FA09">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1.7.8</w:t>
            </w:r>
          </w:p>
        </w:tc>
        <w:tc>
          <w:tcPr>
            <w:tcW w:w="8018" w:type="dxa"/>
            <w:tcBorders>
              <w:top w:val="single" w:color="auto" w:sz="6" w:space="0"/>
              <w:left w:val="single" w:color="auto" w:sz="6" w:space="0"/>
              <w:bottom w:val="single" w:color="auto" w:sz="6" w:space="0"/>
              <w:right w:val="single" w:color="auto" w:sz="6" w:space="0"/>
            </w:tcBorders>
            <w:vAlign w:val="center"/>
          </w:tcPr>
          <w:p w14:paraId="7A35E5C9">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w:t>
            </w:r>
          </w:p>
        </w:tc>
      </w:tr>
      <w:tr w14:paraId="215D2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78EF558F">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2.3.2</w:t>
            </w:r>
          </w:p>
        </w:tc>
        <w:tc>
          <w:tcPr>
            <w:tcW w:w="8018" w:type="dxa"/>
            <w:tcBorders>
              <w:top w:val="single" w:color="auto" w:sz="6" w:space="0"/>
              <w:left w:val="single" w:color="auto" w:sz="6" w:space="0"/>
              <w:bottom w:val="single" w:color="auto" w:sz="6" w:space="0"/>
              <w:right w:val="single" w:color="auto" w:sz="6" w:space="0"/>
            </w:tcBorders>
            <w:vAlign w:val="center"/>
          </w:tcPr>
          <w:p w14:paraId="10B24065">
            <w:pPr>
              <w:spacing w:line="360" w:lineRule="auto"/>
              <w:rPr>
                <w:rFonts w:hint="eastAsia" w:ascii="宋体" w:hAnsi="宋体" w:cs="宋体"/>
                <w:b/>
                <w:color w:val="auto"/>
                <w:sz w:val="24"/>
                <w:highlight w:val="none"/>
              </w:rPr>
            </w:pPr>
            <w:bookmarkStart w:id="516" w:name="_Hlk201161154"/>
            <w:r>
              <w:rPr>
                <w:rFonts w:hint="eastAsia" w:ascii="宋体" w:hAnsi="宋体" w:cs="宋体"/>
                <w:b/>
                <w:color w:val="auto"/>
                <w:sz w:val="24"/>
                <w:highlight w:val="none"/>
              </w:rPr>
              <w:t>项目所产生的知识产权（源代码、开发文档等）及采集数据归甲方所有，但不包括乙方在本项目前已经合法拥有的知识产权。乙方保证其已有知识产权在项目中的使用不会对甲方造成任何限制或额外费用。如服务过程中涉及第三方知识产权，乙方需自费获得并保证甲方不会因此被第三方追究侵权责任。若涉及到个人或企业数据采集等处理行为，甲方应当遵守《个人信息保护法》，取得数据权利人的同意，不存在侵犯第三方合法权益，若与第三方发生纠纷，与乙方无关。</w:t>
            </w:r>
            <w:bookmarkEnd w:id="516"/>
          </w:p>
        </w:tc>
      </w:tr>
      <w:tr w14:paraId="0242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0CE8AD1F">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5</w:t>
            </w:r>
          </w:p>
        </w:tc>
        <w:tc>
          <w:tcPr>
            <w:tcW w:w="8018" w:type="dxa"/>
            <w:tcBorders>
              <w:top w:val="single" w:color="auto" w:sz="6" w:space="0"/>
              <w:left w:val="single" w:color="auto" w:sz="6" w:space="0"/>
              <w:bottom w:val="single" w:color="auto" w:sz="6" w:space="0"/>
              <w:right w:val="single" w:color="auto" w:sz="6" w:space="0"/>
            </w:tcBorders>
            <w:vAlign w:val="center"/>
          </w:tcPr>
          <w:p w14:paraId="55463A9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第一期付款：合同生效后，具备实施条件，5个工作日内，支付合同总价40%的预付款；第二期付款：项目完成，投入试运行，通过初验，5个工作日内支付合同总价40%；第三期付款：项目通过终验后，具备支付条件，5个工作日内支付合同总价20%。</w:t>
            </w:r>
          </w:p>
        </w:tc>
      </w:tr>
      <w:tr w14:paraId="58E9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3E21F25E">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11</w:t>
            </w:r>
            <w:r>
              <w:rPr>
                <w:rFonts w:hint="eastAsia" w:ascii="宋体" w:hAnsi="宋体" w:cs="宋体"/>
                <w:b/>
                <w:color w:val="auto"/>
                <w:sz w:val="24"/>
                <w:highlight w:val="none"/>
              </w:rPr>
              <w:t>.</w:t>
            </w:r>
            <w:r>
              <w:rPr>
                <w:rFonts w:ascii="宋体" w:hAnsi="宋体" w:cs="宋体"/>
                <w:b/>
                <w:color w:val="auto"/>
                <w:sz w:val="24"/>
                <w:highlight w:val="none"/>
              </w:rPr>
              <w:t>3</w:t>
            </w:r>
          </w:p>
        </w:tc>
        <w:tc>
          <w:tcPr>
            <w:tcW w:w="8018" w:type="dxa"/>
            <w:tcBorders>
              <w:top w:val="single" w:color="auto" w:sz="6" w:space="0"/>
              <w:left w:val="single" w:color="auto" w:sz="6" w:space="0"/>
              <w:bottom w:val="single" w:color="auto" w:sz="6" w:space="0"/>
              <w:right w:val="single" w:color="auto" w:sz="6" w:space="0"/>
            </w:tcBorders>
            <w:vAlign w:val="center"/>
          </w:tcPr>
          <w:p w14:paraId="375BD43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因不可抗力致使合同有变更必要的，双方当事人应在15日内以书面形式变更合同。</w:t>
            </w:r>
          </w:p>
        </w:tc>
      </w:tr>
      <w:tr w14:paraId="3349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09EA1C3D">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11.4</w:t>
            </w:r>
            <w:r>
              <w:rPr>
                <w:rFonts w:hint="eastAsia" w:ascii="宋体" w:hAnsi="宋体" w:cs="宋体"/>
                <w:b/>
                <w:color w:val="auto"/>
                <w:sz w:val="24"/>
                <w:highlight w:val="none"/>
              </w:rPr>
              <w:t xml:space="preserve"> </w:t>
            </w:r>
          </w:p>
        </w:tc>
        <w:tc>
          <w:tcPr>
            <w:tcW w:w="8018" w:type="dxa"/>
            <w:tcBorders>
              <w:top w:val="single" w:color="auto" w:sz="6" w:space="0"/>
              <w:left w:val="single" w:color="auto" w:sz="6" w:space="0"/>
              <w:bottom w:val="single" w:color="auto" w:sz="6" w:space="0"/>
              <w:right w:val="single" w:color="auto" w:sz="6" w:space="0"/>
            </w:tcBorders>
            <w:vAlign w:val="center"/>
          </w:tcPr>
          <w:p w14:paraId="754A02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受不可抗力影响的一方在不可抗力发生后，应在15日内以书面形式通知对方当事人，并在15日内，将有关部门出具的证明文件送达对方当事人。</w:t>
            </w:r>
          </w:p>
        </w:tc>
      </w:tr>
      <w:tr w14:paraId="5DD8E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2490B6CA">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15</w:t>
            </w:r>
            <w:r>
              <w:rPr>
                <w:rFonts w:hint="eastAsia" w:ascii="宋体" w:hAnsi="宋体" w:cs="宋体"/>
                <w:b/>
                <w:color w:val="auto"/>
                <w:sz w:val="24"/>
                <w:highlight w:val="none"/>
              </w:rPr>
              <w:t>.</w:t>
            </w:r>
            <w:r>
              <w:rPr>
                <w:rFonts w:ascii="宋体" w:hAnsi="宋体" w:cs="宋体"/>
                <w:b/>
                <w:color w:val="auto"/>
                <w:sz w:val="24"/>
                <w:highlight w:val="none"/>
              </w:rPr>
              <w:t>1</w:t>
            </w:r>
          </w:p>
        </w:tc>
        <w:tc>
          <w:tcPr>
            <w:tcW w:w="8018" w:type="dxa"/>
            <w:tcBorders>
              <w:top w:val="single" w:color="auto" w:sz="6" w:space="0"/>
              <w:left w:val="single" w:color="auto" w:sz="6" w:space="0"/>
              <w:bottom w:val="single" w:color="auto" w:sz="6" w:space="0"/>
              <w:right w:val="single" w:color="auto" w:sz="6" w:space="0"/>
            </w:tcBorders>
            <w:vAlign w:val="center"/>
          </w:tcPr>
          <w:p w14:paraId="5EC1323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34AFF86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乙方提供相关服务过程中有违反合同约定、不达约定标准情况的，甲方有权要求乙方限期整改，乙方未按甲方要求整改的，甲方有权拒绝验收，乙方应承担相应的违约责任。</w:t>
            </w:r>
          </w:p>
        </w:tc>
      </w:tr>
      <w:tr w14:paraId="7C22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64F0E7E8">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15</w:t>
            </w:r>
            <w:r>
              <w:rPr>
                <w:rFonts w:hint="eastAsia" w:ascii="宋体" w:hAnsi="宋体" w:cs="宋体"/>
                <w:b/>
                <w:color w:val="auto"/>
                <w:sz w:val="24"/>
                <w:highlight w:val="none"/>
              </w:rPr>
              <w:t>.</w:t>
            </w:r>
            <w:r>
              <w:rPr>
                <w:rFonts w:ascii="宋体" w:hAnsi="宋体" w:cs="宋体"/>
                <w:b/>
                <w:color w:val="auto"/>
                <w:sz w:val="24"/>
                <w:highlight w:val="none"/>
              </w:rPr>
              <w:t>3</w:t>
            </w:r>
          </w:p>
        </w:tc>
        <w:tc>
          <w:tcPr>
            <w:tcW w:w="8018" w:type="dxa"/>
            <w:tcBorders>
              <w:top w:val="single" w:color="auto" w:sz="6" w:space="0"/>
              <w:left w:val="single" w:color="auto" w:sz="6" w:space="0"/>
              <w:bottom w:val="single" w:color="auto" w:sz="6" w:space="0"/>
              <w:right w:val="single" w:color="auto" w:sz="6" w:space="0"/>
            </w:tcBorders>
            <w:vAlign w:val="center"/>
          </w:tcPr>
          <w:p w14:paraId="08FD8D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1）采用本行业通用标准；满足所有采购需求及投标文件承诺；项目验收资料齐全。</w:t>
            </w:r>
          </w:p>
          <w:p w14:paraId="023D1388">
            <w:pPr>
              <w:rPr>
                <w:rFonts w:hint="eastAsia" w:ascii="宋体" w:hAnsi="宋体" w:cs="宋体"/>
                <w:b/>
                <w:color w:val="auto"/>
                <w:sz w:val="24"/>
                <w:highlight w:val="none"/>
              </w:rPr>
            </w:pPr>
            <w:r>
              <w:rPr>
                <w:rFonts w:hint="eastAsia" w:ascii="宋体" w:hAnsi="宋体" w:cs="宋体"/>
                <w:b/>
                <w:color w:val="auto"/>
                <w:sz w:val="24"/>
                <w:highlight w:val="none"/>
              </w:rPr>
              <w:t>2）履约验收产生的费用，属于首次验收过程中产生的，由甲方承担；属于首次验收不合格，重新验收过程中产生的，由乙方承担。</w:t>
            </w:r>
          </w:p>
        </w:tc>
      </w:tr>
      <w:tr w14:paraId="58421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top w:val="single" w:color="auto" w:sz="6" w:space="0"/>
              <w:left w:val="single" w:color="auto" w:sz="4" w:space="0"/>
              <w:bottom w:val="single" w:color="auto" w:sz="6" w:space="0"/>
              <w:right w:val="single" w:color="auto" w:sz="6" w:space="0"/>
            </w:tcBorders>
            <w:vAlign w:val="center"/>
          </w:tcPr>
          <w:p w14:paraId="652E7E63">
            <w:pPr>
              <w:spacing w:line="360" w:lineRule="auto"/>
              <w:ind w:left="-420" w:leftChars="-200" w:right="-420" w:rightChars="-20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w:t>
            </w:r>
          </w:p>
        </w:tc>
        <w:tc>
          <w:tcPr>
            <w:tcW w:w="8018" w:type="dxa"/>
            <w:tcBorders>
              <w:top w:val="single" w:color="auto" w:sz="6" w:space="0"/>
              <w:left w:val="single" w:color="auto" w:sz="6" w:space="0"/>
              <w:bottom w:val="single" w:color="auto" w:sz="6" w:space="0"/>
              <w:right w:val="single" w:color="auto" w:sz="6" w:space="0"/>
            </w:tcBorders>
            <w:vAlign w:val="center"/>
          </w:tcPr>
          <w:p w14:paraId="43B37F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本合同一式肆份，甲乙双方各执贰份。</w:t>
            </w:r>
          </w:p>
        </w:tc>
      </w:tr>
    </w:tbl>
    <w:p w14:paraId="7BCF62BE">
      <w:pPr>
        <w:spacing w:line="360" w:lineRule="auto"/>
        <w:ind w:left="-420" w:leftChars="-200" w:right="-420" w:rightChars="-200" w:firstLine="480" w:firstLineChars="200"/>
        <w:rPr>
          <w:rFonts w:hint="eastAsia" w:ascii="宋体" w:hAnsi="宋体" w:cs="宋体"/>
          <w:color w:val="auto"/>
          <w:sz w:val="24"/>
          <w:highlight w:val="none"/>
        </w:rPr>
      </w:pPr>
    </w:p>
    <w:p w14:paraId="5E0C1433">
      <w:pPr>
        <w:pStyle w:val="2"/>
        <w:rPr>
          <w:rFonts w:hint="eastAsia"/>
          <w:color w:val="auto"/>
          <w:highlight w:val="none"/>
          <w:lang w:val="en-US"/>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06FC810">
      <w:pPr>
        <w:widowControl/>
        <w:numPr>
          <w:ilvl w:val="255"/>
          <w:numId w:val="0"/>
        </w:numPr>
        <w:adjustRightInd/>
        <w:spacing w:line="360" w:lineRule="auto"/>
        <w:ind w:firstLine="22"/>
        <w:jc w:val="center"/>
        <w:outlineLvl w:val="0"/>
        <w:rPr>
          <w:rFonts w:hint="eastAsia" w:ascii="宋体" w:hAnsi="宋体" w:cs="宋体"/>
          <w:b/>
          <w:color w:val="auto"/>
          <w:sz w:val="36"/>
          <w:szCs w:val="20"/>
          <w:highlight w:val="none"/>
        </w:rPr>
      </w:pPr>
      <w:r>
        <w:rPr>
          <w:rFonts w:hint="eastAsia" w:ascii="宋体" w:hAnsi="宋体" w:cs="宋体"/>
          <w:b/>
          <w:color w:val="auto"/>
          <w:sz w:val="36"/>
          <w:szCs w:val="36"/>
          <w:highlight w:val="none"/>
        </w:rPr>
        <w:t>第六</w:t>
      </w:r>
      <w:r>
        <w:rPr>
          <w:rFonts w:hint="eastAsia" w:ascii="宋体" w:hAnsi="宋体" w:cs="宋体"/>
          <w:b/>
          <w:color w:val="auto"/>
          <w:sz w:val="36"/>
          <w:szCs w:val="20"/>
          <w:highlight w:val="none"/>
        </w:rPr>
        <w:t>部分</w:t>
      </w:r>
      <w:bookmarkEnd w:id="405"/>
      <w:r>
        <w:rPr>
          <w:rFonts w:hint="eastAsia" w:ascii="宋体" w:hAnsi="宋体" w:cs="宋体"/>
          <w:b/>
          <w:color w:val="auto"/>
          <w:sz w:val="36"/>
          <w:szCs w:val="20"/>
          <w:highlight w:val="none"/>
        </w:rPr>
        <w:t xml:space="preserve"> </w:t>
      </w:r>
      <w:bookmarkEnd w:id="406"/>
      <w:r>
        <w:rPr>
          <w:rFonts w:hint="eastAsia" w:ascii="宋体" w:hAnsi="宋体" w:cs="宋体"/>
          <w:b/>
          <w:color w:val="auto"/>
          <w:sz w:val="36"/>
          <w:szCs w:val="20"/>
          <w:highlight w:val="none"/>
        </w:rPr>
        <w:t>应提交的有关格式范例</w:t>
      </w:r>
    </w:p>
    <w:p w14:paraId="2B5AD7FE">
      <w:pPr>
        <w:spacing w:line="360" w:lineRule="auto"/>
        <w:ind w:left="120" w:firstLine="22"/>
        <w:jc w:val="center"/>
        <w:rPr>
          <w:rFonts w:hint="eastAsia" w:ascii="宋体" w:hAnsi="宋体" w:cs="宋体"/>
          <w:b/>
          <w:color w:val="auto"/>
          <w:kern w:val="0"/>
          <w:sz w:val="36"/>
          <w:szCs w:val="36"/>
          <w:highlight w:val="none"/>
        </w:rPr>
      </w:pPr>
    </w:p>
    <w:p w14:paraId="571CFE5E">
      <w:pPr>
        <w:spacing w:line="360" w:lineRule="auto"/>
        <w:ind w:left="120" w:firstLine="22"/>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E5746DA">
      <w:pPr>
        <w:spacing w:line="360" w:lineRule="auto"/>
        <w:ind w:left="120" w:firstLine="22"/>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45BF7C">
      <w:pPr>
        <w:spacing w:line="360" w:lineRule="auto"/>
        <w:ind w:left="120" w:firstLine="22"/>
        <w:jc w:val="center"/>
        <w:rPr>
          <w:rFonts w:hint="eastAsia" w:ascii="宋体" w:hAnsi="宋体" w:cs="宋体"/>
          <w:b/>
          <w:color w:val="auto"/>
          <w:kern w:val="0"/>
          <w:sz w:val="36"/>
          <w:szCs w:val="36"/>
          <w:highlight w:val="none"/>
        </w:rPr>
      </w:pPr>
    </w:p>
    <w:p w14:paraId="1FCFCAEB">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1A86F2B">
      <w:pPr>
        <w:snapToGrid w:val="0"/>
        <w:spacing w:line="360" w:lineRule="auto"/>
        <w:ind w:left="120" w:firstLine="22"/>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5BD7746">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0958A2E">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3E2CC2B">
      <w:pPr>
        <w:snapToGrid w:val="0"/>
        <w:spacing w:line="360" w:lineRule="auto"/>
        <w:ind w:left="120" w:firstLine="480" w:firstLineChars="200"/>
        <w:rPr>
          <w:rFonts w:hint="eastAsia" w:ascii="宋体" w:hAnsi="宋体" w:cs="宋体"/>
          <w:color w:val="auto"/>
          <w:sz w:val="24"/>
          <w:highlight w:val="none"/>
        </w:rPr>
      </w:pPr>
    </w:p>
    <w:p w14:paraId="6EBF7612">
      <w:pPr>
        <w:spacing w:line="360" w:lineRule="auto"/>
        <w:ind w:left="120" w:firstLine="480" w:firstLineChars="200"/>
        <w:rPr>
          <w:rFonts w:hint="eastAsia" w:ascii="宋体" w:hAnsi="宋体" w:cs="宋体"/>
          <w:color w:val="auto"/>
          <w:sz w:val="24"/>
          <w:highlight w:val="none"/>
        </w:rPr>
      </w:pPr>
    </w:p>
    <w:p w14:paraId="42217252">
      <w:pPr>
        <w:snapToGrid w:val="0"/>
        <w:spacing w:line="360" w:lineRule="auto"/>
        <w:ind w:left="120" w:right="480" w:firstLine="22"/>
        <w:jc w:val="center"/>
        <w:outlineLvl w:val="2"/>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182B8F47">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中共杭州市上城区委组织部、浙江省成套招标代理有限公司：</w:t>
      </w:r>
    </w:p>
    <w:p w14:paraId="5A246850">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 上城区“数智组工”平台信创提升改造项目【招标编号：CTZB-2025060381】政府采购活动，郑重承诺：</w:t>
      </w:r>
    </w:p>
    <w:p w14:paraId="41C2B6E1">
      <w:pPr>
        <w:snapToGrid w:val="0"/>
        <w:spacing w:line="360" w:lineRule="auto"/>
        <w:ind w:left="120"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5EEAC34">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0513843">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6E80F00">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94305D">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31056EC">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4E36E3B">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408A6C0">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AF1DB02">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1B6BAB9A">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CA2FE8D">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40C2543">
      <w:pPr>
        <w:snapToGrid w:val="0"/>
        <w:spacing w:line="360" w:lineRule="auto"/>
        <w:ind w:left="120"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0FE6477">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60FCFF">
      <w:pPr>
        <w:widowControl/>
        <w:spacing w:line="360" w:lineRule="auto"/>
        <w:ind w:left="120" w:firstLine="643" w:firstLineChars="200"/>
        <w:jc w:val="center"/>
        <w:outlineLvl w:val="2"/>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5D6C5AF">
      <w:pPr>
        <w:widowControl/>
        <w:spacing w:line="360" w:lineRule="auto"/>
        <w:ind w:left="120" w:firstLine="643" w:firstLineChars="200"/>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B6ABEF0">
      <w:pPr>
        <w:widowControl/>
        <w:spacing w:line="360" w:lineRule="auto"/>
        <w:ind w:left="120" w:firstLine="2168" w:firstLineChars="9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w:t>
      </w:r>
    </w:p>
    <w:p w14:paraId="592BDA79">
      <w:pPr>
        <w:widowControl/>
        <w:spacing w:line="360" w:lineRule="auto"/>
        <w:ind w:left="120" w:firstLine="482" w:firstLineChars="200"/>
        <w:jc w:val="left"/>
        <w:rPr>
          <w:rFonts w:hint="eastAsia" w:ascii="宋体" w:hAnsi="宋体" w:cs="宋体"/>
          <w:b/>
          <w:color w:val="auto"/>
          <w:sz w:val="24"/>
          <w:highlight w:val="none"/>
        </w:rPr>
      </w:pPr>
    </w:p>
    <w:p w14:paraId="02693345">
      <w:pPr>
        <w:spacing w:line="360" w:lineRule="auto"/>
        <w:ind w:left="120" w:firstLine="22"/>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18E09358">
      <w:pPr>
        <w:spacing w:line="360" w:lineRule="auto"/>
        <w:ind w:left="120" w:firstLine="2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A815010">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中共杭州市上城区委组织部、浙江省成套招标代理有限公司</w:t>
      </w:r>
      <w:r>
        <w:rPr>
          <w:rFonts w:hint="eastAsia" w:ascii="宋体" w:hAnsi="宋体" w:cs="宋体"/>
          <w:color w:val="auto"/>
          <w:kern w:val="0"/>
          <w:sz w:val="24"/>
          <w:highlight w:val="none"/>
          <w:lang w:val="zh-CN"/>
        </w:rPr>
        <w:t>：</w:t>
      </w:r>
    </w:p>
    <w:p w14:paraId="4DE97664">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 xml:space="preserve"> 上城区“数智组工”平台信创提升改造项目【招标编号：CTZB-2025060381】</w:t>
      </w:r>
      <w:r>
        <w:rPr>
          <w:rFonts w:hint="eastAsia" w:ascii="宋体" w:hAnsi="宋体" w:cs="宋体"/>
          <w:color w:val="auto"/>
          <w:kern w:val="0"/>
          <w:sz w:val="24"/>
          <w:highlight w:val="none"/>
          <w:lang w:val="zh-CN"/>
        </w:rPr>
        <w:t>政府采购投标的一切事项，其法律后果由我方承担。</w:t>
      </w:r>
    </w:p>
    <w:p w14:paraId="106FA87B">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F3B78">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B93AB1">
      <w:pPr>
        <w:spacing w:line="360" w:lineRule="auto"/>
        <w:ind w:left="120" w:firstLine="22"/>
        <w:jc w:val="center"/>
        <w:rPr>
          <w:rFonts w:hint="eastAsia" w:ascii="宋体" w:hAnsi="宋体" w:cs="宋体"/>
          <w:b/>
          <w:color w:val="auto"/>
          <w:kern w:val="0"/>
          <w:sz w:val="32"/>
          <w:szCs w:val="32"/>
          <w:highlight w:val="none"/>
        </w:rPr>
      </w:pPr>
    </w:p>
    <w:p w14:paraId="6E0D78CE">
      <w:pPr>
        <w:spacing w:line="360" w:lineRule="auto"/>
        <w:ind w:left="120" w:firstLine="22"/>
        <w:rPr>
          <w:rFonts w:hint="eastAsia" w:ascii="宋体" w:hAnsi="宋体" w:cs="宋体"/>
          <w:color w:val="auto"/>
          <w:highlight w:val="none"/>
        </w:rPr>
      </w:pPr>
    </w:p>
    <w:p w14:paraId="15E0753E">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E8F7B">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D35838">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4EC43D2">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F2A336">
      <w:pPr>
        <w:snapToGrid w:val="0"/>
        <w:spacing w:line="360" w:lineRule="auto"/>
        <w:ind w:left="120" w:right="480" w:firstLine="22"/>
        <w:jc w:val="center"/>
        <w:rPr>
          <w:rFonts w:hint="eastAsia" w:ascii="宋体" w:hAnsi="宋体" w:cs="宋体"/>
          <w:b/>
          <w:color w:val="auto"/>
          <w:kern w:val="0"/>
          <w:sz w:val="32"/>
          <w:szCs w:val="32"/>
          <w:highlight w:val="none"/>
        </w:rPr>
      </w:pPr>
    </w:p>
    <w:p w14:paraId="256C12E1">
      <w:pPr>
        <w:snapToGrid w:val="0"/>
        <w:spacing w:line="360" w:lineRule="auto"/>
        <w:ind w:left="120" w:right="480" w:firstLine="22"/>
        <w:jc w:val="center"/>
        <w:rPr>
          <w:rFonts w:hint="eastAsia" w:ascii="宋体" w:hAnsi="宋体" w:cs="宋体"/>
          <w:b/>
          <w:color w:val="auto"/>
          <w:kern w:val="0"/>
          <w:sz w:val="32"/>
          <w:szCs w:val="32"/>
          <w:highlight w:val="none"/>
        </w:rPr>
      </w:pPr>
    </w:p>
    <w:p w14:paraId="3E1D076C">
      <w:pPr>
        <w:pStyle w:val="81"/>
        <w:rPr>
          <w:rFonts w:hint="eastAsia"/>
          <w:color w:val="auto"/>
          <w:highlight w:val="none"/>
        </w:rPr>
      </w:pPr>
    </w:p>
    <w:p w14:paraId="7AB29139">
      <w:pPr>
        <w:snapToGrid w:val="0"/>
        <w:spacing w:line="360" w:lineRule="auto"/>
        <w:ind w:left="120" w:right="480" w:firstLine="22"/>
        <w:jc w:val="center"/>
        <w:outlineLvl w:val="2"/>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三、落实政府采购政策需满足的资格要求</w:t>
      </w:r>
    </w:p>
    <w:p w14:paraId="2F7A337D">
      <w:pPr>
        <w:spacing w:line="360" w:lineRule="auto"/>
        <w:ind w:left="12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本项目专门面向中小企业采购，服务全部由符合政策要求的中小企业承接，提供中小企业声明函；</w:t>
      </w:r>
    </w:p>
    <w:p w14:paraId="7E161EF1">
      <w:pPr>
        <w:spacing w:line="360" w:lineRule="auto"/>
        <w:ind w:left="120" w:firstLine="2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1AE1044">
      <w:pPr>
        <w:spacing w:line="360" w:lineRule="auto"/>
        <w:ind w:left="120"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中共杭州市上城区委组织部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上城区“数智组工”平台信创提升改造项目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B2DF56">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（上城区“数智组工”平台信创提升改造）</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软件和信息技术服务业行业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22ECFE4">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（上城区“数智组工”平台信创提升改造），</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软件和信息技术服务业行业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EA3C29">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7D12E508">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E95293">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11B62F">
      <w:pPr>
        <w:spacing w:line="360" w:lineRule="auto"/>
        <w:ind w:left="120" w:right="1760" w:firstLine="22"/>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6486E850">
      <w:pPr>
        <w:spacing w:line="360" w:lineRule="auto"/>
        <w:ind w:left="120"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268B2A98">
      <w:pPr>
        <w:spacing w:line="360" w:lineRule="auto"/>
        <w:ind w:left="120"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3EDC16A">
      <w:pPr>
        <w:spacing w:line="360" w:lineRule="auto"/>
        <w:ind w:left="120" w:right="420" w:firstLine="22"/>
        <w:rPr>
          <w:rFonts w:hint="eastAsia" w:ascii="宋体" w:hAnsi="宋体" w:cs="宋体"/>
          <w:color w:val="auto"/>
          <w:sz w:val="24"/>
          <w:highlight w:val="none"/>
        </w:rPr>
      </w:pPr>
    </w:p>
    <w:p w14:paraId="1321E23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5EF2DBF">
      <w:pPr>
        <w:pStyle w:val="81"/>
        <w:rPr>
          <w:rFonts w:hint="eastAsia"/>
          <w:color w:val="auto"/>
          <w:highlight w:val="none"/>
        </w:rPr>
      </w:pPr>
    </w:p>
    <w:p w14:paraId="13BAB7DB">
      <w:pPr>
        <w:widowControl/>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D2BFA43">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B2CD4E7">
      <w:pPr>
        <w:widowControl/>
        <w:adjustRightInd/>
        <w:spacing w:line="360" w:lineRule="auto"/>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1F05F70">
      <w:pPr>
        <w:widowControl/>
        <w:adjustRightInd/>
        <w:spacing w:line="360" w:lineRule="auto"/>
        <w:ind w:left="120" w:firstLine="22"/>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D8A0409">
      <w:pPr>
        <w:spacing w:line="360" w:lineRule="auto"/>
        <w:ind w:left="120" w:firstLine="22"/>
        <w:jc w:val="center"/>
        <w:rPr>
          <w:rFonts w:hint="eastAsia" w:ascii="宋体" w:hAnsi="宋体" w:cs="宋体"/>
          <w:b/>
          <w:color w:val="auto"/>
          <w:kern w:val="0"/>
          <w:sz w:val="24"/>
          <w:highlight w:val="none"/>
        </w:rPr>
      </w:pPr>
    </w:p>
    <w:p w14:paraId="52C99786">
      <w:pPr>
        <w:spacing w:line="360" w:lineRule="auto"/>
        <w:ind w:left="120" w:firstLine="22"/>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目录</w:t>
      </w:r>
    </w:p>
    <w:p w14:paraId="1AC6C9BF">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57366499">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 xml:space="preserve">………………………………………………………………… </w:t>
      </w:r>
      <w:r>
        <w:rPr>
          <w:rFonts w:hint="eastAsia" w:ascii="宋体" w:hAnsi="宋体" w:cs="宋体"/>
          <w:color w:val="auto"/>
          <w:sz w:val="24"/>
          <w:highlight w:val="none"/>
        </w:rPr>
        <w:t>（页码）</w:t>
      </w:r>
    </w:p>
    <w:p w14:paraId="5CBE34F8">
      <w:pPr>
        <w:snapToGrid w:val="0"/>
        <w:spacing w:line="360" w:lineRule="auto"/>
        <w:ind w:left="479" w:leftChars="228" w:firstLine="22"/>
        <w:jc w:val="left"/>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080303CF">
      <w:pPr>
        <w:snapToGrid w:val="0"/>
        <w:spacing w:line="360" w:lineRule="auto"/>
        <w:ind w:left="479" w:leftChars="228" w:firstLine="22"/>
        <w:rPr>
          <w:rFonts w:hint="eastAsia" w:ascii="宋体" w:hAnsi="宋体" w:cs="宋体"/>
          <w:color w:val="auto"/>
          <w:sz w:val="24"/>
          <w:highlight w:val="none"/>
        </w:rPr>
      </w:pPr>
      <w:r>
        <w:rPr>
          <w:rFonts w:hint="eastAsia" w:ascii="宋体" w:hAnsi="宋体" w:cs="宋体"/>
          <w:color w:val="auto"/>
          <w:sz w:val="24"/>
          <w:highlight w:val="none"/>
        </w:rPr>
        <w:t>（5）评标标准相应的商务技术资料…………………………………………（页码）</w:t>
      </w:r>
    </w:p>
    <w:p w14:paraId="76B5DD62">
      <w:pPr>
        <w:snapToGrid w:val="0"/>
        <w:spacing w:line="360" w:lineRule="auto"/>
        <w:ind w:left="479" w:leftChars="228" w:firstLine="22"/>
        <w:rPr>
          <w:rFonts w:hint="eastAsia" w:ascii="宋体" w:hAnsi="宋体" w:cs="宋体"/>
          <w:color w:val="auto"/>
          <w:sz w:val="24"/>
          <w:highlight w:val="none"/>
        </w:rPr>
      </w:pPr>
      <w:r>
        <w:rPr>
          <w:rFonts w:hint="eastAsia" w:ascii="宋体" w:hAnsi="宋体" w:cs="宋体"/>
          <w:color w:val="auto"/>
          <w:sz w:val="24"/>
          <w:highlight w:val="none"/>
        </w:rPr>
        <w:t>（6）投标标的清单………………………………………………………………（页码）</w:t>
      </w:r>
    </w:p>
    <w:p w14:paraId="39FAF9DB">
      <w:pPr>
        <w:snapToGrid w:val="0"/>
        <w:spacing w:line="360" w:lineRule="auto"/>
        <w:ind w:left="479" w:leftChars="228" w:firstLine="22"/>
        <w:rPr>
          <w:rFonts w:hint="eastAsia" w:ascii="宋体" w:hAnsi="宋体" w:cs="宋体"/>
          <w:color w:val="auto"/>
          <w:sz w:val="24"/>
          <w:highlight w:val="none"/>
        </w:rPr>
      </w:pPr>
      <w:r>
        <w:rPr>
          <w:rFonts w:hint="eastAsia" w:ascii="宋体" w:hAnsi="宋体" w:cs="宋体"/>
          <w:color w:val="auto"/>
          <w:sz w:val="24"/>
          <w:highlight w:val="none"/>
        </w:rPr>
        <w:t>（7）商务技术偏离表…………………………………………………………（页码）</w:t>
      </w:r>
    </w:p>
    <w:p w14:paraId="6C5006C5">
      <w:pPr>
        <w:snapToGrid w:val="0"/>
        <w:spacing w:line="360" w:lineRule="auto"/>
        <w:ind w:left="479" w:leftChars="228" w:firstLine="22"/>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520A6F4">
      <w:pPr>
        <w:snapToGrid w:val="0"/>
        <w:spacing w:line="360" w:lineRule="auto"/>
        <w:ind w:left="120" w:firstLine="22"/>
        <w:jc w:val="center"/>
        <w:rPr>
          <w:rFonts w:hint="eastAsia" w:ascii="宋体" w:hAnsi="宋体" w:cs="宋体"/>
          <w:b/>
          <w:color w:val="auto"/>
          <w:kern w:val="0"/>
          <w:sz w:val="32"/>
          <w:szCs w:val="32"/>
          <w:highlight w:val="none"/>
          <w:lang w:val="zh-CN"/>
        </w:rPr>
      </w:pPr>
    </w:p>
    <w:p w14:paraId="60B1D45A">
      <w:pPr>
        <w:snapToGrid w:val="0"/>
        <w:spacing w:line="360" w:lineRule="auto"/>
        <w:ind w:left="120" w:firstLine="22"/>
        <w:jc w:val="center"/>
        <w:rPr>
          <w:rFonts w:hint="eastAsia" w:ascii="宋体" w:hAnsi="宋体" w:cs="宋体"/>
          <w:b/>
          <w:color w:val="auto"/>
          <w:kern w:val="0"/>
          <w:sz w:val="32"/>
          <w:szCs w:val="32"/>
          <w:highlight w:val="none"/>
          <w:lang w:val="zh-CN"/>
        </w:rPr>
      </w:pPr>
    </w:p>
    <w:p w14:paraId="212C6840">
      <w:pPr>
        <w:snapToGrid w:val="0"/>
        <w:spacing w:line="360" w:lineRule="auto"/>
        <w:ind w:left="120" w:firstLine="22"/>
        <w:jc w:val="center"/>
        <w:rPr>
          <w:rFonts w:hint="eastAsia" w:ascii="宋体" w:hAnsi="宋体" w:cs="宋体"/>
          <w:b/>
          <w:color w:val="auto"/>
          <w:kern w:val="0"/>
          <w:sz w:val="32"/>
          <w:szCs w:val="32"/>
          <w:highlight w:val="none"/>
          <w:lang w:val="zh-CN"/>
        </w:rPr>
      </w:pPr>
    </w:p>
    <w:p w14:paraId="3FA813C6">
      <w:pPr>
        <w:snapToGrid w:val="0"/>
        <w:spacing w:line="360" w:lineRule="auto"/>
        <w:ind w:left="120" w:firstLine="22"/>
        <w:jc w:val="center"/>
        <w:rPr>
          <w:rFonts w:hint="eastAsia" w:ascii="宋体" w:hAnsi="宋体" w:cs="宋体"/>
          <w:b/>
          <w:color w:val="auto"/>
          <w:kern w:val="0"/>
          <w:sz w:val="32"/>
          <w:szCs w:val="32"/>
          <w:highlight w:val="none"/>
          <w:lang w:val="zh-CN"/>
        </w:rPr>
      </w:pPr>
    </w:p>
    <w:p w14:paraId="2E0B796F">
      <w:pPr>
        <w:snapToGrid w:val="0"/>
        <w:spacing w:line="360" w:lineRule="auto"/>
        <w:ind w:left="120" w:firstLine="22"/>
        <w:jc w:val="center"/>
        <w:rPr>
          <w:rFonts w:hint="eastAsia" w:ascii="宋体" w:hAnsi="宋体" w:cs="宋体"/>
          <w:b/>
          <w:color w:val="auto"/>
          <w:kern w:val="0"/>
          <w:sz w:val="32"/>
          <w:szCs w:val="32"/>
          <w:highlight w:val="none"/>
          <w:lang w:val="zh-CN"/>
        </w:rPr>
      </w:pPr>
    </w:p>
    <w:p w14:paraId="093E5D63">
      <w:pPr>
        <w:snapToGrid w:val="0"/>
        <w:spacing w:line="360" w:lineRule="auto"/>
        <w:ind w:left="120" w:firstLine="22"/>
        <w:jc w:val="center"/>
        <w:rPr>
          <w:rFonts w:hint="eastAsia" w:ascii="宋体" w:hAnsi="宋体" w:cs="宋体"/>
          <w:b/>
          <w:color w:val="auto"/>
          <w:kern w:val="0"/>
          <w:sz w:val="32"/>
          <w:szCs w:val="32"/>
          <w:highlight w:val="none"/>
          <w:lang w:val="zh-CN"/>
        </w:rPr>
      </w:pPr>
    </w:p>
    <w:p w14:paraId="38914C13">
      <w:pPr>
        <w:snapToGrid w:val="0"/>
        <w:spacing w:line="360" w:lineRule="auto"/>
        <w:ind w:left="120" w:firstLine="22"/>
        <w:jc w:val="center"/>
        <w:rPr>
          <w:rFonts w:hint="eastAsia" w:ascii="宋体" w:hAnsi="宋体" w:cs="宋体"/>
          <w:b/>
          <w:color w:val="auto"/>
          <w:kern w:val="0"/>
          <w:sz w:val="32"/>
          <w:szCs w:val="32"/>
          <w:highlight w:val="none"/>
          <w:lang w:val="zh-CN"/>
        </w:rPr>
      </w:pPr>
    </w:p>
    <w:p w14:paraId="392035B7">
      <w:pPr>
        <w:spacing w:line="360" w:lineRule="auto"/>
        <w:ind w:left="120" w:firstLine="22"/>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3B98BE4">
      <w:pPr>
        <w:spacing w:line="360" w:lineRule="auto"/>
        <w:ind w:left="120" w:firstLine="22"/>
        <w:jc w:val="center"/>
        <w:outlineLvl w:val="2"/>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0387E9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中共杭州市上城区委组织部、浙江省成套招标代理有限公司：</w:t>
      </w:r>
    </w:p>
    <w:p w14:paraId="325C9197">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 上城区“数智组工”平台信创提升改造项目【招标编号：CTZB-2025060381】招标的有关活动，并对此项目进行投标。为此：</w:t>
      </w:r>
    </w:p>
    <w:p w14:paraId="244A0C93">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7D11827">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3B98653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06FA8A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6A6C97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7" w:name="_Hlk101257010"/>
      <w:r>
        <w:rPr>
          <w:rFonts w:hint="eastAsia" w:ascii="宋体" w:hAnsi="宋体" w:cs="宋体"/>
          <w:color w:val="auto"/>
          <w:sz w:val="24"/>
          <w:highlight w:val="none"/>
        </w:rPr>
        <w:t>（如果有)</w:t>
      </w:r>
      <w:bookmarkEnd w:id="517"/>
      <w:r>
        <w:rPr>
          <w:rFonts w:hint="eastAsia" w:ascii="宋体" w:hAnsi="宋体" w:cs="宋体"/>
          <w:snapToGrid w:val="0"/>
          <w:color w:val="auto"/>
          <w:kern w:val="28"/>
          <w:sz w:val="24"/>
          <w:szCs w:val="20"/>
          <w:highlight w:val="none"/>
        </w:rPr>
        <w:t>；</w:t>
      </w:r>
    </w:p>
    <w:p w14:paraId="378AD0A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373D0B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D1AD6D7">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B0F88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53C429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3D28C7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F6493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6CBB7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660AEB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61B0D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6E1C6BC">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E91EEF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F895D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3CD88E5">
      <w:pPr>
        <w:numPr>
          <w:ilvl w:val="255"/>
          <w:numId w:val="0"/>
        </w:num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auto"/>
          <w:sz w:val="24"/>
          <w:highlight w:val="none"/>
        </w:rPr>
        <w:t>。</w:t>
      </w:r>
    </w:p>
    <w:p w14:paraId="2F09BA4B">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33CA7E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90184B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A4DEEE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1AD2B5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094BDC2">
      <w:p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54077D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4368ED">
      <w:pPr>
        <w:spacing w:line="360" w:lineRule="auto"/>
        <w:ind w:left="120"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1D0771">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2B34E7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3D72CD0">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0DEF6C4">
      <w:pPr>
        <w:snapToGrid w:val="0"/>
        <w:spacing w:line="360" w:lineRule="auto"/>
        <w:ind w:left="120" w:firstLine="22"/>
        <w:jc w:val="center"/>
        <w:rPr>
          <w:rFonts w:hint="eastAsia" w:ascii="宋体" w:hAnsi="宋体" w:cs="宋体"/>
          <w:b/>
          <w:color w:val="auto"/>
          <w:kern w:val="0"/>
          <w:sz w:val="32"/>
          <w:szCs w:val="32"/>
          <w:highlight w:val="none"/>
        </w:rPr>
      </w:pPr>
    </w:p>
    <w:p w14:paraId="54AD7074">
      <w:pPr>
        <w:snapToGrid w:val="0"/>
        <w:spacing w:line="360" w:lineRule="auto"/>
        <w:ind w:left="120" w:firstLine="22"/>
        <w:rPr>
          <w:rFonts w:hint="eastAsia" w:ascii="宋体" w:hAnsi="宋体" w:cs="宋体"/>
          <w:color w:val="auto"/>
          <w:sz w:val="24"/>
          <w:highlight w:val="none"/>
        </w:rPr>
      </w:pPr>
    </w:p>
    <w:p w14:paraId="1CBFF546">
      <w:pPr>
        <w:spacing w:line="360" w:lineRule="auto"/>
        <w:ind w:left="120" w:firstLine="22"/>
        <w:jc w:val="center"/>
        <w:rPr>
          <w:rFonts w:hint="eastAsia" w:ascii="宋体" w:hAnsi="宋体" w:cs="宋体"/>
          <w:b/>
          <w:color w:val="auto"/>
          <w:kern w:val="0"/>
          <w:sz w:val="32"/>
          <w:szCs w:val="32"/>
          <w:highlight w:val="none"/>
        </w:rPr>
      </w:pPr>
    </w:p>
    <w:p w14:paraId="0B313DD3">
      <w:pPr>
        <w:spacing w:line="360" w:lineRule="auto"/>
        <w:ind w:left="120" w:firstLine="22"/>
        <w:jc w:val="center"/>
        <w:outlineLvl w:val="2"/>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B1D6E6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320C8A6">
      <w:pPr>
        <w:snapToGrid w:val="0"/>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BBE4560">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中共杭州市上城区委组织部、浙江省成套招标代理有限公司</w:t>
      </w:r>
      <w:r>
        <w:rPr>
          <w:rFonts w:hint="eastAsia" w:ascii="宋体" w:hAnsi="宋体" w:cs="宋体"/>
          <w:color w:val="auto"/>
          <w:kern w:val="0"/>
          <w:sz w:val="24"/>
          <w:highlight w:val="none"/>
          <w:lang w:val="zh-CN"/>
        </w:rPr>
        <w:t>：</w:t>
      </w:r>
    </w:p>
    <w:p w14:paraId="1D7828C7">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 xml:space="preserve"> 上城区“数智组工”平台信创提升改造项目【招标编号：CTZB-2025060381】</w:t>
      </w:r>
      <w:r>
        <w:rPr>
          <w:rFonts w:hint="eastAsia" w:ascii="宋体" w:hAnsi="宋体" w:cs="宋体"/>
          <w:color w:val="auto"/>
          <w:kern w:val="0"/>
          <w:sz w:val="24"/>
          <w:highlight w:val="none"/>
          <w:lang w:val="zh-CN"/>
        </w:rPr>
        <w:t>政府采购投标的一切事项，其法律后果由我方承担。</w:t>
      </w:r>
    </w:p>
    <w:p w14:paraId="25C116E9">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98C075">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1C4436">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D71A143">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44526B">
      <w:pPr>
        <w:snapToGrid w:val="0"/>
        <w:spacing w:line="360" w:lineRule="auto"/>
        <w:ind w:left="120" w:firstLine="22"/>
        <w:rPr>
          <w:rFonts w:hint="eastAsia" w:ascii="宋体" w:hAnsi="宋体" w:cs="宋体"/>
          <w:color w:val="auto"/>
          <w:sz w:val="24"/>
          <w:highlight w:val="none"/>
        </w:rPr>
      </w:pPr>
    </w:p>
    <w:p w14:paraId="671AACDC">
      <w:pPr>
        <w:spacing w:line="360" w:lineRule="auto"/>
        <w:ind w:left="120" w:firstLine="2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5665389">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中共杭州市上城区委组织部、浙江省成套招标代理有限公司</w:t>
      </w:r>
      <w:r>
        <w:rPr>
          <w:rFonts w:hint="eastAsia" w:ascii="宋体" w:hAnsi="宋体" w:cs="宋体"/>
          <w:color w:val="auto"/>
          <w:kern w:val="0"/>
          <w:sz w:val="24"/>
          <w:highlight w:val="none"/>
          <w:lang w:val="zh-CN"/>
        </w:rPr>
        <w:t>：</w:t>
      </w:r>
    </w:p>
    <w:p w14:paraId="419F598E">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 xml:space="preserve"> 上城区“数智组工”平台信创提升改造项目【招标编号：CTZB-2025060381】</w:t>
      </w:r>
      <w:r>
        <w:rPr>
          <w:rFonts w:hint="eastAsia" w:ascii="宋体" w:hAnsi="宋体" w:cs="宋体"/>
          <w:color w:val="auto"/>
          <w:kern w:val="0"/>
          <w:sz w:val="24"/>
          <w:highlight w:val="none"/>
          <w:lang w:val="zh-CN"/>
        </w:rPr>
        <w:t>政府采购投标的一切事项，其法律后果由我方承担。</w:t>
      </w:r>
    </w:p>
    <w:p w14:paraId="193B6B90">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9A3806">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2640750">
      <w:pPr>
        <w:spacing w:line="360" w:lineRule="auto"/>
        <w:ind w:left="120" w:firstLine="22"/>
        <w:jc w:val="center"/>
        <w:rPr>
          <w:rFonts w:hint="eastAsia" w:ascii="宋体" w:hAnsi="宋体" w:cs="宋体"/>
          <w:b/>
          <w:color w:val="auto"/>
          <w:kern w:val="0"/>
          <w:sz w:val="32"/>
          <w:szCs w:val="32"/>
          <w:highlight w:val="none"/>
        </w:rPr>
      </w:pPr>
    </w:p>
    <w:p w14:paraId="22794654">
      <w:pPr>
        <w:spacing w:line="360" w:lineRule="auto"/>
        <w:ind w:left="120" w:firstLine="22"/>
        <w:rPr>
          <w:rFonts w:hint="eastAsia" w:ascii="宋体" w:hAnsi="宋体" w:cs="宋体"/>
          <w:color w:val="auto"/>
          <w:highlight w:val="none"/>
        </w:rPr>
      </w:pPr>
    </w:p>
    <w:p w14:paraId="218BDC2F">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8ABE7C">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BA527F">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CFB957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A30E4B">
      <w:pPr>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C680F1E">
      <w:pPr>
        <w:pStyle w:val="149"/>
        <w:spacing w:line="360" w:lineRule="auto"/>
        <w:ind w:firstLine="22"/>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3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18AA65">
            <w:pPr>
              <w:pStyle w:val="149"/>
              <w:adjustRightInd w:val="0"/>
              <w:spacing w:line="360" w:lineRule="auto"/>
              <w:ind w:firstLine="22"/>
              <w:rPr>
                <w:rFonts w:hint="eastAsia" w:hAnsi="宋体" w:cs="宋体"/>
                <w:bCs/>
                <w:color w:val="auto"/>
                <w:sz w:val="24"/>
                <w:highlight w:val="none"/>
              </w:rPr>
            </w:pPr>
            <w:r>
              <w:rPr>
                <w:rFonts w:hint="eastAsia" w:hAnsi="宋体" w:cs="宋体"/>
                <w:bCs/>
                <w:color w:val="auto"/>
                <w:sz w:val="24"/>
                <w:highlight w:val="none"/>
              </w:rPr>
              <w:t>正面：                                 反面：</w:t>
            </w:r>
          </w:p>
          <w:p w14:paraId="604DBCE1">
            <w:pPr>
              <w:pStyle w:val="149"/>
              <w:adjustRightInd w:val="0"/>
              <w:spacing w:line="360" w:lineRule="auto"/>
              <w:ind w:firstLine="22"/>
              <w:rPr>
                <w:rFonts w:hint="eastAsia" w:hAnsi="宋体" w:cs="宋体"/>
                <w:bCs/>
                <w:color w:val="auto"/>
                <w:sz w:val="24"/>
                <w:highlight w:val="none"/>
              </w:rPr>
            </w:pPr>
          </w:p>
        </w:tc>
      </w:tr>
    </w:tbl>
    <w:p w14:paraId="2DF47410">
      <w:pPr>
        <w:snapToGrid w:val="0"/>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154FCC">
      <w:pPr>
        <w:snapToGrid w:val="0"/>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A3119C">
      <w:pPr>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E778F7">
      <w:pPr>
        <w:snapToGrid w:val="0"/>
        <w:spacing w:line="360" w:lineRule="auto"/>
        <w:ind w:left="120" w:right="480" w:firstLine="22"/>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718A022">
      <w:pPr>
        <w:snapToGrid w:val="0"/>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6C3EA54">
      <w:pPr>
        <w:widowControl/>
        <w:spacing w:line="360" w:lineRule="auto"/>
        <w:ind w:left="120"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017846">
      <w:pPr>
        <w:snapToGrid w:val="0"/>
        <w:spacing w:line="360" w:lineRule="auto"/>
        <w:ind w:left="120" w:firstLine="22"/>
        <w:rPr>
          <w:rFonts w:hint="eastAsia" w:ascii="宋体" w:hAnsi="宋体" w:cs="宋体"/>
          <w:color w:val="auto"/>
          <w:kern w:val="0"/>
          <w:sz w:val="24"/>
          <w:highlight w:val="none"/>
        </w:rPr>
      </w:pPr>
    </w:p>
    <w:p w14:paraId="146FF484">
      <w:pPr>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AF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0432B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A194F6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807BE2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C164CD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E8F6F5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CEC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BE61C2">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6DB92C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EE7489">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DF993D9">
            <w:pPr>
              <w:rPr>
                <w:rFonts w:hint="eastAsia" w:ascii="宋体" w:hAnsi="宋体" w:cs="宋体"/>
                <w:color w:val="auto"/>
                <w:sz w:val="24"/>
                <w:highlight w:val="none"/>
              </w:rPr>
            </w:pPr>
          </w:p>
          <w:p w14:paraId="0AA9AADA">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2A0C1775">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F1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84F5F">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A09B6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198B4B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5A5EBF">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C0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BD9F9">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16660777">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3392A2F">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31431A1">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D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4D02F6">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26779B2B">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55888794">
            <w:pPr>
              <w:rPr>
                <w:rFonts w:hint="eastAsia" w:ascii="宋体" w:hAnsi="宋体" w:cs="宋体"/>
                <w:color w:val="auto"/>
                <w:sz w:val="24"/>
                <w:highlight w:val="none"/>
              </w:rPr>
            </w:pPr>
          </w:p>
        </w:tc>
        <w:tc>
          <w:tcPr>
            <w:tcW w:w="1418" w:type="dxa"/>
          </w:tcPr>
          <w:p w14:paraId="71C61320">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0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A77CE2">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7E6EC1EA">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7A1229B6">
            <w:pPr>
              <w:rPr>
                <w:rFonts w:hint="eastAsia" w:ascii="宋体" w:hAnsi="宋体" w:cs="宋体"/>
                <w:color w:val="auto"/>
                <w:sz w:val="24"/>
                <w:highlight w:val="none"/>
              </w:rPr>
            </w:pPr>
          </w:p>
        </w:tc>
        <w:tc>
          <w:tcPr>
            <w:tcW w:w="1418" w:type="dxa"/>
          </w:tcPr>
          <w:p w14:paraId="25D72720">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38AD04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6F6402B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6AC9DE2E">
      <w:pPr>
        <w:spacing w:line="360" w:lineRule="auto"/>
        <w:ind w:left="120" w:firstLine="22"/>
        <w:jc w:val="center"/>
        <w:rPr>
          <w:rFonts w:hint="eastAsia" w:ascii="宋体" w:hAnsi="宋体" w:cs="宋体"/>
          <w:b/>
          <w:color w:val="auto"/>
          <w:kern w:val="0"/>
          <w:sz w:val="32"/>
          <w:szCs w:val="32"/>
          <w:highlight w:val="none"/>
        </w:rPr>
      </w:pPr>
    </w:p>
    <w:p w14:paraId="5D5D7C87">
      <w:pPr>
        <w:pStyle w:val="81"/>
        <w:rPr>
          <w:rFonts w:hint="eastAsia"/>
          <w:color w:val="auto"/>
          <w:highlight w:val="none"/>
        </w:rPr>
      </w:pPr>
    </w:p>
    <w:p w14:paraId="667F1D95">
      <w:pPr>
        <w:pStyle w:val="81"/>
        <w:spacing w:line="360" w:lineRule="auto"/>
        <w:ind w:left="120" w:firstLine="641"/>
        <w:jc w:val="center"/>
        <w:rPr>
          <w:rFonts w:hint="eastAsia" w:ascii="宋体" w:hAnsi="宋体" w:cs="宋体"/>
          <w:b/>
          <w:color w:val="auto"/>
          <w:sz w:val="32"/>
          <w:szCs w:val="32"/>
          <w:highlight w:val="none"/>
        </w:rPr>
      </w:pPr>
    </w:p>
    <w:p w14:paraId="359ED577">
      <w:pPr>
        <w:spacing w:line="360" w:lineRule="auto"/>
        <w:ind w:left="120" w:firstLine="22"/>
        <w:jc w:val="center"/>
        <w:outlineLvl w:val="2"/>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970052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ECD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81A718">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序号</w:t>
            </w:r>
          </w:p>
        </w:tc>
        <w:tc>
          <w:tcPr>
            <w:tcW w:w="5465" w:type="dxa"/>
          </w:tcPr>
          <w:p w14:paraId="0DF410F9">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投标文件中评标标准相应的商务技术资料目录*</w:t>
            </w:r>
          </w:p>
        </w:tc>
        <w:tc>
          <w:tcPr>
            <w:tcW w:w="3046" w:type="dxa"/>
          </w:tcPr>
          <w:p w14:paraId="673BDE59">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6A5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D1E55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457A37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71266E1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D54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4C402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845153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D4AE586">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273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C34015">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97E6BE6">
            <w:pPr>
              <w:snapToGrid w:val="0"/>
              <w:spacing w:line="360" w:lineRule="auto"/>
              <w:jc w:val="center"/>
              <w:rPr>
                <w:rFonts w:hint="eastAsia" w:ascii="宋体" w:hAnsi="宋体" w:cs="宋体"/>
                <w:bCs/>
                <w:color w:val="auto"/>
                <w:sz w:val="24"/>
                <w:highlight w:val="none"/>
              </w:rPr>
            </w:pPr>
          </w:p>
        </w:tc>
        <w:tc>
          <w:tcPr>
            <w:tcW w:w="3046" w:type="dxa"/>
          </w:tcPr>
          <w:p w14:paraId="31FE4394">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AE80130">
      <w:pPr>
        <w:spacing w:line="360" w:lineRule="auto"/>
        <w:ind w:left="120" w:firstLine="22"/>
        <w:jc w:val="center"/>
        <w:rPr>
          <w:rFonts w:hint="eastAsia" w:ascii="宋体" w:hAnsi="宋体" w:cs="宋体"/>
          <w:b/>
          <w:color w:val="auto"/>
          <w:kern w:val="0"/>
          <w:sz w:val="32"/>
          <w:szCs w:val="32"/>
          <w:highlight w:val="none"/>
        </w:rPr>
      </w:pPr>
    </w:p>
    <w:p w14:paraId="5182497C">
      <w:pPr>
        <w:spacing w:line="360" w:lineRule="auto"/>
        <w:ind w:left="120" w:firstLine="2891" w:firstLineChars="900"/>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6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49E9A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944E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8A1F616">
            <w:pPr>
              <w:spacing w:line="360" w:lineRule="auto"/>
              <w:jc w:val="center"/>
              <w:rPr>
                <w:rFonts w:hint="eastAsia" w:ascii="宋体" w:hAnsi="宋体" w:cs="宋体"/>
                <w:b/>
                <w:color w:val="auto"/>
                <w:sz w:val="24"/>
                <w:highlight w:val="none"/>
              </w:rPr>
            </w:pPr>
          </w:p>
          <w:p w14:paraId="486A6B4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5A17E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规格型号（或服务内容）</w:t>
            </w:r>
          </w:p>
        </w:tc>
        <w:tc>
          <w:tcPr>
            <w:tcW w:w="2775" w:type="dxa"/>
            <w:tcBorders>
              <w:top w:val="single" w:color="auto" w:sz="4" w:space="0"/>
              <w:left w:val="single" w:color="auto" w:sz="4" w:space="0"/>
              <w:bottom w:val="single" w:color="auto" w:sz="4" w:space="0"/>
              <w:right w:val="single" w:color="auto" w:sz="4" w:space="0"/>
            </w:tcBorders>
            <w:vAlign w:val="center"/>
          </w:tcPr>
          <w:p w14:paraId="0F7DA3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208744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36F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88B3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69C5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4CBE9D9">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D6CB7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48D02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6630ED">
            <w:pPr>
              <w:spacing w:line="360" w:lineRule="auto"/>
              <w:jc w:val="center"/>
              <w:rPr>
                <w:rFonts w:hint="eastAsia" w:ascii="宋体" w:hAnsi="宋体" w:cs="宋体"/>
                <w:color w:val="auto"/>
                <w:sz w:val="24"/>
                <w:highlight w:val="none"/>
              </w:rPr>
            </w:pPr>
          </w:p>
        </w:tc>
      </w:tr>
      <w:tr w14:paraId="7F4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A18B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6CA76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A5F303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C8F24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02D718">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029CFF">
            <w:pPr>
              <w:spacing w:line="360" w:lineRule="auto"/>
              <w:jc w:val="center"/>
              <w:rPr>
                <w:rFonts w:hint="eastAsia" w:ascii="宋体" w:hAnsi="宋体" w:cs="宋体"/>
                <w:color w:val="auto"/>
                <w:sz w:val="24"/>
                <w:highlight w:val="none"/>
              </w:rPr>
            </w:pPr>
          </w:p>
        </w:tc>
      </w:tr>
      <w:tr w14:paraId="0B7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B27AA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174F06">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3F7F8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C62E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3AA08B">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2DB490">
            <w:pPr>
              <w:spacing w:line="360" w:lineRule="auto"/>
              <w:jc w:val="center"/>
              <w:rPr>
                <w:rFonts w:hint="eastAsia" w:ascii="宋体" w:hAnsi="宋体" w:cs="宋体"/>
                <w:color w:val="auto"/>
                <w:sz w:val="24"/>
                <w:highlight w:val="none"/>
              </w:rPr>
            </w:pPr>
          </w:p>
        </w:tc>
      </w:tr>
    </w:tbl>
    <w:p w14:paraId="17ACC2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99BC485">
      <w:pPr>
        <w:spacing w:line="360" w:lineRule="auto"/>
        <w:ind w:left="120" w:firstLine="22"/>
        <w:jc w:val="center"/>
        <w:rPr>
          <w:rFonts w:hint="eastAsia" w:ascii="宋体" w:hAnsi="宋体" w:cs="宋体"/>
          <w:b/>
          <w:color w:val="auto"/>
          <w:kern w:val="0"/>
          <w:sz w:val="32"/>
          <w:szCs w:val="32"/>
          <w:highlight w:val="none"/>
        </w:rPr>
      </w:pPr>
    </w:p>
    <w:p w14:paraId="47CF124C">
      <w:pPr>
        <w:pStyle w:val="81"/>
        <w:spacing w:line="360" w:lineRule="auto"/>
        <w:ind w:left="120" w:firstLine="641"/>
        <w:jc w:val="center"/>
        <w:rPr>
          <w:rFonts w:hint="eastAsia" w:ascii="宋体" w:hAnsi="宋体" w:cs="宋体"/>
          <w:b/>
          <w:color w:val="auto"/>
          <w:sz w:val="32"/>
          <w:szCs w:val="32"/>
          <w:highlight w:val="none"/>
        </w:rPr>
      </w:pPr>
    </w:p>
    <w:p w14:paraId="6DFDC606">
      <w:pPr>
        <w:spacing w:line="360" w:lineRule="auto"/>
        <w:ind w:left="120" w:firstLine="22"/>
        <w:jc w:val="center"/>
        <w:outlineLvl w:val="2"/>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BA2BAE8">
      <w:pPr>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11A3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6CE93151">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250" w:type="dxa"/>
          </w:tcPr>
          <w:p w14:paraId="4915E4D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29" w:type="dxa"/>
          </w:tcPr>
          <w:p w14:paraId="67F9D69D">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26" w:type="dxa"/>
          </w:tcPr>
          <w:p w14:paraId="76AB273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112" w:type="dxa"/>
          </w:tcPr>
          <w:p w14:paraId="1F0B5AB2">
            <w:pPr>
              <w:jc w:val="center"/>
              <w:rPr>
                <w:rFonts w:hint="eastAsia" w:ascii="宋体" w:hAnsi="宋体" w:cs="宋体"/>
                <w:b/>
                <w:bCs/>
                <w:color w:val="auto"/>
                <w:sz w:val="24"/>
                <w:highlight w:val="none"/>
              </w:rPr>
            </w:pPr>
          </w:p>
        </w:tc>
      </w:tr>
      <w:tr w14:paraId="357F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385D7C5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250" w:type="dxa"/>
          </w:tcPr>
          <w:p w14:paraId="75786F6B">
            <w:pPr>
              <w:jc w:val="center"/>
              <w:rPr>
                <w:rFonts w:hint="eastAsia" w:ascii="宋体" w:hAnsi="宋体" w:cs="宋体"/>
                <w:b/>
                <w:color w:val="auto"/>
                <w:kern w:val="0"/>
                <w:sz w:val="32"/>
                <w:szCs w:val="32"/>
                <w:highlight w:val="none"/>
              </w:rPr>
            </w:pPr>
          </w:p>
        </w:tc>
        <w:tc>
          <w:tcPr>
            <w:tcW w:w="3129" w:type="dxa"/>
          </w:tcPr>
          <w:p w14:paraId="28575D33">
            <w:pPr>
              <w:jc w:val="center"/>
              <w:rPr>
                <w:rFonts w:hint="eastAsia" w:ascii="宋体" w:hAnsi="宋体" w:cs="宋体"/>
                <w:b/>
                <w:color w:val="auto"/>
                <w:kern w:val="0"/>
                <w:sz w:val="32"/>
                <w:szCs w:val="32"/>
                <w:highlight w:val="none"/>
              </w:rPr>
            </w:pPr>
          </w:p>
        </w:tc>
        <w:tc>
          <w:tcPr>
            <w:tcW w:w="1126" w:type="dxa"/>
          </w:tcPr>
          <w:p w14:paraId="3A9F34C9">
            <w:pPr>
              <w:jc w:val="center"/>
              <w:rPr>
                <w:rFonts w:hint="eastAsia" w:ascii="宋体" w:hAnsi="宋体" w:cs="宋体"/>
                <w:b/>
                <w:color w:val="auto"/>
                <w:kern w:val="0"/>
                <w:sz w:val="32"/>
                <w:szCs w:val="32"/>
                <w:highlight w:val="none"/>
              </w:rPr>
            </w:pPr>
          </w:p>
        </w:tc>
        <w:tc>
          <w:tcPr>
            <w:tcW w:w="1112" w:type="dxa"/>
          </w:tcPr>
          <w:p w14:paraId="08B8D2E6">
            <w:pPr>
              <w:jc w:val="center"/>
              <w:rPr>
                <w:rFonts w:hint="eastAsia" w:ascii="宋体" w:hAnsi="宋体" w:cs="宋体"/>
                <w:b/>
                <w:color w:val="auto"/>
                <w:kern w:val="0"/>
                <w:sz w:val="32"/>
                <w:szCs w:val="32"/>
                <w:highlight w:val="none"/>
              </w:rPr>
            </w:pPr>
          </w:p>
        </w:tc>
      </w:tr>
      <w:tr w14:paraId="4B69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73975E2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250" w:type="dxa"/>
          </w:tcPr>
          <w:p w14:paraId="1103C0EF">
            <w:pPr>
              <w:jc w:val="center"/>
              <w:rPr>
                <w:rFonts w:hint="eastAsia" w:ascii="宋体" w:hAnsi="宋体" w:cs="宋体"/>
                <w:b/>
                <w:color w:val="auto"/>
                <w:kern w:val="0"/>
                <w:sz w:val="32"/>
                <w:szCs w:val="32"/>
                <w:highlight w:val="none"/>
              </w:rPr>
            </w:pPr>
          </w:p>
        </w:tc>
        <w:tc>
          <w:tcPr>
            <w:tcW w:w="3129" w:type="dxa"/>
          </w:tcPr>
          <w:p w14:paraId="580D3E4E">
            <w:pPr>
              <w:jc w:val="center"/>
              <w:rPr>
                <w:rFonts w:hint="eastAsia" w:ascii="宋体" w:hAnsi="宋体" w:cs="宋体"/>
                <w:b/>
                <w:color w:val="auto"/>
                <w:kern w:val="0"/>
                <w:sz w:val="32"/>
                <w:szCs w:val="32"/>
                <w:highlight w:val="none"/>
              </w:rPr>
            </w:pPr>
          </w:p>
        </w:tc>
        <w:tc>
          <w:tcPr>
            <w:tcW w:w="1126" w:type="dxa"/>
          </w:tcPr>
          <w:p w14:paraId="0F1C19FE">
            <w:pPr>
              <w:jc w:val="center"/>
              <w:rPr>
                <w:rFonts w:hint="eastAsia" w:ascii="宋体" w:hAnsi="宋体" w:cs="宋体"/>
                <w:b/>
                <w:color w:val="auto"/>
                <w:kern w:val="0"/>
                <w:sz w:val="32"/>
                <w:szCs w:val="32"/>
                <w:highlight w:val="none"/>
              </w:rPr>
            </w:pPr>
          </w:p>
        </w:tc>
        <w:tc>
          <w:tcPr>
            <w:tcW w:w="1112" w:type="dxa"/>
          </w:tcPr>
          <w:p w14:paraId="441DEF14">
            <w:pPr>
              <w:jc w:val="center"/>
              <w:rPr>
                <w:rFonts w:hint="eastAsia" w:ascii="宋体" w:hAnsi="宋体" w:cs="宋体"/>
                <w:b/>
                <w:color w:val="auto"/>
                <w:kern w:val="0"/>
                <w:sz w:val="32"/>
                <w:szCs w:val="32"/>
                <w:highlight w:val="none"/>
              </w:rPr>
            </w:pPr>
          </w:p>
        </w:tc>
      </w:tr>
      <w:tr w14:paraId="14C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14:paraId="2F80BF0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250" w:type="dxa"/>
          </w:tcPr>
          <w:p w14:paraId="792DD3C5">
            <w:pPr>
              <w:jc w:val="center"/>
              <w:rPr>
                <w:rFonts w:hint="eastAsia" w:ascii="宋体" w:hAnsi="宋体" w:cs="宋体"/>
                <w:b/>
                <w:color w:val="auto"/>
                <w:kern w:val="0"/>
                <w:sz w:val="32"/>
                <w:szCs w:val="32"/>
                <w:highlight w:val="none"/>
              </w:rPr>
            </w:pPr>
          </w:p>
        </w:tc>
        <w:tc>
          <w:tcPr>
            <w:tcW w:w="3129" w:type="dxa"/>
          </w:tcPr>
          <w:p w14:paraId="6E223768">
            <w:pPr>
              <w:jc w:val="center"/>
              <w:rPr>
                <w:rFonts w:hint="eastAsia" w:ascii="宋体" w:hAnsi="宋体" w:cs="宋体"/>
                <w:b/>
                <w:color w:val="auto"/>
                <w:kern w:val="0"/>
                <w:sz w:val="32"/>
                <w:szCs w:val="32"/>
                <w:highlight w:val="none"/>
              </w:rPr>
            </w:pPr>
          </w:p>
        </w:tc>
        <w:tc>
          <w:tcPr>
            <w:tcW w:w="1126" w:type="dxa"/>
          </w:tcPr>
          <w:p w14:paraId="31B480F3">
            <w:pPr>
              <w:jc w:val="center"/>
              <w:rPr>
                <w:rFonts w:hint="eastAsia" w:ascii="宋体" w:hAnsi="宋体" w:cs="宋体"/>
                <w:b/>
                <w:color w:val="auto"/>
                <w:kern w:val="0"/>
                <w:sz w:val="32"/>
                <w:szCs w:val="32"/>
                <w:highlight w:val="none"/>
              </w:rPr>
            </w:pPr>
          </w:p>
        </w:tc>
        <w:tc>
          <w:tcPr>
            <w:tcW w:w="1112" w:type="dxa"/>
          </w:tcPr>
          <w:p w14:paraId="74C3C0F7">
            <w:pPr>
              <w:jc w:val="center"/>
              <w:rPr>
                <w:rFonts w:hint="eastAsia" w:ascii="宋体" w:hAnsi="宋体" w:cs="宋体"/>
                <w:b/>
                <w:color w:val="auto"/>
                <w:kern w:val="0"/>
                <w:sz w:val="32"/>
                <w:szCs w:val="32"/>
                <w:highlight w:val="none"/>
              </w:rPr>
            </w:pPr>
          </w:p>
        </w:tc>
      </w:tr>
    </w:tbl>
    <w:p w14:paraId="5C284F05">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16C57AC">
      <w:pPr>
        <w:ind w:firstLine="643" w:firstLineChars="200"/>
        <w:jc w:val="center"/>
        <w:rPr>
          <w:rFonts w:hint="eastAsia" w:ascii="宋体" w:hAnsi="宋体" w:cs="宋体"/>
          <w:b/>
          <w:color w:val="auto"/>
          <w:kern w:val="0"/>
          <w:sz w:val="32"/>
          <w:szCs w:val="32"/>
          <w:highlight w:val="none"/>
        </w:rPr>
      </w:pPr>
    </w:p>
    <w:p w14:paraId="046C27B2">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注：1.按本格式和要求提供。</w:t>
      </w:r>
    </w:p>
    <w:p w14:paraId="443B92B5">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3C7808B0">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63F22718">
      <w:pPr>
        <w:spacing w:line="360" w:lineRule="auto"/>
        <w:jc w:val="left"/>
        <w:rPr>
          <w:rFonts w:hint="eastAsia" w:ascii="宋体" w:hAnsi="宋体" w:cs="宋体"/>
          <w:color w:val="auto"/>
          <w:kern w:val="0"/>
          <w:sz w:val="24"/>
          <w:highlight w:val="none"/>
        </w:rPr>
      </w:pPr>
    </w:p>
    <w:p w14:paraId="5BD2B7C8">
      <w:pPr>
        <w:spacing w:line="360" w:lineRule="auto"/>
        <w:ind w:left="120" w:firstLine="1911" w:firstLineChars="595"/>
        <w:rPr>
          <w:rFonts w:hint="eastAsia" w:ascii="宋体" w:hAnsi="宋体" w:cs="宋体"/>
          <w:b/>
          <w:bCs/>
          <w:color w:val="auto"/>
          <w:sz w:val="32"/>
          <w:szCs w:val="32"/>
          <w:highlight w:val="none"/>
        </w:rPr>
      </w:pPr>
    </w:p>
    <w:p w14:paraId="3DE15B5C">
      <w:pPr>
        <w:widowControl/>
        <w:adjustRightInd/>
        <w:spacing w:line="360" w:lineRule="auto"/>
        <w:ind w:left="120" w:firstLine="22"/>
        <w:jc w:val="center"/>
        <w:outlineLvl w:val="2"/>
        <w:rPr>
          <w:rFonts w:hint="eastAsia"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97A9AE3">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中共杭州市上城区委组织部、浙江省成套招标代理有限公司</w:t>
      </w:r>
      <w:r>
        <w:rPr>
          <w:rFonts w:hint="eastAsia" w:ascii="宋体" w:hAnsi="宋体" w:cs="宋体"/>
          <w:color w:val="auto"/>
          <w:kern w:val="0"/>
          <w:sz w:val="24"/>
          <w:highlight w:val="none"/>
          <w:lang w:val="zh-CN"/>
        </w:rPr>
        <w:t>：</w:t>
      </w:r>
    </w:p>
    <w:p w14:paraId="3F94AE5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F1EC9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D0E4FA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912514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C4A64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92C9078">
      <w:pPr>
        <w:autoSpaceDE w:val="0"/>
        <w:autoSpaceDN w:val="0"/>
        <w:spacing w:line="360" w:lineRule="auto"/>
        <w:ind w:left="481" w:leftChars="229"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DAF23C9">
      <w:pPr>
        <w:autoSpaceDE w:val="0"/>
        <w:autoSpaceDN w:val="0"/>
        <w:spacing w:line="360" w:lineRule="auto"/>
        <w:ind w:left="120"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2FCA7D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1BFCA6F">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C5CA4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EF0534">
      <w:pPr>
        <w:spacing w:line="360" w:lineRule="auto"/>
        <w:ind w:left="4620" w:leftChars="2200" w:firstLine="22"/>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FA760E6">
      <w:pPr>
        <w:spacing w:line="360" w:lineRule="auto"/>
        <w:ind w:left="120" w:firstLine="22"/>
        <w:jc w:val="center"/>
        <w:rPr>
          <w:rFonts w:hint="eastAsia" w:ascii="宋体" w:hAnsi="宋体" w:cs="宋体"/>
          <w:b/>
          <w:bCs/>
          <w:color w:val="auto"/>
          <w:sz w:val="24"/>
          <w:highlight w:val="none"/>
        </w:rPr>
      </w:pPr>
    </w:p>
    <w:p w14:paraId="633D3C8E">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F490E18">
      <w:pPr>
        <w:spacing w:line="360" w:lineRule="auto"/>
        <w:ind w:left="120" w:firstLine="22"/>
        <w:jc w:val="center"/>
        <w:rPr>
          <w:rFonts w:hint="eastAsia"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70AE87E1">
      <w:pPr>
        <w:spacing w:line="360" w:lineRule="auto"/>
        <w:ind w:left="120" w:firstLine="22"/>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9FC8C8">
      <w:pPr>
        <w:spacing w:line="360" w:lineRule="auto"/>
        <w:ind w:left="120" w:firstLine="22"/>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69F35">
      <w:pPr>
        <w:spacing w:line="360" w:lineRule="auto"/>
        <w:ind w:left="120" w:firstLine="22"/>
        <w:jc w:val="center"/>
        <w:rPr>
          <w:rFonts w:hint="eastAsia" w:ascii="宋体" w:hAnsi="宋体" w:cs="宋体"/>
          <w:b/>
          <w:color w:val="auto"/>
          <w:kern w:val="0"/>
          <w:sz w:val="36"/>
          <w:szCs w:val="36"/>
          <w:highlight w:val="none"/>
        </w:rPr>
      </w:pPr>
    </w:p>
    <w:p w14:paraId="0876AC84">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4BC50BF5">
      <w:pPr>
        <w:snapToGrid w:val="0"/>
        <w:spacing w:line="360" w:lineRule="auto"/>
        <w:ind w:left="120" w:right="480" w:firstLine="22"/>
        <w:jc w:val="center"/>
        <w:rPr>
          <w:rFonts w:hint="eastAsia" w:ascii="宋体" w:hAnsi="宋体" w:cs="宋体"/>
          <w:b/>
          <w:color w:val="auto"/>
          <w:kern w:val="0"/>
          <w:sz w:val="32"/>
          <w:szCs w:val="32"/>
          <w:highlight w:val="none"/>
        </w:rPr>
      </w:pPr>
    </w:p>
    <w:p w14:paraId="6168A532">
      <w:pPr>
        <w:snapToGrid w:val="0"/>
        <w:spacing w:line="360" w:lineRule="auto"/>
        <w:ind w:left="120" w:right="480" w:firstLine="22"/>
        <w:jc w:val="center"/>
        <w:rPr>
          <w:rFonts w:hint="eastAsia" w:ascii="宋体" w:hAnsi="宋体" w:cs="宋体"/>
          <w:b/>
          <w:color w:val="auto"/>
          <w:kern w:val="0"/>
          <w:sz w:val="32"/>
          <w:szCs w:val="32"/>
          <w:highlight w:val="none"/>
        </w:rPr>
      </w:pPr>
    </w:p>
    <w:p w14:paraId="06965E49">
      <w:pPr>
        <w:snapToGrid w:val="0"/>
        <w:spacing w:line="360" w:lineRule="auto"/>
        <w:ind w:left="120" w:right="480" w:firstLine="22"/>
        <w:jc w:val="center"/>
        <w:rPr>
          <w:rFonts w:hint="eastAsia" w:ascii="宋体" w:hAnsi="宋体" w:cs="宋体"/>
          <w:b/>
          <w:color w:val="auto"/>
          <w:kern w:val="0"/>
          <w:sz w:val="32"/>
          <w:szCs w:val="32"/>
          <w:highlight w:val="none"/>
        </w:rPr>
      </w:pPr>
    </w:p>
    <w:p w14:paraId="51ABD84E">
      <w:pPr>
        <w:snapToGrid w:val="0"/>
        <w:spacing w:line="360" w:lineRule="auto"/>
        <w:ind w:left="120" w:right="480" w:firstLine="22"/>
        <w:jc w:val="center"/>
        <w:rPr>
          <w:rFonts w:hint="eastAsia" w:ascii="宋体" w:hAnsi="宋体" w:cs="宋体"/>
          <w:b/>
          <w:color w:val="auto"/>
          <w:kern w:val="0"/>
          <w:sz w:val="32"/>
          <w:szCs w:val="32"/>
          <w:highlight w:val="none"/>
        </w:rPr>
      </w:pPr>
    </w:p>
    <w:p w14:paraId="4896149B">
      <w:pPr>
        <w:snapToGrid w:val="0"/>
        <w:spacing w:line="360" w:lineRule="auto"/>
        <w:ind w:left="120" w:right="480" w:firstLine="22"/>
        <w:jc w:val="center"/>
        <w:rPr>
          <w:rFonts w:hint="eastAsia" w:ascii="宋体" w:hAnsi="宋体" w:cs="宋体"/>
          <w:b/>
          <w:color w:val="auto"/>
          <w:kern w:val="0"/>
          <w:sz w:val="32"/>
          <w:szCs w:val="32"/>
          <w:highlight w:val="none"/>
        </w:rPr>
      </w:pPr>
    </w:p>
    <w:p w14:paraId="40A16A35">
      <w:pPr>
        <w:snapToGrid w:val="0"/>
        <w:spacing w:line="360" w:lineRule="auto"/>
        <w:ind w:left="120" w:right="480" w:firstLine="22"/>
        <w:jc w:val="center"/>
        <w:rPr>
          <w:rFonts w:hint="eastAsia" w:ascii="宋体" w:hAnsi="宋体" w:cs="宋体"/>
          <w:b/>
          <w:color w:val="auto"/>
          <w:kern w:val="0"/>
          <w:sz w:val="32"/>
          <w:szCs w:val="32"/>
          <w:highlight w:val="none"/>
        </w:rPr>
      </w:pPr>
    </w:p>
    <w:p w14:paraId="0B743C50">
      <w:pPr>
        <w:snapToGrid w:val="0"/>
        <w:spacing w:line="360" w:lineRule="auto"/>
        <w:ind w:left="120" w:right="480" w:firstLine="22"/>
        <w:jc w:val="center"/>
        <w:rPr>
          <w:rFonts w:hint="eastAsia" w:ascii="宋体" w:hAnsi="宋体" w:cs="宋体"/>
          <w:b/>
          <w:color w:val="auto"/>
          <w:kern w:val="0"/>
          <w:sz w:val="32"/>
          <w:szCs w:val="32"/>
          <w:highlight w:val="none"/>
        </w:rPr>
      </w:pPr>
    </w:p>
    <w:p w14:paraId="053A805D">
      <w:pPr>
        <w:snapToGrid w:val="0"/>
        <w:spacing w:line="360" w:lineRule="auto"/>
        <w:ind w:left="120" w:right="480" w:firstLine="22"/>
        <w:jc w:val="center"/>
        <w:rPr>
          <w:rFonts w:hint="eastAsia" w:ascii="宋体" w:hAnsi="宋体" w:cs="宋体"/>
          <w:b/>
          <w:color w:val="auto"/>
          <w:kern w:val="0"/>
          <w:sz w:val="32"/>
          <w:szCs w:val="32"/>
          <w:highlight w:val="none"/>
        </w:rPr>
      </w:pPr>
    </w:p>
    <w:p w14:paraId="305B2536">
      <w:pPr>
        <w:snapToGrid w:val="0"/>
        <w:spacing w:line="360" w:lineRule="auto"/>
        <w:ind w:left="120" w:right="480" w:firstLine="22"/>
        <w:jc w:val="center"/>
        <w:rPr>
          <w:rFonts w:hint="eastAsia" w:ascii="宋体" w:hAnsi="宋体" w:cs="宋体"/>
          <w:b/>
          <w:color w:val="auto"/>
          <w:kern w:val="0"/>
          <w:sz w:val="32"/>
          <w:szCs w:val="32"/>
          <w:highlight w:val="none"/>
        </w:rPr>
      </w:pPr>
    </w:p>
    <w:p w14:paraId="33AF4FA6">
      <w:pPr>
        <w:snapToGrid w:val="0"/>
        <w:spacing w:line="360" w:lineRule="auto"/>
        <w:ind w:left="120" w:right="480" w:firstLine="22"/>
        <w:jc w:val="center"/>
        <w:rPr>
          <w:rFonts w:hint="eastAsia" w:ascii="宋体" w:hAnsi="宋体" w:cs="宋体"/>
          <w:b/>
          <w:color w:val="auto"/>
          <w:kern w:val="0"/>
          <w:sz w:val="32"/>
          <w:szCs w:val="32"/>
          <w:highlight w:val="none"/>
        </w:rPr>
      </w:pPr>
    </w:p>
    <w:p w14:paraId="678F74A2">
      <w:pPr>
        <w:snapToGrid w:val="0"/>
        <w:spacing w:line="360" w:lineRule="auto"/>
        <w:ind w:left="120" w:right="480" w:firstLine="22"/>
        <w:jc w:val="center"/>
        <w:rPr>
          <w:rFonts w:hint="eastAsia" w:ascii="宋体" w:hAnsi="宋体" w:cs="宋体"/>
          <w:b/>
          <w:color w:val="auto"/>
          <w:kern w:val="0"/>
          <w:sz w:val="32"/>
          <w:szCs w:val="32"/>
          <w:highlight w:val="none"/>
        </w:rPr>
      </w:pPr>
    </w:p>
    <w:p w14:paraId="057A692F">
      <w:pPr>
        <w:snapToGrid w:val="0"/>
        <w:spacing w:line="360" w:lineRule="auto"/>
        <w:ind w:left="120" w:right="480" w:firstLine="22"/>
        <w:jc w:val="center"/>
        <w:rPr>
          <w:rFonts w:hint="eastAsia" w:ascii="宋体" w:hAnsi="宋体" w:cs="宋体"/>
          <w:b/>
          <w:color w:val="auto"/>
          <w:kern w:val="0"/>
          <w:sz w:val="32"/>
          <w:szCs w:val="32"/>
          <w:highlight w:val="none"/>
        </w:rPr>
      </w:pPr>
    </w:p>
    <w:p w14:paraId="4421ECFE">
      <w:pPr>
        <w:snapToGrid w:val="0"/>
        <w:spacing w:line="360" w:lineRule="auto"/>
        <w:ind w:left="120" w:right="480" w:firstLine="22"/>
        <w:jc w:val="center"/>
        <w:rPr>
          <w:rFonts w:hint="eastAsia" w:ascii="宋体" w:hAnsi="宋体" w:cs="宋体"/>
          <w:b/>
          <w:color w:val="auto"/>
          <w:kern w:val="0"/>
          <w:sz w:val="32"/>
          <w:szCs w:val="32"/>
          <w:highlight w:val="none"/>
        </w:rPr>
      </w:pPr>
    </w:p>
    <w:p w14:paraId="648D9999">
      <w:pPr>
        <w:pStyle w:val="693"/>
        <w:keepNext w:val="0"/>
        <w:pageBreakBefore w:val="0"/>
        <w:tabs>
          <w:tab w:val="clear" w:pos="720"/>
        </w:tabs>
        <w:snapToGrid w:val="0"/>
        <w:spacing w:before="120" w:after="120"/>
        <w:ind w:left="120" w:firstLine="22"/>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74A6DCE">
      <w:pPr>
        <w:pStyle w:val="693"/>
        <w:keepNext w:val="0"/>
        <w:pageBreakBefore w:val="0"/>
        <w:tabs>
          <w:tab w:val="clear" w:pos="720"/>
        </w:tabs>
        <w:snapToGrid w:val="0"/>
        <w:spacing w:before="120" w:after="120"/>
        <w:ind w:left="120" w:firstLine="22"/>
        <w:outlineLvl w:val="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634EE6">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中共杭州市上城区委组织部、浙江省成套招标代理有限公司</w:t>
      </w:r>
      <w:r>
        <w:rPr>
          <w:rFonts w:hint="eastAsia" w:ascii="宋体" w:hAnsi="宋体" w:cs="宋体"/>
          <w:color w:val="auto"/>
          <w:kern w:val="0"/>
          <w:sz w:val="24"/>
          <w:highlight w:val="none"/>
          <w:lang w:val="zh-CN"/>
        </w:rPr>
        <w:t>：</w:t>
      </w:r>
    </w:p>
    <w:p w14:paraId="15D6D04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上城区“数智组工”平台信创提升改造项目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CTZB-2025060381】的实施</w:t>
      </w:r>
      <w:r>
        <w:rPr>
          <w:rFonts w:hint="eastAsia" w:ascii="宋体" w:hAnsi="宋体" w:cs="宋体"/>
          <w:color w:val="auto"/>
          <w:kern w:val="0"/>
          <w:sz w:val="24"/>
          <w:highlight w:val="none"/>
          <w:lang w:val="zh-CN"/>
        </w:rPr>
        <w:t>。</w:t>
      </w:r>
    </w:p>
    <w:p w14:paraId="6D0218D3">
      <w:pPr>
        <w:spacing w:line="360" w:lineRule="auto"/>
        <w:ind w:left="120" w:firstLine="22"/>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1740"/>
        <w:gridCol w:w="1449"/>
        <w:gridCol w:w="1064"/>
        <w:gridCol w:w="2126"/>
      </w:tblGrid>
      <w:tr w14:paraId="3D2A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47F445A">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16DE12D">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F6442D5">
            <w:pPr>
              <w:spacing w:line="360" w:lineRule="auto"/>
              <w:ind w:left="120" w:firstLine="22"/>
              <w:jc w:val="center"/>
              <w:rPr>
                <w:rFonts w:hint="eastAsia" w:ascii="宋体" w:hAnsi="宋体" w:cs="宋体"/>
                <w:b/>
                <w:color w:val="auto"/>
                <w:sz w:val="24"/>
                <w:highlight w:val="none"/>
              </w:rPr>
            </w:pPr>
          </w:p>
          <w:p w14:paraId="1464A3CC">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3EC8859">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437A3DC">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740" w:type="dxa"/>
            <w:vAlign w:val="center"/>
          </w:tcPr>
          <w:p w14:paraId="75960D8E">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449" w:type="dxa"/>
          </w:tcPr>
          <w:p w14:paraId="1892EA3D">
            <w:pPr>
              <w:spacing w:line="360" w:lineRule="auto"/>
              <w:ind w:left="120" w:firstLine="22"/>
              <w:jc w:val="center"/>
              <w:rPr>
                <w:rFonts w:hint="eastAsia" w:ascii="宋体" w:hAnsi="宋体" w:cs="宋体"/>
                <w:b/>
                <w:color w:val="auto"/>
                <w:sz w:val="24"/>
                <w:highlight w:val="none"/>
              </w:rPr>
            </w:pPr>
          </w:p>
          <w:p w14:paraId="5730DE21">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1064" w:type="dxa"/>
            <w:vAlign w:val="center"/>
          </w:tcPr>
          <w:p w14:paraId="08C68C21">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报价</w:t>
            </w:r>
          </w:p>
        </w:tc>
        <w:tc>
          <w:tcPr>
            <w:tcW w:w="2126" w:type="dxa"/>
            <w:vAlign w:val="center"/>
          </w:tcPr>
          <w:p w14:paraId="43FA964B">
            <w:pPr>
              <w:spacing w:line="360" w:lineRule="auto"/>
              <w:ind w:left="120" w:firstLine="22"/>
              <w:jc w:val="center"/>
              <w:rPr>
                <w:rFonts w:hint="eastAsia" w:ascii="宋体" w:hAnsi="宋体" w:cs="宋体"/>
                <w:b/>
                <w:color w:val="auto"/>
                <w:sz w:val="24"/>
                <w:highlight w:val="none"/>
              </w:rPr>
            </w:pPr>
          </w:p>
          <w:p w14:paraId="7F649FF2">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2590BE9">
            <w:pPr>
              <w:spacing w:line="360" w:lineRule="auto"/>
              <w:ind w:left="120" w:firstLine="22"/>
              <w:jc w:val="center"/>
              <w:rPr>
                <w:rFonts w:hint="eastAsia" w:ascii="宋体" w:hAnsi="宋体" w:cs="宋体"/>
                <w:b/>
                <w:color w:val="auto"/>
                <w:sz w:val="24"/>
                <w:highlight w:val="none"/>
              </w:rPr>
            </w:pPr>
          </w:p>
        </w:tc>
      </w:tr>
      <w:tr w14:paraId="36E1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EFBA24E">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68E460F">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B225803">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0F97252A">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347966F8">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3070001A">
            <w:pPr>
              <w:spacing w:line="360" w:lineRule="auto"/>
              <w:ind w:left="120" w:firstLine="22"/>
              <w:jc w:val="center"/>
              <w:rPr>
                <w:rFonts w:hint="eastAsia" w:ascii="宋体" w:hAnsi="宋体" w:cs="宋体"/>
                <w:color w:val="auto"/>
                <w:sz w:val="24"/>
                <w:highlight w:val="none"/>
              </w:rPr>
            </w:pPr>
          </w:p>
        </w:tc>
        <w:tc>
          <w:tcPr>
            <w:tcW w:w="1449" w:type="dxa"/>
          </w:tcPr>
          <w:p w14:paraId="53C0AE46">
            <w:pPr>
              <w:spacing w:line="360" w:lineRule="auto"/>
              <w:ind w:left="120" w:firstLine="22"/>
              <w:jc w:val="center"/>
              <w:rPr>
                <w:rFonts w:hint="eastAsia" w:ascii="宋体" w:hAnsi="宋体" w:cs="宋体"/>
                <w:color w:val="auto"/>
                <w:sz w:val="24"/>
                <w:highlight w:val="none"/>
              </w:rPr>
            </w:pPr>
          </w:p>
        </w:tc>
        <w:tc>
          <w:tcPr>
            <w:tcW w:w="1064" w:type="dxa"/>
          </w:tcPr>
          <w:p w14:paraId="21EAA28D">
            <w:pPr>
              <w:spacing w:line="360" w:lineRule="auto"/>
              <w:ind w:left="120" w:firstLine="22"/>
              <w:jc w:val="center"/>
              <w:rPr>
                <w:rFonts w:hint="eastAsia" w:ascii="宋体" w:hAnsi="宋体" w:cs="宋体"/>
                <w:color w:val="auto"/>
                <w:sz w:val="24"/>
                <w:highlight w:val="none"/>
              </w:rPr>
            </w:pPr>
          </w:p>
        </w:tc>
        <w:tc>
          <w:tcPr>
            <w:tcW w:w="2126" w:type="dxa"/>
            <w:vAlign w:val="center"/>
          </w:tcPr>
          <w:p w14:paraId="416ABD03">
            <w:pPr>
              <w:spacing w:line="360" w:lineRule="auto"/>
              <w:ind w:left="120" w:firstLine="22"/>
              <w:jc w:val="center"/>
              <w:rPr>
                <w:rFonts w:hint="eastAsia" w:ascii="宋体" w:hAnsi="宋体" w:cs="宋体"/>
                <w:color w:val="auto"/>
                <w:sz w:val="24"/>
                <w:highlight w:val="none"/>
              </w:rPr>
            </w:pPr>
          </w:p>
        </w:tc>
      </w:tr>
      <w:tr w14:paraId="4B03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A7DF89">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D3753D3">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E97A350">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7A610FD9">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78A9E539">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28CBC367">
            <w:pPr>
              <w:spacing w:line="360" w:lineRule="auto"/>
              <w:ind w:left="120" w:firstLine="22"/>
              <w:jc w:val="center"/>
              <w:rPr>
                <w:rFonts w:hint="eastAsia" w:ascii="宋体" w:hAnsi="宋体" w:cs="宋体"/>
                <w:color w:val="auto"/>
                <w:sz w:val="24"/>
                <w:highlight w:val="none"/>
              </w:rPr>
            </w:pPr>
          </w:p>
        </w:tc>
        <w:tc>
          <w:tcPr>
            <w:tcW w:w="1449" w:type="dxa"/>
          </w:tcPr>
          <w:p w14:paraId="2C141E76">
            <w:pPr>
              <w:spacing w:line="360" w:lineRule="auto"/>
              <w:ind w:left="120" w:firstLine="22"/>
              <w:jc w:val="center"/>
              <w:rPr>
                <w:rFonts w:hint="eastAsia" w:ascii="宋体" w:hAnsi="宋体" w:cs="宋体"/>
                <w:color w:val="auto"/>
                <w:sz w:val="24"/>
                <w:highlight w:val="none"/>
              </w:rPr>
            </w:pPr>
          </w:p>
        </w:tc>
        <w:tc>
          <w:tcPr>
            <w:tcW w:w="1064" w:type="dxa"/>
          </w:tcPr>
          <w:p w14:paraId="1AE158C1">
            <w:pPr>
              <w:spacing w:line="360" w:lineRule="auto"/>
              <w:ind w:left="120" w:firstLine="22"/>
              <w:jc w:val="center"/>
              <w:rPr>
                <w:rFonts w:hint="eastAsia" w:ascii="宋体" w:hAnsi="宋体" w:cs="宋体"/>
                <w:color w:val="auto"/>
                <w:sz w:val="24"/>
                <w:highlight w:val="none"/>
              </w:rPr>
            </w:pPr>
          </w:p>
        </w:tc>
        <w:tc>
          <w:tcPr>
            <w:tcW w:w="2126" w:type="dxa"/>
            <w:vAlign w:val="center"/>
          </w:tcPr>
          <w:p w14:paraId="5216AD51">
            <w:pPr>
              <w:spacing w:line="360" w:lineRule="auto"/>
              <w:ind w:left="120" w:firstLine="22"/>
              <w:jc w:val="center"/>
              <w:rPr>
                <w:rFonts w:hint="eastAsia" w:ascii="宋体" w:hAnsi="宋体" w:cs="宋体"/>
                <w:color w:val="auto"/>
                <w:sz w:val="24"/>
                <w:highlight w:val="none"/>
              </w:rPr>
            </w:pPr>
          </w:p>
        </w:tc>
      </w:tr>
      <w:tr w14:paraId="7AA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E901B9">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8F4045A">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2457CB23">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5718BA68">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6AB40690">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176CB9E7">
            <w:pPr>
              <w:spacing w:line="360" w:lineRule="auto"/>
              <w:ind w:left="120" w:firstLine="22"/>
              <w:jc w:val="center"/>
              <w:rPr>
                <w:rFonts w:hint="eastAsia" w:ascii="宋体" w:hAnsi="宋体" w:cs="宋体"/>
                <w:color w:val="auto"/>
                <w:sz w:val="24"/>
                <w:highlight w:val="none"/>
              </w:rPr>
            </w:pPr>
          </w:p>
        </w:tc>
        <w:tc>
          <w:tcPr>
            <w:tcW w:w="1449" w:type="dxa"/>
          </w:tcPr>
          <w:p w14:paraId="4124827F">
            <w:pPr>
              <w:spacing w:line="360" w:lineRule="auto"/>
              <w:ind w:left="120" w:firstLine="22"/>
              <w:jc w:val="center"/>
              <w:rPr>
                <w:rFonts w:hint="eastAsia" w:ascii="宋体" w:hAnsi="宋体" w:cs="宋体"/>
                <w:color w:val="auto"/>
                <w:sz w:val="24"/>
                <w:highlight w:val="none"/>
              </w:rPr>
            </w:pPr>
          </w:p>
        </w:tc>
        <w:tc>
          <w:tcPr>
            <w:tcW w:w="1064" w:type="dxa"/>
          </w:tcPr>
          <w:p w14:paraId="30AF2917">
            <w:pPr>
              <w:spacing w:line="360" w:lineRule="auto"/>
              <w:ind w:left="120" w:firstLine="22"/>
              <w:jc w:val="center"/>
              <w:rPr>
                <w:rFonts w:hint="eastAsia" w:ascii="宋体" w:hAnsi="宋体" w:cs="宋体"/>
                <w:color w:val="auto"/>
                <w:sz w:val="24"/>
                <w:highlight w:val="none"/>
              </w:rPr>
            </w:pPr>
          </w:p>
        </w:tc>
        <w:tc>
          <w:tcPr>
            <w:tcW w:w="2126" w:type="dxa"/>
            <w:vAlign w:val="center"/>
          </w:tcPr>
          <w:p w14:paraId="4AC820DC">
            <w:pPr>
              <w:spacing w:line="360" w:lineRule="auto"/>
              <w:ind w:left="120" w:firstLine="22"/>
              <w:jc w:val="center"/>
              <w:rPr>
                <w:rFonts w:hint="eastAsia" w:ascii="宋体" w:hAnsi="宋体" w:cs="宋体"/>
                <w:color w:val="auto"/>
                <w:sz w:val="24"/>
                <w:highlight w:val="none"/>
              </w:rPr>
            </w:pPr>
          </w:p>
        </w:tc>
      </w:tr>
      <w:tr w14:paraId="27FD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ACEAF8">
            <w:pPr>
              <w:spacing w:line="360" w:lineRule="auto"/>
              <w:ind w:left="120" w:firstLine="22"/>
              <w:jc w:val="center"/>
              <w:rPr>
                <w:rFonts w:hint="eastAsia" w:ascii="宋体" w:hAnsi="宋体" w:cs="宋体"/>
                <w:color w:val="auto"/>
                <w:sz w:val="24"/>
                <w:highlight w:val="none"/>
              </w:rPr>
            </w:pPr>
          </w:p>
        </w:tc>
        <w:tc>
          <w:tcPr>
            <w:tcW w:w="992" w:type="dxa"/>
            <w:vAlign w:val="center"/>
          </w:tcPr>
          <w:p w14:paraId="47BEF573">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03DB0FF4">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05FFA896">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3BF324A9">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79D23AA3">
            <w:pPr>
              <w:spacing w:line="360" w:lineRule="auto"/>
              <w:ind w:left="120" w:firstLine="22"/>
              <w:jc w:val="center"/>
              <w:rPr>
                <w:rFonts w:hint="eastAsia" w:ascii="宋体" w:hAnsi="宋体" w:cs="宋体"/>
                <w:color w:val="auto"/>
                <w:sz w:val="24"/>
                <w:highlight w:val="none"/>
              </w:rPr>
            </w:pPr>
          </w:p>
        </w:tc>
        <w:tc>
          <w:tcPr>
            <w:tcW w:w="1449" w:type="dxa"/>
          </w:tcPr>
          <w:p w14:paraId="112077DA">
            <w:pPr>
              <w:spacing w:line="360" w:lineRule="auto"/>
              <w:ind w:left="120" w:firstLine="22"/>
              <w:jc w:val="center"/>
              <w:rPr>
                <w:rFonts w:hint="eastAsia" w:ascii="宋体" w:hAnsi="宋体" w:cs="宋体"/>
                <w:color w:val="auto"/>
                <w:sz w:val="24"/>
                <w:highlight w:val="none"/>
              </w:rPr>
            </w:pPr>
          </w:p>
        </w:tc>
        <w:tc>
          <w:tcPr>
            <w:tcW w:w="1064" w:type="dxa"/>
          </w:tcPr>
          <w:p w14:paraId="25A2AAC2">
            <w:pPr>
              <w:spacing w:line="360" w:lineRule="auto"/>
              <w:ind w:left="120" w:firstLine="22"/>
              <w:jc w:val="center"/>
              <w:rPr>
                <w:rFonts w:hint="eastAsia" w:ascii="宋体" w:hAnsi="宋体" w:cs="宋体"/>
                <w:color w:val="auto"/>
                <w:sz w:val="24"/>
                <w:highlight w:val="none"/>
              </w:rPr>
            </w:pPr>
          </w:p>
        </w:tc>
        <w:tc>
          <w:tcPr>
            <w:tcW w:w="2126" w:type="dxa"/>
            <w:vAlign w:val="center"/>
          </w:tcPr>
          <w:p w14:paraId="6C7D8FAB">
            <w:pPr>
              <w:spacing w:line="360" w:lineRule="auto"/>
              <w:ind w:left="120" w:firstLine="22"/>
              <w:jc w:val="center"/>
              <w:rPr>
                <w:rFonts w:hint="eastAsia" w:ascii="宋体" w:hAnsi="宋体" w:cs="宋体"/>
                <w:color w:val="auto"/>
                <w:sz w:val="24"/>
                <w:highlight w:val="none"/>
              </w:rPr>
            </w:pPr>
          </w:p>
        </w:tc>
      </w:tr>
      <w:tr w14:paraId="6D81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240A44">
            <w:pPr>
              <w:spacing w:line="360" w:lineRule="auto"/>
              <w:ind w:left="120" w:firstLine="22"/>
              <w:jc w:val="center"/>
              <w:rPr>
                <w:rFonts w:hint="eastAsia" w:ascii="宋体" w:hAnsi="宋体" w:cs="宋体"/>
                <w:color w:val="auto"/>
                <w:sz w:val="24"/>
                <w:highlight w:val="none"/>
              </w:rPr>
            </w:pPr>
          </w:p>
        </w:tc>
        <w:tc>
          <w:tcPr>
            <w:tcW w:w="992" w:type="dxa"/>
            <w:vAlign w:val="center"/>
          </w:tcPr>
          <w:p w14:paraId="58AAA81F">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260089CD">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7DB33D75">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6049B65A">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06E5767C">
            <w:pPr>
              <w:spacing w:line="360" w:lineRule="auto"/>
              <w:ind w:left="120" w:firstLine="22"/>
              <w:jc w:val="center"/>
              <w:rPr>
                <w:rFonts w:hint="eastAsia" w:ascii="宋体" w:hAnsi="宋体" w:cs="宋体"/>
                <w:color w:val="auto"/>
                <w:sz w:val="24"/>
                <w:highlight w:val="none"/>
              </w:rPr>
            </w:pPr>
          </w:p>
        </w:tc>
        <w:tc>
          <w:tcPr>
            <w:tcW w:w="1449" w:type="dxa"/>
          </w:tcPr>
          <w:p w14:paraId="2BFF3A15">
            <w:pPr>
              <w:spacing w:line="360" w:lineRule="auto"/>
              <w:ind w:left="120" w:firstLine="22"/>
              <w:jc w:val="center"/>
              <w:rPr>
                <w:rFonts w:hint="eastAsia" w:ascii="宋体" w:hAnsi="宋体" w:cs="宋体"/>
                <w:color w:val="auto"/>
                <w:sz w:val="24"/>
                <w:highlight w:val="none"/>
              </w:rPr>
            </w:pPr>
          </w:p>
        </w:tc>
        <w:tc>
          <w:tcPr>
            <w:tcW w:w="1064" w:type="dxa"/>
          </w:tcPr>
          <w:p w14:paraId="7963F298">
            <w:pPr>
              <w:spacing w:line="360" w:lineRule="auto"/>
              <w:ind w:left="120" w:firstLine="22"/>
              <w:jc w:val="center"/>
              <w:rPr>
                <w:rFonts w:hint="eastAsia" w:ascii="宋体" w:hAnsi="宋体" w:cs="宋体"/>
                <w:color w:val="auto"/>
                <w:sz w:val="24"/>
                <w:highlight w:val="none"/>
              </w:rPr>
            </w:pPr>
          </w:p>
        </w:tc>
        <w:tc>
          <w:tcPr>
            <w:tcW w:w="2126" w:type="dxa"/>
            <w:vAlign w:val="center"/>
          </w:tcPr>
          <w:p w14:paraId="0A5EAF8D">
            <w:pPr>
              <w:spacing w:line="360" w:lineRule="auto"/>
              <w:ind w:left="120" w:firstLine="22"/>
              <w:jc w:val="center"/>
              <w:rPr>
                <w:rFonts w:hint="eastAsia" w:ascii="宋体" w:hAnsi="宋体" w:cs="宋体"/>
                <w:color w:val="auto"/>
                <w:sz w:val="24"/>
                <w:highlight w:val="none"/>
              </w:rPr>
            </w:pPr>
          </w:p>
        </w:tc>
      </w:tr>
      <w:tr w14:paraId="156E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E3FF26">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5"/>
          </w:tcPr>
          <w:p w14:paraId="5AC01192">
            <w:pPr>
              <w:spacing w:line="360" w:lineRule="auto"/>
              <w:ind w:left="120" w:firstLine="22"/>
              <w:jc w:val="center"/>
              <w:rPr>
                <w:rFonts w:hint="eastAsia" w:ascii="宋体" w:hAnsi="宋体" w:cs="宋体"/>
                <w:color w:val="auto"/>
                <w:sz w:val="24"/>
                <w:highlight w:val="none"/>
              </w:rPr>
            </w:pPr>
          </w:p>
        </w:tc>
      </w:tr>
      <w:tr w14:paraId="1D5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C8B7FD9">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5"/>
          </w:tcPr>
          <w:p w14:paraId="6EB47E26">
            <w:pPr>
              <w:spacing w:line="360" w:lineRule="auto"/>
              <w:ind w:left="120" w:firstLine="22"/>
              <w:jc w:val="center"/>
              <w:rPr>
                <w:rFonts w:hint="eastAsia" w:ascii="宋体" w:hAnsi="宋体" w:cs="宋体"/>
                <w:color w:val="auto"/>
                <w:sz w:val="24"/>
                <w:highlight w:val="none"/>
              </w:rPr>
            </w:pPr>
          </w:p>
        </w:tc>
      </w:tr>
    </w:tbl>
    <w:p w14:paraId="61B0E822">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C64A4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p>
    <w:p w14:paraId="041D3F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12058D6">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0FD0228">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auto"/>
          <w:highlight w:val="none"/>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docGrid w:linePitch="312" w:charSpace="0"/>
        </w:sectPr>
      </w:pPr>
    </w:p>
    <w:p w14:paraId="0548681D">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auto"/>
          <w:highlight w:val="none"/>
        </w:rPr>
      </w:pPr>
      <w:r>
        <w:rPr>
          <w:rFonts w:hint="eastAsia" w:ascii="宋体" w:hAnsi="宋体" w:cs="宋体"/>
          <w:color w:val="auto"/>
          <w:highlight w:val="none"/>
        </w:rPr>
        <w:t>附件</w:t>
      </w:r>
    </w:p>
    <w:p w14:paraId="45CEE120">
      <w:pPr>
        <w:spacing w:line="360" w:lineRule="auto"/>
        <w:ind w:left="120" w:firstLine="22"/>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9F5DA1">
      <w:pPr>
        <w:spacing w:line="360" w:lineRule="auto"/>
        <w:ind w:left="120" w:firstLine="22"/>
        <w:jc w:val="center"/>
        <w:rPr>
          <w:rFonts w:hint="eastAsia" w:ascii="宋体" w:hAnsi="宋体" w:cs="宋体"/>
          <w:b/>
          <w:color w:val="auto"/>
          <w:spacing w:val="6"/>
          <w:sz w:val="32"/>
          <w:szCs w:val="32"/>
          <w:highlight w:val="none"/>
        </w:rPr>
      </w:pPr>
      <w:bookmarkStart w:id="518" w:name="OLE_LINK14"/>
      <w:bookmarkStart w:id="519" w:name="OLE_LINK13"/>
      <w:r>
        <w:rPr>
          <w:rFonts w:hint="eastAsia" w:ascii="宋体" w:hAnsi="宋体" w:cs="宋体"/>
          <w:b/>
          <w:color w:val="auto"/>
          <w:spacing w:val="6"/>
          <w:sz w:val="32"/>
          <w:szCs w:val="32"/>
          <w:highlight w:val="none"/>
        </w:rPr>
        <w:t>残疾人福利性单位声明函</w:t>
      </w:r>
    </w:p>
    <w:bookmarkEnd w:id="518"/>
    <w:bookmarkEnd w:id="519"/>
    <w:p w14:paraId="78D7AB46">
      <w:pPr>
        <w:spacing w:line="360" w:lineRule="auto"/>
        <w:ind w:left="120" w:firstLine="22"/>
        <w:rPr>
          <w:rFonts w:hint="eastAsia" w:ascii="宋体" w:hAnsi="宋体" w:cs="宋体"/>
          <w:b/>
          <w:color w:val="auto"/>
          <w:spacing w:val="6"/>
          <w:sz w:val="30"/>
          <w:szCs w:val="30"/>
          <w:highlight w:val="none"/>
        </w:rPr>
      </w:pPr>
    </w:p>
    <w:p w14:paraId="04D288B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 xml:space="preserve"> 上城区“数智组工”平台信创提升改造项目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BD3270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E8BFB07">
      <w:pPr>
        <w:spacing w:line="360" w:lineRule="auto"/>
        <w:ind w:left="120" w:firstLine="480" w:firstLineChars="200"/>
        <w:rPr>
          <w:rFonts w:hint="eastAsia" w:ascii="宋体" w:hAnsi="宋体" w:cs="宋体"/>
          <w:color w:val="auto"/>
          <w:sz w:val="24"/>
          <w:highlight w:val="none"/>
        </w:rPr>
      </w:pPr>
    </w:p>
    <w:p w14:paraId="2B29EEB8">
      <w:pPr>
        <w:spacing w:line="360" w:lineRule="auto"/>
        <w:ind w:left="120" w:firstLine="480" w:firstLineChars="200"/>
        <w:rPr>
          <w:rFonts w:hint="eastAsia" w:ascii="宋体" w:hAnsi="宋体" w:cs="宋体"/>
          <w:color w:val="auto"/>
          <w:sz w:val="24"/>
          <w:highlight w:val="none"/>
        </w:rPr>
      </w:pPr>
    </w:p>
    <w:p w14:paraId="02B7E502">
      <w:pPr>
        <w:tabs>
          <w:tab w:val="left" w:pos="4860"/>
        </w:tabs>
        <w:spacing w:line="360" w:lineRule="auto"/>
        <w:ind w:left="120"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3D9413C">
      <w:pPr>
        <w:tabs>
          <w:tab w:val="left" w:pos="4860"/>
        </w:tabs>
        <w:spacing w:line="360" w:lineRule="auto"/>
        <w:ind w:left="120"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0A88DE4">
      <w:pPr>
        <w:spacing w:line="360" w:lineRule="auto"/>
        <w:ind w:left="120" w:firstLine="480" w:firstLineChars="200"/>
        <w:rPr>
          <w:rFonts w:hint="eastAsia" w:ascii="宋体" w:hAnsi="宋体" w:cs="宋体"/>
          <w:color w:val="auto"/>
          <w:sz w:val="24"/>
          <w:highlight w:val="none"/>
        </w:rPr>
      </w:pPr>
    </w:p>
    <w:p w14:paraId="7D582E4E">
      <w:pPr>
        <w:spacing w:line="360" w:lineRule="auto"/>
        <w:ind w:left="120" w:firstLine="420" w:firstLineChars="200"/>
        <w:rPr>
          <w:rFonts w:hint="eastAsia" w:ascii="宋体" w:hAnsi="宋体" w:cs="宋体"/>
          <w:color w:val="auto"/>
          <w:highlight w:val="none"/>
        </w:rPr>
      </w:pPr>
    </w:p>
    <w:p w14:paraId="3AF5554E">
      <w:pPr>
        <w:spacing w:line="360" w:lineRule="auto"/>
        <w:ind w:left="120" w:firstLine="420" w:firstLineChars="200"/>
        <w:rPr>
          <w:rFonts w:hint="eastAsia" w:ascii="宋体" w:hAnsi="宋体" w:cs="宋体"/>
          <w:color w:val="auto"/>
          <w:highlight w:val="none"/>
        </w:rPr>
      </w:pPr>
    </w:p>
    <w:p w14:paraId="70D66B9F">
      <w:pPr>
        <w:spacing w:line="360" w:lineRule="auto"/>
        <w:ind w:left="120" w:firstLine="420" w:firstLineChars="200"/>
        <w:rPr>
          <w:rFonts w:hint="eastAsia" w:ascii="宋体" w:hAnsi="宋体" w:cs="宋体"/>
          <w:color w:val="auto"/>
          <w:highlight w:val="none"/>
        </w:rPr>
      </w:pPr>
    </w:p>
    <w:p w14:paraId="6CEBAE3E">
      <w:pPr>
        <w:spacing w:line="360" w:lineRule="auto"/>
        <w:ind w:left="120" w:firstLine="420" w:firstLineChars="200"/>
        <w:rPr>
          <w:rFonts w:hint="eastAsia" w:ascii="宋体" w:hAnsi="宋体" w:cs="宋体"/>
          <w:color w:val="auto"/>
          <w:highlight w:val="none"/>
        </w:rPr>
      </w:pPr>
    </w:p>
    <w:p w14:paraId="2888678D">
      <w:pPr>
        <w:spacing w:line="360" w:lineRule="auto"/>
        <w:ind w:left="120" w:firstLine="22"/>
        <w:rPr>
          <w:rFonts w:hint="eastAsia" w:ascii="宋体" w:hAnsi="宋体" w:cs="宋体"/>
          <w:b/>
          <w:color w:val="auto"/>
          <w:sz w:val="24"/>
          <w:highlight w:val="none"/>
        </w:rPr>
      </w:pPr>
    </w:p>
    <w:p w14:paraId="13F95CC6">
      <w:pPr>
        <w:spacing w:line="360" w:lineRule="auto"/>
        <w:ind w:left="120" w:firstLine="22"/>
        <w:rPr>
          <w:rFonts w:hint="eastAsia" w:ascii="宋体" w:hAnsi="宋体" w:cs="宋体"/>
          <w:b/>
          <w:color w:val="auto"/>
          <w:sz w:val="24"/>
          <w:highlight w:val="none"/>
        </w:rPr>
      </w:pPr>
    </w:p>
    <w:p w14:paraId="6068D585">
      <w:pPr>
        <w:spacing w:line="360" w:lineRule="auto"/>
        <w:ind w:left="120" w:firstLine="22"/>
        <w:rPr>
          <w:rFonts w:hint="eastAsia" w:ascii="宋体" w:hAnsi="宋体" w:cs="宋体"/>
          <w:b/>
          <w:color w:val="auto"/>
          <w:sz w:val="24"/>
          <w:highlight w:val="none"/>
        </w:rPr>
      </w:pPr>
    </w:p>
    <w:p w14:paraId="30D434FF">
      <w:pPr>
        <w:spacing w:line="360" w:lineRule="auto"/>
        <w:ind w:left="120" w:firstLine="22"/>
        <w:rPr>
          <w:rFonts w:hint="eastAsia" w:ascii="宋体" w:hAnsi="宋体" w:cs="宋体"/>
          <w:b/>
          <w:color w:val="auto"/>
          <w:sz w:val="24"/>
          <w:highlight w:val="none"/>
        </w:rPr>
      </w:pPr>
    </w:p>
    <w:p w14:paraId="5801E0C5">
      <w:pPr>
        <w:spacing w:line="360" w:lineRule="auto"/>
        <w:ind w:left="120" w:firstLine="1666" w:firstLineChars="500"/>
        <w:jc w:val="left"/>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B18C001">
      <w:pPr>
        <w:spacing w:line="360" w:lineRule="auto"/>
        <w:ind w:left="120" w:firstLine="22"/>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8AC96B">
      <w:pPr>
        <w:snapToGrid w:val="0"/>
        <w:spacing w:before="240" w:beforeLines="100"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A5DECA7">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04CBA41">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92258F">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B79F8A">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6703AA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86605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02A1338">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92FEE42">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ED44C8A">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894E4E">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B8DF00F">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F3F549A">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B9D7A2C">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364EF34">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399C98">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673952FA">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311FE8">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A1CE05">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A6934E9">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p w14:paraId="111FB719">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8C000F8">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8F1D720">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0D6C6D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A96BBE9">
      <w:pPr>
        <w:spacing w:line="360" w:lineRule="auto"/>
        <w:ind w:left="120" w:firstLine="22"/>
        <w:jc w:val="center"/>
        <w:rPr>
          <w:rFonts w:hint="eastAsia" w:ascii="宋体" w:hAnsi="宋体" w:cs="宋体"/>
          <w:b/>
          <w:bCs/>
          <w:color w:val="auto"/>
          <w:sz w:val="24"/>
          <w:highlight w:val="none"/>
        </w:rPr>
      </w:pPr>
    </w:p>
    <w:p w14:paraId="13B3AE05">
      <w:pPr>
        <w:spacing w:line="360" w:lineRule="auto"/>
        <w:ind w:left="120" w:firstLine="22"/>
        <w:rPr>
          <w:rFonts w:hint="eastAsia" w:ascii="宋体" w:hAnsi="宋体" w:cs="宋体"/>
          <w:b/>
          <w:color w:val="auto"/>
          <w:sz w:val="24"/>
          <w:highlight w:val="none"/>
        </w:rPr>
      </w:pPr>
    </w:p>
    <w:p w14:paraId="6F27A29F">
      <w:pPr>
        <w:spacing w:line="360" w:lineRule="auto"/>
        <w:ind w:left="120" w:firstLine="22"/>
        <w:rPr>
          <w:rFonts w:hint="eastAsia" w:ascii="宋体" w:hAnsi="宋体" w:cs="宋体"/>
          <w:b/>
          <w:color w:val="auto"/>
          <w:sz w:val="24"/>
          <w:highlight w:val="none"/>
        </w:rPr>
      </w:pPr>
    </w:p>
    <w:p w14:paraId="5E969F6D">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36F0791">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5821FE3">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0E3BFA">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1FD0F7">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4A08A31">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E25A50">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AF60BE">
      <w:pPr>
        <w:widowControl/>
        <w:spacing w:line="360" w:lineRule="auto"/>
        <w:ind w:left="120" w:firstLine="600" w:firstLineChars="200"/>
        <w:jc w:val="left"/>
        <w:rPr>
          <w:rFonts w:hint="eastAsia" w:ascii="宋体" w:hAnsi="宋体" w:cs="宋体"/>
          <w:color w:val="auto"/>
          <w:sz w:val="30"/>
          <w:szCs w:val="30"/>
          <w:highlight w:val="none"/>
        </w:rPr>
      </w:pPr>
    </w:p>
    <w:p w14:paraId="461F1CE9">
      <w:pPr>
        <w:spacing w:line="360" w:lineRule="auto"/>
        <w:ind w:left="120" w:firstLine="22"/>
        <w:jc w:val="center"/>
        <w:rPr>
          <w:rFonts w:hint="eastAsia" w:ascii="宋体" w:hAnsi="宋体" w:cs="宋体"/>
          <w:b/>
          <w:color w:val="auto"/>
          <w:spacing w:val="6"/>
          <w:sz w:val="32"/>
          <w:szCs w:val="32"/>
          <w:highlight w:val="none"/>
        </w:rPr>
      </w:pPr>
    </w:p>
    <w:p w14:paraId="32A4DFDA">
      <w:pPr>
        <w:spacing w:line="360" w:lineRule="auto"/>
        <w:ind w:left="120" w:firstLine="22"/>
        <w:jc w:val="center"/>
        <w:rPr>
          <w:rFonts w:hint="eastAsia" w:ascii="宋体" w:hAnsi="宋体" w:cs="宋体"/>
          <w:b/>
          <w:color w:val="auto"/>
          <w:spacing w:val="6"/>
          <w:sz w:val="32"/>
          <w:szCs w:val="32"/>
          <w:highlight w:val="none"/>
        </w:rPr>
      </w:pPr>
    </w:p>
    <w:p w14:paraId="7A2C736D">
      <w:pPr>
        <w:spacing w:line="360" w:lineRule="auto"/>
        <w:ind w:left="120" w:firstLine="22"/>
        <w:jc w:val="center"/>
        <w:rPr>
          <w:rFonts w:hint="eastAsia" w:ascii="宋体" w:hAnsi="宋体" w:cs="宋体"/>
          <w:b/>
          <w:color w:val="auto"/>
          <w:spacing w:val="6"/>
          <w:sz w:val="32"/>
          <w:szCs w:val="32"/>
          <w:highlight w:val="none"/>
        </w:rPr>
      </w:pPr>
    </w:p>
    <w:p w14:paraId="16551682">
      <w:pPr>
        <w:jc w:val="left"/>
        <w:rPr>
          <w:rFonts w:hint="eastAsia" w:ascii="宋体" w:hAnsi="宋体" w:cs="宋体"/>
          <w:b/>
          <w:color w:val="auto"/>
          <w:spacing w:val="6"/>
          <w:sz w:val="32"/>
          <w:szCs w:val="32"/>
          <w:highlight w:val="none"/>
        </w:rPr>
      </w:pPr>
    </w:p>
    <w:p w14:paraId="594D4115">
      <w:pPr>
        <w:spacing w:line="360" w:lineRule="auto"/>
        <w:ind w:left="120" w:firstLine="22"/>
        <w:jc w:val="center"/>
        <w:outlineLvl w:val="1"/>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03C6A3E4">
      <w:pPr>
        <w:spacing w:line="360" w:lineRule="auto"/>
        <w:ind w:left="120" w:firstLine="22"/>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68A0C7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290CF245">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0B70E04">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A19E33">
      <w:pPr>
        <w:tabs>
          <w:tab w:val="left" w:pos="6510"/>
        </w:tabs>
        <w:spacing w:line="360" w:lineRule="auto"/>
        <w:ind w:left="120" w:firstLine="22"/>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3ECFFD">
      <w:pPr>
        <w:tabs>
          <w:tab w:val="left" w:pos="6510"/>
        </w:tabs>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BDDEF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20BE6B">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235EA5C">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6C9CF2">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CDBB5E">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99DB9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被投诉人2</w:t>
      </w:r>
    </w:p>
    <w:p w14:paraId="728B0766">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w:t>
      </w:r>
    </w:p>
    <w:p w14:paraId="5AA7CD70">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1256A">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854AA4">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8D6E97">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7D857B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1AAF967">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2EB50B">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E42B8F">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D67C825">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75F9F3">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02B632">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1146A9E">
      <w:pPr>
        <w:spacing w:line="360" w:lineRule="auto"/>
        <w:ind w:left="120"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74AE9B2">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F41146">
      <w:pPr>
        <w:spacing w:line="360" w:lineRule="auto"/>
        <w:ind w:left="120"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147B2CC">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6A32C6D">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CEC362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646D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397E3F">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AD41A8">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BC8CC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投诉事项2</w:t>
      </w:r>
    </w:p>
    <w:p w14:paraId="5E721B84">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w:t>
      </w:r>
    </w:p>
    <w:p w14:paraId="5A9673A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8DF288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21B31C">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BE0EF4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480974">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99F6362">
      <w:pPr>
        <w:spacing w:line="360" w:lineRule="auto"/>
        <w:ind w:left="120" w:firstLine="22"/>
        <w:rPr>
          <w:rFonts w:hint="eastAsia" w:ascii="宋体" w:hAnsi="宋体" w:cs="宋体"/>
          <w:b/>
          <w:color w:val="auto"/>
          <w:sz w:val="24"/>
          <w:highlight w:val="none"/>
        </w:rPr>
      </w:pPr>
    </w:p>
    <w:p w14:paraId="62B481F0">
      <w:pPr>
        <w:spacing w:line="360" w:lineRule="auto"/>
        <w:ind w:left="120" w:firstLine="22"/>
        <w:rPr>
          <w:rFonts w:hint="eastAsia" w:ascii="宋体" w:hAnsi="宋体" w:cs="宋体"/>
          <w:b/>
          <w:color w:val="auto"/>
          <w:sz w:val="24"/>
          <w:highlight w:val="none"/>
        </w:rPr>
      </w:pPr>
    </w:p>
    <w:p w14:paraId="41E9BE23">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F301869">
      <w:pPr>
        <w:widowControl/>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32549DD">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88F7555">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29513BE">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C23665E">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1B1836">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7CB752">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A918740">
      <w:pPr>
        <w:spacing w:line="360" w:lineRule="auto"/>
        <w:ind w:left="120" w:firstLine="22"/>
        <w:rPr>
          <w:rFonts w:hint="eastAsia" w:ascii="宋体" w:hAnsi="宋体" w:cs="宋体"/>
          <w:b/>
          <w:color w:val="auto"/>
          <w:sz w:val="24"/>
          <w:highlight w:val="none"/>
        </w:rPr>
      </w:pPr>
    </w:p>
    <w:p w14:paraId="4BFE8082">
      <w:pPr>
        <w:autoSpaceDE w:val="0"/>
        <w:autoSpaceDN w:val="0"/>
        <w:spacing w:line="360" w:lineRule="auto"/>
        <w:ind w:left="120" w:firstLine="22"/>
        <w:rPr>
          <w:rFonts w:hint="eastAsia" w:ascii="宋体" w:hAnsi="宋体" w:cs="宋体"/>
          <w:b/>
          <w:color w:val="auto"/>
          <w:spacing w:val="6"/>
          <w:sz w:val="32"/>
          <w:szCs w:val="32"/>
          <w:highlight w:val="none"/>
        </w:rPr>
      </w:pPr>
    </w:p>
    <w:p w14:paraId="7D94E86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4A45D7B">
      <w:pPr>
        <w:autoSpaceDE w:val="0"/>
        <w:autoSpaceDN w:val="0"/>
        <w:spacing w:line="360" w:lineRule="auto"/>
        <w:ind w:left="120" w:firstLine="22"/>
        <w:jc w:val="center"/>
        <w:outlineLvl w:val="1"/>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A31C03">
      <w:pPr>
        <w:spacing w:line="360" w:lineRule="auto"/>
        <w:ind w:left="120" w:firstLine="22"/>
        <w:rPr>
          <w:rFonts w:hint="eastAsia" w:ascii="宋体" w:hAnsi="宋体" w:cs="宋体"/>
          <w:color w:val="auto"/>
          <w:sz w:val="24"/>
          <w:highlight w:val="none"/>
          <w:u w:val="single"/>
        </w:rPr>
      </w:pPr>
    </w:p>
    <w:p w14:paraId="4C76813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u w:val="single"/>
        </w:rPr>
        <w:t>中共杭州市上城区委组织部、浙江省成套招标代理有限公司：</w:t>
      </w:r>
    </w:p>
    <w:p w14:paraId="794925C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 上城区“数智组工”平台信创提升改造项目【招标编号：CTZB-2025060381】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63B1F9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5384EC2">
      <w:pPr>
        <w:spacing w:line="360" w:lineRule="auto"/>
        <w:ind w:left="120" w:firstLine="22"/>
        <w:rPr>
          <w:rFonts w:hint="eastAsia" w:ascii="宋体" w:hAnsi="宋体" w:cs="宋体"/>
          <w:color w:val="auto"/>
          <w:sz w:val="24"/>
          <w:highlight w:val="none"/>
        </w:rPr>
      </w:pPr>
    </w:p>
    <w:p w14:paraId="7C322CF5">
      <w:pPr>
        <w:spacing w:line="360" w:lineRule="auto"/>
        <w:ind w:left="120" w:firstLine="22"/>
        <w:rPr>
          <w:rFonts w:hint="eastAsia" w:ascii="宋体" w:hAnsi="宋体" w:cs="宋体"/>
          <w:color w:val="auto"/>
          <w:sz w:val="24"/>
          <w:highlight w:val="none"/>
        </w:rPr>
      </w:pPr>
    </w:p>
    <w:p w14:paraId="2BF3B3F5">
      <w:pPr>
        <w:spacing w:line="360" w:lineRule="auto"/>
        <w:ind w:left="120" w:firstLine="22"/>
        <w:rPr>
          <w:rFonts w:hint="eastAsia" w:ascii="宋体" w:hAnsi="宋体" w:cs="宋体"/>
          <w:color w:val="auto"/>
          <w:sz w:val="24"/>
          <w:highlight w:val="none"/>
        </w:rPr>
      </w:pPr>
    </w:p>
    <w:p w14:paraId="3F4B88B5">
      <w:pPr>
        <w:spacing w:line="360" w:lineRule="auto"/>
        <w:ind w:left="120" w:firstLine="22"/>
        <w:rPr>
          <w:rFonts w:hint="eastAsia" w:ascii="宋体" w:hAnsi="宋体" w:cs="宋体"/>
          <w:color w:val="auto"/>
          <w:sz w:val="24"/>
          <w:highlight w:val="none"/>
        </w:rPr>
      </w:pPr>
    </w:p>
    <w:p w14:paraId="4FC86544">
      <w:pPr>
        <w:spacing w:line="360" w:lineRule="auto"/>
        <w:ind w:left="120"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5E1AF8D">
      <w:pPr>
        <w:spacing w:line="360" w:lineRule="auto"/>
        <w:ind w:left="120" w:right="1440" w:firstLine="22"/>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E18A9DC">
      <w:pPr>
        <w:spacing w:line="360" w:lineRule="auto"/>
        <w:ind w:left="120" w:firstLine="22"/>
        <w:rPr>
          <w:rFonts w:hint="eastAsia" w:ascii="宋体" w:hAnsi="宋体" w:cs="宋体"/>
          <w:color w:val="auto"/>
          <w:sz w:val="24"/>
          <w:highlight w:val="none"/>
        </w:rPr>
      </w:pPr>
      <w:r>
        <w:rPr>
          <w:rFonts w:hint="eastAsia" w:ascii="宋体" w:hAnsi="宋体" w:cs="宋体"/>
          <w:b/>
          <w:bCs/>
          <w:color w:val="auto"/>
          <w:sz w:val="24"/>
          <w:highlight w:val="none"/>
        </w:rPr>
        <w:t>附：</w:t>
      </w:r>
    </w:p>
    <w:p w14:paraId="23393D82">
      <w:pPr>
        <w:spacing w:line="360" w:lineRule="auto"/>
        <w:ind w:left="120" w:firstLine="22"/>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5F95CDF">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A6CBD24">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8A0D7A9">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D7E301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D08611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58AA37B">
      <w:pPr>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AE86DE">
      <w:pPr>
        <w:widowControl/>
        <w:spacing w:line="360" w:lineRule="auto"/>
        <w:ind w:left="12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C78BCA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 xml:space="preserve"> 上城区“数智组工”平台信创提升改造项目【招标编号：CTZB-2025060381】</w:t>
      </w:r>
      <w:r>
        <w:rPr>
          <w:rFonts w:hint="eastAsia" w:ascii="宋体" w:hAnsi="宋体" w:cs="宋体"/>
          <w:color w:val="auto"/>
          <w:kern w:val="0"/>
          <w:sz w:val="24"/>
          <w:highlight w:val="none"/>
          <w:lang w:val="zh-CN"/>
        </w:rPr>
        <w:t xml:space="preserve">投标。 </w:t>
      </w:r>
    </w:p>
    <w:p w14:paraId="4EEB245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DDF1D17">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授权代表根据采购文件规定及投标内容而对采购人、采购代理机构所作的任何合法承诺，包括书面澄清及响应等均对联合投标各方产生约束力。</w:t>
      </w:r>
    </w:p>
    <w:p w14:paraId="636BC742">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8C808E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D09EB77">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9B2FD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C880009">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762F71">
      <w:pPr>
        <w:snapToGrid w:val="0"/>
        <w:spacing w:line="360" w:lineRule="auto"/>
        <w:ind w:left="120" w:firstLine="22"/>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1"/>
      <w:r>
        <w:rPr>
          <w:rFonts w:hint="eastAsia" w:ascii="宋体" w:hAnsi="宋体" w:cs="宋体"/>
          <w:b/>
          <w:color w:val="auto"/>
          <w:kern w:val="0"/>
          <w:sz w:val="24"/>
          <w:highlight w:val="none"/>
          <w:lang w:val="zh-CN"/>
        </w:rPr>
        <w:t>）</w:t>
      </w:r>
    </w:p>
    <w:p w14:paraId="0906B12F">
      <w:pPr>
        <w:spacing w:line="360" w:lineRule="auto"/>
        <w:ind w:left="120"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2"/>
    </w:p>
    <w:p w14:paraId="60C81537">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6E2C135">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41B1379">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DC707A9">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77DBE3A">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DF79D1F">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53973C">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DDC4FE">
      <w:pPr>
        <w:snapToGrid w:val="0"/>
        <w:spacing w:line="360" w:lineRule="auto"/>
        <w:ind w:left="120" w:right="96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DB2935">
      <w:pPr>
        <w:snapToGrid w:val="0"/>
        <w:spacing w:line="360" w:lineRule="auto"/>
        <w:ind w:left="120" w:firstLine="22"/>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C87D12">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72D276">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200D82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57211F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428D00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CC09FF0">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4C49167">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40B06BE">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60E7746">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4028084">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F08F164">
      <w:pPr>
        <w:widowControl/>
        <w:adjustRightInd/>
        <w:jc w:val="center"/>
        <w:outlineLvl w:val="1"/>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5214DF6">
      <w:pPr>
        <w:widowControl/>
        <w:spacing w:line="360" w:lineRule="auto"/>
        <w:ind w:left="120"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B8BEE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 xml:space="preserve"> 上城区“数智组工”平台信创提升改造项目【招标编号：CTZB-2025060381】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F80199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0621A35">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E943C1F">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7D33512">
      <w:pPr>
        <w:spacing w:line="360" w:lineRule="auto"/>
        <w:ind w:left="120" w:firstLine="22"/>
        <w:rPr>
          <w:rFonts w:hint="eastAsia" w:ascii="宋体" w:hAnsi="宋体" w:cs="宋体"/>
          <w:color w:val="auto"/>
          <w:highlight w:val="none"/>
        </w:rPr>
      </w:pPr>
      <w:r>
        <w:rPr>
          <w:rFonts w:hint="eastAsia" w:ascii="宋体" w:hAnsi="宋体" w:cs="宋体"/>
          <w:color w:val="auto"/>
          <w:highlight w:val="none"/>
          <w:lang w:val="zh-CN"/>
        </w:rPr>
        <w:t xml:space="preserve"> </w:t>
      </w:r>
    </w:p>
    <w:p w14:paraId="5CA7DC23">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EB51A6F">
      <w:pPr>
        <w:snapToGrid w:val="0"/>
        <w:spacing w:line="360" w:lineRule="auto"/>
        <w:ind w:left="120" w:firstLine="22"/>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C3E77E">
      <w:pPr>
        <w:spacing w:line="360" w:lineRule="auto"/>
        <w:ind w:left="120"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A94BE71">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5ABDA8">
      <w:pPr>
        <w:snapToGrid w:val="0"/>
        <w:spacing w:line="360" w:lineRule="auto"/>
        <w:ind w:left="120" w:firstLine="22"/>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4F2AB03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3B82F0A">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F1576B">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4B373F8">
      <w:pPr>
        <w:snapToGrid w:val="0"/>
        <w:spacing w:line="360" w:lineRule="auto"/>
        <w:ind w:left="573" w:leftChars="273"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74D199">
      <w:pPr>
        <w:snapToGrid w:val="0"/>
        <w:spacing w:line="360" w:lineRule="auto"/>
        <w:ind w:left="573" w:leftChars="273"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399D8F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2625CC">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84CC51">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9F04A8">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E829AF0">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37ED754">
      <w:pPr>
        <w:snapToGrid w:val="0"/>
        <w:spacing w:line="360" w:lineRule="auto"/>
        <w:ind w:left="120" w:firstLine="22"/>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417B251">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C20B08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221D58">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0CC5FD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B8638CF">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73E5EE7">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4ECB8794">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11D136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37F3490">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4210247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05302BC">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B9C8732">
      <w:pPr>
        <w:spacing w:line="360" w:lineRule="auto"/>
        <w:ind w:left="120" w:firstLine="22"/>
        <w:jc w:val="center"/>
        <w:outlineLvl w:val="1"/>
        <w:rPr>
          <w:rFonts w:hint="eastAsia" w:ascii="宋体" w:hAnsi="宋体" w:cs="宋体"/>
          <w:b/>
          <w:color w:val="auto"/>
          <w:sz w:val="36"/>
          <w:szCs w:val="20"/>
          <w:highlight w:val="none"/>
        </w:rPr>
        <w:sectPr>
          <w:pgSz w:w="11906" w:h="16838"/>
          <w:pgMar w:top="1276" w:right="1417" w:bottom="1247" w:left="1417" w:header="851" w:footer="992" w:gutter="0"/>
          <w:cols w:space="0" w:num="1"/>
          <w:titlePg/>
          <w:docGrid w:linePitch="312" w:charSpace="0"/>
        </w:sectPr>
      </w:pPr>
    </w:p>
    <w:p w14:paraId="0EFB32AE">
      <w:pPr>
        <w:spacing w:line="360" w:lineRule="auto"/>
        <w:ind w:left="120" w:firstLine="22"/>
        <w:jc w:val="center"/>
        <w:outlineLvl w:val="1"/>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5D3F0D3">
      <w:pPr>
        <w:spacing w:line="360" w:lineRule="auto"/>
        <w:ind w:left="120" w:firstLine="2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ECAC560">
      <w:pPr>
        <w:spacing w:line="360" w:lineRule="auto"/>
        <w:ind w:left="120"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中共杭州市上城区委组织部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上城区“数智组工”平台信创提升改造项目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02D9A2">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 上城区“数智组工”平台信创提升改造 ）</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软件和信息技术服务业行业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C63C296">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 上城区“数智组工”平台信创提升改造 ），</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软件和信息技术服务业行业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A2CF12D">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92D086A">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FA8A5C5">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EC598B">
      <w:pPr>
        <w:spacing w:line="360" w:lineRule="auto"/>
        <w:ind w:left="120" w:right="1760" w:firstLine="22"/>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7D3427AC">
      <w:pPr>
        <w:spacing w:line="360" w:lineRule="auto"/>
        <w:ind w:left="120"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4E2ED31">
      <w:pPr>
        <w:spacing w:line="360" w:lineRule="auto"/>
        <w:ind w:left="120"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0B24672">
      <w:pPr>
        <w:spacing w:line="360" w:lineRule="auto"/>
        <w:ind w:left="120" w:right="420" w:firstLine="22"/>
        <w:rPr>
          <w:rFonts w:hint="eastAsia" w:ascii="宋体" w:hAnsi="宋体" w:cs="宋体"/>
          <w:color w:val="auto"/>
          <w:sz w:val="24"/>
          <w:highlight w:val="none"/>
        </w:rPr>
      </w:pPr>
    </w:p>
    <w:p w14:paraId="72454E7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7" w:bottom="1247"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微软雅黑 Light"/>
    <w:panose1 w:val="00000000000000000000"/>
    <w:charset w:val="00"/>
    <w:family w:val="swiss"/>
    <w:pitch w:val="default"/>
    <w:sig w:usb0="00000000" w:usb1="00000000" w:usb2="00000000" w:usb3="00000000" w:csb0="00000011"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
    <w:altName w:val="宋体"/>
    <w:panose1 w:val="00000000000000000000"/>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B4DC">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9048">
    <w:pPr>
      <w:pStyle w:val="40"/>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2E410">
    <w:pPr>
      <w:pStyle w:val="40"/>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23" w:name="_Toc131845147"/>
    <w:bookmarkStart w:id="524" w:name="_Toc91899912"/>
    <w:bookmarkStart w:id="525" w:name="_Toc36110187"/>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FF6B">
    <w:pPr>
      <w:pStyle w:val="40"/>
      <w:framePr w:wrap="around" w:vAnchor="text" w:hAnchor="margin" w:xAlign="right" w:y="1"/>
      <w:ind w:left="120" w:firstLine="360"/>
      <w:rPr>
        <w:rStyle w:val="73"/>
      </w:rPr>
    </w:pPr>
    <w:r>
      <w:fldChar w:fldCharType="begin"/>
    </w:r>
    <w:r>
      <w:rPr>
        <w:rStyle w:val="73"/>
      </w:rPr>
      <w:instrText xml:space="preserve">PAGE  </w:instrText>
    </w:r>
    <w:r>
      <w:fldChar w:fldCharType="end"/>
    </w:r>
  </w:p>
  <w:p w14:paraId="0DEB5F4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51AD">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C1D1">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62656A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244A">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10DEA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05B4">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7B3398C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D24D">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320EA7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5BE5">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5433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13AE">
    <w:pPr>
      <w:pStyle w:val="40"/>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93EBD0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F805">
    <w:pPr>
      <w:pStyle w:val="41"/>
      <w:pBdr>
        <w:bottom w:val="single" w:color="auto" w:sz="6" w:space="4"/>
      </w:pBdr>
      <w:ind w:left="120" w:firstLine="360"/>
      <w:jc w:val="right"/>
    </w:pPr>
    <w:r>
      <w:t></w:t>
    </w:r>
    <w:r>
      <w:rPr>
        <w:rFonts w:hint="eastAsia"/>
      </w:rPr>
      <w:t xml:space="preserve">             </w:t>
    </w:r>
    <w:r>
      <w:t>杭州市政府采购公开采购文件</w:t>
    </w:r>
  </w:p>
  <w:p w14:paraId="6BE4927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1A60">
    <w:pPr>
      <w:pStyle w:val="41"/>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1E11">
    <w:pPr>
      <w:pStyle w:val="41"/>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4F8">
    <w:pPr>
      <w:pStyle w:val="41"/>
      <w:ind w:left="120" w:firstLine="360"/>
      <w:rPr>
        <w:rFonts w:ascii="仿宋_GB2312" w:eastAsia="仿宋_GB2312"/>
        <w:b/>
        <w:i/>
        <w:u w:val="single"/>
      </w:rPr>
    </w:pPr>
    <w:r>
      <w:t></w:t>
    </w:r>
    <w:r>
      <w:rPr>
        <w:rFonts w:hint="eastAsia"/>
      </w:rPr>
      <w:t xml:space="preserve">                                                  </w:t>
    </w:r>
    <w:r>
      <w:t xml:space="preserve">             杭州市政府采购公开采购文件</w:t>
    </w:r>
  </w:p>
  <w:p w14:paraId="4BC6319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EA17">
    <w:pPr>
      <w:pStyle w:val="41"/>
      <w:ind w:left="120" w:firstLine="360"/>
    </w:pPr>
    <w:r>
      <w:t></w:t>
    </w:r>
    <w:r>
      <w:rPr>
        <w:rFonts w:hint="eastAsia"/>
      </w:rPr>
      <w:t xml:space="preserve">         </w:t>
    </w:r>
  </w:p>
  <w:p w14:paraId="332E4B59">
    <w:pPr>
      <w:pStyle w:val="41"/>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522D9">
    <w:pPr>
      <w:pStyle w:val="41"/>
      <w:ind w:left="120" w:firstLine="360"/>
      <w:rPr>
        <w:rFonts w:ascii="仿宋_GB2312" w:eastAsia="仿宋_GB2312"/>
        <w:b/>
        <w:i/>
        <w:u w:val="single"/>
      </w:rPr>
    </w:pPr>
    <w:r>
      <w:t></w:t>
    </w:r>
    <w:r>
      <w:rPr>
        <w:rFonts w:hint="eastAsia"/>
      </w:rPr>
      <w:t xml:space="preserve">                                           </w:t>
    </w:r>
    <w:r>
      <w:t>杭州市政府采购公开采购文件</w:t>
    </w:r>
  </w:p>
  <w:p w14:paraId="7DC6C54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C500">
    <w:pPr>
      <w:pStyle w:val="41"/>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C4EA">
    <w:pPr>
      <w:pStyle w:val="41"/>
      <w:ind w:left="120" w:firstLine="360"/>
      <w:jc w:val="right"/>
      <w:rPr>
        <w:rFonts w:ascii="仿宋_GB2312" w:eastAsia="仿宋_GB2312"/>
        <w:b/>
        <w:i/>
        <w:u w:val="single"/>
      </w:rPr>
    </w:pPr>
    <w:r>
      <w:rPr>
        <w:rFonts w:hint="eastAsia"/>
      </w:rPr>
      <w:t xml:space="preserve">                                  </w:t>
    </w:r>
    <w:r>
      <w:t>杭州市政府采购公开采购文件</w:t>
    </w:r>
  </w:p>
  <w:p w14:paraId="25293E9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1B03A">
    <w:pPr>
      <w:pStyle w:val="41"/>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1FF3">
    <w:pPr>
      <w:pStyle w:val="41"/>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6E4A3"/>
    <w:multiLevelType w:val="singleLevel"/>
    <w:tmpl w:val="B226E4A3"/>
    <w:lvl w:ilvl="0" w:tentative="0">
      <w:start w:val="1"/>
      <w:numFmt w:val="decimalEnclosedCircleChinese"/>
      <w:suff w:val="nothing"/>
      <w:lvlText w:val="%1　"/>
      <w:lvlJc w:val="left"/>
      <w:pPr>
        <w:ind w:left="0" w:firstLine="0"/>
      </w:pPr>
      <w:rPr>
        <w:rFonts w:hint="eastAsia"/>
      </w:rPr>
    </w:lvl>
  </w:abstractNum>
  <w:abstractNum w:abstractNumId="1">
    <w:nsid w:val="B457BCE6"/>
    <w:multiLevelType w:val="singleLevel"/>
    <w:tmpl w:val="B457BCE6"/>
    <w:lvl w:ilvl="0" w:tentative="0">
      <w:start w:val="1"/>
      <w:numFmt w:val="decimalEnclosedCircleChinese"/>
      <w:suff w:val="nothing"/>
      <w:lvlText w:val="%1　"/>
      <w:lvlJc w:val="left"/>
      <w:pPr>
        <w:ind w:left="0" w:firstLine="400"/>
      </w:pPr>
      <w:rPr>
        <w:rFonts w:hint="eastAsia"/>
      </w:rPr>
    </w:lvl>
  </w:abstractNum>
  <w:abstractNum w:abstractNumId="2">
    <w:nsid w:val="CB5C49A3"/>
    <w:multiLevelType w:val="singleLevel"/>
    <w:tmpl w:val="CB5C49A3"/>
    <w:lvl w:ilvl="0" w:tentative="0">
      <w:start w:val="1"/>
      <w:numFmt w:val="decimal"/>
      <w:lvlText w:val="(%1)"/>
      <w:lvlJc w:val="left"/>
      <w:pPr>
        <w:ind w:left="0" w:firstLine="40"/>
      </w:pPr>
      <w:rPr>
        <w:rFonts w:hint="default"/>
      </w:rPr>
    </w:lvl>
  </w:abstractNum>
  <w:abstractNum w:abstractNumId="3">
    <w:nsid w:val="FF4957A7"/>
    <w:multiLevelType w:val="singleLevel"/>
    <w:tmpl w:val="FF4957A7"/>
    <w:lvl w:ilvl="0" w:tentative="0">
      <w:start w:val="1"/>
      <w:numFmt w:val="decimalEnclosedCircleChinese"/>
      <w:suff w:val="nothing"/>
      <w:lvlText w:val="%1　"/>
      <w:lvlJc w:val="left"/>
      <w:pPr>
        <w:ind w:left="0" w:firstLine="0"/>
      </w:pPr>
      <w:rPr>
        <w:rFonts w:hint="eastAsia"/>
      </w:rPr>
    </w:lvl>
  </w:abstractNum>
  <w:abstractNum w:abstractNumId="4">
    <w:nsid w:val="3262CF3C"/>
    <w:multiLevelType w:val="singleLevel"/>
    <w:tmpl w:val="3262CF3C"/>
    <w:lvl w:ilvl="0" w:tentative="0">
      <w:start w:val="1"/>
      <w:numFmt w:val="decimalEnclosedCircleChinese"/>
      <w:suff w:val="nothing"/>
      <w:lvlText w:val="%1　"/>
      <w:lvlJc w:val="left"/>
      <w:pPr>
        <w:ind w:left="0" w:firstLine="400"/>
      </w:pPr>
    </w:lvl>
  </w:abstractNum>
  <w:abstractNum w:abstractNumId="5">
    <w:nsid w:val="3C9A1B97"/>
    <w:multiLevelType w:val="singleLevel"/>
    <w:tmpl w:val="3C9A1B97"/>
    <w:lvl w:ilvl="0" w:tentative="0">
      <w:start w:val="1"/>
      <w:numFmt w:val="decimalEnclosedCircleChinese"/>
      <w:suff w:val="nothing"/>
      <w:lvlText w:val="%1　"/>
      <w:lvlJc w:val="left"/>
      <w:pPr>
        <w:ind w:left="0" w:firstLine="400"/>
      </w:pPr>
    </w:lvl>
  </w:abstractNum>
  <w:abstractNum w:abstractNumId="6">
    <w:nsid w:val="634988CD"/>
    <w:multiLevelType w:val="singleLevel"/>
    <w:tmpl w:val="634988CD"/>
    <w:lvl w:ilvl="0" w:tentative="0">
      <w:start w:val="1"/>
      <w:numFmt w:val="decimal"/>
      <w:lvlText w:val="(%1)"/>
      <w:lvlJc w:val="left"/>
      <w:pPr>
        <w:ind w:left="0" w:firstLine="40"/>
      </w:pPr>
      <w:rPr>
        <w:rFonts w:hint="default"/>
      </w:rPr>
    </w:lvl>
  </w:abstractNum>
  <w:abstractNum w:abstractNumId="7">
    <w:nsid w:val="644963ED"/>
    <w:multiLevelType w:val="singleLevel"/>
    <w:tmpl w:val="644963ED"/>
    <w:lvl w:ilvl="0" w:tentative="0">
      <w:start w:val="1"/>
      <w:numFmt w:val="decimal"/>
      <w:lvlText w:val="(%1)"/>
      <w:lvlJc w:val="left"/>
      <w:pPr>
        <w:ind w:left="0" w:firstLine="40"/>
      </w:pPr>
      <w:rPr>
        <w:rFonts w:hint="default"/>
      </w:rPr>
    </w:lvl>
  </w:abstractNum>
  <w:abstractNum w:abstractNumId="8">
    <w:nsid w:val="65F76C89"/>
    <w:multiLevelType w:val="singleLevel"/>
    <w:tmpl w:val="65F76C89"/>
    <w:lvl w:ilvl="0" w:tentative="0">
      <w:start w:val="1"/>
      <w:numFmt w:val="decimal"/>
      <w:lvlText w:val="(%1)"/>
      <w:lvlJc w:val="left"/>
      <w:pPr>
        <w:ind w:left="0" w:firstLine="40"/>
      </w:pPr>
      <w:rPr>
        <w:rFonts w:hint="default"/>
      </w:rPr>
    </w:lvl>
  </w:abstractNum>
  <w:abstractNum w:abstractNumId="9">
    <w:nsid w:val="6DE7164A"/>
    <w:multiLevelType w:val="multilevel"/>
    <w:tmpl w:val="6DE7164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21E31C4"/>
    <w:multiLevelType w:val="singleLevel"/>
    <w:tmpl w:val="721E31C4"/>
    <w:lvl w:ilvl="0" w:tentative="0">
      <w:start w:val="1"/>
      <w:numFmt w:val="decimal"/>
      <w:lvlText w:val="(%1)"/>
      <w:lvlJc w:val="left"/>
      <w:pPr>
        <w:ind w:left="425" w:hanging="425"/>
      </w:pPr>
      <w:rPr>
        <w:rFonts w:hint="default"/>
      </w:rPr>
    </w:lvl>
  </w:abstractNum>
  <w:num w:numId="1">
    <w:abstractNumId w:val="10"/>
  </w:num>
  <w:num w:numId="2">
    <w:abstractNumId w:val="4"/>
    <w:lvlOverride w:ilvl="0">
      <w:startOverride w:val="1"/>
    </w:lvlOverride>
  </w:num>
  <w:num w:numId="3">
    <w:abstractNumId w:val="8"/>
    <w:lvlOverride w:ilvl="0">
      <w:startOverride w:val="1"/>
    </w:lvlOverride>
  </w:num>
  <w:num w:numId="4">
    <w:abstractNumId w:val="7"/>
  </w:num>
  <w:num w:numId="5">
    <w:abstractNumId w:val="2"/>
  </w:num>
  <w:num w:numId="6">
    <w:abstractNumId w:val="6"/>
  </w:num>
  <w:num w:numId="7">
    <w:abstractNumId w:val="0"/>
  </w:num>
  <w:num w:numId="8">
    <w:abstractNumId w:val="3"/>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cumentProtection w:edit="readOnly" w:enforcement="1" w:cryptProviderType="rsaFull" w:cryptAlgorithmClass="hash" w:cryptAlgorithmType="typeAny" w:cryptAlgorithmSid="4" w:cryptSpinCount="0" w:hash="yCDGNy8D2J6gRyUvpd9bp6OnGqY=" w:salt="tYjnxAQGwpWb7GHVJN0uIw=="/>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MzJhNjE0NzE5YjI4ZTk4MmM0YmM2MDAzMzM5MjkifQ=="/>
  </w:docVars>
  <w:rsids>
    <w:rsidRoot w:val="00172A27"/>
    <w:rsid w:val="00000451"/>
    <w:rsid w:val="0000108B"/>
    <w:rsid w:val="00001121"/>
    <w:rsid w:val="0000133D"/>
    <w:rsid w:val="00001509"/>
    <w:rsid w:val="00001E3F"/>
    <w:rsid w:val="000021DA"/>
    <w:rsid w:val="00002A57"/>
    <w:rsid w:val="000032B2"/>
    <w:rsid w:val="0000363B"/>
    <w:rsid w:val="00003642"/>
    <w:rsid w:val="0000367C"/>
    <w:rsid w:val="000058BD"/>
    <w:rsid w:val="00006109"/>
    <w:rsid w:val="00006150"/>
    <w:rsid w:val="000063E8"/>
    <w:rsid w:val="00006725"/>
    <w:rsid w:val="0000675E"/>
    <w:rsid w:val="00006AF1"/>
    <w:rsid w:val="000071E3"/>
    <w:rsid w:val="00007CAA"/>
    <w:rsid w:val="00010FE9"/>
    <w:rsid w:val="0001122F"/>
    <w:rsid w:val="00011A4B"/>
    <w:rsid w:val="00012251"/>
    <w:rsid w:val="000123DE"/>
    <w:rsid w:val="00012B4A"/>
    <w:rsid w:val="00013208"/>
    <w:rsid w:val="0001337C"/>
    <w:rsid w:val="000138C4"/>
    <w:rsid w:val="00013C1F"/>
    <w:rsid w:val="00013F31"/>
    <w:rsid w:val="000140D8"/>
    <w:rsid w:val="00014530"/>
    <w:rsid w:val="0001475C"/>
    <w:rsid w:val="00014BBC"/>
    <w:rsid w:val="000150EE"/>
    <w:rsid w:val="00015DF8"/>
    <w:rsid w:val="000168D8"/>
    <w:rsid w:val="000170C8"/>
    <w:rsid w:val="000173F4"/>
    <w:rsid w:val="00017985"/>
    <w:rsid w:val="000200C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C"/>
    <w:rsid w:val="000341CA"/>
    <w:rsid w:val="00034FA7"/>
    <w:rsid w:val="0003533D"/>
    <w:rsid w:val="000357E4"/>
    <w:rsid w:val="00035ACA"/>
    <w:rsid w:val="00036FA7"/>
    <w:rsid w:val="00037C7E"/>
    <w:rsid w:val="00040447"/>
    <w:rsid w:val="00040494"/>
    <w:rsid w:val="00040611"/>
    <w:rsid w:val="00040B70"/>
    <w:rsid w:val="00042441"/>
    <w:rsid w:val="00042533"/>
    <w:rsid w:val="00042D9E"/>
    <w:rsid w:val="00042DBB"/>
    <w:rsid w:val="00042E65"/>
    <w:rsid w:val="0004347C"/>
    <w:rsid w:val="00043907"/>
    <w:rsid w:val="00044EE8"/>
    <w:rsid w:val="00044F48"/>
    <w:rsid w:val="000450C2"/>
    <w:rsid w:val="00045B91"/>
    <w:rsid w:val="00047354"/>
    <w:rsid w:val="000504A9"/>
    <w:rsid w:val="00050656"/>
    <w:rsid w:val="00050766"/>
    <w:rsid w:val="00050A19"/>
    <w:rsid w:val="000511B6"/>
    <w:rsid w:val="00051750"/>
    <w:rsid w:val="00051B00"/>
    <w:rsid w:val="00051C72"/>
    <w:rsid w:val="00051E1D"/>
    <w:rsid w:val="00052192"/>
    <w:rsid w:val="0005238F"/>
    <w:rsid w:val="00052787"/>
    <w:rsid w:val="00052BB8"/>
    <w:rsid w:val="0005417A"/>
    <w:rsid w:val="00054D39"/>
    <w:rsid w:val="00054FCC"/>
    <w:rsid w:val="0005501B"/>
    <w:rsid w:val="000550F5"/>
    <w:rsid w:val="00055337"/>
    <w:rsid w:val="000554C7"/>
    <w:rsid w:val="000559B0"/>
    <w:rsid w:val="00056145"/>
    <w:rsid w:val="00056402"/>
    <w:rsid w:val="0005677F"/>
    <w:rsid w:val="00056791"/>
    <w:rsid w:val="00056868"/>
    <w:rsid w:val="00056876"/>
    <w:rsid w:val="000568DF"/>
    <w:rsid w:val="00056D5F"/>
    <w:rsid w:val="000578A3"/>
    <w:rsid w:val="000579DD"/>
    <w:rsid w:val="00057D4C"/>
    <w:rsid w:val="00060C48"/>
    <w:rsid w:val="0006148B"/>
    <w:rsid w:val="00061A3C"/>
    <w:rsid w:val="00061C48"/>
    <w:rsid w:val="00061DCC"/>
    <w:rsid w:val="0006256D"/>
    <w:rsid w:val="00062B7B"/>
    <w:rsid w:val="00064278"/>
    <w:rsid w:val="000646CA"/>
    <w:rsid w:val="00064D0B"/>
    <w:rsid w:val="000665C4"/>
    <w:rsid w:val="00066965"/>
    <w:rsid w:val="00067821"/>
    <w:rsid w:val="0006785E"/>
    <w:rsid w:val="00067AFB"/>
    <w:rsid w:val="00067DAD"/>
    <w:rsid w:val="00067F92"/>
    <w:rsid w:val="00067FA7"/>
    <w:rsid w:val="0007038E"/>
    <w:rsid w:val="0007077C"/>
    <w:rsid w:val="00070825"/>
    <w:rsid w:val="00070D3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93"/>
    <w:rsid w:val="00077577"/>
    <w:rsid w:val="00077607"/>
    <w:rsid w:val="00077756"/>
    <w:rsid w:val="00077B7F"/>
    <w:rsid w:val="000808C1"/>
    <w:rsid w:val="00080970"/>
    <w:rsid w:val="00081671"/>
    <w:rsid w:val="000816D5"/>
    <w:rsid w:val="0008189F"/>
    <w:rsid w:val="0008237F"/>
    <w:rsid w:val="00082AD4"/>
    <w:rsid w:val="00083E07"/>
    <w:rsid w:val="00084A3E"/>
    <w:rsid w:val="00084D27"/>
    <w:rsid w:val="00084ED6"/>
    <w:rsid w:val="00085391"/>
    <w:rsid w:val="000853C3"/>
    <w:rsid w:val="0008580E"/>
    <w:rsid w:val="00085A0E"/>
    <w:rsid w:val="00085C4F"/>
    <w:rsid w:val="000866B4"/>
    <w:rsid w:val="00086D22"/>
    <w:rsid w:val="00086EFD"/>
    <w:rsid w:val="00086F8A"/>
    <w:rsid w:val="00087031"/>
    <w:rsid w:val="00087A16"/>
    <w:rsid w:val="00090243"/>
    <w:rsid w:val="000904F6"/>
    <w:rsid w:val="00090918"/>
    <w:rsid w:val="00090ED8"/>
    <w:rsid w:val="00090F9F"/>
    <w:rsid w:val="00091456"/>
    <w:rsid w:val="0009145F"/>
    <w:rsid w:val="0009184E"/>
    <w:rsid w:val="00091B4E"/>
    <w:rsid w:val="00091FFC"/>
    <w:rsid w:val="00092467"/>
    <w:rsid w:val="00092FE9"/>
    <w:rsid w:val="000936BF"/>
    <w:rsid w:val="0009382F"/>
    <w:rsid w:val="00093A30"/>
    <w:rsid w:val="00094342"/>
    <w:rsid w:val="000945BA"/>
    <w:rsid w:val="00095954"/>
    <w:rsid w:val="00095B3E"/>
    <w:rsid w:val="000960BA"/>
    <w:rsid w:val="000965D7"/>
    <w:rsid w:val="0009662A"/>
    <w:rsid w:val="0009690D"/>
    <w:rsid w:val="00096DFF"/>
    <w:rsid w:val="0009776E"/>
    <w:rsid w:val="00097CDB"/>
    <w:rsid w:val="000A0729"/>
    <w:rsid w:val="000A08A2"/>
    <w:rsid w:val="000A0E69"/>
    <w:rsid w:val="000A1A52"/>
    <w:rsid w:val="000A1F98"/>
    <w:rsid w:val="000A3D58"/>
    <w:rsid w:val="000A3FE3"/>
    <w:rsid w:val="000A47B0"/>
    <w:rsid w:val="000A4851"/>
    <w:rsid w:val="000A49BB"/>
    <w:rsid w:val="000A4F22"/>
    <w:rsid w:val="000A5674"/>
    <w:rsid w:val="000A5A46"/>
    <w:rsid w:val="000A7299"/>
    <w:rsid w:val="000A752E"/>
    <w:rsid w:val="000B0B6A"/>
    <w:rsid w:val="000B0E04"/>
    <w:rsid w:val="000B1D51"/>
    <w:rsid w:val="000B268D"/>
    <w:rsid w:val="000B291B"/>
    <w:rsid w:val="000B372E"/>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44"/>
    <w:rsid w:val="000C51AD"/>
    <w:rsid w:val="000C5374"/>
    <w:rsid w:val="000C54B6"/>
    <w:rsid w:val="000C5EC0"/>
    <w:rsid w:val="000C6162"/>
    <w:rsid w:val="000C64CC"/>
    <w:rsid w:val="000C6688"/>
    <w:rsid w:val="000C692E"/>
    <w:rsid w:val="000C6B28"/>
    <w:rsid w:val="000C7BEB"/>
    <w:rsid w:val="000D0124"/>
    <w:rsid w:val="000D0EFB"/>
    <w:rsid w:val="000D11E5"/>
    <w:rsid w:val="000D19E8"/>
    <w:rsid w:val="000D1FA1"/>
    <w:rsid w:val="000D2834"/>
    <w:rsid w:val="000D2CAC"/>
    <w:rsid w:val="000D34C8"/>
    <w:rsid w:val="000D34FD"/>
    <w:rsid w:val="000D3BE5"/>
    <w:rsid w:val="000D3C37"/>
    <w:rsid w:val="000D453A"/>
    <w:rsid w:val="000D4AFA"/>
    <w:rsid w:val="000D5264"/>
    <w:rsid w:val="000D5EA6"/>
    <w:rsid w:val="000D5F00"/>
    <w:rsid w:val="000D6C9F"/>
    <w:rsid w:val="000D6E3B"/>
    <w:rsid w:val="000D6F30"/>
    <w:rsid w:val="000D74E4"/>
    <w:rsid w:val="000D7C9D"/>
    <w:rsid w:val="000D7CE0"/>
    <w:rsid w:val="000E19B1"/>
    <w:rsid w:val="000E2785"/>
    <w:rsid w:val="000E27BB"/>
    <w:rsid w:val="000E3153"/>
    <w:rsid w:val="000E329B"/>
    <w:rsid w:val="000E3484"/>
    <w:rsid w:val="000E386F"/>
    <w:rsid w:val="000E3A51"/>
    <w:rsid w:val="000E4051"/>
    <w:rsid w:val="000E4139"/>
    <w:rsid w:val="000E4765"/>
    <w:rsid w:val="000E5B51"/>
    <w:rsid w:val="000E5B7E"/>
    <w:rsid w:val="000E5F26"/>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B7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98"/>
    <w:rsid w:val="001045FF"/>
    <w:rsid w:val="00104699"/>
    <w:rsid w:val="00104E5B"/>
    <w:rsid w:val="00104EEC"/>
    <w:rsid w:val="001050DC"/>
    <w:rsid w:val="001053D4"/>
    <w:rsid w:val="00105482"/>
    <w:rsid w:val="001056A5"/>
    <w:rsid w:val="00105BA9"/>
    <w:rsid w:val="00105FE1"/>
    <w:rsid w:val="00106AAA"/>
    <w:rsid w:val="00106E0E"/>
    <w:rsid w:val="001078A5"/>
    <w:rsid w:val="00107BBD"/>
    <w:rsid w:val="00107BC7"/>
    <w:rsid w:val="00107F40"/>
    <w:rsid w:val="00110033"/>
    <w:rsid w:val="001102B5"/>
    <w:rsid w:val="00110B08"/>
    <w:rsid w:val="00110F57"/>
    <w:rsid w:val="00111993"/>
    <w:rsid w:val="00111C7D"/>
    <w:rsid w:val="00112038"/>
    <w:rsid w:val="0011235D"/>
    <w:rsid w:val="001127FF"/>
    <w:rsid w:val="00112B0B"/>
    <w:rsid w:val="00112EB5"/>
    <w:rsid w:val="0011383E"/>
    <w:rsid w:val="00113EE3"/>
    <w:rsid w:val="00114847"/>
    <w:rsid w:val="0011585B"/>
    <w:rsid w:val="00115B1A"/>
    <w:rsid w:val="001160FF"/>
    <w:rsid w:val="001164F4"/>
    <w:rsid w:val="001168F8"/>
    <w:rsid w:val="001176FF"/>
    <w:rsid w:val="00121471"/>
    <w:rsid w:val="0012153F"/>
    <w:rsid w:val="0012159D"/>
    <w:rsid w:val="00121804"/>
    <w:rsid w:val="00121D07"/>
    <w:rsid w:val="00121EC9"/>
    <w:rsid w:val="00121F0F"/>
    <w:rsid w:val="001224FE"/>
    <w:rsid w:val="001231D3"/>
    <w:rsid w:val="001232A7"/>
    <w:rsid w:val="00123F7C"/>
    <w:rsid w:val="0012419E"/>
    <w:rsid w:val="001248EF"/>
    <w:rsid w:val="00124A29"/>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110"/>
    <w:rsid w:val="00136762"/>
    <w:rsid w:val="00136829"/>
    <w:rsid w:val="00136E33"/>
    <w:rsid w:val="0013773D"/>
    <w:rsid w:val="001400FE"/>
    <w:rsid w:val="0014042F"/>
    <w:rsid w:val="00140693"/>
    <w:rsid w:val="00140D7A"/>
    <w:rsid w:val="00141D28"/>
    <w:rsid w:val="00141DFE"/>
    <w:rsid w:val="00142185"/>
    <w:rsid w:val="001422E2"/>
    <w:rsid w:val="001433BC"/>
    <w:rsid w:val="00143872"/>
    <w:rsid w:val="00143A85"/>
    <w:rsid w:val="00144649"/>
    <w:rsid w:val="001449D5"/>
    <w:rsid w:val="00145022"/>
    <w:rsid w:val="00145662"/>
    <w:rsid w:val="00145C6D"/>
    <w:rsid w:val="001460FC"/>
    <w:rsid w:val="00146151"/>
    <w:rsid w:val="00146326"/>
    <w:rsid w:val="00147032"/>
    <w:rsid w:val="00147EA7"/>
    <w:rsid w:val="00151820"/>
    <w:rsid w:val="00151B2F"/>
    <w:rsid w:val="001524DC"/>
    <w:rsid w:val="001525E5"/>
    <w:rsid w:val="001536A6"/>
    <w:rsid w:val="00153859"/>
    <w:rsid w:val="00153915"/>
    <w:rsid w:val="001539F0"/>
    <w:rsid w:val="00154A2F"/>
    <w:rsid w:val="00154BBA"/>
    <w:rsid w:val="00155550"/>
    <w:rsid w:val="00155B95"/>
    <w:rsid w:val="00156853"/>
    <w:rsid w:val="00157432"/>
    <w:rsid w:val="001604BC"/>
    <w:rsid w:val="00160A84"/>
    <w:rsid w:val="00161185"/>
    <w:rsid w:val="001620BA"/>
    <w:rsid w:val="001623AC"/>
    <w:rsid w:val="00162BAA"/>
    <w:rsid w:val="00163C40"/>
    <w:rsid w:val="0016470A"/>
    <w:rsid w:val="0016488B"/>
    <w:rsid w:val="0016519D"/>
    <w:rsid w:val="00165758"/>
    <w:rsid w:val="00165A65"/>
    <w:rsid w:val="00166317"/>
    <w:rsid w:val="00167478"/>
    <w:rsid w:val="00167594"/>
    <w:rsid w:val="001702BE"/>
    <w:rsid w:val="001704B3"/>
    <w:rsid w:val="0017059C"/>
    <w:rsid w:val="0017105C"/>
    <w:rsid w:val="00171357"/>
    <w:rsid w:val="00171622"/>
    <w:rsid w:val="00171785"/>
    <w:rsid w:val="00171A15"/>
    <w:rsid w:val="00171AB5"/>
    <w:rsid w:val="0017204F"/>
    <w:rsid w:val="001721CF"/>
    <w:rsid w:val="001723D6"/>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626"/>
    <w:rsid w:val="00176AA6"/>
    <w:rsid w:val="00177063"/>
    <w:rsid w:val="0018099E"/>
    <w:rsid w:val="00180A47"/>
    <w:rsid w:val="00181025"/>
    <w:rsid w:val="001827A6"/>
    <w:rsid w:val="001827B7"/>
    <w:rsid w:val="001827EF"/>
    <w:rsid w:val="00182859"/>
    <w:rsid w:val="00182982"/>
    <w:rsid w:val="001829BC"/>
    <w:rsid w:val="00182D68"/>
    <w:rsid w:val="00183031"/>
    <w:rsid w:val="00183468"/>
    <w:rsid w:val="0018397E"/>
    <w:rsid w:val="00184466"/>
    <w:rsid w:val="00184524"/>
    <w:rsid w:val="00184DBF"/>
    <w:rsid w:val="00184F41"/>
    <w:rsid w:val="001852A8"/>
    <w:rsid w:val="0018620A"/>
    <w:rsid w:val="00186EB0"/>
    <w:rsid w:val="00187121"/>
    <w:rsid w:val="00187243"/>
    <w:rsid w:val="001876CC"/>
    <w:rsid w:val="00187C03"/>
    <w:rsid w:val="00187C29"/>
    <w:rsid w:val="00190782"/>
    <w:rsid w:val="00190942"/>
    <w:rsid w:val="001909A7"/>
    <w:rsid w:val="001909C3"/>
    <w:rsid w:val="00191459"/>
    <w:rsid w:val="00191603"/>
    <w:rsid w:val="0019173E"/>
    <w:rsid w:val="0019174E"/>
    <w:rsid w:val="0019196B"/>
    <w:rsid w:val="0019220A"/>
    <w:rsid w:val="001923D5"/>
    <w:rsid w:val="00192991"/>
    <w:rsid w:val="00193470"/>
    <w:rsid w:val="00193943"/>
    <w:rsid w:val="00193B94"/>
    <w:rsid w:val="001940A7"/>
    <w:rsid w:val="0019497A"/>
    <w:rsid w:val="00194B77"/>
    <w:rsid w:val="00194BB1"/>
    <w:rsid w:val="00194BC6"/>
    <w:rsid w:val="00194DE5"/>
    <w:rsid w:val="00195070"/>
    <w:rsid w:val="00195245"/>
    <w:rsid w:val="0019526D"/>
    <w:rsid w:val="001952E0"/>
    <w:rsid w:val="0019553F"/>
    <w:rsid w:val="001956BE"/>
    <w:rsid w:val="0019602C"/>
    <w:rsid w:val="00196250"/>
    <w:rsid w:val="001969F2"/>
    <w:rsid w:val="00196CD6"/>
    <w:rsid w:val="0019756A"/>
    <w:rsid w:val="001A06B5"/>
    <w:rsid w:val="001A07F8"/>
    <w:rsid w:val="001A0A23"/>
    <w:rsid w:val="001A0C98"/>
    <w:rsid w:val="001A0F51"/>
    <w:rsid w:val="001A10B7"/>
    <w:rsid w:val="001A128B"/>
    <w:rsid w:val="001A131C"/>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CC"/>
    <w:rsid w:val="001B1C1F"/>
    <w:rsid w:val="001B219B"/>
    <w:rsid w:val="001B2703"/>
    <w:rsid w:val="001B2A88"/>
    <w:rsid w:val="001B2C2F"/>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B7E5E"/>
    <w:rsid w:val="001C08DB"/>
    <w:rsid w:val="001C10BD"/>
    <w:rsid w:val="001C1F01"/>
    <w:rsid w:val="001C2092"/>
    <w:rsid w:val="001C232F"/>
    <w:rsid w:val="001C2544"/>
    <w:rsid w:val="001C2A17"/>
    <w:rsid w:val="001C2A3E"/>
    <w:rsid w:val="001C31F5"/>
    <w:rsid w:val="001C35BF"/>
    <w:rsid w:val="001C512F"/>
    <w:rsid w:val="001C6047"/>
    <w:rsid w:val="001C6698"/>
    <w:rsid w:val="001C6C5B"/>
    <w:rsid w:val="001C7399"/>
    <w:rsid w:val="001C78B0"/>
    <w:rsid w:val="001C7CE0"/>
    <w:rsid w:val="001D005B"/>
    <w:rsid w:val="001D0947"/>
    <w:rsid w:val="001D16F5"/>
    <w:rsid w:val="001D1970"/>
    <w:rsid w:val="001D1D55"/>
    <w:rsid w:val="001D21EF"/>
    <w:rsid w:val="001D29A4"/>
    <w:rsid w:val="001D2B73"/>
    <w:rsid w:val="001D3136"/>
    <w:rsid w:val="001D330D"/>
    <w:rsid w:val="001D3458"/>
    <w:rsid w:val="001D4AB6"/>
    <w:rsid w:val="001D4AD3"/>
    <w:rsid w:val="001D4B1D"/>
    <w:rsid w:val="001D5281"/>
    <w:rsid w:val="001D60DB"/>
    <w:rsid w:val="001D6BDF"/>
    <w:rsid w:val="001E0A78"/>
    <w:rsid w:val="001E0AF4"/>
    <w:rsid w:val="001E0F77"/>
    <w:rsid w:val="001E17E3"/>
    <w:rsid w:val="001E2052"/>
    <w:rsid w:val="001E2492"/>
    <w:rsid w:val="001E257C"/>
    <w:rsid w:val="001E286C"/>
    <w:rsid w:val="001E2F34"/>
    <w:rsid w:val="001E2F89"/>
    <w:rsid w:val="001E35EE"/>
    <w:rsid w:val="001E4B2C"/>
    <w:rsid w:val="001E507F"/>
    <w:rsid w:val="001E56C2"/>
    <w:rsid w:val="001E59FB"/>
    <w:rsid w:val="001E7F81"/>
    <w:rsid w:val="001F0FD1"/>
    <w:rsid w:val="001F1526"/>
    <w:rsid w:val="001F19D1"/>
    <w:rsid w:val="001F1CB9"/>
    <w:rsid w:val="001F1F18"/>
    <w:rsid w:val="001F2F92"/>
    <w:rsid w:val="001F4390"/>
    <w:rsid w:val="001F456F"/>
    <w:rsid w:val="001F5DA1"/>
    <w:rsid w:val="001F612E"/>
    <w:rsid w:val="001F6A92"/>
    <w:rsid w:val="001F77E8"/>
    <w:rsid w:val="00201A0C"/>
    <w:rsid w:val="00201B0F"/>
    <w:rsid w:val="00201FF0"/>
    <w:rsid w:val="0020255A"/>
    <w:rsid w:val="00202800"/>
    <w:rsid w:val="002029C7"/>
    <w:rsid w:val="00202D33"/>
    <w:rsid w:val="00202E58"/>
    <w:rsid w:val="00202F99"/>
    <w:rsid w:val="002035B7"/>
    <w:rsid w:val="00203C85"/>
    <w:rsid w:val="0020449A"/>
    <w:rsid w:val="00204B05"/>
    <w:rsid w:val="00204E9B"/>
    <w:rsid w:val="00205298"/>
    <w:rsid w:val="002055C0"/>
    <w:rsid w:val="0020569E"/>
    <w:rsid w:val="00206698"/>
    <w:rsid w:val="00206736"/>
    <w:rsid w:val="00206C88"/>
    <w:rsid w:val="00210B9C"/>
    <w:rsid w:val="00211185"/>
    <w:rsid w:val="00211513"/>
    <w:rsid w:val="00211A94"/>
    <w:rsid w:val="002126F2"/>
    <w:rsid w:val="00213478"/>
    <w:rsid w:val="00214028"/>
    <w:rsid w:val="002141C3"/>
    <w:rsid w:val="002141DC"/>
    <w:rsid w:val="0021440C"/>
    <w:rsid w:val="00214479"/>
    <w:rsid w:val="00214493"/>
    <w:rsid w:val="002144F3"/>
    <w:rsid w:val="002146C3"/>
    <w:rsid w:val="00215334"/>
    <w:rsid w:val="00215514"/>
    <w:rsid w:val="0021578B"/>
    <w:rsid w:val="00215A2A"/>
    <w:rsid w:val="00215A3F"/>
    <w:rsid w:val="00215BE8"/>
    <w:rsid w:val="00215D21"/>
    <w:rsid w:val="0021636B"/>
    <w:rsid w:val="00216387"/>
    <w:rsid w:val="00216E7B"/>
    <w:rsid w:val="00217E1F"/>
    <w:rsid w:val="002204BC"/>
    <w:rsid w:val="00220F7B"/>
    <w:rsid w:val="002213CE"/>
    <w:rsid w:val="00221AF7"/>
    <w:rsid w:val="00222494"/>
    <w:rsid w:val="00222775"/>
    <w:rsid w:val="00222A31"/>
    <w:rsid w:val="00222CF6"/>
    <w:rsid w:val="00223E7A"/>
    <w:rsid w:val="00224037"/>
    <w:rsid w:val="002244E4"/>
    <w:rsid w:val="00224D2A"/>
    <w:rsid w:val="00224D8D"/>
    <w:rsid w:val="0022555A"/>
    <w:rsid w:val="00226A6F"/>
    <w:rsid w:val="00227214"/>
    <w:rsid w:val="00227DDC"/>
    <w:rsid w:val="0023079F"/>
    <w:rsid w:val="00230824"/>
    <w:rsid w:val="00231135"/>
    <w:rsid w:val="00231B0B"/>
    <w:rsid w:val="00232555"/>
    <w:rsid w:val="00232F3B"/>
    <w:rsid w:val="002331AA"/>
    <w:rsid w:val="0023324F"/>
    <w:rsid w:val="00233538"/>
    <w:rsid w:val="00234248"/>
    <w:rsid w:val="0023449F"/>
    <w:rsid w:val="002344F5"/>
    <w:rsid w:val="0023454D"/>
    <w:rsid w:val="00234679"/>
    <w:rsid w:val="00235535"/>
    <w:rsid w:val="002359FC"/>
    <w:rsid w:val="002361C8"/>
    <w:rsid w:val="00236690"/>
    <w:rsid w:val="0023669D"/>
    <w:rsid w:val="00237EAE"/>
    <w:rsid w:val="00237FA2"/>
    <w:rsid w:val="002403D5"/>
    <w:rsid w:val="00240C1F"/>
    <w:rsid w:val="00240F55"/>
    <w:rsid w:val="00240F67"/>
    <w:rsid w:val="00241144"/>
    <w:rsid w:val="002423E4"/>
    <w:rsid w:val="00242510"/>
    <w:rsid w:val="00242ABB"/>
    <w:rsid w:val="00242F79"/>
    <w:rsid w:val="0024415B"/>
    <w:rsid w:val="0024436D"/>
    <w:rsid w:val="00245135"/>
    <w:rsid w:val="00245565"/>
    <w:rsid w:val="002458C1"/>
    <w:rsid w:val="00245E62"/>
    <w:rsid w:val="002460D0"/>
    <w:rsid w:val="00246357"/>
    <w:rsid w:val="00246E10"/>
    <w:rsid w:val="00247422"/>
    <w:rsid w:val="00247BA2"/>
    <w:rsid w:val="00250870"/>
    <w:rsid w:val="00250F48"/>
    <w:rsid w:val="00251333"/>
    <w:rsid w:val="0025151C"/>
    <w:rsid w:val="0025184F"/>
    <w:rsid w:val="00251967"/>
    <w:rsid w:val="002527CC"/>
    <w:rsid w:val="00252F48"/>
    <w:rsid w:val="002530C0"/>
    <w:rsid w:val="00253586"/>
    <w:rsid w:val="002537FC"/>
    <w:rsid w:val="002542CE"/>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1F65"/>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B1F"/>
    <w:rsid w:val="00273C5F"/>
    <w:rsid w:val="002741D4"/>
    <w:rsid w:val="002743AC"/>
    <w:rsid w:val="0027499D"/>
    <w:rsid w:val="00274A56"/>
    <w:rsid w:val="002751CA"/>
    <w:rsid w:val="0027544D"/>
    <w:rsid w:val="00275D6E"/>
    <w:rsid w:val="00277196"/>
    <w:rsid w:val="002775ED"/>
    <w:rsid w:val="002778AB"/>
    <w:rsid w:val="00277917"/>
    <w:rsid w:val="00277929"/>
    <w:rsid w:val="002802A5"/>
    <w:rsid w:val="00280CFB"/>
    <w:rsid w:val="00280D24"/>
    <w:rsid w:val="002815C4"/>
    <w:rsid w:val="00281BCB"/>
    <w:rsid w:val="00281C76"/>
    <w:rsid w:val="0028316D"/>
    <w:rsid w:val="00283296"/>
    <w:rsid w:val="00285776"/>
    <w:rsid w:val="0028583E"/>
    <w:rsid w:val="00285853"/>
    <w:rsid w:val="00285B1A"/>
    <w:rsid w:val="00285FF3"/>
    <w:rsid w:val="002866EC"/>
    <w:rsid w:val="0028744E"/>
    <w:rsid w:val="002876D2"/>
    <w:rsid w:val="00287936"/>
    <w:rsid w:val="00287BB7"/>
    <w:rsid w:val="0029014F"/>
    <w:rsid w:val="002903C5"/>
    <w:rsid w:val="0029041B"/>
    <w:rsid w:val="00290A99"/>
    <w:rsid w:val="00290EAF"/>
    <w:rsid w:val="0029159A"/>
    <w:rsid w:val="00291CF1"/>
    <w:rsid w:val="00292AA1"/>
    <w:rsid w:val="00293635"/>
    <w:rsid w:val="00294012"/>
    <w:rsid w:val="002945B0"/>
    <w:rsid w:val="0029499D"/>
    <w:rsid w:val="00294A13"/>
    <w:rsid w:val="00294B10"/>
    <w:rsid w:val="00294DF9"/>
    <w:rsid w:val="00295073"/>
    <w:rsid w:val="00295468"/>
    <w:rsid w:val="00296C32"/>
    <w:rsid w:val="002977CE"/>
    <w:rsid w:val="00297AF5"/>
    <w:rsid w:val="00297B5A"/>
    <w:rsid w:val="002A02D6"/>
    <w:rsid w:val="002A07C4"/>
    <w:rsid w:val="002A0921"/>
    <w:rsid w:val="002A0CB3"/>
    <w:rsid w:val="002A174A"/>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B00"/>
    <w:rsid w:val="002A70AD"/>
    <w:rsid w:val="002A7748"/>
    <w:rsid w:val="002A7ED3"/>
    <w:rsid w:val="002A7FB1"/>
    <w:rsid w:val="002A7FC9"/>
    <w:rsid w:val="002B0779"/>
    <w:rsid w:val="002B139C"/>
    <w:rsid w:val="002B1881"/>
    <w:rsid w:val="002B1F61"/>
    <w:rsid w:val="002B2070"/>
    <w:rsid w:val="002B28ED"/>
    <w:rsid w:val="002B2906"/>
    <w:rsid w:val="002B2C66"/>
    <w:rsid w:val="002B34E3"/>
    <w:rsid w:val="002B3B08"/>
    <w:rsid w:val="002B51B6"/>
    <w:rsid w:val="002B52DA"/>
    <w:rsid w:val="002B5AEE"/>
    <w:rsid w:val="002B6177"/>
    <w:rsid w:val="002B642C"/>
    <w:rsid w:val="002B650C"/>
    <w:rsid w:val="002B68AB"/>
    <w:rsid w:val="002B68E6"/>
    <w:rsid w:val="002B6985"/>
    <w:rsid w:val="002B6C26"/>
    <w:rsid w:val="002B6D7A"/>
    <w:rsid w:val="002B7CA7"/>
    <w:rsid w:val="002C02BA"/>
    <w:rsid w:val="002C0301"/>
    <w:rsid w:val="002C0326"/>
    <w:rsid w:val="002C0A9F"/>
    <w:rsid w:val="002C1AB3"/>
    <w:rsid w:val="002C1BB7"/>
    <w:rsid w:val="002C1FB3"/>
    <w:rsid w:val="002C25E8"/>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29"/>
    <w:rsid w:val="002D2CD6"/>
    <w:rsid w:val="002D2F81"/>
    <w:rsid w:val="002D38A3"/>
    <w:rsid w:val="002D3BA3"/>
    <w:rsid w:val="002D3EDF"/>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03"/>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760"/>
    <w:rsid w:val="002E6853"/>
    <w:rsid w:val="002E7EC1"/>
    <w:rsid w:val="002E7EE5"/>
    <w:rsid w:val="002F0323"/>
    <w:rsid w:val="002F0B0F"/>
    <w:rsid w:val="002F0DFB"/>
    <w:rsid w:val="002F134F"/>
    <w:rsid w:val="002F1D0B"/>
    <w:rsid w:val="002F1E1D"/>
    <w:rsid w:val="002F1F02"/>
    <w:rsid w:val="002F2380"/>
    <w:rsid w:val="002F27E5"/>
    <w:rsid w:val="002F2D81"/>
    <w:rsid w:val="002F2F66"/>
    <w:rsid w:val="002F39D4"/>
    <w:rsid w:val="002F4071"/>
    <w:rsid w:val="002F4BA9"/>
    <w:rsid w:val="002F4D28"/>
    <w:rsid w:val="002F51C2"/>
    <w:rsid w:val="002F541B"/>
    <w:rsid w:val="002F5BFE"/>
    <w:rsid w:val="002F5DA5"/>
    <w:rsid w:val="002F5E17"/>
    <w:rsid w:val="002F647C"/>
    <w:rsid w:val="002F6C6B"/>
    <w:rsid w:val="002F6CB0"/>
    <w:rsid w:val="002F6EFF"/>
    <w:rsid w:val="002F72B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35F"/>
    <w:rsid w:val="0031752D"/>
    <w:rsid w:val="00317709"/>
    <w:rsid w:val="00320688"/>
    <w:rsid w:val="00320B75"/>
    <w:rsid w:val="00321805"/>
    <w:rsid w:val="00321DB7"/>
    <w:rsid w:val="00321E7A"/>
    <w:rsid w:val="0032226D"/>
    <w:rsid w:val="003235E6"/>
    <w:rsid w:val="00324038"/>
    <w:rsid w:val="00324951"/>
    <w:rsid w:val="003249D8"/>
    <w:rsid w:val="003249F6"/>
    <w:rsid w:val="00324B2F"/>
    <w:rsid w:val="0032529F"/>
    <w:rsid w:val="00325DA4"/>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5572"/>
    <w:rsid w:val="003360AD"/>
    <w:rsid w:val="0033631D"/>
    <w:rsid w:val="003369C7"/>
    <w:rsid w:val="003373A6"/>
    <w:rsid w:val="00337409"/>
    <w:rsid w:val="00337E18"/>
    <w:rsid w:val="003405AF"/>
    <w:rsid w:val="0034088F"/>
    <w:rsid w:val="00340B3E"/>
    <w:rsid w:val="003413D2"/>
    <w:rsid w:val="00341525"/>
    <w:rsid w:val="003422F9"/>
    <w:rsid w:val="0034257E"/>
    <w:rsid w:val="003429A1"/>
    <w:rsid w:val="003429FC"/>
    <w:rsid w:val="00342C4F"/>
    <w:rsid w:val="00343079"/>
    <w:rsid w:val="00343127"/>
    <w:rsid w:val="00343320"/>
    <w:rsid w:val="00344066"/>
    <w:rsid w:val="0034446E"/>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231B"/>
    <w:rsid w:val="00352A48"/>
    <w:rsid w:val="0035455F"/>
    <w:rsid w:val="00354A88"/>
    <w:rsid w:val="00355D75"/>
    <w:rsid w:val="00355D8F"/>
    <w:rsid w:val="00356A73"/>
    <w:rsid w:val="00356FF0"/>
    <w:rsid w:val="003577EF"/>
    <w:rsid w:val="00357A60"/>
    <w:rsid w:val="00360304"/>
    <w:rsid w:val="00360A78"/>
    <w:rsid w:val="00361750"/>
    <w:rsid w:val="003637F5"/>
    <w:rsid w:val="00363894"/>
    <w:rsid w:val="00363B2A"/>
    <w:rsid w:val="00363BF1"/>
    <w:rsid w:val="00365EFC"/>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2EE"/>
    <w:rsid w:val="00377886"/>
    <w:rsid w:val="00377B26"/>
    <w:rsid w:val="00377FBD"/>
    <w:rsid w:val="00381014"/>
    <w:rsid w:val="00381604"/>
    <w:rsid w:val="00381C68"/>
    <w:rsid w:val="00381F60"/>
    <w:rsid w:val="00382963"/>
    <w:rsid w:val="00382FBE"/>
    <w:rsid w:val="00383204"/>
    <w:rsid w:val="00383663"/>
    <w:rsid w:val="00383AB0"/>
    <w:rsid w:val="003847BB"/>
    <w:rsid w:val="00384814"/>
    <w:rsid w:val="00384C0A"/>
    <w:rsid w:val="00385029"/>
    <w:rsid w:val="00385131"/>
    <w:rsid w:val="00385B16"/>
    <w:rsid w:val="00385B96"/>
    <w:rsid w:val="0038637D"/>
    <w:rsid w:val="003868F6"/>
    <w:rsid w:val="003869DC"/>
    <w:rsid w:val="00386C07"/>
    <w:rsid w:val="00386F58"/>
    <w:rsid w:val="0038700D"/>
    <w:rsid w:val="0038789F"/>
    <w:rsid w:val="003879CE"/>
    <w:rsid w:val="00387B88"/>
    <w:rsid w:val="00390980"/>
    <w:rsid w:val="00390B8F"/>
    <w:rsid w:val="00390C0D"/>
    <w:rsid w:val="00391447"/>
    <w:rsid w:val="003919D9"/>
    <w:rsid w:val="00391BDD"/>
    <w:rsid w:val="003922DE"/>
    <w:rsid w:val="00392AA4"/>
    <w:rsid w:val="00392E35"/>
    <w:rsid w:val="00393247"/>
    <w:rsid w:val="00393551"/>
    <w:rsid w:val="00393816"/>
    <w:rsid w:val="00393FCD"/>
    <w:rsid w:val="00394445"/>
    <w:rsid w:val="003944EA"/>
    <w:rsid w:val="00394639"/>
    <w:rsid w:val="00394DF6"/>
    <w:rsid w:val="00394EC6"/>
    <w:rsid w:val="00395A02"/>
    <w:rsid w:val="00395CD9"/>
    <w:rsid w:val="003962E6"/>
    <w:rsid w:val="003964D4"/>
    <w:rsid w:val="00396831"/>
    <w:rsid w:val="00396FBC"/>
    <w:rsid w:val="003971A1"/>
    <w:rsid w:val="003A03D0"/>
    <w:rsid w:val="003A0F6B"/>
    <w:rsid w:val="003A12B6"/>
    <w:rsid w:val="003A1C44"/>
    <w:rsid w:val="003A2077"/>
    <w:rsid w:val="003A20D5"/>
    <w:rsid w:val="003A24CC"/>
    <w:rsid w:val="003A2512"/>
    <w:rsid w:val="003A2A53"/>
    <w:rsid w:val="003A2EE8"/>
    <w:rsid w:val="003A373C"/>
    <w:rsid w:val="003A3AE7"/>
    <w:rsid w:val="003A4F3A"/>
    <w:rsid w:val="003A5378"/>
    <w:rsid w:val="003A553C"/>
    <w:rsid w:val="003A56DF"/>
    <w:rsid w:val="003A6008"/>
    <w:rsid w:val="003A703F"/>
    <w:rsid w:val="003A7D7F"/>
    <w:rsid w:val="003A7E2B"/>
    <w:rsid w:val="003A7E40"/>
    <w:rsid w:val="003B0336"/>
    <w:rsid w:val="003B0A3A"/>
    <w:rsid w:val="003B0D79"/>
    <w:rsid w:val="003B1FBE"/>
    <w:rsid w:val="003B2110"/>
    <w:rsid w:val="003B221A"/>
    <w:rsid w:val="003B2930"/>
    <w:rsid w:val="003B31A7"/>
    <w:rsid w:val="003B4587"/>
    <w:rsid w:val="003B4B51"/>
    <w:rsid w:val="003B4FE1"/>
    <w:rsid w:val="003B514E"/>
    <w:rsid w:val="003B5531"/>
    <w:rsid w:val="003B5998"/>
    <w:rsid w:val="003B636A"/>
    <w:rsid w:val="003B69CE"/>
    <w:rsid w:val="003B7403"/>
    <w:rsid w:val="003B74A6"/>
    <w:rsid w:val="003B7751"/>
    <w:rsid w:val="003C011C"/>
    <w:rsid w:val="003C0E32"/>
    <w:rsid w:val="003C11D7"/>
    <w:rsid w:val="003C16CB"/>
    <w:rsid w:val="003C1B97"/>
    <w:rsid w:val="003C247B"/>
    <w:rsid w:val="003C2A92"/>
    <w:rsid w:val="003C3292"/>
    <w:rsid w:val="003C38F0"/>
    <w:rsid w:val="003C3C1E"/>
    <w:rsid w:val="003C3D88"/>
    <w:rsid w:val="003C4134"/>
    <w:rsid w:val="003C435B"/>
    <w:rsid w:val="003C4EBE"/>
    <w:rsid w:val="003C62EC"/>
    <w:rsid w:val="003C685A"/>
    <w:rsid w:val="003C6E9C"/>
    <w:rsid w:val="003C746F"/>
    <w:rsid w:val="003C7570"/>
    <w:rsid w:val="003C76E6"/>
    <w:rsid w:val="003C7A87"/>
    <w:rsid w:val="003C7E59"/>
    <w:rsid w:val="003C7F12"/>
    <w:rsid w:val="003C7F46"/>
    <w:rsid w:val="003D03D6"/>
    <w:rsid w:val="003D075D"/>
    <w:rsid w:val="003D0EE2"/>
    <w:rsid w:val="003D1283"/>
    <w:rsid w:val="003D14C8"/>
    <w:rsid w:val="003D1517"/>
    <w:rsid w:val="003D16C5"/>
    <w:rsid w:val="003D1CA9"/>
    <w:rsid w:val="003D2DA0"/>
    <w:rsid w:val="003D2F44"/>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83"/>
    <w:rsid w:val="003D7F5F"/>
    <w:rsid w:val="003E006E"/>
    <w:rsid w:val="003E0947"/>
    <w:rsid w:val="003E0E96"/>
    <w:rsid w:val="003E1564"/>
    <w:rsid w:val="003E20F7"/>
    <w:rsid w:val="003E336A"/>
    <w:rsid w:val="003E3E2F"/>
    <w:rsid w:val="003E4048"/>
    <w:rsid w:val="003E4BE3"/>
    <w:rsid w:val="003E4CE5"/>
    <w:rsid w:val="003E51FF"/>
    <w:rsid w:val="003E603E"/>
    <w:rsid w:val="003E604C"/>
    <w:rsid w:val="003E60DA"/>
    <w:rsid w:val="003E6E00"/>
    <w:rsid w:val="003E7111"/>
    <w:rsid w:val="003E7940"/>
    <w:rsid w:val="003F01BD"/>
    <w:rsid w:val="003F0486"/>
    <w:rsid w:val="003F048E"/>
    <w:rsid w:val="003F09FA"/>
    <w:rsid w:val="003F0AFF"/>
    <w:rsid w:val="003F1AA2"/>
    <w:rsid w:val="003F1F2A"/>
    <w:rsid w:val="003F26DC"/>
    <w:rsid w:val="003F2EEB"/>
    <w:rsid w:val="003F42FF"/>
    <w:rsid w:val="003F4B48"/>
    <w:rsid w:val="003F4DDC"/>
    <w:rsid w:val="003F51D9"/>
    <w:rsid w:val="003F56B8"/>
    <w:rsid w:val="003F57CB"/>
    <w:rsid w:val="003F5F1A"/>
    <w:rsid w:val="003F6327"/>
    <w:rsid w:val="003F7425"/>
    <w:rsid w:val="003F765B"/>
    <w:rsid w:val="003F7CB8"/>
    <w:rsid w:val="00400CB4"/>
    <w:rsid w:val="00401386"/>
    <w:rsid w:val="004013E6"/>
    <w:rsid w:val="00401E31"/>
    <w:rsid w:val="004020F6"/>
    <w:rsid w:val="00402BBA"/>
    <w:rsid w:val="004035D0"/>
    <w:rsid w:val="0040361D"/>
    <w:rsid w:val="00403795"/>
    <w:rsid w:val="004041FB"/>
    <w:rsid w:val="0040443E"/>
    <w:rsid w:val="00404ABD"/>
    <w:rsid w:val="00405467"/>
    <w:rsid w:val="004054BE"/>
    <w:rsid w:val="004056B6"/>
    <w:rsid w:val="00405764"/>
    <w:rsid w:val="00405D5C"/>
    <w:rsid w:val="00405E73"/>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FF5"/>
    <w:rsid w:val="0041308F"/>
    <w:rsid w:val="004138D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FB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24D"/>
    <w:rsid w:val="0043554E"/>
    <w:rsid w:val="004355D4"/>
    <w:rsid w:val="004357B1"/>
    <w:rsid w:val="00435821"/>
    <w:rsid w:val="0043583E"/>
    <w:rsid w:val="00436CCE"/>
    <w:rsid w:val="00436EAD"/>
    <w:rsid w:val="004375E1"/>
    <w:rsid w:val="00437A2F"/>
    <w:rsid w:val="00437C22"/>
    <w:rsid w:val="00440262"/>
    <w:rsid w:val="004406BF"/>
    <w:rsid w:val="00440814"/>
    <w:rsid w:val="004408AE"/>
    <w:rsid w:val="0044105D"/>
    <w:rsid w:val="00441424"/>
    <w:rsid w:val="00442731"/>
    <w:rsid w:val="00442A63"/>
    <w:rsid w:val="00442C12"/>
    <w:rsid w:val="004434DF"/>
    <w:rsid w:val="0044354B"/>
    <w:rsid w:val="004441DC"/>
    <w:rsid w:val="0044493E"/>
    <w:rsid w:val="00444A1F"/>
    <w:rsid w:val="00444FC6"/>
    <w:rsid w:val="00445874"/>
    <w:rsid w:val="00445C38"/>
    <w:rsid w:val="0044686B"/>
    <w:rsid w:val="004475F7"/>
    <w:rsid w:val="00447D10"/>
    <w:rsid w:val="0045057B"/>
    <w:rsid w:val="0045069B"/>
    <w:rsid w:val="00450B22"/>
    <w:rsid w:val="00451709"/>
    <w:rsid w:val="004518FA"/>
    <w:rsid w:val="00451A02"/>
    <w:rsid w:val="00451AC2"/>
    <w:rsid w:val="0045277C"/>
    <w:rsid w:val="00453507"/>
    <w:rsid w:val="00453592"/>
    <w:rsid w:val="004543AB"/>
    <w:rsid w:val="004545EC"/>
    <w:rsid w:val="00455967"/>
    <w:rsid w:val="00455BDB"/>
    <w:rsid w:val="00455F71"/>
    <w:rsid w:val="00456272"/>
    <w:rsid w:val="004562D9"/>
    <w:rsid w:val="004570EF"/>
    <w:rsid w:val="00457517"/>
    <w:rsid w:val="00457CF7"/>
    <w:rsid w:val="00457D37"/>
    <w:rsid w:val="0046028A"/>
    <w:rsid w:val="00460D8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B2"/>
    <w:rsid w:val="00465DE5"/>
    <w:rsid w:val="00466151"/>
    <w:rsid w:val="00466978"/>
    <w:rsid w:val="00466ABA"/>
    <w:rsid w:val="004672C6"/>
    <w:rsid w:val="004672E3"/>
    <w:rsid w:val="004672F1"/>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79C"/>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D86"/>
    <w:rsid w:val="00484D4D"/>
    <w:rsid w:val="004852E7"/>
    <w:rsid w:val="00486516"/>
    <w:rsid w:val="0048664F"/>
    <w:rsid w:val="004868AD"/>
    <w:rsid w:val="00486D00"/>
    <w:rsid w:val="00487FE1"/>
    <w:rsid w:val="00490707"/>
    <w:rsid w:val="00490815"/>
    <w:rsid w:val="0049117E"/>
    <w:rsid w:val="00492503"/>
    <w:rsid w:val="004925C8"/>
    <w:rsid w:val="00492AF9"/>
    <w:rsid w:val="00492B76"/>
    <w:rsid w:val="0049333E"/>
    <w:rsid w:val="00493E5B"/>
    <w:rsid w:val="0049418F"/>
    <w:rsid w:val="004941C7"/>
    <w:rsid w:val="0049421F"/>
    <w:rsid w:val="0049570D"/>
    <w:rsid w:val="00495A0C"/>
    <w:rsid w:val="00495C48"/>
    <w:rsid w:val="00495DC6"/>
    <w:rsid w:val="00496CCE"/>
    <w:rsid w:val="004978C1"/>
    <w:rsid w:val="00497AAD"/>
    <w:rsid w:val="00497BD7"/>
    <w:rsid w:val="00497D1A"/>
    <w:rsid w:val="004A00C9"/>
    <w:rsid w:val="004A03D0"/>
    <w:rsid w:val="004A055E"/>
    <w:rsid w:val="004A1049"/>
    <w:rsid w:val="004A1AFA"/>
    <w:rsid w:val="004A1EA7"/>
    <w:rsid w:val="004A26F5"/>
    <w:rsid w:val="004A2EF8"/>
    <w:rsid w:val="004A3A21"/>
    <w:rsid w:val="004A407A"/>
    <w:rsid w:val="004A4BBD"/>
    <w:rsid w:val="004A4E3B"/>
    <w:rsid w:val="004A6110"/>
    <w:rsid w:val="004A61B8"/>
    <w:rsid w:val="004A6342"/>
    <w:rsid w:val="004A6415"/>
    <w:rsid w:val="004A64F9"/>
    <w:rsid w:val="004A65F4"/>
    <w:rsid w:val="004A67AA"/>
    <w:rsid w:val="004A6D2C"/>
    <w:rsid w:val="004B026C"/>
    <w:rsid w:val="004B0271"/>
    <w:rsid w:val="004B0BE8"/>
    <w:rsid w:val="004B0E4A"/>
    <w:rsid w:val="004B0F74"/>
    <w:rsid w:val="004B1100"/>
    <w:rsid w:val="004B18C8"/>
    <w:rsid w:val="004B18F4"/>
    <w:rsid w:val="004B1A98"/>
    <w:rsid w:val="004B211F"/>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63"/>
    <w:rsid w:val="004C11A9"/>
    <w:rsid w:val="004C27CF"/>
    <w:rsid w:val="004C2C54"/>
    <w:rsid w:val="004C2CA7"/>
    <w:rsid w:val="004C3592"/>
    <w:rsid w:val="004C36D8"/>
    <w:rsid w:val="004C45C8"/>
    <w:rsid w:val="004C4F8F"/>
    <w:rsid w:val="004C5F4B"/>
    <w:rsid w:val="004C612E"/>
    <w:rsid w:val="004C61B8"/>
    <w:rsid w:val="004C69FE"/>
    <w:rsid w:val="004C6C0A"/>
    <w:rsid w:val="004C6C6D"/>
    <w:rsid w:val="004C74FE"/>
    <w:rsid w:val="004C756E"/>
    <w:rsid w:val="004C77FF"/>
    <w:rsid w:val="004C7DB0"/>
    <w:rsid w:val="004C7FFC"/>
    <w:rsid w:val="004D0223"/>
    <w:rsid w:val="004D0C4C"/>
    <w:rsid w:val="004D14DC"/>
    <w:rsid w:val="004D16A3"/>
    <w:rsid w:val="004D1934"/>
    <w:rsid w:val="004D1E41"/>
    <w:rsid w:val="004D2326"/>
    <w:rsid w:val="004D2E11"/>
    <w:rsid w:val="004D2F9F"/>
    <w:rsid w:val="004D3108"/>
    <w:rsid w:val="004D329C"/>
    <w:rsid w:val="004D34D1"/>
    <w:rsid w:val="004D4523"/>
    <w:rsid w:val="004D4990"/>
    <w:rsid w:val="004D50B4"/>
    <w:rsid w:val="004D51AE"/>
    <w:rsid w:val="004D51D6"/>
    <w:rsid w:val="004D572D"/>
    <w:rsid w:val="004D6435"/>
    <w:rsid w:val="004D6BF2"/>
    <w:rsid w:val="004D6F29"/>
    <w:rsid w:val="004D7BF5"/>
    <w:rsid w:val="004D7C1F"/>
    <w:rsid w:val="004D7F9C"/>
    <w:rsid w:val="004E03F4"/>
    <w:rsid w:val="004E068F"/>
    <w:rsid w:val="004E0860"/>
    <w:rsid w:val="004E09CF"/>
    <w:rsid w:val="004E0B75"/>
    <w:rsid w:val="004E0C29"/>
    <w:rsid w:val="004E0DC4"/>
    <w:rsid w:val="004E109C"/>
    <w:rsid w:val="004E166D"/>
    <w:rsid w:val="004E18F7"/>
    <w:rsid w:val="004E1D6F"/>
    <w:rsid w:val="004E1DF3"/>
    <w:rsid w:val="004E2393"/>
    <w:rsid w:val="004E27DC"/>
    <w:rsid w:val="004E3117"/>
    <w:rsid w:val="004E32BD"/>
    <w:rsid w:val="004E3A2A"/>
    <w:rsid w:val="004E3AB1"/>
    <w:rsid w:val="004E4003"/>
    <w:rsid w:val="004E4626"/>
    <w:rsid w:val="004E4984"/>
    <w:rsid w:val="004E5101"/>
    <w:rsid w:val="004E52F2"/>
    <w:rsid w:val="004E5380"/>
    <w:rsid w:val="004E5C8A"/>
    <w:rsid w:val="004E5DFA"/>
    <w:rsid w:val="004E6746"/>
    <w:rsid w:val="004E675C"/>
    <w:rsid w:val="004E6CAC"/>
    <w:rsid w:val="004E6F69"/>
    <w:rsid w:val="004E75C1"/>
    <w:rsid w:val="004E7683"/>
    <w:rsid w:val="004E777F"/>
    <w:rsid w:val="004E7828"/>
    <w:rsid w:val="004F07F2"/>
    <w:rsid w:val="004F07F9"/>
    <w:rsid w:val="004F0A50"/>
    <w:rsid w:val="004F0D1F"/>
    <w:rsid w:val="004F0E82"/>
    <w:rsid w:val="004F1523"/>
    <w:rsid w:val="004F1604"/>
    <w:rsid w:val="004F1847"/>
    <w:rsid w:val="004F1CE1"/>
    <w:rsid w:val="004F1F9E"/>
    <w:rsid w:val="004F2CB6"/>
    <w:rsid w:val="004F2E6E"/>
    <w:rsid w:val="004F3015"/>
    <w:rsid w:val="004F313F"/>
    <w:rsid w:val="004F367F"/>
    <w:rsid w:val="004F3EEF"/>
    <w:rsid w:val="004F43A7"/>
    <w:rsid w:val="004F447B"/>
    <w:rsid w:val="004F497C"/>
    <w:rsid w:val="004F4A20"/>
    <w:rsid w:val="004F4FAC"/>
    <w:rsid w:val="004F4FE8"/>
    <w:rsid w:val="004F5310"/>
    <w:rsid w:val="004F531B"/>
    <w:rsid w:val="004F560C"/>
    <w:rsid w:val="004F5864"/>
    <w:rsid w:val="004F5DBB"/>
    <w:rsid w:val="004F60B4"/>
    <w:rsid w:val="004F61A3"/>
    <w:rsid w:val="004F6874"/>
    <w:rsid w:val="004F7922"/>
    <w:rsid w:val="004F7A1F"/>
    <w:rsid w:val="004F7B47"/>
    <w:rsid w:val="0050074C"/>
    <w:rsid w:val="0050079C"/>
    <w:rsid w:val="0050106A"/>
    <w:rsid w:val="005010BC"/>
    <w:rsid w:val="00501848"/>
    <w:rsid w:val="00502B31"/>
    <w:rsid w:val="0050434C"/>
    <w:rsid w:val="0050537D"/>
    <w:rsid w:val="0050591C"/>
    <w:rsid w:val="005059BD"/>
    <w:rsid w:val="005060AE"/>
    <w:rsid w:val="0050790B"/>
    <w:rsid w:val="00507C71"/>
    <w:rsid w:val="00507FDF"/>
    <w:rsid w:val="0051037C"/>
    <w:rsid w:val="0051050F"/>
    <w:rsid w:val="0051058B"/>
    <w:rsid w:val="00510DDC"/>
    <w:rsid w:val="00511166"/>
    <w:rsid w:val="00512217"/>
    <w:rsid w:val="00512320"/>
    <w:rsid w:val="00512459"/>
    <w:rsid w:val="005131A2"/>
    <w:rsid w:val="005137E4"/>
    <w:rsid w:val="00513BB9"/>
    <w:rsid w:val="0051440E"/>
    <w:rsid w:val="00514480"/>
    <w:rsid w:val="005148CD"/>
    <w:rsid w:val="00515180"/>
    <w:rsid w:val="00515973"/>
    <w:rsid w:val="00516069"/>
    <w:rsid w:val="00517AC8"/>
    <w:rsid w:val="00517C3E"/>
    <w:rsid w:val="0052030A"/>
    <w:rsid w:val="005207D8"/>
    <w:rsid w:val="0052091D"/>
    <w:rsid w:val="00521098"/>
    <w:rsid w:val="005212F4"/>
    <w:rsid w:val="00521908"/>
    <w:rsid w:val="005224BC"/>
    <w:rsid w:val="00522928"/>
    <w:rsid w:val="00522FF1"/>
    <w:rsid w:val="0052316B"/>
    <w:rsid w:val="005235D8"/>
    <w:rsid w:val="00523946"/>
    <w:rsid w:val="0052397A"/>
    <w:rsid w:val="005256D6"/>
    <w:rsid w:val="00525AD8"/>
    <w:rsid w:val="00526429"/>
    <w:rsid w:val="005266C1"/>
    <w:rsid w:val="005267F4"/>
    <w:rsid w:val="005269D3"/>
    <w:rsid w:val="00527317"/>
    <w:rsid w:val="00527ED6"/>
    <w:rsid w:val="0053024F"/>
    <w:rsid w:val="0053030F"/>
    <w:rsid w:val="005308CE"/>
    <w:rsid w:val="00530E8E"/>
    <w:rsid w:val="00531064"/>
    <w:rsid w:val="005312CB"/>
    <w:rsid w:val="005313B2"/>
    <w:rsid w:val="00531594"/>
    <w:rsid w:val="00531911"/>
    <w:rsid w:val="00531E92"/>
    <w:rsid w:val="005324D7"/>
    <w:rsid w:val="005326F0"/>
    <w:rsid w:val="00532764"/>
    <w:rsid w:val="00532AA5"/>
    <w:rsid w:val="00532C5F"/>
    <w:rsid w:val="00533233"/>
    <w:rsid w:val="005335A2"/>
    <w:rsid w:val="00533D13"/>
    <w:rsid w:val="00533DEC"/>
    <w:rsid w:val="00534026"/>
    <w:rsid w:val="00534D55"/>
    <w:rsid w:val="00535A33"/>
    <w:rsid w:val="00535B53"/>
    <w:rsid w:val="00536B03"/>
    <w:rsid w:val="005370CF"/>
    <w:rsid w:val="00537456"/>
    <w:rsid w:val="0053790C"/>
    <w:rsid w:val="00537B3D"/>
    <w:rsid w:val="00537BFF"/>
    <w:rsid w:val="00540401"/>
    <w:rsid w:val="005405B2"/>
    <w:rsid w:val="0054076A"/>
    <w:rsid w:val="00540BBA"/>
    <w:rsid w:val="00540D47"/>
    <w:rsid w:val="00540E71"/>
    <w:rsid w:val="00540EE7"/>
    <w:rsid w:val="00541A22"/>
    <w:rsid w:val="00541E2B"/>
    <w:rsid w:val="00541EAD"/>
    <w:rsid w:val="005424C2"/>
    <w:rsid w:val="005426B2"/>
    <w:rsid w:val="00542AA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44"/>
    <w:rsid w:val="005524ED"/>
    <w:rsid w:val="00553627"/>
    <w:rsid w:val="00553F91"/>
    <w:rsid w:val="00554007"/>
    <w:rsid w:val="00554092"/>
    <w:rsid w:val="00554C03"/>
    <w:rsid w:val="00554C58"/>
    <w:rsid w:val="00554D5D"/>
    <w:rsid w:val="005550F9"/>
    <w:rsid w:val="00555CC1"/>
    <w:rsid w:val="00556338"/>
    <w:rsid w:val="00556441"/>
    <w:rsid w:val="00557031"/>
    <w:rsid w:val="00557F87"/>
    <w:rsid w:val="005601E7"/>
    <w:rsid w:val="00560841"/>
    <w:rsid w:val="00560FCB"/>
    <w:rsid w:val="00561001"/>
    <w:rsid w:val="0056111C"/>
    <w:rsid w:val="00561140"/>
    <w:rsid w:val="00561412"/>
    <w:rsid w:val="00561764"/>
    <w:rsid w:val="00561903"/>
    <w:rsid w:val="00561A9B"/>
    <w:rsid w:val="00561E54"/>
    <w:rsid w:val="00561F73"/>
    <w:rsid w:val="005621F7"/>
    <w:rsid w:val="0056278F"/>
    <w:rsid w:val="00562FB1"/>
    <w:rsid w:val="00563068"/>
    <w:rsid w:val="0056376A"/>
    <w:rsid w:val="00563B3C"/>
    <w:rsid w:val="0056419C"/>
    <w:rsid w:val="005646E0"/>
    <w:rsid w:val="00564DA7"/>
    <w:rsid w:val="00565204"/>
    <w:rsid w:val="00565473"/>
    <w:rsid w:val="00565DAC"/>
    <w:rsid w:val="00565F0D"/>
    <w:rsid w:val="005662DC"/>
    <w:rsid w:val="00566329"/>
    <w:rsid w:val="005668B9"/>
    <w:rsid w:val="00566E39"/>
    <w:rsid w:val="0056704E"/>
    <w:rsid w:val="0056754B"/>
    <w:rsid w:val="00567623"/>
    <w:rsid w:val="005701C2"/>
    <w:rsid w:val="00570763"/>
    <w:rsid w:val="0057200B"/>
    <w:rsid w:val="00572297"/>
    <w:rsid w:val="0057345D"/>
    <w:rsid w:val="0057347D"/>
    <w:rsid w:val="00573560"/>
    <w:rsid w:val="00574E7B"/>
    <w:rsid w:val="00574F36"/>
    <w:rsid w:val="00575B04"/>
    <w:rsid w:val="00576B5C"/>
    <w:rsid w:val="005770CC"/>
    <w:rsid w:val="005802F9"/>
    <w:rsid w:val="005806D5"/>
    <w:rsid w:val="00580DFC"/>
    <w:rsid w:val="0058134C"/>
    <w:rsid w:val="005815CD"/>
    <w:rsid w:val="00581AA8"/>
    <w:rsid w:val="00581D39"/>
    <w:rsid w:val="005827A7"/>
    <w:rsid w:val="00583D43"/>
    <w:rsid w:val="005846C3"/>
    <w:rsid w:val="0058482B"/>
    <w:rsid w:val="00584F04"/>
    <w:rsid w:val="0058544C"/>
    <w:rsid w:val="00585623"/>
    <w:rsid w:val="0058577C"/>
    <w:rsid w:val="005857F7"/>
    <w:rsid w:val="005865E9"/>
    <w:rsid w:val="005868FD"/>
    <w:rsid w:val="00587D7B"/>
    <w:rsid w:val="005904DB"/>
    <w:rsid w:val="005905ED"/>
    <w:rsid w:val="00590D11"/>
    <w:rsid w:val="005919EE"/>
    <w:rsid w:val="00591BA6"/>
    <w:rsid w:val="00592825"/>
    <w:rsid w:val="0059310B"/>
    <w:rsid w:val="005943CC"/>
    <w:rsid w:val="00594437"/>
    <w:rsid w:val="00594B70"/>
    <w:rsid w:val="00594E85"/>
    <w:rsid w:val="0059639B"/>
    <w:rsid w:val="00596CFA"/>
    <w:rsid w:val="00596EC6"/>
    <w:rsid w:val="005975CE"/>
    <w:rsid w:val="005A0088"/>
    <w:rsid w:val="005A04F6"/>
    <w:rsid w:val="005A14F0"/>
    <w:rsid w:val="005A1861"/>
    <w:rsid w:val="005A1A31"/>
    <w:rsid w:val="005A2F77"/>
    <w:rsid w:val="005A361D"/>
    <w:rsid w:val="005A36C2"/>
    <w:rsid w:val="005A3719"/>
    <w:rsid w:val="005A3DD7"/>
    <w:rsid w:val="005A40FA"/>
    <w:rsid w:val="005A4C20"/>
    <w:rsid w:val="005A4F48"/>
    <w:rsid w:val="005A5375"/>
    <w:rsid w:val="005A54CE"/>
    <w:rsid w:val="005A54F1"/>
    <w:rsid w:val="005A57B8"/>
    <w:rsid w:val="005A5DDE"/>
    <w:rsid w:val="005A64A8"/>
    <w:rsid w:val="005A65C5"/>
    <w:rsid w:val="005A6875"/>
    <w:rsid w:val="005A6DBA"/>
    <w:rsid w:val="005A7016"/>
    <w:rsid w:val="005A7A32"/>
    <w:rsid w:val="005A7F85"/>
    <w:rsid w:val="005B00DD"/>
    <w:rsid w:val="005B01E9"/>
    <w:rsid w:val="005B03B1"/>
    <w:rsid w:val="005B07D5"/>
    <w:rsid w:val="005B1A62"/>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86"/>
    <w:rsid w:val="005B6865"/>
    <w:rsid w:val="005C039B"/>
    <w:rsid w:val="005C059F"/>
    <w:rsid w:val="005C07CE"/>
    <w:rsid w:val="005C0B8F"/>
    <w:rsid w:val="005C1912"/>
    <w:rsid w:val="005C194E"/>
    <w:rsid w:val="005C1C83"/>
    <w:rsid w:val="005C1DB1"/>
    <w:rsid w:val="005C2174"/>
    <w:rsid w:val="005C226F"/>
    <w:rsid w:val="005C2294"/>
    <w:rsid w:val="005C2E48"/>
    <w:rsid w:val="005C315D"/>
    <w:rsid w:val="005C3344"/>
    <w:rsid w:val="005C37B7"/>
    <w:rsid w:val="005C407D"/>
    <w:rsid w:val="005C4E4D"/>
    <w:rsid w:val="005C58F2"/>
    <w:rsid w:val="005C5A97"/>
    <w:rsid w:val="005C5F77"/>
    <w:rsid w:val="005C6AAB"/>
    <w:rsid w:val="005C6D5D"/>
    <w:rsid w:val="005C6DF9"/>
    <w:rsid w:val="005C6F38"/>
    <w:rsid w:val="005C6FD0"/>
    <w:rsid w:val="005D01C3"/>
    <w:rsid w:val="005D05FF"/>
    <w:rsid w:val="005D0FB4"/>
    <w:rsid w:val="005D1176"/>
    <w:rsid w:val="005D1747"/>
    <w:rsid w:val="005D2177"/>
    <w:rsid w:val="005D266D"/>
    <w:rsid w:val="005D306D"/>
    <w:rsid w:val="005D3327"/>
    <w:rsid w:val="005D4760"/>
    <w:rsid w:val="005D4854"/>
    <w:rsid w:val="005D5BCF"/>
    <w:rsid w:val="005D65BF"/>
    <w:rsid w:val="005D6D84"/>
    <w:rsid w:val="005D70A1"/>
    <w:rsid w:val="005D79F2"/>
    <w:rsid w:val="005D7CB1"/>
    <w:rsid w:val="005D7F57"/>
    <w:rsid w:val="005E0067"/>
    <w:rsid w:val="005E0141"/>
    <w:rsid w:val="005E09CA"/>
    <w:rsid w:val="005E1AB4"/>
    <w:rsid w:val="005E255B"/>
    <w:rsid w:val="005E2B4D"/>
    <w:rsid w:val="005E2CF7"/>
    <w:rsid w:val="005E37FD"/>
    <w:rsid w:val="005E4543"/>
    <w:rsid w:val="005E4A1C"/>
    <w:rsid w:val="005E4AC6"/>
    <w:rsid w:val="005E56C9"/>
    <w:rsid w:val="005E5C95"/>
    <w:rsid w:val="005E5CF7"/>
    <w:rsid w:val="005E5FF0"/>
    <w:rsid w:val="005E642A"/>
    <w:rsid w:val="005E65A7"/>
    <w:rsid w:val="005E6A54"/>
    <w:rsid w:val="005E721E"/>
    <w:rsid w:val="005F0857"/>
    <w:rsid w:val="005F1470"/>
    <w:rsid w:val="005F15A9"/>
    <w:rsid w:val="005F203A"/>
    <w:rsid w:val="005F2807"/>
    <w:rsid w:val="005F2CD5"/>
    <w:rsid w:val="005F3382"/>
    <w:rsid w:val="005F3720"/>
    <w:rsid w:val="005F3949"/>
    <w:rsid w:val="005F3FCB"/>
    <w:rsid w:val="005F4F00"/>
    <w:rsid w:val="005F5506"/>
    <w:rsid w:val="005F5A0D"/>
    <w:rsid w:val="005F60DF"/>
    <w:rsid w:val="005F615B"/>
    <w:rsid w:val="005F61DF"/>
    <w:rsid w:val="005F680A"/>
    <w:rsid w:val="005F6880"/>
    <w:rsid w:val="005F6B3E"/>
    <w:rsid w:val="005F6ED2"/>
    <w:rsid w:val="005F6F94"/>
    <w:rsid w:val="005F745B"/>
    <w:rsid w:val="005F77F8"/>
    <w:rsid w:val="005F7CA8"/>
    <w:rsid w:val="005F7FE2"/>
    <w:rsid w:val="00600023"/>
    <w:rsid w:val="00600474"/>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B4"/>
    <w:rsid w:val="00607015"/>
    <w:rsid w:val="0061098D"/>
    <w:rsid w:val="00610B78"/>
    <w:rsid w:val="00611B59"/>
    <w:rsid w:val="00611FBA"/>
    <w:rsid w:val="00612098"/>
    <w:rsid w:val="0061272A"/>
    <w:rsid w:val="0061299E"/>
    <w:rsid w:val="006130D0"/>
    <w:rsid w:val="00613441"/>
    <w:rsid w:val="0061355D"/>
    <w:rsid w:val="006139F7"/>
    <w:rsid w:val="00613AA2"/>
    <w:rsid w:val="006146D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66"/>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8D4"/>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46A"/>
    <w:rsid w:val="00642C69"/>
    <w:rsid w:val="00642D4F"/>
    <w:rsid w:val="0064330A"/>
    <w:rsid w:val="0064369F"/>
    <w:rsid w:val="00643F89"/>
    <w:rsid w:val="00644334"/>
    <w:rsid w:val="0064487C"/>
    <w:rsid w:val="00644BED"/>
    <w:rsid w:val="00644E2E"/>
    <w:rsid w:val="00645A3A"/>
    <w:rsid w:val="00645B87"/>
    <w:rsid w:val="00645CB4"/>
    <w:rsid w:val="00646084"/>
    <w:rsid w:val="006468ED"/>
    <w:rsid w:val="00647664"/>
    <w:rsid w:val="00650D19"/>
    <w:rsid w:val="0065277B"/>
    <w:rsid w:val="00652CF5"/>
    <w:rsid w:val="00652F6C"/>
    <w:rsid w:val="00652FE2"/>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151"/>
    <w:rsid w:val="00680326"/>
    <w:rsid w:val="00680714"/>
    <w:rsid w:val="0068071D"/>
    <w:rsid w:val="00680C6B"/>
    <w:rsid w:val="00681085"/>
    <w:rsid w:val="006811F3"/>
    <w:rsid w:val="00681240"/>
    <w:rsid w:val="00681E43"/>
    <w:rsid w:val="00683068"/>
    <w:rsid w:val="00683DAD"/>
    <w:rsid w:val="00684592"/>
    <w:rsid w:val="00684853"/>
    <w:rsid w:val="00684963"/>
    <w:rsid w:val="00685033"/>
    <w:rsid w:val="0068510D"/>
    <w:rsid w:val="0068517F"/>
    <w:rsid w:val="00685D65"/>
    <w:rsid w:val="00685FC8"/>
    <w:rsid w:val="006860CC"/>
    <w:rsid w:val="00686E80"/>
    <w:rsid w:val="0068790B"/>
    <w:rsid w:val="00687AF2"/>
    <w:rsid w:val="006901AC"/>
    <w:rsid w:val="00690C8D"/>
    <w:rsid w:val="00691890"/>
    <w:rsid w:val="00691AAD"/>
    <w:rsid w:val="00691EB8"/>
    <w:rsid w:val="00692416"/>
    <w:rsid w:val="00692AFF"/>
    <w:rsid w:val="00692D2D"/>
    <w:rsid w:val="00693B73"/>
    <w:rsid w:val="00693F29"/>
    <w:rsid w:val="006945A1"/>
    <w:rsid w:val="00694A53"/>
    <w:rsid w:val="006952DE"/>
    <w:rsid w:val="00695985"/>
    <w:rsid w:val="00695C78"/>
    <w:rsid w:val="00695E6C"/>
    <w:rsid w:val="00695EAC"/>
    <w:rsid w:val="00696C79"/>
    <w:rsid w:val="00697068"/>
    <w:rsid w:val="006977DE"/>
    <w:rsid w:val="00697D5F"/>
    <w:rsid w:val="006A0235"/>
    <w:rsid w:val="006A035B"/>
    <w:rsid w:val="006A0582"/>
    <w:rsid w:val="006A060C"/>
    <w:rsid w:val="006A06F8"/>
    <w:rsid w:val="006A071C"/>
    <w:rsid w:val="006A0DC7"/>
    <w:rsid w:val="006A150D"/>
    <w:rsid w:val="006A1B00"/>
    <w:rsid w:val="006A2766"/>
    <w:rsid w:val="006A3786"/>
    <w:rsid w:val="006A39D0"/>
    <w:rsid w:val="006A3E91"/>
    <w:rsid w:val="006A430B"/>
    <w:rsid w:val="006A4321"/>
    <w:rsid w:val="006A4783"/>
    <w:rsid w:val="006A4E20"/>
    <w:rsid w:val="006A4F11"/>
    <w:rsid w:val="006A563C"/>
    <w:rsid w:val="006A5A6F"/>
    <w:rsid w:val="006A5F7E"/>
    <w:rsid w:val="006A6786"/>
    <w:rsid w:val="006A67AF"/>
    <w:rsid w:val="006A7C29"/>
    <w:rsid w:val="006B0580"/>
    <w:rsid w:val="006B0DA2"/>
    <w:rsid w:val="006B0F70"/>
    <w:rsid w:val="006B117E"/>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81"/>
    <w:rsid w:val="006B4CF8"/>
    <w:rsid w:val="006B506B"/>
    <w:rsid w:val="006B54E8"/>
    <w:rsid w:val="006B5766"/>
    <w:rsid w:val="006B5FBC"/>
    <w:rsid w:val="006B65B7"/>
    <w:rsid w:val="006B6ED2"/>
    <w:rsid w:val="006B7F74"/>
    <w:rsid w:val="006C0230"/>
    <w:rsid w:val="006C05C7"/>
    <w:rsid w:val="006C1323"/>
    <w:rsid w:val="006C1FC8"/>
    <w:rsid w:val="006C25AB"/>
    <w:rsid w:val="006C2DA6"/>
    <w:rsid w:val="006C2F4A"/>
    <w:rsid w:val="006C3335"/>
    <w:rsid w:val="006C3581"/>
    <w:rsid w:val="006C3973"/>
    <w:rsid w:val="006C39A0"/>
    <w:rsid w:val="006C3AB0"/>
    <w:rsid w:val="006C3EFE"/>
    <w:rsid w:val="006C46C7"/>
    <w:rsid w:val="006C4767"/>
    <w:rsid w:val="006C47CA"/>
    <w:rsid w:val="006C4A1A"/>
    <w:rsid w:val="006C4D02"/>
    <w:rsid w:val="006C4F7E"/>
    <w:rsid w:val="006C53A4"/>
    <w:rsid w:val="006C54DF"/>
    <w:rsid w:val="006C5D2E"/>
    <w:rsid w:val="006C5D5D"/>
    <w:rsid w:val="006C627E"/>
    <w:rsid w:val="006C6303"/>
    <w:rsid w:val="006C6A51"/>
    <w:rsid w:val="006C6EBD"/>
    <w:rsid w:val="006C73ED"/>
    <w:rsid w:val="006C7E04"/>
    <w:rsid w:val="006C7F79"/>
    <w:rsid w:val="006D0004"/>
    <w:rsid w:val="006D015F"/>
    <w:rsid w:val="006D060E"/>
    <w:rsid w:val="006D0665"/>
    <w:rsid w:val="006D0681"/>
    <w:rsid w:val="006D0A80"/>
    <w:rsid w:val="006D0AE8"/>
    <w:rsid w:val="006D135C"/>
    <w:rsid w:val="006D1CAA"/>
    <w:rsid w:val="006D2F72"/>
    <w:rsid w:val="006D43C1"/>
    <w:rsid w:val="006D5442"/>
    <w:rsid w:val="006D647B"/>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9D"/>
    <w:rsid w:val="006E61C8"/>
    <w:rsid w:val="006E727B"/>
    <w:rsid w:val="006E76C8"/>
    <w:rsid w:val="006E7A92"/>
    <w:rsid w:val="006F01FF"/>
    <w:rsid w:val="006F0CB2"/>
    <w:rsid w:val="006F191C"/>
    <w:rsid w:val="006F1DE9"/>
    <w:rsid w:val="006F2046"/>
    <w:rsid w:val="006F2F59"/>
    <w:rsid w:val="006F311E"/>
    <w:rsid w:val="006F3442"/>
    <w:rsid w:val="006F36A5"/>
    <w:rsid w:val="006F41F4"/>
    <w:rsid w:val="006F4576"/>
    <w:rsid w:val="006F46E1"/>
    <w:rsid w:val="006F4975"/>
    <w:rsid w:val="006F49D2"/>
    <w:rsid w:val="006F5453"/>
    <w:rsid w:val="006F5813"/>
    <w:rsid w:val="006F59A8"/>
    <w:rsid w:val="006F5A1D"/>
    <w:rsid w:val="006F5A44"/>
    <w:rsid w:val="006F649A"/>
    <w:rsid w:val="006F71A6"/>
    <w:rsid w:val="006F743F"/>
    <w:rsid w:val="006F7974"/>
    <w:rsid w:val="006F7C2C"/>
    <w:rsid w:val="006F7FD5"/>
    <w:rsid w:val="00700405"/>
    <w:rsid w:val="00700D18"/>
    <w:rsid w:val="0070168D"/>
    <w:rsid w:val="00701C36"/>
    <w:rsid w:val="00702F2D"/>
    <w:rsid w:val="0070353F"/>
    <w:rsid w:val="00703772"/>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4F"/>
    <w:rsid w:val="0071108E"/>
    <w:rsid w:val="007119DC"/>
    <w:rsid w:val="00711CC7"/>
    <w:rsid w:val="00711D07"/>
    <w:rsid w:val="0071226D"/>
    <w:rsid w:val="0071230A"/>
    <w:rsid w:val="0071294A"/>
    <w:rsid w:val="00712BDD"/>
    <w:rsid w:val="00712E1E"/>
    <w:rsid w:val="00712F37"/>
    <w:rsid w:val="00713A6B"/>
    <w:rsid w:val="00713CB5"/>
    <w:rsid w:val="0071499C"/>
    <w:rsid w:val="00714F9D"/>
    <w:rsid w:val="007154D8"/>
    <w:rsid w:val="00715577"/>
    <w:rsid w:val="0071604D"/>
    <w:rsid w:val="00716C67"/>
    <w:rsid w:val="00716C8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EC4"/>
    <w:rsid w:val="0072454E"/>
    <w:rsid w:val="007249D1"/>
    <w:rsid w:val="00724FE4"/>
    <w:rsid w:val="00725261"/>
    <w:rsid w:val="007253CE"/>
    <w:rsid w:val="00725829"/>
    <w:rsid w:val="00725D6A"/>
    <w:rsid w:val="007263A2"/>
    <w:rsid w:val="007266B9"/>
    <w:rsid w:val="00726B9E"/>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F"/>
    <w:rsid w:val="00735D53"/>
    <w:rsid w:val="00736181"/>
    <w:rsid w:val="0073618A"/>
    <w:rsid w:val="007364A3"/>
    <w:rsid w:val="00736740"/>
    <w:rsid w:val="0073709C"/>
    <w:rsid w:val="0073742F"/>
    <w:rsid w:val="007378FD"/>
    <w:rsid w:val="007403FE"/>
    <w:rsid w:val="007409CE"/>
    <w:rsid w:val="007413EB"/>
    <w:rsid w:val="007413FB"/>
    <w:rsid w:val="00742408"/>
    <w:rsid w:val="00742D32"/>
    <w:rsid w:val="00742E9B"/>
    <w:rsid w:val="007444E6"/>
    <w:rsid w:val="00744D06"/>
    <w:rsid w:val="0074592C"/>
    <w:rsid w:val="00745C91"/>
    <w:rsid w:val="00746098"/>
    <w:rsid w:val="00746473"/>
    <w:rsid w:val="00746814"/>
    <w:rsid w:val="00746D58"/>
    <w:rsid w:val="00747578"/>
    <w:rsid w:val="00750D12"/>
    <w:rsid w:val="00751073"/>
    <w:rsid w:val="00751AF2"/>
    <w:rsid w:val="00751B1A"/>
    <w:rsid w:val="00751BD2"/>
    <w:rsid w:val="00751CE5"/>
    <w:rsid w:val="00752188"/>
    <w:rsid w:val="00752CC6"/>
    <w:rsid w:val="00753938"/>
    <w:rsid w:val="00753A57"/>
    <w:rsid w:val="0075409E"/>
    <w:rsid w:val="007543CE"/>
    <w:rsid w:val="0075497E"/>
    <w:rsid w:val="00754A29"/>
    <w:rsid w:val="00754DCC"/>
    <w:rsid w:val="0075511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EA2"/>
    <w:rsid w:val="0076216B"/>
    <w:rsid w:val="0076275C"/>
    <w:rsid w:val="00762948"/>
    <w:rsid w:val="00762A81"/>
    <w:rsid w:val="00763137"/>
    <w:rsid w:val="00763AED"/>
    <w:rsid w:val="00763BF0"/>
    <w:rsid w:val="00763F8B"/>
    <w:rsid w:val="007640F3"/>
    <w:rsid w:val="0076417E"/>
    <w:rsid w:val="0076497F"/>
    <w:rsid w:val="00765BD7"/>
    <w:rsid w:val="007660EC"/>
    <w:rsid w:val="007662C7"/>
    <w:rsid w:val="00766862"/>
    <w:rsid w:val="0076726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648"/>
    <w:rsid w:val="00781727"/>
    <w:rsid w:val="007823E8"/>
    <w:rsid w:val="00782CF3"/>
    <w:rsid w:val="00783122"/>
    <w:rsid w:val="00783959"/>
    <w:rsid w:val="00783BA5"/>
    <w:rsid w:val="007844A9"/>
    <w:rsid w:val="007847B1"/>
    <w:rsid w:val="00785091"/>
    <w:rsid w:val="00785797"/>
    <w:rsid w:val="0078638C"/>
    <w:rsid w:val="007869F9"/>
    <w:rsid w:val="00786CBB"/>
    <w:rsid w:val="00786E21"/>
    <w:rsid w:val="0079038E"/>
    <w:rsid w:val="00790EBB"/>
    <w:rsid w:val="00791C6E"/>
    <w:rsid w:val="00791FA3"/>
    <w:rsid w:val="007921F7"/>
    <w:rsid w:val="00792909"/>
    <w:rsid w:val="00792A86"/>
    <w:rsid w:val="00792BC6"/>
    <w:rsid w:val="00792C3F"/>
    <w:rsid w:val="00792EE2"/>
    <w:rsid w:val="00792EFD"/>
    <w:rsid w:val="00793105"/>
    <w:rsid w:val="007931E8"/>
    <w:rsid w:val="00793333"/>
    <w:rsid w:val="00793F57"/>
    <w:rsid w:val="00794158"/>
    <w:rsid w:val="00794509"/>
    <w:rsid w:val="00794D80"/>
    <w:rsid w:val="00794E46"/>
    <w:rsid w:val="007952DE"/>
    <w:rsid w:val="00795479"/>
    <w:rsid w:val="00796292"/>
    <w:rsid w:val="007965D9"/>
    <w:rsid w:val="00796B97"/>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85"/>
    <w:rsid w:val="007A3D85"/>
    <w:rsid w:val="007A3E0D"/>
    <w:rsid w:val="007A436D"/>
    <w:rsid w:val="007A4DDC"/>
    <w:rsid w:val="007A54F6"/>
    <w:rsid w:val="007A55BC"/>
    <w:rsid w:val="007A55FE"/>
    <w:rsid w:val="007A582C"/>
    <w:rsid w:val="007A5950"/>
    <w:rsid w:val="007A6D91"/>
    <w:rsid w:val="007A7618"/>
    <w:rsid w:val="007B00C9"/>
    <w:rsid w:val="007B02C7"/>
    <w:rsid w:val="007B0306"/>
    <w:rsid w:val="007B08E4"/>
    <w:rsid w:val="007B0A36"/>
    <w:rsid w:val="007B0D86"/>
    <w:rsid w:val="007B28C3"/>
    <w:rsid w:val="007B321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B3"/>
    <w:rsid w:val="007C2D00"/>
    <w:rsid w:val="007C3590"/>
    <w:rsid w:val="007C387A"/>
    <w:rsid w:val="007C398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28"/>
    <w:rsid w:val="007D2882"/>
    <w:rsid w:val="007D296C"/>
    <w:rsid w:val="007D2C31"/>
    <w:rsid w:val="007D2E50"/>
    <w:rsid w:val="007D3D74"/>
    <w:rsid w:val="007D3EA4"/>
    <w:rsid w:val="007D445F"/>
    <w:rsid w:val="007D4DED"/>
    <w:rsid w:val="007D4EDC"/>
    <w:rsid w:val="007D5BA2"/>
    <w:rsid w:val="007D5ED3"/>
    <w:rsid w:val="007D682F"/>
    <w:rsid w:val="007D6FB9"/>
    <w:rsid w:val="007D7211"/>
    <w:rsid w:val="007D7569"/>
    <w:rsid w:val="007E0595"/>
    <w:rsid w:val="007E0A63"/>
    <w:rsid w:val="007E0C63"/>
    <w:rsid w:val="007E0E05"/>
    <w:rsid w:val="007E0F5D"/>
    <w:rsid w:val="007E1E49"/>
    <w:rsid w:val="007E1ECA"/>
    <w:rsid w:val="007E23A1"/>
    <w:rsid w:val="007E259F"/>
    <w:rsid w:val="007E347E"/>
    <w:rsid w:val="007E41A4"/>
    <w:rsid w:val="007E43E3"/>
    <w:rsid w:val="007E4854"/>
    <w:rsid w:val="007E54B8"/>
    <w:rsid w:val="007E5D12"/>
    <w:rsid w:val="007E6235"/>
    <w:rsid w:val="007E6420"/>
    <w:rsid w:val="007E677F"/>
    <w:rsid w:val="007E6B25"/>
    <w:rsid w:val="007E6E06"/>
    <w:rsid w:val="007E6F4A"/>
    <w:rsid w:val="007E79CC"/>
    <w:rsid w:val="007F04E6"/>
    <w:rsid w:val="007F1124"/>
    <w:rsid w:val="007F152D"/>
    <w:rsid w:val="007F20C4"/>
    <w:rsid w:val="007F20EE"/>
    <w:rsid w:val="007F23D8"/>
    <w:rsid w:val="007F3030"/>
    <w:rsid w:val="007F307A"/>
    <w:rsid w:val="007F30C6"/>
    <w:rsid w:val="007F318A"/>
    <w:rsid w:val="007F38FD"/>
    <w:rsid w:val="007F3A50"/>
    <w:rsid w:val="007F3C18"/>
    <w:rsid w:val="007F4318"/>
    <w:rsid w:val="007F4709"/>
    <w:rsid w:val="007F47DA"/>
    <w:rsid w:val="007F4E52"/>
    <w:rsid w:val="007F4F84"/>
    <w:rsid w:val="007F5382"/>
    <w:rsid w:val="007F55A4"/>
    <w:rsid w:val="007F5D28"/>
    <w:rsid w:val="007F6260"/>
    <w:rsid w:val="007F682B"/>
    <w:rsid w:val="007F759D"/>
    <w:rsid w:val="007F7745"/>
    <w:rsid w:val="007F78E8"/>
    <w:rsid w:val="007F7F8F"/>
    <w:rsid w:val="00800509"/>
    <w:rsid w:val="0080078E"/>
    <w:rsid w:val="00800B7F"/>
    <w:rsid w:val="008012B1"/>
    <w:rsid w:val="00801466"/>
    <w:rsid w:val="00801D63"/>
    <w:rsid w:val="00802112"/>
    <w:rsid w:val="0080348B"/>
    <w:rsid w:val="00803D82"/>
    <w:rsid w:val="00803D98"/>
    <w:rsid w:val="008052CE"/>
    <w:rsid w:val="008058D0"/>
    <w:rsid w:val="00806A4C"/>
    <w:rsid w:val="00806FED"/>
    <w:rsid w:val="0080705B"/>
    <w:rsid w:val="0080723C"/>
    <w:rsid w:val="00807F71"/>
    <w:rsid w:val="0081000F"/>
    <w:rsid w:val="00811748"/>
    <w:rsid w:val="00812657"/>
    <w:rsid w:val="00812A1A"/>
    <w:rsid w:val="00812DFF"/>
    <w:rsid w:val="0081362F"/>
    <w:rsid w:val="0081383A"/>
    <w:rsid w:val="0081497F"/>
    <w:rsid w:val="00814B90"/>
    <w:rsid w:val="00814FC7"/>
    <w:rsid w:val="008154DA"/>
    <w:rsid w:val="0081660C"/>
    <w:rsid w:val="00816AD8"/>
    <w:rsid w:val="00816AD9"/>
    <w:rsid w:val="00817195"/>
    <w:rsid w:val="00817416"/>
    <w:rsid w:val="00817658"/>
    <w:rsid w:val="008206AE"/>
    <w:rsid w:val="00821271"/>
    <w:rsid w:val="00821306"/>
    <w:rsid w:val="0082133F"/>
    <w:rsid w:val="00821361"/>
    <w:rsid w:val="008213D9"/>
    <w:rsid w:val="008216CE"/>
    <w:rsid w:val="008218AE"/>
    <w:rsid w:val="00821D85"/>
    <w:rsid w:val="00821E47"/>
    <w:rsid w:val="008220F6"/>
    <w:rsid w:val="00822456"/>
    <w:rsid w:val="00823819"/>
    <w:rsid w:val="00823C4B"/>
    <w:rsid w:val="00823F50"/>
    <w:rsid w:val="00823FCD"/>
    <w:rsid w:val="0082427D"/>
    <w:rsid w:val="00824872"/>
    <w:rsid w:val="00824FB9"/>
    <w:rsid w:val="00824FD9"/>
    <w:rsid w:val="00825441"/>
    <w:rsid w:val="00826855"/>
    <w:rsid w:val="008269A9"/>
    <w:rsid w:val="00826E73"/>
    <w:rsid w:val="00827EFA"/>
    <w:rsid w:val="00830052"/>
    <w:rsid w:val="008300D0"/>
    <w:rsid w:val="008308D8"/>
    <w:rsid w:val="0083093A"/>
    <w:rsid w:val="00830ECE"/>
    <w:rsid w:val="008320D2"/>
    <w:rsid w:val="008321CE"/>
    <w:rsid w:val="0083257C"/>
    <w:rsid w:val="0083261B"/>
    <w:rsid w:val="00832A4F"/>
    <w:rsid w:val="00832B44"/>
    <w:rsid w:val="00832EC9"/>
    <w:rsid w:val="00833307"/>
    <w:rsid w:val="00833583"/>
    <w:rsid w:val="008337CD"/>
    <w:rsid w:val="00833B5B"/>
    <w:rsid w:val="00833E9A"/>
    <w:rsid w:val="008347AC"/>
    <w:rsid w:val="00834FEF"/>
    <w:rsid w:val="00836323"/>
    <w:rsid w:val="00836D7F"/>
    <w:rsid w:val="008379FF"/>
    <w:rsid w:val="00837D3D"/>
    <w:rsid w:val="00837E9B"/>
    <w:rsid w:val="008404AA"/>
    <w:rsid w:val="008406D7"/>
    <w:rsid w:val="00840718"/>
    <w:rsid w:val="0084074F"/>
    <w:rsid w:val="008407BA"/>
    <w:rsid w:val="00840AA3"/>
    <w:rsid w:val="00840AAC"/>
    <w:rsid w:val="0084101C"/>
    <w:rsid w:val="0084181B"/>
    <w:rsid w:val="00841F29"/>
    <w:rsid w:val="0084218B"/>
    <w:rsid w:val="008425CC"/>
    <w:rsid w:val="008425DE"/>
    <w:rsid w:val="00842DC2"/>
    <w:rsid w:val="0084357B"/>
    <w:rsid w:val="008465B4"/>
    <w:rsid w:val="00846D25"/>
    <w:rsid w:val="00846E6E"/>
    <w:rsid w:val="00850013"/>
    <w:rsid w:val="008500DD"/>
    <w:rsid w:val="00850A0A"/>
    <w:rsid w:val="00850A94"/>
    <w:rsid w:val="0085199A"/>
    <w:rsid w:val="00851CEF"/>
    <w:rsid w:val="00851E01"/>
    <w:rsid w:val="00851E96"/>
    <w:rsid w:val="00851F1C"/>
    <w:rsid w:val="0085237B"/>
    <w:rsid w:val="00852FA5"/>
    <w:rsid w:val="00853864"/>
    <w:rsid w:val="008539F4"/>
    <w:rsid w:val="00853F7D"/>
    <w:rsid w:val="0085517F"/>
    <w:rsid w:val="0085562D"/>
    <w:rsid w:val="00855A78"/>
    <w:rsid w:val="00856154"/>
    <w:rsid w:val="00856286"/>
    <w:rsid w:val="0085657E"/>
    <w:rsid w:val="00856F0E"/>
    <w:rsid w:val="008573AF"/>
    <w:rsid w:val="008576B0"/>
    <w:rsid w:val="00860296"/>
    <w:rsid w:val="008602E3"/>
    <w:rsid w:val="008609D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C1"/>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69A"/>
    <w:rsid w:val="0088093C"/>
    <w:rsid w:val="00880BC0"/>
    <w:rsid w:val="0088127A"/>
    <w:rsid w:val="00881D59"/>
    <w:rsid w:val="00881EBC"/>
    <w:rsid w:val="008821A9"/>
    <w:rsid w:val="00882991"/>
    <w:rsid w:val="00882EC1"/>
    <w:rsid w:val="0088324E"/>
    <w:rsid w:val="0088434F"/>
    <w:rsid w:val="00884371"/>
    <w:rsid w:val="008848E2"/>
    <w:rsid w:val="00884B7A"/>
    <w:rsid w:val="00884D47"/>
    <w:rsid w:val="00884DEF"/>
    <w:rsid w:val="00885169"/>
    <w:rsid w:val="008856C5"/>
    <w:rsid w:val="0088600D"/>
    <w:rsid w:val="00886112"/>
    <w:rsid w:val="008872B3"/>
    <w:rsid w:val="00887392"/>
    <w:rsid w:val="008873D8"/>
    <w:rsid w:val="00890A64"/>
    <w:rsid w:val="00890C40"/>
    <w:rsid w:val="0089122E"/>
    <w:rsid w:val="008912A7"/>
    <w:rsid w:val="008915B6"/>
    <w:rsid w:val="00891763"/>
    <w:rsid w:val="0089183A"/>
    <w:rsid w:val="008920B4"/>
    <w:rsid w:val="008925EB"/>
    <w:rsid w:val="0089275E"/>
    <w:rsid w:val="00892B43"/>
    <w:rsid w:val="00893432"/>
    <w:rsid w:val="00893936"/>
    <w:rsid w:val="00893CE2"/>
    <w:rsid w:val="00893F41"/>
    <w:rsid w:val="008944BA"/>
    <w:rsid w:val="00894934"/>
    <w:rsid w:val="00895144"/>
    <w:rsid w:val="00895963"/>
    <w:rsid w:val="0089653D"/>
    <w:rsid w:val="008972B6"/>
    <w:rsid w:val="00897339"/>
    <w:rsid w:val="00897697"/>
    <w:rsid w:val="008977E1"/>
    <w:rsid w:val="00897BFA"/>
    <w:rsid w:val="00897D19"/>
    <w:rsid w:val="008A0044"/>
    <w:rsid w:val="008A0BFE"/>
    <w:rsid w:val="008A1023"/>
    <w:rsid w:val="008A1932"/>
    <w:rsid w:val="008A2030"/>
    <w:rsid w:val="008A21D9"/>
    <w:rsid w:val="008A232D"/>
    <w:rsid w:val="008A3182"/>
    <w:rsid w:val="008A3C76"/>
    <w:rsid w:val="008A3D54"/>
    <w:rsid w:val="008A3E10"/>
    <w:rsid w:val="008A404B"/>
    <w:rsid w:val="008A411C"/>
    <w:rsid w:val="008A45AC"/>
    <w:rsid w:val="008A4630"/>
    <w:rsid w:val="008A47CE"/>
    <w:rsid w:val="008A4CF6"/>
    <w:rsid w:val="008A4DFA"/>
    <w:rsid w:val="008A5F2F"/>
    <w:rsid w:val="008A6BAE"/>
    <w:rsid w:val="008A7350"/>
    <w:rsid w:val="008A74AD"/>
    <w:rsid w:val="008A760A"/>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0E"/>
    <w:rsid w:val="008B48EC"/>
    <w:rsid w:val="008B4AF0"/>
    <w:rsid w:val="008B518E"/>
    <w:rsid w:val="008B527B"/>
    <w:rsid w:val="008B5AB9"/>
    <w:rsid w:val="008B67E6"/>
    <w:rsid w:val="008B69B8"/>
    <w:rsid w:val="008B7042"/>
    <w:rsid w:val="008B770C"/>
    <w:rsid w:val="008C0325"/>
    <w:rsid w:val="008C094A"/>
    <w:rsid w:val="008C1011"/>
    <w:rsid w:val="008C1570"/>
    <w:rsid w:val="008C1792"/>
    <w:rsid w:val="008C17B2"/>
    <w:rsid w:val="008C1E3E"/>
    <w:rsid w:val="008C2059"/>
    <w:rsid w:val="008C21D0"/>
    <w:rsid w:val="008C2DBC"/>
    <w:rsid w:val="008C3639"/>
    <w:rsid w:val="008C3A4E"/>
    <w:rsid w:val="008C3DF0"/>
    <w:rsid w:val="008C4B17"/>
    <w:rsid w:val="008C5371"/>
    <w:rsid w:val="008C546A"/>
    <w:rsid w:val="008C623D"/>
    <w:rsid w:val="008C65F4"/>
    <w:rsid w:val="008C6683"/>
    <w:rsid w:val="008C6917"/>
    <w:rsid w:val="008C6A25"/>
    <w:rsid w:val="008C6D08"/>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48F"/>
    <w:rsid w:val="008D3B9F"/>
    <w:rsid w:val="008D3D02"/>
    <w:rsid w:val="008D3D5A"/>
    <w:rsid w:val="008D3FD6"/>
    <w:rsid w:val="008D4226"/>
    <w:rsid w:val="008D4427"/>
    <w:rsid w:val="008D4D7C"/>
    <w:rsid w:val="008D5432"/>
    <w:rsid w:val="008D54C0"/>
    <w:rsid w:val="008D5558"/>
    <w:rsid w:val="008D5806"/>
    <w:rsid w:val="008D5ED9"/>
    <w:rsid w:val="008D65BE"/>
    <w:rsid w:val="008D7247"/>
    <w:rsid w:val="008D7567"/>
    <w:rsid w:val="008E0EE4"/>
    <w:rsid w:val="008E12BE"/>
    <w:rsid w:val="008E13FD"/>
    <w:rsid w:val="008E1C24"/>
    <w:rsid w:val="008E1FBA"/>
    <w:rsid w:val="008E2626"/>
    <w:rsid w:val="008E27A9"/>
    <w:rsid w:val="008E299E"/>
    <w:rsid w:val="008E2CE4"/>
    <w:rsid w:val="008E323C"/>
    <w:rsid w:val="008E32E0"/>
    <w:rsid w:val="008E35A6"/>
    <w:rsid w:val="008E36D9"/>
    <w:rsid w:val="008E3A1A"/>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CE"/>
    <w:rsid w:val="009000F2"/>
    <w:rsid w:val="00900675"/>
    <w:rsid w:val="0090079D"/>
    <w:rsid w:val="0090086A"/>
    <w:rsid w:val="00900D2C"/>
    <w:rsid w:val="00901807"/>
    <w:rsid w:val="00901F0E"/>
    <w:rsid w:val="009026F1"/>
    <w:rsid w:val="00902743"/>
    <w:rsid w:val="00902A26"/>
    <w:rsid w:val="00902A57"/>
    <w:rsid w:val="00902B29"/>
    <w:rsid w:val="00903C83"/>
    <w:rsid w:val="00903D77"/>
    <w:rsid w:val="0090408F"/>
    <w:rsid w:val="0090446A"/>
    <w:rsid w:val="00904537"/>
    <w:rsid w:val="00904746"/>
    <w:rsid w:val="00904DC3"/>
    <w:rsid w:val="0090534A"/>
    <w:rsid w:val="00905469"/>
    <w:rsid w:val="00905B3B"/>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825"/>
    <w:rsid w:val="00916E45"/>
    <w:rsid w:val="0092077A"/>
    <w:rsid w:val="00920DC0"/>
    <w:rsid w:val="009217D5"/>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27C8B"/>
    <w:rsid w:val="009307CA"/>
    <w:rsid w:val="009312F9"/>
    <w:rsid w:val="00931445"/>
    <w:rsid w:val="00931AB8"/>
    <w:rsid w:val="00931C19"/>
    <w:rsid w:val="00931C63"/>
    <w:rsid w:val="00931D10"/>
    <w:rsid w:val="0093218A"/>
    <w:rsid w:val="0093370B"/>
    <w:rsid w:val="0093386D"/>
    <w:rsid w:val="009348B2"/>
    <w:rsid w:val="00934C8E"/>
    <w:rsid w:val="00934E28"/>
    <w:rsid w:val="00934EB8"/>
    <w:rsid w:val="00935194"/>
    <w:rsid w:val="0093545F"/>
    <w:rsid w:val="0093554C"/>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2C"/>
    <w:rsid w:val="00947BA5"/>
    <w:rsid w:val="00950805"/>
    <w:rsid w:val="009517E4"/>
    <w:rsid w:val="009518D4"/>
    <w:rsid w:val="009520BC"/>
    <w:rsid w:val="009521D2"/>
    <w:rsid w:val="00952403"/>
    <w:rsid w:val="00952589"/>
    <w:rsid w:val="00952BD8"/>
    <w:rsid w:val="00953573"/>
    <w:rsid w:val="0095361D"/>
    <w:rsid w:val="0095370A"/>
    <w:rsid w:val="009537C0"/>
    <w:rsid w:val="0095523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316"/>
    <w:rsid w:val="009625B7"/>
    <w:rsid w:val="00962FB8"/>
    <w:rsid w:val="00963183"/>
    <w:rsid w:val="0096356A"/>
    <w:rsid w:val="0096373F"/>
    <w:rsid w:val="00964007"/>
    <w:rsid w:val="00964283"/>
    <w:rsid w:val="009642A4"/>
    <w:rsid w:val="009643F4"/>
    <w:rsid w:val="009645A6"/>
    <w:rsid w:val="00964F5A"/>
    <w:rsid w:val="0096527F"/>
    <w:rsid w:val="009653ED"/>
    <w:rsid w:val="009664AE"/>
    <w:rsid w:val="00966A21"/>
    <w:rsid w:val="00966AD2"/>
    <w:rsid w:val="009672E4"/>
    <w:rsid w:val="0097025C"/>
    <w:rsid w:val="00971415"/>
    <w:rsid w:val="009716D8"/>
    <w:rsid w:val="00971F54"/>
    <w:rsid w:val="00972057"/>
    <w:rsid w:val="0097227B"/>
    <w:rsid w:val="0097262E"/>
    <w:rsid w:val="0097293F"/>
    <w:rsid w:val="00973103"/>
    <w:rsid w:val="00974022"/>
    <w:rsid w:val="009743E8"/>
    <w:rsid w:val="009745D8"/>
    <w:rsid w:val="00974C13"/>
    <w:rsid w:val="00974F3B"/>
    <w:rsid w:val="0097552A"/>
    <w:rsid w:val="0097564A"/>
    <w:rsid w:val="00975974"/>
    <w:rsid w:val="00975D06"/>
    <w:rsid w:val="00975D63"/>
    <w:rsid w:val="00975DAE"/>
    <w:rsid w:val="00976BBE"/>
    <w:rsid w:val="00976ECE"/>
    <w:rsid w:val="009779F8"/>
    <w:rsid w:val="0098055B"/>
    <w:rsid w:val="00980B30"/>
    <w:rsid w:val="009810BE"/>
    <w:rsid w:val="00981696"/>
    <w:rsid w:val="009817BC"/>
    <w:rsid w:val="009819A7"/>
    <w:rsid w:val="0098220A"/>
    <w:rsid w:val="00982E75"/>
    <w:rsid w:val="00983337"/>
    <w:rsid w:val="009836AA"/>
    <w:rsid w:val="009840C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CD2"/>
    <w:rsid w:val="00990EB7"/>
    <w:rsid w:val="00990F5F"/>
    <w:rsid w:val="009911A7"/>
    <w:rsid w:val="009913B8"/>
    <w:rsid w:val="009914E4"/>
    <w:rsid w:val="00992141"/>
    <w:rsid w:val="009921DB"/>
    <w:rsid w:val="00992509"/>
    <w:rsid w:val="00992C67"/>
    <w:rsid w:val="00992D5B"/>
    <w:rsid w:val="00993135"/>
    <w:rsid w:val="00993AA7"/>
    <w:rsid w:val="00993AC7"/>
    <w:rsid w:val="00993BAD"/>
    <w:rsid w:val="00993E49"/>
    <w:rsid w:val="00994120"/>
    <w:rsid w:val="009942F5"/>
    <w:rsid w:val="00994568"/>
    <w:rsid w:val="00994602"/>
    <w:rsid w:val="0099493F"/>
    <w:rsid w:val="009954B7"/>
    <w:rsid w:val="00995B01"/>
    <w:rsid w:val="00996055"/>
    <w:rsid w:val="00996E2E"/>
    <w:rsid w:val="00996EF4"/>
    <w:rsid w:val="00997044"/>
    <w:rsid w:val="00997727"/>
    <w:rsid w:val="00997BC9"/>
    <w:rsid w:val="00997C44"/>
    <w:rsid w:val="009A113D"/>
    <w:rsid w:val="009A1ECA"/>
    <w:rsid w:val="009A2BE9"/>
    <w:rsid w:val="009A2BF3"/>
    <w:rsid w:val="009A3688"/>
    <w:rsid w:val="009A3713"/>
    <w:rsid w:val="009A3C3E"/>
    <w:rsid w:val="009A4153"/>
    <w:rsid w:val="009A4C2C"/>
    <w:rsid w:val="009A4D55"/>
    <w:rsid w:val="009A4E60"/>
    <w:rsid w:val="009A543A"/>
    <w:rsid w:val="009A5620"/>
    <w:rsid w:val="009A59B3"/>
    <w:rsid w:val="009A5FAE"/>
    <w:rsid w:val="009A6454"/>
    <w:rsid w:val="009A6B3A"/>
    <w:rsid w:val="009A70A3"/>
    <w:rsid w:val="009A7E7C"/>
    <w:rsid w:val="009B05D2"/>
    <w:rsid w:val="009B0A82"/>
    <w:rsid w:val="009B152B"/>
    <w:rsid w:val="009B2731"/>
    <w:rsid w:val="009B2DCF"/>
    <w:rsid w:val="009B39D8"/>
    <w:rsid w:val="009B3D38"/>
    <w:rsid w:val="009B4368"/>
    <w:rsid w:val="009B4D4C"/>
    <w:rsid w:val="009B66F5"/>
    <w:rsid w:val="009B7505"/>
    <w:rsid w:val="009C0020"/>
    <w:rsid w:val="009C03F7"/>
    <w:rsid w:val="009C0B8F"/>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B"/>
    <w:rsid w:val="009D03B7"/>
    <w:rsid w:val="009D07AD"/>
    <w:rsid w:val="009D0824"/>
    <w:rsid w:val="009D0A54"/>
    <w:rsid w:val="009D1172"/>
    <w:rsid w:val="009D13CC"/>
    <w:rsid w:val="009D14C1"/>
    <w:rsid w:val="009D1654"/>
    <w:rsid w:val="009D1AAC"/>
    <w:rsid w:val="009D1BDB"/>
    <w:rsid w:val="009D23B3"/>
    <w:rsid w:val="009D298F"/>
    <w:rsid w:val="009D2F9C"/>
    <w:rsid w:val="009D4207"/>
    <w:rsid w:val="009D4508"/>
    <w:rsid w:val="009D4E4A"/>
    <w:rsid w:val="009D5130"/>
    <w:rsid w:val="009D51A4"/>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B6"/>
    <w:rsid w:val="009E377C"/>
    <w:rsid w:val="009E38D1"/>
    <w:rsid w:val="009E3DF1"/>
    <w:rsid w:val="009E44C6"/>
    <w:rsid w:val="009E514A"/>
    <w:rsid w:val="009E5177"/>
    <w:rsid w:val="009E5701"/>
    <w:rsid w:val="009E5711"/>
    <w:rsid w:val="009E758E"/>
    <w:rsid w:val="009E7BA2"/>
    <w:rsid w:val="009E7BFB"/>
    <w:rsid w:val="009E7D6B"/>
    <w:rsid w:val="009E7E81"/>
    <w:rsid w:val="009F020A"/>
    <w:rsid w:val="009F057B"/>
    <w:rsid w:val="009F05AD"/>
    <w:rsid w:val="009F0659"/>
    <w:rsid w:val="009F1109"/>
    <w:rsid w:val="009F143E"/>
    <w:rsid w:val="009F1DE8"/>
    <w:rsid w:val="009F2186"/>
    <w:rsid w:val="009F227C"/>
    <w:rsid w:val="009F28DC"/>
    <w:rsid w:val="009F2BE1"/>
    <w:rsid w:val="009F2EDB"/>
    <w:rsid w:val="009F304C"/>
    <w:rsid w:val="009F33DC"/>
    <w:rsid w:val="009F3572"/>
    <w:rsid w:val="009F4550"/>
    <w:rsid w:val="009F56C0"/>
    <w:rsid w:val="009F5C76"/>
    <w:rsid w:val="00A000C5"/>
    <w:rsid w:val="00A0051A"/>
    <w:rsid w:val="00A007B4"/>
    <w:rsid w:val="00A00930"/>
    <w:rsid w:val="00A00CA0"/>
    <w:rsid w:val="00A00E00"/>
    <w:rsid w:val="00A01221"/>
    <w:rsid w:val="00A012A8"/>
    <w:rsid w:val="00A012F1"/>
    <w:rsid w:val="00A016FF"/>
    <w:rsid w:val="00A01886"/>
    <w:rsid w:val="00A0192D"/>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DD"/>
    <w:rsid w:val="00A21838"/>
    <w:rsid w:val="00A22530"/>
    <w:rsid w:val="00A22C10"/>
    <w:rsid w:val="00A22C3E"/>
    <w:rsid w:val="00A22C4D"/>
    <w:rsid w:val="00A2334E"/>
    <w:rsid w:val="00A23442"/>
    <w:rsid w:val="00A249D2"/>
    <w:rsid w:val="00A254AB"/>
    <w:rsid w:val="00A259F2"/>
    <w:rsid w:val="00A266B3"/>
    <w:rsid w:val="00A266CC"/>
    <w:rsid w:val="00A26DB4"/>
    <w:rsid w:val="00A27425"/>
    <w:rsid w:val="00A27FAD"/>
    <w:rsid w:val="00A3023E"/>
    <w:rsid w:val="00A305C5"/>
    <w:rsid w:val="00A305F0"/>
    <w:rsid w:val="00A30919"/>
    <w:rsid w:val="00A30AD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87"/>
    <w:rsid w:val="00A41819"/>
    <w:rsid w:val="00A41C9A"/>
    <w:rsid w:val="00A41D73"/>
    <w:rsid w:val="00A41E99"/>
    <w:rsid w:val="00A42406"/>
    <w:rsid w:val="00A42A74"/>
    <w:rsid w:val="00A433E8"/>
    <w:rsid w:val="00A43A1D"/>
    <w:rsid w:val="00A43AB0"/>
    <w:rsid w:val="00A440BF"/>
    <w:rsid w:val="00A44854"/>
    <w:rsid w:val="00A44A45"/>
    <w:rsid w:val="00A45660"/>
    <w:rsid w:val="00A4665D"/>
    <w:rsid w:val="00A46859"/>
    <w:rsid w:val="00A46C1E"/>
    <w:rsid w:val="00A46D39"/>
    <w:rsid w:val="00A47019"/>
    <w:rsid w:val="00A472B8"/>
    <w:rsid w:val="00A47D57"/>
    <w:rsid w:val="00A47F31"/>
    <w:rsid w:val="00A5004A"/>
    <w:rsid w:val="00A5017C"/>
    <w:rsid w:val="00A502D6"/>
    <w:rsid w:val="00A502F5"/>
    <w:rsid w:val="00A504F4"/>
    <w:rsid w:val="00A507C4"/>
    <w:rsid w:val="00A508AA"/>
    <w:rsid w:val="00A50EE7"/>
    <w:rsid w:val="00A51BDA"/>
    <w:rsid w:val="00A526CE"/>
    <w:rsid w:val="00A53224"/>
    <w:rsid w:val="00A53D28"/>
    <w:rsid w:val="00A5468F"/>
    <w:rsid w:val="00A54909"/>
    <w:rsid w:val="00A54DC0"/>
    <w:rsid w:val="00A5507E"/>
    <w:rsid w:val="00A550C9"/>
    <w:rsid w:val="00A55228"/>
    <w:rsid w:val="00A55410"/>
    <w:rsid w:val="00A55A04"/>
    <w:rsid w:val="00A564DE"/>
    <w:rsid w:val="00A6054E"/>
    <w:rsid w:val="00A60722"/>
    <w:rsid w:val="00A60799"/>
    <w:rsid w:val="00A6170B"/>
    <w:rsid w:val="00A61767"/>
    <w:rsid w:val="00A61991"/>
    <w:rsid w:val="00A61B7F"/>
    <w:rsid w:val="00A61B91"/>
    <w:rsid w:val="00A61C3A"/>
    <w:rsid w:val="00A620E8"/>
    <w:rsid w:val="00A626C8"/>
    <w:rsid w:val="00A63335"/>
    <w:rsid w:val="00A634EB"/>
    <w:rsid w:val="00A63685"/>
    <w:rsid w:val="00A63EA5"/>
    <w:rsid w:val="00A64545"/>
    <w:rsid w:val="00A645AC"/>
    <w:rsid w:val="00A64C79"/>
    <w:rsid w:val="00A65EFB"/>
    <w:rsid w:val="00A66B50"/>
    <w:rsid w:val="00A66E28"/>
    <w:rsid w:val="00A6707F"/>
    <w:rsid w:val="00A67429"/>
    <w:rsid w:val="00A677E7"/>
    <w:rsid w:val="00A67CE9"/>
    <w:rsid w:val="00A70590"/>
    <w:rsid w:val="00A7062E"/>
    <w:rsid w:val="00A70834"/>
    <w:rsid w:val="00A71542"/>
    <w:rsid w:val="00A7171F"/>
    <w:rsid w:val="00A719BC"/>
    <w:rsid w:val="00A71FA0"/>
    <w:rsid w:val="00A71FBD"/>
    <w:rsid w:val="00A72727"/>
    <w:rsid w:val="00A727D8"/>
    <w:rsid w:val="00A728A1"/>
    <w:rsid w:val="00A72C1A"/>
    <w:rsid w:val="00A732FB"/>
    <w:rsid w:val="00A7365E"/>
    <w:rsid w:val="00A7463E"/>
    <w:rsid w:val="00A74E67"/>
    <w:rsid w:val="00A758E2"/>
    <w:rsid w:val="00A7654B"/>
    <w:rsid w:val="00A765B1"/>
    <w:rsid w:val="00A76C5A"/>
    <w:rsid w:val="00A772F2"/>
    <w:rsid w:val="00A77828"/>
    <w:rsid w:val="00A77BAA"/>
    <w:rsid w:val="00A800F9"/>
    <w:rsid w:val="00A803A6"/>
    <w:rsid w:val="00A8073D"/>
    <w:rsid w:val="00A80939"/>
    <w:rsid w:val="00A80D02"/>
    <w:rsid w:val="00A815FB"/>
    <w:rsid w:val="00A81AEB"/>
    <w:rsid w:val="00A82009"/>
    <w:rsid w:val="00A82D32"/>
    <w:rsid w:val="00A82EAE"/>
    <w:rsid w:val="00A82FC7"/>
    <w:rsid w:val="00A83EF6"/>
    <w:rsid w:val="00A83FDA"/>
    <w:rsid w:val="00A847F9"/>
    <w:rsid w:val="00A84F27"/>
    <w:rsid w:val="00A8519C"/>
    <w:rsid w:val="00A855EE"/>
    <w:rsid w:val="00A8597A"/>
    <w:rsid w:val="00A85B87"/>
    <w:rsid w:val="00A85C8D"/>
    <w:rsid w:val="00A85F83"/>
    <w:rsid w:val="00A86019"/>
    <w:rsid w:val="00A86EED"/>
    <w:rsid w:val="00A8733A"/>
    <w:rsid w:val="00A9151F"/>
    <w:rsid w:val="00A9196B"/>
    <w:rsid w:val="00A91BB5"/>
    <w:rsid w:val="00A91BEE"/>
    <w:rsid w:val="00A91D4B"/>
    <w:rsid w:val="00A920B2"/>
    <w:rsid w:val="00A9240E"/>
    <w:rsid w:val="00A92A96"/>
    <w:rsid w:val="00A92AF0"/>
    <w:rsid w:val="00A933FE"/>
    <w:rsid w:val="00A937D5"/>
    <w:rsid w:val="00A93C70"/>
    <w:rsid w:val="00A94A32"/>
    <w:rsid w:val="00A94AFC"/>
    <w:rsid w:val="00A94B4E"/>
    <w:rsid w:val="00A94BF5"/>
    <w:rsid w:val="00A954F8"/>
    <w:rsid w:val="00A9557E"/>
    <w:rsid w:val="00A962AE"/>
    <w:rsid w:val="00A96724"/>
    <w:rsid w:val="00A9686A"/>
    <w:rsid w:val="00A96B4A"/>
    <w:rsid w:val="00A976DD"/>
    <w:rsid w:val="00A97BDA"/>
    <w:rsid w:val="00AA043A"/>
    <w:rsid w:val="00AA0779"/>
    <w:rsid w:val="00AA08F3"/>
    <w:rsid w:val="00AA0A7E"/>
    <w:rsid w:val="00AA0F23"/>
    <w:rsid w:val="00AA1067"/>
    <w:rsid w:val="00AA1163"/>
    <w:rsid w:val="00AA1DA8"/>
    <w:rsid w:val="00AA222C"/>
    <w:rsid w:val="00AA2264"/>
    <w:rsid w:val="00AA2335"/>
    <w:rsid w:val="00AA238E"/>
    <w:rsid w:val="00AA2483"/>
    <w:rsid w:val="00AA253B"/>
    <w:rsid w:val="00AA29F8"/>
    <w:rsid w:val="00AA2FB1"/>
    <w:rsid w:val="00AA3243"/>
    <w:rsid w:val="00AA388F"/>
    <w:rsid w:val="00AA3C4C"/>
    <w:rsid w:val="00AA3EBF"/>
    <w:rsid w:val="00AA408E"/>
    <w:rsid w:val="00AA4DA9"/>
    <w:rsid w:val="00AA4F6D"/>
    <w:rsid w:val="00AA50CE"/>
    <w:rsid w:val="00AA536B"/>
    <w:rsid w:val="00AA57C9"/>
    <w:rsid w:val="00AA5A5C"/>
    <w:rsid w:val="00AA5A6F"/>
    <w:rsid w:val="00AA634D"/>
    <w:rsid w:val="00AA64CC"/>
    <w:rsid w:val="00AA66B4"/>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ED"/>
    <w:rsid w:val="00AB4E41"/>
    <w:rsid w:val="00AB5B90"/>
    <w:rsid w:val="00AB5EB1"/>
    <w:rsid w:val="00AB6003"/>
    <w:rsid w:val="00AB759A"/>
    <w:rsid w:val="00AB7B06"/>
    <w:rsid w:val="00AB7EAA"/>
    <w:rsid w:val="00AC0432"/>
    <w:rsid w:val="00AC0770"/>
    <w:rsid w:val="00AC1304"/>
    <w:rsid w:val="00AC1683"/>
    <w:rsid w:val="00AC184D"/>
    <w:rsid w:val="00AC1D82"/>
    <w:rsid w:val="00AC2686"/>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15F"/>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62D"/>
    <w:rsid w:val="00AE3CF0"/>
    <w:rsid w:val="00AE4546"/>
    <w:rsid w:val="00AE6575"/>
    <w:rsid w:val="00AE6CF9"/>
    <w:rsid w:val="00AE71EE"/>
    <w:rsid w:val="00AF03CF"/>
    <w:rsid w:val="00AF0565"/>
    <w:rsid w:val="00AF0A0A"/>
    <w:rsid w:val="00AF14FC"/>
    <w:rsid w:val="00AF178B"/>
    <w:rsid w:val="00AF1ED2"/>
    <w:rsid w:val="00AF1F4E"/>
    <w:rsid w:val="00AF2302"/>
    <w:rsid w:val="00AF262A"/>
    <w:rsid w:val="00AF32D4"/>
    <w:rsid w:val="00AF3557"/>
    <w:rsid w:val="00AF3F86"/>
    <w:rsid w:val="00AF4CEE"/>
    <w:rsid w:val="00AF4F4A"/>
    <w:rsid w:val="00AF584C"/>
    <w:rsid w:val="00AF5CCA"/>
    <w:rsid w:val="00AF5D84"/>
    <w:rsid w:val="00AF6476"/>
    <w:rsid w:val="00AF669D"/>
    <w:rsid w:val="00AF672C"/>
    <w:rsid w:val="00AF673E"/>
    <w:rsid w:val="00AF6ABE"/>
    <w:rsid w:val="00AF7389"/>
    <w:rsid w:val="00AF79DF"/>
    <w:rsid w:val="00AF7C37"/>
    <w:rsid w:val="00B00378"/>
    <w:rsid w:val="00B00D91"/>
    <w:rsid w:val="00B00E84"/>
    <w:rsid w:val="00B01956"/>
    <w:rsid w:val="00B01DD9"/>
    <w:rsid w:val="00B01F0E"/>
    <w:rsid w:val="00B02313"/>
    <w:rsid w:val="00B02E56"/>
    <w:rsid w:val="00B0315F"/>
    <w:rsid w:val="00B03338"/>
    <w:rsid w:val="00B03342"/>
    <w:rsid w:val="00B038F1"/>
    <w:rsid w:val="00B03C1B"/>
    <w:rsid w:val="00B04678"/>
    <w:rsid w:val="00B047C9"/>
    <w:rsid w:val="00B04A04"/>
    <w:rsid w:val="00B04B78"/>
    <w:rsid w:val="00B04C37"/>
    <w:rsid w:val="00B04F00"/>
    <w:rsid w:val="00B05213"/>
    <w:rsid w:val="00B05BA6"/>
    <w:rsid w:val="00B06174"/>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39"/>
    <w:rsid w:val="00B20760"/>
    <w:rsid w:val="00B2125C"/>
    <w:rsid w:val="00B21676"/>
    <w:rsid w:val="00B219E1"/>
    <w:rsid w:val="00B21ECF"/>
    <w:rsid w:val="00B22150"/>
    <w:rsid w:val="00B226DE"/>
    <w:rsid w:val="00B22FB5"/>
    <w:rsid w:val="00B24184"/>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1F8E"/>
    <w:rsid w:val="00B32295"/>
    <w:rsid w:val="00B33AB5"/>
    <w:rsid w:val="00B3412E"/>
    <w:rsid w:val="00B343E0"/>
    <w:rsid w:val="00B34F12"/>
    <w:rsid w:val="00B35B6D"/>
    <w:rsid w:val="00B35D53"/>
    <w:rsid w:val="00B36070"/>
    <w:rsid w:val="00B367C4"/>
    <w:rsid w:val="00B36D3E"/>
    <w:rsid w:val="00B37B8E"/>
    <w:rsid w:val="00B37FB9"/>
    <w:rsid w:val="00B40222"/>
    <w:rsid w:val="00B404C3"/>
    <w:rsid w:val="00B41422"/>
    <w:rsid w:val="00B41938"/>
    <w:rsid w:val="00B41A04"/>
    <w:rsid w:val="00B42743"/>
    <w:rsid w:val="00B4308D"/>
    <w:rsid w:val="00B430E9"/>
    <w:rsid w:val="00B4311F"/>
    <w:rsid w:val="00B431AE"/>
    <w:rsid w:val="00B43954"/>
    <w:rsid w:val="00B44288"/>
    <w:rsid w:val="00B448BF"/>
    <w:rsid w:val="00B45A30"/>
    <w:rsid w:val="00B45A59"/>
    <w:rsid w:val="00B45F9F"/>
    <w:rsid w:val="00B4627C"/>
    <w:rsid w:val="00B4641F"/>
    <w:rsid w:val="00B46793"/>
    <w:rsid w:val="00B46871"/>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64F"/>
    <w:rsid w:val="00B54B19"/>
    <w:rsid w:val="00B55F64"/>
    <w:rsid w:val="00B56ECA"/>
    <w:rsid w:val="00B57093"/>
    <w:rsid w:val="00B57B5D"/>
    <w:rsid w:val="00B60613"/>
    <w:rsid w:val="00B61AEC"/>
    <w:rsid w:val="00B61CF5"/>
    <w:rsid w:val="00B6244C"/>
    <w:rsid w:val="00B62A2F"/>
    <w:rsid w:val="00B62B7B"/>
    <w:rsid w:val="00B62F0A"/>
    <w:rsid w:val="00B63484"/>
    <w:rsid w:val="00B634B7"/>
    <w:rsid w:val="00B634F1"/>
    <w:rsid w:val="00B637EF"/>
    <w:rsid w:val="00B63EF6"/>
    <w:rsid w:val="00B6440A"/>
    <w:rsid w:val="00B65788"/>
    <w:rsid w:val="00B65844"/>
    <w:rsid w:val="00B65C19"/>
    <w:rsid w:val="00B66054"/>
    <w:rsid w:val="00B6677F"/>
    <w:rsid w:val="00B66C7A"/>
    <w:rsid w:val="00B672EA"/>
    <w:rsid w:val="00B6747B"/>
    <w:rsid w:val="00B677B4"/>
    <w:rsid w:val="00B70200"/>
    <w:rsid w:val="00B702D7"/>
    <w:rsid w:val="00B70389"/>
    <w:rsid w:val="00B70E01"/>
    <w:rsid w:val="00B7178D"/>
    <w:rsid w:val="00B718FA"/>
    <w:rsid w:val="00B72A0B"/>
    <w:rsid w:val="00B72CF0"/>
    <w:rsid w:val="00B72F47"/>
    <w:rsid w:val="00B7380E"/>
    <w:rsid w:val="00B740F6"/>
    <w:rsid w:val="00B74615"/>
    <w:rsid w:val="00B74789"/>
    <w:rsid w:val="00B75522"/>
    <w:rsid w:val="00B755B6"/>
    <w:rsid w:val="00B75977"/>
    <w:rsid w:val="00B75A48"/>
    <w:rsid w:val="00B75CC0"/>
    <w:rsid w:val="00B76021"/>
    <w:rsid w:val="00B766F6"/>
    <w:rsid w:val="00B76FCD"/>
    <w:rsid w:val="00B7764D"/>
    <w:rsid w:val="00B8023D"/>
    <w:rsid w:val="00B804F8"/>
    <w:rsid w:val="00B8095A"/>
    <w:rsid w:val="00B81274"/>
    <w:rsid w:val="00B815D3"/>
    <w:rsid w:val="00B81742"/>
    <w:rsid w:val="00B817B5"/>
    <w:rsid w:val="00B81C0F"/>
    <w:rsid w:val="00B823A6"/>
    <w:rsid w:val="00B830A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07"/>
    <w:rsid w:val="00B93849"/>
    <w:rsid w:val="00B938BD"/>
    <w:rsid w:val="00B93CF3"/>
    <w:rsid w:val="00B9407F"/>
    <w:rsid w:val="00B944E9"/>
    <w:rsid w:val="00B945D7"/>
    <w:rsid w:val="00B94896"/>
    <w:rsid w:val="00B94CDD"/>
    <w:rsid w:val="00B94DA7"/>
    <w:rsid w:val="00B95163"/>
    <w:rsid w:val="00B954D0"/>
    <w:rsid w:val="00B959EC"/>
    <w:rsid w:val="00B95E2B"/>
    <w:rsid w:val="00B96DD9"/>
    <w:rsid w:val="00B96EA6"/>
    <w:rsid w:val="00B9789D"/>
    <w:rsid w:val="00B97A4C"/>
    <w:rsid w:val="00B97E10"/>
    <w:rsid w:val="00BA050E"/>
    <w:rsid w:val="00BA1289"/>
    <w:rsid w:val="00BA14B2"/>
    <w:rsid w:val="00BA15DC"/>
    <w:rsid w:val="00BA1E2F"/>
    <w:rsid w:val="00BA1EB8"/>
    <w:rsid w:val="00BA2C82"/>
    <w:rsid w:val="00BA3869"/>
    <w:rsid w:val="00BA4399"/>
    <w:rsid w:val="00BA4452"/>
    <w:rsid w:val="00BA46C6"/>
    <w:rsid w:val="00BA4ACF"/>
    <w:rsid w:val="00BA5039"/>
    <w:rsid w:val="00BA513E"/>
    <w:rsid w:val="00BA583B"/>
    <w:rsid w:val="00BA5DF2"/>
    <w:rsid w:val="00BA5EC7"/>
    <w:rsid w:val="00BA6319"/>
    <w:rsid w:val="00BA63CE"/>
    <w:rsid w:val="00BA676E"/>
    <w:rsid w:val="00BA6980"/>
    <w:rsid w:val="00BA6EF2"/>
    <w:rsid w:val="00BA7227"/>
    <w:rsid w:val="00BA763C"/>
    <w:rsid w:val="00BA784C"/>
    <w:rsid w:val="00BA784D"/>
    <w:rsid w:val="00BA7CD7"/>
    <w:rsid w:val="00BB00E5"/>
    <w:rsid w:val="00BB1688"/>
    <w:rsid w:val="00BB1EFB"/>
    <w:rsid w:val="00BB269F"/>
    <w:rsid w:val="00BB27CC"/>
    <w:rsid w:val="00BB27D2"/>
    <w:rsid w:val="00BB2ACE"/>
    <w:rsid w:val="00BB2E4E"/>
    <w:rsid w:val="00BB2E62"/>
    <w:rsid w:val="00BB36C9"/>
    <w:rsid w:val="00BB3A66"/>
    <w:rsid w:val="00BB40D1"/>
    <w:rsid w:val="00BB45EE"/>
    <w:rsid w:val="00BB5A50"/>
    <w:rsid w:val="00BB5ED5"/>
    <w:rsid w:val="00BB6D85"/>
    <w:rsid w:val="00BB777D"/>
    <w:rsid w:val="00BB7EC0"/>
    <w:rsid w:val="00BB7F88"/>
    <w:rsid w:val="00BC0207"/>
    <w:rsid w:val="00BC0745"/>
    <w:rsid w:val="00BC089F"/>
    <w:rsid w:val="00BC0A0C"/>
    <w:rsid w:val="00BC0A5A"/>
    <w:rsid w:val="00BC0E64"/>
    <w:rsid w:val="00BC25D1"/>
    <w:rsid w:val="00BC2DBD"/>
    <w:rsid w:val="00BC3AFA"/>
    <w:rsid w:val="00BC3BB1"/>
    <w:rsid w:val="00BC3BCB"/>
    <w:rsid w:val="00BC3CF1"/>
    <w:rsid w:val="00BC4202"/>
    <w:rsid w:val="00BC428A"/>
    <w:rsid w:val="00BC4741"/>
    <w:rsid w:val="00BC4828"/>
    <w:rsid w:val="00BC4C40"/>
    <w:rsid w:val="00BC5A29"/>
    <w:rsid w:val="00BC5AE3"/>
    <w:rsid w:val="00BC5BAD"/>
    <w:rsid w:val="00BC692A"/>
    <w:rsid w:val="00BC6F92"/>
    <w:rsid w:val="00BC76C5"/>
    <w:rsid w:val="00BC7F94"/>
    <w:rsid w:val="00BD01D7"/>
    <w:rsid w:val="00BD0E25"/>
    <w:rsid w:val="00BD1039"/>
    <w:rsid w:val="00BD10B7"/>
    <w:rsid w:val="00BD138A"/>
    <w:rsid w:val="00BD164A"/>
    <w:rsid w:val="00BD1BDD"/>
    <w:rsid w:val="00BD1D7D"/>
    <w:rsid w:val="00BD1E27"/>
    <w:rsid w:val="00BD2B4D"/>
    <w:rsid w:val="00BD2D8E"/>
    <w:rsid w:val="00BD2F08"/>
    <w:rsid w:val="00BD2FB9"/>
    <w:rsid w:val="00BD31C2"/>
    <w:rsid w:val="00BD3683"/>
    <w:rsid w:val="00BD450A"/>
    <w:rsid w:val="00BD4717"/>
    <w:rsid w:val="00BD48EA"/>
    <w:rsid w:val="00BD4BA8"/>
    <w:rsid w:val="00BD5624"/>
    <w:rsid w:val="00BD62E6"/>
    <w:rsid w:val="00BD6B0E"/>
    <w:rsid w:val="00BD734D"/>
    <w:rsid w:val="00BD7941"/>
    <w:rsid w:val="00BD7E3C"/>
    <w:rsid w:val="00BE0591"/>
    <w:rsid w:val="00BE0C55"/>
    <w:rsid w:val="00BE0F03"/>
    <w:rsid w:val="00BE11A2"/>
    <w:rsid w:val="00BE1EF0"/>
    <w:rsid w:val="00BE246C"/>
    <w:rsid w:val="00BE2657"/>
    <w:rsid w:val="00BE2687"/>
    <w:rsid w:val="00BE2FD2"/>
    <w:rsid w:val="00BE377A"/>
    <w:rsid w:val="00BE37AE"/>
    <w:rsid w:val="00BE3B14"/>
    <w:rsid w:val="00BE3C65"/>
    <w:rsid w:val="00BE3CA7"/>
    <w:rsid w:val="00BE4222"/>
    <w:rsid w:val="00BE472D"/>
    <w:rsid w:val="00BE4C03"/>
    <w:rsid w:val="00BE67F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39E"/>
    <w:rsid w:val="00C0234A"/>
    <w:rsid w:val="00C0247B"/>
    <w:rsid w:val="00C0378E"/>
    <w:rsid w:val="00C041EE"/>
    <w:rsid w:val="00C04314"/>
    <w:rsid w:val="00C04BD0"/>
    <w:rsid w:val="00C05730"/>
    <w:rsid w:val="00C05AF4"/>
    <w:rsid w:val="00C05AFD"/>
    <w:rsid w:val="00C0661C"/>
    <w:rsid w:val="00C0675F"/>
    <w:rsid w:val="00C06CC4"/>
    <w:rsid w:val="00C06ECC"/>
    <w:rsid w:val="00C0702A"/>
    <w:rsid w:val="00C0724C"/>
    <w:rsid w:val="00C078B5"/>
    <w:rsid w:val="00C07C11"/>
    <w:rsid w:val="00C07E10"/>
    <w:rsid w:val="00C10015"/>
    <w:rsid w:val="00C10A4E"/>
    <w:rsid w:val="00C10D3B"/>
    <w:rsid w:val="00C1110A"/>
    <w:rsid w:val="00C11689"/>
    <w:rsid w:val="00C12414"/>
    <w:rsid w:val="00C12ECB"/>
    <w:rsid w:val="00C145BE"/>
    <w:rsid w:val="00C148B2"/>
    <w:rsid w:val="00C14ABD"/>
    <w:rsid w:val="00C151E0"/>
    <w:rsid w:val="00C15456"/>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264"/>
    <w:rsid w:val="00C215ED"/>
    <w:rsid w:val="00C22350"/>
    <w:rsid w:val="00C2243D"/>
    <w:rsid w:val="00C22B96"/>
    <w:rsid w:val="00C2302B"/>
    <w:rsid w:val="00C2310F"/>
    <w:rsid w:val="00C23615"/>
    <w:rsid w:val="00C2397E"/>
    <w:rsid w:val="00C23A83"/>
    <w:rsid w:val="00C24381"/>
    <w:rsid w:val="00C24801"/>
    <w:rsid w:val="00C24C2E"/>
    <w:rsid w:val="00C24C7A"/>
    <w:rsid w:val="00C24FFB"/>
    <w:rsid w:val="00C25936"/>
    <w:rsid w:val="00C25CFF"/>
    <w:rsid w:val="00C25EA6"/>
    <w:rsid w:val="00C26164"/>
    <w:rsid w:val="00C261C1"/>
    <w:rsid w:val="00C26574"/>
    <w:rsid w:val="00C26DBF"/>
    <w:rsid w:val="00C27199"/>
    <w:rsid w:val="00C27204"/>
    <w:rsid w:val="00C304E9"/>
    <w:rsid w:val="00C30A3F"/>
    <w:rsid w:val="00C30B0B"/>
    <w:rsid w:val="00C31320"/>
    <w:rsid w:val="00C316B4"/>
    <w:rsid w:val="00C31A82"/>
    <w:rsid w:val="00C332D4"/>
    <w:rsid w:val="00C33A66"/>
    <w:rsid w:val="00C33E51"/>
    <w:rsid w:val="00C33F3A"/>
    <w:rsid w:val="00C34C45"/>
    <w:rsid w:val="00C34C47"/>
    <w:rsid w:val="00C34FCE"/>
    <w:rsid w:val="00C35411"/>
    <w:rsid w:val="00C35EED"/>
    <w:rsid w:val="00C36B2C"/>
    <w:rsid w:val="00C36DEC"/>
    <w:rsid w:val="00C3701A"/>
    <w:rsid w:val="00C379EF"/>
    <w:rsid w:val="00C405C8"/>
    <w:rsid w:val="00C40C2F"/>
    <w:rsid w:val="00C40EF1"/>
    <w:rsid w:val="00C4153D"/>
    <w:rsid w:val="00C415AC"/>
    <w:rsid w:val="00C4297A"/>
    <w:rsid w:val="00C42A31"/>
    <w:rsid w:val="00C4360C"/>
    <w:rsid w:val="00C439B8"/>
    <w:rsid w:val="00C43A0B"/>
    <w:rsid w:val="00C43EDA"/>
    <w:rsid w:val="00C43FEC"/>
    <w:rsid w:val="00C4414C"/>
    <w:rsid w:val="00C45512"/>
    <w:rsid w:val="00C4602B"/>
    <w:rsid w:val="00C46564"/>
    <w:rsid w:val="00C4660E"/>
    <w:rsid w:val="00C46BFA"/>
    <w:rsid w:val="00C46DDF"/>
    <w:rsid w:val="00C500A1"/>
    <w:rsid w:val="00C50A02"/>
    <w:rsid w:val="00C51149"/>
    <w:rsid w:val="00C5117E"/>
    <w:rsid w:val="00C512D1"/>
    <w:rsid w:val="00C51856"/>
    <w:rsid w:val="00C51B04"/>
    <w:rsid w:val="00C51DB5"/>
    <w:rsid w:val="00C537E2"/>
    <w:rsid w:val="00C53CE9"/>
    <w:rsid w:val="00C5531B"/>
    <w:rsid w:val="00C55375"/>
    <w:rsid w:val="00C554E3"/>
    <w:rsid w:val="00C5570F"/>
    <w:rsid w:val="00C56C98"/>
    <w:rsid w:val="00C56DE1"/>
    <w:rsid w:val="00C56DEE"/>
    <w:rsid w:val="00C57120"/>
    <w:rsid w:val="00C571D5"/>
    <w:rsid w:val="00C575D4"/>
    <w:rsid w:val="00C57612"/>
    <w:rsid w:val="00C608A0"/>
    <w:rsid w:val="00C60CB2"/>
    <w:rsid w:val="00C61223"/>
    <w:rsid w:val="00C61246"/>
    <w:rsid w:val="00C61409"/>
    <w:rsid w:val="00C618A8"/>
    <w:rsid w:val="00C61A78"/>
    <w:rsid w:val="00C629F3"/>
    <w:rsid w:val="00C62B88"/>
    <w:rsid w:val="00C62CD3"/>
    <w:rsid w:val="00C634F9"/>
    <w:rsid w:val="00C63CDE"/>
    <w:rsid w:val="00C643ED"/>
    <w:rsid w:val="00C64534"/>
    <w:rsid w:val="00C64D93"/>
    <w:rsid w:val="00C64E46"/>
    <w:rsid w:val="00C64F49"/>
    <w:rsid w:val="00C64F71"/>
    <w:rsid w:val="00C650E3"/>
    <w:rsid w:val="00C65200"/>
    <w:rsid w:val="00C653FB"/>
    <w:rsid w:val="00C65BD3"/>
    <w:rsid w:val="00C664FB"/>
    <w:rsid w:val="00C665DE"/>
    <w:rsid w:val="00C667C3"/>
    <w:rsid w:val="00C6728B"/>
    <w:rsid w:val="00C675DA"/>
    <w:rsid w:val="00C70718"/>
    <w:rsid w:val="00C70B25"/>
    <w:rsid w:val="00C70EA7"/>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81716"/>
    <w:rsid w:val="00C832CB"/>
    <w:rsid w:val="00C84085"/>
    <w:rsid w:val="00C851D2"/>
    <w:rsid w:val="00C852DC"/>
    <w:rsid w:val="00C854A8"/>
    <w:rsid w:val="00C85677"/>
    <w:rsid w:val="00C85E17"/>
    <w:rsid w:val="00C868A7"/>
    <w:rsid w:val="00C869ED"/>
    <w:rsid w:val="00C86ABA"/>
    <w:rsid w:val="00C86BF7"/>
    <w:rsid w:val="00C87164"/>
    <w:rsid w:val="00C8786A"/>
    <w:rsid w:val="00C87972"/>
    <w:rsid w:val="00C87BBA"/>
    <w:rsid w:val="00C87BD0"/>
    <w:rsid w:val="00C905E5"/>
    <w:rsid w:val="00C90754"/>
    <w:rsid w:val="00C90905"/>
    <w:rsid w:val="00C90B95"/>
    <w:rsid w:val="00C90BC4"/>
    <w:rsid w:val="00C90CA9"/>
    <w:rsid w:val="00C91802"/>
    <w:rsid w:val="00C919DA"/>
    <w:rsid w:val="00C91FE1"/>
    <w:rsid w:val="00C92E41"/>
    <w:rsid w:val="00C92F62"/>
    <w:rsid w:val="00C93097"/>
    <w:rsid w:val="00C937B2"/>
    <w:rsid w:val="00C93B40"/>
    <w:rsid w:val="00C93DB5"/>
    <w:rsid w:val="00C93E16"/>
    <w:rsid w:val="00C93F1E"/>
    <w:rsid w:val="00C94CB9"/>
    <w:rsid w:val="00C95853"/>
    <w:rsid w:val="00C95C2F"/>
    <w:rsid w:val="00C95F87"/>
    <w:rsid w:val="00C96035"/>
    <w:rsid w:val="00C968EF"/>
    <w:rsid w:val="00C972CE"/>
    <w:rsid w:val="00C97A1E"/>
    <w:rsid w:val="00CA00B3"/>
    <w:rsid w:val="00CA0492"/>
    <w:rsid w:val="00CA05B0"/>
    <w:rsid w:val="00CA05F9"/>
    <w:rsid w:val="00CA0632"/>
    <w:rsid w:val="00CA0A04"/>
    <w:rsid w:val="00CA2528"/>
    <w:rsid w:val="00CA3CAB"/>
    <w:rsid w:val="00CA3FC0"/>
    <w:rsid w:val="00CA4816"/>
    <w:rsid w:val="00CA5685"/>
    <w:rsid w:val="00CA6A2E"/>
    <w:rsid w:val="00CA6B56"/>
    <w:rsid w:val="00CA7D3E"/>
    <w:rsid w:val="00CB0317"/>
    <w:rsid w:val="00CB0662"/>
    <w:rsid w:val="00CB0A82"/>
    <w:rsid w:val="00CB0F2F"/>
    <w:rsid w:val="00CB0F76"/>
    <w:rsid w:val="00CB1556"/>
    <w:rsid w:val="00CB1F90"/>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FE"/>
    <w:rsid w:val="00CC4701"/>
    <w:rsid w:val="00CC56B4"/>
    <w:rsid w:val="00CC5F95"/>
    <w:rsid w:val="00CC642A"/>
    <w:rsid w:val="00CC6AC7"/>
    <w:rsid w:val="00CC733D"/>
    <w:rsid w:val="00CC7617"/>
    <w:rsid w:val="00CC7E0D"/>
    <w:rsid w:val="00CC7E97"/>
    <w:rsid w:val="00CD00EB"/>
    <w:rsid w:val="00CD09A7"/>
    <w:rsid w:val="00CD1255"/>
    <w:rsid w:val="00CD1484"/>
    <w:rsid w:val="00CD1892"/>
    <w:rsid w:val="00CD1C01"/>
    <w:rsid w:val="00CD1D00"/>
    <w:rsid w:val="00CD2009"/>
    <w:rsid w:val="00CD27AC"/>
    <w:rsid w:val="00CD2A82"/>
    <w:rsid w:val="00CD3CAB"/>
    <w:rsid w:val="00CD3CE7"/>
    <w:rsid w:val="00CD44FF"/>
    <w:rsid w:val="00CD46A7"/>
    <w:rsid w:val="00CD47BC"/>
    <w:rsid w:val="00CD4E50"/>
    <w:rsid w:val="00CD57CB"/>
    <w:rsid w:val="00CD64E1"/>
    <w:rsid w:val="00CD66BA"/>
    <w:rsid w:val="00CD68D5"/>
    <w:rsid w:val="00CD699D"/>
    <w:rsid w:val="00CD6BA3"/>
    <w:rsid w:val="00CD70DB"/>
    <w:rsid w:val="00CD7530"/>
    <w:rsid w:val="00CD7544"/>
    <w:rsid w:val="00CD78D4"/>
    <w:rsid w:val="00CD7F00"/>
    <w:rsid w:val="00CE0205"/>
    <w:rsid w:val="00CE0697"/>
    <w:rsid w:val="00CE14CB"/>
    <w:rsid w:val="00CE20D7"/>
    <w:rsid w:val="00CE256C"/>
    <w:rsid w:val="00CE2E2E"/>
    <w:rsid w:val="00CE3A51"/>
    <w:rsid w:val="00CE3B18"/>
    <w:rsid w:val="00CE41F9"/>
    <w:rsid w:val="00CE4FFE"/>
    <w:rsid w:val="00CE59F6"/>
    <w:rsid w:val="00CE66CD"/>
    <w:rsid w:val="00CE6938"/>
    <w:rsid w:val="00CE6BA9"/>
    <w:rsid w:val="00CE71C3"/>
    <w:rsid w:val="00CE727A"/>
    <w:rsid w:val="00CE7E02"/>
    <w:rsid w:val="00CF029C"/>
    <w:rsid w:val="00CF0AF0"/>
    <w:rsid w:val="00CF0C4D"/>
    <w:rsid w:val="00CF157E"/>
    <w:rsid w:val="00CF1631"/>
    <w:rsid w:val="00CF1834"/>
    <w:rsid w:val="00CF1AAA"/>
    <w:rsid w:val="00CF1EC2"/>
    <w:rsid w:val="00CF2766"/>
    <w:rsid w:val="00CF2ACF"/>
    <w:rsid w:val="00CF345B"/>
    <w:rsid w:val="00CF3F7D"/>
    <w:rsid w:val="00CF475F"/>
    <w:rsid w:val="00CF5008"/>
    <w:rsid w:val="00CF5069"/>
    <w:rsid w:val="00CF51A1"/>
    <w:rsid w:val="00CF58DB"/>
    <w:rsid w:val="00CF5E34"/>
    <w:rsid w:val="00CF6707"/>
    <w:rsid w:val="00CF6EB6"/>
    <w:rsid w:val="00CF6EE8"/>
    <w:rsid w:val="00CF7101"/>
    <w:rsid w:val="00CF7327"/>
    <w:rsid w:val="00CF7385"/>
    <w:rsid w:val="00CF7539"/>
    <w:rsid w:val="00CF75C6"/>
    <w:rsid w:val="00CF7612"/>
    <w:rsid w:val="00CF7B77"/>
    <w:rsid w:val="00CF7DF5"/>
    <w:rsid w:val="00D001D2"/>
    <w:rsid w:val="00D01DAA"/>
    <w:rsid w:val="00D0254E"/>
    <w:rsid w:val="00D026A8"/>
    <w:rsid w:val="00D02A80"/>
    <w:rsid w:val="00D0352D"/>
    <w:rsid w:val="00D038DC"/>
    <w:rsid w:val="00D04F01"/>
    <w:rsid w:val="00D04F8B"/>
    <w:rsid w:val="00D054EF"/>
    <w:rsid w:val="00D0559E"/>
    <w:rsid w:val="00D05637"/>
    <w:rsid w:val="00D05BA9"/>
    <w:rsid w:val="00D05EB1"/>
    <w:rsid w:val="00D0650B"/>
    <w:rsid w:val="00D068AA"/>
    <w:rsid w:val="00D06E71"/>
    <w:rsid w:val="00D06E9C"/>
    <w:rsid w:val="00D0714B"/>
    <w:rsid w:val="00D0764E"/>
    <w:rsid w:val="00D07D82"/>
    <w:rsid w:val="00D101F5"/>
    <w:rsid w:val="00D10327"/>
    <w:rsid w:val="00D103C9"/>
    <w:rsid w:val="00D104CF"/>
    <w:rsid w:val="00D1079C"/>
    <w:rsid w:val="00D10BE1"/>
    <w:rsid w:val="00D11FE3"/>
    <w:rsid w:val="00D12393"/>
    <w:rsid w:val="00D12945"/>
    <w:rsid w:val="00D12CC0"/>
    <w:rsid w:val="00D12DA1"/>
    <w:rsid w:val="00D130C0"/>
    <w:rsid w:val="00D1343A"/>
    <w:rsid w:val="00D13B85"/>
    <w:rsid w:val="00D13D50"/>
    <w:rsid w:val="00D14101"/>
    <w:rsid w:val="00D144D8"/>
    <w:rsid w:val="00D14919"/>
    <w:rsid w:val="00D14DD3"/>
    <w:rsid w:val="00D14E25"/>
    <w:rsid w:val="00D14FD1"/>
    <w:rsid w:val="00D15470"/>
    <w:rsid w:val="00D15AE3"/>
    <w:rsid w:val="00D160C4"/>
    <w:rsid w:val="00D165D8"/>
    <w:rsid w:val="00D1724E"/>
    <w:rsid w:val="00D17A33"/>
    <w:rsid w:val="00D17C26"/>
    <w:rsid w:val="00D17E08"/>
    <w:rsid w:val="00D206F6"/>
    <w:rsid w:val="00D20FD1"/>
    <w:rsid w:val="00D214D4"/>
    <w:rsid w:val="00D21AAA"/>
    <w:rsid w:val="00D21E6F"/>
    <w:rsid w:val="00D21EAD"/>
    <w:rsid w:val="00D2218A"/>
    <w:rsid w:val="00D22B13"/>
    <w:rsid w:val="00D2371E"/>
    <w:rsid w:val="00D237E0"/>
    <w:rsid w:val="00D23A17"/>
    <w:rsid w:val="00D24F5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C0"/>
    <w:rsid w:val="00D32D38"/>
    <w:rsid w:val="00D32FA0"/>
    <w:rsid w:val="00D33112"/>
    <w:rsid w:val="00D331CB"/>
    <w:rsid w:val="00D3324C"/>
    <w:rsid w:val="00D335A4"/>
    <w:rsid w:val="00D3451E"/>
    <w:rsid w:val="00D3497A"/>
    <w:rsid w:val="00D35F2F"/>
    <w:rsid w:val="00D35FC6"/>
    <w:rsid w:val="00D369E8"/>
    <w:rsid w:val="00D36BA1"/>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EE9"/>
    <w:rsid w:val="00D44259"/>
    <w:rsid w:val="00D45155"/>
    <w:rsid w:val="00D45A88"/>
    <w:rsid w:val="00D45C61"/>
    <w:rsid w:val="00D45DDC"/>
    <w:rsid w:val="00D5064C"/>
    <w:rsid w:val="00D50C94"/>
    <w:rsid w:val="00D511E7"/>
    <w:rsid w:val="00D51372"/>
    <w:rsid w:val="00D51589"/>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FE"/>
    <w:rsid w:val="00D629A4"/>
    <w:rsid w:val="00D62BDF"/>
    <w:rsid w:val="00D62EEE"/>
    <w:rsid w:val="00D63034"/>
    <w:rsid w:val="00D647C3"/>
    <w:rsid w:val="00D64F1C"/>
    <w:rsid w:val="00D6570C"/>
    <w:rsid w:val="00D659EA"/>
    <w:rsid w:val="00D65A89"/>
    <w:rsid w:val="00D65E85"/>
    <w:rsid w:val="00D6611C"/>
    <w:rsid w:val="00D66751"/>
    <w:rsid w:val="00D671C7"/>
    <w:rsid w:val="00D675B0"/>
    <w:rsid w:val="00D675DE"/>
    <w:rsid w:val="00D678BB"/>
    <w:rsid w:val="00D67D81"/>
    <w:rsid w:val="00D70170"/>
    <w:rsid w:val="00D702E8"/>
    <w:rsid w:val="00D70552"/>
    <w:rsid w:val="00D70D42"/>
    <w:rsid w:val="00D70E1C"/>
    <w:rsid w:val="00D71285"/>
    <w:rsid w:val="00D71ABC"/>
    <w:rsid w:val="00D71C3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02"/>
    <w:rsid w:val="00D815E6"/>
    <w:rsid w:val="00D81A28"/>
    <w:rsid w:val="00D81BDE"/>
    <w:rsid w:val="00D8201D"/>
    <w:rsid w:val="00D82B00"/>
    <w:rsid w:val="00D82B04"/>
    <w:rsid w:val="00D82BE4"/>
    <w:rsid w:val="00D82E05"/>
    <w:rsid w:val="00D83C0D"/>
    <w:rsid w:val="00D83C80"/>
    <w:rsid w:val="00D83F5B"/>
    <w:rsid w:val="00D855CD"/>
    <w:rsid w:val="00D85E20"/>
    <w:rsid w:val="00D85FDE"/>
    <w:rsid w:val="00D8665E"/>
    <w:rsid w:val="00D869C1"/>
    <w:rsid w:val="00D86E01"/>
    <w:rsid w:val="00D86EC6"/>
    <w:rsid w:val="00D87418"/>
    <w:rsid w:val="00D877CB"/>
    <w:rsid w:val="00D87A39"/>
    <w:rsid w:val="00D87FE6"/>
    <w:rsid w:val="00D90BC3"/>
    <w:rsid w:val="00D90C93"/>
    <w:rsid w:val="00D90DB9"/>
    <w:rsid w:val="00D91001"/>
    <w:rsid w:val="00D910FF"/>
    <w:rsid w:val="00D91337"/>
    <w:rsid w:val="00D914AA"/>
    <w:rsid w:val="00D915C9"/>
    <w:rsid w:val="00D918DA"/>
    <w:rsid w:val="00D9198F"/>
    <w:rsid w:val="00D92078"/>
    <w:rsid w:val="00D926F0"/>
    <w:rsid w:val="00D92A87"/>
    <w:rsid w:val="00D93307"/>
    <w:rsid w:val="00D9359A"/>
    <w:rsid w:val="00D9384E"/>
    <w:rsid w:val="00D93AEE"/>
    <w:rsid w:val="00D9413E"/>
    <w:rsid w:val="00D94C8D"/>
    <w:rsid w:val="00D95715"/>
    <w:rsid w:val="00D95F88"/>
    <w:rsid w:val="00D9643E"/>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0D"/>
    <w:rsid w:val="00DA61AB"/>
    <w:rsid w:val="00DA61CD"/>
    <w:rsid w:val="00DA6EE2"/>
    <w:rsid w:val="00DA718A"/>
    <w:rsid w:val="00DA7837"/>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73"/>
    <w:rsid w:val="00DC7608"/>
    <w:rsid w:val="00DC761E"/>
    <w:rsid w:val="00DC7B3B"/>
    <w:rsid w:val="00DC7CFC"/>
    <w:rsid w:val="00DC7DB4"/>
    <w:rsid w:val="00DD080F"/>
    <w:rsid w:val="00DD09F2"/>
    <w:rsid w:val="00DD0DEE"/>
    <w:rsid w:val="00DD116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90D"/>
    <w:rsid w:val="00DE30AC"/>
    <w:rsid w:val="00DE38D1"/>
    <w:rsid w:val="00DE4106"/>
    <w:rsid w:val="00DE466B"/>
    <w:rsid w:val="00DE48F4"/>
    <w:rsid w:val="00DE5258"/>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3ABB"/>
    <w:rsid w:val="00DF4FF1"/>
    <w:rsid w:val="00DF56A3"/>
    <w:rsid w:val="00DF5B33"/>
    <w:rsid w:val="00DF6FD2"/>
    <w:rsid w:val="00DF72EF"/>
    <w:rsid w:val="00DF743D"/>
    <w:rsid w:val="00DF7724"/>
    <w:rsid w:val="00E000D8"/>
    <w:rsid w:val="00E00C1E"/>
    <w:rsid w:val="00E00F5F"/>
    <w:rsid w:val="00E010E6"/>
    <w:rsid w:val="00E01377"/>
    <w:rsid w:val="00E014E7"/>
    <w:rsid w:val="00E01936"/>
    <w:rsid w:val="00E0232F"/>
    <w:rsid w:val="00E02406"/>
    <w:rsid w:val="00E026A9"/>
    <w:rsid w:val="00E02AD9"/>
    <w:rsid w:val="00E02D1A"/>
    <w:rsid w:val="00E0356F"/>
    <w:rsid w:val="00E03B42"/>
    <w:rsid w:val="00E03C10"/>
    <w:rsid w:val="00E0479F"/>
    <w:rsid w:val="00E04816"/>
    <w:rsid w:val="00E04982"/>
    <w:rsid w:val="00E04D6A"/>
    <w:rsid w:val="00E050CE"/>
    <w:rsid w:val="00E058DB"/>
    <w:rsid w:val="00E05950"/>
    <w:rsid w:val="00E05AF7"/>
    <w:rsid w:val="00E05CD4"/>
    <w:rsid w:val="00E05DE8"/>
    <w:rsid w:val="00E06100"/>
    <w:rsid w:val="00E0614E"/>
    <w:rsid w:val="00E06E97"/>
    <w:rsid w:val="00E07B8F"/>
    <w:rsid w:val="00E07C4D"/>
    <w:rsid w:val="00E105CE"/>
    <w:rsid w:val="00E10712"/>
    <w:rsid w:val="00E10DD1"/>
    <w:rsid w:val="00E11A5D"/>
    <w:rsid w:val="00E1224C"/>
    <w:rsid w:val="00E1254C"/>
    <w:rsid w:val="00E12BDF"/>
    <w:rsid w:val="00E1302B"/>
    <w:rsid w:val="00E13326"/>
    <w:rsid w:val="00E13D07"/>
    <w:rsid w:val="00E14356"/>
    <w:rsid w:val="00E14961"/>
    <w:rsid w:val="00E14D76"/>
    <w:rsid w:val="00E15183"/>
    <w:rsid w:val="00E15D6C"/>
    <w:rsid w:val="00E167D9"/>
    <w:rsid w:val="00E1720B"/>
    <w:rsid w:val="00E203DE"/>
    <w:rsid w:val="00E2048A"/>
    <w:rsid w:val="00E20CE7"/>
    <w:rsid w:val="00E2129E"/>
    <w:rsid w:val="00E217B1"/>
    <w:rsid w:val="00E21B10"/>
    <w:rsid w:val="00E222FA"/>
    <w:rsid w:val="00E229CE"/>
    <w:rsid w:val="00E22B4A"/>
    <w:rsid w:val="00E238BC"/>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CEE"/>
    <w:rsid w:val="00E4208F"/>
    <w:rsid w:val="00E42E94"/>
    <w:rsid w:val="00E43006"/>
    <w:rsid w:val="00E4312A"/>
    <w:rsid w:val="00E4331B"/>
    <w:rsid w:val="00E43500"/>
    <w:rsid w:val="00E43551"/>
    <w:rsid w:val="00E437FA"/>
    <w:rsid w:val="00E45899"/>
    <w:rsid w:val="00E45A2C"/>
    <w:rsid w:val="00E46A6B"/>
    <w:rsid w:val="00E46A9C"/>
    <w:rsid w:val="00E47DB1"/>
    <w:rsid w:val="00E50BDD"/>
    <w:rsid w:val="00E510CF"/>
    <w:rsid w:val="00E513D7"/>
    <w:rsid w:val="00E519FE"/>
    <w:rsid w:val="00E51DDC"/>
    <w:rsid w:val="00E5206C"/>
    <w:rsid w:val="00E52AAB"/>
    <w:rsid w:val="00E53223"/>
    <w:rsid w:val="00E5323C"/>
    <w:rsid w:val="00E5448E"/>
    <w:rsid w:val="00E54E0D"/>
    <w:rsid w:val="00E55247"/>
    <w:rsid w:val="00E558E5"/>
    <w:rsid w:val="00E55B2B"/>
    <w:rsid w:val="00E55B3C"/>
    <w:rsid w:val="00E56795"/>
    <w:rsid w:val="00E56D4F"/>
    <w:rsid w:val="00E57932"/>
    <w:rsid w:val="00E606C4"/>
    <w:rsid w:val="00E60811"/>
    <w:rsid w:val="00E60AB8"/>
    <w:rsid w:val="00E6103E"/>
    <w:rsid w:val="00E6185F"/>
    <w:rsid w:val="00E61D32"/>
    <w:rsid w:val="00E63C60"/>
    <w:rsid w:val="00E64050"/>
    <w:rsid w:val="00E64B7B"/>
    <w:rsid w:val="00E6514D"/>
    <w:rsid w:val="00E65161"/>
    <w:rsid w:val="00E652C9"/>
    <w:rsid w:val="00E65863"/>
    <w:rsid w:val="00E6593B"/>
    <w:rsid w:val="00E65D74"/>
    <w:rsid w:val="00E66E11"/>
    <w:rsid w:val="00E672C6"/>
    <w:rsid w:val="00E70192"/>
    <w:rsid w:val="00E70BD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FFB"/>
    <w:rsid w:val="00E821A2"/>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1"/>
    <w:rsid w:val="00E86976"/>
    <w:rsid w:val="00E87A37"/>
    <w:rsid w:val="00E87CF7"/>
    <w:rsid w:val="00E9036E"/>
    <w:rsid w:val="00E90420"/>
    <w:rsid w:val="00E9078A"/>
    <w:rsid w:val="00E912FD"/>
    <w:rsid w:val="00E91B26"/>
    <w:rsid w:val="00E92C6E"/>
    <w:rsid w:val="00E92D0B"/>
    <w:rsid w:val="00E92FFF"/>
    <w:rsid w:val="00E93195"/>
    <w:rsid w:val="00E9391C"/>
    <w:rsid w:val="00E93D05"/>
    <w:rsid w:val="00E93F19"/>
    <w:rsid w:val="00E94203"/>
    <w:rsid w:val="00E951D8"/>
    <w:rsid w:val="00E95781"/>
    <w:rsid w:val="00E95C2A"/>
    <w:rsid w:val="00E961CB"/>
    <w:rsid w:val="00E963BC"/>
    <w:rsid w:val="00E966A6"/>
    <w:rsid w:val="00E96E91"/>
    <w:rsid w:val="00E96F6E"/>
    <w:rsid w:val="00E9751D"/>
    <w:rsid w:val="00E97DC6"/>
    <w:rsid w:val="00E97F7A"/>
    <w:rsid w:val="00EA0010"/>
    <w:rsid w:val="00EA0143"/>
    <w:rsid w:val="00EA089B"/>
    <w:rsid w:val="00EA144F"/>
    <w:rsid w:val="00EA1ACC"/>
    <w:rsid w:val="00EA23E8"/>
    <w:rsid w:val="00EA2E21"/>
    <w:rsid w:val="00EA2EAA"/>
    <w:rsid w:val="00EA380C"/>
    <w:rsid w:val="00EA4AB6"/>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765"/>
    <w:rsid w:val="00EB2961"/>
    <w:rsid w:val="00EB2E1A"/>
    <w:rsid w:val="00EB2F8A"/>
    <w:rsid w:val="00EB3268"/>
    <w:rsid w:val="00EB3298"/>
    <w:rsid w:val="00EB3939"/>
    <w:rsid w:val="00EB3CE6"/>
    <w:rsid w:val="00EB3E92"/>
    <w:rsid w:val="00EB4818"/>
    <w:rsid w:val="00EB54AB"/>
    <w:rsid w:val="00EB6257"/>
    <w:rsid w:val="00EB68E6"/>
    <w:rsid w:val="00EB6AE9"/>
    <w:rsid w:val="00EB6B2D"/>
    <w:rsid w:val="00EB71C9"/>
    <w:rsid w:val="00EB763E"/>
    <w:rsid w:val="00EB7659"/>
    <w:rsid w:val="00EB7B67"/>
    <w:rsid w:val="00EC07F1"/>
    <w:rsid w:val="00EC09E7"/>
    <w:rsid w:val="00EC1E8A"/>
    <w:rsid w:val="00EC328C"/>
    <w:rsid w:val="00EC32F5"/>
    <w:rsid w:val="00EC3852"/>
    <w:rsid w:val="00EC3DBB"/>
    <w:rsid w:val="00EC4528"/>
    <w:rsid w:val="00EC488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59"/>
    <w:rsid w:val="00ED18B1"/>
    <w:rsid w:val="00ED1ADE"/>
    <w:rsid w:val="00ED2A4D"/>
    <w:rsid w:val="00ED3187"/>
    <w:rsid w:val="00ED3692"/>
    <w:rsid w:val="00ED44BD"/>
    <w:rsid w:val="00ED4A77"/>
    <w:rsid w:val="00ED4B0D"/>
    <w:rsid w:val="00ED4B6E"/>
    <w:rsid w:val="00ED5346"/>
    <w:rsid w:val="00ED54F0"/>
    <w:rsid w:val="00ED5981"/>
    <w:rsid w:val="00ED5EF6"/>
    <w:rsid w:val="00ED613A"/>
    <w:rsid w:val="00ED6514"/>
    <w:rsid w:val="00ED66B2"/>
    <w:rsid w:val="00ED71BA"/>
    <w:rsid w:val="00ED728F"/>
    <w:rsid w:val="00ED73A1"/>
    <w:rsid w:val="00ED7615"/>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A4F"/>
    <w:rsid w:val="00EE6D45"/>
    <w:rsid w:val="00EE6E89"/>
    <w:rsid w:val="00EE7C80"/>
    <w:rsid w:val="00EF0D4B"/>
    <w:rsid w:val="00EF0FE6"/>
    <w:rsid w:val="00EF1130"/>
    <w:rsid w:val="00EF1432"/>
    <w:rsid w:val="00EF1511"/>
    <w:rsid w:val="00EF1D6E"/>
    <w:rsid w:val="00EF1F01"/>
    <w:rsid w:val="00EF2C39"/>
    <w:rsid w:val="00EF2C5F"/>
    <w:rsid w:val="00EF3811"/>
    <w:rsid w:val="00EF3AC4"/>
    <w:rsid w:val="00EF3FF9"/>
    <w:rsid w:val="00EF41AF"/>
    <w:rsid w:val="00EF4B87"/>
    <w:rsid w:val="00EF4DB4"/>
    <w:rsid w:val="00EF4FFB"/>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0E86"/>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06"/>
    <w:rsid w:val="00F07134"/>
    <w:rsid w:val="00F0724D"/>
    <w:rsid w:val="00F07378"/>
    <w:rsid w:val="00F073B2"/>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B"/>
    <w:rsid w:val="00F254C4"/>
    <w:rsid w:val="00F25641"/>
    <w:rsid w:val="00F256D8"/>
    <w:rsid w:val="00F25824"/>
    <w:rsid w:val="00F25E8C"/>
    <w:rsid w:val="00F26065"/>
    <w:rsid w:val="00F262B8"/>
    <w:rsid w:val="00F266E3"/>
    <w:rsid w:val="00F2689C"/>
    <w:rsid w:val="00F26A97"/>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921"/>
    <w:rsid w:val="00F4482B"/>
    <w:rsid w:val="00F44F02"/>
    <w:rsid w:val="00F45039"/>
    <w:rsid w:val="00F4526B"/>
    <w:rsid w:val="00F45298"/>
    <w:rsid w:val="00F45E5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2FCD"/>
    <w:rsid w:val="00F630B4"/>
    <w:rsid w:val="00F635EF"/>
    <w:rsid w:val="00F6394D"/>
    <w:rsid w:val="00F63BF4"/>
    <w:rsid w:val="00F63C55"/>
    <w:rsid w:val="00F63C60"/>
    <w:rsid w:val="00F64991"/>
    <w:rsid w:val="00F65425"/>
    <w:rsid w:val="00F65BA9"/>
    <w:rsid w:val="00F65BC8"/>
    <w:rsid w:val="00F65EEA"/>
    <w:rsid w:val="00F66205"/>
    <w:rsid w:val="00F6630F"/>
    <w:rsid w:val="00F66419"/>
    <w:rsid w:val="00F66B9E"/>
    <w:rsid w:val="00F67079"/>
    <w:rsid w:val="00F673B1"/>
    <w:rsid w:val="00F67B58"/>
    <w:rsid w:val="00F67E81"/>
    <w:rsid w:val="00F7044B"/>
    <w:rsid w:val="00F70B6F"/>
    <w:rsid w:val="00F70FD4"/>
    <w:rsid w:val="00F71342"/>
    <w:rsid w:val="00F71C68"/>
    <w:rsid w:val="00F724E2"/>
    <w:rsid w:val="00F74103"/>
    <w:rsid w:val="00F7410A"/>
    <w:rsid w:val="00F745A4"/>
    <w:rsid w:val="00F74C0C"/>
    <w:rsid w:val="00F74E75"/>
    <w:rsid w:val="00F758E1"/>
    <w:rsid w:val="00F75BB5"/>
    <w:rsid w:val="00F75FD5"/>
    <w:rsid w:val="00F7604C"/>
    <w:rsid w:val="00F76D4E"/>
    <w:rsid w:val="00F7708A"/>
    <w:rsid w:val="00F773A9"/>
    <w:rsid w:val="00F8056E"/>
    <w:rsid w:val="00F805B7"/>
    <w:rsid w:val="00F810C1"/>
    <w:rsid w:val="00F81623"/>
    <w:rsid w:val="00F81D25"/>
    <w:rsid w:val="00F8245C"/>
    <w:rsid w:val="00F82928"/>
    <w:rsid w:val="00F829B9"/>
    <w:rsid w:val="00F82B45"/>
    <w:rsid w:val="00F83045"/>
    <w:rsid w:val="00F83615"/>
    <w:rsid w:val="00F83C74"/>
    <w:rsid w:val="00F83EC7"/>
    <w:rsid w:val="00F8421D"/>
    <w:rsid w:val="00F85329"/>
    <w:rsid w:val="00F85683"/>
    <w:rsid w:val="00F85841"/>
    <w:rsid w:val="00F86079"/>
    <w:rsid w:val="00F8610A"/>
    <w:rsid w:val="00F87282"/>
    <w:rsid w:val="00F87881"/>
    <w:rsid w:val="00F878CD"/>
    <w:rsid w:val="00F87905"/>
    <w:rsid w:val="00F87A66"/>
    <w:rsid w:val="00F90C1F"/>
    <w:rsid w:val="00F912D9"/>
    <w:rsid w:val="00F91A44"/>
    <w:rsid w:val="00F91BFA"/>
    <w:rsid w:val="00F91F8F"/>
    <w:rsid w:val="00F9217B"/>
    <w:rsid w:val="00F92993"/>
    <w:rsid w:val="00F93291"/>
    <w:rsid w:val="00F934DD"/>
    <w:rsid w:val="00F97A34"/>
    <w:rsid w:val="00F97E4A"/>
    <w:rsid w:val="00F97EA1"/>
    <w:rsid w:val="00FA003A"/>
    <w:rsid w:val="00FA05C8"/>
    <w:rsid w:val="00FA0678"/>
    <w:rsid w:val="00FA0DB6"/>
    <w:rsid w:val="00FA1F2F"/>
    <w:rsid w:val="00FA23F7"/>
    <w:rsid w:val="00FA27EB"/>
    <w:rsid w:val="00FA35B6"/>
    <w:rsid w:val="00FA38AF"/>
    <w:rsid w:val="00FA3EBC"/>
    <w:rsid w:val="00FA423C"/>
    <w:rsid w:val="00FA44D0"/>
    <w:rsid w:val="00FA4590"/>
    <w:rsid w:val="00FA55A2"/>
    <w:rsid w:val="00FA672F"/>
    <w:rsid w:val="00FA775E"/>
    <w:rsid w:val="00FA7792"/>
    <w:rsid w:val="00FA7AA8"/>
    <w:rsid w:val="00FA7F1D"/>
    <w:rsid w:val="00FB011C"/>
    <w:rsid w:val="00FB0D60"/>
    <w:rsid w:val="00FB18FD"/>
    <w:rsid w:val="00FB236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3F3"/>
    <w:rsid w:val="00FC22D0"/>
    <w:rsid w:val="00FC316E"/>
    <w:rsid w:val="00FC3177"/>
    <w:rsid w:val="00FC330F"/>
    <w:rsid w:val="00FC38D4"/>
    <w:rsid w:val="00FC391E"/>
    <w:rsid w:val="00FC39B3"/>
    <w:rsid w:val="00FC3BB7"/>
    <w:rsid w:val="00FC4345"/>
    <w:rsid w:val="00FC444A"/>
    <w:rsid w:val="00FC453D"/>
    <w:rsid w:val="00FC4A89"/>
    <w:rsid w:val="00FC5856"/>
    <w:rsid w:val="00FC619B"/>
    <w:rsid w:val="00FC665F"/>
    <w:rsid w:val="00FC6C35"/>
    <w:rsid w:val="00FC6D59"/>
    <w:rsid w:val="00FC6F5F"/>
    <w:rsid w:val="00FC7561"/>
    <w:rsid w:val="00FC765F"/>
    <w:rsid w:val="00FC778B"/>
    <w:rsid w:val="00FC78F5"/>
    <w:rsid w:val="00FC7ACA"/>
    <w:rsid w:val="00FC7AD2"/>
    <w:rsid w:val="00FD10B3"/>
    <w:rsid w:val="00FD11C3"/>
    <w:rsid w:val="00FD154E"/>
    <w:rsid w:val="00FD24D7"/>
    <w:rsid w:val="00FD29CE"/>
    <w:rsid w:val="00FD2D0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F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08"/>
    <w:rsid w:val="00FF183C"/>
    <w:rsid w:val="00FF1A06"/>
    <w:rsid w:val="00FF1AD3"/>
    <w:rsid w:val="00FF1B46"/>
    <w:rsid w:val="00FF1FCC"/>
    <w:rsid w:val="00FF219D"/>
    <w:rsid w:val="00FF2A7B"/>
    <w:rsid w:val="00FF3D2B"/>
    <w:rsid w:val="00FF4684"/>
    <w:rsid w:val="00FF49B4"/>
    <w:rsid w:val="00FF49F4"/>
    <w:rsid w:val="00FF59AA"/>
    <w:rsid w:val="00FF5C6A"/>
    <w:rsid w:val="00FF651D"/>
    <w:rsid w:val="00FF6843"/>
    <w:rsid w:val="00FF6C25"/>
    <w:rsid w:val="00FF6D24"/>
    <w:rsid w:val="00FF7EBC"/>
    <w:rsid w:val="010651D9"/>
    <w:rsid w:val="011F6449"/>
    <w:rsid w:val="01236AFB"/>
    <w:rsid w:val="01361389"/>
    <w:rsid w:val="019F7441"/>
    <w:rsid w:val="01B37585"/>
    <w:rsid w:val="01D55165"/>
    <w:rsid w:val="01DF6BF8"/>
    <w:rsid w:val="01EC2C57"/>
    <w:rsid w:val="02426589"/>
    <w:rsid w:val="025F0711"/>
    <w:rsid w:val="026B2E25"/>
    <w:rsid w:val="02824D4D"/>
    <w:rsid w:val="02AF32F5"/>
    <w:rsid w:val="02DC4B10"/>
    <w:rsid w:val="02DD76CE"/>
    <w:rsid w:val="02F36323"/>
    <w:rsid w:val="02F5619C"/>
    <w:rsid w:val="0326446A"/>
    <w:rsid w:val="032D5555"/>
    <w:rsid w:val="036634D2"/>
    <w:rsid w:val="03CB70FD"/>
    <w:rsid w:val="03D83129"/>
    <w:rsid w:val="03DD35E4"/>
    <w:rsid w:val="03EB753A"/>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140D4"/>
    <w:rsid w:val="06930BB8"/>
    <w:rsid w:val="07245D42"/>
    <w:rsid w:val="07264C62"/>
    <w:rsid w:val="0779354C"/>
    <w:rsid w:val="07F40498"/>
    <w:rsid w:val="08061376"/>
    <w:rsid w:val="08452D77"/>
    <w:rsid w:val="086401F8"/>
    <w:rsid w:val="08751CAA"/>
    <w:rsid w:val="087E4C40"/>
    <w:rsid w:val="08A871D0"/>
    <w:rsid w:val="08AC118C"/>
    <w:rsid w:val="08CB77A9"/>
    <w:rsid w:val="08D66AD6"/>
    <w:rsid w:val="08D75720"/>
    <w:rsid w:val="08DA33A3"/>
    <w:rsid w:val="08E80F13"/>
    <w:rsid w:val="09335624"/>
    <w:rsid w:val="093544CF"/>
    <w:rsid w:val="0944690F"/>
    <w:rsid w:val="09535675"/>
    <w:rsid w:val="095F057D"/>
    <w:rsid w:val="09642282"/>
    <w:rsid w:val="09733572"/>
    <w:rsid w:val="09772C16"/>
    <w:rsid w:val="097D0556"/>
    <w:rsid w:val="098353B5"/>
    <w:rsid w:val="09A92330"/>
    <w:rsid w:val="09B06B87"/>
    <w:rsid w:val="09C13146"/>
    <w:rsid w:val="09E04166"/>
    <w:rsid w:val="0A1C0718"/>
    <w:rsid w:val="0A3E7710"/>
    <w:rsid w:val="0A4D43B0"/>
    <w:rsid w:val="0A5B7E63"/>
    <w:rsid w:val="0AA374A5"/>
    <w:rsid w:val="0AAB7649"/>
    <w:rsid w:val="0ABC5606"/>
    <w:rsid w:val="0B30404E"/>
    <w:rsid w:val="0B4B540D"/>
    <w:rsid w:val="0B4C6C14"/>
    <w:rsid w:val="0B547599"/>
    <w:rsid w:val="0B631A88"/>
    <w:rsid w:val="0B683D45"/>
    <w:rsid w:val="0B7F3F11"/>
    <w:rsid w:val="0B884417"/>
    <w:rsid w:val="0BBA0BC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07A5"/>
    <w:rsid w:val="0D184CFB"/>
    <w:rsid w:val="0D3D03CB"/>
    <w:rsid w:val="0D4A7419"/>
    <w:rsid w:val="0D62660F"/>
    <w:rsid w:val="0D7D09ED"/>
    <w:rsid w:val="0D827401"/>
    <w:rsid w:val="0D84094E"/>
    <w:rsid w:val="0D8A00E9"/>
    <w:rsid w:val="0D8D589E"/>
    <w:rsid w:val="0DA01C73"/>
    <w:rsid w:val="0DD63300"/>
    <w:rsid w:val="0DE33306"/>
    <w:rsid w:val="0DF50604"/>
    <w:rsid w:val="0DF702FE"/>
    <w:rsid w:val="0E060E51"/>
    <w:rsid w:val="0E5604B2"/>
    <w:rsid w:val="0E6D5D79"/>
    <w:rsid w:val="0E83792A"/>
    <w:rsid w:val="0E937FF7"/>
    <w:rsid w:val="0E9D0089"/>
    <w:rsid w:val="0EB02DE0"/>
    <w:rsid w:val="0EB803EE"/>
    <w:rsid w:val="0EF94D4B"/>
    <w:rsid w:val="0F4958DC"/>
    <w:rsid w:val="0F515DF7"/>
    <w:rsid w:val="0F596BA8"/>
    <w:rsid w:val="0F6248D2"/>
    <w:rsid w:val="0F693536"/>
    <w:rsid w:val="0F7B0511"/>
    <w:rsid w:val="0F7B24F3"/>
    <w:rsid w:val="0F7B76D9"/>
    <w:rsid w:val="0F816ACD"/>
    <w:rsid w:val="0F9832DB"/>
    <w:rsid w:val="0FBF3FD2"/>
    <w:rsid w:val="0FBF7FF3"/>
    <w:rsid w:val="102D547F"/>
    <w:rsid w:val="10646583"/>
    <w:rsid w:val="107D4B15"/>
    <w:rsid w:val="108A3C80"/>
    <w:rsid w:val="10BA31FF"/>
    <w:rsid w:val="10C26171"/>
    <w:rsid w:val="10DA360C"/>
    <w:rsid w:val="10F33360"/>
    <w:rsid w:val="10FC16EA"/>
    <w:rsid w:val="110F1D40"/>
    <w:rsid w:val="11266F33"/>
    <w:rsid w:val="118963A1"/>
    <w:rsid w:val="11C6522A"/>
    <w:rsid w:val="11E104CC"/>
    <w:rsid w:val="11E20309"/>
    <w:rsid w:val="12255233"/>
    <w:rsid w:val="12371D74"/>
    <w:rsid w:val="12530213"/>
    <w:rsid w:val="127723A9"/>
    <w:rsid w:val="12862074"/>
    <w:rsid w:val="12883966"/>
    <w:rsid w:val="129E45B4"/>
    <w:rsid w:val="12D81596"/>
    <w:rsid w:val="12FC5EFD"/>
    <w:rsid w:val="13072A44"/>
    <w:rsid w:val="131507D5"/>
    <w:rsid w:val="13411523"/>
    <w:rsid w:val="135F4BE2"/>
    <w:rsid w:val="139B1A0A"/>
    <w:rsid w:val="139D25C7"/>
    <w:rsid w:val="13BF3CE4"/>
    <w:rsid w:val="141008D8"/>
    <w:rsid w:val="14125FE6"/>
    <w:rsid w:val="146D271E"/>
    <w:rsid w:val="146E6B13"/>
    <w:rsid w:val="14982588"/>
    <w:rsid w:val="149A5AD9"/>
    <w:rsid w:val="14A7619D"/>
    <w:rsid w:val="14F93EC9"/>
    <w:rsid w:val="150536C3"/>
    <w:rsid w:val="150C1963"/>
    <w:rsid w:val="151447A0"/>
    <w:rsid w:val="154A6454"/>
    <w:rsid w:val="15762120"/>
    <w:rsid w:val="15BB209F"/>
    <w:rsid w:val="15F542CD"/>
    <w:rsid w:val="163C2586"/>
    <w:rsid w:val="163F7FC2"/>
    <w:rsid w:val="16A8729C"/>
    <w:rsid w:val="16B33777"/>
    <w:rsid w:val="16BC70A7"/>
    <w:rsid w:val="16C6339E"/>
    <w:rsid w:val="16F93C3E"/>
    <w:rsid w:val="171F3E7E"/>
    <w:rsid w:val="172F2D79"/>
    <w:rsid w:val="17557BEF"/>
    <w:rsid w:val="17D349C1"/>
    <w:rsid w:val="182C2DE0"/>
    <w:rsid w:val="1830729E"/>
    <w:rsid w:val="1870062C"/>
    <w:rsid w:val="18817102"/>
    <w:rsid w:val="18830A15"/>
    <w:rsid w:val="18852B28"/>
    <w:rsid w:val="188B5321"/>
    <w:rsid w:val="18BA0196"/>
    <w:rsid w:val="190C02C6"/>
    <w:rsid w:val="19932372"/>
    <w:rsid w:val="19A20DD5"/>
    <w:rsid w:val="19AE03F1"/>
    <w:rsid w:val="1A071A03"/>
    <w:rsid w:val="1A1F16AE"/>
    <w:rsid w:val="1A3B5C77"/>
    <w:rsid w:val="1A7C7103"/>
    <w:rsid w:val="1A984BAD"/>
    <w:rsid w:val="1AB8220E"/>
    <w:rsid w:val="1AE4166C"/>
    <w:rsid w:val="1AF06CFB"/>
    <w:rsid w:val="1AF11B8D"/>
    <w:rsid w:val="1B11359C"/>
    <w:rsid w:val="1B2A271F"/>
    <w:rsid w:val="1B341914"/>
    <w:rsid w:val="1B490035"/>
    <w:rsid w:val="1B530544"/>
    <w:rsid w:val="1B713184"/>
    <w:rsid w:val="1BA209CF"/>
    <w:rsid w:val="1BB4777D"/>
    <w:rsid w:val="1BC16115"/>
    <w:rsid w:val="1BD75AB8"/>
    <w:rsid w:val="1C0459C2"/>
    <w:rsid w:val="1C1B3B4A"/>
    <w:rsid w:val="1C3C5A5F"/>
    <w:rsid w:val="1C88086E"/>
    <w:rsid w:val="1C901B90"/>
    <w:rsid w:val="1CB80C2C"/>
    <w:rsid w:val="1D266CE1"/>
    <w:rsid w:val="1D3963AF"/>
    <w:rsid w:val="1D546102"/>
    <w:rsid w:val="1D682ED0"/>
    <w:rsid w:val="1D6A673C"/>
    <w:rsid w:val="1D9247AE"/>
    <w:rsid w:val="1DB567EC"/>
    <w:rsid w:val="1DF51A98"/>
    <w:rsid w:val="1E3D060F"/>
    <w:rsid w:val="1E3F7D2E"/>
    <w:rsid w:val="1E4134E4"/>
    <w:rsid w:val="1E5062B3"/>
    <w:rsid w:val="1E523514"/>
    <w:rsid w:val="1E6A081E"/>
    <w:rsid w:val="1E714A66"/>
    <w:rsid w:val="1E802593"/>
    <w:rsid w:val="1E8B6156"/>
    <w:rsid w:val="1EA703CC"/>
    <w:rsid w:val="1EB7330C"/>
    <w:rsid w:val="1F0A0FF3"/>
    <w:rsid w:val="1F0C1C8A"/>
    <w:rsid w:val="1F5771FF"/>
    <w:rsid w:val="1F971C93"/>
    <w:rsid w:val="1FD52DD5"/>
    <w:rsid w:val="1FE868A9"/>
    <w:rsid w:val="20034907"/>
    <w:rsid w:val="200362D5"/>
    <w:rsid w:val="20052E16"/>
    <w:rsid w:val="20173E4B"/>
    <w:rsid w:val="20267C46"/>
    <w:rsid w:val="204E48BC"/>
    <w:rsid w:val="208921B3"/>
    <w:rsid w:val="20973DEB"/>
    <w:rsid w:val="20B26522"/>
    <w:rsid w:val="20B44310"/>
    <w:rsid w:val="211116EB"/>
    <w:rsid w:val="2116462E"/>
    <w:rsid w:val="21293D11"/>
    <w:rsid w:val="216133FC"/>
    <w:rsid w:val="21C34AF1"/>
    <w:rsid w:val="21D56769"/>
    <w:rsid w:val="21E52EF3"/>
    <w:rsid w:val="21FB5D7B"/>
    <w:rsid w:val="22015E94"/>
    <w:rsid w:val="220B1C3D"/>
    <w:rsid w:val="220C0769"/>
    <w:rsid w:val="221D1D20"/>
    <w:rsid w:val="22334A87"/>
    <w:rsid w:val="22BE6801"/>
    <w:rsid w:val="233500BF"/>
    <w:rsid w:val="23377FF7"/>
    <w:rsid w:val="236B425F"/>
    <w:rsid w:val="23836192"/>
    <w:rsid w:val="23856D7F"/>
    <w:rsid w:val="23901F29"/>
    <w:rsid w:val="239C0061"/>
    <w:rsid w:val="23B908A4"/>
    <w:rsid w:val="23E95BEF"/>
    <w:rsid w:val="23FD0064"/>
    <w:rsid w:val="2401791F"/>
    <w:rsid w:val="242D31FB"/>
    <w:rsid w:val="245375B0"/>
    <w:rsid w:val="24642C0A"/>
    <w:rsid w:val="24B22173"/>
    <w:rsid w:val="24B95AD9"/>
    <w:rsid w:val="24BE24DA"/>
    <w:rsid w:val="24CF5825"/>
    <w:rsid w:val="24D663E6"/>
    <w:rsid w:val="24D77F2B"/>
    <w:rsid w:val="2553326B"/>
    <w:rsid w:val="258B00E2"/>
    <w:rsid w:val="25A71CF8"/>
    <w:rsid w:val="25A917A6"/>
    <w:rsid w:val="25BE27CC"/>
    <w:rsid w:val="25C01E7E"/>
    <w:rsid w:val="25E006E5"/>
    <w:rsid w:val="25F74A5C"/>
    <w:rsid w:val="2628662C"/>
    <w:rsid w:val="262D45DE"/>
    <w:rsid w:val="26871DC8"/>
    <w:rsid w:val="26A53EF9"/>
    <w:rsid w:val="26A94201"/>
    <w:rsid w:val="26AC274F"/>
    <w:rsid w:val="27044A29"/>
    <w:rsid w:val="271D34C8"/>
    <w:rsid w:val="276142BF"/>
    <w:rsid w:val="277549C7"/>
    <w:rsid w:val="27783712"/>
    <w:rsid w:val="27907362"/>
    <w:rsid w:val="28333E1D"/>
    <w:rsid w:val="28454BD6"/>
    <w:rsid w:val="28455253"/>
    <w:rsid w:val="28551971"/>
    <w:rsid w:val="285B1C53"/>
    <w:rsid w:val="285C4CC5"/>
    <w:rsid w:val="289F7086"/>
    <w:rsid w:val="28C32028"/>
    <w:rsid w:val="28CC490F"/>
    <w:rsid w:val="28DE40AA"/>
    <w:rsid w:val="29345E77"/>
    <w:rsid w:val="294C65AD"/>
    <w:rsid w:val="296F5A87"/>
    <w:rsid w:val="29806583"/>
    <w:rsid w:val="298B3C4C"/>
    <w:rsid w:val="29E65EFC"/>
    <w:rsid w:val="29F26D24"/>
    <w:rsid w:val="29FF3178"/>
    <w:rsid w:val="2A15033F"/>
    <w:rsid w:val="2A1662C1"/>
    <w:rsid w:val="2A1C7367"/>
    <w:rsid w:val="2A2815FA"/>
    <w:rsid w:val="2A6B1334"/>
    <w:rsid w:val="2A6D6092"/>
    <w:rsid w:val="2A7D76B4"/>
    <w:rsid w:val="2A8A67DD"/>
    <w:rsid w:val="2B437463"/>
    <w:rsid w:val="2B470311"/>
    <w:rsid w:val="2B490B90"/>
    <w:rsid w:val="2B762959"/>
    <w:rsid w:val="2B7807EE"/>
    <w:rsid w:val="2B8204A0"/>
    <w:rsid w:val="2B9B2EEA"/>
    <w:rsid w:val="2BA50BF7"/>
    <w:rsid w:val="2BB205C0"/>
    <w:rsid w:val="2BBF00EC"/>
    <w:rsid w:val="2BC37CFD"/>
    <w:rsid w:val="2BD5237F"/>
    <w:rsid w:val="2BE536CE"/>
    <w:rsid w:val="2BE758D9"/>
    <w:rsid w:val="2BEB287E"/>
    <w:rsid w:val="2C09049E"/>
    <w:rsid w:val="2C0A653C"/>
    <w:rsid w:val="2C191F85"/>
    <w:rsid w:val="2CDB6DF8"/>
    <w:rsid w:val="2CE82D6F"/>
    <w:rsid w:val="2D343236"/>
    <w:rsid w:val="2DD15014"/>
    <w:rsid w:val="2DF72DE4"/>
    <w:rsid w:val="2E0220AF"/>
    <w:rsid w:val="2E4B082A"/>
    <w:rsid w:val="2E5D4E86"/>
    <w:rsid w:val="2E5D790B"/>
    <w:rsid w:val="2E9A3C18"/>
    <w:rsid w:val="2EBB0FEE"/>
    <w:rsid w:val="2EC63002"/>
    <w:rsid w:val="2F0A6B38"/>
    <w:rsid w:val="2F1210B4"/>
    <w:rsid w:val="2F946CCB"/>
    <w:rsid w:val="2FD25781"/>
    <w:rsid w:val="2FD94FE7"/>
    <w:rsid w:val="2FDC745C"/>
    <w:rsid w:val="2FFD7934"/>
    <w:rsid w:val="301E6064"/>
    <w:rsid w:val="303A0D58"/>
    <w:rsid w:val="30733ACD"/>
    <w:rsid w:val="307C370E"/>
    <w:rsid w:val="308C3862"/>
    <w:rsid w:val="309379D8"/>
    <w:rsid w:val="30A270F7"/>
    <w:rsid w:val="30DF1478"/>
    <w:rsid w:val="30EC586F"/>
    <w:rsid w:val="313905F0"/>
    <w:rsid w:val="314550B7"/>
    <w:rsid w:val="315B5608"/>
    <w:rsid w:val="319C6071"/>
    <w:rsid w:val="31AC537E"/>
    <w:rsid w:val="31AE5D7A"/>
    <w:rsid w:val="31E3679B"/>
    <w:rsid w:val="31E732FD"/>
    <w:rsid w:val="32472899"/>
    <w:rsid w:val="32517576"/>
    <w:rsid w:val="32AB1912"/>
    <w:rsid w:val="32B31CDC"/>
    <w:rsid w:val="32B43860"/>
    <w:rsid w:val="32BE5C2C"/>
    <w:rsid w:val="32FB6478"/>
    <w:rsid w:val="33263B3F"/>
    <w:rsid w:val="33570580"/>
    <w:rsid w:val="336963EB"/>
    <w:rsid w:val="337A6A8A"/>
    <w:rsid w:val="33816EEB"/>
    <w:rsid w:val="33E24CF9"/>
    <w:rsid w:val="33EB55CD"/>
    <w:rsid w:val="33EC4C02"/>
    <w:rsid w:val="340D2360"/>
    <w:rsid w:val="3410665D"/>
    <w:rsid w:val="34211214"/>
    <w:rsid w:val="342E63AB"/>
    <w:rsid w:val="34950E68"/>
    <w:rsid w:val="34986E94"/>
    <w:rsid w:val="34AF62C9"/>
    <w:rsid w:val="34CB4388"/>
    <w:rsid w:val="34FA6E12"/>
    <w:rsid w:val="353A55E3"/>
    <w:rsid w:val="354D7158"/>
    <w:rsid w:val="35887BD1"/>
    <w:rsid w:val="358D5588"/>
    <w:rsid w:val="35B64BA4"/>
    <w:rsid w:val="35D850E1"/>
    <w:rsid w:val="35F35982"/>
    <w:rsid w:val="363A3B40"/>
    <w:rsid w:val="365302AE"/>
    <w:rsid w:val="36607A0A"/>
    <w:rsid w:val="366E227C"/>
    <w:rsid w:val="366F2E0D"/>
    <w:rsid w:val="367B6A5C"/>
    <w:rsid w:val="36A74ADA"/>
    <w:rsid w:val="36AD60D5"/>
    <w:rsid w:val="36B224F9"/>
    <w:rsid w:val="36EC0CC9"/>
    <w:rsid w:val="36F44255"/>
    <w:rsid w:val="373F410B"/>
    <w:rsid w:val="37A80BE0"/>
    <w:rsid w:val="37EB034F"/>
    <w:rsid w:val="37EE7094"/>
    <w:rsid w:val="37F4701F"/>
    <w:rsid w:val="38296C89"/>
    <w:rsid w:val="383002EB"/>
    <w:rsid w:val="38586797"/>
    <w:rsid w:val="38706E63"/>
    <w:rsid w:val="38BC0149"/>
    <w:rsid w:val="38D66824"/>
    <w:rsid w:val="38D87D1C"/>
    <w:rsid w:val="38EE2B03"/>
    <w:rsid w:val="38FF6D29"/>
    <w:rsid w:val="39335925"/>
    <w:rsid w:val="39636459"/>
    <w:rsid w:val="396B7F6C"/>
    <w:rsid w:val="39B417A9"/>
    <w:rsid w:val="39FC5695"/>
    <w:rsid w:val="3A006D8E"/>
    <w:rsid w:val="3A3651E5"/>
    <w:rsid w:val="3A744481"/>
    <w:rsid w:val="3A8C7BEF"/>
    <w:rsid w:val="3A906246"/>
    <w:rsid w:val="3B2349B7"/>
    <w:rsid w:val="3B53405D"/>
    <w:rsid w:val="3B616CFF"/>
    <w:rsid w:val="3B6259F6"/>
    <w:rsid w:val="3B976654"/>
    <w:rsid w:val="3BC01EFC"/>
    <w:rsid w:val="3BCA786A"/>
    <w:rsid w:val="3BD31E2F"/>
    <w:rsid w:val="3BF15831"/>
    <w:rsid w:val="3C105946"/>
    <w:rsid w:val="3C196E25"/>
    <w:rsid w:val="3C471448"/>
    <w:rsid w:val="3C5F759A"/>
    <w:rsid w:val="3C6C525A"/>
    <w:rsid w:val="3CCD1CFC"/>
    <w:rsid w:val="3CCE23CB"/>
    <w:rsid w:val="3CD17D17"/>
    <w:rsid w:val="3D007B53"/>
    <w:rsid w:val="3D3C7F39"/>
    <w:rsid w:val="3D440F09"/>
    <w:rsid w:val="3D4504A0"/>
    <w:rsid w:val="3D8734BB"/>
    <w:rsid w:val="3D91318F"/>
    <w:rsid w:val="3D9A11D4"/>
    <w:rsid w:val="3DA16D89"/>
    <w:rsid w:val="3DA364BE"/>
    <w:rsid w:val="3DE041CB"/>
    <w:rsid w:val="3E0D48F6"/>
    <w:rsid w:val="3E1868B4"/>
    <w:rsid w:val="3E377251"/>
    <w:rsid w:val="3E42664B"/>
    <w:rsid w:val="3E5A7334"/>
    <w:rsid w:val="3E72738E"/>
    <w:rsid w:val="3E7B5D6B"/>
    <w:rsid w:val="3E843E66"/>
    <w:rsid w:val="3E8F51FE"/>
    <w:rsid w:val="3E926F87"/>
    <w:rsid w:val="3E9A59DE"/>
    <w:rsid w:val="3EAF4836"/>
    <w:rsid w:val="3EC33DFA"/>
    <w:rsid w:val="3EEA576C"/>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F676C"/>
    <w:rsid w:val="41C041EE"/>
    <w:rsid w:val="41D01505"/>
    <w:rsid w:val="42164036"/>
    <w:rsid w:val="42474939"/>
    <w:rsid w:val="424C3C57"/>
    <w:rsid w:val="42613FF3"/>
    <w:rsid w:val="42660D96"/>
    <w:rsid w:val="428667D2"/>
    <w:rsid w:val="42C13FA2"/>
    <w:rsid w:val="42CD1CE0"/>
    <w:rsid w:val="42E1381E"/>
    <w:rsid w:val="42E42CCB"/>
    <w:rsid w:val="42ED6459"/>
    <w:rsid w:val="42FE58DD"/>
    <w:rsid w:val="43174B3D"/>
    <w:rsid w:val="434B790E"/>
    <w:rsid w:val="4360274F"/>
    <w:rsid w:val="43977AB6"/>
    <w:rsid w:val="43A16A84"/>
    <w:rsid w:val="43A3342B"/>
    <w:rsid w:val="43C77C27"/>
    <w:rsid w:val="43DE09EE"/>
    <w:rsid w:val="44002FAD"/>
    <w:rsid w:val="448919A2"/>
    <w:rsid w:val="449101DD"/>
    <w:rsid w:val="44965DFA"/>
    <w:rsid w:val="44A2060D"/>
    <w:rsid w:val="44DE1391"/>
    <w:rsid w:val="44EB11D6"/>
    <w:rsid w:val="451B225C"/>
    <w:rsid w:val="452410C9"/>
    <w:rsid w:val="45317DFB"/>
    <w:rsid w:val="456D3CE4"/>
    <w:rsid w:val="4579042C"/>
    <w:rsid w:val="457F0571"/>
    <w:rsid w:val="45851176"/>
    <w:rsid w:val="45AC5A5D"/>
    <w:rsid w:val="45C63B94"/>
    <w:rsid w:val="45DC55D3"/>
    <w:rsid w:val="460E7DA5"/>
    <w:rsid w:val="461419AB"/>
    <w:rsid w:val="46422483"/>
    <w:rsid w:val="4659254A"/>
    <w:rsid w:val="465B0637"/>
    <w:rsid w:val="465E3F0D"/>
    <w:rsid w:val="466A16E6"/>
    <w:rsid w:val="46883961"/>
    <w:rsid w:val="46893133"/>
    <w:rsid w:val="46893F2B"/>
    <w:rsid w:val="46C4686E"/>
    <w:rsid w:val="472E0158"/>
    <w:rsid w:val="477B778F"/>
    <w:rsid w:val="478203EC"/>
    <w:rsid w:val="47B025FA"/>
    <w:rsid w:val="4809698F"/>
    <w:rsid w:val="4811697D"/>
    <w:rsid w:val="48395978"/>
    <w:rsid w:val="487A3E25"/>
    <w:rsid w:val="488B5503"/>
    <w:rsid w:val="48937E21"/>
    <w:rsid w:val="489A0361"/>
    <w:rsid w:val="48B94FF3"/>
    <w:rsid w:val="48C45C6F"/>
    <w:rsid w:val="48C76BF4"/>
    <w:rsid w:val="48E37AAB"/>
    <w:rsid w:val="48FD4B4C"/>
    <w:rsid w:val="48FD5A16"/>
    <w:rsid w:val="490A68E0"/>
    <w:rsid w:val="491055FE"/>
    <w:rsid w:val="492A0E97"/>
    <w:rsid w:val="495753D6"/>
    <w:rsid w:val="495F5B3E"/>
    <w:rsid w:val="496F77D7"/>
    <w:rsid w:val="497654FD"/>
    <w:rsid w:val="49B64211"/>
    <w:rsid w:val="49E56AF9"/>
    <w:rsid w:val="49F6167F"/>
    <w:rsid w:val="4A064FA0"/>
    <w:rsid w:val="4A0712BA"/>
    <w:rsid w:val="4A16615C"/>
    <w:rsid w:val="4A4424D7"/>
    <w:rsid w:val="4A7E62C5"/>
    <w:rsid w:val="4AB82D0F"/>
    <w:rsid w:val="4AEB7664"/>
    <w:rsid w:val="4AFD7C19"/>
    <w:rsid w:val="4B0567D1"/>
    <w:rsid w:val="4B151CBC"/>
    <w:rsid w:val="4B236AAE"/>
    <w:rsid w:val="4B707271"/>
    <w:rsid w:val="4B9739F7"/>
    <w:rsid w:val="4BEE2503"/>
    <w:rsid w:val="4BF00726"/>
    <w:rsid w:val="4C124497"/>
    <w:rsid w:val="4C245A30"/>
    <w:rsid w:val="4C3D66F5"/>
    <w:rsid w:val="4C5A66CF"/>
    <w:rsid w:val="4C7B6860"/>
    <w:rsid w:val="4CB6685F"/>
    <w:rsid w:val="4CC367FE"/>
    <w:rsid w:val="4CD03B43"/>
    <w:rsid w:val="4D077F3C"/>
    <w:rsid w:val="4D123355"/>
    <w:rsid w:val="4D2A3B31"/>
    <w:rsid w:val="4D2E604E"/>
    <w:rsid w:val="4D312C52"/>
    <w:rsid w:val="4D905305"/>
    <w:rsid w:val="4D9642D9"/>
    <w:rsid w:val="4D964A72"/>
    <w:rsid w:val="4D9C1254"/>
    <w:rsid w:val="4E151B03"/>
    <w:rsid w:val="4E157897"/>
    <w:rsid w:val="4E793892"/>
    <w:rsid w:val="4E800872"/>
    <w:rsid w:val="4EB44D95"/>
    <w:rsid w:val="4EC2357B"/>
    <w:rsid w:val="4EC569ED"/>
    <w:rsid w:val="4ED50EA1"/>
    <w:rsid w:val="4EEC050C"/>
    <w:rsid w:val="4F104EC3"/>
    <w:rsid w:val="4F250268"/>
    <w:rsid w:val="4F47354A"/>
    <w:rsid w:val="4F911C54"/>
    <w:rsid w:val="4FA74C51"/>
    <w:rsid w:val="4FB94ED8"/>
    <w:rsid w:val="4FE625E0"/>
    <w:rsid w:val="4FF166B7"/>
    <w:rsid w:val="5021480F"/>
    <w:rsid w:val="504A29F2"/>
    <w:rsid w:val="50962ECB"/>
    <w:rsid w:val="50A42E38"/>
    <w:rsid w:val="50A4577F"/>
    <w:rsid w:val="50B73D1F"/>
    <w:rsid w:val="50BD5BC9"/>
    <w:rsid w:val="50C11EEE"/>
    <w:rsid w:val="50DB62B4"/>
    <w:rsid w:val="50E97CFC"/>
    <w:rsid w:val="50FA4028"/>
    <w:rsid w:val="5100200B"/>
    <w:rsid w:val="510D65B7"/>
    <w:rsid w:val="511157AB"/>
    <w:rsid w:val="5142540C"/>
    <w:rsid w:val="518832C8"/>
    <w:rsid w:val="519D3C50"/>
    <w:rsid w:val="51A0432A"/>
    <w:rsid w:val="51A86090"/>
    <w:rsid w:val="51B7396D"/>
    <w:rsid w:val="51EA1F63"/>
    <w:rsid w:val="522E4CC3"/>
    <w:rsid w:val="5244713B"/>
    <w:rsid w:val="52615633"/>
    <w:rsid w:val="526B7CC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22618"/>
    <w:rsid w:val="54A4459A"/>
    <w:rsid w:val="54B3506A"/>
    <w:rsid w:val="54CA0D16"/>
    <w:rsid w:val="54DD4057"/>
    <w:rsid w:val="54E7490F"/>
    <w:rsid w:val="550764A4"/>
    <w:rsid w:val="550B2BF6"/>
    <w:rsid w:val="55214EB5"/>
    <w:rsid w:val="552A3C28"/>
    <w:rsid w:val="55364EFD"/>
    <w:rsid w:val="555D4828"/>
    <w:rsid w:val="557A4C8B"/>
    <w:rsid w:val="558931E1"/>
    <w:rsid w:val="55923347"/>
    <w:rsid w:val="55925180"/>
    <w:rsid w:val="55983B1B"/>
    <w:rsid w:val="55A8376B"/>
    <w:rsid w:val="55AE459E"/>
    <w:rsid w:val="55B22FA5"/>
    <w:rsid w:val="55DC29B6"/>
    <w:rsid w:val="55DD4241"/>
    <w:rsid w:val="56204B57"/>
    <w:rsid w:val="566B6D1E"/>
    <w:rsid w:val="566E49DC"/>
    <w:rsid w:val="57032A2C"/>
    <w:rsid w:val="570F5219"/>
    <w:rsid w:val="571D7F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5EB8"/>
    <w:rsid w:val="583310F2"/>
    <w:rsid w:val="58917D2F"/>
    <w:rsid w:val="5894085C"/>
    <w:rsid w:val="58A12453"/>
    <w:rsid w:val="58AE4F0C"/>
    <w:rsid w:val="58B85899"/>
    <w:rsid w:val="58E363A9"/>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C6067"/>
    <w:rsid w:val="5B2E1A1D"/>
    <w:rsid w:val="5B5A4B3C"/>
    <w:rsid w:val="5B843A1C"/>
    <w:rsid w:val="5B873E3F"/>
    <w:rsid w:val="5B9601D2"/>
    <w:rsid w:val="5BBE50CA"/>
    <w:rsid w:val="5C02690E"/>
    <w:rsid w:val="5C196DA7"/>
    <w:rsid w:val="5C2A048C"/>
    <w:rsid w:val="5C6914DA"/>
    <w:rsid w:val="5C80234E"/>
    <w:rsid w:val="5C8A680C"/>
    <w:rsid w:val="5CA14C6C"/>
    <w:rsid w:val="5D0C4701"/>
    <w:rsid w:val="5D0F0395"/>
    <w:rsid w:val="5D221076"/>
    <w:rsid w:val="5D397964"/>
    <w:rsid w:val="5D5A391C"/>
    <w:rsid w:val="5D5F10C0"/>
    <w:rsid w:val="5D891B7B"/>
    <w:rsid w:val="5DAD38EE"/>
    <w:rsid w:val="5DD6277E"/>
    <w:rsid w:val="5DE50D1C"/>
    <w:rsid w:val="5E006862"/>
    <w:rsid w:val="5E0207B9"/>
    <w:rsid w:val="5E1834A1"/>
    <w:rsid w:val="5E261785"/>
    <w:rsid w:val="5E4A7017"/>
    <w:rsid w:val="5E552BBA"/>
    <w:rsid w:val="5E611C10"/>
    <w:rsid w:val="5E7A0F3F"/>
    <w:rsid w:val="5EF3065B"/>
    <w:rsid w:val="5EFC7377"/>
    <w:rsid w:val="5F06174D"/>
    <w:rsid w:val="5F1E1D1D"/>
    <w:rsid w:val="5F2B6F72"/>
    <w:rsid w:val="5F35CB81"/>
    <w:rsid w:val="5F3A3602"/>
    <w:rsid w:val="5F45733B"/>
    <w:rsid w:val="5F6277C6"/>
    <w:rsid w:val="5F6D0B1D"/>
    <w:rsid w:val="5F8D0B82"/>
    <w:rsid w:val="5FCC5339"/>
    <w:rsid w:val="5FE34A5B"/>
    <w:rsid w:val="5FF03A6E"/>
    <w:rsid w:val="5FFE1E36"/>
    <w:rsid w:val="60232584"/>
    <w:rsid w:val="607330CE"/>
    <w:rsid w:val="60825176"/>
    <w:rsid w:val="609F2AC4"/>
    <w:rsid w:val="60B552B6"/>
    <w:rsid w:val="60FA2EE8"/>
    <w:rsid w:val="61054A27"/>
    <w:rsid w:val="610A52BC"/>
    <w:rsid w:val="611D2366"/>
    <w:rsid w:val="61421856"/>
    <w:rsid w:val="615227C4"/>
    <w:rsid w:val="61654E3F"/>
    <w:rsid w:val="6182292A"/>
    <w:rsid w:val="619F7F92"/>
    <w:rsid w:val="61F01D56"/>
    <w:rsid w:val="61F94C26"/>
    <w:rsid w:val="62000E56"/>
    <w:rsid w:val="624F3E49"/>
    <w:rsid w:val="62632286"/>
    <w:rsid w:val="62885958"/>
    <w:rsid w:val="62D11B87"/>
    <w:rsid w:val="62D52D32"/>
    <w:rsid w:val="62F40B65"/>
    <w:rsid w:val="62FC2CFE"/>
    <w:rsid w:val="63024505"/>
    <w:rsid w:val="632903FC"/>
    <w:rsid w:val="635600A5"/>
    <w:rsid w:val="635B1DB5"/>
    <w:rsid w:val="63711FED"/>
    <w:rsid w:val="63880DDC"/>
    <w:rsid w:val="638D750D"/>
    <w:rsid w:val="63AC6CC0"/>
    <w:rsid w:val="63FF5D24"/>
    <w:rsid w:val="64055776"/>
    <w:rsid w:val="64240056"/>
    <w:rsid w:val="643E143A"/>
    <w:rsid w:val="64491666"/>
    <w:rsid w:val="64782E49"/>
    <w:rsid w:val="648B6EEF"/>
    <w:rsid w:val="64C158BF"/>
    <w:rsid w:val="64CE2EAA"/>
    <w:rsid w:val="653C3090"/>
    <w:rsid w:val="65854376"/>
    <w:rsid w:val="658767BE"/>
    <w:rsid w:val="65892531"/>
    <w:rsid w:val="66195831"/>
    <w:rsid w:val="662E75B1"/>
    <w:rsid w:val="66342C2E"/>
    <w:rsid w:val="6637048D"/>
    <w:rsid w:val="663E784C"/>
    <w:rsid w:val="668B6A45"/>
    <w:rsid w:val="67011F07"/>
    <w:rsid w:val="672F3F24"/>
    <w:rsid w:val="673E055F"/>
    <w:rsid w:val="67446C37"/>
    <w:rsid w:val="674D0433"/>
    <w:rsid w:val="67551CE3"/>
    <w:rsid w:val="678F42DA"/>
    <w:rsid w:val="67A22552"/>
    <w:rsid w:val="67B22DCC"/>
    <w:rsid w:val="67BE71AA"/>
    <w:rsid w:val="67D90273"/>
    <w:rsid w:val="67DE5875"/>
    <w:rsid w:val="67E22141"/>
    <w:rsid w:val="67E55852"/>
    <w:rsid w:val="67EB1AB4"/>
    <w:rsid w:val="67FA1285"/>
    <w:rsid w:val="67FC0AA6"/>
    <w:rsid w:val="68361984"/>
    <w:rsid w:val="68551F4F"/>
    <w:rsid w:val="687C10C9"/>
    <w:rsid w:val="68840C16"/>
    <w:rsid w:val="68872541"/>
    <w:rsid w:val="68876EFB"/>
    <w:rsid w:val="68884654"/>
    <w:rsid w:val="689F444F"/>
    <w:rsid w:val="68B96DBB"/>
    <w:rsid w:val="68CA2805"/>
    <w:rsid w:val="68CF70AD"/>
    <w:rsid w:val="68E937A3"/>
    <w:rsid w:val="691664E5"/>
    <w:rsid w:val="692866CF"/>
    <w:rsid w:val="693E15D3"/>
    <w:rsid w:val="69522712"/>
    <w:rsid w:val="69627681"/>
    <w:rsid w:val="6977531D"/>
    <w:rsid w:val="69A74FFE"/>
    <w:rsid w:val="69CC2BFF"/>
    <w:rsid w:val="69EB7ED5"/>
    <w:rsid w:val="69FD55B8"/>
    <w:rsid w:val="6A0B1C62"/>
    <w:rsid w:val="6A2406C8"/>
    <w:rsid w:val="6A2A7FAA"/>
    <w:rsid w:val="6A3C6D13"/>
    <w:rsid w:val="6ADE0BD1"/>
    <w:rsid w:val="6AE96859"/>
    <w:rsid w:val="6B064398"/>
    <w:rsid w:val="6B147746"/>
    <w:rsid w:val="6B24787C"/>
    <w:rsid w:val="6B563571"/>
    <w:rsid w:val="6B573233"/>
    <w:rsid w:val="6B5B6274"/>
    <w:rsid w:val="6B935D53"/>
    <w:rsid w:val="6BFB6DB8"/>
    <w:rsid w:val="6C196F71"/>
    <w:rsid w:val="6C226FCB"/>
    <w:rsid w:val="6C31226F"/>
    <w:rsid w:val="6C552F0B"/>
    <w:rsid w:val="6C8C67B7"/>
    <w:rsid w:val="6C9D744C"/>
    <w:rsid w:val="6D167928"/>
    <w:rsid w:val="6D237F77"/>
    <w:rsid w:val="6D26299B"/>
    <w:rsid w:val="6D4772EC"/>
    <w:rsid w:val="6D9078AF"/>
    <w:rsid w:val="6DAA3FEF"/>
    <w:rsid w:val="6DC0172B"/>
    <w:rsid w:val="6DCB690C"/>
    <w:rsid w:val="6DD41A5B"/>
    <w:rsid w:val="6DF43C2E"/>
    <w:rsid w:val="6DF51CA3"/>
    <w:rsid w:val="6E4224F5"/>
    <w:rsid w:val="6E8335BD"/>
    <w:rsid w:val="6E8E12EF"/>
    <w:rsid w:val="6E972936"/>
    <w:rsid w:val="6EB5370B"/>
    <w:rsid w:val="6ED2525C"/>
    <w:rsid w:val="6ED446C5"/>
    <w:rsid w:val="6F1057E5"/>
    <w:rsid w:val="6F2A7D94"/>
    <w:rsid w:val="6F775E48"/>
    <w:rsid w:val="6F8331F1"/>
    <w:rsid w:val="6FAE1A09"/>
    <w:rsid w:val="6FD75BF8"/>
    <w:rsid w:val="704D04A2"/>
    <w:rsid w:val="706825F6"/>
    <w:rsid w:val="707723D0"/>
    <w:rsid w:val="70904454"/>
    <w:rsid w:val="70F5661B"/>
    <w:rsid w:val="71041CF8"/>
    <w:rsid w:val="71360107"/>
    <w:rsid w:val="713B688E"/>
    <w:rsid w:val="71AD032E"/>
    <w:rsid w:val="71D43752"/>
    <w:rsid w:val="71F1796A"/>
    <w:rsid w:val="72154626"/>
    <w:rsid w:val="72220DAF"/>
    <w:rsid w:val="72262B5D"/>
    <w:rsid w:val="72283FF7"/>
    <w:rsid w:val="722E7212"/>
    <w:rsid w:val="723A0474"/>
    <w:rsid w:val="725923E4"/>
    <w:rsid w:val="72864BF7"/>
    <w:rsid w:val="729023FC"/>
    <w:rsid w:val="72FB66AE"/>
    <w:rsid w:val="739048A5"/>
    <w:rsid w:val="73C0646E"/>
    <w:rsid w:val="73EE4BA3"/>
    <w:rsid w:val="74005123"/>
    <w:rsid w:val="742222F5"/>
    <w:rsid w:val="74461A37"/>
    <w:rsid w:val="74476126"/>
    <w:rsid w:val="74706664"/>
    <w:rsid w:val="747F3682"/>
    <w:rsid w:val="748A4CCB"/>
    <w:rsid w:val="749C4185"/>
    <w:rsid w:val="75067759"/>
    <w:rsid w:val="752540C8"/>
    <w:rsid w:val="752E6DCD"/>
    <w:rsid w:val="753A476D"/>
    <w:rsid w:val="754E350B"/>
    <w:rsid w:val="7551380D"/>
    <w:rsid w:val="75600BE5"/>
    <w:rsid w:val="7564475C"/>
    <w:rsid w:val="7583797F"/>
    <w:rsid w:val="75AD3D8E"/>
    <w:rsid w:val="75D20F1D"/>
    <w:rsid w:val="75DA2C18"/>
    <w:rsid w:val="75F54412"/>
    <w:rsid w:val="761D08E0"/>
    <w:rsid w:val="76297DEC"/>
    <w:rsid w:val="763B6F45"/>
    <w:rsid w:val="765D347C"/>
    <w:rsid w:val="76826699"/>
    <w:rsid w:val="76C0482F"/>
    <w:rsid w:val="76C87133"/>
    <w:rsid w:val="76CD08D5"/>
    <w:rsid w:val="76DB4B92"/>
    <w:rsid w:val="76FD013A"/>
    <w:rsid w:val="77052AA4"/>
    <w:rsid w:val="77136511"/>
    <w:rsid w:val="77340A39"/>
    <w:rsid w:val="77351FD0"/>
    <w:rsid w:val="77472422"/>
    <w:rsid w:val="777D1E86"/>
    <w:rsid w:val="777F31F2"/>
    <w:rsid w:val="77D1700D"/>
    <w:rsid w:val="77EC04CC"/>
    <w:rsid w:val="784F42A6"/>
    <w:rsid w:val="785121CA"/>
    <w:rsid w:val="78775729"/>
    <w:rsid w:val="78A42DB0"/>
    <w:rsid w:val="78A656AB"/>
    <w:rsid w:val="78B2245C"/>
    <w:rsid w:val="78E172CC"/>
    <w:rsid w:val="78EA1D1F"/>
    <w:rsid w:val="7904172F"/>
    <w:rsid w:val="790F7E27"/>
    <w:rsid w:val="79277560"/>
    <w:rsid w:val="792A231A"/>
    <w:rsid w:val="79316829"/>
    <w:rsid w:val="797E66A9"/>
    <w:rsid w:val="798518A4"/>
    <w:rsid w:val="798A3C76"/>
    <w:rsid w:val="79A97383"/>
    <w:rsid w:val="79C6605A"/>
    <w:rsid w:val="79D26573"/>
    <w:rsid w:val="79E27E8B"/>
    <w:rsid w:val="79F850CE"/>
    <w:rsid w:val="79FD443C"/>
    <w:rsid w:val="7A1D1975"/>
    <w:rsid w:val="7A3E5150"/>
    <w:rsid w:val="7A4670D6"/>
    <w:rsid w:val="7A534B63"/>
    <w:rsid w:val="7A615382"/>
    <w:rsid w:val="7A67303B"/>
    <w:rsid w:val="7A8D479E"/>
    <w:rsid w:val="7AA8721A"/>
    <w:rsid w:val="7AAB1D04"/>
    <w:rsid w:val="7ABA4368"/>
    <w:rsid w:val="7AD05746"/>
    <w:rsid w:val="7AE1149D"/>
    <w:rsid w:val="7AE14228"/>
    <w:rsid w:val="7B0F7D15"/>
    <w:rsid w:val="7B257FFD"/>
    <w:rsid w:val="7B273D20"/>
    <w:rsid w:val="7B343476"/>
    <w:rsid w:val="7B5A2978"/>
    <w:rsid w:val="7B5A7E4C"/>
    <w:rsid w:val="7B667AF9"/>
    <w:rsid w:val="7B7468F8"/>
    <w:rsid w:val="7BB57A83"/>
    <w:rsid w:val="7BEE0103"/>
    <w:rsid w:val="7C0A0FE4"/>
    <w:rsid w:val="7C0F6C2A"/>
    <w:rsid w:val="7C254906"/>
    <w:rsid w:val="7C590818"/>
    <w:rsid w:val="7C7C10F6"/>
    <w:rsid w:val="7C853BEA"/>
    <w:rsid w:val="7C881368"/>
    <w:rsid w:val="7CE27788"/>
    <w:rsid w:val="7D0C32F1"/>
    <w:rsid w:val="7D0F408D"/>
    <w:rsid w:val="7D491C6C"/>
    <w:rsid w:val="7D5429C0"/>
    <w:rsid w:val="7D6E6D43"/>
    <w:rsid w:val="7DB57A34"/>
    <w:rsid w:val="7DD93D16"/>
    <w:rsid w:val="7DE60973"/>
    <w:rsid w:val="7DEF0916"/>
    <w:rsid w:val="7E1E5218"/>
    <w:rsid w:val="7E246903"/>
    <w:rsid w:val="7E602EE5"/>
    <w:rsid w:val="7E9A4E1F"/>
    <w:rsid w:val="7EA7723A"/>
    <w:rsid w:val="7EF56FBB"/>
    <w:rsid w:val="7F0768EB"/>
    <w:rsid w:val="7F143BEC"/>
    <w:rsid w:val="7F1B3618"/>
    <w:rsid w:val="7F3E7CAB"/>
    <w:rsid w:val="7F660214"/>
    <w:rsid w:val="7F715AF2"/>
    <w:rsid w:val="7F886E69"/>
    <w:rsid w:val="BB7FA927"/>
    <w:rsid w:val="BEAEA1FC"/>
    <w:rsid w:val="ECED2B49"/>
    <w:rsid w:val="F5FFD31F"/>
    <w:rsid w:val="FF77A1AA"/>
    <w:rsid w:val="FFFBD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67"/>
    <w:qFormat/>
    <w:uiPriority w:val="9"/>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paragraph" w:styleId="4">
    <w:name w:val="heading 3"/>
    <w:basedOn w:val="1"/>
    <w:next w:val="5"/>
    <w:link w:val="102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0"/>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next w:val="6"/>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0"/>
    <w:pPr>
      <w:tabs>
        <w:tab w:val="center" w:pos="4153"/>
        <w:tab w:val="right" w:pos="8306"/>
      </w:tabs>
      <w:snapToGrid w:val="0"/>
      <w:jc w:val="left"/>
    </w:pPr>
    <w:rPr>
      <w:sz w:val="18"/>
      <w:szCs w:val="18"/>
    </w:rPr>
  </w:style>
  <w:style w:type="paragraph" w:styleId="41">
    <w:name w:val="header"/>
    <w:basedOn w:val="1"/>
    <w:link w:val="392"/>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39"/>
    <w:pPr>
      <w:ind w:left="3360" w:leftChars="1600"/>
    </w:pPr>
  </w:style>
  <w:style w:type="paragraph" w:styleId="56">
    <w:name w:val="Body Text 2"/>
    <w:basedOn w:val="1"/>
    <w:link w:val="302"/>
    <w:qFormat/>
    <w:uiPriority w:val="0"/>
    <w:pPr>
      <w:spacing w:after="120" w:line="480" w:lineRule="auto"/>
    </w:pPr>
  </w:style>
  <w:style w:type="paragraph" w:styleId="57">
    <w:name w:val="List 4"/>
    <w:basedOn w:val="1"/>
    <w:qFormat/>
    <w:uiPriority w:val="0"/>
    <w:pPr>
      <w:adjustRightInd/>
      <w:ind w:left="1680" w:hanging="420"/>
    </w:pPr>
    <w:rPr>
      <w:rFonts w:eastAsia="楷体_GB2312"/>
      <w:sz w:val="32"/>
      <w:szCs w:val="22"/>
    </w:rPr>
  </w:style>
  <w:style w:type="paragraph" w:styleId="58">
    <w:name w:val="HTML Preformatted"/>
    <w:basedOn w:val="1"/>
    <w:link w:val="3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footnote reference"/>
    <w:basedOn w:val="70"/>
    <w:unhideWhenUsed/>
    <w:qFormat/>
    <w:uiPriority w:val="99"/>
    <w:rPr>
      <w:vertAlign w:val="superscript"/>
    </w:rPr>
  </w:style>
  <w:style w:type="paragraph" w:customStyle="1" w:styleId="81">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99"/>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0"/>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0"/>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0"/>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99"/>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99"/>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99"/>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0"/>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99"/>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99"/>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99"/>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0"/>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0"/>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99"/>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link w:val="1027"/>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1"/>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link w:val="1026"/>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1"/>
    <w:basedOn w:val="1"/>
    <w:link w:val="1036"/>
    <w:qFormat/>
    <w:uiPriority w:val="99"/>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99"/>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99"/>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65">
    <w:name w:val="未处理的提及2"/>
    <w:basedOn w:val="70"/>
    <w:unhideWhenUsed/>
    <w:qFormat/>
    <w:uiPriority w:val="99"/>
    <w:rPr>
      <w:color w:val="605E5C"/>
      <w:shd w:val="clear" w:color="auto" w:fill="E1DFDD"/>
    </w:rPr>
  </w:style>
  <w:style w:type="paragraph" w:customStyle="1" w:styleId="966">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7">
    <w:name w:val="标题 2 字符1"/>
    <w:link w:val="2"/>
    <w:qFormat/>
    <w:uiPriority w:val="9"/>
    <w:rPr>
      <w:rFonts w:ascii="宋体" w:hAnsi="宋体"/>
      <w:b/>
      <w:bCs/>
      <w:kern w:val="2"/>
      <w:sz w:val="24"/>
      <w:szCs w:val="24"/>
      <w:lang w:val="zh-CN"/>
    </w:rPr>
  </w:style>
  <w:style w:type="paragraph" w:customStyle="1" w:styleId="968">
    <w:name w:val="_正文"/>
    <w:basedOn w:val="1"/>
    <w:link w:val="969"/>
    <w:qFormat/>
    <w:uiPriority w:val="0"/>
    <w:pPr>
      <w:tabs>
        <w:tab w:val="left" w:pos="840"/>
      </w:tabs>
      <w:adjustRightInd/>
      <w:spacing w:line="360" w:lineRule="auto"/>
      <w:ind w:firstLine="200" w:firstLineChars="200"/>
    </w:pPr>
    <w:rPr>
      <w:sz w:val="24"/>
    </w:rPr>
  </w:style>
  <w:style w:type="character" w:customStyle="1" w:styleId="969">
    <w:name w:val="_正文 Char"/>
    <w:link w:val="968"/>
    <w:qFormat/>
    <w:uiPriority w:val="0"/>
    <w:rPr>
      <w:kern w:val="2"/>
      <w:sz w:val="24"/>
      <w:szCs w:val="24"/>
    </w:rPr>
  </w:style>
  <w:style w:type="paragraph" w:customStyle="1" w:styleId="970">
    <w:name w:val="正文（上会）"/>
    <w:basedOn w:val="1"/>
    <w:link w:val="971"/>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1">
    <w:name w:val="正文（上会） 字符"/>
    <w:link w:val="970"/>
    <w:qFormat/>
    <w:uiPriority w:val="0"/>
    <w:rPr>
      <w:rFonts w:ascii="仿宋_GB2312" w:hAnsi="仿宋_GB2312" w:eastAsia="仿宋_GB2312" w:cs="仿宋_GB2312"/>
      <w:kern w:val="2"/>
      <w:sz w:val="32"/>
      <w:szCs w:val="32"/>
    </w:rPr>
  </w:style>
  <w:style w:type="paragraph" w:customStyle="1" w:styleId="972">
    <w:name w:val="修订5"/>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3">
    <w:name w:val="未处理的提及3"/>
    <w:basedOn w:val="70"/>
    <w:unhideWhenUsed/>
    <w:qFormat/>
    <w:uiPriority w:val="99"/>
    <w:rPr>
      <w:color w:val="605E5C"/>
      <w:shd w:val="clear" w:color="auto" w:fill="E1DFDD"/>
    </w:rPr>
  </w:style>
  <w:style w:type="paragraph" w:customStyle="1" w:styleId="974">
    <w:name w:val="修订6"/>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75">
    <w:name w:val="font181"/>
    <w:basedOn w:val="70"/>
    <w:qFormat/>
    <w:uiPriority w:val="0"/>
    <w:rPr>
      <w:rFonts w:hint="eastAsia" w:ascii="宋体" w:hAnsi="宋体" w:eastAsia="宋体" w:cs="宋体"/>
      <w:color w:val="000000"/>
      <w:sz w:val="22"/>
      <w:szCs w:val="22"/>
      <w:u w:val="none"/>
    </w:rPr>
  </w:style>
  <w:style w:type="character" w:customStyle="1" w:styleId="976">
    <w:name w:val="font131"/>
    <w:basedOn w:val="70"/>
    <w:qFormat/>
    <w:uiPriority w:val="0"/>
    <w:rPr>
      <w:rFonts w:hint="eastAsia" w:ascii="宋体" w:hAnsi="宋体" w:eastAsia="宋体" w:cs="宋体"/>
      <w:color w:val="000000"/>
      <w:sz w:val="22"/>
      <w:szCs w:val="22"/>
      <w:u w:val="none"/>
    </w:rPr>
  </w:style>
  <w:style w:type="character" w:customStyle="1" w:styleId="977">
    <w:name w:val="font151"/>
    <w:basedOn w:val="70"/>
    <w:qFormat/>
    <w:uiPriority w:val="0"/>
    <w:rPr>
      <w:rFonts w:hint="eastAsia" w:ascii="宋体" w:hAnsi="宋体" w:eastAsia="宋体" w:cs="宋体"/>
      <w:b/>
      <w:bCs/>
      <w:color w:val="000000"/>
      <w:sz w:val="22"/>
      <w:szCs w:val="22"/>
      <w:u w:val="none"/>
    </w:rPr>
  </w:style>
  <w:style w:type="character" w:customStyle="1" w:styleId="978">
    <w:name w:val="font161"/>
    <w:basedOn w:val="70"/>
    <w:qFormat/>
    <w:uiPriority w:val="0"/>
    <w:rPr>
      <w:rFonts w:hint="eastAsia" w:ascii="宋体" w:hAnsi="宋体" w:eastAsia="宋体" w:cs="宋体"/>
      <w:b/>
      <w:bCs/>
      <w:color w:val="000000"/>
      <w:sz w:val="20"/>
      <w:szCs w:val="20"/>
      <w:u w:val="none"/>
    </w:rPr>
  </w:style>
  <w:style w:type="character" w:customStyle="1" w:styleId="979">
    <w:name w:val="font191"/>
    <w:basedOn w:val="70"/>
    <w:qFormat/>
    <w:uiPriority w:val="0"/>
    <w:rPr>
      <w:rFonts w:hint="eastAsia" w:ascii="宋体" w:hAnsi="宋体" w:eastAsia="宋体" w:cs="宋体"/>
      <w:color w:val="000000"/>
      <w:sz w:val="22"/>
      <w:szCs w:val="22"/>
      <w:u w:val="none"/>
    </w:rPr>
  </w:style>
  <w:style w:type="paragraph" w:customStyle="1" w:styleId="980">
    <w:name w:val="修订7"/>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1">
    <w:name w:val="修订8"/>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2">
    <w:name w:val="修订9"/>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3">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4">
    <w:name w:val="修订1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5">
    <w:name w:val="未处理的提及4"/>
    <w:basedOn w:val="70"/>
    <w:unhideWhenUsed/>
    <w:qFormat/>
    <w:uiPriority w:val="99"/>
    <w:rPr>
      <w:color w:val="605E5C"/>
      <w:shd w:val="clear" w:color="auto" w:fill="E1DFDD"/>
    </w:rPr>
  </w:style>
  <w:style w:type="paragraph" w:customStyle="1" w:styleId="986">
    <w:name w:val="修订1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87">
    <w:name w:val="正文！"/>
    <w:basedOn w:val="1"/>
    <w:qFormat/>
    <w:uiPriority w:val="0"/>
    <w:pPr>
      <w:adjustRightInd/>
      <w:spacing w:line="360" w:lineRule="auto"/>
      <w:ind w:firstLine="200" w:firstLineChars="200"/>
    </w:pPr>
    <w:rPr>
      <w:szCs w:val="21"/>
    </w:rPr>
  </w:style>
  <w:style w:type="paragraph" w:customStyle="1" w:styleId="988">
    <w:name w:val="修订13"/>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89">
    <w:name w:val="未处理的提及5"/>
    <w:basedOn w:val="70"/>
    <w:unhideWhenUsed/>
    <w:qFormat/>
    <w:uiPriority w:val="99"/>
    <w:rPr>
      <w:color w:val="605E5C"/>
      <w:shd w:val="clear" w:color="auto" w:fill="E1DFDD"/>
    </w:rPr>
  </w:style>
  <w:style w:type="character" w:customStyle="1" w:styleId="990">
    <w:name w:val="未处理的提及6"/>
    <w:basedOn w:val="70"/>
    <w:unhideWhenUsed/>
    <w:qFormat/>
    <w:uiPriority w:val="99"/>
    <w:rPr>
      <w:color w:val="605E5C"/>
      <w:shd w:val="clear" w:color="auto" w:fill="E1DFDD"/>
    </w:rPr>
  </w:style>
  <w:style w:type="character" w:customStyle="1" w:styleId="991">
    <w:name w:val="未处理的提及7"/>
    <w:basedOn w:val="70"/>
    <w:unhideWhenUsed/>
    <w:qFormat/>
    <w:uiPriority w:val="99"/>
    <w:rPr>
      <w:color w:val="605E5C"/>
      <w:shd w:val="clear" w:color="auto" w:fill="E1DFDD"/>
    </w:rPr>
  </w:style>
  <w:style w:type="paragraph" w:customStyle="1" w:styleId="992">
    <w:name w:val="正文空2字"/>
    <w:basedOn w:val="99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3">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994">
    <w:name w:val="fontstyle01"/>
    <w:basedOn w:val="70"/>
    <w:qFormat/>
    <w:uiPriority w:val="0"/>
    <w:rPr>
      <w:rFonts w:hint="eastAsia" w:ascii="宋体" w:hAnsi="宋体" w:eastAsia="宋体"/>
      <w:color w:val="000000"/>
      <w:sz w:val="18"/>
      <w:szCs w:val="18"/>
    </w:rPr>
  </w:style>
  <w:style w:type="character" w:customStyle="1" w:styleId="995">
    <w:name w:val="未处理的提及8"/>
    <w:basedOn w:val="70"/>
    <w:unhideWhenUsed/>
    <w:qFormat/>
    <w:uiPriority w:val="99"/>
    <w:rPr>
      <w:color w:val="605E5C"/>
      <w:shd w:val="clear" w:color="auto" w:fill="E1DFDD"/>
    </w:rPr>
  </w:style>
  <w:style w:type="paragraph" w:customStyle="1" w:styleId="996">
    <w:name w:val="修订1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97">
    <w:name w:val="修订1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998">
    <w:name w:val="未处理的提及9"/>
    <w:basedOn w:val="70"/>
    <w:unhideWhenUsed/>
    <w:qFormat/>
    <w:uiPriority w:val="99"/>
    <w:rPr>
      <w:color w:val="605E5C"/>
      <w:shd w:val="clear" w:color="auto" w:fill="E1DFDD"/>
    </w:rPr>
  </w:style>
  <w:style w:type="character" w:customStyle="1" w:styleId="999">
    <w:name w:val="未处理的提及10"/>
    <w:basedOn w:val="70"/>
    <w:unhideWhenUsed/>
    <w:qFormat/>
    <w:uiPriority w:val="99"/>
    <w:rPr>
      <w:color w:val="605E5C"/>
      <w:shd w:val="clear" w:color="auto" w:fill="E1DFDD"/>
    </w:rPr>
  </w:style>
  <w:style w:type="character" w:customStyle="1" w:styleId="1000">
    <w:name w:val="未处理的提及11"/>
    <w:basedOn w:val="70"/>
    <w:unhideWhenUsed/>
    <w:qFormat/>
    <w:uiPriority w:val="99"/>
    <w:rPr>
      <w:color w:val="605E5C"/>
      <w:shd w:val="clear" w:color="auto" w:fill="E1DFDD"/>
    </w:rPr>
  </w:style>
  <w:style w:type="character" w:customStyle="1" w:styleId="1001">
    <w:name w:val="正文文本缩进 2 Char"/>
    <w:qFormat/>
    <w:uiPriority w:val="0"/>
    <w:rPr>
      <w:rFonts w:ascii="仿宋_GB2312" w:hAnsi="宋体" w:cs="Arial"/>
      <w:b/>
      <w:bCs/>
      <w:color w:val="000000"/>
      <w:sz w:val="24"/>
      <w:szCs w:val="24"/>
    </w:rPr>
  </w:style>
  <w:style w:type="character" w:customStyle="1" w:styleId="1002">
    <w:name w:val="签名 Char"/>
    <w:qFormat/>
    <w:uiPriority w:val="0"/>
    <w:rPr>
      <w:rFonts w:eastAsia="仿宋_GB2312"/>
      <w:sz w:val="24"/>
    </w:rPr>
  </w:style>
  <w:style w:type="character" w:customStyle="1" w:styleId="1003">
    <w:name w:val="文档结构图 Char1"/>
    <w:qFormat/>
    <w:uiPriority w:val="0"/>
    <w:rPr>
      <w:kern w:val="2"/>
      <w:sz w:val="21"/>
      <w:szCs w:val="24"/>
      <w:shd w:val="clear" w:color="auto" w:fill="000080"/>
    </w:rPr>
  </w:style>
  <w:style w:type="character" w:customStyle="1" w:styleId="1004">
    <w:name w:val="日期 Char"/>
    <w:qFormat/>
    <w:uiPriority w:val="0"/>
    <w:rPr>
      <w:rFonts w:eastAsia="楷体_GB2312"/>
      <w:kern w:val="2"/>
      <w:sz w:val="32"/>
      <w:lang w:val="en-US" w:eastAsia="zh-CN" w:bidi="ar-SA"/>
    </w:rPr>
  </w:style>
  <w:style w:type="character" w:customStyle="1" w:styleId="1005">
    <w:name w:val="副标题 Char"/>
    <w:qFormat/>
    <w:uiPriority w:val="0"/>
    <w:rPr>
      <w:rFonts w:ascii="Arial" w:hAnsi="Arial" w:eastAsia="隶书"/>
      <w:b/>
      <w:bCs/>
      <w:kern w:val="28"/>
      <w:sz w:val="44"/>
      <w:szCs w:val="32"/>
      <w:lang w:val="en-US" w:eastAsia="zh-CN" w:bidi="ar-SA"/>
    </w:rPr>
  </w:style>
  <w:style w:type="character" w:customStyle="1" w:styleId="1006">
    <w:name w:val="weby11"/>
    <w:qFormat/>
    <w:uiPriority w:val="0"/>
    <w:rPr>
      <w:sz w:val="18"/>
    </w:rPr>
  </w:style>
  <w:style w:type="character" w:customStyle="1" w:styleId="1007">
    <w:name w:val="纯文本 字符2"/>
    <w:qFormat/>
    <w:uiPriority w:val="0"/>
    <w:rPr>
      <w:rFonts w:ascii="宋体" w:hAnsi="Courier New" w:eastAsia="宋体" w:cs="Times New Roman"/>
      <w:sz w:val="24"/>
      <w:szCs w:val="24"/>
    </w:rPr>
  </w:style>
  <w:style w:type="character" w:customStyle="1" w:styleId="1008">
    <w:name w:val="正文缩进 Char2"/>
    <w:qFormat/>
    <w:uiPriority w:val="0"/>
    <w:rPr>
      <w:rFonts w:ascii="宋体" w:eastAsia="宋体"/>
      <w:snapToGrid w:val="0"/>
      <w:color w:val="000000"/>
      <w:kern w:val="28"/>
      <w:sz w:val="28"/>
      <w:lang w:val="en-US" w:eastAsia="zh-CN" w:bidi="ar-SA"/>
    </w:rPr>
  </w:style>
  <w:style w:type="character" w:customStyle="1" w:styleId="1009">
    <w:name w:val="正文文本缩进 3 Char"/>
    <w:qFormat/>
    <w:uiPriority w:val="0"/>
    <w:rPr>
      <w:rFonts w:ascii="仿宋_GB2312" w:hAnsi="宋体" w:eastAsia="仿宋_GB2312"/>
      <w:color w:val="000000"/>
      <w:sz w:val="24"/>
      <w:szCs w:val="24"/>
    </w:rPr>
  </w:style>
  <w:style w:type="character" w:customStyle="1" w:styleId="1010">
    <w:name w:val="亚运 4级标题 字符"/>
    <w:link w:val="1011"/>
    <w:qFormat/>
    <w:uiPriority w:val="0"/>
    <w:rPr>
      <w:rFonts w:ascii="黑体" w:hAnsi="黑体" w:eastAsia="仿宋"/>
      <w:bCs/>
      <w:color w:val="000000"/>
      <w:sz w:val="30"/>
      <w:szCs w:val="30"/>
    </w:rPr>
  </w:style>
  <w:style w:type="paragraph" w:customStyle="1" w:styleId="1011">
    <w:name w:val="亚运 4级标题"/>
    <w:basedOn w:val="6"/>
    <w:link w:val="1010"/>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character" w:customStyle="1" w:styleId="1012">
    <w:name w:val="HTML 地址 Char"/>
    <w:qFormat/>
    <w:uiPriority w:val="0"/>
    <w:rPr>
      <w:rFonts w:ascii="宋体" w:hAnsi="宋体"/>
      <w:i/>
      <w:iCs/>
      <w:sz w:val="24"/>
      <w:szCs w:val="24"/>
    </w:rPr>
  </w:style>
  <w:style w:type="character" w:customStyle="1" w:styleId="1013">
    <w:name w:val="class3"/>
    <w:qFormat/>
    <w:uiPriority w:val="0"/>
  </w:style>
  <w:style w:type="character" w:customStyle="1" w:styleId="1014">
    <w:name w:val="尾注文本 Char"/>
    <w:qFormat/>
    <w:uiPriority w:val="0"/>
    <w:rPr>
      <w:kern w:val="2"/>
      <w:sz w:val="21"/>
      <w:szCs w:val="24"/>
      <w:lang w:val="zh-CN"/>
    </w:rPr>
  </w:style>
  <w:style w:type="character" w:customStyle="1" w:styleId="1015">
    <w:name w:val="hui121"/>
    <w:qFormat/>
    <w:uiPriority w:val="0"/>
    <w:rPr>
      <w:rFonts w:eastAsia="宋体"/>
      <w:color w:val="333333"/>
      <w:kern w:val="2"/>
      <w:sz w:val="18"/>
      <w:szCs w:val="18"/>
      <w:lang w:val="en-US" w:eastAsia="zh-CN" w:bidi="ar-SA"/>
    </w:rPr>
  </w:style>
  <w:style w:type="character" w:customStyle="1" w:styleId="1016">
    <w:name w:val="正文文本 3 Char"/>
    <w:qFormat/>
    <w:uiPriority w:val="0"/>
    <w:rPr>
      <w:rFonts w:ascii="Times New Roman" w:hAnsi="宋体" w:eastAsia="仿宋_GB2312"/>
      <w:b/>
      <w:bCs/>
      <w:sz w:val="24"/>
    </w:rPr>
  </w:style>
  <w:style w:type="character" w:customStyle="1" w:styleId="1017">
    <w:name w:val="标题 Char2"/>
    <w:qFormat/>
    <w:uiPriority w:val="10"/>
    <w:rPr>
      <w:b/>
      <w:sz w:val="24"/>
      <w:lang w:val="en-GB"/>
    </w:rPr>
  </w:style>
  <w:style w:type="character" w:customStyle="1" w:styleId="1018">
    <w:name w:val="亚运 5级标题 字符"/>
    <w:link w:val="1019"/>
    <w:qFormat/>
    <w:uiPriority w:val="0"/>
    <w:rPr>
      <w:rFonts w:ascii="宋体" w:hAnsi="宋体"/>
      <w:b/>
      <w:bCs/>
      <w:color w:val="000000"/>
      <w:kern w:val="2"/>
      <w:sz w:val="24"/>
      <w:szCs w:val="28"/>
    </w:rPr>
  </w:style>
  <w:style w:type="paragraph" w:customStyle="1" w:styleId="1019">
    <w:name w:val="亚运 5级标题"/>
    <w:basedOn w:val="7"/>
    <w:link w:val="1018"/>
    <w:qFormat/>
    <w:uiPriority w:val="0"/>
    <w:pPr>
      <w:tabs>
        <w:tab w:val="left" w:pos="840"/>
        <w:tab w:val="clear" w:pos="1008"/>
      </w:tabs>
      <w:spacing w:before="0" w:after="0" w:line="360" w:lineRule="auto"/>
      <w:ind w:left="0" w:firstLine="0"/>
      <w:textAlignment w:val="baseline"/>
    </w:pPr>
    <w:rPr>
      <w:rFonts w:ascii="宋体" w:hAnsi="宋体"/>
      <w:color w:val="000000"/>
      <w:sz w:val="24"/>
    </w:rPr>
  </w:style>
  <w:style w:type="character" w:customStyle="1" w:styleId="1020">
    <w:name w:val="脚注文本 Char"/>
    <w:qFormat/>
    <w:uiPriority w:val="0"/>
    <w:rPr>
      <w:rFonts w:ascii="Calibri"/>
      <w:color w:val="0000FF"/>
      <w:sz w:val="21"/>
    </w:rPr>
  </w:style>
  <w:style w:type="character" w:customStyle="1" w:styleId="1021">
    <w:name w:val="label_list1"/>
    <w:qFormat/>
    <w:uiPriority w:val="0"/>
  </w:style>
  <w:style w:type="character" w:customStyle="1" w:styleId="1022">
    <w:name w:val="style41"/>
    <w:qFormat/>
    <w:uiPriority w:val="0"/>
    <w:rPr>
      <w:sz w:val="18"/>
      <w:szCs w:val="18"/>
    </w:rPr>
  </w:style>
  <w:style w:type="character" w:customStyle="1" w:styleId="1023">
    <w:name w:val="正文缩 Char"/>
    <w:link w:val="1024"/>
    <w:qFormat/>
    <w:uiPriority w:val="0"/>
    <w:rPr>
      <w:rFonts w:eastAsia="楷体_GB2312"/>
      <w:kern w:val="2"/>
      <w:sz w:val="24"/>
      <w:szCs w:val="24"/>
    </w:rPr>
  </w:style>
  <w:style w:type="paragraph" w:customStyle="1" w:styleId="1024">
    <w:name w:val="正文缩"/>
    <w:basedOn w:val="1"/>
    <w:link w:val="1023"/>
    <w:qFormat/>
    <w:uiPriority w:val="0"/>
    <w:pPr>
      <w:adjustRightInd/>
      <w:spacing w:line="360" w:lineRule="auto"/>
      <w:ind w:firstLine="200" w:firstLineChars="200"/>
    </w:pPr>
    <w:rPr>
      <w:rFonts w:eastAsia="楷体_GB2312"/>
      <w:sz w:val="24"/>
    </w:rPr>
  </w:style>
  <w:style w:type="character" w:customStyle="1" w:styleId="1025">
    <w:name w:val="标题 3 字符1"/>
    <w:link w:val="4"/>
    <w:qFormat/>
    <w:uiPriority w:val="0"/>
    <w:rPr>
      <w:b/>
      <w:bCs/>
      <w:kern w:val="2"/>
      <w:sz w:val="32"/>
      <w:szCs w:val="32"/>
    </w:rPr>
  </w:style>
  <w:style w:type="character" w:customStyle="1" w:styleId="1026">
    <w:name w:val="正文1 字符"/>
    <w:link w:val="840"/>
    <w:qFormat/>
    <w:uiPriority w:val="0"/>
    <w:rPr>
      <w:rFonts w:ascii="仿宋_GB2312" w:hAnsi="Courier New" w:eastAsia="仿宋_GB2312"/>
      <w:kern w:val="28"/>
      <w:sz w:val="24"/>
      <w:szCs w:val="24"/>
    </w:rPr>
  </w:style>
  <w:style w:type="character" w:customStyle="1" w:styleId="1027">
    <w:name w:val="List Paragraph Char"/>
    <w:link w:val="612"/>
    <w:qFormat/>
    <w:locked/>
    <w:uiPriority w:val="0"/>
    <w:rPr>
      <w:rFonts w:eastAsia="楷体_GB2312" w:cs="Lucida Sans"/>
      <w:kern w:val="2"/>
      <w:sz w:val="24"/>
      <w:szCs w:val="24"/>
    </w:rPr>
  </w:style>
  <w:style w:type="character" w:customStyle="1" w:styleId="1028">
    <w:name w:val="列出段落 Char3"/>
    <w:qFormat/>
    <w:uiPriority w:val="0"/>
  </w:style>
  <w:style w:type="character" w:customStyle="1" w:styleId="1029">
    <w:name w:val="NormalCharacter"/>
    <w:qFormat/>
    <w:uiPriority w:val="0"/>
    <w:rPr>
      <w:rFonts w:ascii="Times New Roman" w:hAnsi="Times New Roman" w:eastAsia="宋体" w:cs="Times New Roman"/>
    </w:rPr>
  </w:style>
  <w:style w:type="character" w:customStyle="1" w:styleId="1030">
    <w:name w:val="称呼 Char"/>
    <w:qFormat/>
    <w:uiPriority w:val="0"/>
    <w:rPr>
      <w:rFonts w:ascii="仿宋_GB2312" w:eastAsia="仿宋_GB2312"/>
      <w:kern w:val="2"/>
      <w:sz w:val="28"/>
    </w:rPr>
  </w:style>
  <w:style w:type="character" w:customStyle="1" w:styleId="1031">
    <w:name w:val="页脚 Char2"/>
    <w:qFormat/>
    <w:locked/>
    <w:uiPriority w:val="99"/>
    <w:rPr>
      <w:kern w:val="2"/>
      <w:sz w:val="18"/>
      <w:szCs w:val="18"/>
    </w:rPr>
  </w:style>
  <w:style w:type="character" w:customStyle="1" w:styleId="1032">
    <w:name w:val="HTML 预设格式 Char"/>
    <w:qFormat/>
    <w:uiPriority w:val="99"/>
    <w:rPr>
      <w:rFonts w:ascii="宋体" w:hAnsi="宋体" w:cs="宋体"/>
      <w:sz w:val="24"/>
      <w:szCs w:val="24"/>
    </w:rPr>
  </w:style>
  <w:style w:type="character" w:customStyle="1" w:styleId="1033">
    <w:name w:val="批注主题 Char1"/>
    <w:qFormat/>
    <w:uiPriority w:val="0"/>
    <w:rPr>
      <w:b/>
      <w:bCs/>
      <w:kern w:val="2"/>
      <w:sz w:val="21"/>
      <w:szCs w:val="24"/>
    </w:rPr>
  </w:style>
  <w:style w:type="character" w:customStyle="1" w:styleId="1034">
    <w:name w:val="ca-3"/>
    <w:qFormat/>
    <w:uiPriority w:val="0"/>
    <w:rPr>
      <w:rFonts w:eastAsia="宋体"/>
      <w:kern w:val="2"/>
      <w:sz w:val="24"/>
      <w:szCs w:val="24"/>
      <w:lang w:val="en-US" w:eastAsia="zh-CN" w:bidi="ar-SA"/>
    </w:rPr>
  </w:style>
  <w:style w:type="character" w:customStyle="1" w:styleId="1035">
    <w:name w:val="正文文字缩进1 Char Char"/>
    <w:qFormat/>
    <w:uiPriority w:val="0"/>
    <w:rPr>
      <w:rFonts w:ascii="宋体" w:hAnsi="Courier New" w:eastAsia="宋体" w:cs="Times New Roman"/>
      <w:spacing w:val="-4"/>
      <w:sz w:val="18"/>
      <w:szCs w:val="20"/>
    </w:rPr>
  </w:style>
  <w:style w:type="character" w:customStyle="1" w:styleId="1036">
    <w:name w:val="列表段落 字符1"/>
    <w:link w:val="862"/>
    <w:qFormat/>
    <w:locked/>
    <w:uiPriority w:val="99"/>
    <w:rPr>
      <w:rFonts w:ascii="Calibri" w:hAnsi="Calibri"/>
      <w:kern w:val="2"/>
      <w:sz w:val="24"/>
      <w:szCs w:val="24"/>
    </w:rPr>
  </w:style>
  <w:style w:type="character" w:customStyle="1" w:styleId="1037">
    <w:name w:val="亚运3级标题 字符"/>
    <w:link w:val="1038"/>
    <w:qFormat/>
    <w:uiPriority w:val="0"/>
    <w:rPr>
      <w:rFonts w:ascii="黑体" w:hAnsi="黑体" w:eastAsia="仿宋" w:cs="Arial"/>
      <w:bCs/>
      <w:kern w:val="2"/>
      <w:sz w:val="30"/>
      <w:szCs w:val="30"/>
    </w:rPr>
  </w:style>
  <w:style w:type="paragraph" w:customStyle="1" w:styleId="1038">
    <w:name w:val="亚运3级标题"/>
    <w:basedOn w:val="1"/>
    <w:link w:val="1037"/>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character" w:customStyle="1" w:styleId="1039">
    <w:name w:val="正文文本缩进 字符2"/>
    <w:qFormat/>
    <w:uiPriority w:val="0"/>
    <w:rPr>
      <w:kern w:val="2"/>
      <w:sz w:val="28"/>
    </w:rPr>
  </w:style>
  <w:style w:type="character" w:customStyle="1" w:styleId="1040">
    <w:name w:val="正文文本缩进 Char3"/>
    <w:qFormat/>
    <w:uiPriority w:val="0"/>
    <w:rPr>
      <w:rFonts w:ascii="宋体" w:hAnsi="宋体"/>
      <w:kern w:val="2"/>
      <w:sz w:val="24"/>
      <w:szCs w:val="24"/>
    </w:rPr>
  </w:style>
  <w:style w:type="character" w:customStyle="1" w:styleId="1041">
    <w:name w:val="日期 字符1"/>
    <w:qFormat/>
    <w:uiPriority w:val="0"/>
    <w:rPr>
      <w:rFonts w:ascii="Times New Roman" w:hAnsi="Times New Roman" w:eastAsia="楷体_GB2312" w:cs="Times New Roman"/>
      <w:sz w:val="32"/>
      <w:szCs w:val="20"/>
    </w:rPr>
  </w:style>
  <w:style w:type="character" w:customStyle="1" w:styleId="1042">
    <w:name w:val="批注文字 字符2"/>
    <w:qFormat/>
    <w:uiPriority w:val="0"/>
    <w:rPr>
      <w:rFonts w:ascii="Times New Roman" w:hAnsi="Times New Roman" w:eastAsia="宋体" w:cs="Times New Roman"/>
      <w:szCs w:val="24"/>
    </w:rPr>
  </w:style>
  <w:style w:type="character" w:customStyle="1" w:styleId="1043">
    <w:name w:val="class4"/>
    <w:qFormat/>
    <w:uiPriority w:val="0"/>
  </w:style>
  <w:style w:type="character" w:customStyle="1" w:styleId="1044">
    <w:name w:val="普通文字 Char Char"/>
    <w:qFormat/>
    <w:uiPriority w:val="0"/>
    <w:rPr>
      <w:rFonts w:ascii="宋体" w:hAnsi="Courier New" w:eastAsia="宋体"/>
      <w:sz w:val="24"/>
      <w:szCs w:val="24"/>
      <w:lang w:bidi="ar-SA"/>
    </w:rPr>
  </w:style>
  <w:style w:type="character" w:customStyle="1" w:styleId="1045">
    <w:name w:val="无"/>
    <w:qFormat/>
    <w:uiPriority w:val="0"/>
  </w:style>
  <w:style w:type="character" w:customStyle="1" w:styleId="1046">
    <w:name w:val="页眉 Char2"/>
    <w:qFormat/>
    <w:uiPriority w:val="99"/>
    <w:rPr>
      <w:kern w:val="2"/>
      <w:sz w:val="18"/>
      <w:szCs w:val="18"/>
    </w:rPr>
  </w:style>
  <w:style w:type="character" w:customStyle="1" w:styleId="1047">
    <w:name w:val="标题 4 Char2"/>
    <w:qFormat/>
    <w:uiPriority w:val="9"/>
    <w:rPr>
      <w:rFonts w:ascii="Arial" w:hAnsi="Arial" w:eastAsia="黑体"/>
      <w:b/>
      <w:bCs/>
      <w:kern w:val="2"/>
      <w:sz w:val="28"/>
      <w:szCs w:val="28"/>
      <w:lang w:val="zh-CN"/>
    </w:rPr>
  </w:style>
  <w:style w:type="character" w:customStyle="1" w:styleId="1048">
    <w:name w:val="Char Char241"/>
    <w:qFormat/>
    <w:uiPriority w:val="0"/>
    <w:rPr>
      <w:rFonts w:ascii="Times New Roman" w:hAnsi="Times New Roman" w:eastAsia="宋体" w:cs="Times New Roman"/>
      <w:szCs w:val="20"/>
    </w:rPr>
  </w:style>
  <w:style w:type="character" w:customStyle="1" w:styleId="1049">
    <w:name w:val="批注文字 Char1"/>
    <w:qFormat/>
    <w:uiPriority w:val="0"/>
    <w:rPr>
      <w:kern w:val="2"/>
      <w:sz w:val="21"/>
      <w:szCs w:val="24"/>
    </w:rPr>
  </w:style>
  <w:style w:type="paragraph" w:customStyle="1" w:styleId="1050">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1">
    <w:name w:val="正文缩进2字符"/>
    <w:qFormat/>
    <w:uiPriority w:val="0"/>
    <w:pPr>
      <w:spacing w:after="16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52">
    <w:name w:val="xl9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3">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1054">
    <w:name w:val="图"/>
    <w:basedOn w:val="1"/>
    <w:qFormat/>
    <w:uiPriority w:val="0"/>
    <w:pPr>
      <w:keepNext/>
      <w:spacing w:before="60" w:after="60" w:line="300" w:lineRule="auto"/>
      <w:jc w:val="center"/>
      <w:textAlignment w:val="center"/>
    </w:pPr>
    <w:rPr>
      <w:spacing w:val="20"/>
      <w:kern w:val="0"/>
      <w:sz w:val="24"/>
      <w:szCs w:val="20"/>
    </w:rPr>
  </w:style>
  <w:style w:type="paragraph" w:customStyle="1" w:styleId="1055">
    <w:name w:val="正文_0_0"/>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05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top"/>
    </w:pPr>
    <w:rPr>
      <w:rFonts w:ascii="宋体" w:hAnsi="宋体" w:cs="宋体"/>
      <w:kern w:val="0"/>
      <w:sz w:val="24"/>
    </w:rPr>
  </w:style>
  <w:style w:type="paragraph" w:customStyle="1" w:styleId="1058">
    <w:name w:val="xl10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59">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60">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1061">
    <w:name w:val="xl10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62">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063">
    <w:name w:val="TOC 标题2"/>
    <w:basedOn w:val="3"/>
    <w:next w:val="1"/>
    <w:qFormat/>
    <w:uiPriority w:val="39"/>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64">
    <w:name w:val="列表段落11"/>
    <w:basedOn w:val="1"/>
    <w:qFormat/>
    <w:uiPriority w:val="34"/>
    <w:pPr>
      <w:adjustRightInd/>
      <w:ind w:right="238" w:firstLine="420"/>
    </w:pPr>
    <w:rPr>
      <w:rFonts w:ascii="Calibri" w:hAnsi="Calibri"/>
      <w:sz w:val="24"/>
    </w:rPr>
  </w:style>
  <w:style w:type="paragraph" w:customStyle="1" w:styleId="1065">
    <w:name w:val="标题A"/>
    <w:basedOn w:val="3"/>
    <w:qFormat/>
    <w:uiPriority w:val="0"/>
    <w:pPr>
      <w:tabs>
        <w:tab w:val="clear" w:pos="432"/>
      </w:tabs>
      <w:spacing w:before="100" w:beforeAutospacing="1" w:after="60" w:line="240" w:lineRule="auto"/>
      <w:ind w:left="0" w:firstLine="0"/>
      <w:jc w:val="center"/>
      <w:textAlignment w:val="baseline"/>
    </w:pPr>
    <w:rPr>
      <w:rFonts w:ascii="Arial" w:hAnsi="Arial"/>
      <w:sz w:val="28"/>
    </w:rPr>
  </w:style>
  <w:style w:type="paragraph" w:customStyle="1" w:styleId="1066">
    <w:name w:val="xl9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67">
    <w:name w:val="xl6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68">
    <w:name w:val="标题B"/>
    <w:basedOn w:val="2"/>
    <w:qFormat/>
    <w:uiPriority w:val="0"/>
    <w:pPr>
      <w:tabs>
        <w:tab w:val="clear" w:pos="432"/>
        <w:tab w:val="clear" w:pos="1110"/>
      </w:tabs>
      <w:adjustRightInd w:val="0"/>
      <w:spacing w:before="100" w:beforeAutospacing="1" w:after="100" w:afterAutospacing="1" w:line="240" w:lineRule="auto"/>
      <w:ind w:left="0" w:leftChars="0" w:firstLine="0" w:firstLineChars="0"/>
      <w:jc w:val="center"/>
      <w:textAlignment w:val="baseline"/>
    </w:pPr>
    <w:rPr>
      <w:rFonts w:ascii="Arial" w:hAnsi="Arial"/>
      <w:kern w:val="0"/>
      <w:sz w:val="28"/>
      <w:szCs w:val="28"/>
    </w:rPr>
  </w:style>
  <w:style w:type="paragraph" w:customStyle="1" w:styleId="1069">
    <w:name w:val="Table Bullet"/>
    <w:basedOn w:val="1"/>
    <w:qFormat/>
    <w:uiPriority w:val="0"/>
    <w:pPr>
      <w:widowControl/>
      <w:tabs>
        <w:tab w:val="left" w:pos="2688"/>
      </w:tabs>
      <w:adjustRightInd/>
      <w:ind w:left="360" w:hanging="360"/>
      <w:jc w:val="left"/>
    </w:pPr>
    <w:rPr>
      <w:rFonts w:ascii="宋体"/>
      <w:snapToGrid w:val="0"/>
      <w:color w:val="000000"/>
      <w:kern w:val="0"/>
      <w:sz w:val="23"/>
      <w:szCs w:val="20"/>
    </w:rPr>
  </w:style>
  <w:style w:type="paragraph" w:customStyle="1" w:styleId="1070">
    <w:name w:val="正文_13"/>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071">
    <w:name w:val="xl97"/>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b/>
      <w:bCs/>
      <w:kern w:val="0"/>
      <w:sz w:val="20"/>
      <w:szCs w:val="20"/>
    </w:rPr>
  </w:style>
  <w:style w:type="paragraph" w:customStyle="1" w:styleId="1072">
    <w:name w:val="纯文本3"/>
    <w:basedOn w:val="1"/>
    <w:qFormat/>
    <w:uiPriority w:val="0"/>
    <w:pPr>
      <w:widowControl/>
      <w:adjustRightInd/>
      <w:jc w:val="left"/>
    </w:pPr>
    <w:rPr>
      <w:rFonts w:hint="eastAsia" w:ascii="宋体" w:hAnsi="Courier New"/>
      <w:szCs w:val="20"/>
    </w:rPr>
  </w:style>
  <w:style w:type="paragraph" w:customStyle="1" w:styleId="1073">
    <w:name w:val="列出段落21"/>
    <w:basedOn w:val="1"/>
    <w:qFormat/>
    <w:uiPriority w:val="34"/>
    <w:pPr>
      <w:adjustRightInd/>
      <w:ind w:firstLine="420" w:firstLineChars="200"/>
    </w:pPr>
    <w:rPr>
      <w:rFonts w:ascii="等线" w:hAnsi="等线" w:eastAsia="等线"/>
      <w:szCs w:val="22"/>
    </w:rPr>
  </w:style>
  <w:style w:type="paragraph" w:customStyle="1" w:styleId="1074">
    <w:name w:val="简单回函地址"/>
    <w:basedOn w:val="1"/>
    <w:qFormat/>
    <w:uiPriority w:val="0"/>
    <w:pPr>
      <w:spacing w:line="312" w:lineRule="atLeast"/>
      <w:textAlignment w:val="baseline"/>
    </w:pPr>
    <w:rPr>
      <w:kern w:val="0"/>
      <w:szCs w:val="20"/>
    </w:rPr>
  </w:style>
  <w:style w:type="paragraph" w:customStyle="1" w:styleId="1075">
    <w:name w:val="cjk"/>
    <w:basedOn w:val="1"/>
    <w:qFormat/>
    <w:uiPriority w:val="0"/>
    <w:pPr>
      <w:widowControl/>
      <w:adjustRightInd/>
      <w:spacing w:line="480" w:lineRule="auto"/>
      <w:jc w:val="left"/>
    </w:pPr>
    <w:rPr>
      <w:rFonts w:ascii="宋体" w:hAnsi="宋体" w:cs="宋体"/>
      <w:kern w:val="0"/>
      <w:sz w:val="24"/>
      <w:szCs w:val="22"/>
    </w:rPr>
  </w:style>
  <w:style w:type="paragraph" w:customStyle="1" w:styleId="1076">
    <w:name w:val="修订16"/>
    <w:unhideWhenUsed/>
    <w:qFormat/>
    <w:uiPriority w:val="99"/>
    <w:pPr>
      <w:spacing w:after="160" w:line="278" w:lineRule="auto"/>
    </w:pPr>
    <w:rPr>
      <w:rFonts w:ascii="Times New Roman" w:hAnsi="Times New Roman" w:eastAsia="宋体" w:cs="Times New Roman"/>
      <w:kern w:val="2"/>
      <w:sz w:val="21"/>
      <w:szCs w:val="22"/>
      <w:lang w:val="en-US" w:eastAsia="zh-CN" w:bidi="ar-SA"/>
    </w:rPr>
  </w:style>
  <w:style w:type="paragraph" w:customStyle="1" w:styleId="1077">
    <w:name w:val="UserStyle_0"/>
    <w:qFormat/>
    <w:uiPriority w:val="0"/>
    <w:pPr>
      <w:spacing w:after="160" w:line="278" w:lineRule="auto"/>
      <w:textAlignment w:val="baseline"/>
    </w:pPr>
    <w:rPr>
      <w:rFonts w:ascii="Arial" w:hAnsi="Arial" w:eastAsia="宋体" w:cs="Times New Roman"/>
      <w:color w:val="000000"/>
      <w:sz w:val="24"/>
      <w:szCs w:val="24"/>
      <w:lang w:val="en-US" w:eastAsia="zh-CN" w:bidi="ar-SA"/>
    </w:rPr>
  </w:style>
  <w:style w:type="paragraph" w:customStyle="1" w:styleId="107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kern w:val="0"/>
      <w:sz w:val="24"/>
    </w:rPr>
  </w:style>
  <w:style w:type="paragraph" w:customStyle="1" w:styleId="1079">
    <w:name w:val="标题C"/>
    <w:basedOn w:val="4"/>
    <w:qFormat/>
    <w:uiPriority w:val="0"/>
    <w:pPr>
      <w:tabs>
        <w:tab w:val="clear" w:pos="900"/>
      </w:tabs>
      <w:spacing w:before="100" w:beforeAutospacing="1" w:after="100" w:afterAutospacing="1" w:line="240" w:lineRule="auto"/>
      <w:ind w:left="0" w:firstLine="0"/>
      <w:jc w:val="center"/>
      <w:textAlignment w:val="baseline"/>
    </w:pPr>
    <w:rPr>
      <w:kern w:val="0"/>
      <w:sz w:val="24"/>
      <w:szCs w:val="24"/>
    </w:rPr>
  </w:style>
  <w:style w:type="paragraph" w:customStyle="1" w:styleId="1080">
    <w:name w:val="xl10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81">
    <w:name w:val="Char Char Char Char Char Char Char Char Char Char Char Char Char Char Char Char Char Char Char Char Char Char Char Char Char Char Char Char Char1 Char Char Char Char Char Char Char Char Char Char Char Char"/>
    <w:basedOn w:val="1"/>
    <w:unhideWhenUsed/>
    <w:qFormat/>
    <w:uiPriority w:val="0"/>
    <w:pPr>
      <w:adjustRightInd/>
    </w:pPr>
    <w:rPr>
      <w:rFonts w:hint="eastAsia" w:ascii="仿宋_GB2312" w:eastAsia="仿宋_GB2312"/>
      <w:b/>
      <w:sz w:val="32"/>
    </w:rPr>
  </w:style>
  <w:style w:type="paragraph" w:customStyle="1" w:styleId="1082">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83">
    <w:name w:val="xl10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1084">
    <w:name w:val="修订17"/>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085">
    <w:name w:val="修订18"/>
    <w:hidden/>
    <w:unhideWhenUsed/>
    <w:qFormat/>
    <w:uiPriority w:val="99"/>
    <w:rPr>
      <w:rFonts w:ascii="Times New Roman" w:hAnsi="Times New Roman" w:eastAsia="宋体" w:cs="Times New Roman"/>
      <w:kern w:val="2"/>
      <w:sz w:val="21"/>
      <w:szCs w:val="24"/>
      <w:lang w:val="en-US" w:eastAsia="zh-CN" w:bidi="ar-SA"/>
    </w:rPr>
  </w:style>
  <w:style w:type="paragraph" w:styleId="1086">
    <w:name w:val="List Paragraph"/>
    <w:basedOn w:val="1"/>
    <w:unhideWhenUsed/>
    <w:qFormat/>
    <w:uiPriority w:val="99"/>
    <w:pPr>
      <w:ind w:firstLine="420" w:firstLineChars="200"/>
    </w:pPr>
  </w:style>
  <w:style w:type="paragraph" w:customStyle="1" w:styleId="1087">
    <w:name w:val="修订19"/>
    <w:hidden/>
    <w:unhideWhenUsed/>
    <w:qFormat/>
    <w:uiPriority w:val="99"/>
    <w:rPr>
      <w:rFonts w:ascii="Times New Roman" w:hAnsi="Times New Roman" w:eastAsia="宋体" w:cs="Times New Roman"/>
      <w:kern w:val="2"/>
      <w:sz w:val="21"/>
      <w:szCs w:val="24"/>
      <w:lang w:val="en-US" w:eastAsia="zh-CN" w:bidi="ar-SA"/>
    </w:rPr>
  </w:style>
  <w:style w:type="paragraph" w:customStyle="1" w:styleId="1088">
    <w:name w:val="修订20"/>
    <w:hidden/>
    <w:unhideWhenUsed/>
    <w:qFormat/>
    <w:uiPriority w:val="99"/>
    <w:rPr>
      <w:rFonts w:ascii="Times New Roman" w:hAnsi="Times New Roman" w:eastAsia="宋体" w:cs="Times New Roman"/>
      <w:kern w:val="2"/>
      <w:sz w:val="21"/>
      <w:szCs w:val="24"/>
      <w:lang w:val="en-US" w:eastAsia="zh-CN" w:bidi="ar-SA"/>
    </w:rPr>
  </w:style>
  <w:style w:type="paragraph" w:customStyle="1" w:styleId="1089">
    <w:name w:val="修订21"/>
    <w:hidden/>
    <w:unhideWhenUsed/>
    <w:qFormat/>
    <w:uiPriority w:val="99"/>
    <w:rPr>
      <w:rFonts w:ascii="Times New Roman" w:hAnsi="Times New Roman" w:eastAsia="宋体" w:cs="Times New Roman"/>
      <w:kern w:val="2"/>
      <w:sz w:val="21"/>
      <w:szCs w:val="24"/>
      <w:lang w:val="en-US" w:eastAsia="zh-CN" w:bidi="ar-SA"/>
    </w:rPr>
  </w:style>
  <w:style w:type="paragraph" w:customStyle="1" w:styleId="109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11608</Words>
  <Characters>12693</Characters>
  <Lines>367</Lines>
  <Paragraphs>103</Paragraphs>
  <TotalTime>40</TotalTime>
  <ScaleCrop>false</ScaleCrop>
  <LinksUpToDate>false</LinksUpToDate>
  <CharactersWithSpaces>13089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2025-01-04T05:06:00Z</dcterms:created>
  <dc:creator>玥</dc:creator>
  <cp:lastModifiedBy>Leez</cp:lastModifiedBy>
  <cp:lastPrinted>2023-03-12T09:43:00Z</cp:lastPrinted>
  <dcterms:modified xsi:type="dcterms:W3CDTF">2025-06-27T07:54:40Z</dcterms:modified>
  <dc:title>杭州市市民卡扩大发卡工程</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508AB79903C040059B5936ACCC3F5658_13</vt:lpwstr>
  </property>
  <property fmtid="{D5CDD505-2E9C-101B-9397-08002B2CF9AE}" pid="5" name="KSOTemplateDocerSaveRecord">
    <vt:lpwstr>eyJoZGlkIjoiNWJmMzEyZjFjNDlhZDFiNGZhZDI0YzBjMzQ5MjBhOGIiLCJ1c2VySWQiOiIyMTQ2NjI3OTcifQ==</vt:lpwstr>
  </property>
</Properties>
</file>