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4C4C83">
      <w:pPr>
        <w:pStyle w:val="42"/>
        <w:ind w:firstLine="964"/>
        <w:rPr>
          <w:rFonts w:hint="eastAsia" w:hAnsi="宋体" w:cs="宋体"/>
          <w:b/>
          <w:color w:val="000000" w:themeColor="text1"/>
          <w:sz w:val="48"/>
          <w:szCs w:val="48"/>
          <w14:textFill>
            <w14:solidFill>
              <w14:schemeClr w14:val="tx1"/>
            </w14:solidFill>
          </w14:textFill>
        </w:rPr>
      </w:pPr>
    </w:p>
    <w:p w14:paraId="6E6F2E84">
      <w:pPr>
        <w:pStyle w:val="34"/>
        <w:rPr>
          <w:rFonts w:hint="eastAsia"/>
          <w:color w:val="000000" w:themeColor="text1"/>
          <w14:textFill>
            <w14:solidFill>
              <w14:schemeClr w14:val="tx1"/>
            </w14:solidFill>
          </w14:textFill>
        </w:rPr>
      </w:pPr>
    </w:p>
    <w:p w14:paraId="38FE5C67">
      <w:pPr>
        <w:adjustRightInd w:val="0"/>
        <w:snapToGrid w:val="0"/>
        <w:spacing w:line="1000" w:lineRule="exact"/>
        <w:jc w:val="center"/>
        <w:rPr>
          <w:rFonts w:hint="eastAsia" w:ascii="宋体" w:hAnsi="宋体" w:cs="宋体"/>
          <w:b/>
          <w:color w:val="000000" w:themeColor="text1"/>
          <w:kern w:val="0"/>
          <w:sz w:val="52"/>
          <w:szCs w:val="52"/>
          <w14:textFill>
            <w14:solidFill>
              <w14:schemeClr w14:val="tx1"/>
            </w14:solidFill>
          </w14:textFill>
        </w:rPr>
      </w:pPr>
    </w:p>
    <w:p w14:paraId="011F9A8D">
      <w:pPr>
        <w:adjustRightInd w:val="0"/>
        <w:snapToGrid w:val="0"/>
        <w:spacing w:line="700" w:lineRule="exact"/>
        <w:jc w:val="center"/>
        <w:rPr>
          <w:rFonts w:hint="eastAsia" w:ascii="宋体" w:hAnsi="宋体" w:cs="宋体"/>
          <w:b/>
          <w:color w:val="000000" w:themeColor="text1"/>
          <w:kern w:val="0"/>
          <w:sz w:val="48"/>
          <w:szCs w:val="48"/>
          <w14:textFill>
            <w14:solidFill>
              <w14:schemeClr w14:val="tx1"/>
            </w14:solidFill>
          </w14:textFill>
        </w:rPr>
      </w:pPr>
      <w:r>
        <w:rPr>
          <w:rFonts w:hint="eastAsia" w:ascii="宋体" w:hAnsi="宋体" w:cs="宋体"/>
          <w:b/>
          <w:color w:val="000000" w:themeColor="text1"/>
          <w:kern w:val="0"/>
          <w:sz w:val="48"/>
          <w:szCs w:val="48"/>
          <w14:textFill>
            <w14:solidFill>
              <w14:schemeClr w14:val="tx1"/>
            </w14:solidFill>
          </w14:textFill>
        </w:rPr>
        <w:t>湖州市殡仪馆配电房变压器增容项目</w:t>
      </w:r>
    </w:p>
    <w:p w14:paraId="70CA8108">
      <w:pPr>
        <w:adjustRightInd w:val="0"/>
        <w:snapToGrid w:val="0"/>
        <w:spacing w:line="700" w:lineRule="exact"/>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（财政审批编号：[2025]</w:t>
      </w:r>
      <w:r>
        <w:rPr>
          <w:rFonts w:hint="eastAsia" w:ascii="宋体" w:hAnsi="宋体" w:cs="宋体"/>
          <w:b/>
          <w:color w:val="000000" w:themeColor="text1"/>
          <w:kern w:val="0"/>
          <w:sz w:val="32"/>
          <w:szCs w:val="32"/>
          <w:lang w:val="en-US" w:eastAsia="zh-CN"/>
          <w14:textFill>
            <w14:solidFill>
              <w14:schemeClr w14:val="tx1"/>
            </w14:solidFill>
          </w14:textFill>
        </w:rPr>
        <w:t xml:space="preserve"> 10691</w:t>
      </w:r>
      <w:r>
        <w:rPr>
          <w:rFonts w:hint="eastAsia" w:ascii="宋体" w:hAnsi="宋体" w:cs="宋体"/>
          <w:b/>
          <w:color w:val="000000" w:themeColor="text1"/>
          <w:kern w:val="0"/>
          <w:sz w:val="32"/>
          <w:szCs w:val="32"/>
          <w14:textFill>
            <w14:solidFill>
              <w14:schemeClr w14:val="tx1"/>
            </w14:solidFill>
          </w14:textFill>
        </w:rPr>
        <w:t>号）</w:t>
      </w:r>
    </w:p>
    <w:p w14:paraId="2BC8BCAB">
      <w:pPr>
        <w:adjustRightInd w:val="0"/>
        <w:snapToGrid w:val="0"/>
        <w:spacing w:line="600" w:lineRule="exact"/>
        <w:jc w:val="center"/>
        <w:rPr>
          <w:rFonts w:hint="eastAsia" w:ascii="宋体" w:hAnsi="宋体" w:cs="宋体"/>
          <w:b/>
          <w:snapToGrid w:val="0"/>
          <w:color w:val="000000" w:themeColor="text1"/>
          <w:sz w:val="84"/>
          <w:szCs w:val="84"/>
          <w14:textFill>
            <w14:solidFill>
              <w14:schemeClr w14:val="tx1"/>
            </w14:solidFill>
          </w14:textFill>
        </w:rPr>
      </w:pPr>
    </w:p>
    <w:p w14:paraId="3DCFD239">
      <w:pPr>
        <w:adjustRightInd w:val="0"/>
        <w:snapToGrid w:val="0"/>
        <w:spacing w:line="600" w:lineRule="exact"/>
        <w:jc w:val="center"/>
        <w:rPr>
          <w:rFonts w:hint="eastAsia" w:ascii="宋体" w:hAnsi="宋体" w:cs="宋体"/>
          <w:b/>
          <w:snapToGrid w:val="0"/>
          <w:color w:val="000000" w:themeColor="text1"/>
          <w:sz w:val="84"/>
          <w:szCs w:val="84"/>
          <w14:textFill>
            <w14:solidFill>
              <w14:schemeClr w14:val="tx1"/>
            </w14:solidFill>
          </w14:textFill>
        </w:rPr>
      </w:pPr>
    </w:p>
    <w:p w14:paraId="301DE1B1">
      <w:pPr>
        <w:pStyle w:val="2"/>
        <w:ind w:firstLine="280"/>
        <w:rPr>
          <w:rFonts w:hint="eastAsia"/>
          <w:color w:val="000000" w:themeColor="text1"/>
          <w14:textFill>
            <w14:solidFill>
              <w14:schemeClr w14:val="tx1"/>
            </w14:solidFill>
          </w14:textFill>
        </w:rPr>
      </w:pPr>
    </w:p>
    <w:p w14:paraId="6445D524">
      <w:pPr>
        <w:adjustRightInd w:val="0"/>
        <w:snapToGrid w:val="0"/>
        <w:spacing w:line="600" w:lineRule="exact"/>
        <w:rPr>
          <w:rFonts w:hint="eastAsia" w:ascii="宋体" w:hAnsi="宋体" w:cs="宋体"/>
          <w:b/>
          <w:snapToGrid w:val="0"/>
          <w:color w:val="000000" w:themeColor="text1"/>
          <w:sz w:val="84"/>
          <w:szCs w:val="84"/>
          <w14:textFill>
            <w14:solidFill>
              <w14:schemeClr w14:val="tx1"/>
            </w14:solidFill>
          </w14:textFill>
        </w:rPr>
      </w:pPr>
    </w:p>
    <w:p w14:paraId="06D1F438">
      <w:pPr>
        <w:adjustRightInd w:val="0"/>
        <w:snapToGrid w:val="0"/>
        <w:spacing w:line="800" w:lineRule="atLeast"/>
        <w:jc w:val="center"/>
        <w:rPr>
          <w:rFonts w:hint="eastAsia" w:ascii="宋体" w:hAnsi="宋体" w:cs="宋体"/>
          <w:b/>
          <w:snapToGrid w:val="0"/>
          <w:color w:val="000000" w:themeColor="text1"/>
          <w:sz w:val="84"/>
          <w:szCs w:val="84"/>
          <w14:textFill>
            <w14:solidFill>
              <w14:schemeClr w14:val="tx1"/>
            </w14:solidFill>
          </w14:textFill>
        </w:rPr>
      </w:pPr>
      <w:r>
        <w:rPr>
          <w:rFonts w:hint="eastAsia" w:ascii="宋体" w:hAnsi="宋体" w:cs="宋体"/>
          <w:b/>
          <w:snapToGrid w:val="0"/>
          <w:color w:val="000000" w:themeColor="text1"/>
          <w:sz w:val="84"/>
          <w:szCs w:val="84"/>
          <w14:textFill>
            <w14:solidFill>
              <w14:schemeClr w14:val="tx1"/>
            </w14:solidFill>
          </w14:textFill>
        </w:rPr>
        <w:t>招标文件</w:t>
      </w:r>
      <w:r>
        <w:rPr>
          <w:rFonts w:hint="eastAsia" w:ascii="宋体" w:hAnsi="宋体" w:cs="宋体"/>
          <w:color w:val="000000" w:themeColor="text1"/>
          <w14:textFill>
            <w14:solidFill>
              <w14:schemeClr w14:val="tx1"/>
            </w14:solidFill>
          </w14:textFill>
        </w:rPr>
        <w:t xml:space="preserve">  </w:t>
      </w:r>
    </w:p>
    <w:p w14:paraId="5C5E0B0F">
      <w:pPr>
        <w:adjustRightInd w:val="0"/>
        <w:snapToGrid w:val="0"/>
        <w:spacing w:line="500" w:lineRule="exact"/>
        <w:jc w:val="center"/>
        <w:rPr>
          <w:rFonts w:hint="eastAsia" w:ascii="宋体" w:hAnsi="宋体" w:cs="宋体"/>
          <w:bCs/>
          <w:snapToGrid w:val="0"/>
          <w:color w:val="000000" w:themeColor="text1"/>
          <w:sz w:val="32"/>
          <w14:textFill>
            <w14:solidFill>
              <w14:schemeClr w14:val="tx1"/>
            </w14:solidFill>
          </w14:textFill>
        </w:rPr>
      </w:pPr>
      <w:r>
        <w:rPr>
          <w:rFonts w:hint="eastAsia" w:ascii="宋体" w:hAnsi="宋体" w:cs="宋体"/>
          <w:bCs/>
          <w:snapToGrid w:val="0"/>
          <w:color w:val="000000" w:themeColor="text1"/>
          <w:szCs w:val="28"/>
          <w14:textFill>
            <w14:solidFill>
              <w14:schemeClr w14:val="tx1"/>
            </w14:solidFill>
          </w14:textFill>
        </w:rPr>
        <w:t>（全流程电子）</w:t>
      </w:r>
    </w:p>
    <w:p w14:paraId="28B71061">
      <w:pPr>
        <w:adjustRightInd w:val="0"/>
        <w:snapToGrid w:val="0"/>
        <w:spacing w:line="600" w:lineRule="exact"/>
        <w:rPr>
          <w:rFonts w:hint="eastAsia" w:ascii="宋体" w:hAnsi="宋体" w:cs="宋体"/>
          <w:bCs/>
          <w:snapToGrid w:val="0"/>
          <w:color w:val="000000" w:themeColor="text1"/>
          <w:sz w:val="32"/>
          <w14:textFill>
            <w14:solidFill>
              <w14:schemeClr w14:val="tx1"/>
            </w14:solidFill>
          </w14:textFill>
        </w:rPr>
      </w:pPr>
    </w:p>
    <w:p w14:paraId="156273C2">
      <w:pPr>
        <w:pStyle w:val="42"/>
        <w:ind w:firstLine="640"/>
        <w:rPr>
          <w:rFonts w:hint="eastAsia" w:hAnsi="宋体" w:cs="宋体"/>
          <w:bCs/>
          <w:snapToGrid w:val="0"/>
          <w:color w:val="000000" w:themeColor="text1"/>
          <w:sz w:val="32"/>
          <w14:textFill>
            <w14:solidFill>
              <w14:schemeClr w14:val="tx1"/>
            </w14:solidFill>
          </w14:textFill>
        </w:rPr>
      </w:pPr>
    </w:p>
    <w:p w14:paraId="14E3AB90">
      <w:pPr>
        <w:adjustRightInd w:val="0"/>
        <w:snapToGrid w:val="0"/>
        <w:spacing w:line="600" w:lineRule="exact"/>
        <w:rPr>
          <w:rFonts w:hint="eastAsia" w:ascii="宋体" w:hAnsi="宋体" w:cs="宋体"/>
          <w:b/>
          <w:bCs/>
          <w:snapToGrid w:val="0"/>
          <w:color w:val="000000" w:themeColor="text1"/>
          <w:sz w:val="32"/>
          <w:szCs w:val="32"/>
          <w:u w:val="single"/>
          <w14:textFill>
            <w14:solidFill>
              <w14:schemeClr w14:val="tx1"/>
            </w14:solidFill>
          </w14:textFill>
        </w:rPr>
      </w:pPr>
      <w:r>
        <w:rPr>
          <w:rFonts w:hint="eastAsia" w:ascii="宋体" w:hAnsi="宋体" w:cs="宋体"/>
          <w:b/>
          <w:snapToGrid w:val="0"/>
          <w:color w:val="000000" w:themeColor="text1"/>
          <w:sz w:val="32"/>
          <w:szCs w:val="32"/>
          <w14:textFill>
            <w14:solidFill>
              <w14:schemeClr w14:val="tx1"/>
            </w14:solidFill>
          </w14:textFill>
        </w:rPr>
        <w:t>项目编号：</w:t>
      </w:r>
      <w:r>
        <w:rPr>
          <w:rFonts w:hint="eastAsia" w:ascii="宋体" w:hAnsi="宋体" w:cs="宋体"/>
          <w:bCs/>
          <w:snapToGrid w:val="0"/>
          <w:color w:val="000000" w:themeColor="text1"/>
          <w:sz w:val="32"/>
          <w:szCs w:val="32"/>
          <w:u w:val="single"/>
          <w:lang w:eastAsia="zh-CN"/>
          <w14:textFill>
            <w14:solidFill>
              <w14:schemeClr w14:val="tx1"/>
            </w14:solidFill>
          </w14:textFill>
        </w:rPr>
        <w:t>HZHC-2025(H)042</w:t>
      </w:r>
      <w:r>
        <w:rPr>
          <w:rFonts w:hint="eastAsia" w:ascii="宋体" w:hAnsi="宋体" w:cs="宋体"/>
          <w:bCs/>
          <w:snapToGrid w:val="0"/>
          <w:color w:val="000000" w:themeColor="text1"/>
          <w:sz w:val="32"/>
          <w:szCs w:val="32"/>
          <w:u w:val="single"/>
          <w14:textFill>
            <w14:solidFill>
              <w14:schemeClr w14:val="tx1"/>
            </w14:solidFill>
          </w14:textFill>
        </w:rPr>
        <w:t xml:space="preserve"> </w:t>
      </w:r>
      <w:r>
        <w:rPr>
          <w:rFonts w:hint="eastAsia" w:ascii="宋体" w:hAnsi="宋体" w:cs="宋体"/>
          <w:b/>
          <w:bCs/>
          <w:snapToGrid w:val="0"/>
          <w:color w:val="000000" w:themeColor="text1"/>
          <w:sz w:val="32"/>
          <w:szCs w:val="32"/>
          <w:u w:val="single"/>
          <w14:textFill>
            <w14:solidFill>
              <w14:schemeClr w14:val="tx1"/>
            </w14:solidFill>
          </w14:textFill>
        </w:rPr>
        <w:t xml:space="preserve">                        </w:t>
      </w:r>
      <w:r>
        <w:rPr>
          <w:rFonts w:hint="eastAsia" w:ascii="宋体" w:hAnsi="宋体" w:cs="宋体"/>
          <w:b/>
          <w:bCs/>
          <w:snapToGrid w:val="0"/>
          <w:color w:val="000000" w:themeColor="text1"/>
          <w:sz w:val="32"/>
          <w:szCs w:val="32"/>
          <w:u w:val="single"/>
          <w:lang w:val="en-US" w:eastAsia="zh-CN"/>
          <w14:textFill>
            <w14:solidFill>
              <w14:schemeClr w14:val="tx1"/>
            </w14:solidFill>
          </w14:textFill>
        </w:rPr>
        <w:t xml:space="preserve">    </w:t>
      </w:r>
      <w:r>
        <w:rPr>
          <w:rFonts w:hint="eastAsia" w:ascii="宋体" w:hAnsi="宋体" w:cs="宋体"/>
          <w:b/>
          <w:bCs/>
          <w:snapToGrid w:val="0"/>
          <w:color w:val="000000" w:themeColor="text1"/>
          <w:sz w:val="32"/>
          <w:szCs w:val="32"/>
          <w:u w:val="single"/>
          <w14:textFill>
            <w14:solidFill>
              <w14:schemeClr w14:val="tx1"/>
            </w14:solidFill>
          </w14:textFill>
        </w:rPr>
        <w:t xml:space="preserve">    </w:t>
      </w:r>
    </w:p>
    <w:p w14:paraId="2BEC1F9E">
      <w:pPr>
        <w:adjustRightInd w:val="0"/>
        <w:snapToGrid w:val="0"/>
        <w:spacing w:line="600" w:lineRule="exact"/>
        <w:jc w:val="left"/>
        <w:rPr>
          <w:rFonts w:hint="eastAsia" w:ascii="宋体" w:hAnsi="宋体" w:cs="宋体"/>
          <w:b/>
          <w:snapToGrid w:val="0"/>
          <w:color w:val="000000" w:themeColor="text1"/>
          <w:sz w:val="32"/>
          <w:szCs w:val="32"/>
          <w:u w:val="single"/>
          <w14:textFill>
            <w14:solidFill>
              <w14:schemeClr w14:val="tx1"/>
            </w14:solidFill>
          </w14:textFill>
        </w:rPr>
      </w:pPr>
      <w:r>
        <w:rPr>
          <w:rFonts w:hint="eastAsia" w:ascii="宋体" w:hAnsi="宋体" w:cs="宋体"/>
          <w:b/>
          <w:bCs/>
          <w:snapToGrid w:val="0"/>
          <w:color w:val="000000" w:themeColor="text1"/>
          <w:sz w:val="32"/>
          <w:szCs w:val="32"/>
          <w14:textFill>
            <w14:solidFill>
              <w14:schemeClr w14:val="tx1"/>
            </w14:solidFill>
          </w14:textFill>
        </w:rPr>
        <w:t>项目名称：</w:t>
      </w:r>
      <w:r>
        <w:rPr>
          <w:rFonts w:hint="eastAsia" w:ascii="宋体" w:hAnsi="宋体" w:cs="宋体"/>
          <w:bCs/>
          <w:snapToGrid w:val="0"/>
          <w:color w:val="000000" w:themeColor="text1"/>
          <w:spacing w:val="-6"/>
          <w:sz w:val="32"/>
          <w:szCs w:val="32"/>
          <w:u w:val="single"/>
          <w:lang w:eastAsia="zh-CN"/>
          <w14:textFill>
            <w14:solidFill>
              <w14:schemeClr w14:val="tx1"/>
            </w14:solidFill>
          </w14:textFill>
        </w:rPr>
        <w:t>湖州市殡仪馆配电房变压器增容项目</w:t>
      </w:r>
      <w:r>
        <w:rPr>
          <w:rFonts w:hint="eastAsia" w:ascii="宋体" w:hAnsi="宋体" w:cs="宋体"/>
          <w:bCs/>
          <w:snapToGrid w:val="0"/>
          <w:color w:val="000000" w:themeColor="text1"/>
          <w:spacing w:val="-6"/>
          <w:sz w:val="32"/>
          <w:szCs w:val="32"/>
          <w:u w:val="single"/>
          <w14:textFill>
            <w14:solidFill>
              <w14:schemeClr w14:val="tx1"/>
            </w14:solidFill>
          </w14:textFill>
        </w:rPr>
        <w:t xml:space="preserve">      </w:t>
      </w:r>
      <w:r>
        <w:rPr>
          <w:rFonts w:hint="eastAsia" w:ascii="宋体" w:hAnsi="宋体" w:cs="宋体"/>
          <w:bCs/>
          <w:snapToGrid w:val="0"/>
          <w:color w:val="000000" w:themeColor="text1"/>
          <w:spacing w:val="-6"/>
          <w:sz w:val="32"/>
          <w:szCs w:val="32"/>
          <w:u w:val="single"/>
          <w:lang w:val="en-US" w:eastAsia="zh-CN"/>
          <w14:textFill>
            <w14:solidFill>
              <w14:schemeClr w14:val="tx1"/>
            </w14:solidFill>
          </w14:textFill>
        </w:rPr>
        <w:t xml:space="preserve">               </w:t>
      </w:r>
      <w:r>
        <w:rPr>
          <w:rFonts w:hint="eastAsia" w:ascii="宋体" w:hAnsi="宋体" w:cs="宋体"/>
          <w:b/>
          <w:bCs/>
          <w:snapToGrid w:val="0"/>
          <w:color w:val="000000" w:themeColor="text1"/>
          <w:sz w:val="32"/>
          <w:szCs w:val="32"/>
          <w14:textFill>
            <w14:solidFill>
              <w14:schemeClr w14:val="tx1"/>
            </w14:solidFill>
          </w14:textFill>
        </w:rPr>
        <w:t>采 购 人：</w:t>
      </w:r>
      <w:r>
        <w:rPr>
          <w:rFonts w:hint="eastAsia" w:ascii="宋体" w:hAnsi="宋体" w:cs="宋体"/>
          <w:bCs/>
          <w:snapToGrid w:val="0"/>
          <w:color w:val="000000" w:themeColor="text1"/>
          <w:sz w:val="32"/>
          <w:szCs w:val="32"/>
          <w:u w:val="single"/>
          <w:lang w:eastAsia="zh-CN"/>
          <w14:textFill>
            <w14:solidFill>
              <w14:schemeClr w14:val="tx1"/>
            </w14:solidFill>
          </w14:textFill>
        </w:rPr>
        <w:t>湖州市殡仪馆</w:t>
      </w:r>
      <w:r>
        <w:rPr>
          <w:rFonts w:hint="eastAsia" w:ascii="宋体" w:hAnsi="宋体" w:cs="宋体"/>
          <w:bCs/>
          <w:snapToGrid w:val="0"/>
          <w:color w:val="000000" w:themeColor="text1"/>
          <w:sz w:val="32"/>
          <w:szCs w:val="32"/>
          <w:u w:val="single"/>
          <w14:textFill>
            <w14:solidFill>
              <w14:schemeClr w14:val="tx1"/>
            </w14:solidFill>
          </w14:textFill>
        </w:rPr>
        <w:t xml:space="preserve">                         </w:t>
      </w:r>
      <w:r>
        <w:rPr>
          <w:rFonts w:hint="eastAsia" w:ascii="宋体" w:hAnsi="宋体" w:cs="宋体"/>
          <w:bCs/>
          <w:snapToGrid w:val="0"/>
          <w:color w:val="000000" w:themeColor="text1"/>
          <w:sz w:val="32"/>
          <w:szCs w:val="32"/>
          <w:u w:val="single"/>
          <w:lang w:val="en-US" w:eastAsia="zh-CN"/>
          <w14:textFill>
            <w14:solidFill>
              <w14:schemeClr w14:val="tx1"/>
            </w14:solidFill>
          </w14:textFill>
        </w:rPr>
        <w:t xml:space="preserve">    </w:t>
      </w:r>
      <w:r>
        <w:rPr>
          <w:rFonts w:hint="eastAsia" w:ascii="宋体" w:hAnsi="宋体" w:cs="宋体"/>
          <w:bCs/>
          <w:snapToGrid w:val="0"/>
          <w:color w:val="000000" w:themeColor="text1"/>
          <w:sz w:val="32"/>
          <w:szCs w:val="32"/>
          <w:u w:val="single"/>
          <w14:textFill>
            <w14:solidFill>
              <w14:schemeClr w14:val="tx1"/>
            </w14:solidFill>
          </w14:textFill>
        </w:rPr>
        <w:t xml:space="preserve"> （盖章）</w:t>
      </w:r>
    </w:p>
    <w:p w14:paraId="09FD94A5">
      <w:pPr>
        <w:adjustRightInd w:val="0"/>
        <w:snapToGrid w:val="0"/>
        <w:spacing w:line="600" w:lineRule="exact"/>
        <w:rPr>
          <w:rFonts w:hint="eastAsia" w:ascii="宋体" w:hAnsi="宋体" w:cs="宋体"/>
          <w:b/>
          <w:snapToGrid w:val="0"/>
          <w:color w:val="000000" w:themeColor="text1"/>
          <w:sz w:val="32"/>
          <w:szCs w:val="32"/>
          <w:u w:val="single"/>
          <w14:textFill>
            <w14:solidFill>
              <w14:schemeClr w14:val="tx1"/>
            </w14:solidFill>
          </w14:textFill>
        </w:rPr>
      </w:pPr>
      <w:r>
        <w:rPr>
          <w:rFonts w:hint="eastAsia" w:ascii="宋体" w:hAnsi="宋体" w:cs="宋体"/>
          <w:b/>
          <w:bCs/>
          <w:snapToGrid w:val="0"/>
          <w:color w:val="000000" w:themeColor="text1"/>
          <w:sz w:val="32"/>
          <w:szCs w:val="32"/>
          <w14:textFill>
            <w14:solidFill>
              <w14:schemeClr w14:val="tx1"/>
            </w14:solidFill>
          </w14:textFill>
        </w:rPr>
        <w:t>代理机构：</w:t>
      </w:r>
      <w:r>
        <w:rPr>
          <w:rFonts w:hint="eastAsia" w:ascii="宋体" w:hAnsi="宋体" w:cs="宋体"/>
          <w:bCs/>
          <w:snapToGrid w:val="0"/>
          <w:color w:val="000000" w:themeColor="text1"/>
          <w:sz w:val="32"/>
          <w:szCs w:val="32"/>
          <w:u w:val="single"/>
          <w14:textFill>
            <w14:solidFill>
              <w14:schemeClr w14:val="tx1"/>
            </w14:solidFill>
          </w14:textFill>
        </w:rPr>
        <w:t>华诚工程咨询集团有限公司                  （盖章）</w:t>
      </w:r>
    </w:p>
    <w:p w14:paraId="6EE05D48">
      <w:pPr>
        <w:adjustRightInd w:val="0"/>
        <w:snapToGrid w:val="0"/>
        <w:spacing w:line="600" w:lineRule="exact"/>
        <w:jc w:val="center"/>
        <w:rPr>
          <w:rFonts w:hint="eastAsia" w:ascii="宋体" w:hAnsi="宋体" w:cs="宋体"/>
          <w:b/>
          <w:bCs/>
          <w:snapToGrid w:val="0"/>
          <w:color w:val="000000" w:themeColor="text1"/>
          <w:sz w:val="32"/>
          <w:szCs w:val="32"/>
          <w14:textFill>
            <w14:solidFill>
              <w14:schemeClr w14:val="tx1"/>
            </w14:solidFill>
          </w14:textFill>
        </w:rPr>
      </w:pPr>
    </w:p>
    <w:p w14:paraId="00768F9C">
      <w:pPr>
        <w:adjustRightInd w:val="0"/>
        <w:snapToGrid w:val="0"/>
        <w:spacing w:line="600" w:lineRule="exact"/>
        <w:jc w:val="center"/>
        <w:rPr>
          <w:rFonts w:hint="eastAsia" w:ascii="宋体" w:hAnsi="宋体" w:cs="宋体"/>
          <w:b/>
          <w:color w:val="000000" w:themeColor="text1"/>
          <w:sz w:val="44"/>
          <w:szCs w:val="44"/>
          <w14:textFill>
            <w14:solidFill>
              <w14:schemeClr w14:val="tx1"/>
            </w14:solidFill>
          </w14:textFill>
        </w:rPr>
        <w:sectPr>
          <w:footerReference r:id="rId5" w:type="first"/>
          <w:headerReference r:id="rId3" w:type="default"/>
          <w:footerReference r:id="rId4" w:type="default"/>
          <w:pgSz w:w="11906" w:h="16838"/>
          <w:pgMar w:top="1417" w:right="969" w:bottom="1417" w:left="1417" w:header="850" w:footer="0" w:gutter="0"/>
          <w:pgNumType w:fmt="decimal" w:start="1"/>
          <w:cols w:space="720" w:num="1"/>
          <w:titlePg/>
          <w:docGrid w:linePitch="312" w:charSpace="0"/>
        </w:sectPr>
      </w:pPr>
      <w:r>
        <w:rPr>
          <w:rFonts w:hint="eastAsia" w:ascii="宋体" w:hAnsi="宋体" w:cs="宋体"/>
          <w:b/>
          <w:bCs/>
          <w:snapToGrid w:val="0"/>
          <w:color w:val="000000" w:themeColor="text1"/>
          <w:sz w:val="32"/>
          <w:szCs w:val="32"/>
          <w14:textFill>
            <w14:solidFill>
              <w14:schemeClr w14:val="tx1"/>
            </w14:solidFill>
          </w14:textFill>
        </w:rPr>
        <w:t>2025年</w:t>
      </w:r>
      <w:r>
        <w:rPr>
          <w:rFonts w:hint="eastAsia" w:ascii="宋体" w:hAnsi="宋体" w:cs="宋体"/>
          <w:b/>
          <w:bCs/>
          <w:snapToGrid w:val="0"/>
          <w:color w:val="000000" w:themeColor="text1"/>
          <w:sz w:val="32"/>
          <w:szCs w:val="32"/>
          <w:lang w:val="en-US" w:eastAsia="zh-CN"/>
          <w14:textFill>
            <w14:solidFill>
              <w14:schemeClr w14:val="tx1"/>
            </w14:solidFill>
          </w14:textFill>
        </w:rPr>
        <w:t>7</w:t>
      </w:r>
      <w:r>
        <w:rPr>
          <w:rFonts w:hint="eastAsia" w:ascii="宋体" w:hAnsi="宋体" w:cs="宋体"/>
          <w:b/>
          <w:bCs/>
          <w:snapToGrid w:val="0"/>
          <w:color w:val="000000" w:themeColor="text1"/>
          <w:sz w:val="32"/>
          <w:szCs w:val="32"/>
          <w14:textFill>
            <w14:solidFill>
              <w14:schemeClr w14:val="tx1"/>
            </w14:solidFill>
          </w14:textFill>
        </w:rPr>
        <w:t>月</w:t>
      </w:r>
    </w:p>
    <w:p w14:paraId="79D51BEE">
      <w:pPr>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目  录</w:t>
      </w:r>
    </w:p>
    <w:p w14:paraId="54F4DE1D">
      <w:pPr>
        <w:adjustRightInd w:val="0"/>
        <w:snapToGrid w:val="0"/>
        <w:spacing w:line="360" w:lineRule="auto"/>
        <w:rPr>
          <w:rFonts w:hint="eastAsia" w:ascii="宋体" w:hAnsi="宋体" w:cs="宋体"/>
          <w:color w:val="000000" w:themeColor="text1"/>
          <w:sz w:val="30"/>
          <w:szCs w:val="30"/>
          <w14:textFill>
            <w14:solidFill>
              <w14:schemeClr w14:val="tx1"/>
            </w14:solidFill>
          </w14:textFill>
        </w:rPr>
      </w:pPr>
    </w:p>
    <w:p w14:paraId="6500AB3D">
      <w:pPr>
        <w:adjustRightInd w:val="0"/>
        <w:snapToGrid w:val="0"/>
        <w:spacing w:line="480" w:lineRule="auto"/>
        <w:jc w:val="distribute"/>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第一章   公开招标采购公告…………………………………………02</w:t>
      </w:r>
    </w:p>
    <w:p w14:paraId="20007332">
      <w:pPr>
        <w:adjustRightInd w:val="0"/>
        <w:snapToGrid w:val="0"/>
        <w:spacing w:line="480" w:lineRule="auto"/>
        <w:jc w:val="distribute"/>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第二章   采购需求……………………………………………………0</w:t>
      </w:r>
      <w:r>
        <w:rPr>
          <w:rFonts w:hint="eastAsia" w:ascii="宋体" w:hAnsi="宋体" w:cs="宋体"/>
          <w:b/>
          <w:color w:val="000000" w:themeColor="text1"/>
          <w:sz w:val="30"/>
          <w:szCs w:val="30"/>
          <w:lang w:val="en-US" w:eastAsia="zh-CN"/>
          <w14:textFill>
            <w14:solidFill>
              <w14:schemeClr w14:val="tx1"/>
            </w14:solidFill>
          </w14:textFill>
        </w:rPr>
        <w:t>9</w:t>
      </w:r>
    </w:p>
    <w:p w14:paraId="1C03A5F8">
      <w:pPr>
        <w:adjustRightInd w:val="0"/>
        <w:snapToGrid w:val="0"/>
        <w:spacing w:line="480" w:lineRule="auto"/>
        <w:jc w:val="distribute"/>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第三章   供应商须知…………………………………………………</w:t>
      </w:r>
      <w:r>
        <w:rPr>
          <w:rFonts w:hint="eastAsia" w:ascii="宋体" w:hAnsi="宋体" w:cs="宋体"/>
          <w:b/>
          <w:color w:val="000000" w:themeColor="text1"/>
          <w:sz w:val="30"/>
          <w:szCs w:val="30"/>
          <w:lang w:val="en-US" w:eastAsia="zh-CN"/>
          <w14:textFill>
            <w14:solidFill>
              <w14:schemeClr w14:val="tx1"/>
            </w14:solidFill>
          </w14:textFill>
        </w:rPr>
        <w:t>24</w:t>
      </w:r>
    </w:p>
    <w:p w14:paraId="622D54F8">
      <w:pPr>
        <w:adjustRightInd w:val="0"/>
        <w:snapToGrid w:val="0"/>
        <w:spacing w:line="480" w:lineRule="auto"/>
        <w:ind w:firstLine="1200" w:firstLineChars="400"/>
        <w:jc w:val="distribute"/>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一  总则………………………………………………………</w:t>
      </w:r>
      <w:r>
        <w:rPr>
          <w:rFonts w:hint="eastAsia" w:ascii="宋体" w:hAnsi="宋体" w:cs="宋体"/>
          <w:color w:val="000000" w:themeColor="text1"/>
          <w:sz w:val="30"/>
          <w:szCs w:val="30"/>
          <w:lang w:val="en-US" w:eastAsia="zh-CN"/>
          <w14:textFill>
            <w14:solidFill>
              <w14:schemeClr w14:val="tx1"/>
            </w14:solidFill>
          </w14:textFill>
        </w:rPr>
        <w:t>27</w:t>
      </w:r>
    </w:p>
    <w:p w14:paraId="298B6897">
      <w:pPr>
        <w:adjustRightInd w:val="0"/>
        <w:snapToGrid w:val="0"/>
        <w:spacing w:line="480" w:lineRule="auto"/>
        <w:ind w:firstLine="1200" w:firstLineChars="400"/>
        <w:jc w:val="distribute"/>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二  招标文件…………………………………………………</w:t>
      </w:r>
      <w:r>
        <w:rPr>
          <w:rFonts w:hint="eastAsia" w:ascii="宋体" w:hAnsi="宋体" w:cs="宋体"/>
          <w:color w:val="000000" w:themeColor="text1"/>
          <w:sz w:val="30"/>
          <w:szCs w:val="30"/>
          <w:lang w:val="en-US" w:eastAsia="zh-CN"/>
          <w14:textFill>
            <w14:solidFill>
              <w14:schemeClr w14:val="tx1"/>
            </w14:solidFill>
          </w14:textFill>
        </w:rPr>
        <w:t>31</w:t>
      </w:r>
    </w:p>
    <w:p w14:paraId="6E28B790">
      <w:pPr>
        <w:adjustRightInd w:val="0"/>
        <w:snapToGrid w:val="0"/>
        <w:spacing w:line="480" w:lineRule="auto"/>
        <w:ind w:firstLine="1200" w:firstLineChars="400"/>
        <w:jc w:val="distribute"/>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三  投标文件的编制…………………………………………</w:t>
      </w:r>
      <w:r>
        <w:rPr>
          <w:rFonts w:hint="eastAsia" w:ascii="宋体" w:hAnsi="宋体" w:cs="宋体"/>
          <w:color w:val="000000" w:themeColor="text1"/>
          <w:sz w:val="30"/>
          <w:szCs w:val="30"/>
          <w:lang w:val="en-US" w:eastAsia="zh-CN"/>
          <w14:textFill>
            <w14:solidFill>
              <w14:schemeClr w14:val="tx1"/>
            </w14:solidFill>
          </w14:textFill>
        </w:rPr>
        <w:t>31</w:t>
      </w:r>
    </w:p>
    <w:p w14:paraId="392DF81B">
      <w:pPr>
        <w:adjustRightInd w:val="0"/>
        <w:snapToGrid w:val="0"/>
        <w:spacing w:line="480" w:lineRule="auto"/>
        <w:ind w:firstLine="1200" w:firstLineChars="400"/>
        <w:jc w:val="distribute"/>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四  开标………………………………………………………</w:t>
      </w:r>
      <w:r>
        <w:rPr>
          <w:rFonts w:hint="eastAsia" w:ascii="宋体" w:hAnsi="宋体" w:cs="宋体"/>
          <w:color w:val="000000" w:themeColor="text1"/>
          <w:sz w:val="30"/>
          <w:szCs w:val="30"/>
          <w:lang w:val="en-US" w:eastAsia="zh-CN"/>
          <w14:textFill>
            <w14:solidFill>
              <w14:schemeClr w14:val="tx1"/>
            </w14:solidFill>
          </w14:textFill>
        </w:rPr>
        <w:t>39</w:t>
      </w:r>
    </w:p>
    <w:p w14:paraId="74CFA9DF">
      <w:pPr>
        <w:adjustRightInd w:val="0"/>
        <w:snapToGrid w:val="0"/>
        <w:spacing w:line="480" w:lineRule="auto"/>
        <w:ind w:firstLine="1200" w:firstLineChars="400"/>
        <w:jc w:val="distribute"/>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五  评标………………………………………………………</w:t>
      </w:r>
      <w:r>
        <w:rPr>
          <w:rFonts w:hint="eastAsia" w:ascii="宋体" w:hAnsi="宋体" w:cs="宋体"/>
          <w:color w:val="000000" w:themeColor="text1"/>
          <w:sz w:val="30"/>
          <w:szCs w:val="30"/>
          <w:lang w:val="en-US" w:eastAsia="zh-CN"/>
          <w14:textFill>
            <w14:solidFill>
              <w14:schemeClr w14:val="tx1"/>
            </w14:solidFill>
          </w14:textFill>
        </w:rPr>
        <w:t>40</w:t>
      </w:r>
    </w:p>
    <w:p w14:paraId="30A86268">
      <w:pPr>
        <w:adjustRightInd w:val="0"/>
        <w:snapToGrid w:val="0"/>
        <w:spacing w:line="480" w:lineRule="auto"/>
        <w:ind w:firstLine="1200" w:firstLineChars="400"/>
        <w:jc w:val="distribute"/>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六  定标………………………………………………………</w:t>
      </w:r>
      <w:r>
        <w:rPr>
          <w:rFonts w:hint="eastAsia" w:ascii="宋体" w:hAnsi="宋体" w:cs="宋体"/>
          <w:color w:val="000000" w:themeColor="text1"/>
          <w:sz w:val="30"/>
          <w:szCs w:val="30"/>
          <w:lang w:val="en-US" w:eastAsia="zh-CN"/>
          <w14:textFill>
            <w14:solidFill>
              <w14:schemeClr w14:val="tx1"/>
            </w14:solidFill>
          </w14:textFill>
        </w:rPr>
        <w:t>42</w:t>
      </w:r>
    </w:p>
    <w:p w14:paraId="5500F45B">
      <w:pPr>
        <w:adjustRightInd w:val="0"/>
        <w:snapToGrid w:val="0"/>
        <w:spacing w:line="480" w:lineRule="auto"/>
        <w:ind w:firstLine="1200" w:firstLineChars="400"/>
        <w:jc w:val="distribute"/>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七  合同授予…………………………………………………</w:t>
      </w:r>
      <w:r>
        <w:rPr>
          <w:rFonts w:hint="eastAsia" w:ascii="宋体" w:hAnsi="宋体" w:cs="宋体"/>
          <w:color w:val="000000" w:themeColor="text1"/>
          <w:sz w:val="30"/>
          <w:szCs w:val="30"/>
          <w:lang w:val="en-US" w:eastAsia="zh-CN"/>
          <w14:textFill>
            <w14:solidFill>
              <w14:schemeClr w14:val="tx1"/>
            </w14:solidFill>
          </w14:textFill>
        </w:rPr>
        <w:t>42</w:t>
      </w:r>
    </w:p>
    <w:p w14:paraId="29FDF8D7">
      <w:pPr>
        <w:adjustRightInd w:val="0"/>
        <w:snapToGrid w:val="0"/>
        <w:spacing w:line="480" w:lineRule="auto"/>
        <w:ind w:firstLine="1200" w:firstLineChars="400"/>
        <w:jc w:val="distribute"/>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八  其他内容…………………………………………………</w:t>
      </w:r>
      <w:r>
        <w:rPr>
          <w:rFonts w:hint="eastAsia" w:ascii="宋体" w:hAnsi="宋体" w:cs="宋体"/>
          <w:color w:val="000000" w:themeColor="text1"/>
          <w:sz w:val="30"/>
          <w:szCs w:val="30"/>
          <w:lang w:val="en-US" w:eastAsia="zh-CN"/>
          <w14:textFill>
            <w14:solidFill>
              <w14:schemeClr w14:val="tx1"/>
            </w14:solidFill>
          </w14:textFill>
        </w:rPr>
        <w:t>43</w:t>
      </w:r>
    </w:p>
    <w:p w14:paraId="325D359B">
      <w:pPr>
        <w:adjustRightInd w:val="0"/>
        <w:snapToGrid w:val="0"/>
        <w:spacing w:line="480" w:lineRule="auto"/>
        <w:jc w:val="distribute"/>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第四章   评标办法及评分标准………………………………………</w:t>
      </w:r>
      <w:r>
        <w:rPr>
          <w:rFonts w:hint="eastAsia" w:ascii="宋体" w:hAnsi="宋体" w:cs="宋体"/>
          <w:b/>
          <w:color w:val="000000" w:themeColor="text1"/>
          <w:sz w:val="30"/>
          <w:szCs w:val="30"/>
          <w:lang w:val="en-US" w:eastAsia="zh-CN"/>
          <w14:textFill>
            <w14:solidFill>
              <w14:schemeClr w14:val="tx1"/>
            </w14:solidFill>
          </w14:textFill>
        </w:rPr>
        <w:t>44</w:t>
      </w:r>
    </w:p>
    <w:p w14:paraId="02AD9D8B">
      <w:pPr>
        <w:adjustRightInd w:val="0"/>
        <w:snapToGrid w:val="0"/>
        <w:spacing w:line="480" w:lineRule="auto"/>
        <w:jc w:val="distribute"/>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第五章   合同主要条款………………………………………………</w:t>
      </w:r>
      <w:r>
        <w:rPr>
          <w:rFonts w:hint="eastAsia" w:ascii="宋体" w:hAnsi="宋体" w:cs="宋体"/>
          <w:b/>
          <w:color w:val="000000" w:themeColor="text1"/>
          <w:sz w:val="30"/>
          <w:szCs w:val="30"/>
          <w:lang w:val="en-US" w:eastAsia="zh-CN"/>
          <w14:textFill>
            <w14:solidFill>
              <w14:schemeClr w14:val="tx1"/>
            </w14:solidFill>
          </w14:textFill>
        </w:rPr>
        <w:t>47</w:t>
      </w:r>
    </w:p>
    <w:p w14:paraId="7F0EEB60">
      <w:pPr>
        <w:adjustRightInd w:val="0"/>
        <w:snapToGrid w:val="0"/>
        <w:spacing w:line="480" w:lineRule="auto"/>
        <w:jc w:val="distribute"/>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第六章   投标文件格式……………………………………………</w:t>
      </w:r>
      <w:r>
        <w:rPr>
          <w:rFonts w:hint="eastAsia" w:ascii="宋体" w:hAnsi="宋体" w:cs="宋体"/>
          <w:b/>
          <w:color w:val="000000" w:themeColor="text1"/>
          <w:sz w:val="30"/>
          <w:szCs w:val="30"/>
          <w:lang w:val="en-US" w:eastAsia="zh-CN"/>
          <w14:textFill>
            <w14:solidFill>
              <w14:schemeClr w14:val="tx1"/>
            </w14:solidFill>
          </w14:textFill>
        </w:rPr>
        <w:t>52</w:t>
      </w:r>
    </w:p>
    <w:p w14:paraId="2F0AB5A6">
      <w:pPr>
        <w:pStyle w:val="42"/>
        <w:ind w:firstLine="0" w:firstLineChars="0"/>
        <w:rPr>
          <w:rFonts w:hint="eastAsia" w:hAnsi="宋体" w:cs="宋体"/>
          <w:color w:val="000000" w:themeColor="text1"/>
          <w14:textFill>
            <w14:solidFill>
              <w14:schemeClr w14:val="tx1"/>
            </w14:solidFill>
          </w14:textFill>
        </w:rPr>
      </w:pPr>
    </w:p>
    <w:p w14:paraId="70690F81">
      <w:pPr>
        <w:pStyle w:val="42"/>
        <w:ind w:firstLine="0" w:firstLineChars="0"/>
        <w:rPr>
          <w:rFonts w:hint="eastAsia" w:hAnsi="宋体" w:cs="宋体"/>
          <w:color w:val="000000" w:themeColor="text1"/>
          <w14:textFill>
            <w14:solidFill>
              <w14:schemeClr w14:val="tx1"/>
            </w14:solidFill>
          </w14:textFill>
        </w:rPr>
      </w:pPr>
    </w:p>
    <w:p w14:paraId="68BB74BB">
      <w:pPr>
        <w:spacing w:line="530" w:lineRule="exact"/>
        <w:jc w:val="center"/>
        <w:rPr>
          <w:rFonts w:hint="eastAsia" w:ascii="宋体" w:hAnsi="宋体" w:cs="宋体"/>
          <w:b/>
          <w:color w:val="000000" w:themeColor="text1"/>
          <w:sz w:val="36"/>
          <w:szCs w:val="36"/>
          <w14:textFill>
            <w14:solidFill>
              <w14:schemeClr w14:val="tx1"/>
            </w14:solidFill>
          </w14:textFill>
        </w:rPr>
      </w:pPr>
    </w:p>
    <w:p w14:paraId="6DEA2BB1">
      <w:pPr>
        <w:spacing w:line="530" w:lineRule="exact"/>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第一章  公开招标采购公告</w:t>
      </w:r>
    </w:p>
    <w:p w14:paraId="1254725F">
      <w:pPr>
        <w:widowControl/>
        <w:spacing w:line="480" w:lineRule="exact"/>
        <w:ind w:left="59" w:leftChars="21" w:right="60" w:firstLine="482" w:firstLineChars="200"/>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（本项目为电子招投标项目）</w:t>
      </w:r>
    </w:p>
    <w:p w14:paraId="192CFAE2">
      <w:pPr>
        <w:widowControl/>
        <w:spacing w:line="480" w:lineRule="exact"/>
        <w:ind w:left="59" w:leftChars="21" w:right="60" w:firstLine="480" w:firstLineChars="200"/>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根据《中华人民共和国政府采购法》、《政府采购货物和服务招标投标管理办法》及相关法律、法规等规定，经</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HYPERLINK "https://www.so.com/link?m=bgv7a5uAq6ATu4EqLWtnwGTILK8hf4TdbpNOV4G57D64np84MDU/eAiyuyoRNh32SfwmBWpze0s/a1UdwCNp5pYdlvucwMR9ZgitAk8Z4VoHVR1TM7q9tYROXFRg2sYKh9eL0adF2LjlWREIvtoIu9J4x/2iXwGE6CuJ4t6+NNYOtbHP5m5okzY73LpLc68d6BbiLovZIOcIghc8zV+DFKBjPBqJL79/RNQJuyVv9mejRejkYKrNhzi5Tk1aVvoayqqLPiy91hEiH6060EOdufg==" \t "https://www.so.com/_blank"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湖州市财政局</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(财政审批编号：[202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10691</w:t>
      </w:r>
      <w:r>
        <w:rPr>
          <w:rFonts w:hint="eastAsia" w:ascii="宋体" w:hAnsi="宋体" w:cs="宋体"/>
          <w:color w:val="000000" w:themeColor="text1"/>
          <w:kern w:val="0"/>
          <w:sz w:val="24"/>
          <w14:textFill>
            <w14:solidFill>
              <w14:schemeClr w14:val="tx1"/>
            </w14:solidFill>
          </w14:textFill>
        </w:rPr>
        <w:t>号)批准，</w:t>
      </w:r>
      <w:r>
        <w:rPr>
          <w:rFonts w:hint="eastAsia" w:ascii="宋体" w:hAnsi="宋体" w:cs="宋体"/>
          <w:b/>
          <w:color w:val="000000" w:themeColor="text1"/>
          <w:sz w:val="24"/>
          <w:u w:val="single"/>
          <w14:textFill>
            <w14:solidFill>
              <w14:schemeClr w14:val="tx1"/>
            </w14:solidFill>
          </w14:textFill>
        </w:rPr>
        <w:t>华诚工程咨询集团有限公司</w:t>
      </w:r>
      <w:r>
        <w:rPr>
          <w:rFonts w:hint="eastAsia" w:ascii="宋体" w:hAnsi="宋体" w:cs="宋体"/>
          <w:color w:val="000000" w:themeColor="text1"/>
          <w:sz w:val="24"/>
          <w14:textFill>
            <w14:solidFill>
              <w14:schemeClr w14:val="tx1"/>
            </w14:solidFill>
          </w14:textFill>
        </w:rPr>
        <w:t>受</w:t>
      </w:r>
      <w:r>
        <w:rPr>
          <w:rFonts w:hint="eastAsia" w:ascii="宋体" w:hAnsi="宋体" w:cs="宋体"/>
          <w:b/>
          <w:color w:val="000000" w:themeColor="text1"/>
          <w:kern w:val="0"/>
          <w:sz w:val="24"/>
          <w:u w:val="single"/>
          <w:lang w:eastAsia="zh-CN"/>
          <w14:textFill>
            <w14:solidFill>
              <w14:schemeClr w14:val="tx1"/>
            </w14:solidFill>
          </w14:textFill>
        </w:rPr>
        <w:t>湖州市殡仪馆</w:t>
      </w:r>
      <w:r>
        <w:rPr>
          <w:rFonts w:hint="eastAsia" w:ascii="宋体" w:hAnsi="宋体" w:cs="宋体"/>
          <w:color w:val="000000" w:themeColor="text1"/>
          <w:sz w:val="24"/>
          <w14:textFill>
            <w14:solidFill>
              <w14:schemeClr w14:val="tx1"/>
            </w14:solidFill>
          </w14:textFill>
        </w:rPr>
        <w:t>委托，</w:t>
      </w:r>
      <w:r>
        <w:rPr>
          <w:rFonts w:hint="eastAsia" w:ascii="宋体" w:hAnsi="宋体" w:cs="宋体"/>
          <w:color w:val="000000" w:themeColor="text1"/>
          <w:kern w:val="0"/>
          <w:sz w:val="24"/>
          <w14:textFill>
            <w14:solidFill>
              <w14:schemeClr w14:val="tx1"/>
            </w14:solidFill>
          </w14:textFill>
        </w:rPr>
        <w:t>现就</w:t>
      </w:r>
      <w:r>
        <w:rPr>
          <w:rFonts w:hint="eastAsia" w:ascii="宋体" w:hAnsi="宋体" w:cs="宋体"/>
          <w:b/>
          <w:color w:val="000000" w:themeColor="text1"/>
          <w:kern w:val="0"/>
          <w:sz w:val="24"/>
          <w:u w:val="single"/>
          <w:lang w:eastAsia="zh-CN"/>
          <w14:textFill>
            <w14:solidFill>
              <w14:schemeClr w14:val="tx1"/>
            </w14:solidFill>
          </w14:textFill>
        </w:rPr>
        <w:t>湖州市殡仪馆配电房变压器增容项目</w:t>
      </w:r>
      <w:r>
        <w:rPr>
          <w:rFonts w:hint="eastAsia" w:ascii="宋体" w:hAnsi="宋体" w:cs="宋体"/>
          <w:color w:val="000000" w:themeColor="text1"/>
          <w:kern w:val="0"/>
          <w:sz w:val="24"/>
          <w14:textFill>
            <w14:solidFill>
              <w14:schemeClr w14:val="tx1"/>
            </w14:solidFill>
          </w14:textFill>
        </w:rPr>
        <w:t>进行公开招标，欢迎中华人民共和国境内的合格供应商前来参加投标。</w:t>
      </w:r>
    </w:p>
    <w:p w14:paraId="0B7779BE">
      <w:pPr>
        <w:widowControl/>
        <w:spacing w:line="480" w:lineRule="exact"/>
        <w:ind w:left="59" w:leftChars="21" w:right="60" w:firstLine="472" w:firstLineChars="196"/>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一．采购项目编号</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eastAsia="zh-CN"/>
          <w14:textFill>
            <w14:solidFill>
              <w14:schemeClr w14:val="tx1"/>
            </w14:solidFill>
          </w14:textFill>
        </w:rPr>
        <w:t>HZHC-2025(H)042</w:t>
      </w:r>
    </w:p>
    <w:p w14:paraId="61B4F63D">
      <w:pPr>
        <w:widowControl/>
        <w:spacing w:line="480" w:lineRule="exact"/>
        <w:ind w:left="59" w:leftChars="21" w:right="6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二．采购组织类型</w:t>
      </w:r>
      <w:r>
        <w:rPr>
          <w:rFonts w:hint="eastAsia" w:ascii="宋体" w:hAnsi="宋体" w:cs="宋体"/>
          <w:color w:val="000000" w:themeColor="text1"/>
          <w:kern w:val="0"/>
          <w:sz w:val="24"/>
          <w14:textFill>
            <w14:solidFill>
              <w14:schemeClr w14:val="tx1"/>
            </w14:solidFill>
          </w14:textFill>
        </w:rPr>
        <w:t>：分散采购委托代理</w:t>
      </w:r>
    </w:p>
    <w:p w14:paraId="52B17ABF">
      <w:pPr>
        <w:widowControl/>
        <w:spacing w:line="480" w:lineRule="exact"/>
        <w:ind w:left="59" w:leftChars="21" w:right="6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三．采购方式</w:t>
      </w:r>
      <w:r>
        <w:rPr>
          <w:rFonts w:hint="eastAsia" w:ascii="宋体" w:hAnsi="宋体" w:cs="宋体"/>
          <w:color w:val="000000" w:themeColor="text1"/>
          <w:kern w:val="0"/>
          <w:sz w:val="24"/>
          <w14:textFill>
            <w14:solidFill>
              <w14:schemeClr w14:val="tx1"/>
            </w14:solidFill>
          </w14:textFill>
        </w:rPr>
        <w:t>：公开招标</w:t>
      </w:r>
    </w:p>
    <w:p w14:paraId="6BF0B7A3">
      <w:pPr>
        <w:widowControl/>
        <w:spacing w:line="480" w:lineRule="exact"/>
        <w:ind w:left="59" w:leftChars="21" w:right="6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四．采购项目概况（内容、用途、数量、简要技术要求等）</w:t>
      </w:r>
      <w:r>
        <w:rPr>
          <w:rFonts w:hint="eastAsia" w:ascii="宋体" w:hAnsi="宋体" w:cs="宋体"/>
          <w:color w:val="000000" w:themeColor="text1"/>
          <w:kern w:val="0"/>
          <w:sz w:val="24"/>
          <w14:textFill>
            <w14:solidFill>
              <w14:schemeClr w14:val="tx1"/>
            </w14:solidFill>
          </w14:textFill>
        </w:rPr>
        <w:t>:</w:t>
      </w:r>
    </w:p>
    <w:tbl>
      <w:tblPr>
        <w:tblStyle w:val="43"/>
        <w:tblW w:w="9336"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653"/>
        <w:gridCol w:w="1683"/>
        <w:gridCol w:w="2200"/>
        <w:gridCol w:w="2150"/>
      </w:tblGrid>
      <w:tr w14:paraId="6697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noWrap w:val="0"/>
            <w:vAlign w:val="center"/>
          </w:tcPr>
          <w:p w14:paraId="3AC8BD22">
            <w:pPr>
              <w:spacing w:line="48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653" w:type="dxa"/>
            <w:noWrap w:val="0"/>
            <w:vAlign w:val="center"/>
          </w:tcPr>
          <w:p w14:paraId="0F9D1529">
            <w:pPr>
              <w:spacing w:line="480" w:lineRule="exact"/>
              <w:ind w:firstLine="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1683" w:type="dxa"/>
            <w:noWrap w:val="0"/>
            <w:vAlign w:val="center"/>
          </w:tcPr>
          <w:p w14:paraId="58AD284C">
            <w:pPr>
              <w:spacing w:line="48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技术要求</w:t>
            </w:r>
          </w:p>
        </w:tc>
        <w:tc>
          <w:tcPr>
            <w:tcW w:w="2200" w:type="dxa"/>
            <w:noWrap w:val="0"/>
            <w:vAlign w:val="center"/>
          </w:tcPr>
          <w:p w14:paraId="24885A18">
            <w:pPr>
              <w:widowControl/>
              <w:spacing w:line="480" w:lineRule="exact"/>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预算金额</w:t>
            </w:r>
          </w:p>
        </w:tc>
        <w:tc>
          <w:tcPr>
            <w:tcW w:w="2150" w:type="dxa"/>
            <w:noWrap w:val="0"/>
            <w:vAlign w:val="center"/>
          </w:tcPr>
          <w:p w14:paraId="5621CD8A">
            <w:pPr>
              <w:widowControl/>
              <w:spacing w:line="48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eastAsia="zh-CN" w:bidi="ar"/>
                <w14:textFill>
                  <w14:solidFill>
                    <w14:schemeClr w14:val="tx1"/>
                  </w14:solidFill>
                </w14:textFill>
              </w:rPr>
              <w:t>最高限价</w:t>
            </w:r>
          </w:p>
        </w:tc>
      </w:tr>
      <w:tr w14:paraId="2B38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0" w:type="auto"/>
            <w:noWrap w:val="0"/>
            <w:vAlign w:val="center"/>
          </w:tcPr>
          <w:p w14:paraId="71306A68">
            <w:pPr>
              <w:spacing w:line="48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653" w:type="dxa"/>
            <w:noWrap w:val="0"/>
            <w:vAlign w:val="center"/>
          </w:tcPr>
          <w:p w14:paraId="2B070421">
            <w:pPr>
              <w:widowControl/>
              <w:spacing w:line="360" w:lineRule="auto"/>
              <w:ind w:left="60" w:right="6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湖州市殡仪馆配电房变压器增容项目</w:t>
            </w:r>
          </w:p>
        </w:tc>
        <w:tc>
          <w:tcPr>
            <w:tcW w:w="1683" w:type="dxa"/>
            <w:noWrap w:val="0"/>
            <w:vAlign w:val="center"/>
          </w:tcPr>
          <w:p w14:paraId="47DFEE53">
            <w:pPr>
              <w:spacing w:line="48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详见招标需求</w:t>
            </w:r>
          </w:p>
        </w:tc>
        <w:tc>
          <w:tcPr>
            <w:tcW w:w="2200" w:type="dxa"/>
            <w:noWrap w:val="0"/>
            <w:vAlign w:val="center"/>
          </w:tcPr>
          <w:p w14:paraId="2E71C166">
            <w:pPr>
              <w:spacing w:line="360" w:lineRule="auto"/>
              <w:ind w:right="60"/>
              <w:jc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人民币</w:t>
            </w:r>
            <w:r>
              <w:rPr>
                <w:rFonts w:hint="eastAsia" w:ascii="宋体" w:hAnsi="宋体" w:cs="宋体"/>
                <w:bCs/>
                <w:color w:val="000000" w:themeColor="text1"/>
                <w:sz w:val="24"/>
                <w:lang w:val="en-US" w:eastAsia="zh-CN"/>
                <w14:textFill>
                  <w14:solidFill>
                    <w14:schemeClr w14:val="tx1"/>
                  </w14:solidFill>
                </w14:textFill>
              </w:rPr>
              <w:t>53.9</w:t>
            </w:r>
            <w:r>
              <w:rPr>
                <w:rFonts w:hint="eastAsia" w:ascii="宋体" w:hAnsi="宋体" w:cs="宋体"/>
                <w:bCs/>
                <w:color w:val="000000" w:themeColor="text1"/>
                <w:sz w:val="24"/>
                <w14:textFill>
                  <w14:solidFill>
                    <w14:schemeClr w14:val="tx1"/>
                  </w14:solidFill>
                </w14:textFill>
              </w:rPr>
              <w:t>万元</w:t>
            </w:r>
          </w:p>
        </w:tc>
        <w:tc>
          <w:tcPr>
            <w:tcW w:w="2150" w:type="dxa"/>
            <w:noWrap w:val="0"/>
            <w:vAlign w:val="center"/>
          </w:tcPr>
          <w:p w14:paraId="181A6B19">
            <w:pPr>
              <w:spacing w:line="360" w:lineRule="auto"/>
              <w:ind w:right="6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人民币</w:t>
            </w:r>
            <w:r>
              <w:rPr>
                <w:rFonts w:hint="eastAsia" w:ascii="宋体" w:hAnsi="宋体" w:cs="宋体"/>
                <w:bCs/>
                <w:color w:val="000000" w:themeColor="text1"/>
                <w:sz w:val="24"/>
                <w:lang w:val="en-US" w:eastAsia="zh-CN"/>
                <w14:textFill>
                  <w14:solidFill>
                    <w14:schemeClr w14:val="tx1"/>
                  </w14:solidFill>
                </w14:textFill>
              </w:rPr>
              <w:t>50.9</w:t>
            </w:r>
            <w:r>
              <w:rPr>
                <w:rFonts w:hint="eastAsia" w:ascii="宋体" w:hAnsi="宋体" w:cs="宋体"/>
                <w:bCs/>
                <w:color w:val="000000" w:themeColor="text1"/>
                <w:sz w:val="24"/>
                <w14:textFill>
                  <w14:solidFill>
                    <w14:schemeClr w14:val="tx1"/>
                  </w14:solidFill>
                </w14:textFill>
              </w:rPr>
              <w:t>万元</w:t>
            </w:r>
          </w:p>
        </w:tc>
      </w:tr>
      <w:tr w14:paraId="1C22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336" w:type="dxa"/>
            <w:gridSpan w:val="5"/>
            <w:noWrap w:val="0"/>
            <w:vAlign w:val="center"/>
          </w:tcPr>
          <w:p w14:paraId="17855134">
            <w:pPr>
              <w:tabs>
                <w:tab w:val="left" w:pos="3728"/>
              </w:tabs>
              <w:spacing w:line="360" w:lineRule="auto"/>
              <w:ind w:right="60"/>
              <w:jc w:val="both"/>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供应商投标报价不得超最高限价，否则将为无效标。</w:t>
            </w:r>
          </w:p>
        </w:tc>
      </w:tr>
    </w:tbl>
    <w:p w14:paraId="651861A1">
      <w:pPr>
        <w:widowControl/>
        <w:spacing w:line="480" w:lineRule="exact"/>
        <w:ind w:right="6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五．投标供应商资格要求</w:t>
      </w:r>
      <w:r>
        <w:rPr>
          <w:rFonts w:hint="eastAsia" w:ascii="宋体" w:hAnsi="宋体" w:cs="宋体"/>
          <w:color w:val="000000" w:themeColor="text1"/>
          <w:kern w:val="0"/>
          <w:sz w:val="24"/>
          <w14:textFill>
            <w14:solidFill>
              <w14:schemeClr w14:val="tx1"/>
            </w14:solidFill>
          </w14:textFill>
        </w:rPr>
        <w:t>:</w:t>
      </w:r>
    </w:p>
    <w:p w14:paraId="64EA4617">
      <w:pPr>
        <w:widowControl/>
        <w:spacing w:line="480" w:lineRule="exact"/>
        <w:ind w:left="59" w:leftChars="21" w:right="6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5E2AD292">
      <w:pPr>
        <w:widowControl/>
        <w:spacing w:line="440" w:lineRule="exact"/>
        <w:ind w:right="60"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2.本项目专门面向中小企业采购,供应商需提供符合《政府采购促进中小企业发</w:t>
      </w:r>
    </w:p>
    <w:p w14:paraId="3ACDE3EF">
      <w:pPr>
        <w:widowControl/>
        <w:spacing w:line="440" w:lineRule="exact"/>
        <w:ind w:right="60"/>
        <w:rPr>
          <w:rFonts w:hint="eastAsia"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展管理办法》（财库【2020】46号）和本招标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66DD560F">
      <w:pPr>
        <w:widowControl/>
        <w:spacing w:line="480" w:lineRule="exact"/>
        <w:ind w:left="59" w:leftChars="21" w:right="6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3.本项目不接受联合体投标。</w:t>
      </w:r>
    </w:p>
    <w:p w14:paraId="2B13EAC6">
      <w:pPr>
        <w:widowControl/>
        <w:spacing w:line="480" w:lineRule="exact"/>
        <w:ind w:left="59" w:leftChars="21" w:right="60" w:firstLine="470" w:firstLineChars="196"/>
        <w:rPr>
          <w:rFonts w:hint="eastAsia" w:ascii="宋体" w:hAnsi="宋体" w:cs="宋体"/>
          <w:b w:val="0"/>
          <w:bCs/>
          <w:color w:val="000000" w:themeColor="text1"/>
          <w:kern w:val="0"/>
          <w:sz w:val="24"/>
          <w:lang w:val="en-US" w:eastAsia="zh-CN"/>
          <w14:textFill>
            <w14:solidFill>
              <w14:schemeClr w14:val="tx1"/>
            </w14:solidFill>
          </w14:textFill>
        </w:rPr>
      </w:pPr>
      <w:r>
        <w:rPr>
          <w:rFonts w:hint="eastAsia" w:ascii="宋体" w:hAnsi="宋体" w:cs="宋体"/>
          <w:b w:val="0"/>
          <w:bCs/>
          <w:color w:val="000000" w:themeColor="text1"/>
          <w:kern w:val="0"/>
          <w:sz w:val="24"/>
          <w:lang w:val="en-US" w:eastAsia="zh-CN"/>
          <w14:textFill>
            <w14:solidFill>
              <w14:schemeClr w14:val="tx1"/>
            </w14:solidFill>
          </w14:textFill>
        </w:rPr>
        <w:t>4.本项目的特定资格要求：具有电力工程施工总承包三级及以</w:t>
      </w:r>
      <w:r>
        <w:rPr>
          <w:rFonts w:hint="eastAsia" w:ascii="宋体" w:hAnsi="宋体" w:cs="宋体"/>
          <w:b w:val="0"/>
          <w:bCs/>
          <w:color w:val="auto"/>
          <w:kern w:val="0"/>
          <w:sz w:val="24"/>
          <w:lang w:val="en-US" w:eastAsia="zh-CN"/>
        </w:rPr>
        <w:t>上或输变电工</w:t>
      </w:r>
      <w:r>
        <w:rPr>
          <w:rFonts w:hint="eastAsia" w:ascii="宋体" w:hAnsi="宋体" w:cs="宋体"/>
          <w:b w:val="0"/>
          <w:bCs/>
          <w:color w:val="000000" w:themeColor="text1"/>
          <w:kern w:val="0"/>
          <w:sz w:val="24"/>
          <w:lang w:val="en-US" w:eastAsia="zh-CN"/>
          <w14:textFill>
            <w14:solidFill>
              <w14:schemeClr w14:val="tx1"/>
            </w14:solidFill>
          </w14:textFill>
        </w:rPr>
        <w:t>程专业承包叁级及以上，且具有承装（修、试）电力设施许可证肆级及以上资质。</w:t>
      </w:r>
    </w:p>
    <w:p w14:paraId="5CCE4123">
      <w:pPr>
        <w:widowControl/>
        <w:spacing w:line="480" w:lineRule="exact"/>
        <w:ind w:left="59" w:leftChars="21" w:right="6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六．报名及获取招标文件时间:</w:t>
      </w:r>
    </w:p>
    <w:p w14:paraId="1E762D91">
      <w:pPr>
        <w:widowControl/>
        <w:spacing w:line="480" w:lineRule="exact"/>
        <w:ind w:left="59" w:leftChars="21"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1.报名及获取招标文件时间：2025年</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日至</w:t>
      </w:r>
      <w:r>
        <w:rPr>
          <w:rFonts w:hint="eastAsia" w:ascii="宋体" w:hAnsi="宋体" w:cs="宋体"/>
          <w:color w:val="000000" w:themeColor="text1"/>
          <w:kern w:val="0"/>
          <w:sz w:val="24"/>
          <w:lang w:eastAsia="zh-CN"/>
          <w14:textFill>
            <w14:solidFill>
              <w14:schemeClr w14:val="tx1"/>
            </w14:solidFill>
          </w14:textFill>
        </w:rPr>
        <w:t>开标截止时间止</w:t>
      </w:r>
      <w:r>
        <w:rPr>
          <w:rFonts w:hint="eastAsia" w:ascii="宋体" w:hAnsi="宋体" w:cs="宋体"/>
          <w:color w:val="000000" w:themeColor="text1"/>
          <w:kern w:val="0"/>
          <w:sz w:val="24"/>
          <w14:textFill>
            <w14:solidFill>
              <w14:schemeClr w14:val="tx1"/>
            </w14:solidFill>
          </w14:textFill>
        </w:rPr>
        <w:t>(潜在供应商报名及获取招标文件前应当在政采云电子交易平台上注册账号并登录，截止时间后不再接受潜在供应商报名及获取招标文件)。</w:t>
      </w:r>
    </w:p>
    <w:p w14:paraId="4380C7E2">
      <w:pPr>
        <w:widowControl/>
        <w:spacing w:line="480" w:lineRule="exact"/>
        <w:ind w:left="59" w:leftChars="21"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587FAFCC">
      <w:pPr>
        <w:widowControl/>
        <w:spacing w:line="480" w:lineRule="exact"/>
        <w:ind w:left="59" w:leftChars="21"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3.免费注册网址：浙江政府采购网（供应商注册页面）：https://middle.zcygov.cn/settle-front/#/registry“政采云”，咨询电话：95763。已经注册成功的供应商无需重复注册。</w:t>
      </w:r>
    </w:p>
    <w:p w14:paraId="0F369BE8">
      <w:pPr>
        <w:widowControl/>
        <w:spacing w:line="480" w:lineRule="exact"/>
        <w:ind w:right="60" w:firstLine="472" w:firstLineChars="196"/>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七．投标文件的递交及相关事宜：</w:t>
      </w:r>
    </w:p>
    <w:p w14:paraId="36B35482">
      <w:pPr>
        <w:widowControl/>
        <w:spacing w:line="480" w:lineRule="exact"/>
        <w:ind w:left="59" w:leftChars="21"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1.投标文件递交的截止时间（投标截止时间，下同）：2025年</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14</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lang w:val="en-US" w:eastAsia="zh-CN"/>
          <w14:textFill>
            <w14:solidFill>
              <w14:schemeClr w14:val="tx1"/>
            </w14:solidFill>
          </w14:textFill>
        </w:rPr>
        <w:t>00</w:t>
      </w:r>
      <w:r>
        <w:rPr>
          <w:rFonts w:hint="eastAsia" w:ascii="宋体" w:hAnsi="宋体" w:cs="宋体"/>
          <w:color w:val="000000" w:themeColor="text1"/>
          <w:kern w:val="0"/>
          <w:sz w:val="24"/>
          <w14:textFill>
            <w14:solidFill>
              <w14:schemeClr w14:val="tx1"/>
            </w14:solidFill>
          </w14:textFill>
        </w:rPr>
        <w:t>分（北京时间）。</w:t>
      </w:r>
    </w:p>
    <w:p w14:paraId="74282D9C">
      <w:pPr>
        <w:widowControl/>
        <w:spacing w:line="480" w:lineRule="exact"/>
        <w:ind w:left="59" w:leftChars="21"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2.投标文件的递交方式：</w:t>
      </w:r>
    </w:p>
    <w:p w14:paraId="15ED438D">
      <w:pPr>
        <w:widowControl/>
        <w:spacing w:line="480" w:lineRule="exact"/>
        <w:ind w:left="59" w:leftChars="21"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2.1电子投标文件：按政采云平台项目采购-电子交易操作指南及本招标文件要求制作、加密并递交。供应商应于2025年</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14</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lang w:val="en-US" w:eastAsia="zh-CN"/>
          <w14:textFill>
            <w14:solidFill>
              <w14:schemeClr w14:val="tx1"/>
            </w14:solidFill>
          </w14:textFill>
        </w:rPr>
        <w:t>00</w:t>
      </w:r>
      <w:r>
        <w:rPr>
          <w:rFonts w:hint="eastAsia" w:ascii="宋体" w:hAnsi="宋体" w:cs="宋体"/>
          <w:color w:val="000000" w:themeColor="text1"/>
          <w:kern w:val="0"/>
          <w:sz w:val="24"/>
          <w14:textFill>
            <w14:solidFill>
              <w14:schemeClr w14:val="tx1"/>
            </w14:solidFill>
          </w14:textFill>
        </w:rPr>
        <w:t>分前将生成的“电子加密投标文件”上传递交至“政府采购云平台”。开标截止时间以后上传递交的投标文件将被“政府采购云平台”拒收。</w:t>
      </w:r>
    </w:p>
    <w:p w14:paraId="7947CC4D">
      <w:pPr>
        <w:widowControl/>
        <w:spacing w:line="480" w:lineRule="exact"/>
        <w:ind w:left="59" w:leftChars="21"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数据电子备份投标文件（U盘）：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hint="eastAsia" w:ascii="宋体" w:hAnsi="宋体" w:cs="宋体"/>
          <w:b/>
          <w:bCs/>
          <w:color w:val="000000" w:themeColor="text1"/>
          <w:kern w:val="0"/>
          <w:sz w:val="24"/>
          <w14:textFill>
            <w14:solidFill>
              <w14:schemeClr w14:val="tx1"/>
            </w14:solidFill>
          </w14:textFill>
        </w:rPr>
        <w:t>递交方式：</w:t>
      </w:r>
      <w:r>
        <w:rPr>
          <w:rFonts w:hint="eastAsia" w:ascii="宋体" w:hAnsi="宋体" w:cs="宋体"/>
          <w:color w:val="000000" w:themeColor="text1"/>
          <w:kern w:val="0"/>
          <w:sz w:val="24"/>
          <w14:textFill>
            <w14:solidFill>
              <w14:schemeClr w14:val="tx1"/>
            </w14:solidFill>
          </w14:textFill>
        </w:rPr>
        <w:t>本项目采用不见面的形式开标，数据电子备份投标文件（U盘）应通过邮寄快递方式送达（原则上邮寄公司统一采用EMS），邮寄地址为：华诚工程咨询集团有限公司湖州分公司[湖州市天宁巷16号（镭宝大厦14楼1710室）]，联系电话：0572-2170107，电子邮箱：</w:t>
      </w:r>
      <w:r>
        <w:rPr>
          <w:rFonts w:hint="eastAsia" w:ascii="宋体" w:hAnsi="宋体" w:cs="宋体"/>
          <w:color w:val="000000" w:themeColor="text1"/>
          <w:kern w:val="0"/>
          <w:sz w:val="24"/>
          <w:lang w:eastAsia="zh-CN"/>
          <w14:textFill>
            <w14:solidFill>
              <w14:schemeClr w14:val="tx1"/>
            </w14:solidFill>
          </w14:textFill>
        </w:rPr>
        <w:t>757809420@qq.com</w:t>
      </w:r>
      <w:r>
        <w:rPr>
          <w:rFonts w:hint="eastAsia" w:ascii="宋体" w:hAnsi="宋体" w:cs="宋体"/>
          <w:color w:val="000000" w:themeColor="text1"/>
          <w:kern w:val="0"/>
          <w:sz w:val="24"/>
          <w14:textFill>
            <w14:solidFill>
              <w14:schemeClr w14:val="tx1"/>
            </w14:solidFill>
          </w14:textFill>
        </w:rPr>
        <w:t>。邮寄截止时间：供应商应于投标文件截止递交前一个工作日下午5时前准时送达，逾期不予受理。供应商须留足投标文件邮寄时间,确保数据电子备份投标文件（U盘）于规定的时间前送达指定地点，未按时送达的，均按未提供处理。</w:t>
      </w:r>
    </w:p>
    <w:p w14:paraId="730916BF">
      <w:pPr>
        <w:widowControl/>
        <w:spacing w:line="480" w:lineRule="exact"/>
        <w:ind w:left="59" w:leftChars="21" w:right="60" w:firstLine="482"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注：1）供应商应权衡利弊考虑是否提供数据电子备份投标文件（U盘），采购人及采购代理机构不做强制性要求，若因下一条款原因须启用数据电子备份投标文件（U盘）时，而供应商未提供的，视为放弃投标资格，作无效标处理；2）若供应商未提供数据电子备份投标文件（U盘），招标公告及招标文件中关于数据电子备份投标文件（U盘）的要求及内容不再适用。</w:t>
      </w:r>
    </w:p>
    <w:p w14:paraId="2CF2E63E">
      <w:pPr>
        <w:widowControl/>
        <w:spacing w:line="480" w:lineRule="exact"/>
        <w:ind w:left="59" w:leftChars="21"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120BE492">
      <w:pPr>
        <w:widowControl/>
        <w:spacing w:line="480" w:lineRule="exact"/>
        <w:ind w:left="59" w:leftChars="21"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4.供应商须在线获取CA数字证书（</w:t>
      </w:r>
      <w:r>
        <w:rPr>
          <w:rFonts w:hint="eastAsia" w:ascii="宋体" w:hAnsi="宋体" w:cs="宋体"/>
          <w:b/>
          <w:bCs/>
          <w:color w:val="000000" w:themeColor="text1"/>
          <w:kern w:val="0"/>
          <w:sz w:val="24"/>
          <w14:textFill>
            <w14:solidFill>
              <w14:schemeClr w14:val="tx1"/>
            </w14:solidFill>
          </w14:textFill>
        </w:rPr>
        <w:t>完成CA数字证书办理预计一周左右，建议各供应商自行把握时间</w:t>
      </w:r>
      <w:r>
        <w:rPr>
          <w:rFonts w:hint="eastAsia" w:ascii="宋体" w:hAnsi="宋体" w:cs="宋体"/>
          <w:color w:val="000000" w:themeColor="text1"/>
          <w:kern w:val="0"/>
          <w:sz w:val="24"/>
          <w14:textFill>
            <w14:solidFill>
              <w14:schemeClr w14:val="tx1"/>
            </w14:solidFill>
          </w14:textFill>
        </w:rPr>
        <w:t>，办理流程详见https://zfcg.czt.zj.gov.cn//bidClientTemplate/2019-05-27/12945.html），并登录“浙江政府采购网”（http://zfcg.czt.zj.gov.cn/），进入“下载专区”下载“电子交易客户端”，制作投标文件。</w:t>
      </w:r>
    </w:p>
    <w:p w14:paraId="46DCAAA5">
      <w:pPr>
        <w:widowControl/>
        <w:spacing w:line="480" w:lineRule="exact"/>
        <w:ind w:left="59" w:leftChars="21"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5.供应商须将制作、加密后的电子版投标文件于投标截止时间前上传到政采云系统中，超过投标截止时间上传的，均按无效标处理。</w:t>
      </w:r>
    </w:p>
    <w:p w14:paraId="2E49DD71">
      <w:pPr>
        <w:widowControl/>
        <w:spacing w:line="480" w:lineRule="exact"/>
        <w:ind w:left="59" w:leftChars="21"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6.供应商通过政采云平台电子投标工具制作投标文件，电子投标工具请供应商自行前往浙江省政府采购网下载并安装，（下载网址：https://zfcg.czt.zj.gov.cn//bidClientTemplate/2019-09-24/12975.html）。</w:t>
      </w:r>
    </w:p>
    <w:p w14:paraId="2FF21458">
      <w:pPr>
        <w:widowControl/>
        <w:spacing w:line="480" w:lineRule="exact"/>
        <w:ind w:left="59" w:leftChars="21"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7.本项目采取“不见面”形式进行开评标活动,法定代表人或其授权代表无须到场，在线响应即可（通过政采云系统）。</w:t>
      </w:r>
    </w:p>
    <w:p w14:paraId="4828C25D">
      <w:pPr>
        <w:widowControl/>
        <w:spacing w:line="480" w:lineRule="exact"/>
        <w:ind w:right="60" w:firstLine="472" w:firstLineChars="196"/>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八．投标地址：</w:t>
      </w:r>
    </w:p>
    <w:p w14:paraId="7A680033">
      <w:pPr>
        <w:widowControl/>
        <w:spacing w:line="480" w:lineRule="exact"/>
        <w:ind w:right="60" w:firstLine="470"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1.本项目通过“政府采购云平台（www.zcygov.cn）”实行在线投标响应（电子投标）。</w:t>
      </w:r>
    </w:p>
    <w:p w14:paraId="275B7EEB">
      <w:pPr>
        <w:widowControl/>
        <w:spacing w:line="480" w:lineRule="exact"/>
        <w:ind w:right="60" w:firstLine="470"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33BEA119">
      <w:pPr>
        <w:widowControl/>
        <w:spacing w:line="480" w:lineRule="exact"/>
        <w:ind w:right="6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九．开标时间：</w:t>
      </w:r>
      <w:r>
        <w:rPr>
          <w:rFonts w:hint="eastAsia" w:ascii="宋体" w:hAnsi="宋体" w:cs="宋体"/>
          <w:color w:val="000000" w:themeColor="text1"/>
          <w:kern w:val="0"/>
          <w:sz w:val="24"/>
          <w14:textFill>
            <w14:solidFill>
              <w14:schemeClr w14:val="tx1"/>
            </w14:solidFill>
          </w14:textFill>
        </w:rPr>
        <w:t>2025年</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14</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lang w:val="en-US" w:eastAsia="zh-CN"/>
          <w14:textFill>
            <w14:solidFill>
              <w14:schemeClr w14:val="tx1"/>
            </w14:solidFill>
          </w14:textFill>
        </w:rPr>
        <w:t>00</w:t>
      </w:r>
      <w:r>
        <w:rPr>
          <w:rFonts w:hint="eastAsia" w:ascii="宋体" w:hAnsi="宋体" w:cs="宋体"/>
          <w:color w:val="000000" w:themeColor="text1"/>
          <w:kern w:val="0"/>
          <w:sz w:val="24"/>
          <w14:textFill>
            <w14:solidFill>
              <w14:schemeClr w14:val="tx1"/>
            </w14:solidFill>
          </w14:textFill>
        </w:rPr>
        <w:t>分</w:t>
      </w:r>
    </w:p>
    <w:p w14:paraId="54DCD488">
      <w:pPr>
        <w:widowControl/>
        <w:spacing w:line="480" w:lineRule="exact"/>
        <w:ind w:right="6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十．开标地址：</w:t>
      </w:r>
      <w:r>
        <w:rPr>
          <w:rFonts w:hint="eastAsia" w:ascii="宋体" w:hAnsi="宋体" w:cs="宋体"/>
          <w:color w:val="000000" w:themeColor="text1"/>
          <w:kern w:val="0"/>
          <w:sz w:val="24"/>
          <w14:textFill>
            <w14:solidFill>
              <w14:schemeClr w14:val="tx1"/>
            </w14:solidFill>
          </w14:textFill>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14:paraId="43E8B8C0">
      <w:pPr>
        <w:widowControl/>
        <w:spacing w:line="480" w:lineRule="exact"/>
        <w:ind w:right="6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十一．公告期限：</w:t>
      </w:r>
      <w:r>
        <w:rPr>
          <w:rFonts w:hint="eastAsia" w:ascii="宋体" w:hAnsi="宋体" w:cs="宋体"/>
          <w:color w:val="000000" w:themeColor="text1"/>
          <w:kern w:val="0"/>
          <w:sz w:val="24"/>
          <w14:textFill>
            <w14:solidFill>
              <w14:schemeClr w14:val="tx1"/>
            </w14:solidFill>
          </w14:textFill>
        </w:rPr>
        <w:t>5个工作日</w:t>
      </w:r>
    </w:p>
    <w:p w14:paraId="6898943D">
      <w:pPr>
        <w:widowControl/>
        <w:spacing w:line="480" w:lineRule="exact"/>
        <w:ind w:right="60" w:firstLine="472" w:firstLineChars="196"/>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十二．其他事项：</w:t>
      </w:r>
    </w:p>
    <w:p w14:paraId="79CA7861">
      <w:pPr>
        <w:widowControl/>
        <w:spacing w:line="480" w:lineRule="exact"/>
        <w:ind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95763。其中数据电子备份投标文件（U盘）在投标截止时间前于开标现场以密封、包装的形式提供。</w:t>
      </w:r>
    </w:p>
    <w:p w14:paraId="2BF35C16">
      <w:pPr>
        <w:widowControl/>
        <w:spacing w:line="480" w:lineRule="exact"/>
        <w:ind w:right="60"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质疑投诉根据《中华人民共和国财政部令第94号-政府采购质疑和投诉办法》第二章规定。供应商认为采购文件使自己的权益受到损害的，对采购文件提出质疑的，应当在获取采购文件或者采购文件公告期限届满之日起7个工作日内提出（公告期限届满后获取采购文件的，以公告期限届满之日为准），供应商在法定质疑期内须一次性提出针对同一采购程序环节的质疑，否则采购代理机构有权拒绝第一次质疑以外其他所有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2E0A29">
      <w:pPr>
        <w:widowControl/>
        <w:spacing w:line="480" w:lineRule="exact"/>
        <w:ind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3.潜在供应商已依法获取（</w:t>
      </w:r>
      <w:r>
        <w:rPr>
          <w:rFonts w:hint="eastAsia" w:ascii="宋体" w:hAnsi="宋体" w:cs="宋体"/>
          <w:b/>
          <w:color w:val="000000" w:themeColor="text1"/>
          <w:kern w:val="0"/>
          <w:sz w:val="24"/>
          <w:u w:val="single"/>
          <w14:textFill>
            <w14:solidFill>
              <w14:schemeClr w14:val="tx1"/>
            </w14:solidFill>
          </w14:textFill>
        </w:rPr>
        <w:t>依法获取指：供应商按本项目招标公告要求在政采云系统上获取并报名成功</w:t>
      </w:r>
      <w:r>
        <w:rPr>
          <w:rFonts w:hint="eastAsia" w:ascii="宋体" w:hAnsi="宋体" w:cs="宋体"/>
          <w:color w:val="000000" w:themeColor="text1"/>
          <w:kern w:val="0"/>
          <w:sz w:val="24"/>
          <w14:textFill>
            <w14:solidFill>
              <w14:schemeClr w14:val="tx1"/>
            </w14:solidFill>
          </w14:textFill>
        </w:rPr>
        <w:t>）其可质疑的招标文件，可以对该文件提出质疑。未按照规定方式依法获取招标文件的，不得对招标文件提起质疑投诉。</w:t>
      </w:r>
    </w:p>
    <w:p w14:paraId="5E45E34F">
      <w:pPr>
        <w:widowControl/>
        <w:spacing w:line="480" w:lineRule="exact"/>
        <w:ind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4.答疑内容是招标文件的组成部分，并将在网上发布补充（答疑、澄清）文件，潜在供应商应自行关注网站公告，采购人不再一一通知，供应商因自身贻误行为导致投标失效的，责任自负。</w:t>
      </w:r>
    </w:p>
    <w:p w14:paraId="65C98E47">
      <w:pPr>
        <w:widowControl/>
        <w:spacing w:line="480" w:lineRule="exact"/>
        <w:ind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5.参与政府采购项目的注册供应商，需登录浙江政府采购云平台（http://www.zcygov.cn）进行网上报名，尚未注册的供应商应当先在浙江政府采购云平台上申请注册，注册终审通过后再进行网上报名。</w:t>
      </w:r>
    </w:p>
    <w:p w14:paraId="6FC0F979">
      <w:pPr>
        <w:widowControl/>
        <w:spacing w:line="480" w:lineRule="exact"/>
        <w:ind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6.本项目公告发布网站：</w:t>
      </w:r>
    </w:p>
    <w:p w14:paraId="2AB0DE3F">
      <w:pPr>
        <w:widowControl/>
        <w:spacing w:line="480" w:lineRule="exact"/>
        <w:ind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6.1浙江政府采购网：http://zfcg.czt.zj.gov.cn/</w:t>
      </w:r>
    </w:p>
    <w:p w14:paraId="676DB05A">
      <w:pPr>
        <w:widowControl/>
        <w:spacing w:line="480" w:lineRule="exact"/>
        <w:ind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6.2湖州市公共资源交易信息网：http://ggzyjy.huzhou.gov.cn/ </w:t>
      </w:r>
    </w:p>
    <w:p w14:paraId="32E20EBC">
      <w:pPr>
        <w:widowControl/>
        <w:spacing w:line="480" w:lineRule="exact"/>
        <w:ind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6.3华诚工程咨询集团有限公司湖州分公司网：</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HYPERLINK "http://www.zjhzhc.cn"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http://www.zjhzhc.cn</w:t>
      </w:r>
      <w:r>
        <w:rPr>
          <w:rFonts w:hint="eastAsia" w:ascii="宋体" w:hAnsi="宋体" w:cs="宋体"/>
          <w:color w:val="000000" w:themeColor="text1"/>
          <w:kern w:val="0"/>
          <w:sz w:val="24"/>
          <w14:textFill>
            <w14:solidFill>
              <w14:schemeClr w14:val="tx1"/>
            </w14:solidFill>
          </w14:textFill>
        </w:rPr>
        <w:fldChar w:fldCharType="end"/>
      </w:r>
    </w:p>
    <w:p w14:paraId="5882A48A">
      <w:pPr>
        <w:snapToGrid w:val="0"/>
        <w:spacing w:line="48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065FFE6">
      <w:pPr>
        <w:widowControl/>
        <w:spacing w:line="480" w:lineRule="exact"/>
        <w:ind w:right="60" w:firstLine="48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8.本项目是否专门面向中小企业采购：是。本项目中小企业划分类型为：工业。</w:t>
      </w:r>
    </w:p>
    <w:p w14:paraId="505EF1DC">
      <w:pPr>
        <w:widowControl/>
        <w:spacing w:line="480" w:lineRule="exact"/>
        <w:ind w:right="60" w:firstLine="482"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十三．联系方式：</w:t>
      </w:r>
    </w:p>
    <w:p w14:paraId="214A9AD5">
      <w:pPr>
        <w:widowControl/>
        <w:spacing w:line="480" w:lineRule="exact"/>
        <w:ind w:left="59" w:leftChars="21" w:right="60" w:firstLine="470"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1.采购代理机构名称：华诚工程咨询集团有限公司</w:t>
      </w:r>
    </w:p>
    <w:p w14:paraId="1916A294">
      <w:pPr>
        <w:widowControl/>
        <w:spacing w:line="480" w:lineRule="exact"/>
        <w:ind w:left="59" w:leftChars="21" w:right="60" w:firstLine="470"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联系人：翁女士</w:t>
      </w:r>
    </w:p>
    <w:p w14:paraId="3A5CB4B1">
      <w:pPr>
        <w:widowControl/>
        <w:spacing w:line="480" w:lineRule="exact"/>
        <w:ind w:left="59" w:leftChars="21" w:right="60" w:firstLine="470"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联系电话：0572-2170107</w:t>
      </w:r>
    </w:p>
    <w:p w14:paraId="5F0F3E91">
      <w:pPr>
        <w:widowControl/>
        <w:spacing w:line="480" w:lineRule="exact"/>
        <w:ind w:left="59" w:leftChars="21" w:right="60" w:firstLine="470"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地址：湖州市天宁巷16号（镭宝大厦14楼1710室）</w:t>
      </w:r>
    </w:p>
    <w:p w14:paraId="5D1462BD">
      <w:pPr>
        <w:snapToGrid w:val="0"/>
        <w:spacing w:line="480" w:lineRule="exact"/>
        <w:ind w:firstLine="42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2.采购人名称：</w:t>
      </w:r>
      <w:r>
        <w:rPr>
          <w:rFonts w:hint="eastAsia" w:ascii="宋体" w:hAnsi="宋体" w:cs="宋体"/>
          <w:color w:val="000000" w:themeColor="text1"/>
          <w:sz w:val="24"/>
          <w:lang w:eastAsia="zh-CN"/>
          <w14:textFill>
            <w14:solidFill>
              <w14:schemeClr w14:val="tx1"/>
            </w14:solidFill>
          </w14:textFill>
        </w:rPr>
        <w:t>湖州市殡仪馆</w:t>
      </w:r>
    </w:p>
    <w:p w14:paraId="22277143">
      <w:pPr>
        <w:snapToGrid w:val="0"/>
        <w:spacing w:line="48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lang w:eastAsia="zh-CN"/>
          <w14:textFill>
            <w14:solidFill>
              <w14:schemeClr w14:val="tx1"/>
            </w14:solidFill>
          </w14:textFill>
        </w:rPr>
        <w:t>顾先生</w:t>
      </w:r>
      <w:r>
        <w:rPr>
          <w:rFonts w:hint="eastAsia" w:ascii="宋体" w:hAnsi="宋体" w:cs="宋体"/>
          <w:color w:val="000000" w:themeColor="text1"/>
          <w:sz w:val="24"/>
          <w14:textFill>
            <w14:solidFill>
              <w14:schemeClr w14:val="tx1"/>
            </w14:solidFill>
          </w14:textFill>
        </w:rPr>
        <w:t xml:space="preserve">  </w:t>
      </w:r>
    </w:p>
    <w:p w14:paraId="129A2D8A">
      <w:pPr>
        <w:snapToGrid w:val="0"/>
        <w:spacing w:line="480" w:lineRule="exact"/>
        <w:ind w:firstLine="42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kern w:val="0"/>
          <w:sz w:val="24"/>
          <w:lang w:eastAsia="zh-CN"/>
          <w14:textFill>
            <w14:solidFill>
              <w14:schemeClr w14:val="tx1"/>
            </w14:solidFill>
          </w14:textFill>
        </w:rPr>
        <w:t>0572-</w:t>
      </w:r>
      <w:r>
        <w:rPr>
          <w:rFonts w:hint="eastAsia" w:ascii="宋体" w:hAnsi="宋体" w:cs="宋体"/>
          <w:color w:val="000000" w:themeColor="text1"/>
          <w:kern w:val="0"/>
          <w:sz w:val="24"/>
          <w:lang w:val="en-US" w:eastAsia="zh-CN"/>
          <w14:textFill>
            <w14:solidFill>
              <w14:schemeClr w14:val="tx1"/>
            </w14:solidFill>
          </w14:textFill>
        </w:rPr>
        <w:t>2042079</w:t>
      </w:r>
    </w:p>
    <w:p w14:paraId="596ED8DF">
      <w:pPr>
        <w:snapToGrid w:val="0"/>
        <w:spacing w:line="480" w:lineRule="exact"/>
        <w:ind w:firstLine="420"/>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HYPERLINK "https://ditu.so.com/?pid=bef0ea3ee03a97bb&amp;new=1&amp;src=onebox" \o "菱湖中学" \t "https://www.so.com/_blank"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地址：湖州市</w:t>
      </w:r>
      <w:r>
        <w:rPr>
          <w:rFonts w:hint="eastAsia" w:ascii="宋体" w:hAnsi="宋体" w:cs="宋体"/>
          <w:color w:val="000000" w:themeColor="text1"/>
          <w:kern w:val="0"/>
          <w:sz w:val="24"/>
          <w:lang w:eastAsia="zh-CN"/>
          <w14:textFill>
            <w14:solidFill>
              <w14:schemeClr w14:val="tx1"/>
            </w14:solidFill>
          </w14:textFill>
        </w:rPr>
        <w:t>岘</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lang w:eastAsia="zh-CN"/>
          <w14:textFill>
            <w14:solidFill>
              <w14:schemeClr w14:val="tx1"/>
            </w14:solidFill>
          </w14:textFill>
        </w:rPr>
        <w:t>山路</w:t>
      </w:r>
      <w:r>
        <w:rPr>
          <w:rFonts w:hint="eastAsia" w:ascii="宋体" w:hAnsi="宋体" w:cs="宋体"/>
          <w:color w:val="000000" w:themeColor="text1"/>
          <w:kern w:val="0"/>
          <w:sz w:val="24"/>
          <w:lang w:val="en-US" w:eastAsia="zh-CN"/>
          <w14:textFill>
            <w14:solidFill>
              <w14:schemeClr w14:val="tx1"/>
            </w14:solidFill>
          </w14:textFill>
        </w:rPr>
        <w:t>268号</w:t>
      </w:r>
    </w:p>
    <w:p w14:paraId="5E53D004">
      <w:pPr>
        <w:snapToGrid w:val="0"/>
        <w:spacing w:line="48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3.供应商质疑函接收人：杜先生</w:t>
      </w:r>
    </w:p>
    <w:p w14:paraId="52F3D7E3">
      <w:pPr>
        <w:snapToGrid w:val="0"/>
        <w:spacing w:line="48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ascii="宋体" w:hAnsi="宋体" w:cs="宋体"/>
          <w:color w:val="000000" w:themeColor="text1"/>
          <w:sz w:val="24"/>
          <w14:textFill>
            <w14:solidFill>
              <w14:schemeClr w14:val="tx1"/>
            </w14:solidFill>
          </w14:textFill>
        </w:rPr>
        <w:t>0572-2170098</w:t>
      </w:r>
    </w:p>
    <w:p w14:paraId="405E3E3B">
      <w:pPr>
        <w:snapToGrid w:val="0"/>
        <w:spacing w:line="48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4.同级政府采购监督管理部门名称：湖州市财政局政府采购监管处</w:t>
      </w:r>
    </w:p>
    <w:p w14:paraId="2923F6AB">
      <w:pPr>
        <w:snapToGrid w:val="0"/>
        <w:spacing w:line="48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联系人：程先生</w:t>
      </w:r>
    </w:p>
    <w:p w14:paraId="5DD4B185">
      <w:pPr>
        <w:snapToGrid w:val="0"/>
        <w:spacing w:line="48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监督投诉电话：0572-2150216</w:t>
      </w:r>
    </w:p>
    <w:p w14:paraId="0EFCD25B">
      <w:pPr>
        <w:snapToGrid w:val="0"/>
        <w:spacing w:line="48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地址：湖州市龙王山路518号</w:t>
      </w:r>
    </w:p>
    <w:p w14:paraId="4EBC87F8">
      <w:pPr>
        <w:widowControl/>
        <w:spacing w:line="480" w:lineRule="exact"/>
        <w:ind w:left="59" w:leftChars="21" w:right="60" w:firstLine="470" w:firstLineChars="196"/>
        <w:rPr>
          <w:rFonts w:hint="eastAsia" w:ascii="宋体" w:hAnsi="宋体" w:cs="宋体"/>
          <w:color w:val="000000" w:themeColor="text1"/>
          <w:kern w:val="0"/>
          <w:sz w:val="24"/>
          <w14:textFill>
            <w14:solidFill>
              <w14:schemeClr w14:val="tx1"/>
            </w14:solidFill>
          </w14:textFill>
        </w:rPr>
      </w:pPr>
    </w:p>
    <w:p w14:paraId="6267549F">
      <w:pPr>
        <w:widowControl/>
        <w:spacing w:line="480" w:lineRule="exact"/>
        <w:ind w:left="81" w:leftChars="29" w:right="60" w:firstLine="4560" w:firstLineChars="1900"/>
        <w:jc w:val="right"/>
        <w:rPr>
          <w:rFonts w:hint="eastAsia" w:ascii="宋体" w:hAnsi="宋体" w:cs="宋体"/>
          <w:color w:val="000000" w:themeColor="text1"/>
          <w:kern w:val="0"/>
          <w:sz w:val="24"/>
          <w14:textFill>
            <w14:solidFill>
              <w14:schemeClr w14:val="tx1"/>
            </w14:solidFill>
          </w14:textFill>
        </w:rPr>
      </w:pPr>
    </w:p>
    <w:p w14:paraId="418C19D5">
      <w:pPr>
        <w:widowControl/>
        <w:spacing w:line="480" w:lineRule="exact"/>
        <w:ind w:left="81" w:leftChars="29" w:right="60" w:firstLine="4560" w:firstLineChars="1900"/>
        <w:jc w:val="right"/>
        <w:rPr>
          <w:rFonts w:hint="eastAsia" w:ascii="宋体" w:hAnsi="宋体" w:cs="宋体"/>
          <w:color w:val="000000" w:themeColor="text1"/>
          <w:kern w:val="0"/>
          <w:sz w:val="24"/>
          <w14:textFill>
            <w14:solidFill>
              <w14:schemeClr w14:val="tx1"/>
            </w14:solidFill>
          </w14:textFill>
        </w:rPr>
      </w:pPr>
    </w:p>
    <w:p w14:paraId="6A208432">
      <w:pPr>
        <w:widowControl/>
        <w:spacing w:line="480" w:lineRule="exact"/>
        <w:ind w:left="81" w:leftChars="29" w:right="60" w:firstLine="4560" w:firstLineChars="1900"/>
        <w:jc w:val="righ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湖州市殡仪馆</w:t>
      </w:r>
    </w:p>
    <w:p w14:paraId="762138FF">
      <w:pPr>
        <w:widowControl/>
        <w:spacing w:line="480" w:lineRule="exact"/>
        <w:ind w:left="81" w:leftChars="29" w:right="60" w:firstLine="4560" w:firstLineChars="19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华诚工程咨询集团有限公司</w:t>
      </w:r>
    </w:p>
    <w:p w14:paraId="37E27128">
      <w:pPr>
        <w:widowControl/>
        <w:spacing w:line="480" w:lineRule="exact"/>
        <w:ind w:left="81" w:leftChars="29" w:right="60" w:firstLine="6360" w:firstLineChars="265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2025年</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日</w:t>
      </w:r>
    </w:p>
    <w:p w14:paraId="64C54E41">
      <w:pPr>
        <w:spacing w:line="480" w:lineRule="exact"/>
        <w:jc w:val="center"/>
        <w:rPr>
          <w:rFonts w:hint="eastAsia" w:ascii="宋体" w:hAnsi="宋体" w:cs="宋体"/>
          <w:b/>
          <w:color w:val="000000" w:themeColor="text1"/>
          <w:sz w:val="36"/>
          <w:szCs w:val="36"/>
          <w14:textFill>
            <w14:solidFill>
              <w14:schemeClr w14:val="tx1"/>
            </w14:solidFill>
          </w14:textFill>
        </w:rPr>
      </w:pPr>
      <w:bookmarkStart w:id="0" w:name="_Toc157410886"/>
    </w:p>
    <w:p w14:paraId="19F94F7C">
      <w:pPr>
        <w:spacing w:line="420" w:lineRule="exact"/>
        <w:jc w:val="center"/>
        <w:rPr>
          <w:rFonts w:hint="eastAsia" w:ascii="宋体" w:hAnsi="宋体" w:cs="宋体"/>
          <w:b/>
          <w:color w:val="000000" w:themeColor="text1"/>
          <w:sz w:val="36"/>
          <w:szCs w:val="36"/>
          <w14:textFill>
            <w14:solidFill>
              <w14:schemeClr w14:val="tx1"/>
            </w14:solidFill>
          </w14:textFill>
        </w:rPr>
      </w:pPr>
    </w:p>
    <w:p w14:paraId="3253A856">
      <w:pPr>
        <w:spacing w:line="420" w:lineRule="exact"/>
        <w:jc w:val="center"/>
        <w:rPr>
          <w:rFonts w:hint="eastAsia" w:ascii="宋体" w:hAnsi="宋体" w:cs="宋体"/>
          <w:b/>
          <w:color w:val="000000" w:themeColor="text1"/>
          <w:sz w:val="36"/>
          <w:szCs w:val="36"/>
          <w14:textFill>
            <w14:solidFill>
              <w14:schemeClr w14:val="tx1"/>
            </w14:solidFill>
          </w14:textFill>
        </w:rPr>
      </w:pPr>
    </w:p>
    <w:p w14:paraId="3CBEBFA9">
      <w:pPr>
        <w:spacing w:line="420" w:lineRule="exact"/>
        <w:jc w:val="center"/>
        <w:rPr>
          <w:rFonts w:hint="eastAsia" w:ascii="宋体" w:hAnsi="宋体" w:cs="宋体"/>
          <w:b/>
          <w:color w:val="000000" w:themeColor="text1"/>
          <w:sz w:val="36"/>
          <w:szCs w:val="36"/>
          <w14:textFill>
            <w14:solidFill>
              <w14:schemeClr w14:val="tx1"/>
            </w14:solidFill>
          </w14:textFill>
        </w:rPr>
      </w:pPr>
    </w:p>
    <w:p w14:paraId="338A3BB6">
      <w:pPr>
        <w:spacing w:line="420" w:lineRule="exact"/>
        <w:jc w:val="center"/>
        <w:rPr>
          <w:rFonts w:hint="eastAsia" w:ascii="宋体" w:hAnsi="宋体" w:cs="宋体"/>
          <w:b/>
          <w:color w:val="000000" w:themeColor="text1"/>
          <w:sz w:val="36"/>
          <w:szCs w:val="36"/>
          <w14:textFill>
            <w14:solidFill>
              <w14:schemeClr w14:val="tx1"/>
            </w14:solidFill>
          </w14:textFill>
        </w:rPr>
      </w:pPr>
    </w:p>
    <w:p w14:paraId="22525B43">
      <w:pPr>
        <w:spacing w:line="420" w:lineRule="exact"/>
        <w:jc w:val="center"/>
        <w:rPr>
          <w:rFonts w:hint="eastAsia" w:ascii="宋体" w:hAnsi="宋体" w:cs="宋体"/>
          <w:b/>
          <w:color w:val="000000" w:themeColor="text1"/>
          <w:sz w:val="36"/>
          <w:szCs w:val="36"/>
          <w14:textFill>
            <w14:solidFill>
              <w14:schemeClr w14:val="tx1"/>
            </w14:solidFill>
          </w14:textFill>
        </w:rPr>
      </w:pPr>
    </w:p>
    <w:p w14:paraId="0C3F5DB3">
      <w:pPr>
        <w:spacing w:line="420" w:lineRule="exact"/>
        <w:jc w:val="center"/>
        <w:rPr>
          <w:rFonts w:hint="eastAsia" w:ascii="宋体" w:hAnsi="宋体" w:cs="宋体"/>
          <w:b/>
          <w:color w:val="000000" w:themeColor="text1"/>
          <w:sz w:val="36"/>
          <w:szCs w:val="36"/>
          <w14:textFill>
            <w14:solidFill>
              <w14:schemeClr w14:val="tx1"/>
            </w14:solidFill>
          </w14:textFill>
        </w:rPr>
      </w:pPr>
    </w:p>
    <w:p w14:paraId="60FDC089">
      <w:pPr>
        <w:spacing w:line="420" w:lineRule="exact"/>
        <w:jc w:val="center"/>
        <w:rPr>
          <w:rFonts w:hint="eastAsia" w:ascii="宋体" w:hAnsi="宋体" w:cs="宋体"/>
          <w:b/>
          <w:color w:val="000000" w:themeColor="text1"/>
          <w:sz w:val="36"/>
          <w:szCs w:val="36"/>
          <w14:textFill>
            <w14:solidFill>
              <w14:schemeClr w14:val="tx1"/>
            </w14:solidFill>
          </w14:textFill>
        </w:rPr>
      </w:pPr>
    </w:p>
    <w:p w14:paraId="39E0EA35">
      <w:pPr>
        <w:spacing w:line="420" w:lineRule="exact"/>
        <w:jc w:val="center"/>
        <w:rPr>
          <w:rFonts w:hint="eastAsia" w:ascii="宋体" w:hAnsi="宋体" w:cs="宋体"/>
          <w:b/>
          <w:color w:val="000000" w:themeColor="text1"/>
          <w:sz w:val="36"/>
          <w:szCs w:val="36"/>
          <w14:textFill>
            <w14:solidFill>
              <w14:schemeClr w14:val="tx1"/>
            </w14:solidFill>
          </w14:textFill>
        </w:rPr>
      </w:pPr>
    </w:p>
    <w:p w14:paraId="5FAA3CCE">
      <w:pPr>
        <w:spacing w:line="420" w:lineRule="exact"/>
        <w:jc w:val="center"/>
        <w:rPr>
          <w:rFonts w:hint="eastAsia" w:ascii="宋体" w:hAnsi="宋体" w:cs="宋体"/>
          <w:b/>
          <w:color w:val="000000" w:themeColor="text1"/>
          <w:sz w:val="36"/>
          <w:szCs w:val="36"/>
          <w14:textFill>
            <w14:solidFill>
              <w14:schemeClr w14:val="tx1"/>
            </w14:solidFill>
          </w14:textFill>
        </w:rPr>
      </w:pPr>
    </w:p>
    <w:p w14:paraId="37174882">
      <w:pPr>
        <w:spacing w:line="420" w:lineRule="exact"/>
        <w:jc w:val="center"/>
        <w:rPr>
          <w:rFonts w:hint="eastAsia" w:ascii="宋体" w:hAnsi="宋体" w:cs="宋体"/>
          <w:b/>
          <w:color w:val="000000" w:themeColor="text1"/>
          <w:sz w:val="36"/>
          <w:szCs w:val="36"/>
          <w14:textFill>
            <w14:solidFill>
              <w14:schemeClr w14:val="tx1"/>
            </w14:solidFill>
          </w14:textFill>
        </w:rPr>
      </w:pPr>
    </w:p>
    <w:p w14:paraId="37614ECD">
      <w:pPr>
        <w:spacing w:line="420" w:lineRule="exact"/>
        <w:jc w:val="center"/>
        <w:rPr>
          <w:rFonts w:hint="eastAsia" w:ascii="宋体" w:hAnsi="宋体" w:cs="宋体"/>
          <w:b/>
          <w:color w:val="000000" w:themeColor="text1"/>
          <w:sz w:val="36"/>
          <w:szCs w:val="36"/>
          <w14:textFill>
            <w14:solidFill>
              <w14:schemeClr w14:val="tx1"/>
            </w14:solidFill>
          </w14:textFill>
        </w:rPr>
      </w:pPr>
    </w:p>
    <w:p w14:paraId="18EDC882">
      <w:pPr>
        <w:spacing w:line="420" w:lineRule="exact"/>
        <w:jc w:val="center"/>
        <w:rPr>
          <w:rFonts w:hint="eastAsia" w:ascii="宋体" w:hAnsi="宋体" w:cs="宋体"/>
          <w:b/>
          <w:color w:val="000000" w:themeColor="text1"/>
          <w:sz w:val="36"/>
          <w:szCs w:val="36"/>
          <w14:textFill>
            <w14:solidFill>
              <w14:schemeClr w14:val="tx1"/>
            </w14:solidFill>
          </w14:textFill>
        </w:rPr>
      </w:pPr>
    </w:p>
    <w:p w14:paraId="61A598BE">
      <w:pPr>
        <w:spacing w:line="420" w:lineRule="exact"/>
        <w:jc w:val="center"/>
        <w:rPr>
          <w:rFonts w:hint="eastAsia" w:ascii="宋体" w:hAnsi="宋体" w:cs="宋体"/>
          <w:b/>
          <w:color w:val="000000" w:themeColor="text1"/>
          <w:sz w:val="36"/>
          <w:szCs w:val="36"/>
          <w14:textFill>
            <w14:solidFill>
              <w14:schemeClr w14:val="tx1"/>
            </w14:solidFill>
          </w14:textFill>
        </w:rPr>
      </w:pPr>
    </w:p>
    <w:p w14:paraId="0553C33F">
      <w:pPr>
        <w:spacing w:line="420" w:lineRule="exact"/>
        <w:jc w:val="center"/>
        <w:rPr>
          <w:rFonts w:hint="eastAsia" w:ascii="宋体" w:hAnsi="宋体" w:cs="宋体"/>
          <w:b/>
          <w:color w:val="000000" w:themeColor="text1"/>
          <w:sz w:val="36"/>
          <w:szCs w:val="36"/>
          <w14:textFill>
            <w14:solidFill>
              <w14:schemeClr w14:val="tx1"/>
            </w14:solidFill>
          </w14:textFill>
        </w:rPr>
      </w:pPr>
    </w:p>
    <w:p w14:paraId="04B0DAF7">
      <w:pPr>
        <w:spacing w:line="420" w:lineRule="exact"/>
        <w:jc w:val="center"/>
        <w:rPr>
          <w:rFonts w:hint="eastAsia" w:ascii="宋体" w:hAnsi="宋体" w:cs="宋体"/>
          <w:b/>
          <w:color w:val="000000" w:themeColor="text1"/>
          <w:sz w:val="36"/>
          <w:szCs w:val="36"/>
          <w14:textFill>
            <w14:solidFill>
              <w14:schemeClr w14:val="tx1"/>
            </w14:solidFill>
          </w14:textFill>
        </w:rPr>
      </w:pPr>
    </w:p>
    <w:p w14:paraId="6D8C587C">
      <w:pPr>
        <w:spacing w:line="420" w:lineRule="exact"/>
        <w:jc w:val="center"/>
        <w:rPr>
          <w:rFonts w:ascii="宋体" w:hAnsi="宋体" w:cs="宋体"/>
          <w:b/>
          <w:color w:val="000000" w:themeColor="text1"/>
          <w:sz w:val="36"/>
          <w:szCs w:val="36"/>
          <w14:textFill>
            <w14:solidFill>
              <w14:schemeClr w14:val="tx1"/>
            </w14:solidFill>
          </w14:textFill>
        </w:rPr>
      </w:pPr>
    </w:p>
    <w:p w14:paraId="3BED6E1F">
      <w:pPr>
        <w:pStyle w:val="19"/>
        <w:rPr>
          <w:rFonts w:hint="eastAsia"/>
          <w:color w:val="000000" w:themeColor="text1"/>
          <w14:textFill>
            <w14:solidFill>
              <w14:schemeClr w14:val="tx1"/>
            </w14:solidFill>
          </w14:textFill>
        </w:rPr>
      </w:pPr>
    </w:p>
    <w:p w14:paraId="0ADF6D03">
      <w:pPr>
        <w:pStyle w:val="2"/>
        <w:ind w:firstLine="280"/>
        <w:rPr>
          <w:rFonts w:hint="eastAsia"/>
          <w:color w:val="000000" w:themeColor="text1"/>
          <w14:textFill>
            <w14:solidFill>
              <w14:schemeClr w14:val="tx1"/>
            </w14:solidFill>
          </w14:textFill>
        </w:rPr>
      </w:pPr>
    </w:p>
    <w:p w14:paraId="313FCA81">
      <w:pPr>
        <w:spacing w:line="420" w:lineRule="exact"/>
        <w:jc w:val="center"/>
        <w:rPr>
          <w:rFonts w:hint="eastAsia" w:ascii="宋体" w:hAnsi="宋体" w:cs="宋体"/>
          <w:b/>
          <w:color w:val="000000" w:themeColor="text1"/>
          <w:sz w:val="36"/>
          <w:szCs w:val="36"/>
          <w14:textFill>
            <w14:solidFill>
              <w14:schemeClr w14:val="tx1"/>
            </w14:solidFill>
          </w14:textFill>
        </w:rPr>
      </w:pPr>
    </w:p>
    <w:p w14:paraId="231F6830">
      <w:pPr>
        <w:spacing w:line="420" w:lineRule="exact"/>
        <w:jc w:val="center"/>
        <w:rPr>
          <w:rFonts w:hint="eastAsia" w:ascii="宋体" w:hAnsi="宋体" w:cs="宋体"/>
          <w:b/>
          <w:color w:val="000000" w:themeColor="text1"/>
          <w:sz w:val="36"/>
          <w:szCs w:val="36"/>
          <w14:textFill>
            <w14:solidFill>
              <w14:schemeClr w14:val="tx1"/>
            </w14:solidFill>
          </w14:textFill>
        </w:rPr>
      </w:pPr>
    </w:p>
    <w:p w14:paraId="2AAE7852">
      <w:pPr>
        <w:spacing w:line="420" w:lineRule="exact"/>
        <w:jc w:val="center"/>
        <w:rPr>
          <w:rFonts w:hint="eastAsia" w:ascii="宋体" w:hAnsi="宋体" w:cs="宋体"/>
          <w:b/>
          <w:color w:val="000000" w:themeColor="text1"/>
          <w:sz w:val="36"/>
          <w:szCs w:val="36"/>
          <w14:textFill>
            <w14:solidFill>
              <w14:schemeClr w14:val="tx1"/>
            </w14:solidFill>
          </w14:textFill>
        </w:rPr>
      </w:pPr>
    </w:p>
    <w:p w14:paraId="7BF29537">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第二章 采购需求</w:t>
      </w:r>
    </w:p>
    <w:bookmarkEnd w:id="0"/>
    <w:p w14:paraId="72504AE8">
      <w:pPr>
        <w:keepNext w:val="0"/>
        <w:keepLines w:val="0"/>
        <w:pageBreakBefore w:val="0"/>
        <w:widowControl w:val="0"/>
        <w:kinsoku/>
        <w:wordWrap/>
        <w:overflowPunct/>
        <w:topLinePunct w:val="0"/>
        <w:autoSpaceDE/>
        <w:autoSpaceDN/>
        <w:bidi w:val="0"/>
        <w:snapToGrid/>
        <w:spacing w:line="480" w:lineRule="exact"/>
        <w:jc w:val="left"/>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w:t>
      </w:r>
      <w:r>
        <w:rPr>
          <w:rFonts w:hint="eastAsia" w:ascii="宋体" w:hAnsi="宋体" w:cs="宋体"/>
          <w:b/>
          <w:color w:val="000000" w:themeColor="text1"/>
          <w:sz w:val="24"/>
          <w:lang w:eastAsia="zh-CN"/>
          <w14:textFill>
            <w14:solidFill>
              <w14:schemeClr w14:val="tx1"/>
            </w14:solidFill>
          </w14:textFill>
        </w:rPr>
        <w:t>采购内容</w:t>
      </w:r>
      <w:r>
        <w:rPr>
          <w:rFonts w:hint="eastAsia" w:ascii="宋体" w:hAnsi="宋体" w:cs="宋体"/>
          <w:b/>
          <w:color w:val="000000" w:themeColor="text1"/>
          <w:sz w:val="24"/>
          <w14:textFill>
            <w14:solidFill>
              <w14:schemeClr w14:val="tx1"/>
            </w14:solidFill>
          </w14:textFill>
        </w:rPr>
        <w:t>：</w:t>
      </w:r>
    </w:p>
    <w:p w14:paraId="1EB59DA7">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湖州市殡仪馆配电房变压器增容项目</w:t>
      </w:r>
      <w:r>
        <w:rPr>
          <w:rFonts w:hint="eastAsia" w:ascii="宋体" w:hAnsi="宋体" w:cs="宋体"/>
          <w:color w:val="000000" w:themeColor="text1"/>
          <w:sz w:val="24"/>
          <w14:textFill>
            <w14:solidFill>
              <w14:schemeClr w14:val="tx1"/>
            </w14:solidFill>
          </w14:textFill>
        </w:rPr>
        <w:t>，具体包括原设备材料拆除及搬运、深化设计、新设备材料供货、运输、卸货、安装、调试、试运行、验收、技术服务与培训、备品备件及专用工具的供应、技术资料提交以及质保期内的维修保养等。训、备品备件及专用工具的供应、技术资料提交以及质保期内的维修保养等。原有设备和管线全部拆除后放置在采购人指定位置，不得利旧使用。具体详见本章第三条采购清单。</w:t>
      </w:r>
    </w:p>
    <w:p w14:paraId="7ACFE45C">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二、采购报价</w:t>
      </w:r>
    </w:p>
    <w:p w14:paraId="2DF9C650">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1、本项目的采购报价包括原设备材料拆除及搬运费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新设备材料费、运输和运输保险费、卸货费、安装调试费、施工费（人工费、机械费、材料费、土建费）、试运行费用、验收费、技术服务与培训费、备品备件（含专用工具）</w:t>
      </w:r>
      <w:r>
        <w:rPr>
          <w:rFonts w:hint="eastAsia" w:ascii="宋体" w:hAnsi="宋体" w:eastAsia="宋体" w:cs="宋体"/>
          <w:color w:val="000000" w:themeColor="text1"/>
          <w:sz w:val="24"/>
          <w:shd w:val="clear" w:color="auto" w:fill="auto"/>
          <w:lang w:eastAsia="zh-CN"/>
          <w14:textFill>
            <w14:solidFill>
              <w14:schemeClr w14:val="tx1"/>
            </w14:solidFill>
          </w14:textFill>
        </w:rPr>
        <w:t>费、质保期</w:t>
      </w:r>
      <w:r>
        <w:rPr>
          <w:rFonts w:hint="eastAsia" w:ascii="宋体" w:hAnsi="宋体" w:eastAsia="宋体" w:cs="宋体"/>
          <w:color w:val="000000" w:themeColor="text1"/>
          <w:sz w:val="24"/>
          <w:lang w:eastAsia="zh-CN"/>
          <w14:textFill>
            <w14:solidFill>
              <w14:schemeClr w14:val="tx1"/>
            </w14:solidFill>
          </w14:textFill>
        </w:rPr>
        <w:t>内的维修保养费、规费、税金、利润等完成本项目的所有费用。</w:t>
      </w:r>
    </w:p>
    <w:p w14:paraId="0DB33567">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2、本项目为交钥匙项目，在项目投入正常运行前的一切工作，包括采购文件已提到和采购文件未提到的但因交钥匙项目应该包括的所有工作内容由供应商完成，其费用已含在投标报价中，不得增加。</w:t>
      </w:r>
    </w:p>
    <w:p w14:paraId="21A42DCA">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3、若采购人提出变更，可以根据投标单价按实调整。</w:t>
      </w:r>
      <w:r>
        <w:rPr>
          <w:rFonts w:hint="eastAsia" w:ascii="宋体" w:hAnsi="宋体" w:eastAsia="宋体" w:cs="Times New Roman"/>
          <w:color w:val="000000" w:themeColor="text1"/>
          <w:sz w:val="24"/>
          <w14:textFill>
            <w14:solidFill>
              <w14:schemeClr w14:val="tx1"/>
            </w14:solidFill>
          </w14:textFill>
        </w:rPr>
        <w:t xml:space="preserve"> </w:t>
      </w:r>
    </w:p>
    <w:p w14:paraId="0C2E33D7">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Times New Roman"/>
          <w:b/>
          <w:bCs/>
          <w:color w:val="000000" w:themeColor="text1"/>
          <w:sz w:val="24"/>
          <w:lang w:eastAsia="zh-CN"/>
          <w14:textFill>
            <w14:solidFill>
              <w14:schemeClr w14:val="tx1"/>
            </w14:solidFill>
          </w14:textFill>
        </w:rPr>
        <w:t>三、</w:t>
      </w:r>
      <w:r>
        <w:rPr>
          <w:rFonts w:hint="eastAsia" w:ascii="宋体" w:hAnsi="宋体" w:cs="Times New Roman"/>
          <w:b/>
          <w:bCs/>
          <w:color w:val="000000" w:themeColor="text1"/>
          <w:sz w:val="24"/>
          <w:lang w:eastAsia="zh-CN"/>
          <w14:textFill>
            <w14:solidFill>
              <w14:schemeClr w14:val="tx1"/>
            </w14:solidFill>
          </w14:textFill>
        </w:rPr>
        <w:t>项目</w:t>
      </w:r>
      <w:r>
        <w:rPr>
          <w:rFonts w:hint="eastAsia" w:ascii="宋体" w:hAnsi="宋体" w:eastAsia="宋体" w:cs="Times New Roman"/>
          <w:b/>
          <w:bCs/>
          <w:color w:val="000000" w:themeColor="text1"/>
          <w:sz w:val="24"/>
          <w:lang w:eastAsia="zh-CN"/>
          <w14:textFill>
            <w14:solidFill>
              <w14:schemeClr w14:val="tx1"/>
            </w14:solidFill>
          </w14:textFill>
        </w:rPr>
        <w:t>清单</w:t>
      </w:r>
    </w:p>
    <w:tbl>
      <w:tblPr>
        <w:tblStyle w:val="43"/>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635"/>
        <w:gridCol w:w="5370"/>
        <w:gridCol w:w="810"/>
        <w:gridCol w:w="780"/>
      </w:tblGrid>
      <w:tr w14:paraId="3209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6AB2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A33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项目名称</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75EE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项目特征描述</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0CB0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256D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数量</w:t>
            </w:r>
          </w:p>
        </w:tc>
      </w:tr>
      <w:tr w14:paraId="46BAB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A7B8">
            <w:pPr>
              <w:keepNext w:val="0"/>
              <w:keepLines w:val="0"/>
              <w:widowControl/>
              <w:suppressLineNumbers w:val="0"/>
              <w:jc w:val="center"/>
              <w:textAlignment w:val="center"/>
              <w:rPr>
                <w:rFonts w:ascii="黑体" w:hAnsi="宋体" w:eastAsia="黑体" w:cs="黑体"/>
                <w:i w:val="0"/>
                <w:iCs w:val="0"/>
                <w:color w:val="000000" w:themeColor="text1"/>
                <w:sz w:val="24"/>
                <w:szCs w:val="24"/>
                <w:u w:val="none"/>
                <w14:textFill>
                  <w14:solidFill>
                    <w14:schemeClr w14:val="tx1"/>
                  </w14:solidFill>
                </w14:textFill>
              </w:rPr>
            </w:pPr>
            <w: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t>一</w:t>
            </w:r>
          </w:p>
        </w:tc>
        <w:tc>
          <w:tcPr>
            <w:tcW w:w="85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BCB636">
            <w:pPr>
              <w:keepNext w:val="0"/>
              <w:keepLines w:val="0"/>
              <w:widowControl/>
              <w:suppressLineNumbers w:val="0"/>
              <w:jc w:val="left"/>
              <w:textAlignment w:val="center"/>
              <w:rPr>
                <w:rFonts w:hint="eastAsia" w:ascii="黑体" w:hAnsi="宋体" w:eastAsia="黑体" w:cs="黑体"/>
                <w:i w:val="0"/>
                <w:iCs w:val="0"/>
                <w:color w:val="000000" w:themeColor="text1"/>
                <w:sz w:val="24"/>
                <w:szCs w:val="24"/>
                <w:u w:val="none"/>
                <w14:textFill>
                  <w14:solidFill>
                    <w14:schemeClr w14:val="tx1"/>
                  </w14:solidFill>
                </w14:textFill>
              </w:rPr>
            </w:pPr>
            <w: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t>拆除内容</w:t>
            </w:r>
          </w:p>
        </w:tc>
      </w:tr>
      <w:tr w14:paraId="55D2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C3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E0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互感器</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332A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原有电压互感器拆除</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DB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7A1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53CB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F3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53D3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互感器</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5FA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原有电流互感器拆除</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38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0A2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14:paraId="1C5A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34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447A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干式变压器</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ABF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原有变压器拆除 800kVA（运输至业主指定位置）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31C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56B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479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8A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7AB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低压开关柜(屏)</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C41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原有低压柜拆除（运输至业主指定位置）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999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42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6C8B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CF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543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0.4kV馈线电缆拆除</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136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0.4kV馈线电缆拆除</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90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7E3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23C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86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E9F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高压电缆拆除</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29B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高压电缆拆除</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CE8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A80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234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914F">
            <w:pPr>
              <w:keepNext w:val="0"/>
              <w:keepLines w:val="0"/>
              <w:widowControl/>
              <w:suppressLineNumbers w:val="0"/>
              <w:jc w:val="center"/>
              <w:textAlignment w:val="center"/>
              <w:rPr>
                <w:rFonts w:hint="eastAsia" w:ascii="黑体" w:hAnsi="宋体" w:eastAsia="黑体" w:cs="黑体"/>
                <w:i w:val="0"/>
                <w:iCs w:val="0"/>
                <w:color w:val="000000" w:themeColor="text1"/>
                <w:sz w:val="24"/>
                <w:szCs w:val="24"/>
                <w:u w:val="none"/>
                <w14:textFill>
                  <w14:solidFill>
                    <w14:schemeClr w14:val="tx1"/>
                  </w14:solidFill>
                </w14:textFill>
              </w:rPr>
            </w:pPr>
            <w: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t>二</w:t>
            </w:r>
          </w:p>
        </w:tc>
        <w:tc>
          <w:tcPr>
            <w:tcW w:w="85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3DFF05">
            <w:pPr>
              <w:keepNext w:val="0"/>
              <w:keepLines w:val="0"/>
              <w:widowControl/>
              <w:suppressLineNumbers w:val="0"/>
              <w:jc w:val="left"/>
              <w:textAlignment w:val="center"/>
              <w:rPr>
                <w:rFonts w:hint="eastAsia" w:ascii="黑体" w:hAnsi="宋体" w:eastAsia="黑体" w:cs="黑体"/>
                <w:i w:val="0"/>
                <w:iCs w:val="0"/>
                <w:color w:val="000000" w:themeColor="text1"/>
                <w:sz w:val="24"/>
                <w:szCs w:val="24"/>
                <w:u w:val="none"/>
                <w14:textFill>
                  <w14:solidFill>
                    <w14:schemeClr w14:val="tx1"/>
                  </w14:solidFill>
                </w14:textFill>
              </w:rPr>
            </w:pPr>
            <w: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t>新装变配电</w:t>
            </w:r>
          </w:p>
        </w:tc>
      </w:tr>
      <w:tr w14:paraId="7FDB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FF3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D601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互感器</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D61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电压互感器 10/0.1kV 0.2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A0B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2E5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7985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DC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ABB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互感器</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364C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电流互感器  75/5 0.2S</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D80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9E6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61C3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22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1F7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互感器</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E1D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电流互感器  100/5 0.5/10 P10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9D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31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5059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B7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387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微机保护</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CFC4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微机保护装置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3B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066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38F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20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1C1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直流电源</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964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微信直流操作电源12AH</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77F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B17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A2B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25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812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干式变压器</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942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干式变压器安装</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SCB14-1250kVA</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C1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8DE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7DE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4C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939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带形母线（侧进）</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2288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TMY-3*120*10+80*8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89C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CDC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r>
      <w:tr w14:paraId="3992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91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0F70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电力变压器系统</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068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电力变压器系统调试 10kV以下变压器(容量kV·A下)2000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7A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CE1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5D6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2E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8EB0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低压开关柜(屏)</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4B07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低压柜安装 进线总柜 GGD P1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DE0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7A1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4B0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B7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FD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低压开关柜(屏)</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E56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低压柜安装 馈线柜 GGD P2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F2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1DE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9E5B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00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FAF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低压开关柜(屏)</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36C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低压柜安装 馈线柜 GGD P3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CF7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C53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491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B8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CD4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低压开关柜(屏)</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48D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低压柜安装 馈线柜 GGD P4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DDA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0B0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CB9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34D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3A57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低压开关柜(屏)</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2B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低压柜安装 电容柜 GGJ P5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06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C82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003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14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D8B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送配电装置系统</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07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送配电装置系统调试10kV以下交流供电断路器</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AF3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1DB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37E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DF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2B7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送配电装置系统</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F87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送配电装置系统调试1kV以下交流供电(综合)</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63D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1BE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E6F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DF9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FD8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电缆试验</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78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电缆试验</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B10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8A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841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109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BAF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0.4kV馈线电缆重新接线</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C41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0.4kV馈线电缆重新接线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38E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B90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r>
      <w:tr w14:paraId="17ADE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6A9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7A1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高压电缆重新接线</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3CA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高压电缆重新接线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56E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500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90E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B7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536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安全工器具</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61E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安全工器具</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54A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0D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E2F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45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49CC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模拟图板</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E92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模拟图板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70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CCB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896D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25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7A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挡鼠板</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D40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挡鼠板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AFB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4BD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r>
      <w:tr w14:paraId="5C93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AE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4F9B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电缆沟盖板</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4E3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复合盖板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155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A09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14:paraId="7242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9D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E83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钢板</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7748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设备沟预留位钢板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D7B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DF9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C11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2A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79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水管改造</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EEE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发电机进出水管</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CA6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691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C26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53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757A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防火泥</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30A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防火泥封堵</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685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公斤</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41B9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r>
      <w:tr w14:paraId="0BB5B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F12C">
            <w:pPr>
              <w:keepNext w:val="0"/>
              <w:keepLines w:val="0"/>
              <w:widowControl/>
              <w:suppressLineNumbers w:val="0"/>
              <w:jc w:val="center"/>
              <w:textAlignment w:val="center"/>
              <w:rPr>
                <w:rFonts w:hint="eastAsia" w:ascii="黑体" w:hAnsi="宋体" w:eastAsia="黑体" w:cs="黑体"/>
                <w:i w:val="0"/>
                <w:iCs w:val="0"/>
                <w:color w:val="000000" w:themeColor="text1"/>
                <w:sz w:val="24"/>
                <w:szCs w:val="24"/>
                <w:u w:val="none"/>
                <w14:textFill>
                  <w14:solidFill>
                    <w14:schemeClr w14:val="tx1"/>
                  </w14:solidFill>
                </w14:textFill>
              </w:rPr>
            </w:pPr>
            <w: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t>三</w:t>
            </w:r>
          </w:p>
        </w:tc>
        <w:tc>
          <w:tcPr>
            <w:tcW w:w="85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81516C">
            <w:pPr>
              <w:keepNext w:val="0"/>
              <w:keepLines w:val="0"/>
              <w:widowControl/>
              <w:suppressLineNumbers w:val="0"/>
              <w:jc w:val="left"/>
              <w:textAlignment w:val="center"/>
              <w:rPr>
                <w:rFonts w:hint="eastAsia" w:ascii="黑体" w:hAnsi="宋体" w:eastAsia="黑体" w:cs="黑体"/>
                <w:i w:val="0"/>
                <w:iCs w:val="0"/>
                <w:color w:val="000000" w:themeColor="text1"/>
                <w:sz w:val="24"/>
                <w:szCs w:val="24"/>
                <w:u w:val="none"/>
                <w14:textFill>
                  <w14:solidFill>
                    <w14:schemeClr w14:val="tx1"/>
                  </w14:solidFill>
                </w14:textFill>
              </w:rPr>
            </w:pPr>
            <w: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t>其他</w:t>
            </w:r>
          </w:p>
        </w:tc>
      </w:tr>
      <w:tr w14:paraId="6F6E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EA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26F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措施项目费</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1449B">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包含安全文明施工、供电流程办理等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93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D9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bl>
    <w:p w14:paraId="05556F0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p>
    <w:tbl>
      <w:tblPr>
        <w:tblStyle w:val="43"/>
        <w:tblW w:w="9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99"/>
      </w:tblGrid>
      <w:tr w14:paraId="2301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9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F064">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参考品牌（厂家）</w:t>
            </w:r>
          </w:p>
        </w:tc>
      </w:tr>
      <w:tr w14:paraId="0A78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5500">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1、变压器：科润智能、江变科技、吴江</w:t>
            </w:r>
          </w:p>
        </w:tc>
      </w:tr>
      <w:tr w14:paraId="4396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7F15">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2、电容电抗：苏州苏容、杭州皓特、宁波鼎诺</w:t>
            </w:r>
          </w:p>
        </w:tc>
      </w:tr>
      <w:tr w14:paraId="0BCAA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4FA8">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3、低压断路器（含塑壳）：常熟开关、上海人民（上联）</w:t>
            </w:r>
            <w:r>
              <w:rPr>
                <w:rFonts w:hint="eastAsia" w:ascii="宋体" w:hAnsi="宋体" w:cs="宋体"/>
                <w:b w:val="0"/>
                <w:bCs w:val="0"/>
                <w:i w:val="0"/>
                <w:iCs w:val="0"/>
                <w:color w:val="000000" w:themeColor="text1"/>
                <w:kern w:val="0"/>
                <w:sz w:val="24"/>
                <w:szCs w:val="24"/>
                <w:u w:val="none"/>
                <w:lang w:val="en-US" w:eastAsia="zh-CN" w:bidi="ar"/>
                <w14:textFill>
                  <w14:solidFill>
                    <w14:schemeClr w14:val="tx1"/>
                  </w14:solidFill>
                </w14:textFill>
              </w:rPr>
              <w:t>、海格电气（惠州）</w:t>
            </w:r>
          </w:p>
        </w:tc>
      </w:tr>
      <w:tr w14:paraId="602C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5FA1">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4、高（低）压成套柜、箱变：浙江沪升电气、浙江泰伦电力、湖州吉泰电力</w:t>
            </w:r>
          </w:p>
        </w:tc>
      </w:tr>
    </w:tbl>
    <w:p w14:paraId="0DEBE28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备注：</w:t>
      </w:r>
    </w:p>
    <w:p w14:paraId="03F40B3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1、供应商按照采购人提供的图纸及要求进行安装施工。</w:t>
      </w:r>
    </w:p>
    <w:p w14:paraId="7A24722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上述材料设备清单项目及数量仅供参考，供应商须按照采购文件的要求进行深化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bCs/>
          <w:snapToGrid w:val="0"/>
          <w:color w:val="000000" w:themeColor="text1"/>
          <w:kern w:val="28"/>
          <w:sz w:val="24"/>
          <w14:textFill>
            <w14:solidFill>
              <w14:schemeClr w14:val="tx1"/>
            </w14:solidFill>
          </w14:textFill>
        </w:rPr>
        <w:t>并根据本采购文件和现场情况</w:t>
      </w:r>
      <w:r>
        <w:rPr>
          <w:rFonts w:hint="eastAsia" w:ascii="宋体" w:hAnsi="宋体" w:cs="宋体"/>
          <w:bCs/>
          <w:snapToGrid w:val="0"/>
          <w:color w:val="000000" w:themeColor="text1"/>
          <w:kern w:val="28"/>
          <w:sz w:val="24"/>
          <w:lang w:eastAsia="zh-CN"/>
          <w14:textFill>
            <w14:solidFill>
              <w14:schemeClr w14:val="tx1"/>
            </w14:solidFill>
          </w14:textFill>
        </w:rPr>
        <w:t>等</w:t>
      </w:r>
      <w:r>
        <w:rPr>
          <w:rFonts w:hint="eastAsia" w:ascii="宋体" w:hAnsi="宋体" w:eastAsia="宋体" w:cs="宋体"/>
          <w:bCs/>
          <w:snapToGrid w:val="0"/>
          <w:color w:val="000000" w:themeColor="text1"/>
          <w:kern w:val="28"/>
          <w:sz w:val="24"/>
          <w14:textFill>
            <w14:solidFill>
              <w14:schemeClr w14:val="tx1"/>
            </w14:solidFill>
          </w14:textFill>
        </w:rPr>
        <w:t>自行计算工程量，工程量不得少于上表数量，并承担风险，</w:t>
      </w:r>
      <w:r>
        <w:rPr>
          <w:rFonts w:hint="eastAsia" w:ascii="宋体" w:hAnsi="宋体" w:eastAsia="宋体" w:cs="宋体"/>
          <w:color w:val="000000" w:themeColor="text1"/>
          <w:sz w:val="24"/>
          <w14:textFill>
            <w14:solidFill>
              <w14:schemeClr w14:val="tx1"/>
            </w14:solidFill>
          </w14:textFill>
        </w:rPr>
        <w:t>据此进行报价，采购报价即为交钥匙项目价格。若采购人不变更，供应商不得以任何理由要求调整价格。若采购人提出变更，则按合同单价进行调整。</w:t>
      </w:r>
    </w:p>
    <w:p w14:paraId="3734E8D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3</w:t>
      </w:r>
      <w:r>
        <w:rPr>
          <w:rFonts w:hint="eastAsia" w:ascii="宋体" w:hAnsi="宋体" w:eastAsia="宋体" w:cs="宋体"/>
          <w:b/>
          <w:bCs/>
          <w:color w:val="000000" w:themeColor="text1"/>
          <w:sz w:val="24"/>
          <w:lang w:val="en-US" w:eastAsia="zh-CN"/>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供应商</w:t>
      </w:r>
      <w:r>
        <w:rPr>
          <w:rFonts w:hint="eastAsia" w:ascii="宋体" w:hAnsi="宋体" w:eastAsia="宋体" w:cs="宋体"/>
          <w:b/>
          <w:bCs/>
          <w:color w:val="000000" w:themeColor="text1"/>
          <w:sz w:val="24"/>
          <w:lang w:val="en-US" w:eastAsia="zh-CN"/>
          <w14:textFill>
            <w14:solidFill>
              <w14:schemeClr w14:val="tx1"/>
            </w14:solidFill>
          </w14:textFill>
        </w:rPr>
        <w:t>可根据发包人推荐的参考品牌进行报价，同时也欢迎同档次或优于参考的品牌进行报价并提供相关的证明材料</w:t>
      </w:r>
      <w:r>
        <w:rPr>
          <w:rFonts w:hint="eastAsia" w:ascii="宋体" w:hAnsi="宋体" w:cs="宋体"/>
          <w:b/>
          <w:bCs/>
          <w:color w:val="000000" w:themeColor="text1"/>
          <w:sz w:val="24"/>
          <w:lang w:val="en-US" w:eastAsia="zh-CN"/>
          <w14:textFill>
            <w14:solidFill>
              <w14:schemeClr w14:val="tx1"/>
            </w14:solidFill>
          </w14:textFill>
        </w:rPr>
        <w:t>。</w:t>
      </w:r>
    </w:p>
    <w:p w14:paraId="56FECF4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cs="宋体"/>
          <w:b/>
          <w:color w:val="000000" w:themeColor="text1"/>
          <w:sz w:val="24"/>
          <w:lang w:eastAsia="zh-CN"/>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四、</w:t>
      </w:r>
      <w:r>
        <w:rPr>
          <w:rFonts w:hint="eastAsia" w:ascii="宋体" w:hAnsi="宋体" w:cs="宋体"/>
          <w:b/>
          <w:color w:val="000000" w:themeColor="text1"/>
          <w:sz w:val="24"/>
          <w:lang w:eastAsia="zh-CN"/>
          <w14:textFill>
            <w14:solidFill>
              <w14:schemeClr w14:val="tx1"/>
            </w14:solidFill>
          </w14:textFill>
        </w:rPr>
        <w:t>技术要求</w:t>
      </w:r>
    </w:p>
    <w:p w14:paraId="45490D2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cs="宋体"/>
          <w:b/>
          <w:bCs w:val="0"/>
          <w:color w:val="000000" w:themeColor="text1"/>
          <w:sz w:val="24"/>
          <w14:textFill>
            <w14:solidFill>
              <w14:schemeClr w14:val="tx1"/>
            </w14:solidFill>
          </w14:textFill>
        </w:rPr>
      </w:pPr>
      <w:r>
        <w:rPr>
          <w:rFonts w:hint="eastAsia" w:ascii="宋体" w:hAnsi="宋体" w:cs="宋体"/>
          <w:b/>
          <w:bCs w:val="0"/>
          <w:color w:val="000000" w:themeColor="text1"/>
          <w:sz w:val="24"/>
          <w:lang w:val="en-US" w:eastAsia="zh-CN"/>
          <w14:textFill>
            <w14:solidFill>
              <w14:schemeClr w14:val="tx1"/>
            </w14:solidFill>
          </w14:textFill>
        </w:rPr>
        <w:t>1.</w:t>
      </w:r>
      <w:r>
        <w:rPr>
          <w:rFonts w:hint="eastAsia" w:ascii="宋体" w:hAnsi="宋体" w:cs="宋体"/>
          <w:b/>
          <w:bCs w:val="0"/>
          <w:color w:val="000000" w:themeColor="text1"/>
          <w:sz w:val="24"/>
          <w14:textFill>
            <w14:solidFill>
              <w14:schemeClr w14:val="tx1"/>
            </w14:solidFill>
          </w14:textFill>
        </w:rPr>
        <w:t>低压开关柜及主要元器件参数及技术要求</w:t>
      </w:r>
    </w:p>
    <w:p w14:paraId="6B34D49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宋体" w:hAnsi="宋体" w:eastAsia="宋体" w:cs="宋体"/>
          <w:b/>
          <w:bCs w:val="0"/>
          <w:color w:val="000000" w:themeColor="text1"/>
          <w:sz w:val="24"/>
          <w:lang w:val="en-US" w:eastAsia="zh-CN"/>
          <w14:textFill>
            <w14:solidFill>
              <w14:schemeClr w14:val="tx1"/>
            </w14:solidFill>
          </w14:textFill>
        </w:rPr>
      </w:pPr>
      <w:r>
        <w:rPr>
          <w:rFonts w:hint="eastAsia" w:ascii="宋体" w:hAnsi="宋体" w:cs="宋体"/>
          <w:b/>
          <w:bCs w:val="0"/>
          <w:color w:val="000000" w:themeColor="text1"/>
          <w:sz w:val="24"/>
          <w:lang w:val="en-US" w:eastAsia="zh-CN"/>
          <w14:textFill>
            <w14:solidFill>
              <w14:schemeClr w14:val="tx1"/>
            </w14:solidFill>
          </w14:textFill>
        </w:rPr>
        <w:t>1.1铜母排</w:t>
      </w:r>
    </w:p>
    <w:tbl>
      <w:tblPr>
        <w:tblStyle w:val="4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576"/>
        <w:gridCol w:w="4056"/>
      </w:tblGrid>
      <w:tr w14:paraId="5932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7364030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序号</w:t>
            </w:r>
          </w:p>
        </w:tc>
        <w:tc>
          <w:tcPr>
            <w:tcW w:w="3576" w:type="dxa"/>
            <w:noWrap w:val="0"/>
            <w:vAlign w:val="top"/>
          </w:tcPr>
          <w:p w14:paraId="60FB77DF">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w:t>
            </w:r>
          </w:p>
        </w:tc>
        <w:tc>
          <w:tcPr>
            <w:tcW w:w="4056" w:type="dxa"/>
            <w:noWrap w:val="0"/>
            <w:vAlign w:val="top"/>
          </w:tcPr>
          <w:p w14:paraId="60DF1005">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内容</w:t>
            </w:r>
          </w:p>
        </w:tc>
      </w:tr>
      <w:tr w14:paraId="0142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96" w:type="dxa"/>
            <w:noWrap w:val="0"/>
            <w:vAlign w:val="top"/>
          </w:tcPr>
          <w:p w14:paraId="00E3C458">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3576" w:type="dxa"/>
            <w:noWrap w:val="0"/>
            <w:vAlign w:val="top"/>
          </w:tcPr>
          <w:p w14:paraId="4490C62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柜型</w:t>
            </w:r>
          </w:p>
        </w:tc>
        <w:tc>
          <w:tcPr>
            <w:tcW w:w="4056" w:type="dxa"/>
            <w:noWrap w:val="0"/>
            <w:vAlign w:val="top"/>
          </w:tcPr>
          <w:p w14:paraId="231C0300">
            <w:pPr>
              <w:adjustRightInd w:val="0"/>
              <w:spacing w:line="5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GGD (主母线顶置，馈线下出线)</w:t>
            </w:r>
          </w:p>
        </w:tc>
      </w:tr>
      <w:tr w14:paraId="4F28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1BA7175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3576" w:type="dxa"/>
            <w:noWrap w:val="0"/>
            <w:vAlign w:val="top"/>
          </w:tcPr>
          <w:p w14:paraId="2DD42E0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配电系统方式</w:t>
            </w:r>
          </w:p>
        </w:tc>
        <w:tc>
          <w:tcPr>
            <w:tcW w:w="4056" w:type="dxa"/>
            <w:noWrap w:val="0"/>
            <w:vAlign w:val="top"/>
          </w:tcPr>
          <w:p w14:paraId="7339752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TN-S母线（独立的N线和PE线）</w:t>
            </w:r>
          </w:p>
        </w:tc>
      </w:tr>
      <w:tr w14:paraId="7A1A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3D3ECDC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3576" w:type="dxa"/>
            <w:noWrap w:val="0"/>
            <w:vAlign w:val="top"/>
          </w:tcPr>
          <w:p w14:paraId="5D69407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主电路额定工作电压</w:t>
            </w:r>
          </w:p>
        </w:tc>
        <w:tc>
          <w:tcPr>
            <w:tcW w:w="4056" w:type="dxa"/>
            <w:noWrap w:val="0"/>
            <w:vAlign w:val="top"/>
          </w:tcPr>
          <w:p w14:paraId="01D7C92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AC 400V</w:t>
            </w:r>
          </w:p>
        </w:tc>
      </w:tr>
      <w:tr w14:paraId="1C9A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6C10C05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p>
        </w:tc>
        <w:tc>
          <w:tcPr>
            <w:tcW w:w="3576" w:type="dxa"/>
            <w:noWrap w:val="0"/>
            <w:vAlign w:val="top"/>
          </w:tcPr>
          <w:p w14:paraId="5E18D69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额定绝缘电压</w:t>
            </w:r>
          </w:p>
        </w:tc>
        <w:tc>
          <w:tcPr>
            <w:tcW w:w="4056" w:type="dxa"/>
            <w:noWrap w:val="0"/>
            <w:vAlign w:val="top"/>
          </w:tcPr>
          <w:p w14:paraId="7A197AD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AC 690V</w:t>
            </w:r>
          </w:p>
        </w:tc>
      </w:tr>
      <w:tr w14:paraId="5E8F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08184FA8">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p>
        </w:tc>
        <w:tc>
          <w:tcPr>
            <w:tcW w:w="3576" w:type="dxa"/>
            <w:noWrap w:val="0"/>
            <w:vAlign w:val="top"/>
          </w:tcPr>
          <w:p w14:paraId="03C5BFC1">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额定频率</w:t>
            </w:r>
          </w:p>
        </w:tc>
        <w:tc>
          <w:tcPr>
            <w:tcW w:w="4056" w:type="dxa"/>
            <w:noWrap w:val="0"/>
            <w:vAlign w:val="top"/>
          </w:tcPr>
          <w:p w14:paraId="691F71DF">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50Hz</w:t>
            </w:r>
          </w:p>
        </w:tc>
      </w:tr>
      <w:tr w14:paraId="7A0F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772DD3FF">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w:t>
            </w:r>
          </w:p>
        </w:tc>
        <w:tc>
          <w:tcPr>
            <w:tcW w:w="3576" w:type="dxa"/>
            <w:noWrap w:val="0"/>
            <w:vAlign w:val="top"/>
          </w:tcPr>
          <w:p w14:paraId="221D151F">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系统接地方式</w:t>
            </w:r>
          </w:p>
        </w:tc>
        <w:tc>
          <w:tcPr>
            <w:tcW w:w="4056" w:type="dxa"/>
            <w:noWrap w:val="0"/>
            <w:vAlign w:val="top"/>
          </w:tcPr>
          <w:p w14:paraId="5D8EBB31">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中性点直接接地</w:t>
            </w:r>
          </w:p>
        </w:tc>
      </w:tr>
      <w:tr w14:paraId="2C2B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71C66F5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w:t>
            </w:r>
          </w:p>
        </w:tc>
        <w:tc>
          <w:tcPr>
            <w:tcW w:w="3576" w:type="dxa"/>
            <w:noWrap w:val="0"/>
            <w:vAlign w:val="top"/>
          </w:tcPr>
          <w:p w14:paraId="69922EA8">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主母线最大工作电流</w:t>
            </w:r>
          </w:p>
        </w:tc>
        <w:tc>
          <w:tcPr>
            <w:tcW w:w="4056" w:type="dxa"/>
            <w:noWrap w:val="0"/>
            <w:vAlign w:val="top"/>
          </w:tcPr>
          <w:p w14:paraId="187FAF2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2500A</w:t>
            </w:r>
          </w:p>
        </w:tc>
      </w:tr>
      <w:tr w14:paraId="2F96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7C53F9C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w:t>
            </w:r>
          </w:p>
        </w:tc>
        <w:tc>
          <w:tcPr>
            <w:tcW w:w="3576" w:type="dxa"/>
            <w:noWrap w:val="0"/>
            <w:vAlign w:val="top"/>
          </w:tcPr>
          <w:p w14:paraId="5C0A990C">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配电母线最大工作电流</w:t>
            </w:r>
          </w:p>
        </w:tc>
        <w:tc>
          <w:tcPr>
            <w:tcW w:w="4056" w:type="dxa"/>
            <w:noWrap w:val="0"/>
            <w:vAlign w:val="top"/>
          </w:tcPr>
          <w:p w14:paraId="4A7E457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1600A</w:t>
            </w:r>
          </w:p>
        </w:tc>
      </w:tr>
      <w:tr w14:paraId="780A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1945E80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w:t>
            </w:r>
          </w:p>
        </w:tc>
        <w:tc>
          <w:tcPr>
            <w:tcW w:w="3576" w:type="dxa"/>
            <w:noWrap w:val="0"/>
            <w:vAlign w:val="top"/>
          </w:tcPr>
          <w:p w14:paraId="56F0853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主母线额定短时耐受电流（3s）</w:t>
            </w:r>
          </w:p>
        </w:tc>
        <w:tc>
          <w:tcPr>
            <w:tcW w:w="4056" w:type="dxa"/>
            <w:noWrap w:val="0"/>
            <w:vAlign w:val="top"/>
          </w:tcPr>
          <w:p w14:paraId="6523E1D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65kA</w:t>
            </w:r>
          </w:p>
        </w:tc>
      </w:tr>
      <w:tr w14:paraId="31EE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1D001EB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w:t>
            </w:r>
          </w:p>
        </w:tc>
        <w:tc>
          <w:tcPr>
            <w:tcW w:w="3576" w:type="dxa"/>
            <w:noWrap w:val="0"/>
            <w:vAlign w:val="top"/>
          </w:tcPr>
          <w:p w14:paraId="66258F8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主母线额定峰值耐受电流</w:t>
            </w:r>
          </w:p>
        </w:tc>
        <w:tc>
          <w:tcPr>
            <w:tcW w:w="4056" w:type="dxa"/>
            <w:noWrap w:val="0"/>
            <w:vAlign w:val="top"/>
          </w:tcPr>
          <w:p w14:paraId="7533AB2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85kA</w:t>
            </w:r>
          </w:p>
        </w:tc>
      </w:tr>
      <w:tr w14:paraId="49B7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6BA2E7F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w:t>
            </w:r>
          </w:p>
        </w:tc>
        <w:tc>
          <w:tcPr>
            <w:tcW w:w="3576" w:type="dxa"/>
            <w:noWrap w:val="0"/>
            <w:vAlign w:val="top"/>
          </w:tcPr>
          <w:p w14:paraId="16C632E1">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辅助回路的额定电压</w:t>
            </w:r>
          </w:p>
        </w:tc>
        <w:tc>
          <w:tcPr>
            <w:tcW w:w="4056" w:type="dxa"/>
            <w:noWrap w:val="0"/>
            <w:vAlign w:val="top"/>
          </w:tcPr>
          <w:p w14:paraId="1B7C180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AC220V</w:t>
            </w:r>
          </w:p>
        </w:tc>
      </w:tr>
      <w:tr w14:paraId="6187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37A31D3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w:t>
            </w:r>
          </w:p>
        </w:tc>
        <w:tc>
          <w:tcPr>
            <w:tcW w:w="3576" w:type="dxa"/>
            <w:noWrap w:val="0"/>
            <w:vAlign w:val="top"/>
          </w:tcPr>
          <w:p w14:paraId="29F97ED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电气间隙</w:t>
            </w:r>
          </w:p>
        </w:tc>
        <w:tc>
          <w:tcPr>
            <w:tcW w:w="4056" w:type="dxa"/>
            <w:noWrap w:val="0"/>
            <w:vAlign w:val="top"/>
          </w:tcPr>
          <w:p w14:paraId="3C21728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14mm</w:t>
            </w:r>
          </w:p>
        </w:tc>
      </w:tr>
      <w:tr w14:paraId="4C17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4CFE66F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14</w:t>
            </w:r>
          </w:p>
        </w:tc>
        <w:tc>
          <w:tcPr>
            <w:tcW w:w="3576" w:type="dxa"/>
            <w:noWrap w:val="0"/>
            <w:vAlign w:val="top"/>
          </w:tcPr>
          <w:p w14:paraId="54378A3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爬电距离</w:t>
            </w:r>
          </w:p>
        </w:tc>
        <w:tc>
          <w:tcPr>
            <w:tcW w:w="4056" w:type="dxa"/>
            <w:noWrap w:val="0"/>
            <w:vAlign w:val="top"/>
          </w:tcPr>
          <w:p w14:paraId="56D1A4F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16mm</w:t>
            </w:r>
          </w:p>
        </w:tc>
      </w:tr>
      <w:tr w14:paraId="1C13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41CE821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w:t>
            </w:r>
          </w:p>
        </w:tc>
        <w:tc>
          <w:tcPr>
            <w:tcW w:w="3576" w:type="dxa"/>
            <w:noWrap w:val="0"/>
            <w:vAlign w:val="top"/>
          </w:tcPr>
          <w:p w14:paraId="62735A78">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工频耐压</w:t>
            </w:r>
          </w:p>
        </w:tc>
        <w:tc>
          <w:tcPr>
            <w:tcW w:w="4056" w:type="dxa"/>
            <w:noWrap w:val="0"/>
            <w:vAlign w:val="top"/>
          </w:tcPr>
          <w:p w14:paraId="54A7309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2.5kv      50Hz      1分钟</w:t>
            </w:r>
          </w:p>
        </w:tc>
      </w:tr>
      <w:tr w14:paraId="37C5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33A89F3B">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16</w:t>
            </w:r>
          </w:p>
        </w:tc>
        <w:tc>
          <w:tcPr>
            <w:tcW w:w="3576" w:type="dxa"/>
            <w:noWrap w:val="0"/>
            <w:vAlign w:val="top"/>
          </w:tcPr>
          <w:p w14:paraId="5295979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冲击耐受电压</w:t>
            </w:r>
          </w:p>
        </w:tc>
        <w:tc>
          <w:tcPr>
            <w:tcW w:w="4056" w:type="dxa"/>
            <w:noWrap w:val="0"/>
            <w:vAlign w:val="top"/>
          </w:tcPr>
          <w:p w14:paraId="59D28EE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8kV</w:t>
            </w:r>
          </w:p>
        </w:tc>
      </w:tr>
      <w:tr w14:paraId="5A2F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33270D6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17</w:t>
            </w:r>
          </w:p>
        </w:tc>
        <w:tc>
          <w:tcPr>
            <w:tcW w:w="3576" w:type="dxa"/>
            <w:noWrap w:val="0"/>
            <w:vAlign w:val="top"/>
          </w:tcPr>
          <w:p w14:paraId="1DE7A6D5">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温升</w:t>
            </w:r>
          </w:p>
        </w:tc>
        <w:tc>
          <w:tcPr>
            <w:tcW w:w="4056" w:type="dxa"/>
            <w:noWrap w:val="0"/>
            <w:vAlign w:val="top"/>
          </w:tcPr>
          <w:p w14:paraId="536AC32F">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按IEC947-1、GB7251-87的有关规定</w:t>
            </w:r>
          </w:p>
        </w:tc>
      </w:tr>
      <w:tr w14:paraId="28D0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top"/>
          </w:tcPr>
          <w:p w14:paraId="373EA43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18</w:t>
            </w:r>
          </w:p>
        </w:tc>
        <w:tc>
          <w:tcPr>
            <w:tcW w:w="3576" w:type="dxa"/>
            <w:noWrap w:val="0"/>
            <w:vAlign w:val="top"/>
          </w:tcPr>
          <w:p w14:paraId="3B0F1A4F">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操作控制方式</w:t>
            </w:r>
          </w:p>
        </w:tc>
        <w:tc>
          <w:tcPr>
            <w:tcW w:w="4056" w:type="dxa"/>
            <w:noWrap w:val="0"/>
            <w:vAlign w:val="top"/>
          </w:tcPr>
          <w:p w14:paraId="6099F79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手动、自动两种控制方式</w:t>
            </w:r>
          </w:p>
        </w:tc>
      </w:tr>
    </w:tbl>
    <w:p w14:paraId="2CA841E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全新优质紫铜母排，优质电解铜排（T2型）,铜纯度达99.99%,导电率不低于97%。</w:t>
      </w:r>
    </w:p>
    <w:p w14:paraId="4532200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2低压开关柜继电保护装置及其他功能</w:t>
      </w:r>
    </w:p>
    <w:p w14:paraId="47CF845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3低压交流框架式断路器型号</w:t>
      </w:r>
    </w:p>
    <w:p w14:paraId="77CAB0A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3.1所有进出线断路器均选三极。断路器应采用现场可调型，可调范围宽阔，可调参数包含：长延时的时间和倍数，短延时的时间和倍数，速断的倍数等。</w:t>
      </w:r>
    </w:p>
    <w:p w14:paraId="3FAB510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3.2在2000A以下（含2000A）,当用电情况作重大修改时,更换断路器不能对开关柜有影响。</w:t>
      </w:r>
    </w:p>
    <w:p w14:paraId="5921B3A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3.3为减少备品备件的数量，断路器内的常用部件要求各规格可互换。常用部件至少包含：脱扣器、合闸线圈、分励线圈、各种辅助触点。</w:t>
      </w:r>
    </w:p>
    <w:p w14:paraId="16F2ECA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3.4断路器应为模块化设计，增加或取消部分功能时，仅在内部进行，不应影响开关柜。</w:t>
      </w:r>
    </w:p>
    <w:p w14:paraId="3743CBA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3.5断路器必须是抗湿热产品；环境温度50℃，95%相对湿度不降容。</w:t>
      </w:r>
    </w:p>
    <w:p w14:paraId="71B44E0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3.6低压交流框架断路器应满足的主要性能及参数</w:t>
      </w:r>
    </w:p>
    <w:tbl>
      <w:tblPr>
        <w:tblStyle w:val="43"/>
        <w:tblW w:w="8937" w:type="dxa"/>
        <w:jc w:val="center"/>
        <w:tblLayout w:type="fixed"/>
        <w:tblCellMar>
          <w:top w:w="0" w:type="dxa"/>
          <w:left w:w="30" w:type="dxa"/>
          <w:bottom w:w="0" w:type="dxa"/>
          <w:right w:w="30" w:type="dxa"/>
        </w:tblCellMar>
      </w:tblPr>
      <w:tblGrid>
        <w:gridCol w:w="3976"/>
        <w:gridCol w:w="1864"/>
        <w:gridCol w:w="508"/>
        <w:gridCol w:w="850"/>
        <w:gridCol w:w="1739"/>
      </w:tblGrid>
      <w:tr w14:paraId="089B9DAD">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6" w:space="0"/>
            </w:tcBorders>
            <w:noWrap w:val="0"/>
            <w:vAlign w:val="top"/>
          </w:tcPr>
          <w:p w14:paraId="373511B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用途</w:t>
            </w:r>
          </w:p>
        </w:tc>
        <w:tc>
          <w:tcPr>
            <w:tcW w:w="1864" w:type="dxa"/>
            <w:tcBorders>
              <w:top w:val="single" w:color="auto" w:sz="6" w:space="0"/>
              <w:left w:val="single" w:color="auto" w:sz="6" w:space="0"/>
              <w:bottom w:val="single" w:color="auto" w:sz="6" w:space="0"/>
              <w:right w:val="single" w:color="auto" w:sz="6" w:space="0"/>
            </w:tcBorders>
            <w:noWrap w:val="0"/>
            <w:vAlign w:val="top"/>
          </w:tcPr>
          <w:p w14:paraId="66C981B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馈线</w:t>
            </w:r>
          </w:p>
        </w:tc>
        <w:tc>
          <w:tcPr>
            <w:tcW w:w="1358" w:type="dxa"/>
            <w:gridSpan w:val="2"/>
            <w:tcBorders>
              <w:top w:val="single" w:color="auto" w:sz="6" w:space="0"/>
              <w:left w:val="single" w:color="auto" w:sz="6" w:space="0"/>
              <w:bottom w:val="single" w:color="auto" w:sz="6" w:space="0"/>
              <w:right w:val="single" w:color="auto" w:sz="6" w:space="0"/>
            </w:tcBorders>
            <w:noWrap w:val="0"/>
            <w:vAlign w:val="top"/>
          </w:tcPr>
          <w:p w14:paraId="1EB50D6E">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备用进线</w:t>
            </w:r>
          </w:p>
        </w:tc>
        <w:tc>
          <w:tcPr>
            <w:tcW w:w="1739" w:type="dxa"/>
            <w:tcBorders>
              <w:top w:val="single" w:color="auto" w:sz="6" w:space="0"/>
              <w:left w:val="single" w:color="auto" w:sz="6" w:space="0"/>
              <w:bottom w:val="single" w:color="auto" w:sz="6" w:space="0"/>
              <w:right w:val="single" w:color="auto" w:sz="6" w:space="0"/>
            </w:tcBorders>
            <w:noWrap w:val="0"/>
            <w:vAlign w:val="top"/>
          </w:tcPr>
          <w:p w14:paraId="49C88F78">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进线</w:t>
            </w:r>
          </w:p>
        </w:tc>
      </w:tr>
      <w:tr w14:paraId="4A1974AD">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6" w:space="0"/>
            </w:tcBorders>
            <w:noWrap w:val="0"/>
            <w:vAlign w:val="top"/>
          </w:tcPr>
          <w:p w14:paraId="1F360FE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框架等级额定电流Inm(A)</w:t>
            </w:r>
          </w:p>
        </w:tc>
        <w:tc>
          <w:tcPr>
            <w:tcW w:w="1864" w:type="dxa"/>
            <w:tcBorders>
              <w:top w:val="single" w:color="auto" w:sz="6" w:space="0"/>
              <w:left w:val="single" w:color="auto" w:sz="6" w:space="0"/>
              <w:bottom w:val="single" w:color="auto" w:sz="6" w:space="0"/>
              <w:right w:val="single" w:color="auto" w:sz="6" w:space="0"/>
            </w:tcBorders>
            <w:noWrap w:val="0"/>
            <w:vAlign w:val="top"/>
          </w:tcPr>
          <w:p w14:paraId="2048466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无</w:t>
            </w:r>
          </w:p>
        </w:tc>
        <w:tc>
          <w:tcPr>
            <w:tcW w:w="1358" w:type="dxa"/>
            <w:gridSpan w:val="2"/>
            <w:tcBorders>
              <w:top w:val="single" w:color="auto" w:sz="6" w:space="0"/>
              <w:left w:val="single" w:color="auto" w:sz="6" w:space="0"/>
              <w:bottom w:val="single" w:color="auto" w:sz="6" w:space="0"/>
              <w:right w:val="single" w:color="auto" w:sz="6" w:space="0"/>
            </w:tcBorders>
            <w:noWrap w:val="0"/>
            <w:vAlign w:val="top"/>
          </w:tcPr>
          <w:p w14:paraId="035E2BF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1250</w:t>
            </w:r>
          </w:p>
        </w:tc>
        <w:tc>
          <w:tcPr>
            <w:tcW w:w="1739" w:type="dxa"/>
            <w:tcBorders>
              <w:top w:val="single" w:color="auto" w:sz="6" w:space="0"/>
              <w:left w:val="single" w:color="auto" w:sz="6" w:space="0"/>
              <w:bottom w:val="single" w:color="auto" w:sz="6" w:space="0"/>
              <w:right w:val="single" w:color="auto" w:sz="6" w:space="0"/>
            </w:tcBorders>
            <w:noWrap w:val="0"/>
            <w:vAlign w:val="top"/>
          </w:tcPr>
          <w:p w14:paraId="1BA9BAF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2500</w:t>
            </w:r>
          </w:p>
        </w:tc>
      </w:tr>
      <w:tr w14:paraId="79CF839A">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6" w:space="0"/>
            </w:tcBorders>
            <w:noWrap w:val="0"/>
            <w:vAlign w:val="top"/>
          </w:tcPr>
          <w:p w14:paraId="473E54E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额定电流In </w:t>
            </w:r>
          </w:p>
        </w:tc>
        <w:tc>
          <w:tcPr>
            <w:tcW w:w="1864" w:type="dxa"/>
            <w:tcBorders>
              <w:top w:val="single" w:color="auto" w:sz="6" w:space="0"/>
              <w:left w:val="single" w:color="auto" w:sz="6" w:space="0"/>
              <w:bottom w:val="single" w:color="auto" w:sz="6" w:space="0"/>
              <w:right w:val="single" w:color="auto" w:sz="6" w:space="0"/>
            </w:tcBorders>
            <w:noWrap w:val="0"/>
            <w:vAlign w:val="top"/>
          </w:tcPr>
          <w:p w14:paraId="6679979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无</w:t>
            </w:r>
          </w:p>
        </w:tc>
        <w:tc>
          <w:tcPr>
            <w:tcW w:w="1358" w:type="dxa"/>
            <w:gridSpan w:val="2"/>
            <w:tcBorders>
              <w:top w:val="single" w:color="auto" w:sz="6" w:space="0"/>
              <w:left w:val="single" w:color="auto" w:sz="6" w:space="0"/>
              <w:bottom w:val="single" w:color="auto" w:sz="6" w:space="0"/>
              <w:right w:val="single" w:color="auto" w:sz="6" w:space="0"/>
            </w:tcBorders>
            <w:noWrap w:val="0"/>
            <w:vAlign w:val="top"/>
          </w:tcPr>
          <w:p w14:paraId="06BE5C98">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1250</w:t>
            </w:r>
          </w:p>
        </w:tc>
        <w:tc>
          <w:tcPr>
            <w:tcW w:w="1739" w:type="dxa"/>
            <w:tcBorders>
              <w:top w:val="single" w:color="auto" w:sz="6" w:space="0"/>
              <w:left w:val="single" w:color="auto" w:sz="6" w:space="0"/>
              <w:bottom w:val="single" w:color="auto" w:sz="6" w:space="0"/>
              <w:right w:val="single" w:color="auto" w:sz="6" w:space="0"/>
            </w:tcBorders>
            <w:noWrap w:val="0"/>
            <w:vAlign w:val="top"/>
          </w:tcPr>
          <w:p w14:paraId="1EE12B4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2500</w:t>
            </w:r>
          </w:p>
        </w:tc>
      </w:tr>
      <w:tr w14:paraId="6994B66D">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tcBorders>
            <w:noWrap w:val="0"/>
            <w:vAlign w:val="top"/>
          </w:tcPr>
          <w:p w14:paraId="7BFBA7EE">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额定工作电压U(v)</w:t>
            </w:r>
          </w:p>
        </w:tc>
        <w:tc>
          <w:tcPr>
            <w:tcW w:w="4961" w:type="dxa"/>
            <w:gridSpan w:val="4"/>
            <w:tcBorders>
              <w:top w:val="single" w:color="auto" w:sz="6" w:space="0"/>
              <w:left w:val="single" w:color="auto" w:sz="6" w:space="0"/>
              <w:bottom w:val="single" w:color="auto" w:sz="6" w:space="0"/>
              <w:right w:val="single" w:color="auto" w:sz="6" w:space="0"/>
            </w:tcBorders>
            <w:noWrap w:val="0"/>
            <w:vAlign w:val="top"/>
          </w:tcPr>
          <w:p w14:paraId="52A7465E">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690/1150</w:t>
            </w:r>
          </w:p>
        </w:tc>
      </w:tr>
      <w:tr w14:paraId="104F81FE">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tcBorders>
            <w:noWrap w:val="0"/>
            <w:vAlign w:val="top"/>
          </w:tcPr>
          <w:p w14:paraId="732AEFBC">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额定绝缘电压Ui(v)*(3)</w:t>
            </w:r>
          </w:p>
        </w:tc>
        <w:tc>
          <w:tcPr>
            <w:tcW w:w="4961" w:type="dxa"/>
            <w:gridSpan w:val="4"/>
            <w:tcBorders>
              <w:top w:val="single" w:color="auto" w:sz="6" w:space="0"/>
              <w:left w:val="single" w:color="auto" w:sz="6" w:space="0"/>
              <w:bottom w:val="single" w:color="auto" w:sz="6" w:space="0"/>
              <w:right w:val="single" w:color="auto" w:sz="6" w:space="0"/>
            </w:tcBorders>
            <w:noWrap w:val="0"/>
            <w:vAlign w:val="top"/>
          </w:tcPr>
          <w:p w14:paraId="590B5AE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1000/1250</w:t>
            </w:r>
          </w:p>
        </w:tc>
      </w:tr>
      <w:tr w14:paraId="36F05E43">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tcBorders>
            <w:noWrap w:val="0"/>
            <w:vAlign w:val="top"/>
          </w:tcPr>
          <w:p w14:paraId="781E346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冲击耐受电压Uimp(kv)</w:t>
            </w:r>
          </w:p>
        </w:tc>
        <w:tc>
          <w:tcPr>
            <w:tcW w:w="4961" w:type="dxa"/>
            <w:gridSpan w:val="4"/>
            <w:tcBorders>
              <w:top w:val="single" w:color="auto" w:sz="6" w:space="0"/>
              <w:left w:val="single" w:color="auto" w:sz="6" w:space="0"/>
              <w:bottom w:val="single" w:color="auto" w:sz="6" w:space="0"/>
              <w:right w:val="single" w:color="auto" w:sz="6" w:space="0"/>
            </w:tcBorders>
            <w:noWrap w:val="0"/>
            <w:vAlign w:val="top"/>
          </w:tcPr>
          <w:p w14:paraId="668DEF7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w:t>
            </w:r>
          </w:p>
        </w:tc>
      </w:tr>
      <w:tr w14:paraId="510A0B42">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tcBorders>
            <w:noWrap w:val="0"/>
            <w:vAlign w:val="top"/>
          </w:tcPr>
          <w:p w14:paraId="58A682EC">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极数</w:t>
            </w:r>
          </w:p>
        </w:tc>
        <w:tc>
          <w:tcPr>
            <w:tcW w:w="1864" w:type="dxa"/>
            <w:tcBorders>
              <w:top w:val="single" w:color="auto" w:sz="6" w:space="0"/>
              <w:left w:val="single" w:color="auto" w:sz="6" w:space="0"/>
              <w:bottom w:val="single" w:color="auto" w:sz="6" w:space="0"/>
              <w:right w:val="single" w:color="auto" w:sz="6" w:space="0"/>
            </w:tcBorders>
            <w:noWrap w:val="0"/>
            <w:vAlign w:val="top"/>
          </w:tcPr>
          <w:p w14:paraId="4E9C66FC">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3P</w:t>
            </w:r>
          </w:p>
        </w:tc>
        <w:tc>
          <w:tcPr>
            <w:tcW w:w="1358" w:type="dxa"/>
            <w:gridSpan w:val="2"/>
            <w:tcBorders>
              <w:top w:val="single" w:color="auto" w:sz="6" w:space="0"/>
              <w:left w:val="single" w:color="auto" w:sz="6" w:space="0"/>
              <w:bottom w:val="single" w:color="auto" w:sz="6" w:space="0"/>
              <w:right w:val="single" w:color="auto" w:sz="6" w:space="0"/>
            </w:tcBorders>
            <w:noWrap w:val="0"/>
            <w:vAlign w:val="top"/>
          </w:tcPr>
          <w:p w14:paraId="65B631E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3P</w:t>
            </w:r>
          </w:p>
        </w:tc>
        <w:tc>
          <w:tcPr>
            <w:tcW w:w="1739" w:type="dxa"/>
            <w:tcBorders>
              <w:top w:val="single" w:color="auto" w:sz="6" w:space="0"/>
              <w:left w:val="single" w:color="auto" w:sz="6" w:space="0"/>
              <w:bottom w:val="single" w:color="auto" w:sz="6" w:space="0"/>
              <w:right w:val="single" w:color="auto" w:sz="6" w:space="0"/>
            </w:tcBorders>
            <w:noWrap w:val="0"/>
            <w:vAlign w:val="top"/>
          </w:tcPr>
          <w:p w14:paraId="7C0ED5B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3P</w:t>
            </w:r>
          </w:p>
        </w:tc>
      </w:tr>
      <w:tr w14:paraId="13D66E60">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6" w:space="0"/>
            </w:tcBorders>
            <w:noWrap w:val="0"/>
            <w:vAlign w:val="top"/>
          </w:tcPr>
          <w:p w14:paraId="038B227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额定极限短路分断能力</w:t>
            </w:r>
          </w:p>
          <w:p w14:paraId="1F47BA9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Icu(KA rms)(AC400V时)</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5FCBF11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50</w:t>
            </w:r>
          </w:p>
        </w:tc>
        <w:tc>
          <w:tcPr>
            <w:tcW w:w="1358" w:type="dxa"/>
            <w:gridSpan w:val="2"/>
            <w:tcBorders>
              <w:top w:val="single" w:color="auto" w:sz="6" w:space="0"/>
              <w:left w:val="single" w:color="auto" w:sz="6" w:space="0"/>
              <w:bottom w:val="single" w:color="auto" w:sz="6" w:space="0"/>
              <w:right w:val="single" w:color="auto" w:sz="6" w:space="0"/>
            </w:tcBorders>
            <w:noWrap w:val="0"/>
            <w:vAlign w:val="center"/>
          </w:tcPr>
          <w:p w14:paraId="7F4852D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65</w:t>
            </w:r>
          </w:p>
        </w:tc>
        <w:tc>
          <w:tcPr>
            <w:tcW w:w="1739" w:type="dxa"/>
            <w:tcBorders>
              <w:top w:val="single" w:color="auto" w:sz="6" w:space="0"/>
              <w:left w:val="single" w:color="auto" w:sz="6" w:space="0"/>
              <w:bottom w:val="single" w:color="auto" w:sz="6" w:space="0"/>
              <w:right w:val="single" w:color="auto" w:sz="6" w:space="0"/>
            </w:tcBorders>
            <w:noWrap w:val="0"/>
            <w:vAlign w:val="center"/>
          </w:tcPr>
          <w:p w14:paraId="204330A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65</w:t>
            </w:r>
          </w:p>
        </w:tc>
      </w:tr>
      <w:tr w14:paraId="5AAFE5F3">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6" w:space="0"/>
            </w:tcBorders>
            <w:noWrap w:val="0"/>
            <w:vAlign w:val="top"/>
          </w:tcPr>
          <w:p w14:paraId="5D4BA17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额定运行短路分断能力Ics(KA rms)</w:t>
            </w:r>
          </w:p>
        </w:tc>
        <w:tc>
          <w:tcPr>
            <w:tcW w:w="4961" w:type="dxa"/>
            <w:gridSpan w:val="4"/>
            <w:tcBorders>
              <w:top w:val="single" w:color="auto" w:sz="6" w:space="0"/>
              <w:left w:val="single" w:color="auto" w:sz="6" w:space="0"/>
              <w:bottom w:val="single" w:color="auto" w:sz="6" w:space="0"/>
              <w:right w:val="single" w:color="auto" w:sz="6" w:space="0"/>
            </w:tcBorders>
            <w:noWrap w:val="0"/>
            <w:vAlign w:val="top"/>
          </w:tcPr>
          <w:p w14:paraId="18F0223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100%Icu</w:t>
            </w:r>
          </w:p>
        </w:tc>
      </w:tr>
      <w:tr w14:paraId="6FD0013C">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6" w:space="0"/>
            </w:tcBorders>
            <w:noWrap w:val="0"/>
            <w:vAlign w:val="top"/>
          </w:tcPr>
          <w:p w14:paraId="2F96931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额定短时耐受电流Icw(3s)</w:t>
            </w:r>
          </w:p>
        </w:tc>
        <w:tc>
          <w:tcPr>
            <w:tcW w:w="2372" w:type="dxa"/>
            <w:gridSpan w:val="2"/>
            <w:tcBorders>
              <w:top w:val="single" w:color="auto" w:sz="6" w:space="0"/>
              <w:left w:val="single" w:color="auto" w:sz="6" w:space="0"/>
              <w:bottom w:val="single" w:color="auto" w:sz="6" w:space="0"/>
              <w:right w:val="single" w:color="auto" w:sz="6" w:space="0"/>
            </w:tcBorders>
            <w:noWrap w:val="0"/>
            <w:vAlign w:val="top"/>
          </w:tcPr>
          <w:p w14:paraId="4D2AD53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50</w:t>
            </w:r>
          </w:p>
        </w:tc>
        <w:tc>
          <w:tcPr>
            <w:tcW w:w="850" w:type="dxa"/>
            <w:tcBorders>
              <w:top w:val="single" w:color="auto" w:sz="6" w:space="0"/>
              <w:left w:val="single" w:color="auto" w:sz="6" w:space="0"/>
              <w:bottom w:val="single" w:color="auto" w:sz="6" w:space="0"/>
              <w:right w:val="single" w:color="auto" w:sz="6" w:space="0"/>
            </w:tcBorders>
            <w:noWrap w:val="0"/>
            <w:vAlign w:val="top"/>
          </w:tcPr>
          <w:p w14:paraId="093305C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65</w:t>
            </w:r>
          </w:p>
        </w:tc>
        <w:tc>
          <w:tcPr>
            <w:tcW w:w="1739" w:type="dxa"/>
            <w:tcBorders>
              <w:top w:val="single" w:color="auto" w:sz="6" w:space="0"/>
              <w:left w:val="single" w:color="auto" w:sz="6" w:space="0"/>
              <w:bottom w:val="single" w:color="auto" w:sz="6" w:space="0"/>
              <w:right w:val="single" w:color="auto" w:sz="6" w:space="0"/>
            </w:tcBorders>
            <w:noWrap w:val="0"/>
            <w:vAlign w:val="top"/>
          </w:tcPr>
          <w:p w14:paraId="018F195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65</w:t>
            </w:r>
          </w:p>
        </w:tc>
      </w:tr>
      <w:tr w14:paraId="0123CA18">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6" w:space="0"/>
            </w:tcBorders>
            <w:noWrap w:val="0"/>
            <w:vAlign w:val="top"/>
          </w:tcPr>
          <w:p w14:paraId="14FC4DC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分断时间（ms）*</w:t>
            </w:r>
          </w:p>
        </w:tc>
        <w:tc>
          <w:tcPr>
            <w:tcW w:w="4961" w:type="dxa"/>
            <w:gridSpan w:val="4"/>
            <w:tcBorders>
              <w:top w:val="single" w:color="auto" w:sz="6" w:space="0"/>
              <w:left w:val="single" w:color="auto" w:sz="6" w:space="0"/>
              <w:bottom w:val="single" w:color="auto" w:sz="6" w:space="0"/>
              <w:right w:val="single" w:color="auto" w:sz="6" w:space="0"/>
            </w:tcBorders>
            <w:noWrap w:val="0"/>
            <w:vAlign w:val="top"/>
          </w:tcPr>
          <w:p w14:paraId="1F61DCA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&lt;40</w:t>
            </w:r>
          </w:p>
        </w:tc>
      </w:tr>
      <w:tr w14:paraId="7906F634">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6" w:space="0"/>
            </w:tcBorders>
            <w:noWrap w:val="0"/>
            <w:vAlign w:val="top"/>
          </w:tcPr>
          <w:p w14:paraId="4F61AD31">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0" allowOverlap="1">
                      <wp:simplePos x="0" y="0"/>
                      <wp:positionH relativeFrom="column">
                        <wp:posOffset>5143500</wp:posOffset>
                      </wp:positionH>
                      <wp:positionV relativeFrom="paragraph">
                        <wp:posOffset>39370</wp:posOffset>
                      </wp:positionV>
                      <wp:extent cx="635" cy="635"/>
                      <wp:effectExtent l="0" t="0" r="0" b="0"/>
                      <wp:wrapNone/>
                      <wp:docPr id="3"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405pt;margin-top:3.1pt;height:0.05pt;width:0.05pt;z-index:251661312;mso-width-relative:page;mso-height-relative:page;" filled="f" stroked="t" coordsize="21600,21600" o:allowincell="f" o:gfxdata="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4n+trUAAAABwEAAA8AAAAAAAAAAQAgAAAAIgAAAGRycy9kb3ducmV2LnhtbFBLAQIUABQA&#10;AAAIAIdO4kAgSaWr9AEAAPADAAAOAAAAAAAAAAEAIAAAACM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bCs/>
                <w:color w:val="000000" w:themeColor="text1"/>
                <w:sz w:val="24"/>
                <w:szCs w:val="24"/>
                <w14:textFill>
                  <w14:solidFill>
                    <w14:schemeClr w14:val="tx1"/>
                  </w14:solidFill>
                </w14:textFill>
              </w:rPr>
              <w:t xml:space="preserve">闭合时间（ms)* </w:t>
            </w:r>
          </w:p>
        </w:tc>
        <w:tc>
          <w:tcPr>
            <w:tcW w:w="4961" w:type="dxa"/>
            <w:gridSpan w:val="4"/>
            <w:tcBorders>
              <w:top w:val="single" w:color="auto" w:sz="6" w:space="0"/>
              <w:left w:val="single" w:color="auto" w:sz="6" w:space="0"/>
              <w:bottom w:val="single" w:color="auto" w:sz="6" w:space="0"/>
              <w:right w:val="single" w:color="auto" w:sz="6" w:space="0"/>
            </w:tcBorders>
            <w:noWrap w:val="0"/>
            <w:vAlign w:val="top"/>
          </w:tcPr>
          <w:p w14:paraId="5D73356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&lt;70</w:t>
            </w:r>
          </w:p>
        </w:tc>
      </w:tr>
      <w:tr w14:paraId="18519A72">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6" w:space="0"/>
            </w:tcBorders>
            <w:noWrap w:val="0"/>
            <w:vAlign w:val="top"/>
          </w:tcPr>
          <w:p w14:paraId="6822D1D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机械寿命CO（有维护千次）  </w:t>
            </w:r>
          </w:p>
        </w:tc>
        <w:tc>
          <w:tcPr>
            <w:tcW w:w="1864" w:type="dxa"/>
            <w:tcBorders>
              <w:top w:val="single" w:color="auto" w:sz="6" w:space="0"/>
              <w:left w:val="single" w:color="auto" w:sz="6" w:space="0"/>
              <w:bottom w:val="single" w:color="auto" w:sz="6" w:space="0"/>
              <w:right w:val="single" w:color="auto" w:sz="6" w:space="0"/>
            </w:tcBorders>
            <w:noWrap w:val="0"/>
            <w:vAlign w:val="top"/>
          </w:tcPr>
          <w:p w14:paraId="2C40CB7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w:t>
            </w:r>
          </w:p>
        </w:tc>
        <w:tc>
          <w:tcPr>
            <w:tcW w:w="1358" w:type="dxa"/>
            <w:gridSpan w:val="2"/>
            <w:tcBorders>
              <w:top w:val="single" w:color="auto" w:sz="6" w:space="0"/>
              <w:left w:val="single" w:color="auto" w:sz="6" w:space="0"/>
              <w:bottom w:val="single" w:color="auto" w:sz="6" w:space="0"/>
              <w:right w:val="single" w:color="auto" w:sz="6" w:space="0"/>
            </w:tcBorders>
            <w:noWrap w:val="0"/>
            <w:vAlign w:val="top"/>
          </w:tcPr>
          <w:p w14:paraId="582CAB1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20</w:t>
            </w:r>
          </w:p>
        </w:tc>
        <w:tc>
          <w:tcPr>
            <w:tcW w:w="1739" w:type="dxa"/>
            <w:tcBorders>
              <w:top w:val="single" w:color="auto" w:sz="6" w:space="0"/>
              <w:left w:val="single" w:color="auto" w:sz="6" w:space="0"/>
              <w:bottom w:val="single" w:color="auto" w:sz="6" w:space="0"/>
              <w:right w:val="single" w:color="auto" w:sz="6" w:space="0"/>
            </w:tcBorders>
            <w:noWrap w:val="0"/>
            <w:vAlign w:val="top"/>
          </w:tcPr>
          <w:p w14:paraId="312611BE">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20</w:t>
            </w:r>
          </w:p>
        </w:tc>
      </w:tr>
      <w:tr w14:paraId="73058E7F">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6" w:space="0"/>
            </w:tcBorders>
            <w:noWrap w:val="0"/>
            <w:vAlign w:val="top"/>
          </w:tcPr>
          <w:p w14:paraId="4027CF71">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机械寿命CO（免维护千次）</w:t>
            </w:r>
          </w:p>
        </w:tc>
        <w:tc>
          <w:tcPr>
            <w:tcW w:w="1864" w:type="dxa"/>
            <w:tcBorders>
              <w:top w:val="single" w:color="auto" w:sz="6" w:space="0"/>
              <w:left w:val="single" w:color="auto" w:sz="6" w:space="0"/>
              <w:bottom w:val="single" w:color="auto" w:sz="6" w:space="0"/>
              <w:right w:val="single" w:color="auto" w:sz="6" w:space="0"/>
            </w:tcBorders>
            <w:noWrap w:val="0"/>
            <w:vAlign w:val="top"/>
          </w:tcPr>
          <w:p w14:paraId="45C482C8">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12.5</w:t>
            </w:r>
          </w:p>
        </w:tc>
        <w:tc>
          <w:tcPr>
            <w:tcW w:w="1358" w:type="dxa"/>
            <w:gridSpan w:val="2"/>
            <w:tcBorders>
              <w:top w:val="single" w:color="auto" w:sz="6" w:space="0"/>
              <w:left w:val="single" w:color="auto" w:sz="6" w:space="0"/>
              <w:bottom w:val="single" w:color="auto" w:sz="6" w:space="0"/>
              <w:right w:val="single" w:color="auto" w:sz="6" w:space="0"/>
            </w:tcBorders>
            <w:noWrap w:val="0"/>
            <w:vAlign w:val="top"/>
          </w:tcPr>
          <w:p w14:paraId="5CA138B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w:t>
            </w:r>
          </w:p>
        </w:tc>
        <w:tc>
          <w:tcPr>
            <w:tcW w:w="1739" w:type="dxa"/>
            <w:tcBorders>
              <w:top w:val="single" w:color="auto" w:sz="6" w:space="0"/>
              <w:left w:val="single" w:color="auto" w:sz="6" w:space="0"/>
              <w:bottom w:val="single" w:color="auto" w:sz="6" w:space="0"/>
              <w:right w:val="single" w:color="auto" w:sz="6" w:space="0"/>
            </w:tcBorders>
            <w:noWrap w:val="0"/>
            <w:vAlign w:val="top"/>
          </w:tcPr>
          <w:p w14:paraId="6E0E8E0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w:t>
            </w:r>
          </w:p>
        </w:tc>
      </w:tr>
      <w:tr w14:paraId="167BB1B6">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4" w:space="0"/>
            </w:tcBorders>
            <w:noWrap w:val="0"/>
            <w:vAlign w:val="top"/>
          </w:tcPr>
          <w:p w14:paraId="772A97CC">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电气寿命CO （免维护千次）</w:t>
            </w:r>
          </w:p>
        </w:tc>
        <w:tc>
          <w:tcPr>
            <w:tcW w:w="1864" w:type="dxa"/>
            <w:tcBorders>
              <w:top w:val="single" w:color="auto" w:sz="6" w:space="0"/>
              <w:left w:val="single" w:color="auto" w:sz="4" w:space="0"/>
              <w:bottom w:val="single" w:color="auto" w:sz="6" w:space="0"/>
              <w:right w:val="single" w:color="auto" w:sz="6" w:space="0"/>
            </w:tcBorders>
            <w:noWrap w:val="0"/>
            <w:vAlign w:val="top"/>
          </w:tcPr>
          <w:p w14:paraId="7E2CFEA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w:t>
            </w:r>
          </w:p>
        </w:tc>
        <w:tc>
          <w:tcPr>
            <w:tcW w:w="1358" w:type="dxa"/>
            <w:gridSpan w:val="2"/>
            <w:tcBorders>
              <w:top w:val="single" w:color="auto" w:sz="6" w:space="0"/>
              <w:left w:val="single" w:color="auto" w:sz="6" w:space="0"/>
              <w:bottom w:val="single" w:color="auto" w:sz="6" w:space="0"/>
              <w:right w:val="single" w:color="auto" w:sz="6" w:space="0"/>
            </w:tcBorders>
            <w:noWrap w:val="0"/>
            <w:vAlign w:val="top"/>
          </w:tcPr>
          <w:p w14:paraId="0B6540A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p>
        </w:tc>
        <w:tc>
          <w:tcPr>
            <w:tcW w:w="1739" w:type="dxa"/>
            <w:tcBorders>
              <w:top w:val="single" w:color="auto" w:sz="6" w:space="0"/>
              <w:left w:val="single" w:color="auto" w:sz="6" w:space="0"/>
              <w:bottom w:val="single" w:color="auto" w:sz="6" w:space="0"/>
              <w:right w:val="single" w:color="auto" w:sz="6" w:space="0"/>
            </w:tcBorders>
            <w:noWrap w:val="0"/>
            <w:vAlign w:val="top"/>
          </w:tcPr>
          <w:p w14:paraId="24CE253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p>
        </w:tc>
      </w:tr>
      <w:tr w14:paraId="2E684921">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4" w:space="0"/>
            </w:tcBorders>
            <w:noWrap w:val="0"/>
            <w:vAlign w:val="top"/>
          </w:tcPr>
          <w:p w14:paraId="28E438CE">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脱扣器(保护器)</w:t>
            </w:r>
          </w:p>
        </w:tc>
        <w:tc>
          <w:tcPr>
            <w:tcW w:w="4961" w:type="dxa"/>
            <w:gridSpan w:val="4"/>
            <w:tcBorders>
              <w:top w:val="single" w:color="auto" w:sz="6" w:space="0"/>
              <w:left w:val="single" w:color="auto" w:sz="4" w:space="0"/>
              <w:bottom w:val="single" w:color="auto" w:sz="6" w:space="0"/>
              <w:right w:val="single" w:color="auto" w:sz="6" w:space="0"/>
            </w:tcBorders>
            <w:noWrap w:val="0"/>
            <w:vAlign w:val="top"/>
          </w:tcPr>
          <w:p w14:paraId="26A307F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电子脱扣器,具体保护配置见7.2</w:t>
            </w:r>
          </w:p>
        </w:tc>
      </w:tr>
      <w:tr w14:paraId="4CAE61C0">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4" w:space="0"/>
            </w:tcBorders>
            <w:noWrap w:val="0"/>
            <w:vAlign w:val="top"/>
          </w:tcPr>
          <w:p w14:paraId="144F02A1">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电气寿命（均大于或等于）</w:t>
            </w:r>
          </w:p>
        </w:tc>
        <w:tc>
          <w:tcPr>
            <w:tcW w:w="1864" w:type="dxa"/>
            <w:tcBorders>
              <w:top w:val="single" w:color="auto" w:sz="6" w:space="0"/>
              <w:left w:val="single" w:color="auto" w:sz="4" w:space="0"/>
              <w:bottom w:val="single" w:color="auto" w:sz="6" w:space="0"/>
              <w:right w:val="single" w:color="auto" w:sz="6" w:space="0"/>
            </w:tcBorders>
            <w:noWrap w:val="0"/>
            <w:vAlign w:val="top"/>
          </w:tcPr>
          <w:p w14:paraId="6A4214C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12000</w:t>
            </w:r>
          </w:p>
        </w:tc>
        <w:tc>
          <w:tcPr>
            <w:tcW w:w="1358" w:type="dxa"/>
            <w:gridSpan w:val="2"/>
            <w:tcBorders>
              <w:top w:val="single" w:color="auto" w:sz="6" w:space="0"/>
              <w:left w:val="single" w:color="auto" w:sz="4" w:space="0"/>
              <w:bottom w:val="single" w:color="auto" w:sz="6" w:space="0"/>
              <w:right w:val="single" w:color="auto" w:sz="6" w:space="0"/>
            </w:tcBorders>
            <w:noWrap w:val="0"/>
            <w:vAlign w:val="top"/>
          </w:tcPr>
          <w:p w14:paraId="1EE35C21">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6000</w:t>
            </w:r>
          </w:p>
        </w:tc>
        <w:tc>
          <w:tcPr>
            <w:tcW w:w="1739" w:type="dxa"/>
            <w:tcBorders>
              <w:top w:val="single" w:color="auto" w:sz="6" w:space="0"/>
              <w:left w:val="single" w:color="auto" w:sz="4" w:space="0"/>
              <w:bottom w:val="single" w:color="auto" w:sz="6" w:space="0"/>
              <w:right w:val="single" w:color="auto" w:sz="6" w:space="0"/>
            </w:tcBorders>
            <w:noWrap w:val="0"/>
            <w:vAlign w:val="top"/>
          </w:tcPr>
          <w:p w14:paraId="5DF239D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6000</w:t>
            </w:r>
          </w:p>
        </w:tc>
      </w:tr>
      <w:tr w14:paraId="04716812">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4" w:space="0"/>
            </w:tcBorders>
            <w:noWrap w:val="0"/>
            <w:vAlign w:val="top"/>
          </w:tcPr>
          <w:p w14:paraId="5FFC676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机械寿命（均大于或等于）</w:t>
            </w:r>
          </w:p>
        </w:tc>
        <w:tc>
          <w:tcPr>
            <w:tcW w:w="1864" w:type="dxa"/>
            <w:tcBorders>
              <w:top w:val="single" w:color="auto" w:sz="6" w:space="0"/>
              <w:left w:val="single" w:color="auto" w:sz="4" w:space="0"/>
              <w:bottom w:val="single" w:color="auto" w:sz="6" w:space="0"/>
              <w:right w:val="single" w:color="auto" w:sz="6" w:space="0"/>
            </w:tcBorders>
            <w:noWrap w:val="0"/>
            <w:vAlign w:val="top"/>
          </w:tcPr>
          <w:p w14:paraId="35990AE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25000</w:t>
            </w:r>
          </w:p>
        </w:tc>
        <w:tc>
          <w:tcPr>
            <w:tcW w:w="1358" w:type="dxa"/>
            <w:gridSpan w:val="2"/>
            <w:tcBorders>
              <w:top w:val="single" w:color="auto" w:sz="6" w:space="0"/>
              <w:left w:val="single" w:color="auto" w:sz="4" w:space="0"/>
              <w:bottom w:val="single" w:color="auto" w:sz="6" w:space="0"/>
              <w:right w:val="single" w:color="auto" w:sz="6" w:space="0"/>
            </w:tcBorders>
            <w:noWrap w:val="0"/>
            <w:vAlign w:val="top"/>
          </w:tcPr>
          <w:p w14:paraId="5F2D901B">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20000</w:t>
            </w:r>
          </w:p>
        </w:tc>
        <w:tc>
          <w:tcPr>
            <w:tcW w:w="1739" w:type="dxa"/>
            <w:tcBorders>
              <w:top w:val="single" w:color="auto" w:sz="6" w:space="0"/>
              <w:left w:val="single" w:color="auto" w:sz="4" w:space="0"/>
              <w:bottom w:val="single" w:color="auto" w:sz="6" w:space="0"/>
              <w:right w:val="single" w:color="auto" w:sz="6" w:space="0"/>
            </w:tcBorders>
            <w:noWrap w:val="0"/>
            <w:vAlign w:val="top"/>
          </w:tcPr>
          <w:p w14:paraId="65FD0F98">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20000</w:t>
            </w:r>
          </w:p>
        </w:tc>
      </w:tr>
      <w:tr w14:paraId="5A4EDD16">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4" w:space="0"/>
            </w:tcBorders>
            <w:noWrap w:val="0"/>
            <w:vAlign w:val="top"/>
          </w:tcPr>
          <w:p w14:paraId="68CC8D9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安装形式</w:t>
            </w:r>
          </w:p>
        </w:tc>
        <w:tc>
          <w:tcPr>
            <w:tcW w:w="4961" w:type="dxa"/>
            <w:gridSpan w:val="4"/>
            <w:tcBorders>
              <w:top w:val="single" w:color="auto" w:sz="6" w:space="0"/>
              <w:left w:val="single" w:color="auto" w:sz="4" w:space="0"/>
              <w:bottom w:val="single" w:color="auto" w:sz="6" w:space="0"/>
              <w:right w:val="single" w:color="auto" w:sz="6" w:space="0"/>
            </w:tcBorders>
            <w:noWrap w:val="0"/>
            <w:vAlign w:val="top"/>
          </w:tcPr>
          <w:p w14:paraId="617696A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抽出式</w:t>
            </w:r>
          </w:p>
        </w:tc>
      </w:tr>
      <w:tr w14:paraId="27D47654">
        <w:tblPrEx>
          <w:tblCellMar>
            <w:top w:w="0" w:type="dxa"/>
            <w:left w:w="30" w:type="dxa"/>
            <w:bottom w:w="0" w:type="dxa"/>
            <w:right w:w="30" w:type="dxa"/>
          </w:tblCellMar>
        </w:tblPrEx>
        <w:trPr>
          <w:trHeight w:val="307" w:hRule="atLeast"/>
          <w:jc w:val="center"/>
        </w:trPr>
        <w:tc>
          <w:tcPr>
            <w:tcW w:w="3976" w:type="dxa"/>
            <w:tcBorders>
              <w:top w:val="single" w:color="auto" w:sz="6" w:space="0"/>
              <w:left w:val="single" w:color="auto" w:sz="6" w:space="0"/>
              <w:bottom w:val="single" w:color="auto" w:sz="6" w:space="0"/>
              <w:right w:val="single" w:color="auto" w:sz="4" w:space="0"/>
            </w:tcBorders>
            <w:noWrap w:val="0"/>
            <w:vAlign w:val="top"/>
          </w:tcPr>
          <w:p w14:paraId="5EAA857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辅助触点（DO/DI）</w:t>
            </w:r>
          </w:p>
        </w:tc>
        <w:tc>
          <w:tcPr>
            <w:tcW w:w="4961" w:type="dxa"/>
            <w:gridSpan w:val="4"/>
            <w:tcBorders>
              <w:top w:val="single" w:color="auto" w:sz="6" w:space="0"/>
              <w:left w:val="single" w:color="auto" w:sz="4" w:space="0"/>
              <w:bottom w:val="single" w:color="auto" w:sz="6" w:space="0"/>
              <w:right w:val="single" w:color="auto" w:sz="6" w:space="0"/>
            </w:tcBorders>
            <w:noWrap w:val="0"/>
            <w:vAlign w:val="top"/>
          </w:tcPr>
          <w:p w14:paraId="6250A26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符合设计及使用要求</w:t>
            </w:r>
          </w:p>
        </w:tc>
      </w:tr>
    </w:tbl>
    <w:p w14:paraId="6D567E5C">
      <w:pPr>
        <w:numPr>
          <w:ilvl w:val="0"/>
          <w:numId w:val="0"/>
        </w:numPr>
        <w:adjustRightInd w:val="0"/>
        <w:snapToGrid w:val="0"/>
        <w:spacing w:line="440" w:lineRule="exact"/>
        <w:rPr>
          <w:rFonts w:hint="default" w:ascii="宋体" w:hAnsi="宋体" w:eastAsia="宋体" w:cs="宋体"/>
          <w:b/>
          <w:bCs w:val="0"/>
          <w:color w:val="000000" w:themeColor="text1"/>
          <w:sz w:val="24"/>
          <w:lang w:val="en-US" w:eastAsia="zh-CN"/>
          <w14:textFill>
            <w14:solidFill>
              <w14:schemeClr w14:val="tx1"/>
            </w14:solidFill>
          </w14:textFill>
        </w:rPr>
      </w:pPr>
      <w:r>
        <w:rPr>
          <w:rFonts w:hint="eastAsia" w:ascii="宋体" w:hAnsi="宋体" w:cs="宋体"/>
          <w:b/>
          <w:bCs w:val="0"/>
          <w:color w:val="000000" w:themeColor="text1"/>
          <w:sz w:val="24"/>
          <w:lang w:val="en-US" w:eastAsia="zh-CN"/>
          <w14:textFill>
            <w14:solidFill>
              <w14:schemeClr w14:val="tx1"/>
            </w14:solidFill>
          </w14:textFill>
        </w:rPr>
        <w:t>1.2低压交流塑壳断路器</w:t>
      </w:r>
    </w:p>
    <w:p w14:paraId="61522282">
      <w:pPr>
        <w:numPr>
          <w:ilvl w:val="0"/>
          <w:numId w:val="0"/>
        </w:numPr>
        <w:adjustRightInd w:val="0"/>
        <w:snapToGrid w:val="0"/>
        <w:spacing w:line="440" w:lineRule="exact"/>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1.2.1为满足用电设备的可能变化，断路器应可以现场更换。在相同极数的情况下， 同一壳架电流的抽屉应为相同尺寸。</w:t>
      </w:r>
    </w:p>
    <w:p w14:paraId="0A908C45">
      <w:pPr>
        <w:numPr>
          <w:ilvl w:val="0"/>
          <w:numId w:val="0"/>
        </w:numPr>
        <w:adjustRightInd w:val="0"/>
        <w:snapToGrid w:val="0"/>
        <w:spacing w:line="440" w:lineRule="exact"/>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1.2.2为减少备品备件的数量，断路器内的常用部件要求各规格可互换。常用部件至少包含：脱扣器、合闸线圈。</w:t>
      </w:r>
    </w:p>
    <w:p w14:paraId="2903CDF4">
      <w:pPr>
        <w:numPr>
          <w:ilvl w:val="0"/>
          <w:numId w:val="0"/>
        </w:numPr>
        <w:adjustRightInd w:val="0"/>
        <w:snapToGrid w:val="0"/>
        <w:spacing w:line="440" w:lineRule="exact"/>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1.2.3断路器应为模块化设计，增加或取消部分功能时，仅在内部进行，不应影响开关柜。</w:t>
      </w:r>
    </w:p>
    <w:p w14:paraId="07FE9772">
      <w:pPr>
        <w:numPr>
          <w:ilvl w:val="0"/>
          <w:numId w:val="0"/>
        </w:numPr>
        <w:adjustRightInd w:val="0"/>
        <w:snapToGrid w:val="0"/>
        <w:spacing w:line="440" w:lineRule="exact"/>
        <w:rPr>
          <w:rFonts w:hint="default"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1.2.4断路器必须是抗湿热产品。</w:t>
      </w:r>
    </w:p>
    <w:p w14:paraId="7A1DDE44">
      <w:pPr>
        <w:numPr>
          <w:ilvl w:val="0"/>
          <w:numId w:val="0"/>
        </w:numPr>
        <w:adjustRightInd w:val="0"/>
        <w:snapToGrid w:val="0"/>
        <w:spacing w:line="440" w:lineRule="exact"/>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1.3低压交流塑壳断路器应满足的主要性能及参数</w:t>
      </w:r>
    </w:p>
    <w:tbl>
      <w:tblPr>
        <w:tblStyle w:val="43"/>
        <w:tblW w:w="8731" w:type="dxa"/>
        <w:tblInd w:w="0" w:type="dxa"/>
        <w:tblLayout w:type="fixed"/>
        <w:tblCellMar>
          <w:top w:w="0" w:type="dxa"/>
          <w:left w:w="30" w:type="dxa"/>
          <w:bottom w:w="0" w:type="dxa"/>
          <w:right w:w="30" w:type="dxa"/>
        </w:tblCellMar>
      </w:tblPr>
      <w:tblGrid>
        <w:gridCol w:w="4590"/>
        <w:gridCol w:w="1345"/>
        <w:gridCol w:w="932"/>
        <w:gridCol w:w="932"/>
        <w:gridCol w:w="932"/>
      </w:tblGrid>
      <w:tr w14:paraId="270B3877">
        <w:tblPrEx>
          <w:tblCellMar>
            <w:top w:w="0" w:type="dxa"/>
            <w:left w:w="30" w:type="dxa"/>
            <w:bottom w:w="0" w:type="dxa"/>
            <w:right w:w="30" w:type="dxa"/>
          </w:tblCellMar>
        </w:tblPrEx>
        <w:trPr>
          <w:cantSplit/>
          <w:trHeight w:val="307" w:hRule="atLeast"/>
        </w:trPr>
        <w:tc>
          <w:tcPr>
            <w:tcW w:w="4590" w:type="dxa"/>
            <w:tcBorders>
              <w:top w:val="single" w:color="auto" w:sz="6" w:space="0"/>
              <w:left w:val="single" w:color="auto" w:sz="6" w:space="0"/>
              <w:bottom w:val="single" w:color="auto" w:sz="6" w:space="0"/>
              <w:right w:val="single" w:color="auto" w:sz="6" w:space="0"/>
            </w:tcBorders>
            <w:noWrap w:val="0"/>
            <w:vAlign w:val="top"/>
          </w:tcPr>
          <w:p w14:paraId="67E680C1">
            <w:pPr>
              <w:adjustRightInd w:val="0"/>
              <w:spacing w:line="500" w:lineRule="exact"/>
              <w:ind w:left="720" w:hanging="720" w:hangingChars="3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壳架等级额定电流Inm(A)</w:t>
            </w:r>
          </w:p>
        </w:tc>
        <w:tc>
          <w:tcPr>
            <w:tcW w:w="1345" w:type="dxa"/>
            <w:tcBorders>
              <w:top w:val="single" w:color="auto" w:sz="6" w:space="0"/>
              <w:left w:val="single" w:color="auto" w:sz="6" w:space="0"/>
              <w:bottom w:val="single" w:color="auto" w:sz="6" w:space="0"/>
              <w:right w:val="single" w:color="auto" w:sz="4" w:space="0"/>
            </w:tcBorders>
            <w:noWrap w:val="0"/>
            <w:vAlign w:val="top"/>
          </w:tcPr>
          <w:p w14:paraId="31E66FB3">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100</w:t>
            </w:r>
          </w:p>
        </w:tc>
        <w:tc>
          <w:tcPr>
            <w:tcW w:w="932" w:type="dxa"/>
            <w:tcBorders>
              <w:top w:val="single" w:color="auto" w:sz="6" w:space="0"/>
              <w:left w:val="single" w:color="auto" w:sz="6" w:space="0"/>
              <w:bottom w:val="single" w:color="auto" w:sz="6" w:space="0"/>
              <w:right w:val="single" w:color="auto" w:sz="4" w:space="0"/>
            </w:tcBorders>
            <w:noWrap w:val="0"/>
            <w:vAlign w:val="top"/>
          </w:tcPr>
          <w:p w14:paraId="1B7731F1">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160</w:t>
            </w:r>
          </w:p>
        </w:tc>
        <w:tc>
          <w:tcPr>
            <w:tcW w:w="932" w:type="dxa"/>
            <w:tcBorders>
              <w:top w:val="single" w:color="auto" w:sz="6" w:space="0"/>
              <w:left w:val="single" w:color="auto" w:sz="6" w:space="0"/>
              <w:bottom w:val="single" w:color="auto" w:sz="6" w:space="0"/>
              <w:right w:val="single" w:color="auto" w:sz="4" w:space="0"/>
            </w:tcBorders>
            <w:noWrap w:val="0"/>
            <w:vAlign w:val="top"/>
          </w:tcPr>
          <w:p w14:paraId="0FE6087E">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250</w:t>
            </w:r>
          </w:p>
        </w:tc>
        <w:tc>
          <w:tcPr>
            <w:tcW w:w="932" w:type="dxa"/>
            <w:tcBorders>
              <w:top w:val="single" w:color="auto" w:sz="6" w:space="0"/>
              <w:left w:val="single" w:color="auto" w:sz="6" w:space="0"/>
              <w:bottom w:val="single" w:color="auto" w:sz="6" w:space="0"/>
              <w:right w:val="single" w:color="auto" w:sz="4" w:space="0"/>
            </w:tcBorders>
            <w:noWrap w:val="0"/>
            <w:vAlign w:val="top"/>
          </w:tcPr>
          <w:p w14:paraId="6E887145">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400</w:t>
            </w:r>
          </w:p>
        </w:tc>
      </w:tr>
      <w:tr w14:paraId="68E6DE93">
        <w:tblPrEx>
          <w:tblCellMar>
            <w:top w:w="0" w:type="dxa"/>
            <w:left w:w="30" w:type="dxa"/>
            <w:bottom w:w="0" w:type="dxa"/>
            <w:right w:w="30" w:type="dxa"/>
          </w:tblCellMar>
        </w:tblPrEx>
        <w:trPr>
          <w:cantSplit/>
          <w:trHeight w:val="307" w:hRule="atLeast"/>
        </w:trPr>
        <w:tc>
          <w:tcPr>
            <w:tcW w:w="4590" w:type="dxa"/>
            <w:tcBorders>
              <w:top w:val="single" w:color="auto" w:sz="6" w:space="0"/>
              <w:left w:val="single" w:color="auto" w:sz="6" w:space="0"/>
              <w:bottom w:val="single" w:color="auto" w:sz="6" w:space="0"/>
              <w:right w:val="single" w:color="auto" w:sz="6" w:space="0"/>
            </w:tcBorders>
            <w:noWrap w:val="0"/>
            <w:vAlign w:val="top"/>
          </w:tcPr>
          <w:p w14:paraId="4C3BABDC">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额定电流In</w:t>
            </w:r>
          </w:p>
        </w:tc>
        <w:tc>
          <w:tcPr>
            <w:tcW w:w="1345" w:type="dxa"/>
            <w:tcBorders>
              <w:top w:val="single" w:color="auto" w:sz="6" w:space="0"/>
              <w:left w:val="single" w:color="auto" w:sz="6" w:space="0"/>
              <w:bottom w:val="single" w:color="auto" w:sz="6" w:space="0"/>
              <w:right w:val="single" w:color="auto" w:sz="4" w:space="0"/>
            </w:tcBorders>
            <w:noWrap w:val="0"/>
            <w:vAlign w:val="top"/>
          </w:tcPr>
          <w:p w14:paraId="03EA77D2">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100</w:t>
            </w:r>
          </w:p>
        </w:tc>
        <w:tc>
          <w:tcPr>
            <w:tcW w:w="932" w:type="dxa"/>
            <w:tcBorders>
              <w:top w:val="single" w:color="auto" w:sz="6" w:space="0"/>
              <w:left w:val="single" w:color="auto" w:sz="6" w:space="0"/>
              <w:bottom w:val="single" w:color="auto" w:sz="6" w:space="0"/>
              <w:right w:val="single" w:color="auto" w:sz="4" w:space="0"/>
            </w:tcBorders>
            <w:noWrap w:val="0"/>
            <w:vAlign w:val="top"/>
          </w:tcPr>
          <w:p w14:paraId="21181B02">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160</w:t>
            </w:r>
          </w:p>
        </w:tc>
        <w:tc>
          <w:tcPr>
            <w:tcW w:w="932" w:type="dxa"/>
            <w:tcBorders>
              <w:top w:val="single" w:color="auto" w:sz="6" w:space="0"/>
              <w:left w:val="single" w:color="auto" w:sz="6" w:space="0"/>
              <w:bottom w:val="single" w:color="auto" w:sz="6" w:space="0"/>
              <w:right w:val="single" w:color="auto" w:sz="4" w:space="0"/>
            </w:tcBorders>
            <w:noWrap w:val="0"/>
            <w:vAlign w:val="top"/>
          </w:tcPr>
          <w:p w14:paraId="7A2ED82A">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250</w:t>
            </w:r>
          </w:p>
        </w:tc>
        <w:tc>
          <w:tcPr>
            <w:tcW w:w="932" w:type="dxa"/>
            <w:tcBorders>
              <w:top w:val="single" w:color="auto" w:sz="6" w:space="0"/>
              <w:left w:val="single" w:color="auto" w:sz="6" w:space="0"/>
              <w:bottom w:val="single" w:color="auto" w:sz="6" w:space="0"/>
              <w:right w:val="single" w:color="auto" w:sz="4" w:space="0"/>
            </w:tcBorders>
            <w:noWrap w:val="0"/>
            <w:vAlign w:val="top"/>
          </w:tcPr>
          <w:p w14:paraId="225A93EE">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400</w:t>
            </w:r>
          </w:p>
        </w:tc>
      </w:tr>
      <w:tr w14:paraId="2F82E2E1">
        <w:tblPrEx>
          <w:tblCellMar>
            <w:top w:w="0" w:type="dxa"/>
            <w:left w:w="30" w:type="dxa"/>
            <w:bottom w:w="0" w:type="dxa"/>
            <w:right w:w="30" w:type="dxa"/>
          </w:tblCellMar>
        </w:tblPrEx>
        <w:trPr>
          <w:cantSplit/>
          <w:trHeight w:val="307" w:hRule="atLeast"/>
        </w:trPr>
        <w:tc>
          <w:tcPr>
            <w:tcW w:w="4590" w:type="dxa"/>
            <w:tcBorders>
              <w:top w:val="single" w:color="auto" w:sz="6" w:space="0"/>
              <w:left w:val="single" w:color="auto" w:sz="6" w:space="0"/>
              <w:bottom w:val="single" w:color="auto" w:sz="6" w:space="0"/>
            </w:tcBorders>
            <w:noWrap w:val="0"/>
            <w:vAlign w:val="top"/>
          </w:tcPr>
          <w:p w14:paraId="72A39D2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额定工作电压U(V)</w:t>
            </w:r>
          </w:p>
        </w:tc>
        <w:tc>
          <w:tcPr>
            <w:tcW w:w="4141" w:type="dxa"/>
            <w:gridSpan w:val="4"/>
            <w:tcBorders>
              <w:top w:val="single" w:color="auto" w:sz="6" w:space="0"/>
              <w:left w:val="single" w:color="auto" w:sz="6" w:space="0"/>
              <w:bottom w:val="single" w:color="auto" w:sz="6" w:space="0"/>
              <w:right w:val="single" w:color="auto" w:sz="4" w:space="0"/>
            </w:tcBorders>
            <w:noWrap w:val="0"/>
            <w:vAlign w:val="top"/>
          </w:tcPr>
          <w:p w14:paraId="70E79C56">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380/415Vac</w:t>
            </w:r>
          </w:p>
        </w:tc>
      </w:tr>
      <w:tr w14:paraId="4007162B">
        <w:tblPrEx>
          <w:tblCellMar>
            <w:top w:w="0" w:type="dxa"/>
            <w:left w:w="30" w:type="dxa"/>
            <w:bottom w:w="0" w:type="dxa"/>
            <w:right w:w="30" w:type="dxa"/>
          </w:tblCellMar>
        </w:tblPrEx>
        <w:trPr>
          <w:cantSplit/>
          <w:trHeight w:val="307" w:hRule="atLeast"/>
        </w:trPr>
        <w:tc>
          <w:tcPr>
            <w:tcW w:w="4590" w:type="dxa"/>
            <w:tcBorders>
              <w:top w:val="single" w:color="auto" w:sz="6" w:space="0"/>
              <w:left w:val="single" w:color="auto" w:sz="6" w:space="0"/>
              <w:bottom w:val="single" w:color="auto" w:sz="6" w:space="0"/>
            </w:tcBorders>
            <w:noWrap w:val="0"/>
            <w:vAlign w:val="top"/>
          </w:tcPr>
          <w:p w14:paraId="60FBCE2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额定绝缘电压Ui(V)*</w:t>
            </w:r>
          </w:p>
        </w:tc>
        <w:tc>
          <w:tcPr>
            <w:tcW w:w="4141" w:type="dxa"/>
            <w:gridSpan w:val="4"/>
            <w:tcBorders>
              <w:top w:val="single" w:color="auto" w:sz="6" w:space="0"/>
              <w:left w:val="single" w:color="auto" w:sz="6" w:space="0"/>
              <w:bottom w:val="single" w:color="auto" w:sz="6" w:space="0"/>
              <w:right w:val="single" w:color="auto" w:sz="4" w:space="0"/>
            </w:tcBorders>
            <w:noWrap w:val="0"/>
            <w:vAlign w:val="top"/>
          </w:tcPr>
          <w:p w14:paraId="035BC827">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690</w:t>
            </w:r>
          </w:p>
        </w:tc>
      </w:tr>
      <w:tr w14:paraId="7A02F13F">
        <w:tblPrEx>
          <w:tblCellMar>
            <w:top w:w="0" w:type="dxa"/>
            <w:left w:w="30" w:type="dxa"/>
            <w:bottom w:w="0" w:type="dxa"/>
            <w:right w:w="30" w:type="dxa"/>
          </w:tblCellMar>
        </w:tblPrEx>
        <w:trPr>
          <w:cantSplit/>
          <w:trHeight w:val="307" w:hRule="atLeast"/>
        </w:trPr>
        <w:tc>
          <w:tcPr>
            <w:tcW w:w="4590" w:type="dxa"/>
            <w:tcBorders>
              <w:top w:val="single" w:color="auto" w:sz="6" w:space="0"/>
              <w:left w:val="single" w:color="auto" w:sz="6" w:space="0"/>
              <w:bottom w:val="single" w:color="auto" w:sz="6" w:space="0"/>
            </w:tcBorders>
            <w:noWrap w:val="0"/>
            <w:vAlign w:val="top"/>
          </w:tcPr>
          <w:p w14:paraId="6CDFBF8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冲击耐受电压Uimp(kV)*</w:t>
            </w:r>
          </w:p>
        </w:tc>
        <w:tc>
          <w:tcPr>
            <w:tcW w:w="4141" w:type="dxa"/>
            <w:gridSpan w:val="4"/>
            <w:tcBorders>
              <w:top w:val="single" w:color="auto" w:sz="6" w:space="0"/>
              <w:left w:val="single" w:color="auto" w:sz="6" w:space="0"/>
              <w:bottom w:val="single" w:color="auto" w:sz="6" w:space="0"/>
              <w:right w:val="single" w:color="auto" w:sz="4" w:space="0"/>
            </w:tcBorders>
            <w:noWrap w:val="0"/>
            <w:vAlign w:val="top"/>
          </w:tcPr>
          <w:p w14:paraId="1B4B5E49">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w:t>
            </w:r>
          </w:p>
        </w:tc>
      </w:tr>
      <w:tr w14:paraId="60B7A1C9">
        <w:tblPrEx>
          <w:tblCellMar>
            <w:top w:w="0" w:type="dxa"/>
            <w:left w:w="30" w:type="dxa"/>
            <w:bottom w:w="0" w:type="dxa"/>
            <w:right w:w="30" w:type="dxa"/>
          </w:tblCellMar>
        </w:tblPrEx>
        <w:trPr>
          <w:cantSplit/>
          <w:trHeight w:val="307" w:hRule="atLeast"/>
        </w:trPr>
        <w:tc>
          <w:tcPr>
            <w:tcW w:w="4590" w:type="dxa"/>
            <w:tcBorders>
              <w:top w:val="single" w:color="auto" w:sz="6" w:space="0"/>
              <w:left w:val="single" w:color="auto" w:sz="6" w:space="0"/>
              <w:bottom w:val="single" w:color="auto" w:sz="6" w:space="0"/>
            </w:tcBorders>
            <w:noWrap w:val="0"/>
            <w:vAlign w:val="top"/>
          </w:tcPr>
          <w:p w14:paraId="2B5DFF4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极数</w:t>
            </w:r>
          </w:p>
        </w:tc>
        <w:tc>
          <w:tcPr>
            <w:tcW w:w="4141" w:type="dxa"/>
            <w:gridSpan w:val="4"/>
            <w:tcBorders>
              <w:top w:val="single" w:color="auto" w:sz="6" w:space="0"/>
              <w:left w:val="single" w:color="auto" w:sz="6" w:space="0"/>
              <w:bottom w:val="single" w:color="auto" w:sz="6" w:space="0"/>
              <w:right w:val="single" w:color="auto" w:sz="4" w:space="0"/>
            </w:tcBorders>
            <w:noWrap w:val="0"/>
            <w:vAlign w:val="top"/>
          </w:tcPr>
          <w:p w14:paraId="3E32CD05">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3P</w:t>
            </w:r>
          </w:p>
        </w:tc>
      </w:tr>
      <w:tr w14:paraId="2DA63020">
        <w:tblPrEx>
          <w:tblCellMar>
            <w:top w:w="0" w:type="dxa"/>
            <w:left w:w="30" w:type="dxa"/>
            <w:bottom w:w="0" w:type="dxa"/>
            <w:right w:w="30" w:type="dxa"/>
          </w:tblCellMar>
        </w:tblPrEx>
        <w:trPr>
          <w:cantSplit/>
          <w:trHeight w:val="293" w:hRule="atLeast"/>
        </w:trPr>
        <w:tc>
          <w:tcPr>
            <w:tcW w:w="4590" w:type="dxa"/>
            <w:tcBorders>
              <w:top w:val="single" w:color="auto" w:sz="6" w:space="0"/>
              <w:left w:val="single" w:color="auto" w:sz="6" w:space="0"/>
              <w:bottom w:val="single" w:color="auto" w:sz="6" w:space="0"/>
              <w:right w:val="single" w:color="auto" w:sz="6" w:space="0"/>
            </w:tcBorders>
            <w:noWrap w:val="0"/>
            <w:vAlign w:val="top"/>
          </w:tcPr>
          <w:p w14:paraId="0EC77CB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额定极限短路分断能力Icu(kA rms)690VAC</w:t>
            </w:r>
          </w:p>
        </w:tc>
        <w:tc>
          <w:tcPr>
            <w:tcW w:w="4141" w:type="dxa"/>
            <w:gridSpan w:val="4"/>
            <w:tcBorders>
              <w:top w:val="single" w:color="auto" w:sz="6" w:space="0"/>
              <w:left w:val="single" w:color="auto" w:sz="6" w:space="0"/>
              <w:bottom w:val="single" w:color="auto" w:sz="6" w:space="0"/>
              <w:right w:val="single" w:color="auto" w:sz="4" w:space="0"/>
            </w:tcBorders>
            <w:noWrap w:val="0"/>
            <w:vAlign w:val="top"/>
          </w:tcPr>
          <w:p w14:paraId="4FC79191">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20</w:t>
            </w:r>
          </w:p>
        </w:tc>
      </w:tr>
      <w:tr w14:paraId="71F5A009">
        <w:tblPrEx>
          <w:tblCellMar>
            <w:top w:w="0" w:type="dxa"/>
            <w:left w:w="30" w:type="dxa"/>
            <w:bottom w:w="0" w:type="dxa"/>
            <w:right w:w="30" w:type="dxa"/>
          </w:tblCellMar>
        </w:tblPrEx>
        <w:trPr>
          <w:cantSplit/>
          <w:trHeight w:val="307" w:hRule="atLeast"/>
        </w:trPr>
        <w:tc>
          <w:tcPr>
            <w:tcW w:w="4590" w:type="dxa"/>
            <w:tcBorders>
              <w:top w:val="single" w:color="auto" w:sz="6" w:space="0"/>
              <w:left w:val="single" w:color="auto" w:sz="6" w:space="0"/>
              <w:bottom w:val="single" w:color="auto" w:sz="6" w:space="0"/>
              <w:right w:val="single" w:color="auto" w:sz="6" w:space="0"/>
            </w:tcBorders>
            <w:noWrap w:val="0"/>
            <w:vAlign w:val="top"/>
          </w:tcPr>
          <w:p w14:paraId="50E2047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额定极限短路分断能力Icu(kA rms)400VAC</w:t>
            </w:r>
          </w:p>
        </w:tc>
        <w:tc>
          <w:tcPr>
            <w:tcW w:w="1345" w:type="dxa"/>
            <w:tcBorders>
              <w:top w:val="single" w:color="auto" w:sz="6" w:space="0"/>
              <w:left w:val="single" w:color="auto" w:sz="6" w:space="0"/>
              <w:bottom w:val="single" w:color="auto" w:sz="6" w:space="0"/>
              <w:right w:val="single" w:color="auto" w:sz="4" w:space="0"/>
            </w:tcBorders>
            <w:noWrap w:val="0"/>
            <w:vAlign w:val="center"/>
          </w:tcPr>
          <w:p w14:paraId="29DACB53">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w:t>
            </w:r>
          </w:p>
        </w:tc>
        <w:tc>
          <w:tcPr>
            <w:tcW w:w="932" w:type="dxa"/>
            <w:tcBorders>
              <w:top w:val="single" w:color="auto" w:sz="6" w:space="0"/>
              <w:left w:val="single" w:color="auto" w:sz="6" w:space="0"/>
              <w:bottom w:val="single" w:color="auto" w:sz="6" w:space="0"/>
              <w:right w:val="single" w:color="auto" w:sz="4" w:space="0"/>
            </w:tcBorders>
            <w:noWrap w:val="0"/>
            <w:vAlign w:val="center"/>
          </w:tcPr>
          <w:p w14:paraId="7DBBA777">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w:t>
            </w:r>
          </w:p>
        </w:tc>
        <w:tc>
          <w:tcPr>
            <w:tcW w:w="932" w:type="dxa"/>
            <w:tcBorders>
              <w:top w:val="single" w:color="auto" w:sz="6" w:space="0"/>
              <w:left w:val="single" w:color="auto" w:sz="6" w:space="0"/>
              <w:bottom w:val="single" w:color="auto" w:sz="6" w:space="0"/>
              <w:right w:val="single" w:color="auto" w:sz="4" w:space="0"/>
            </w:tcBorders>
            <w:noWrap w:val="0"/>
            <w:vAlign w:val="center"/>
          </w:tcPr>
          <w:p w14:paraId="54194872">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w:t>
            </w:r>
          </w:p>
        </w:tc>
        <w:tc>
          <w:tcPr>
            <w:tcW w:w="932" w:type="dxa"/>
            <w:tcBorders>
              <w:top w:val="single" w:color="auto" w:sz="6" w:space="0"/>
              <w:left w:val="single" w:color="auto" w:sz="6" w:space="0"/>
              <w:bottom w:val="single" w:color="auto" w:sz="6" w:space="0"/>
              <w:right w:val="single" w:color="auto" w:sz="4" w:space="0"/>
            </w:tcBorders>
            <w:noWrap w:val="0"/>
            <w:vAlign w:val="center"/>
          </w:tcPr>
          <w:p w14:paraId="42391A63">
            <w:pPr>
              <w:adjustRightInd w:val="0"/>
              <w:spacing w:line="500" w:lineRule="exact"/>
              <w:ind w:left="720" w:hanging="720" w:hangingChars="30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w:t>
            </w:r>
          </w:p>
        </w:tc>
      </w:tr>
      <w:tr w14:paraId="4D96574C">
        <w:tblPrEx>
          <w:tblCellMar>
            <w:top w:w="0" w:type="dxa"/>
            <w:left w:w="30" w:type="dxa"/>
            <w:bottom w:w="0" w:type="dxa"/>
            <w:right w:w="30" w:type="dxa"/>
          </w:tblCellMar>
        </w:tblPrEx>
        <w:trPr>
          <w:cantSplit/>
          <w:trHeight w:val="307" w:hRule="atLeast"/>
        </w:trPr>
        <w:tc>
          <w:tcPr>
            <w:tcW w:w="4590" w:type="dxa"/>
            <w:tcBorders>
              <w:top w:val="single" w:color="auto" w:sz="6" w:space="0"/>
              <w:left w:val="single" w:color="auto" w:sz="6" w:space="0"/>
              <w:bottom w:val="single" w:color="auto" w:sz="6" w:space="0"/>
              <w:right w:val="single" w:color="auto" w:sz="6" w:space="0"/>
            </w:tcBorders>
            <w:noWrap w:val="0"/>
            <w:vAlign w:val="top"/>
          </w:tcPr>
          <w:p w14:paraId="6DECF8B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额定运行短路分断能力Ics(kA rms)*</w:t>
            </w:r>
          </w:p>
        </w:tc>
        <w:tc>
          <w:tcPr>
            <w:tcW w:w="4141" w:type="dxa"/>
            <w:gridSpan w:val="4"/>
            <w:tcBorders>
              <w:top w:val="single" w:color="auto" w:sz="6" w:space="0"/>
              <w:left w:val="single" w:color="auto" w:sz="6" w:space="0"/>
              <w:bottom w:val="single" w:color="auto" w:sz="6" w:space="0"/>
              <w:right w:val="single" w:color="auto" w:sz="4" w:space="0"/>
            </w:tcBorders>
            <w:noWrap w:val="0"/>
            <w:vAlign w:val="center"/>
          </w:tcPr>
          <w:p w14:paraId="0B9900A5">
            <w:pPr>
              <w:adjustRightInd w:val="0"/>
              <w:spacing w:line="500" w:lineRule="exact"/>
              <w:ind w:left="720" w:hanging="720" w:hangingChars="3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Ics=100%Icu</w:t>
            </w:r>
          </w:p>
        </w:tc>
      </w:tr>
      <w:tr w14:paraId="3C9404F4">
        <w:tblPrEx>
          <w:tblCellMar>
            <w:top w:w="0" w:type="dxa"/>
            <w:left w:w="30" w:type="dxa"/>
            <w:bottom w:w="0" w:type="dxa"/>
            <w:right w:w="30" w:type="dxa"/>
          </w:tblCellMar>
        </w:tblPrEx>
        <w:trPr>
          <w:cantSplit/>
          <w:trHeight w:val="307" w:hRule="atLeast"/>
        </w:trPr>
        <w:tc>
          <w:tcPr>
            <w:tcW w:w="4590" w:type="dxa"/>
            <w:tcBorders>
              <w:top w:val="single" w:color="auto" w:sz="6" w:space="0"/>
              <w:left w:val="single" w:color="auto" w:sz="6" w:space="0"/>
              <w:bottom w:val="single" w:color="auto" w:sz="6" w:space="0"/>
              <w:right w:val="single" w:color="auto" w:sz="6" w:space="0"/>
            </w:tcBorders>
            <w:noWrap w:val="0"/>
            <w:vAlign w:val="top"/>
          </w:tcPr>
          <w:p w14:paraId="5B56B6E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脱扣器</w:t>
            </w:r>
          </w:p>
        </w:tc>
        <w:tc>
          <w:tcPr>
            <w:tcW w:w="4141" w:type="dxa"/>
            <w:gridSpan w:val="4"/>
            <w:tcBorders>
              <w:top w:val="single" w:color="auto" w:sz="6" w:space="0"/>
              <w:left w:val="single" w:color="auto" w:sz="6" w:space="0"/>
              <w:bottom w:val="single" w:color="auto" w:sz="6" w:space="0"/>
              <w:right w:val="single" w:color="auto" w:sz="4" w:space="0"/>
            </w:tcBorders>
            <w:noWrap w:val="0"/>
            <w:vAlign w:val="top"/>
          </w:tcPr>
          <w:p w14:paraId="663D009C">
            <w:pPr>
              <w:adjustRightInd w:val="0"/>
              <w:spacing w:line="500" w:lineRule="exact"/>
              <w:ind w:left="720" w:hanging="720" w:hangingChars="3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热磁脱扣器</w:t>
            </w:r>
          </w:p>
        </w:tc>
      </w:tr>
      <w:tr w14:paraId="64C751C6">
        <w:tblPrEx>
          <w:tblCellMar>
            <w:top w:w="0" w:type="dxa"/>
            <w:left w:w="30" w:type="dxa"/>
            <w:bottom w:w="0" w:type="dxa"/>
            <w:right w:w="30" w:type="dxa"/>
          </w:tblCellMar>
        </w:tblPrEx>
        <w:trPr>
          <w:cantSplit/>
          <w:trHeight w:val="307" w:hRule="atLeast"/>
        </w:trPr>
        <w:tc>
          <w:tcPr>
            <w:tcW w:w="4590" w:type="dxa"/>
            <w:tcBorders>
              <w:top w:val="single" w:color="auto" w:sz="6" w:space="0"/>
              <w:left w:val="single" w:color="auto" w:sz="6" w:space="0"/>
              <w:bottom w:val="single" w:color="auto" w:sz="6" w:space="0"/>
              <w:right w:val="single" w:color="auto" w:sz="6" w:space="0"/>
            </w:tcBorders>
            <w:noWrap w:val="0"/>
            <w:vAlign w:val="top"/>
          </w:tcPr>
          <w:p w14:paraId="12DA96A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欠压脱扣器（0~5s延时可调）</w:t>
            </w:r>
          </w:p>
        </w:tc>
        <w:tc>
          <w:tcPr>
            <w:tcW w:w="4141" w:type="dxa"/>
            <w:gridSpan w:val="4"/>
            <w:tcBorders>
              <w:top w:val="single" w:color="auto" w:sz="6" w:space="0"/>
              <w:left w:val="single" w:color="auto" w:sz="6" w:space="0"/>
              <w:bottom w:val="single" w:color="auto" w:sz="6" w:space="0"/>
              <w:right w:val="single" w:color="auto" w:sz="4" w:space="0"/>
            </w:tcBorders>
            <w:noWrap w:val="0"/>
            <w:vAlign w:val="top"/>
          </w:tcPr>
          <w:p w14:paraId="4C28799C">
            <w:pPr>
              <w:adjustRightInd w:val="0"/>
              <w:spacing w:line="500" w:lineRule="exact"/>
              <w:ind w:left="720" w:hanging="720" w:hangingChars="3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按设计要求</w:t>
            </w:r>
          </w:p>
        </w:tc>
      </w:tr>
      <w:tr w14:paraId="6EF8F78E">
        <w:tblPrEx>
          <w:tblCellMar>
            <w:top w:w="0" w:type="dxa"/>
            <w:left w:w="30" w:type="dxa"/>
            <w:bottom w:w="0" w:type="dxa"/>
            <w:right w:w="30" w:type="dxa"/>
          </w:tblCellMar>
        </w:tblPrEx>
        <w:trPr>
          <w:cantSplit/>
          <w:trHeight w:val="307" w:hRule="atLeast"/>
        </w:trPr>
        <w:tc>
          <w:tcPr>
            <w:tcW w:w="4590" w:type="dxa"/>
            <w:tcBorders>
              <w:top w:val="single" w:color="auto" w:sz="6" w:space="0"/>
              <w:left w:val="single" w:color="auto" w:sz="6" w:space="0"/>
              <w:bottom w:val="single" w:color="auto" w:sz="6" w:space="0"/>
              <w:right w:val="single" w:color="auto" w:sz="6" w:space="0"/>
            </w:tcBorders>
            <w:noWrap w:val="0"/>
            <w:vAlign w:val="top"/>
          </w:tcPr>
          <w:p w14:paraId="2293681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辅助触点</w:t>
            </w:r>
          </w:p>
        </w:tc>
        <w:tc>
          <w:tcPr>
            <w:tcW w:w="4141" w:type="dxa"/>
            <w:gridSpan w:val="4"/>
            <w:tcBorders>
              <w:top w:val="single" w:color="auto" w:sz="6" w:space="0"/>
              <w:left w:val="single" w:color="auto" w:sz="6" w:space="0"/>
              <w:bottom w:val="single" w:color="auto" w:sz="6" w:space="0"/>
              <w:right w:val="single" w:color="auto" w:sz="4" w:space="0"/>
            </w:tcBorders>
            <w:noWrap w:val="0"/>
            <w:vAlign w:val="top"/>
          </w:tcPr>
          <w:p w14:paraId="5857F57A">
            <w:pPr>
              <w:adjustRightInd w:val="0"/>
              <w:spacing w:line="500" w:lineRule="exact"/>
              <w:ind w:left="720" w:hanging="720" w:hangingChars="3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符合设计及使用要求</w:t>
            </w:r>
          </w:p>
        </w:tc>
      </w:tr>
      <w:tr w14:paraId="5AD05BBD">
        <w:tblPrEx>
          <w:tblCellMar>
            <w:top w:w="0" w:type="dxa"/>
            <w:left w:w="30" w:type="dxa"/>
            <w:bottom w:w="0" w:type="dxa"/>
            <w:right w:w="30" w:type="dxa"/>
          </w:tblCellMar>
        </w:tblPrEx>
        <w:trPr>
          <w:cantSplit/>
          <w:trHeight w:val="307" w:hRule="atLeast"/>
        </w:trPr>
        <w:tc>
          <w:tcPr>
            <w:tcW w:w="4590" w:type="dxa"/>
            <w:tcBorders>
              <w:top w:val="single" w:color="auto" w:sz="6" w:space="0"/>
              <w:left w:val="single" w:color="auto" w:sz="6" w:space="0"/>
              <w:bottom w:val="single" w:color="auto" w:sz="6" w:space="0"/>
              <w:right w:val="single" w:color="auto" w:sz="6" w:space="0"/>
            </w:tcBorders>
            <w:noWrap w:val="0"/>
            <w:vAlign w:val="top"/>
          </w:tcPr>
          <w:p w14:paraId="4D8666F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安装形式</w:t>
            </w:r>
          </w:p>
        </w:tc>
        <w:tc>
          <w:tcPr>
            <w:tcW w:w="4141" w:type="dxa"/>
            <w:gridSpan w:val="4"/>
            <w:tcBorders>
              <w:top w:val="single" w:color="auto" w:sz="6" w:space="0"/>
              <w:left w:val="single" w:color="auto" w:sz="6" w:space="0"/>
              <w:bottom w:val="single" w:color="auto" w:sz="6" w:space="0"/>
              <w:right w:val="single" w:color="auto" w:sz="4" w:space="0"/>
            </w:tcBorders>
            <w:noWrap w:val="0"/>
            <w:vAlign w:val="top"/>
          </w:tcPr>
          <w:p w14:paraId="08285D84">
            <w:pPr>
              <w:adjustRightInd w:val="0"/>
              <w:spacing w:line="500" w:lineRule="exact"/>
              <w:ind w:left="720" w:hanging="720" w:hangingChars="3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板后接线式</w:t>
            </w:r>
          </w:p>
        </w:tc>
      </w:tr>
    </w:tbl>
    <w:p w14:paraId="33088128">
      <w:pPr>
        <w:keepNext w:val="0"/>
        <w:keepLines w:val="0"/>
        <w:pageBreakBefore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1.4无功补偿柜</w:t>
      </w:r>
    </w:p>
    <w:p w14:paraId="2B1B9465">
      <w:pPr>
        <w:keepNext w:val="0"/>
        <w:keepLines w:val="0"/>
        <w:pageBreakBefore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（1）补偿柜</w:t>
      </w:r>
    </w:p>
    <w:p w14:paraId="1E50E35A">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补偿柜内部元件（包括电容、电抗、补偿控制器、可控硅控制开关）均需为同一供货厂商生产，按招标方性能要求选择对应型号选择，应配置符合国家现行的相关规定的高性能产品。柜体颜色、尺寸应与低压柜体一致，并能保证按图纸尺寸合理安装到位。</w:t>
      </w:r>
    </w:p>
    <w:p w14:paraId="0BE4576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val="0"/>
          <w:bCs/>
          <w:color w:val="000000" w:themeColor="text1"/>
          <w:sz w:val="24"/>
          <w:lang w:eastAsia="zh-CN"/>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具体要求</w:t>
      </w:r>
      <w:r>
        <w:rPr>
          <w:rFonts w:hint="eastAsia" w:ascii="宋体" w:hAnsi="宋体" w:eastAsia="宋体" w:cs="宋体"/>
          <w:b w:val="0"/>
          <w:bCs/>
          <w:color w:val="000000" w:themeColor="text1"/>
          <w:sz w:val="24"/>
          <w:lang w:eastAsia="zh-CN"/>
          <w14:textFill>
            <w14:solidFill>
              <w14:schemeClr w14:val="tx1"/>
            </w14:solidFill>
          </w14:textFill>
        </w:rPr>
        <w:t>：</w:t>
      </w:r>
    </w:p>
    <w:p w14:paraId="61A4D585">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1.1低压滤波补偿采用接触器投切的动态补偿方式。</w:t>
      </w:r>
    </w:p>
    <w:p w14:paraId="719DE74E">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1.2要求防止供配电系统电压跌落和闪烁。</w:t>
      </w:r>
    </w:p>
    <w:p w14:paraId="5485954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防止补偿设备对灵敏电子设备的损坏及干扰。需加装箱体式浪涌保护器（II级SPD），以防止补偿系统自身产生或来自其它系统的瞬态过电流，所加浪涌保护器需符合国家相关标准并按相关规定达到和低压进线柜内I级浪涌保护器分级防护目的。</w:t>
      </w:r>
    </w:p>
    <w:p w14:paraId="182D2F7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1.5补偿滤波柜设有功率因数自动控制器，实现补偿滤波设备的自动分步投切，补偿柜补偿单回路精度不高于40Kvar,使功率因数达到O.95以上。</w:t>
      </w:r>
    </w:p>
    <w:p w14:paraId="5663CF1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1.6在20毫秒内完成所有电容段的投入或切除过程。</w:t>
      </w:r>
    </w:p>
    <w:p w14:paraId="566B438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1.7可以通过周期扫描程序控制，在不需要全部投入电容器组的情况下，使每一组电容器能平均使用，减少它们的平均电流和温升，提高使用寿命。</w:t>
      </w:r>
    </w:p>
    <w:p w14:paraId="1F6411C3">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1.8要求内设三相网络分析仪，测量包括谐波在内的所有电网参数。</w:t>
      </w:r>
    </w:p>
    <w:p w14:paraId="313B2FB9">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1.9具备自诊断和综合图文报表功能。</w:t>
      </w:r>
    </w:p>
    <w:p w14:paraId="517DA717">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1.10能增加变压器及输电线路的利用率，减少系统的电压降使用户端电压稳定。</w:t>
      </w:r>
    </w:p>
    <w:p w14:paraId="72F1CBB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1.11通讯接口RS485可与计算机连接通讯，进行遥测、遥控及打印，配置电能质量分析软件，在后台机可以进行监控、测试数据存储和分析。</w:t>
      </w:r>
    </w:p>
    <w:p w14:paraId="59FB8EAB">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（2）低压无功补偿控制器</w:t>
      </w:r>
    </w:p>
    <w:p w14:paraId="1D87499A">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变电所低压无功补偿柜内的无功补偿控制器应满足下列技术要求：</w:t>
      </w:r>
    </w:p>
    <w:p w14:paraId="42C39F76">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2.1满足系统电压、电流、频率的性能水平要求，控制物理量应优选复合型。</w:t>
      </w:r>
    </w:p>
    <w:p w14:paraId="7EE25BB5">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2.2控制器输出接点容量不应小于被控对象的要求。</w:t>
      </w:r>
    </w:p>
    <w:p w14:paraId="032A0FD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2.3控制器在使用中的紧固件和调整件均应有锁紧措施，保证使用过程中不会因振动而松动。</w:t>
      </w:r>
    </w:p>
    <w:p w14:paraId="0B1415A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2.4控制器外壳应有足够的机械强度，应承受使用和搬运过程中受到机械力。外壳防护等级不应小于IP40。当控制器采用金属外壳时,应提供接地端子,并应设有明显的接地标志。</w:t>
      </w:r>
    </w:p>
    <w:p w14:paraId="31A191E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2.5控制器电源及电压模拟量输入端应设有短路保护器件。在发生内部故障时，该保护应可靠动作。控制器应具有RS485标准接口</w:t>
      </w:r>
      <w:bookmarkStart w:id="1" w:name="OLE_LINK5"/>
      <w:r>
        <w:rPr>
          <w:rFonts w:hint="eastAsia" w:ascii="宋体" w:hAnsi="宋体" w:eastAsia="宋体" w:cs="宋体"/>
          <w:color w:val="000000" w:themeColor="text1"/>
          <w:sz w:val="24"/>
          <w14:textFill>
            <w14:solidFill>
              <w14:schemeClr w14:val="tx1"/>
            </w14:solidFill>
          </w14:textFill>
        </w:rPr>
        <w:t>（支持或兼容Modbus-RTU等标准通讯规约）</w:t>
      </w:r>
      <w:bookmarkEnd w:id="1"/>
      <w:r>
        <w:rPr>
          <w:rFonts w:hint="eastAsia" w:ascii="宋体" w:hAnsi="宋体" w:eastAsia="宋体" w:cs="宋体"/>
          <w:color w:val="000000" w:themeColor="text1"/>
          <w:sz w:val="24"/>
          <w14:textFill>
            <w14:solidFill>
              <w14:schemeClr w14:val="tx1"/>
            </w14:solidFill>
          </w14:textFill>
        </w:rPr>
        <w:t>，接入电力监控管理系统现场控制站。</w:t>
      </w:r>
    </w:p>
    <w:p w14:paraId="5480939B">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2.6控制器保护系统：过电压保护、过温度保护、谐波过载保护、功率因数补偿故障报警、欠电压保护。</w:t>
      </w:r>
    </w:p>
    <w:p w14:paraId="392A35E6">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2.7控制器应具有投入及切除门限设定值、延时设定值的设置功能，对可按设定程序投切的控制器应具有投切程序控制功能，面板功能键操作应具有容错功能，面板设置应具有硬件或软件闭锁功能。</w:t>
      </w:r>
    </w:p>
    <w:p w14:paraId="09394659">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2.8控制器应具有工作电源显示，超前、滞后显示，输出回路工作状态显示，过电压保护动作显示，可以对谐波进行分析，且显示谐波的百分比值。</w:t>
      </w:r>
    </w:p>
    <w:p w14:paraId="0651B394">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2.9控制器能通过闭环控制，使开关模块在电流过零时开断/投切。</w:t>
      </w:r>
    </w:p>
    <w:p w14:paraId="64CCFDC2">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2.10控制器应具有自动按设定程序投切功能，实现功率因数设定范围在0.95～0.98之间的分级调整（手动或远动）。</w:t>
      </w:r>
    </w:p>
    <w:p w14:paraId="2B1F0457">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（3）控制器闭锁报警功能：</w:t>
      </w:r>
    </w:p>
    <w:p w14:paraId="43F8C0F6">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在系统电压大于107%标称值时闭锁控制器投入回路。</w:t>
      </w:r>
    </w:p>
    <w:p w14:paraId="2E938E1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控制器内部发生故障时，闭锁输出回路并报警。</w:t>
      </w:r>
    </w:p>
    <w:p w14:paraId="5B617B8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运行中若出现故障，即时告警，并能判别故障类型予以显示，便于快速检修。 </w:t>
      </w:r>
    </w:p>
    <w:p w14:paraId="657E10B2">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盘上设置自动/手动补偿开关，可以实现自动或手动两种补偿方式。 </w:t>
      </w:r>
    </w:p>
    <w:p w14:paraId="0978AF20">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无功补偿控制器的主要技术参数要求：</w:t>
      </w:r>
    </w:p>
    <w:p w14:paraId="31C5B164">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额定工作电压：  220VAC</w:t>
      </w:r>
    </w:p>
    <w:p w14:paraId="3A28999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连接：  可插拔式端子</w:t>
      </w:r>
    </w:p>
    <w:p w14:paraId="3F6993A6">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工作温度：  -5℃～+50℃</w:t>
      </w:r>
    </w:p>
    <w:p w14:paraId="421239D0">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防护等级：  前面板IP50</w:t>
      </w:r>
    </w:p>
    <w:p w14:paraId="0F284B83">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（4）低压电容器 </w:t>
      </w:r>
    </w:p>
    <w:p w14:paraId="4B87C02E">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4.1无功补偿采用低压充气（惰性气体）型环保化（环氧树脂浇注）自愈低压并联电容器，通过CCC强制认证。分组电容器的投切不得发生振荡，投切一组电容器引起的所在相母线电压变动不宜超过2.5%。</w:t>
      </w:r>
    </w:p>
    <w:p w14:paraId="4A63DF05">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4.2电容器装置应有过电压保护，每组电容器回路中应有限制合闸涌流的措施，并能防止在短时间内反复投切。</w:t>
      </w:r>
    </w:p>
    <w:p w14:paraId="2FA4DF6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4.3电容器的外壳防护等级不低于IP20。</w:t>
      </w:r>
    </w:p>
    <w:p w14:paraId="457AB9F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4.4电容器采用固定安装方式。无功功率补偿柜中每一补偿滤波单元应有1min内峰值电压放电到50V或以下的放电器件，并且，当任一分组电容器再次投入时，其线路端子上的剩余电压应不超过额定电压的1O%。在放电器件和单元之间不得有开关、熔断器或其它隔离装置。</w:t>
      </w:r>
    </w:p>
    <w:p w14:paraId="446EFD2D">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4.5电容器单元的金属外壳上应有一个能够承担故障电流的连接头。 </w:t>
      </w:r>
    </w:p>
    <w:p w14:paraId="7F708CE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4.6自愈性电容器，有过压拉断保护装置，包含过电流，过压力，过温度保护，防止爆炸和鼓肚。</w:t>
      </w:r>
    </w:p>
    <w:p w14:paraId="50F51E4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4.7电容器连接采用三相共补和分补的方式，应用智能控制理论，实现自动投切补偿。</w:t>
      </w:r>
    </w:p>
    <w:p w14:paraId="5C909B1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4.8电容器应具有，不渗漏，不鼓肚，不燃烧，不爆炸，不污染环境,以及寿命长，损耗&lt;0.4 W/Kvar等先进指标，同时应与配套设备的技术参数相适应并满足电压波动的允许条件。</w:t>
      </w:r>
    </w:p>
    <w:p w14:paraId="16E4713A">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4.9电容器被永久击穿时仅故障元件退出运行，其它元件仍可正常运行。</w:t>
      </w:r>
    </w:p>
    <w:p w14:paraId="52E78E5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4.10内装放电电阻，在1分钟内端子间的电压降至50V以下。</w:t>
      </w:r>
    </w:p>
    <w:p w14:paraId="2ECE1519">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4.11应配有自动投切低压电容器及电抗器组装置，使功率因数保护在0.92以上，同时分组投切时，不应产生谐振。</w:t>
      </w:r>
    </w:p>
    <w:p w14:paraId="43F29CE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4.12电容器主要技术参数要求：</w:t>
      </w:r>
    </w:p>
    <w:p w14:paraId="7790E959">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工作电压：  450VAC（P14）；</w:t>
      </w:r>
    </w:p>
    <w:p w14:paraId="60374EBB">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频率：      50Hz；</w:t>
      </w:r>
    </w:p>
    <w:p w14:paraId="3DE72E65">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损耗        &lt;0.2W/Kvar</w:t>
      </w:r>
    </w:p>
    <w:p w14:paraId="4DA43065">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放电电阻    60秒放电至50V以下</w:t>
      </w:r>
    </w:p>
    <w:p w14:paraId="2F454326">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环境温度：   上限+60℃，下限-40℃；</w:t>
      </w:r>
    </w:p>
    <w:p w14:paraId="539E5F9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最大过电压:    1.1Un；</w:t>
      </w:r>
    </w:p>
    <w:p w14:paraId="58989D8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最大过电流:    2.2 In；</w:t>
      </w:r>
    </w:p>
    <w:p w14:paraId="20663065">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绝缘耐压:     4.5kV/2s；</w:t>
      </w:r>
    </w:p>
    <w:p w14:paraId="56C9A94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海拔：        4000m；</w:t>
      </w:r>
    </w:p>
    <w:p w14:paraId="5B4343CB">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内部接线方式：   三角形；</w:t>
      </w:r>
    </w:p>
    <w:p w14:paraId="5BFA189E">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使用年限：&gt;100000小时。</w:t>
      </w:r>
    </w:p>
    <w:p w14:paraId="11F5519D">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（5）补偿回路投切开关模块</w:t>
      </w:r>
    </w:p>
    <w:p w14:paraId="50D4ED0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5.1开关模块控制补偿单回路，即每一补偿单回路均由单一开关控制；</w:t>
      </w:r>
    </w:p>
    <w:p w14:paraId="4751FC9D">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5.2要求开关模块在电流过零时开断投切，投切时系统无涌流，无冲击，不会造成电网电压闪变，且操作时无噪音，无机械磨损；</w:t>
      </w:r>
    </w:p>
    <w:p w14:paraId="21182572">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5.3关模块要求集成一体化结构，便于安装、维护、更换；</w:t>
      </w:r>
    </w:p>
    <w:p w14:paraId="5B3CECF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5.4具备过温保护功能，有工作状态显示装置；</w:t>
      </w:r>
    </w:p>
    <w:p w14:paraId="5FF79AD2">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5.5所配置可控硅开关模块的额定电压、额定容量应与该回路内电容器、电抗器配套；</w:t>
      </w:r>
    </w:p>
    <w:p w14:paraId="685431EE">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5.6其它技术要求要求达到或超过如下标准：</w:t>
      </w:r>
    </w:p>
    <w:p w14:paraId="3290EE1A">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额定电压：230/400VAC8、额定频率：50HZ</w:t>
      </w:r>
    </w:p>
    <w:p w14:paraId="1E5003B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防护等级：IP20</w:t>
      </w:r>
    </w:p>
    <w:p w14:paraId="46AD5256">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工作环境：温度-20℃~60℃，湿度20%~90%（40℃）</w:t>
      </w:r>
    </w:p>
    <w:p w14:paraId="66B5CB9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使用寿命：超过15年</w:t>
      </w:r>
    </w:p>
    <w:p w14:paraId="17D83735">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（6）指示灯</w:t>
      </w:r>
    </w:p>
    <w:p w14:paraId="61B6029B">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6.1框架开关柜门面板须配备合闸（红色）、分闸（绿色）、储能（橙色）状态指示灯;</w:t>
      </w:r>
    </w:p>
    <w:p w14:paraId="620E08E6">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6.2塑壳开关柜面面板须配备电源指示灯（红色）和工作状态（白色）指示灯；</w:t>
      </w:r>
    </w:p>
    <w:p w14:paraId="265AA175">
      <w:pPr>
        <w:pStyle w:val="25"/>
        <w:keepNext w:val="0"/>
        <w:keepLines w:val="0"/>
        <w:pageBreakBefore w:val="0"/>
        <w:kinsoku/>
        <w:wordWrap/>
        <w:overflowPunct/>
        <w:topLinePunct w:val="0"/>
        <w:autoSpaceDE/>
        <w:autoSpaceDN/>
        <w:bidi w:val="0"/>
        <w:adjustRightInd/>
        <w:snapToGrid w:val="0"/>
        <w:spacing w:line="48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6.3指示灯和按钮的排列需保持一致；</w:t>
      </w:r>
    </w:p>
    <w:p w14:paraId="33FBD13C">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）技术资料</w:t>
      </w:r>
    </w:p>
    <w:p w14:paraId="4D64716B">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.1投标人必须随产品提供出厂试验报告和质量合格证书。</w:t>
      </w:r>
    </w:p>
    <w:p w14:paraId="3F1EC167">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.2柜内的所有绝缘组件、部件、凡在配套工厂已进行过局部放电以及其他试验的，其试验记录应随出厂试验报告一并提交给用户。</w:t>
      </w:r>
    </w:p>
    <w:p w14:paraId="70E8CB43">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7.3</w:t>
      </w:r>
      <w:r>
        <w:rPr>
          <w:rFonts w:hint="eastAsia" w:ascii="宋体" w:hAnsi="宋体" w:eastAsia="宋体" w:cs="宋体"/>
          <w:color w:val="000000" w:themeColor="text1"/>
          <w:sz w:val="24"/>
          <w14:textFill>
            <w14:solidFill>
              <w14:schemeClr w14:val="tx1"/>
            </w14:solidFill>
          </w14:textFill>
        </w:rPr>
        <w:t>提供产品安装、吊运尺寸图和产品拆卸零件一览表。</w:t>
      </w:r>
    </w:p>
    <w:p w14:paraId="3FC3D992">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7.4</w:t>
      </w:r>
      <w:r>
        <w:rPr>
          <w:rFonts w:hint="eastAsia" w:ascii="宋体" w:hAnsi="宋体" w:eastAsia="宋体" w:cs="宋体"/>
          <w:color w:val="000000" w:themeColor="text1"/>
          <w:sz w:val="24"/>
          <w14:textFill>
            <w14:solidFill>
              <w14:schemeClr w14:val="tx1"/>
            </w14:solidFill>
          </w14:textFill>
        </w:rPr>
        <w:t>提供外部引入线的布置安装方式及柜内接线布置、操作机构接线图、端子图，安装使用说明书。</w:t>
      </w:r>
    </w:p>
    <w:p w14:paraId="36E28B3A">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7.5</w:t>
      </w:r>
      <w:r>
        <w:rPr>
          <w:rFonts w:hint="eastAsia" w:ascii="宋体" w:hAnsi="宋体" w:eastAsia="宋体" w:cs="宋体"/>
          <w:color w:val="000000" w:themeColor="text1"/>
          <w:sz w:val="24"/>
          <w14:textFill>
            <w14:solidFill>
              <w14:schemeClr w14:val="tx1"/>
            </w14:solidFill>
          </w14:textFill>
        </w:rPr>
        <w:t>提供产品合格证书和铭牌图(或铭牌标志图)及专用工具一览表。</w:t>
      </w:r>
    </w:p>
    <w:p w14:paraId="501DE21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7.6</w:t>
      </w:r>
      <w:r>
        <w:rPr>
          <w:rFonts w:hint="eastAsia" w:ascii="宋体" w:hAnsi="宋体" w:eastAsia="宋体" w:cs="宋体"/>
          <w:color w:val="000000" w:themeColor="text1"/>
          <w:sz w:val="24"/>
          <w14:textFill>
            <w14:solidFill>
              <w14:schemeClr w14:val="tx1"/>
            </w14:solidFill>
          </w14:textFill>
        </w:rPr>
        <w:t>安装及运行维护说明书，包括说明低压开关柜吊运、安装、调试、检修拆装顺序的安装说明书，以及低压开关柜运行维护说明书，必须在第一台低压开关柜安装前1个月提供，每站8份。</w:t>
      </w:r>
    </w:p>
    <w:p w14:paraId="2D5C3D3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7.7</w:t>
      </w:r>
      <w:r>
        <w:rPr>
          <w:rFonts w:hint="eastAsia" w:ascii="宋体" w:hAnsi="宋体" w:eastAsia="宋体" w:cs="宋体"/>
          <w:color w:val="000000" w:themeColor="text1"/>
          <w:sz w:val="24"/>
          <w14:textFill>
            <w14:solidFill>
              <w14:schemeClr w14:val="tx1"/>
            </w14:solidFill>
          </w14:textFill>
        </w:rPr>
        <w:t>以上资料文件，在产品到货之后15日内，应复印三份给采购人，随产品附带一份原件随产品出厂资料应妥善包装，防止受潮。</w:t>
      </w:r>
    </w:p>
    <w:p w14:paraId="7EA846A4">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）试验</w:t>
      </w:r>
    </w:p>
    <w:p w14:paraId="6C0E7919">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8.1</w:t>
      </w:r>
      <w:r>
        <w:rPr>
          <w:rFonts w:hint="eastAsia" w:ascii="宋体" w:hAnsi="宋体" w:eastAsia="宋体" w:cs="宋体"/>
          <w:color w:val="000000" w:themeColor="text1"/>
          <w:sz w:val="24"/>
          <w14:textFill>
            <w14:solidFill>
              <w14:schemeClr w14:val="tx1"/>
            </w14:solidFill>
          </w14:textFill>
        </w:rPr>
        <w:t>每台低压开关柜必须按GB3906、DL/T404和GB7251.1的规定进行检查和试验。</w:t>
      </w:r>
    </w:p>
    <w:p w14:paraId="440C4F8A">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8.2</w:t>
      </w:r>
      <w:r>
        <w:rPr>
          <w:rFonts w:hint="eastAsia" w:ascii="宋体" w:hAnsi="宋体" w:eastAsia="宋体" w:cs="宋体"/>
          <w:color w:val="000000" w:themeColor="text1"/>
          <w:sz w:val="24"/>
          <w14:textFill>
            <w14:solidFill>
              <w14:schemeClr w14:val="tx1"/>
            </w14:solidFill>
          </w14:textFill>
        </w:rPr>
        <w:t>柜内所有各组件和元器件必须按它们各自的标准要求做出厂试验。</w:t>
      </w:r>
    </w:p>
    <w:p w14:paraId="77FE6123">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低压开关柜试验项目：</w:t>
      </w:r>
    </w:p>
    <w:p w14:paraId="11F94BA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低压开关柜出厂试验(交货时提供试验报告)</w:t>
      </w:r>
    </w:p>
    <w:p w14:paraId="44790B43">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检查接线并进行通电操作试验；</w:t>
      </w:r>
    </w:p>
    <w:p w14:paraId="3C1F447B">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介电强度试验；</w:t>
      </w:r>
    </w:p>
    <w:p w14:paraId="0CDDA094">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防护措施和保护电路的电连续性检查试验；</w:t>
      </w:r>
    </w:p>
    <w:p w14:paraId="2B918B8E">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外观检查</w:t>
      </w:r>
    </w:p>
    <w:p w14:paraId="75B16143">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现场试验：</w:t>
      </w:r>
    </w:p>
    <w:p w14:paraId="1146703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绝缘电阻测量；</w:t>
      </w:r>
    </w:p>
    <w:p w14:paraId="57CC6AB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电气接线、标志检查；</w:t>
      </w:r>
    </w:p>
    <w:p w14:paraId="75E094F4">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机械操作检查；</w:t>
      </w:r>
    </w:p>
    <w:p w14:paraId="13CCD9AA">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断路器电气联锁检查；</w:t>
      </w:r>
    </w:p>
    <w:p w14:paraId="6689749A">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断路器检查；</w:t>
      </w:r>
    </w:p>
    <w:p w14:paraId="1B70AA2D">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外观检查</w:t>
      </w:r>
    </w:p>
    <w:p w14:paraId="400C496C">
      <w:pPr>
        <w:pStyle w:val="25"/>
        <w:keepNext w:val="0"/>
        <w:keepLines w:val="0"/>
        <w:pageBreakBefore w:val="0"/>
        <w:kinsoku/>
        <w:wordWrap/>
        <w:overflowPunct/>
        <w:topLinePunct w:val="0"/>
        <w:autoSpaceDE/>
        <w:autoSpaceDN/>
        <w:bidi w:val="0"/>
        <w:adjustRightInd/>
        <w:snapToGrid w:val="0"/>
        <w:spacing w:line="480" w:lineRule="exact"/>
        <w:textAlignment w:val="auto"/>
        <w:outlineLvl w:val="0"/>
        <w:rPr>
          <w:rFonts w:hint="eastAsia" w:hAnsi="宋体" w:cs="Times New Roman"/>
          <w:b/>
          <w:bCs/>
          <w:color w:val="000000" w:themeColor="text1"/>
          <w:sz w:val="24"/>
          <w:szCs w:val="24"/>
          <w:lang w:val="en-US" w:eastAsia="zh-CN"/>
          <w14:textFill>
            <w14:solidFill>
              <w14:schemeClr w14:val="tx1"/>
            </w14:solidFill>
          </w14:textFill>
        </w:rPr>
      </w:pPr>
      <w:r>
        <w:rPr>
          <w:rFonts w:hint="eastAsia" w:hAnsi="宋体" w:cs="Times New Roman"/>
          <w:b/>
          <w:bCs/>
          <w:color w:val="000000" w:themeColor="text1"/>
          <w:sz w:val="24"/>
          <w:szCs w:val="24"/>
          <w:lang w:val="en-US" w:eastAsia="zh-CN"/>
          <w14:textFill>
            <w14:solidFill>
              <w14:schemeClr w14:val="tx1"/>
            </w14:solidFill>
          </w14:textFill>
        </w:rPr>
        <w:t>1.5变压器</w:t>
      </w:r>
    </w:p>
    <w:p w14:paraId="3FCBAA73">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（1）干式变压器主要技术参数</w:t>
      </w:r>
    </w:p>
    <w:tbl>
      <w:tblPr>
        <w:tblStyle w:val="43"/>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8"/>
        <w:gridCol w:w="291"/>
        <w:gridCol w:w="1545"/>
        <w:gridCol w:w="4030"/>
      </w:tblGrid>
      <w:tr w14:paraId="36A2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08" w:type="dxa"/>
            <w:noWrap w:val="0"/>
            <w:vAlign w:val="center"/>
          </w:tcPr>
          <w:p w14:paraId="634135D1">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序号</w:t>
            </w:r>
          </w:p>
        </w:tc>
        <w:tc>
          <w:tcPr>
            <w:tcW w:w="3464" w:type="dxa"/>
            <w:gridSpan w:val="3"/>
            <w:noWrap w:val="0"/>
            <w:vAlign w:val="center"/>
          </w:tcPr>
          <w:p w14:paraId="0723EA0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  目</w:t>
            </w:r>
          </w:p>
        </w:tc>
        <w:tc>
          <w:tcPr>
            <w:tcW w:w="4030" w:type="dxa"/>
            <w:noWrap w:val="0"/>
            <w:vAlign w:val="center"/>
          </w:tcPr>
          <w:p w14:paraId="0B43633B">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招标要求值</w:t>
            </w:r>
          </w:p>
        </w:tc>
      </w:tr>
      <w:tr w14:paraId="03D1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1629D52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3464" w:type="dxa"/>
            <w:gridSpan w:val="3"/>
            <w:noWrap w:val="0"/>
            <w:vAlign w:val="center"/>
          </w:tcPr>
          <w:p w14:paraId="3BA297F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变压器型号</w:t>
            </w:r>
          </w:p>
        </w:tc>
        <w:tc>
          <w:tcPr>
            <w:tcW w:w="4030" w:type="dxa"/>
            <w:noWrap w:val="0"/>
            <w:vAlign w:val="center"/>
          </w:tcPr>
          <w:p w14:paraId="1276DDB5">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SCB14-/10/0.4KV</w:t>
            </w:r>
          </w:p>
        </w:tc>
      </w:tr>
      <w:tr w14:paraId="0587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345A99B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3464" w:type="dxa"/>
            <w:gridSpan w:val="3"/>
            <w:noWrap w:val="0"/>
            <w:vAlign w:val="center"/>
          </w:tcPr>
          <w:p w14:paraId="6CFEA7D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相数</w:t>
            </w:r>
          </w:p>
        </w:tc>
        <w:tc>
          <w:tcPr>
            <w:tcW w:w="4030" w:type="dxa"/>
            <w:noWrap w:val="0"/>
            <w:vAlign w:val="center"/>
          </w:tcPr>
          <w:p w14:paraId="191BBE0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3相</w:t>
            </w:r>
          </w:p>
        </w:tc>
      </w:tr>
      <w:tr w14:paraId="5EA0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7B939215">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3464" w:type="dxa"/>
            <w:gridSpan w:val="3"/>
            <w:noWrap w:val="0"/>
            <w:vAlign w:val="center"/>
          </w:tcPr>
          <w:p w14:paraId="1A05722F">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额定容量KVA</w:t>
            </w:r>
          </w:p>
        </w:tc>
        <w:tc>
          <w:tcPr>
            <w:tcW w:w="4030" w:type="dxa"/>
            <w:noWrap w:val="0"/>
            <w:vAlign w:val="center"/>
          </w:tcPr>
          <w:p w14:paraId="6984E5FC">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1250 KVA </w:t>
            </w:r>
          </w:p>
        </w:tc>
      </w:tr>
      <w:tr w14:paraId="70E7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14AF4E8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p>
        </w:tc>
        <w:tc>
          <w:tcPr>
            <w:tcW w:w="3464" w:type="dxa"/>
            <w:gridSpan w:val="3"/>
            <w:noWrap w:val="0"/>
            <w:vAlign w:val="center"/>
          </w:tcPr>
          <w:p w14:paraId="5005088E">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额定电压及分接范围KV</w:t>
            </w:r>
          </w:p>
        </w:tc>
        <w:tc>
          <w:tcPr>
            <w:tcW w:w="4030" w:type="dxa"/>
            <w:noWrap w:val="0"/>
            <w:vAlign w:val="center"/>
          </w:tcPr>
          <w:p w14:paraId="40397B45">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10±2×2 .5%/0.4KV</w:t>
            </w:r>
          </w:p>
        </w:tc>
      </w:tr>
      <w:tr w14:paraId="7352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4432DD6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p>
        </w:tc>
        <w:tc>
          <w:tcPr>
            <w:tcW w:w="3464" w:type="dxa"/>
            <w:gridSpan w:val="3"/>
            <w:noWrap w:val="0"/>
            <w:vAlign w:val="center"/>
          </w:tcPr>
          <w:p w14:paraId="08AEC78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最高电压KV</w:t>
            </w:r>
          </w:p>
        </w:tc>
        <w:tc>
          <w:tcPr>
            <w:tcW w:w="4030" w:type="dxa"/>
            <w:noWrap w:val="0"/>
            <w:vAlign w:val="center"/>
          </w:tcPr>
          <w:p w14:paraId="575D9D4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11.5</w:t>
            </w:r>
          </w:p>
        </w:tc>
      </w:tr>
      <w:tr w14:paraId="22A5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4C6FD381">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w:t>
            </w:r>
          </w:p>
        </w:tc>
        <w:tc>
          <w:tcPr>
            <w:tcW w:w="3464" w:type="dxa"/>
            <w:gridSpan w:val="3"/>
            <w:noWrap w:val="0"/>
            <w:vAlign w:val="center"/>
          </w:tcPr>
          <w:p w14:paraId="2C995AF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空载电流</w:t>
            </w:r>
          </w:p>
        </w:tc>
        <w:tc>
          <w:tcPr>
            <w:tcW w:w="4030" w:type="dxa"/>
            <w:noWrap w:val="0"/>
            <w:vAlign w:val="center"/>
          </w:tcPr>
          <w:p w14:paraId="1A52EC4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≤1.4%</w:t>
            </w:r>
          </w:p>
        </w:tc>
      </w:tr>
      <w:tr w14:paraId="36DF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1C9C2EC8">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w:t>
            </w:r>
          </w:p>
        </w:tc>
        <w:tc>
          <w:tcPr>
            <w:tcW w:w="3464" w:type="dxa"/>
            <w:gridSpan w:val="3"/>
            <w:noWrap w:val="0"/>
            <w:vAlign w:val="center"/>
          </w:tcPr>
          <w:p w14:paraId="15D962DE">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额定效率Hz</w:t>
            </w:r>
          </w:p>
        </w:tc>
        <w:tc>
          <w:tcPr>
            <w:tcW w:w="4030" w:type="dxa"/>
            <w:noWrap w:val="0"/>
            <w:vAlign w:val="center"/>
          </w:tcPr>
          <w:p w14:paraId="2A01C5C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50</w:t>
            </w:r>
          </w:p>
        </w:tc>
      </w:tr>
      <w:tr w14:paraId="17A9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4C8B48DC">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w:t>
            </w:r>
          </w:p>
        </w:tc>
        <w:tc>
          <w:tcPr>
            <w:tcW w:w="3464" w:type="dxa"/>
            <w:gridSpan w:val="3"/>
            <w:noWrap w:val="0"/>
            <w:vAlign w:val="center"/>
          </w:tcPr>
          <w:p w14:paraId="268FA17F">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调压方式</w:t>
            </w:r>
          </w:p>
        </w:tc>
        <w:tc>
          <w:tcPr>
            <w:tcW w:w="4030" w:type="dxa"/>
            <w:noWrap w:val="0"/>
            <w:vAlign w:val="center"/>
          </w:tcPr>
          <w:p w14:paraId="2B406BC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无载调压</w:t>
            </w:r>
          </w:p>
        </w:tc>
      </w:tr>
      <w:tr w14:paraId="28B2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67FF58E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w:t>
            </w:r>
          </w:p>
        </w:tc>
        <w:tc>
          <w:tcPr>
            <w:tcW w:w="3464" w:type="dxa"/>
            <w:gridSpan w:val="3"/>
            <w:noWrap w:val="0"/>
            <w:vAlign w:val="center"/>
          </w:tcPr>
          <w:p w14:paraId="2C0CC88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联接组标号</w:t>
            </w:r>
          </w:p>
        </w:tc>
        <w:tc>
          <w:tcPr>
            <w:tcW w:w="4030" w:type="dxa"/>
            <w:noWrap w:val="0"/>
            <w:vAlign w:val="center"/>
          </w:tcPr>
          <w:p w14:paraId="0F0109C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Dyn11</w:t>
            </w:r>
          </w:p>
        </w:tc>
      </w:tr>
      <w:tr w14:paraId="3E36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6DCDE10E">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w:t>
            </w:r>
          </w:p>
        </w:tc>
        <w:tc>
          <w:tcPr>
            <w:tcW w:w="3464" w:type="dxa"/>
            <w:gridSpan w:val="3"/>
            <w:noWrap w:val="0"/>
            <w:vAlign w:val="center"/>
          </w:tcPr>
          <w:p w14:paraId="7D639A6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冷却方式</w:t>
            </w:r>
          </w:p>
        </w:tc>
        <w:tc>
          <w:tcPr>
            <w:tcW w:w="4030" w:type="dxa"/>
            <w:noWrap w:val="0"/>
            <w:vAlign w:val="center"/>
          </w:tcPr>
          <w:p w14:paraId="24FC3AE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AN/AF</w:t>
            </w:r>
          </w:p>
        </w:tc>
      </w:tr>
      <w:tr w14:paraId="5873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58EBCBC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w:t>
            </w:r>
          </w:p>
        </w:tc>
        <w:tc>
          <w:tcPr>
            <w:tcW w:w="3464" w:type="dxa"/>
            <w:gridSpan w:val="3"/>
            <w:noWrap w:val="0"/>
            <w:vAlign w:val="center"/>
          </w:tcPr>
          <w:p w14:paraId="79132C0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使用条件</w:t>
            </w:r>
          </w:p>
        </w:tc>
        <w:tc>
          <w:tcPr>
            <w:tcW w:w="4030" w:type="dxa"/>
            <w:noWrap w:val="0"/>
            <w:vAlign w:val="center"/>
          </w:tcPr>
          <w:p w14:paraId="3E9CF4E5">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户内</w:t>
            </w:r>
          </w:p>
        </w:tc>
      </w:tr>
      <w:tr w14:paraId="7639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restart"/>
            <w:noWrap w:val="0"/>
            <w:vAlign w:val="center"/>
          </w:tcPr>
          <w:p w14:paraId="6FCB463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w:t>
            </w:r>
          </w:p>
        </w:tc>
        <w:tc>
          <w:tcPr>
            <w:tcW w:w="1919" w:type="dxa"/>
            <w:gridSpan w:val="2"/>
            <w:vMerge w:val="restart"/>
            <w:noWrap w:val="0"/>
            <w:vAlign w:val="center"/>
          </w:tcPr>
          <w:p w14:paraId="17DC19F3">
            <w:pPr>
              <w:adjustRightInd w:val="0"/>
              <w:spacing w:line="5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绝缘水平KV短时工频耐受水平(有效值)</w:t>
            </w:r>
          </w:p>
        </w:tc>
        <w:tc>
          <w:tcPr>
            <w:tcW w:w="1545" w:type="dxa"/>
            <w:noWrap w:val="0"/>
            <w:vAlign w:val="center"/>
          </w:tcPr>
          <w:p w14:paraId="111AE8D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高压线端</w:t>
            </w:r>
          </w:p>
        </w:tc>
        <w:tc>
          <w:tcPr>
            <w:tcW w:w="4030" w:type="dxa"/>
            <w:noWrap w:val="0"/>
            <w:vAlign w:val="center"/>
          </w:tcPr>
          <w:p w14:paraId="3C76B78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35</w:t>
            </w:r>
          </w:p>
        </w:tc>
      </w:tr>
      <w:tr w14:paraId="0566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center"/>
          </w:tcPr>
          <w:p w14:paraId="71102CF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p>
        </w:tc>
        <w:tc>
          <w:tcPr>
            <w:tcW w:w="1919" w:type="dxa"/>
            <w:gridSpan w:val="2"/>
            <w:vMerge w:val="continue"/>
            <w:noWrap w:val="0"/>
            <w:vAlign w:val="center"/>
          </w:tcPr>
          <w:p w14:paraId="62F30F2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p>
        </w:tc>
        <w:tc>
          <w:tcPr>
            <w:tcW w:w="1545" w:type="dxa"/>
            <w:noWrap w:val="0"/>
            <w:vAlign w:val="center"/>
          </w:tcPr>
          <w:p w14:paraId="0BA7F0E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高压中性点</w:t>
            </w:r>
          </w:p>
        </w:tc>
        <w:tc>
          <w:tcPr>
            <w:tcW w:w="4030" w:type="dxa"/>
            <w:noWrap w:val="0"/>
            <w:vAlign w:val="center"/>
          </w:tcPr>
          <w:p w14:paraId="6930D5F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35</w:t>
            </w:r>
          </w:p>
        </w:tc>
      </w:tr>
      <w:tr w14:paraId="5A92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center"/>
          </w:tcPr>
          <w:p w14:paraId="05BFF43F">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p>
        </w:tc>
        <w:tc>
          <w:tcPr>
            <w:tcW w:w="1919" w:type="dxa"/>
            <w:gridSpan w:val="2"/>
            <w:vMerge w:val="continue"/>
            <w:noWrap w:val="0"/>
            <w:vAlign w:val="center"/>
          </w:tcPr>
          <w:p w14:paraId="0EAA596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p>
        </w:tc>
        <w:tc>
          <w:tcPr>
            <w:tcW w:w="1545" w:type="dxa"/>
            <w:noWrap w:val="0"/>
            <w:vAlign w:val="center"/>
          </w:tcPr>
          <w:p w14:paraId="199099C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低压线端</w:t>
            </w:r>
          </w:p>
        </w:tc>
        <w:tc>
          <w:tcPr>
            <w:tcW w:w="4030" w:type="dxa"/>
            <w:noWrap w:val="0"/>
            <w:vAlign w:val="center"/>
          </w:tcPr>
          <w:p w14:paraId="6BC836DC">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r>
      <w:tr w14:paraId="3DDF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center"/>
          </w:tcPr>
          <w:p w14:paraId="7290E165">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p>
        </w:tc>
        <w:tc>
          <w:tcPr>
            <w:tcW w:w="1919" w:type="dxa"/>
            <w:gridSpan w:val="2"/>
            <w:vMerge w:val="restart"/>
            <w:noWrap w:val="0"/>
            <w:vAlign w:val="center"/>
          </w:tcPr>
          <w:p w14:paraId="08F6FFE2">
            <w:pPr>
              <w:adjustRightInd w:val="0"/>
              <w:spacing w:line="5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雷电全波/截波冲击耐受电压(峰值)</w:t>
            </w:r>
          </w:p>
        </w:tc>
        <w:tc>
          <w:tcPr>
            <w:tcW w:w="1545" w:type="dxa"/>
            <w:noWrap w:val="0"/>
            <w:vAlign w:val="center"/>
          </w:tcPr>
          <w:p w14:paraId="41C7F34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高压线端</w:t>
            </w:r>
          </w:p>
        </w:tc>
        <w:tc>
          <w:tcPr>
            <w:tcW w:w="4030" w:type="dxa"/>
            <w:noWrap w:val="0"/>
            <w:vAlign w:val="center"/>
          </w:tcPr>
          <w:p w14:paraId="223F2BDC">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75/85</w:t>
            </w:r>
          </w:p>
        </w:tc>
      </w:tr>
      <w:tr w14:paraId="0E2A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center"/>
          </w:tcPr>
          <w:p w14:paraId="0C1EAD9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p>
        </w:tc>
        <w:tc>
          <w:tcPr>
            <w:tcW w:w="1919" w:type="dxa"/>
            <w:gridSpan w:val="2"/>
            <w:vMerge w:val="continue"/>
            <w:noWrap w:val="0"/>
            <w:vAlign w:val="center"/>
          </w:tcPr>
          <w:p w14:paraId="1ED758CF">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p>
        </w:tc>
        <w:tc>
          <w:tcPr>
            <w:tcW w:w="1545" w:type="dxa"/>
            <w:noWrap w:val="0"/>
            <w:vAlign w:val="center"/>
          </w:tcPr>
          <w:p w14:paraId="44C1692C">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高压中性点</w:t>
            </w:r>
          </w:p>
        </w:tc>
        <w:tc>
          <w:tcPr>
            <w:tcW w:w="4030" w:type="dxa"/>
            <w:noWrap w:val="0"/>
            <w:vAlign w:val="center"/>
          </w:tcPr>
          <w:p w14:paraId="565C748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75/85</w:t>
            </w:r>
          </w:p>
        </w:tc>
      </w:tr>
      <w:tr w14:paraId="3E4E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008" w:type="dxa"/>
            <w:vMerge w:val="continue"/>
            <w:noWrap w:val="0"/>
            <w:vAlign w:val="center"/>
          </w:tcPr>
          <w:p w14:paraId="20AD825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p>
        </w:tc>
        <w:tc>
          <w:tcPr>
            <w:tcW w:w="1919" w:type="dxa"/>
            <w:gridSpan w:val="2"/>
            <w:vMerge w:val="continue"/>
            <w:noWrap w:val="0"/>
            <w:vAlign w:val="center"/>
          </w:tcPr>
          <w:p w14:paraId="6CFEC9B5">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p>
        </w:tc>
        <w:tc>
          <w:tcPr>
            <w:tcW w:w="1545" w:type="dxa"/>
            <w:noWrap w:val="0"/>
            <w:vAlign w:val="center"/>
          </w:tcPr>
          <w:p w14:paraId="6EA307C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低压线端</w:t>
            </w:r>
          </w:p>
        </w:tc>
        <w:tc>
          <w:tcPr>
            <w:tcW w:w="4030" w:type="dxa"/>
            <w:noWrap w:val="0"/>
            <w:vAlign w:val="center"/>
          </w:tcPr>
          <w:p w14:paraId="6774A28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p>
        </w:tc>
      </w:tr>
      <w:tr w14:paraId="51E8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3AE00F89">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w:t>
            </w:r>
          </w:p>
        </w:tc>
        <w:tc>
          <w:tcPr>
            <w:tcW w:w="3464" w:type="dxa"/>
            <w:gridSpan w:val="3"/>
            <w:noWrap w:val="0"/>
            <w:vAlign w:val="center"/>
          </w:tcPr>
          <w:p w14:paraId="3B34484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绝缘耐热等级</w:t>
            </w:r>
          </w:p>
        </w:tc>
        <w:tc>
          <w:tcPr>
            <w:tcW w:w="4030" w:type="dxa"/>
            <w:noWrap w:val="0"/>
            <w:vAlign w:val="center"/>
          </w:tcPr>
          <w:p w14:paraId="74B9721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F级及以上</w:t>
            </w:r>
          </w:p>
        </w:tc>
      </w:tr>
      <w:tr w14:paraId="5D0D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4E13D07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14</w:t>
            </w:r>
          </w:p>
        </w:tc>
        <w:tc>
          <w:tcPr>
            <w:tcW w:w="3464" w:type="dxa"/>
            <w:gridSpan w:val="3"/>
            <w:noWrap w:val="0"/>
            <w:vAlign w:val="center"/>
          </w:tcPr>
          <w:p w14:paraId="1D1662F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保护等级(带外壳)</w:t>
            </w:r>
          </w:p>
        </w:tc>
        <w:tc>
          <w:tcPr>
            <w:tcW w:w="4030" w:type="dxa"/>
            <w:noWrap w:val="0"/>
            <w:vAlign w:val="center"/>
          </w:tcPr>
          <w:p w14:paraId="5798334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不低于IP20，</w:t>
            </w:r>
          </w:p>
        </w:tc>
      </w:tr>
      <w:tr w14:paraId="5A18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407C166B">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w:t>
            </w:r>
          </w:p>
        </w:tc>
        <w:tc>
          <w:tcPr>
            <w:tcW w:w="3464" w:type="dxa"/>
            <w:gridSpan w:val="3"/>
            <w:noWrap w:val="0"/>
            <w:vAlign w:val="center"/>
          </w:tcPr>
          <w:p w14:paraId="01147E81">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空载电压比偏差(%)</w:t>
            </w:r>
          </w:p>
        </w:tc>
        <w:tc>
          <w:tcPr>
            <w:tcW w:w="4030" w:type="dxa"/>
            <w:noWrap w:val="0"/>
            <w:vAlign w:val="center"/>
          </w:tcPr>
          <w:p w14:paraId="2EE03E38">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±0.5%</w:t>
            </w:r>
          </w:p>
        </w:tc>
      </w:tr>
      <w:tr w14:paraId="1D96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restart"/>
            <w:noWrap w:val="0"/>
            <w:vAlign w:val="center"/>
          </w:tcPr>
          <w:p w14:paraId="0C67CFA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16</w:t>
            </w:r>
          </w:p>
        </w:tc>
        <w:tc>
          <w:tcPr>
            <w:tcW w:w="1628" w:type="dxa"/>
            <w:vMerge w:val="restart"/>
            <w:noWrap w:val="0"/>
            <w:vAlign w:val="center"/>
          </w:tcPr>
          <w:p w14:paraId="39D0679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温升限值(K)</w:t>
            </w:r>
          </w:p>
        </w:tc>
        <w:tc>
          <w:tcPr>
            <w:tcW w:w="1836" w:type="dxa"/>
            <w:gridSpan w:val="2"/>
            <w:noWrap w:val="0"/>
            <w:vAlign w:val="center"/>
          </w:tcPr>
          <w:p w14:paraId="1540279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绕组平均温升</w:t>
            </w:r>
          </w:p>
        </w:tc>
        <w:tc>
          <w:tcPr>
            <w:tcW w:w="4030" w:type="dxa"/>
            <w:noWrap w:val="0"/>
            <w:vAlign w:val="center"/>
          </w:tcPr>
          <w:p w14:paraId="38DF7A4F">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100</w:t>
            </w:r>
          </w:p>
        </w:tc>
      </w:tr>
      <w:tr w14:paraId="6115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center"/>
          </w:tcPr>
          <w:p w14:paraId="77B9276C">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p>
        </w:tc>
        <w:tc>
          <w:tcPr>
            <w:tcW w:w="1628" w:type="dxa"/>
            <w:vMerge w:val="continue"/>
            <w:noWrap w:val="0"/>
            <w:vAlign w:val="center"/>
          </w:tcPr>
          <w:p w14:paraId="4210649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p>
        </w:tc>
        <w:tc>
          <w:tcPr>
            <w:tcW w:w="1836" w:type="dxa"/>
            <w:gridSpan w:val="2"/>
            <w:noWrap w:val="0"/>
            <w:vAlign w:val="center"/>
          </w:tcPr>
          <w:p w14:paraId="6BBF986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铁芯结构</w:t>
            </w:r>
          </w:p>
          <w:p w14:paraId="0C480F8E">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件温升</w:t>
            </w:r>
          </w:p>
        </w:tc>
        <w:tc>
          <w:tcPr>
            <w:tcW w:w="4030" w:type="dxa"/>
            <w:noWrap w:val="0"/>
            <w:vAlign w:val="center"/>
          </w:tcPr>
          <w:p w14:paraId="244A93D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85</w:t>
            </w:r>
          </w:p>
        </w:tc>
      </w:tr>
      <w:tr w14:paraId="2D8C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58E5A8F1">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17</w:t>
            </w:r>
          </w:p>
        </w:tc>
        <w:tc>
          <w:tcPr>
            <w:tcW w:w="3464" w:type="dxa"/>
            <w:gridSpan w:val="3"/>
            <w:noWrap w:val="0"/>
            <w:vAlign w:val="center"/>
          </w:tcPr>
          <w:p w14:paraId="0353CE95">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噪声水平(Db)</w:t>
            </w:r>
          </w:p>
        </w:tc>
        <w:tc>
          <w:tcPr>
            <w:tcW w:w="4030" w:type="dxa"/>
            <w:noWrap w:val="0"/>
            <w:vAlign w:val="center"/>
          </w:tcPr>
          <w:p w14:paraId="5C85481B">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≤50dB(A) 1m处，带风机≤58 dB(A) 1m处</w:t>
            </w:r>
          </w:p>
        </w:tc>
      </w:tr>
      <w:tr w14:paraId="35BB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6C36293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18</w:t>
            </w:r>
          </w:p>
        </w:tc>
        <w:tc>
          <w:tcPr>
            <w:tcW w:w="3464" w:type="dxa"/>
            <w:gridSpan w:val="3"/>
            <w:noWrap w:val="0"/>
            <w:vAlign w:val="center"/>
          </w:tcPr>
          <w:p w14:paraId="0974AB6E">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局部放电量(pC)(高压线端)</w:t>
            </w:r>
          </w:p>
        </w:tc>
        <w:tc>
          <w:tcPr>
            <w:tcW w:w="4030" w:type="dxa"/>
            <w:noWrap w:val="0"/>
            <w:vAlign w:val="center"/>
          </w:tcPr>
          <w:p w14:paraId="4536CA07">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2倍额定电压下，放电量≤5PC</w:t>
            </w:r>
          </w:p>
        </w:tc>
      </w:tr>
      <w:tr w14:paraId="2C45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694F9A1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19</w:t>
            </w:r>
          </w:p>
        </w:tc>
        <w:tc>
          <w:tcPr>
            <w:tcW w:w="3464" w:type="dxa"/>
            <w:gridSpan w:val="3"/>
            <w:noWrap w:val="0"/>
            <w:vAlign w:val="center"/>
          </w:tcPr>
          <w:p w14:paraId="1BDDB7D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绕组电阻最大不平衡率(%)</w:t>
            </w:r>
          </w:p>
        </w:tc>
        <w:tc>
          <w:tcPr>
            <w:tcW w:w="4030" w:type="dxa"/>
            <w:noWrap w:val="0"/>
            <w:vAlign w:val="center"/>
          </w:tcPr>
          <w:p w14:paraId="40C6D14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相电阻4%，线电阻2%</w:t>
            </w:r>
          </w:p>
        </w:tc>
      </w:tr>
      <w:tr w14:paraId="25E0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71AB4A4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20</w:t>
            </w:r>
          </w:p>
        </w:tc>
        <w:tc>
          <w:tcPr>
            <w:tcW w:w="3464" w:type="dxa"/>
            <w:gridSpan w:val="3"/>
            <w:noWrap w:val="0"/>
            <w:vAlign w:val="center"/>
          </w:tcPr>
          <w:p w14:paraId="4134A77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短路阻抗及其允许偏差(%)</w:t>
            </w:r>
          </w:p>
        </w:tc>
        <w:tc>
          <w:tcPr>
            <w:tcW w:w="4030" w:type="dxa"/>
            <w:noWrap w:val="0"/>
            <w:vAlign w:val="center"/>
          </w:tcPr>
          <w:p w14:paraId="6C8952F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w:t>
            </w:r>
          </w:p>
        </w:tc>
      </w:tr>
      <w:tr w14:paraId="3EC1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01723E84">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21</w:t>
            </w:r>
          </w:p>
        </w:tc>
        <w:tc>
          <w:tcPr>
            <w:tcW w:w="3464" w:type="dxa"/>
            <w:gridSpan w:val="3"/>
            <w:noWrap w:val="0"/>
            <w:vAlign w:val="center"/>
          </w:tcPr>
          <w:p w14:paraId="0EFFACB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热稳定电流持续时间(S)</w:t>
            </w:r>
          </w:p>
        </w:tc>
        <w:tc>
          <w:tcPr>
            <w:tcW w:w="4030" w:type="dxa"/>
            <w:noWrap w:val="0"/>
            <w:vAlign w:val="center"/>
          </w:tcPr>
          <w:p w14:paraId="2DFAD2B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2S</w:t>
            </w:r>
          </w:p>
        </w:tc>
      </w:tr>
      <w:tr w14:paraId="335A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79E8665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22</w:t>
            </w:r>
          </w:p>
        </w:tc>
        <w:tc>
          <w:tcPr>
            <w:tcW w:w="3464" w:type="dxa"/>
            <w:gridSpan w:val="3"/>
            <w:noWrap w:val="0"/>
            <w:vAlign w:val="center"/>
          </w:tcPr>
          <w:p w14:paraId="0786319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额定动稳定电流KA</w:t>
            </w:r>
          </w:p>
        </w:tc>
        <w:tc>
          <w:tcPr>
            <w:tcW w:w="4030" w:type="dxa"/>
            <w:noWrap w:val="0"/>
            <w:vAlign w:val="center"/>
          </w:tcPr>
          <w:p w14:paraId="1D90BFE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0.34</w:t>
            </w:r>
          </w:p>
        </w:tc>
      </w:tr>
      <w:tr w14:paraId="652A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25F2F49B">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23</w:t>
            </w:r>
          </w:p>
        </w:tc>
        <w:tc>
          <w:tcPr>
            <w:tcW w:w="3464" w:type="dxa"/>
            <w:gridSpan w:val="3"/>
            <w:noWrap w:val="0"/>
            <w:vAlign w:val="center"/>
          </w:tcPr>
          <w:p w14:paraId="301C1FF1">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动稳定电流持续时间(S)</w:t>
            </w:r>
          </w:p>
        </w:tc>
        <w:tc>
          <w:tcPr>
            <w:tcW w:w="4030" w:type="dxa"/>
            <w:noWrap w:val="0"/>
            <w:vAlign w:val="center"/>
          </w:tcPr>
          <w:p w14:paraId="242BB6EB">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2S</w:t>
            </w:r>
          </w:p>
        </w:tc>
      </w:tr>
      <w:tr w14:paraId="47E1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048DE0F3">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24</w:t>
            </w:r>
          </w:p>
        </w:tc>
        <w:tc>
          <w:tcPr>
            <w:tcW w:w="3464" w:type="dxa"/>
            <w:gridSpan w:val="3"/>
            <w:noWrap w:val="0"/>
            <w:vAlign w:val="center"/>
          </w:tcPr>
          <w:p w14:paraId="7E5DB8AB">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套管类型</w:t>
            </w:r>
          </w:p>
        </w:tc>
        <w:tc>
          <w:tcPr>
            <w:tcW w:w="4030" w:type="dxa"/>
            <w:noWrap w:val="0"/>
            <w:vAlign w:val="center"/>
          </w:tcPr>
          <w:p w14:paraId="1C0C2C9D">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绝缘端子</w:t>
            </w:r>
          </w:p>
        </w:tc>
      </w:tr>
      <w:tr w14:paraId="4D95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22E19F56">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w:t>
            </w:r>
          </w:p>
        </w:tc>
        <w:tc>
          <w:tcPr>
            <w:tcW w:w="3464" w:type="dxa"/>
            <w:gridSpan w:val="3"/>
            <w:noWrap w:val="0"/>
            <w:vAlign w:val="center"/>
          </w:tcPr>
          <w:p w14:paraId="221D863E">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铁芯材料</w:t>
            </w:r>
          </w:p>
        </w:tc>
        <w:tc>
          <w:tcPr>
            <w:tcW w:w="4030" w:type="dxa"/>
            <w:noWrap w:val="0"/>
            <w:vAlign w:val="center"/>
          </w:tcPr>
          <w:p w14:paraId="0FEEC17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30Z140矽钢片</w:t>
            </w:r>
          </w:p>
        </w:tc>
      </w:tr>
      <w:tr w14:paraId="1332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0456ADC8">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26</w:t>
            </w:r>
          </w:p>
        </w:tc>
        <w:tc>
          <w:tcPr>
            <w:tcW w:w="3464" w:type="dxa"/>
            <w:gridSpan w:val="3"/>
            <w:noWrap w:val="0"/>
            <w:vAlign w:val="center"/>
          </w:tcPr>
          <w:p w14:paraId="7D1E096A">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期望寿命(年)</w:t>
            </w:r>
          </w:p>
        </w:tc>
        <w:tc>
          <w:tcPr>
            <w:tcW w:w="4030" w:type="dxa"/>
            <w:noWrap w:val="0"/>
            <w:vAlign w:val="center"/>
          </w:tcPr>
          <w:p w14:paraId="4BCA98E0">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35年</w:t>
            </w:r>
          </w:p>
        </w:tc>
      </w:tr>
      <w:tr w14:paraId="7192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286D0C92">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27</w:t>
            </w:r>
          </w:p>
        </w:tc>
        <w:tc>
          <w:tcPr>
            <w:tcW w:w="3464" w:type="dxa"/>
            <w:gridSpan w:val="3"/>
            <w:noWrap w:val="0"/>
            <w:vAlign w:val="center"/>
          </w:tcPr>
          <w:p w14:paraId="066457FF">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温控器</w:t>
            </w:r>
          </w:p>
        </w:tc>
        <w:tc>
          <w:tcPr>
            <w:tcW w:w="4030" w:type="dxa"/>
            <w:noWrap w:val="0"/>
            <w:vAlign w:val="center"/>
          </w:tcPr>
          <w:p w14:paraId="1C8F6AEC">
            <w:pPr>
              <w:adjustRightInd w:val="0"/>
              <w:spacing w:line="500" w:lineRule="exact"/>
              <w:ind w:left="72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装设</w:t>
            </w:r>
          </w:p>
        </w:tc>
      </w:tr>
    </w:tbl>
    <w:p w14:paraId="69B6C76B">
      <w:pPr>
        <w:keepNext w:val="0"/>
        <w:keepLines w:val="0"/>
        <w:pageBreakBefore w:val="0"/>
        <w:widowControl w:val="0"/>
        <w:kinsoku/>
        <w:wordWrap/>
        <w:overflowPunct/>
        <w:topLinePunct w:val="0"/>
        <w:autoSpaceDE/>
        <w:autoSpaceDN/>
        <w:bidi w:val="0"/>
        <w:adjustRightInd w:val="0"/>
        <w:spacing w:line="48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（2）基本要求</w:t>
      </w:r>
    </w:p>
    <w:p w14:paraId="6A906845">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2.1 总则</w:t>
      </w:r>
    </w:p>
    <w:p w14:paraId="6EE8DC2F">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变压器在规定的使用条件下，应能正常地满负荷连续运行并达到本标书及图纸中规定的负荷。</w:t>
      </w:r>
    </w:p>
    <w:p w14:paraId="24B983DC">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2.2 主要部件：</w:t>
      </w:r>
    </w:p>
    <w:p w14:paraId="5AC1421F">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变压器铁芯采用冷轧硅钢片，绕组应采用铜导体，低压采用铜箔；绝缘纸板和硅钢片采用优质产品，并采取有效措施避免涡流，器身装配时，在铁芯和夹件间及线圈和垫块间加以硅橡胶板，起到缓冲和吸震作用，相关硬件全部采用国内知名厂家产品。要详细说明电动机型号、转速、台数、功率、温控设备、测温元件只数、测温点、温度报警及跳闸信号等型式。电气控风系统、备用电源开关及内部接线等</w:t>
      </w:r>
    </w:p>
    <w:p w14:paraId="1C2EBB23">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2.3冷却装置</w:t>
      </w:r>
    </w:p>
    <w:p w14:paraId="28DA652C">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变压器冷却系统应按负载、温度情况自动投入和退出冷却风机，并有自动手动切换功能。绕组温度超过130℃时报警，150℃时输出跳闸信号，预留接线插口。必须配置低噪音的风冷装置，通过温控器对风扇的起动和关闭自动控制，使变压器增容40%运行。</w:t>
      </w:r>
    </w:p>
    <w:p w14:paraId="7540F751">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2.4保护</w:t>
      </w:r>
    </w:p>
    <w:p w14:paraId="65E4F415">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通过埋入低压绕组的感温元件和传感系统，根据设定值来启动、关闭风机或报警、跳闸，起到保护变压器的作用。在变压器上应配置数字型温度指示器，智能型温控箱和湿度显示器等并具备通讯接口，与变配电系统的监控系统联网，实现遥测，配保护罩从而防止小动物进入罩内而引起的短路、停电等事故，也保障人生安全。</w:t>
      </w:r>
    </w:p>
    <w:p w14:paraId="4A921D29">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2.5检查和试验</w:t>
      </w:r>
    </w:p>
    <w:p w14:paraId="0E21580B">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每台变压器应按GB1094、GB311、GB6450-86、GB/T10228-1997和中国规范的总要求以及有关每只部件的标准进行型式试验。</w:t>
      </w:r>
    </w:p>
    <w:p w14:paraId="01090E05">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常规试验应包括但不限于以下的试验：</w:t>
      </w:r>
    </w:p>
    <w:p w14:paraId="75AEA173">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视觉检查——设备的质量、结构、防护等级、总装配和面漆。</w:t>
      </w:r>
    </w:p>
    <w:p w14:paraId="1ABCAE4A">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所有控制、保护和监控设备的电气运行。</w:t>
      </w:r>
    </w:p>
    <w:p w14:paraId="32C9FBCC">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按GB311的要求进行电气试验。</w:t>
      </w:r>
    </w:p>
    <w:p w14:paraId="4AEE1557">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所有的试验应有按照预定的程序安排和进行，记录报告要由试验人员和制造厂的质量控制人员签字。在每台变压器最终试验和试运行之前，制造厂要提交有关证书。</w:t>
      </w:r>
    </w:p>
    <w:p w14:paraId="1A07A45F">
      <w:pPr>
        <w:keepNext w:val="0"/>
        <w:keepLines w:val="0"/>
        <w:pageBreakBefore w:val="0"/>
        <w:widowControl w:val="0"/>
        <w:kinsoku/>
        <w:wordWrap/>
        <w:overflowPunct/>
        <w:topLinePunct w:val="0"/>
        <w:autoSpaceDE/>
        <w:autoSpaceDN/>
        <w:bidi w:val="0"/>
        <w:adjustRightInd w:val="0"/>
        <w:spacing w:line="48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（3）其他要求</w:t>
      </w:r>
    </w:p>
    <w:p w14:paraId="2F9AE1AF">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3.1用料方面，如硅钢片牌号，铁芯叠片绑扎，绕组绝缘等级，压紧措施（保证短路应力），主要负载开关部件质量等等</w:t>
      </w:r>
    </w:p>
    <w:p w14:paraId="4429615A">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变压器出线方式须与低压柜匹配，进线方式及与变配电系统的连接按设计图纸。</w:t>
      </w:r>
    </w:p>
    <w:p w14:paraId="16E144C5">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3.2变压器应备有承受整体重量的吊环。</w:t>
      </w:r>
    </w:p>
    <w:p w14:paraId="0A29301E">
      <w:pPr>
        <w:pStyle w:val="25"/>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outlineLvl w:val="0"/>
        <w:rPr>
          <w:rFonts w:hint="eastAsia" w:hAnsi="宋体" w:cs="Times New Roman"/>
          <w:b/>
          <w:bCs/>
          <w:color w:val="000000" w:themeColor="text1"/>
          <w:sz w:val="24"/>
          <w:szCs w:val="24"/>
          <w:lang w:eastAsia="zh-CN"/>
          <w14:textFill>
            <w14:solidFill>
              <w14:schemeClr w14:val="tx1"/>
            </w14:solidFill>
          </w14:textFill>
        </w:rPr>
      </w:pPr>
      <w:r>
        <w:rPr>
          <w:rFonts w:hint="eastAsia" w:ascii="宋体" w:hAnsi="宋体" w:cs="Times New Roman"/>
          <w:b/>
          <w:bCs/>
          <w:color w:val="000000" w:themeColor="text1"/>
          <w:kern w:val="2"/>
          <w:sz w:val="24"/>
          <w:szCs w:val="24"/>
          <w:lang w:val="en-US" w:eastAsia="zh-CN" w:bidi="ar-SA"/>
          <w14:textFill>
            <w14:solidFill>
              <w14:schemeClr w14:val="tx1"/>
            </w14:solidFill>
          </w14:textFill>
        </w:rPr>
        <w:t>五、</w:t>
      </w:r>
      <w:r>
        <w:rPr>
          <w:rFonts w:hint="eastAsia" w:hAnsi="宋体" w:cs="Times New Roman"/>
          <w:b/>
          <w:bCs/>
          <w:color w:val="000000" w:themeColor="text1"/>
          <w:sz w:val="24"/>
          <w:szCs w:val="24"/>
          <w:lang w:eastAsia="zh-CN"/>
          <w14:textFill>
            <w14:solidFill>
              <w14:schemeClr w14:val="tx1"/>
            </w14:solidFill>
          </w14:textFill>
        </w:rPr>
        <w:t>安装要求</w:t>
      </w:r>
    </w:p>
    <w:p w14:paraId="40BAD7B2">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1、供应商应对项目现场进行踏勘，充分了解现场情况，风险范围外所发生的完成本项目所需的全部费用包括在投标报价中。</w:t>
      </w:r>
    </w:p>
    <w:p w14:paraId="29C85988">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本项目安装过程中需对原有部分设施实施拆除、搬迁工作（同时包括为完成本改造所必须实施的其他拆除工作），请供应商明确拆除范围和具体工作量，此拆除工作、清理费用一次性包干，原系统设备应完整保留归采购人处理。</w:t>
      </w:r>
    </w:p>
    <w:p w14:paraId="7D458095">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3、供应商负责正式投入使用前的成品保护措施，并在采购人指定的时间负责解除保护措施。</w:t>
      </w:r>
    </w:p>
    <w:p w14:paraId="416B6997">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4、供应商负责安装期间的安全工作，因供应商原因造成任何人身、财产损失的，由供应商承担全部责任；因此造成采购人损失的，供应商应当负责赔偿。</w:t>
      </w:r>
    </w:p>
    <w:p w14:paraId="570CE9A5">
      <w:pPr>
        <w:pStyle w:val="25"/>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outlineLvl w:val="0"/>
        <w:rPr>
          <w:rFonts w:hint="eastAsia" w:hAnsi="宋体" w:cs="Times New Roman"/>
          <w:b/>
          <w:bCs/>
          <w:color w:val="000000" w:themeColor="text1"/>
          <w:sz w:val="24"/>
          <w:szCs w:val="24"/>
          <w14:textFill>
            <w14:solidFill>
              <w14:schemeClr w14:val="tx1"/>
            </w14:solidFill>
          </w14:textFill>
        </w:rPr>
      </w:pPr>
      <w:r>
        <w:rPr>
          <w:rFonts w:hint="eastAsia" w:ascii="宋体" w:hAnsi="宋体" w:cs="Times New Roman"/>
          <w:b/>
          <w:bCs/>
          <w:color w:val="000000" w:themeColor="text1"/>
          <w:kern w:val="2"/>
          <w:sz w:val="24"/>
          <w:szCs w:val="24"/>
          <w:lang w:val="en-US" w:eastAsia="zh-CN" w:bidi="ar-SA"/>
          <w14:textFill>
            <w14:solidFill>
              <w14:schemeClr w14:val="tx1"/>
            </w14:solidFill>
          </w14:textFill>
        </w:rPr>
        <w:t>六、</w:t>
      </w:r>
      <w:r>
        <w:rPr>
          <w:rFonts w:hint="eastAsia" w:hAnsi="宋体" w:cs="Times New Roman"/>
          <w:b/>
          <w:bCs/>
          <w:color w:val="000000" w:themeColor="text1"/>
          <w:sz w:val="24"/>
          <w:szCs w:val="24"/>
          <w14:textFill>
            <w14:solidFill>
              <w14:schemeClr w14:val="tx1"/>
            </w14:solidFill>
          </w14:textFill>
        </w:rPr>
        <w:t>商务要求：</w:t>
      </w:r>
    </w:p>
    <w:p w14:paraId="6C0BAE50">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1.质保期、维保期与售后服务：</w:t>
      </w:r>
    </w:p>
    <w:p w14:paraId="7E42F06D">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1.1质保期：所有设备(含安装辅件)提供不少于</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年的质保（若设备原厂商提供更长质保期，则按最长的质保期执行），质保期从验收合格交付使用之日起算；保质期内因产品本身缺陷（非人为因素）造成各种故障应由中标供应商提供免费技术服务和维修。</w:t>
      </w:r>
    </w:p>
    <w:p w14:paraId="24A4B543">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1.2在质保期内，中标供应商应负责对其提供的设备进行现场维修、损坏件更换，不收取额外费用，响应时间必须满足采购人工作正常运行的要求。要求中标供应商</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小时电话响应技术咨询；除非招标文件另有规定，中标供应商接到维修信息后应在</w:t>
      </w:r>
      <w:r>
        <w:rPr>
          <w:rFonts w:hint="eastAsia" w:ascii="宋体" w:hAnsi="宋体" w:cs="宋体"/>
          <w:color w:val="000000" w:themeColor="text1"/>
          <w:kern w:val="0"/>
          <w:sz w:val="24"/>
          <w:lang w:bidi="ar"/>
          <w14:textFill>
            <w14:solidFill>
              <w14:schemeClr w14:val="tx1"/>
            </w14:solidFill>
          </w14:textFill>
        </w:rPr>
        <w:t>30分钟内电话响应，</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小时内到场维修，一般故障应在</w:t>
      </w:r>
      <w:r>
        <w:rPr>
          <w:rFonts w:hint="eastAsia" w:ascii="宋体" w:hAnsi="宋体" w:cs="宋体"/>
          <w:color w:val="000000" w:themeColor="text1"/>
          <w:kern w:val="0"/>
          <w:sz w:val="24"/>
          <w:lang w:val="en-US" w:eastAsia="zh-CN" w:bidi="ar"/>
          <w14:textFill>
            <w14:solidFill>
              <w14:schemeClr w14:val="tx1"/>
            </w14:solidFill>
          </w14:textFill>
        </w:rPr>
        <w:t>6</w:t>
      </w:r>
      <w:r>
        <w:rPr>
          <w:rFonts w:hint="eastAsia" w:ascii="宋体" w:hAnsi="宋体" w:cs="宋体"/>
          <w:color w:val="000000" w:themeColor="text1"/>
          <w:kern w:val="0"/>
          <w:sz w:val="24"/>
          <w:lang w:bidi="ar"/>
          <w14:textFill>
            <w14:solidFill>
              <w14:schemeClr w14:val="tx1"/>
            </w14:solidFill>
          </w14:textFill>
        </w:rPr>
        <w:t>小时内解决问题</w:t>
      </w:r>
      <w:r>
        <w:rPr>
          <w:rFonts w:hint="eastAsia" w:ascii="宋体" w:hAnsi="宋体" w:cs="宋体"/>
          <w:color w:val="000000" w:themeColor="text1"/>
          <w:sz w:val="24"/>
          <w14:textFill>
            <w14:solidFill>
              <w14:schemeClr w14:val="tx1"/>
            </w14:solidFill>
          </w14:textFill>
        </w:rPr>
        <w:t>，需要更换重要配件的应在3日</w:t>
      </w:r>
      <w:r>
        <w:rPr>
          <w:rFonts w:hint="eastAsia" w:ascii="宋体" w:hAnsi="宋体" w:cs="宋体"/>
          <w:color w:val="000000" w:themeColor="text1"/>
          <w:sz w:val="24"/>
          <w:lang w:eastAsia="zh-CN"/>
          <w14:textFill>
            <w14:solidFill>
              <w14:schemeClr w14:val="tx1"/>
            </w14:solidFill>
          </w14:textFill>
        </w:rPr>
        <w:t>内</w:t>
      </w:r>
      <w:r>
        <w:rPr>
          <w:rFonts w:hint="eastAsia" w:ascii="宋体" w:hAnsi="宋体" w:cs="宋体"/>
          <w:color w:val="000000" w:themeColor="text1"/>
          <w:sz w:val="24"/>
          <w14:textFill>
            <w14:solidFill>
              <w14:schemeClr w14:val="tx1"/>
            </w14:solidFill>
          </w14:textFill>
        </w:rPr>
        <w:t>完成。若短期无法修复的，应及时提供相应备用设备并负责安装调试，为此，供应商应提供相应承诺书。</w:t>
      </w:r>
    </w:p>
    <w:p w14:paraId="48ECDEB1">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1.3在质保期内，如遇</w:t>
      </w:r>
      <w:r>
        <w:rPr>
          <w:rFonts w:hint="eastAsia" w:ascii="宋体" w:hAnsi="宋体" w:cs="宋体"/>
          <w:color w:val="000000" w:themeColor="text1"/>
          <w:sz w:val="24"/>
          <w:lang w:eastAsia="zh-CN"/>
          <w14:textFill>
            <w14:solidFill>
              <w14:schemeClr w14:val="tx1"/>
            </w14:solidFill>
          </w14:textFill>
        </w:rPr>
        <w:t>地址</w:t>
      </w:r>
      <w:r>
        <w:rPr>
          <w:rFonts w:hint="eastAsia" w:ascii="宋体" w:hAnsi="宋体" w:cs="宋体"/>
          <w:color w:val="000000" w:themeColor="text1"/>
          <w:sz w:val="24"/>
          <w14:textFill>
            <w14:solidFill>
              <w14:schemeClr w14:val="tx1"/>
            </w14:solidFill>
          </w14:textFill>
        </w:rPr>
        <w:t>搬迁，中标供应商须无条件配合采购人对设备进行搬迁、安装、调试。</w:t>
      </w:r>
    </w:p>
    <w:p w14:paraId="5F159817">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供应商在投标文件中须说明保修期内提供的服务计划。</w:t>
      </w:r>
    </w:p>
    <w:p w14:paraId="522BB015">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2.履</w:t>
      </w:r>
      <w:r>
        <w:rPr>
          <w:rFonts w:hint="eastAsia" w:ascii="宋体" w:hAnsi="宋体" w:cs="宋体"/>
          <w:b/>
          <w:bCs/>
          <w:color w:val="000000" w:themeColor="text1"/>
          <w:sz w:val="24"/>
          <w:highlight w:val="none"/>
          <w14:textFill>
            <w14:solidFill>
              <w14:schemeClr w14:val="tx1"/>
            </w14:solidFill>
          </w14:textFill>
        </w:rPr>
        <w:t>约保证金：</w:t>
      </w:r>
      <w:r>
        <w:rPr>
          <w:rFonts w:hint="eastAsia" w:ascii="宋体" w:hAnsi="宋体" w:cs="宋体"/>
          <w:color w:val="000000" w:themeColor="text1"/>
          <w:sz w:val="24"/>
          <w:highlight w:val="none"/>
          <w14:textFill>
            <w14:solidFill>
              <w14:schemeClr w14:val="tx1"/>
            </w14:solidFill>
          </w14:textFill>
        </w:rPr>
        <w:t>本项目不收取</w:t>
      </w:r>
    </w:p>
    <w:p w14:paraId="1914BC79">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3.工期：</w:t>
      </w:r>
      <w:r>
        <w:rPr>
          <w:rFonts w:hint="eastAsia" w:ascii="宋体" w:hAnsi="宋体" w:cs="宋体"/>
          <w:color w:val="000000" w:themeColor="text1"/>
          <w:sz w:val="24"/>
          <w:highlight w:val="none"/>
          <w14:textFill>
            <w14:solidFill>
              <w14:schemeClr w14:val="tx1"/>
            </w14:solidFill>
          </w14:textFill>
        </w:rPr>
        <w:t>自接到采购人供货通知</w:t>
      </w:r>
      <w:r>
        <w:rPr>
          <w:rFonts w:hint="eastAsia" w:ascii="宋体" w:hAnsi="宋体" w:cs="宋体"/>
          <w:color w:val="000000" w:themeColor="text1"/>
          <w:sz w:val="24"/>
          <w:highlight w:val="none"/>
          <w:lang w:eastAsia="zh-CN"/>
          <w14:textFill>
            <w14:solidFill>
              <w14:schemeClr w14:val="tx1"/>
            </w14:solidFill>
          </w14:textFill>
        </w:rPr>
        <w:t>后在规定时间内</w:t>
      </w:r>
      <w:r>
        <w:rPr>
          <w:rFonts w:hint="eastAsia" w:ascii="宋体" w:hAnsi="宋体" w:cs="宋体"/>
          <w:color w:val="000000" w:themeColor="text1"/>
          <w:sz w:val="24"/>
          <w:highlight w:val="none"/>
          <w14:textFill>
            <w14:solidFill>
              <w14:schemeClr w14:val="tx1"/>
            </w14:solidFill>
          </w14:textFill>
        </w:rPr>
        <w:t>完成供货、安装、调试及验收等</w:t>
      </w:r>
      <w:r>
        <w:rPr>
          <w:rFonts w:hint="eastAsia" w:ascii="宋体" w:hAnsi="宋体" w:cs="宋体"/>
          <w:color w:val="000000" w:themeColor="text1"/>
          <w:sz w:val="24"/>
          <w:highlight w:val="none"/>
          <w:lang w:eastAsia="zh-CN"/>
          <w14:textFill>
            <w14:solidFill>
              <w14:schemeClr w14:val="tx1"/>
            </w14:solidFill>
          </w14:textFill>
        </w:rPr>
        <w:t>。（因采购人单位工作性质特殊，需在接到</w:t>
      </w:r>
      <w:r>
        <w:rPr>
          <w:rFonts w:hint="eastAsia" w:ascii="宋体" w:hAnsi="宋体" w:cs="宋体"/>
          <w:color w:val="000000" w:themeColor="text1"/>
          <w:sz w:val="24"/>
          <w:highlight w:val="none"/>
          <w14:textFill>
            <w14:solidFill>
              <w14:schemeClr w14:val="tx1"/>
            </w14:solidFill>
          </w14:textFill>
        </w:rPr>
        <w:t>采购人供货通知</w:t>
      </w:r>
      <w:r>
        <w:rPr>
          <w:rFonts w:hint="eastAsia" w:ascii="宋体" w:hAnsi="宋体" w:cs="宋体"/>
          <w:color w:val="000000" w:themeColor="text1"/>
          <w:sz w:val="24"/>
          <w:highlight w:val="none"/>
          <w:lang w:eastAsia="zh-CN"/>
          <w14:textFill>
            <w14:solidFill>
              <w14:schemeClr w14:val="tx1"/>
            </w14:solidFill>
          </w14:textFill>
        </w:rPr>
        <w:t>后在规定时间内完成安装、调试）</w:t>
      </w:r>
    </w:p>
    <w:p w14:paraId="723DF03A">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4.付款方式：</w:t>
      </w:r>
    </w:p>
    <w:p w14:paraId="7F8B1FF8">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根据《保障中小企业款项支付条例》、省财政厅《浙江省财政厅关于进一步发挥政府采购政策功能全力推动经济稳进提质的通知》（浙财采监【2022】3号）要求，制定如下付款方式：</w:t>
      </w:r>
    </w:p>
    <w:p w14:paraId="174B33AD">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1.采购人自合同生效及具备实施条件后支付预付款，也即合同金额的</w:t>
      </w:r>
      <w:r>
        <w:rPr>
          <w:rFonts w:hint="eastAsia" w:ascii="宋体" w:hAnsi="宋体" w:cs="宋体"/>
          <w:color w:val="000000" w:themeColor="text1"/>
          <w:sz w:val="24"/>
          <w:lang w:val="en-US" w:eastAsia="zh-CN"/>
          <w14:textFill>
            <w14:solidFill>
              <w14:schemeClr w14:val="tx1"/>
            </w14:solidFill>
          </w14:textFill>
        </w:rPr>
        <w:t>70</w:t>
      </w:r>
      <w:r>
        <w:rPr>
          <w:rFonts w:hint="eastAsia" w:ascii="宋体" w:hAnsi="宋体" w:cs="宋体"/>
          <w:color w:val="000000" w:themeColor="text1"/>
          <w:sz w:val="24"/>
          <w14:textFill>
            <w14:solidFill>
              <w14:schemeClr w14:val="tx1"/>
            </w14:solidFill>
          </w14:textFill>
        </w:rPr>
        <w:t>%；（注：若中标供应商明确表示无需预付款或者主动要求降低预付款比例的，采购人可不适用前述规定。）</w:t>
      </w:r>
    </w:p>
    <w:p w14:paraId="7F76D421">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待货物按采购人时间要求全部提供安装完成并经采购人验收合格审计后，按最终审计价结算支付剩余金额</w:t>
      </w:r>
      <w:r>
        <w:rPr>
          <w:rFonts w:hint="eastAsia" w:ascii="宋体" w:hAnsi="宋体" w:cs="宋体"/>
          <w:color w:val="000000" w:themeColor="text1"/>
          <w:sz w:val="24"/>
          <w:lang w:eastAsia="zh-CN"/>
          <w14:textFill>
            <w14:solidFill>
              <w14:schemeClr w14:val="tx1"/>
            </w14:solidFill>
          </w14:textFill>
        </w:rPr>
        <w:t>。</w:t>
      </w:r>
    </w:p>
    <w:p w14:paraId="3A6AE7FC">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税费：本服务执行中相关的一切税费均由中标供应商负担。中标供应商在采购人付款前应开具专用增值税发票。</w:t>
      </w:r>
    </w:p>
    <w:p w14:paraId="177B7E66">
      <w:pPr>
        <w:keepNext w:val="0"/>
        <w:keepLines w:val="0"/>
        <w:pageBreakBefore w:val="0"/>
        <w:widowControl w:val="0"/>
        <w:kinsoku/>
        <w:wordWrap/>
        <w:overflowPunct/>
        <w:topLinePunct w:val="0"/>
        <w:autoSpaceDE/>
        <w:autoSpaceDN/>
        <w:bidi w:val="0"/>
        <w:adjustRightInd w:val="0"/>
        <w:spacing w:line="480" w:lineRule="exact"/>
        <w:ind w:left="723" w:hanging="723" w:hangingChars="300"/>
        <w:textAlignment w:val="auto"/>
        <w:rPr>
          <w:rFonts w:hint="eastAsia" w:ascii="宋体" w:hAnsi="宋体" w:eastAsia="宋体" w:cs="宋体"/>
          <w:b/>
          <w:color w:val="000000" w:themeColor="text1"/>
          <w:sz w:val="24"/>
          <w14:textFill>
            <w14:solidFill>
              <w14:schemeClr w14:val="tx1"/>
            </w14:solidFill>
          </w14:textFill>
        </w:rPr>
      </w:pPr>
      <w:bookmarkStart w:id="2" w:name="_Toc440790360"/>
      <w:r>
        <w:rPr>
          <w:rFonts w:hint="eastAsia" w:ascii="宋体" w:hAnsi="宋体" w:eastAsia="宋体" w:cs="宋体"/>
          <w:b/>
          <w:color w:val="000000" w:themeColor="text1"/>
          <w:sz w:val="24"/>
          <w:lang w:eastAsia="zh-CN"/>
          <w14:textFill>
            <w14:solidFill>
              <w14:schemeClr w14:val="tx1"/>
            </w14:solidFill>
          </w14:textFill>
        </w:rPr>
        <w:t>七</w:t>
      </w:r>
      <w:r>
        <w:rPr>
          <w:rFonts w:hint="eastAsia" w:ascii="宋体" w:hAnsi="宋体" w:eastAsia="宋体" w:cs="宋体"/>
          <w:b/>
          <w:color w:val="000000" w:themeColor="text1"/>
          <w:sz w:val="24"/>
          <w14:textFill>
            <w14:solidFill>
              <w14:schemeClr w14:val="tx1"/>
            </w14:solidFill>
          </w14:textFill>
        </w:rPr>
        <w:t>、验收</w:t>
      </w:r>
      <w:bookmarkEnd w:id="2"/>
    </w:p>
    <w:p w14:paraId="7936FC9D">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1、产品保护：供应商在验收合格并正常运行两周内有责任对设备的成品保护、维护负责。</w:t>
      </w:r>
    </w:p>
    <w:p w14:paraId="239E20F3">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2、验收合格条件</w:t>
      </w:r>
    </w:p>
    <w:p w14:paraId="079C51DB">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（1）运行结果符合合同要求。</w:t>
      </w:r>
    </w:p>
    <w:p w14:paraId="12BA1A4C">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（2）在进行测试、试运行及验收运行过程中发生的故障和发现的隐患已被排除并得到采购人认可。</w:t>
      </w:r>
    </w:p>
    <w:p w14:paraId="739E87AB">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（3）所有合同中规定的货物和资料都已提交。</w:t>
      </w:r>
    </w:p>
    <w:p w14:paraId="0E287DB2">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（4）设备在交由采购人使用之前已通过</w:t>
      </w:r>
      <w:r>
        <w:rPr>
          <w:rFonts w:hint="eastAsia" w:ascii="宋体" w:hAnsi="宋体" w:cs="宋体"/>
          <w:bCs/>
          <w:color w:val="000000" w:themeColor="text1"/>
          <w:sz w:val="24"/>
          <w:lang w:eastAsia="zh-CN"/>
          <w14:textFill>
            <w14:solidFill>
              <w14:schemeClr w14:val="tx1"/>
            </w14:solidFill>
          </w14:textFill>
        </w:rPr>
        <w:t>当</w:t>
      </w:r>
      <w:r>
        <w:rPr>
          <w:rFonts w:hint="eastAsia" w:ascii="宋体" w:hAnsi="宋体" w:cs="宋体"/>
          <w:bCs/>
          <w:color w:val="auto"/>
          <w:sz w:val="24"/>
          <w:lang w:eastAsia="zh-CN"/>
        </w:rPr>
        <w:t>地供电</w:t>
      </w:r>
      <w:r>
        <w:rPr>
          <w:rFonts w:hint="eastAsia" w:ascii="宋体" w:hAnsi="宋体" w:eastAsia="宋体" w:cs="宋体"/>
          <w:bCs/>
          <w:color w:val="auto"/>
          <w:sz w:val="24"/>
        </w:rPr>
        <w:t>部门验</w:t>
      </w:r>
      <w:r>
        <w:rPr>
          <w:rFonts w:hint="eastAsia" w:ascii="宋体" w:hAnsi="宋体" w:eastAsia="宋体" w:cs="宋体"/>
          <w:bCs/>
          <w:color w:val="000000" w:themeColor="text1"/>
          <w:sz w:val="24"/>
          <w14:textFill>
            <w14:solidFill>
              <w14:schemeClr w14:val="tx1"/>
            </w14:solidFill>
          </w14:textFill>
        </w:rPr>
        <w:t>收合格</w:t>
      </w:r>
    </w:p>
    <w:p w14:paraId="15EB2463">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（5）双方共同签署验收合格证书。</w:t>
      </w:r>
    </w:p>
    <w:p w14:paraId="30C8BE85">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3、供应商按采购人要求进行施工，满足采购人的要求直至通过验收，验收过程中，如有不满足采购人要求、采购文件规定要求及不符合国家相关规范要求的，由供应商负责整改，费用自理。</w:t>
      </w:r>
    </w:p>
    <w:p w14:paraId="4BB79683">
      <w:pPr>
        <w:keepNext w:val="0"/>
        <w:keepLines w:val="0"/>
        <w:pageBreakBefore w:val="0"/>
        <w:widowControl w:val="0"/>
        <w:kinsoku/>
        <w:wordWrap/>
        <w:overflowPunct/>
        <w:topLinePunct w:val="0"/>
        <w:autoSpaceDE/>
        <w:autoSpaceDN/>
        <w:bidi w:val="0"/>
        <w:adjustRightInd w:val="0"/>
        <w:spacing w:line="480" w:lineRule="exact"/>
        <w:ind w:left="-2"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本项目最终验收合格前的检测费用均由</w:t>
      </w:r>
      <w:r>
        <w:rPr>
          <w:rFonts w:hint="eastAsia" w:ascii="宋体" w:hAnsi="宋体" w:eastAsia="宋体" w:cs="宋体"/>
          <w:bCs/>
          <w:color w:val="000000" w:themeColor="text1"/>
          <w:sz w:val="24"/>
          <w:lang w:eastAsia="zh-CN"/>
          <w14:textFill>
            <w14:solidFill>
              <w14:schemeClr w14:val="tx1"/>
            </w14:solidFill>
          </w14:textFill>
        </w:rPr>
        <w:t>中标</w:t>
      </w:r>
      <w:r>
        <w:rPr>
          <w:rFonts w:hint="eastAsia" w:ascii="宋体" w:hAnsi="宋体" w:eastAsia="宋体" w:cs="宋体"/>
          <w:bCs/>
          <w:color w:val="000000" w:themeColor="text1"/>
          <w:sz w:val="24"/>
          <w14:textFill>
            <w14:solidFill>
              <w14:schemeClr w14:val="tx1"/>
            </w14:solidFill>
          </w14:textFill>
        </w:rPr>
        <w:t>供应商承担。请各供应商在报价时考虑进报价中。</w:t>
      </w:r>
    </w:p>
    <w:p w14:paraId="734DCA3E">
      <w:pPr>
        <w:jc w:val="both"/>
        <w:rPr>
          <w:rFonts w:hint="eastAsia" w:ascii="宋体" w:hAnsi="宋体" w:cs="宋体"/>
          <w:b/>
          <w:color w:val="000000" w:themeColor="text1"/>
          <w:sz w:val="36"/>
          <w:szCs w:val="36"/>
          <w14:textFill>
            <w14:solidFill>
              <w14:schemeClr w14:val="tx1"/>
            </w14:solidFill>
          </w14:textFill>
        </w:rPr>
      </w:pPr>
    </w:p>
    <w:p w14:paraId="73BAE4E3">
      <w:pPr>
        <w:jc w:val="center"/>
        <w:rPr>
          <w:rFonts w:hint="eastAsia" w:ascii="宋体" w:hAnsi="宋体" w:cs="宋体"/>
          <w:b/>
          <w:color w:val="000000" w:themeColor="text1"/>
          <w:sz w:val="36"/>
          <w:szCs w:val="36"/>
          <w14:textFill>
            <w14:solidFill>
              <w14:schemeClr w14:val="tx1"/>
            </w14:solidFill>
          </w14:textFill>
        </w:rPr>
      </w:pPr>
    </w:p>
    <w:p w14:paraId="16D82B59">
      <w:pPr>
        <w:jc w:val="center"/>
        <w:rPr>
          <w:rFonts w:hint="eastAsia" w:ascii="宋体" w:hAnsi="宋体" w:cs="宋体"/>
          <w:b/>
          <w:color w:val="000000" w:themeColor="text1"/>
          <w:sz w:val="36"/>
          <w:szCs w:val="36"/>
          <w14:textFill>
            <w14:solidFill>
              <w14:schemeClr w14:val="tx1"/>
            </w14:solidFill>
          </w14:textFill>
        </w:rPr>
      </w:pPr>
    </w:p>
    <w:p w14:paraId="4B38CB9C">
      <w:pPr>
        <w:jc w:val="center"/>
        <w:rPr>
          <w:rFonts w:hint="eastAsia" w:ascii="宋体" w:hAnsi="宋体" w:cs="宋体"/>
          <w:b/>
          <w:color w:val="000000" w:themeColor="text1"/>
          <w:sz w:val="36"/>
          <w:szCs w:val="36"/>
          <w14:textFill>
            <w14:solidFill>
              <w14:schemeClr w14:val="tx1"/>
            </w14:solidFill>
          </w14:textFill>
        </w:rPr>
      </w:pPr>
    </w:p>
    <w:p w14:paraId="2AE3BE63">
      <w:pPr>
        <w:jc w:val="center"/>
        <w:rPr>
          <w:rFonts w:hint="eastAsia" w:ascii="宋体" w:hAnsi="宋体" w:cs="宋体"/>
          <w:b/>
          <w:color w:val="000000" w:themeColor="text1"/>
          <w:sz w:val="36"/>
          <w:szCs w:val="36"/>
          <w14:textFill>
            <w14:solidFill>
              <w14:schemeClr w14:val="tx1"/>
            </w14:solidFill>
          </w14:textFill>
        </w:rPr>
      </w:pPr>
    </w:p>
    <w:p w14:paraId="16EEA1A7">
      <w:pPr>
        <w:jc w:val="center"/>
        <w:rPr>
          <w:rFonts w:hint="eastAsia" w:ascii="宋体" w:hAnsi="宋体" w:cs="宋体"/>
          <w:b/>
          <w:color w:val="000000" w:themeColor="text1"/>
          <w:sz w:val="36"/>
          <w:szCs w:val="36"/>
          <w14:textFill>
            <w14:solidFill>
              <w14:schemeClr w14:val="tx1"/>
            </w14:solidFill>
          </w14:textFill>
        </w:rPr>
      </w:pPr>
    </w:p>
    <w:p w14:paraId="70D57914">
      <w:pPr>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第三章  供应商须知</w:t>
      </w:r>
    </w:p>
    <w:p w14:paraId="1B470889">
      <w:pPr>
        <w:spacing w:line="530" w:lineRule="exact"/>
        <w:jc w:val="center"/>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前附表</w:t>
      </w:r>
    </w:p>
    <w:tbl>
      <w:tblPr>
        <w:tblStyle w:val="43"/>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918"/>
      </w:tblGrid>
      <w:tr w14:paraId="52E2C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20089AED">
            <w:pPr>
              <w:snapToGrid w:val="0"/>
              <w:spacing w:line="540" w:lineRule="exact"/>
              <w:jc w:val="center"/>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13C86D90">
            <w:pPr>
              <w:snapToGrid w:val="0"/>
              <w:spacing w:line="540" w:lineRule="exact"/>
              <w:jc w:val="center"/>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内容、要求</w:t>
            </w:r>
          </w:p>
        </w:tc>
      </w:tr>
      <w:tr w14:paraId="28484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68075792">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687F3256">
            <w:pPr>
              <w:snapToGrid w:val="0"/>
              <w:spacing w:line="540" w:lineRule="exac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lang w:eastAsia="zh-CN"/>
                <w14:textFill>
                  <w14:solidFill>
                    <w14:schemeClr w14:val="tx1"/>
                  </w14:solidFill>
                </w14:textFill>
              </w:rPr>
              <w:t>湖州市殡仪馆配电房变压器增容项目</w:t>
            </w:r>
          </w:p>
        </w:tc>
      </w:tr>
      <w:tr w14:paraId="55034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164189E">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2004947A">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采购内容及数量：详见第二章采购需求</w:t>
            </w:r>
          </w:p>
        </w:tc>
      </w:tr>
      <w:tr w14:paraId="24E8D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53929760">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0F919039">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投标报价及费用：1.本项目投标应以人民币报价；2.不论投标结果如何，供应商均应自行承担所有与投标有关的全部费用；3.本项目采购代理服务费按人民币</w:t>
            </w:r>
            <w:r>
              <w:rPr>
                <w:rFonts w:hint="eastAsia" w:ascii="宋体" w:hAnsi="宋体" w:cs="宋体"/>
                <w:bCs/>
                <w:color w:val="000000" w:themeColor="text1"/>
                <w:spacing w:val="-6"/>
                <w:sz w:val="24"/>
                <w:lang w:eastAsia="zh-CN"/>
                <w14:textFill>
                  <w14:solidFill>
                    <w14:schemeClr w14:val="tx1"/>
                  </w14:solidFill>
                </w14:textFill>
              </w:rPr>
              <w:t>捌仟零捌拾伍元整</w:t>
            </w:r>
            <w:r>
              <w:rPr>
                <w:rFonts w:hint="eastAsia" w:ascii="宋体" w:hAnsi="宋体" w:cs="宋体"/>
                <w:color w:val="000000" w:themeColor="text1"/>
                <w:sz w:val="24"/>
                <w14:textFill>
                  <w14:solidFill>
                    <w14:schemeClr w14:val="tx1"/>
                  </w14:solidFill>
                </w14:textFill>
              </w:rPr>
              <w:t>收取，在确定中标供应商后，领取中标通知书前，由中标供应商全额支付，请供应商自行考虑计入投标报价中。</w:t>
            </w:r>
          </w:p>
        </w:tc>
      </w:tr>
      <w:tr w14:paraId="43270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0BE90CAC">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6CAA242D">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答疑与澄清：</w:t>
            </w:r>
            <w:r>
              <w:rPr>
                <w:rFonts w:hint="eastAsia" w:ascii="宋体" w:hAnsi="宋体" w:cs="宋体"/>
                <w:bCs/>
                <w:color w:val="000000" w:themeColor="text1"/>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如认为招标文件表述不清晰、存在歧视性或者其他违法内容的，可以在</w:t>
            </w:r>
            <w:r>
              <w:rPr>
                <w:rFonts w:hint="eastAsia" w:ascii="宋体" w:hAnsi="宋体" w:cs="宋体"/>
                <w:color w:val="000000" w:themeColor="text1"/>
                <w:kern w:val="0"/>
                <w:sz w:val="24"/>
                <w14:textFill>
                  <w14:solidFill>
                    <w14:schemeClr w14:val="tx1"/>
                  </w14:solidFill>
                </w14:textFill>
              </w:rPr>
              <w:t>依法获取招标文件或者招标文件公告期限届满之日起7个工作日内（公告期限届满后获取招标文件的以公告期限届满为准）</w:t>
            </w:r>
            <w:r>
              <w:rPr>
                <w:rFonts w:hint="eastAsia" w:ascii="宋体" w:hAnsi="宋体" w:cs="宋体"/>
                <w:color w:val="000000" w:themeColor="text1"/>
                <w:sz w:val="24"/>
                <w14:textFill>
                  <w14:solidFill>
                    <w14:schemeClr w14:val="tx1"/>
                  </w14:solidFill>
                </w14:textFill>
              </w:rPr>
              <w:t>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14:paraId="198C4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73389B85">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464D3A13">
            <w:pPr>
              <w:snapToGrid w:val="0"/>
              <w:spacing w:line="5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采购预算：</w:t>
            </w:r>
            <w:r>
              <w:rPr>
                <w:rFonts w:hint="eastAsia" w:ascii="宋体" w:hAnsi="宋体" w:cs="宋体"/>
                <w:color w:val="000000" w:themeColor="text1"/>
                <w:sz w:val="24"/>
                <w:lang w:eastAsia="zh-CN"/>
                <w14:textFill>
                  <w14:solidFill>
                    <w14:schemeClr w14:val="tx1"/>
                  </w14:solidFill>
                </w14:textFill>
              </w:rPr>
              <w:t>人民币</w:t>
            </w:r>
            <w:r>
              <w:rPr>
                <w:rFonts w:hint="eastAsia" w:ascii="宋体" w:hAnsi="宋体" w:cs="宋体"/>
                <w:color w:val="000000" w:themeColor="text1"/>
                <w:sz w:val="24"/>
                <w:lang w:val="en-US" w:eastAsia="zh-CN"/>
                <w14:textFill>
                  <w14:solidFill>
                    <w14:schemeClr w14:val="tx1"/>
                  </w14:solidFill>
                </w14:textFill>
              </w:rPr>
              <w:t>53.9万元；最高限价</w:t>
            </w:r>
            <w:r>
              <w:rPr>
                <w:rFonts w:hint="eastAsia" w:ascii="宋体" w:hAnsi="宋体" w:cs="宋体"/>
                <w:color w:val="000000" w:themeColor="text1"/>
                <w:sz w:val="24"/>
                <w14:textFill>
                  <w14:solidFill>
                    <w14:schemeClr w14:val="tx1"/>
                  </w14:solidFill>
                </w14:textFill>
              </w:rPr>
              <w:t>人民币</w:t>
            </w:r>
            <w:r>
              <w:rPr>
                <w:rFonts w:hint="eastAsia" w:ascii="宋体" w:hAnsi="宋体" w:cs="宋体"/>
                <w:color w:val="000000" w:themeColor="text1"/>
                <w:sz w:val="24"/>
                <w:lang w:val="en-US" w:eastAsia="zh-CN"/>
                <w14:textFill>
                  <w14:solidFill>
                    <w14:schemeClr w14:val="tx1"/>
                  </w14:solidFill>
                </w14:textFill>
              </w:rPr>
              <w:t>50.9</w:t>
            </w:r>
            <w:r>
              <w:rPr>
                <w:rFonts w:hint="eastAsia" w:ascii="宋体" w:hAnsi="宋体" w:cs="宋体"/>
                <w:color w:val="000000" w:themeColor="text1"/>
                <w:sz w:val="24"/>
                <w14:textFill>
                  <w14:solidFill>
                    <w14:schemeClr w14:val="tx1"/>
                  </w14:solidFill>
                </w14:textFill>
              </w:rPr>
              <w:t xml:space="preserve">万元  </w:t>
            </w:r>
          </w:p>
        </w:tc>
      </w:tr>
      <w:tr w14:paraId="5584B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5C0534C">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692872EA">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1.投标文件的制作：本项目实行电子招投标。</w:t>
            </w:r>
          </w:p>
          <w:p w14:paraId="2D76EBAF">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2.投标文件编制：供应商应先安装“政采云电子交易客户端”，并按照本招标文件</w:t>
            </w:r>
            <w:r>
              <w:rPr>
                <w:rFonts w:hint="eastAsia" w:ascii="宋体" w:hAnsi="宋体" w:cs="宋体"/>
                <w:color w:val="000000" w:themeColor="text1"/>
                <w:spacing w:val="-6"/>
                <w:sz w:val="24"/>
                <w14:textFill>
                  <w14:solidFill>
                    <w14:schemeClr w14:val="tx1"/>
                  </w14:solidFill>
                </w14:textFill>
              </w:rPr>
              <w:t>和“政府采购云平台”的要求，通过“政采云电子交易客户端”编制并加密投标文件。</w:t>
            </w:r>
          </w:p>
          <w:p w14:paraId="383172D5">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3.投标文件的形式：电子投标文件（包括“电子加密投标文件”和“备份投标文件”，在投标文件编制完成后同时生成）；</w:t>
            </w:r>
          </w:p>
          <w:p w14:paraId="4A145FEC">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3.1“电子加密投标文件”是指通过“政采云电子交易客户端”完成投标文件编制后生成并加密的数据电文形式的投标文件。</w:t>
            </w:r>
          </w:p>
          <w:p w14:paraId="1D0CA64D">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3.2“备份投标文件”是指与“电子加密投标文件”同时生成的数据电文形式的电子文件（备份标书），其他方式编制的备份投标文件视为无效备份投标文件。</w:t>
            </w:r>
          </w:p>
          <w:p w14:paraId="195ADA18">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4.投标文件份数：</w:t>
            </w:r>
          </w:p>
          <w:p w14:paraId="59D16C06">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4.1“电子加密投标文件”：在线上传递交一份。</w:t>
            </w:r>
          </w:p>
          <w:p w14:paraId="70145C71">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4.2“备份投标文件”：如果供应商在“政府采购云平台”完成的“电子加密投标文件”出现故障后，如供应商提交了符合条件的备份投标文件的，可以在30分钟内上传数据电文形式的“备份投标文件”。</w:t>
            </w:r>
          </w:p>
          <w:p w14:paraId="48BD2197">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5.投标文件的上传和递交：</w:t>
            </w:r>
          </w:p>
          <w:p w14:paraId="58395FDA">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5.1“电子加密投标文件”的上传、递交：</w:t>
            </w:r>
          </w:p>
          <w:p w14:paraId="5B9E8C7C">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a.供应商应在投标截止时间前将“电子加密投标文件”成功上传递交至“政府采购云平台”，否则投标无效。</w:t>
            </w:r>
          </w:p>
          <w:p w14:paraId="4E9B4A04">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b.“电子加密投标文件”成功上传递交后，供应商可自行打印投标文件接收回执。</w:t>
            </w:r>
          </w:p>
          <w:p w14:paraId="6616F800">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5.2“备份投标文件”的上传、递交：</w:t>
            </w:r>
          </w:p>
          <w:p w14:paraId="4111FB60">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a.如果供应商在“政府采购云平台”完成的“电子加密投标文件”出现故障（遗失CA或其他原因）后，须在30分钟内上传数据电文形式的“备份投标文件”；</w:t>
            </w:r>
          </w:p>
          <w:p w14:paraId="7F0BEDAF">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通过“政府采购云平台”成功上传递交的“电子加密投标文件”已按时解密的，“备份投标文件”自动失效。投标文件启用顺序和效力。投标文件的启用，按先后顺位分别为电子投标文件、数据电文形式的备份投标文件。</w:t>
            </w:r>
          </w:p>
          <w:p w14:paraId="1F8E12BE">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5.3所有投标文件逾期解密的视作无效标。</w:t>
            </w:r>
          </w:p>
          <w:p w14:paraId="20924F89">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6.电子加密投标文件的解密和异常情况处理：</w:t>
            </w:r>
          </w:p>
          <w:p w14:paraId="56DC18D0">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6.1开标后，采购代理机构将向各供应商发出“电子加密投标文件”的解密通知，各供应商代表应当在接到解密通知后30分钟内自行完成“电子加密投标文件”的在线解密。</w:t>
            </w:r>
          </w:p>
          <w:p w14:paraId="2B5F0B15">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通过“政府采购云平台”成功上传“电子加密投标文件”的供应商，因遗失CA或其他原因，导致无法解密“电子加密投标文件”的，由代理机构通过政采云电子交易平台【异常处理】端口上传、解密按规定递交的“备份投标文件。</w:t>
            </w:r>
          </w:p>
          <w:p w14:paraId="71155602">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6.3供应商在规定的时间内无法完成投标文件解密的，视为自动放弃本项目的投标。</w:t>
            </w:r>
          </w:p>
        </w:tc>
      </w:tr>
      <w:tr w14:paraId="72F3D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70554C89">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4586D654">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投标截止时间：</w:t>
            </w:r>
            <w:r>
              <w:rPr>
                <w:rFonts w:hint="eastAsia" w:ascii="宋体" w:hAnsi="宋体" w:cs="宋体"/>
                <w:color w:val="000000" w:themeColor="text1"/>
                <w:kern w:val="0"/>
                <w:sz w:val="24"/>
                <w14:textFill>
                  <w14:solidFill>
                    <w14:schemeClr w14:val="tx1"/>
                  </w14:solidFill>
                </w14:textFill>
              </w:rPr>
              <w:t>2025年</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14</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lang w:val="en-US" w:eastAsia="zh-CN"/>
                <w14:textFill>
                  <w14:solidFill>
                    <w14:schemeClr w14:val="tx1"/>
                  </w14:solidFill>
                </w14:textFill>
              </w:rPr>
              <w:t>00</w:t>
            </w:r>
            <w:r>
              <w:rPr>
                <w:rFonts w:hint="eastAsia" w:ascii="宋体" w:hAnsi="宋体" w:cs="宋体"/>
                <w:color w:val="000000" w:themeColor="text1"/>
                <w:kern w:val="0"/>
                <w:sz w:val="24"/>
                <w14:textFill>
                  <w14:solidFill>
                    <w14:schemeClr w14:val="tx1"/>
                  </w14:solidFill>
                </w14:textFill>
              </w:rPr>
              <w:t>分前</w:t>
            </w:r>
          </w:p>
          <w:p w14:paraId="231541AB">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3DB20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277131E2">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5678A331">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w:t>
            </w:r>
            <w:r>
              <w:rPr>
                <w:rFonts w:hint="eastAsia" w:ascii="宋体" w:hAnsi="宋体" w:cs="宋体"/>
                <w:color w:val="000000" w:themeColor="text1"/>
                <w:kern w:val="0"/>
                <w:sz w:val="24"/>
                <w14:textFill>
                  <w14:solidFill>
                    <w14:schemeClr w14:val="tx1"/>
                  </w14:solidFill>
                </w14:textFill>
              </w:rPr>
              <w:t>2025年</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14</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lang w:val="en-US" w:eastAsia="zh-CN"/>
                <w14:textFill>
                  <w14:solidFill>
                    <w14:schemeClr w14:val="tx1"/>
                  </w14:solidFill>
                </w14:textFill>
              </w:rPr>
              <w:t>00</w:t>
            </w:r>
            <w:r>
              <w:rPr>
                <w:rFonts w:hint="eastAsia" w:ascii="宋体" w:hAnsi="宋体" w:cs="宋体"/>
                <w:color w:val="000000" w:themeColor="text1"/>
                <w:kern w:val="0"/>
                <w:sz w:val="24"/>
                <w14:textFill>
                  <w14:solidFill>
                    <w14:schemeClr w14:val="tx1"/>
                  </w14:solidFill>
                </w14:textFill>
              </w:rPr>
              <w:t>分</w:t>
            </w:r>
          </w:p>
          <w:p w14:paraId="65B6E257">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开标地点：湖州市公共资源交易中心2号楼二楼开标室（湖州市仁皇山片区金盖山路66号），具体详见二楼休息区电子显示屏。</w:t>
            </w:r>
          </w:p>
          <w:p w14:paraId="31AFF9D0">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14:paraId="6D41D088">
            <w:pPr>
              <w:widowControl/>
              <w:spacing w:line="540" w:lineRule="exact"/>
              <w:ind w:right="6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2.数据电子备份投标文件（U盘）：</w:t>
            </w:r>
            <w:r>
              <w:rPr>
                <w:rFonts w:hint="eastAsia" w:ascii="宋体" w:hAnsi="宋体" w:cs="宋体"/>
                <w:color w:val="000000" w:themeColor="text1"/>
                <w:kern w:val="0"/>
                <w:sz w:val="24"/>
                <w14:textFill>
                  <w14:solidFill>
                    <w14:schemeClr w14:val="tx1"/>
                  </w14:solidFill>
                </w14:textFill>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hint="eastAsia" w:ascii="宋体" w:hAnsi="宋体" w:cs="宋体"/>
                <w:b/>
                <w:bCs/>
                <w:color w:val="000000" w:themeColor="text1"/>
                <w:kern w:val="0"/>
                <w:sz w:val="24"/>
                <w14:textFill>
                  <w14:solidFill>
                    <w14:schemeClr w14:val="tx1"/>
                  </w14:solidFill>
                </w14:textFill>
              </w:rPr>
              <w:t>递交方式：</w:t>
            </w:r>
            <w:r>
              <w:rPr>
                <w:rFonts w:hint="eastAsia" w:ascii="宋体" w:hAnsi="宋体" w:cs="宋体"/>
                <w:color w:val="000000" w:themeColor="text1"/>
                <w:kern w:val="0"/>
                <w:sz w:val="24"/>
                <w14:textFill>
                  <w14:solidFill>
                    <w14:schemeClr w14:val="tx1"/>
                  </w14:solidFill>
                </w14:textFill>
              </w:rPr>
              <w:t>本项目采用不见面的形式开标，数据电子备份投标文件（U盘）应通过邮寄快递方式送达（原则上邮寄公司统一采用EMS），邮寄地址为：华诚工程咨询集团有限公司湖州分公司[湖州市天宁巷16号（镭宝大厦14楼1710室）]，联系电话：0572-2170107，电子邮箱：757809420@qq.com。邮寄截止时间：供应商应于投标文件截止递交前一个工作日下午5时前准时送达，逾期不予受理。供应商须留足投标文件邮寄时间,确保数据电子备份投标文件（U盘）于规定的时间前送达指定地点，未按时送达的，均按未提供处理；</w:t>
            </w:r>
          </w:p>
          <w:p w14:paraId="3577E566">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14:paraId="63548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CB01430">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3B15AE4A">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评标办法及评分标准：附后</w:t>
            </w:r>
          </w:p>
        </w:tc>
      </w:tr>
      <w:tr w14:paraId="74895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5596370B">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351CC5A3">
            <w:pPr>
              <w:snapToGrid w:val="0"/>
              <w:spacing w:line="54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中标结果公告：采购人依法确定中标供应商后2个工作日内发布中标结果公告，公告发布网址如下：</w:t>
            </w:r>
          </w:p>
          <w:p w14:paraId="36EE366D">
            <w:pPr>
              <w:snapToGrid w:val="0"/>
              <w:spacing w:line="54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浙江省政府采购网：</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HYPERLINK "http://www.zjzfcg.gov.cn/"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https://zfcg.czt.zj.gov.cn/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14:paraId="37184F57">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湖州市公共资源交易信息网</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HYPERLINK "http://ggzy.huzhou.gov.cn/hzfront/" </w:instrText>
            </w:r>
            <w:r>
              <w:rPr>
                <w:rFonts w:hint="eastAsia" w:ascii="宋体" w:hAnsi="宋体" w:cs="宋体"/>
                <w:color w:val="000000" w:themeColor="text1"/>
                <w:kern w:val="0"/>
                <w:sz w:val="24"/>
                <w14:textFill>
                  <w14:solidFill>
                    <w14:schemeClr w14:val="tx1"/>
                  </w14:solidFill>
                </w14:textFill>
              </w:rPr>
              <w:fldChar w:fldCharType="separate"/>
            </w:r>
            <w:r>
              <w:rPr>
                <w:rStyle w:val="49"/>
                <w:rFonts w:hint="eastAsia" w:ascii="宋体" w:hAnsi="宋体" w:cs="宋体"/>
                <w:color w:val="000000" w:themeColor="text1"/>
                <w:kern w:val="0"/>
                <w:sz w:val="24"/>
                <w:u w:val="none"/>
                <w14:textFill>
                  <w14:solidFill>
                    <w14:schemeClr w14:val="tx1"/>
                  </w14:solidFill>
                </w14:textFill>
              </w:rPr>
              <w:t>http://ggzyjy.huzhou.gov.cn/</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w:t>
            </w:r>
          </w:p>
          <w:p w14:paraId="15AA7AAD">
            <w:pPr>
              <w:snapToGrid w:val="0"/>
              <w:spacing w:line="54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华诚工程咨询集团有限公司湖州分公司网</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HYPERLINK "http://www.zjhzhc.cn" </w:instrText>
            </w:r>
            <w:r>
              <w:rPr>
                <w:rFonts w:hint="eastAsia" w:ascii="宋体" w:hAnsi="宋体" w:cs="宋体"/>
                <w:color w:val="000000" w:themeColor="text1"/>
                <w:sz w:val="24"/>
                <w14:textFill>
                  <w14:solidFill>
                    <w14:schemeClr w14:val="tx1"/>
                  </w14:solidFill>
                </w14:textFill>
              </w:rPr>
              <w:fldChar w:fldCharType="separate"/>
            </w:r>
            <w:r>
              <w:rPr>
                <w:rStyle w:val="49"/>
                <w:rFonts w:hint="eastAsia" w:ascii="宋体" w:hAnsi="宋体" w:cs="宋体"/>
                <w:color w:val="000000" w:themeColor="text1"/>
                <w:sz w:val="24"/>
                <w:u w:val="none"/>
                <w14:textFill>
                  <w14:solidFill>
                    <w14:schemeClr w14:val="tx1"/>
                  </w14:solidFill>
                </w14:textFill>
              </w:rPr>
              <w:t>http://www.zjhzhc.cn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tc>
      </w:tr>
      <w:tr w14:paraId="5DBB0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473E2307">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5571A07B">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中标通知书：在发布中标结果公告的同时，向中标供应商发中标通知书</w:t>
            </w:r>
          </w:p>
        </w:tc>
      </w:tr>
      <w:tr w14:paraId="5FFDB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70862C67">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4D6EB20D">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签订合同时间：中标通知书发出后30日内</w:t>
            </w:r>
          </w:p>
        </w:tc>
      </w:tr>
      <w:tr w14:paraId="4D41D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2996DE45">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4BB7570D">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履约保证金的收取及退还:本项目不收取</w:t>
            </w:r>
          </w:p>
        </w:tc>
      </w:tr>
      <w:tr w14:paraId="0EB29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796E505">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5310ADC6">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投标文件有效期：90天</w:t>
            </w:r>
          </w:p>
        </w:tc>
      </w:tr>
      <w:tr w14:paraId="4D756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0C2886AA">
            <w:pPr>
              <w:snapToGrid w:val="0"/>
              <w:spacing w:line="5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0284FD52">
            <w:pPr>
              <w:snapToGri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解释：本招标文件的解释权属于采购人</w:t>
            </w:r>
          </w:p>
        </w:tc>
      </w:tr>
      <w:tr w14:paraId="4E59F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6EFC0F7">
            <w:pPr>
              <w:snapToGrid w:val="0"/>
              <w:spacing w:line="540" w:lineRule="exac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16</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1B0AA3C5">
            <w:pPr>
              <w:snapToGrid w:val="0"/>
              <w:spacing w:line="54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在确定中标供应商后，签订合同前，中标供应商须提供三份完整的纸质投标文件给采购人，纸质投标文件须与电子投标文件格式及内容一致。</w:t>
            </w:r>
          </w:p>
        </w:tc>
      </w:tr>
      <w:tr w14:paraId="5033E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5CDA7598">
            <w:pPr>
              <w:snapToGrid w:val="0"/>
              <w:spacing w:line="540" w:lineRule="exac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17</w:t>
            </w:r>
          </w:p>
        </w:tc>
        <w:tc>
          <w:tcPr>
            <w:tcW w:w="8918" w:type="dxa"/>
            <w:tcBorders>
              <w:top w:val="single" w:color="auto" w:sz="4" w:space="0"/>
              <w:left w:val="single" w:color="auto" w:sz="4" w:space="0"/>
              <w:bottom w:val="single" w:color="auto" w:sz="4" w:space="0"/>
              <w:right w:val="single" w:color="auto" w:sz="4" w:space="0"/>
            </w:tcBorders>
            <w:noWrap w:val="0"/>
            <w:vAlign w:val="center"/>
          </w:tcPr>
          <w:p w14:paraId="7C70C3DC">
            <w:pPr>
              <w:snapToGrid w:val="0"/>
              <w:spacing w:line="54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特别说明：政采云公司如对电子化开标及评审程序有调整的，应按调整的程序操作。</w:t>
            </w:r>
          </w:p>
        </w:tc>
      </w:tr>
    </w:tbl>
    <w:p w14:paraId="419987FE">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一.总  则</w:t>
      </w:r>
    </w:p>
    <w:p w14:paraId="209F6680">
      <w:pPr>
        <w:spacing w:line="500" w:lineRule="exact"/>
        <w:ind w:firstLine="472" w:firstLineChars="197"/>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（一）适用范围</w:t>
      </w:r>
    </w:p>
    <w:p w14:paraId="37B7E66C">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本招标文件适用于</w:t>
      </w:r>
      <w:r>
        <w:rPr>
          <w:rFonts w:hint="eastAsia" w:hAnsi="宋体" w:cs="宋体"/>
          <w:b/>
          <w:color w:val="000000" w:themeColor="text1"/>
          <w:sz w:val="24"/>
          <w:szCs w:val="24"/>
          <w:u w:val="single"/>
          <w:lang w:eastAsia="zh-CN"/>
          <w14:textFill>
            <w14:solidFill>
              <w14:schemeClr w14:val="tx1"/>
            </w14:solidFill>
          </w14:textFill>
        </w:rPr>
        <w:t>湖州市殡仪馆配电房变压器增容项目</w:t>
      </w:r>
      <w:r>
        <w:rPr>
          <w:rFonts w:hint="eastAsia" w:hAnsi="宋体" w:cs="宋体"/>
          <w:color w:val="000000" w:themeColor="text1"/>
          <w:sz w:val="24"/>
          <w:szCs w:val="24"/>
          <w14:textFill>
            <w14:solidFill>
              <w14:schemeClr w14:val="tx1"/>
            </w14:solidFill>
          </w14:textFill>
        </w:rPr>
        <w:t>的招标、投标、评标、定标、验收、合同履约、付款等行为（法律、法规另有规定的，从其规定）。</w:t>
      </w:r>
    </w:p>
    <w:p w14:paraId="6204CE6A">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（二）采购预算：</w:t>
      </w:r>
      <w:r>
        <w:rPr>
          <w:rFonts w:hint="eastAsia" w:ascii="宋体" w:hAnsi="宋体" w:cs="宋体"/>
          <w:color w:val="000000" w:themeColor="text1"/>
          <w:sz w:val="24"/>
          <w:lang w:eastAsia="zh-CN"/>
          <w14:textFill>
            <w14:solidFill>
              <w14:schemeClr w14:val="tx1"/>
            </w14:solidFill>
          </w14:textFill>
        </w:rPr>
        <w:t>人民币</w:t>
      </w:r>
      <w:r>
        <w:rPr>
          <w:rFonts w:hint="eastAsia" w:ascii="宋体" w:hAnsi="宋体" w:cs="宋体"/>
          <w:color w:val="000000" w:themeColor="text1"/>
          <w:sz w:val="24"/>
          <w:lang w:val="en-US" w:eastAsia="zh-CN"/>
          <w14:textFill>
            <w14:solidFill>
              <w14:schemeClr w14:val="tx1"/>
            </w14:solidFill>
          </w14:textFill>
        </w:rPr>
        <w:t>53.9万元；最高限价</w:t>
      </w:r>
      <w:r>
        <w:rPr>
          <w:rFonts w:hint="eastAsia" w:ascii="宋体" w:hAnsi="宋体" w:cs="宋体"/>
          <w:color w:val="000000" w:themeColor="text1"/>
          <w:sz w:val="24"/>
          <w14:textFill>
            <w14:solidFill>
              <w14:schemeClr w14:val="tx1"/>
            </w14:solidFill>
          </w14:textFill>
        </w:rPr>
        <w:t>人民币</w:t>
      </w:r>
      <w:r>
        <w:rPr>
          <w:rFonts w:hint="eastAsia" w:ascii="宋体" w:hAnsi="宋体" w:cs="宋体"/>
          <w:color w:val="000000" w:themeColor="text1"/>
          <w:sz w:val="24"/>
          <w:lang w:val="en-US" w:eastAsia="zh-CN"/>
          <w14:textFill>
            <w14:solidFill>
              <w14:schemeClr w14:val="tx1"/>
            </w14:solidFill>
          </w14:textFill>
        </w:rPr>
        <w:t>50.9</w:t>
      </w:r>
      <w:r>
        <w:rPr>
          <w:rFonts w:hint="eastAsia" w:ascii="宋体" w:hAnsi="宋体" w:cs="宋体"/>
          <w:color w:val="000000" w:themeColor="text1"/>
          <w:sz w:val="24"/>
          <w14:textFill>
            <w14:solidFill>
              <w14:schemeClr w14:val="tx1"/>
            </w14:solidFill>
          </w14:textFill>
        </w:rPr>
        <w:t xml:space="preserve">万元 </w:t>
      </w:r>
    </w:p>
    <w:p w14:paraId="56DA57EE">
      <w:pPr>
        <w:snapToGrid w:val="0"/>
        <w:spacing w:line="500" w:lineRule="exact"/>
        <w:ind w:firstLine="472" w:firstLineChars="197"/>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（三）定义</w:t>
      </w:r>
    </w:p>
    <w:p w14:paraId="7D8C3DC0">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1.采购人系指组织本次招标的</w:t>
      </w:r>
      <w:r>
        <w:rPr>
          <w:rFonts w:hint="eastAsia" w:hAnsi="宋体" w:cs="宋体"/>
          <w:b/>
          <w:color w:val="000000" w:themeColor="text1"/>
          <w:sz w:val="24"/>
          <w:szCs w:val="24"/>
          <w:u w:val="single"/>
          <w:lang w:eastAsia="zh-CN"/>
          <w14:textFill>
            <w14:solidFill>
              <w14:schemeClr w14:val="tx1"/>
            </w14:solidFill>
          </w14:textFill>
        </w:rPr>
        <w:t>湖州市殡仪馆</w:t>
      </w:r>
      <w:r>
        <w:rPr>
          <w:rFonts w:hint="eastAsia" w:hAnsi="宋体" w:cs="宋体"/>
          <w:color w:val="000000" w:themeColor="text1"/>
          <w:sz w:val="24"/>
          <w:szCs w:val="24"/>
          <w14:textFill>
            <w14:solidFill>
              <w14:schemeClr w14:val="tx1"/>
            </w14:solidFill>
          </w14:textFill>
        </w:rPr>
        <w:t>，采购代理机构系指受采购人委托组织本次招标的</w:t>
      </w:r>
      <w:r>
        <w:rPr>
          <w:rFonts w:hint="eastAsia" w:hAnsi="宋体" w:cs="宋体"/>
          <w:b/>
          <w:color w:val="000000" w:themeColor="text1"/>
          <w:sz w:val="24"/>
          <w:szCs w:val="24"/>
          <w:u w:val="single"/>
          <w14:textFill>
            <w14:solidFill>
              <w14:schemeClr w14:val="tx1"/>
            </w14:solidFill>
          </w14:textFill>
        </w:rPr>
        <w:t>华诚工程咨询集团有限公司</w:t>
      </w:r>
      <w:r>
        <w:rPr>
          <w:rFonts w:hint="eastAsia" w:hAnsi="宋体" w:cs="宋体"/>
          <w:color w:val="000000" w:themeColor="text1"/>
          <w:sz w:val="24"/>
          <w:szCs w:val="24"/>
          <w14:textFill>
            <w14:solidFill>
              <w14:schemeClr w14:val="tx1"/>
            </w14:solidFill>
          </w14:textFill>
        </w:rPr>
        <w:t>。</w:t>
      </w:r>
    </w:p>
    <w:p w14:paraId="2F6F1F13">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2.“供应商”指向采购人提交投标文件的单位。</w:t>
      </w:r>
    </w:p>
    <w:p w14:paraId="3487AE09">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3.“项目”系指供应商按招标文件规定向采购人提供的设备</w:t>
      </w:r>
      <w:r>
        <w:rPr>
          <w:rFonts w:hint="eastAsia" w:hAnsi="宋体" w:cs="宋体"/>
          <w:color w:val="000000" w:themeColor="text1"/>
          <w:sz w:val="24"/>
          <w14:textFill>
            <w14:solidFill>
              <w14:schemeClr w14:val="tx1"/>
            </w14:solidFill>
          </w14:textFill>
        </w:rPr>
        <w:t>及类似其他义务</w:t>
      </w:r>
      <w:r>
        <w:rPr>
          <w:rFonts w:hint="eastAsia" w:hAnsi="宋体" w:cs="宋体"/>
          <w:color w:val="000000" w:themeColor="text1"/>
          <w:sz w:val="24"/>
          <w:szCs w:val="24"/>
          <w14:textFill>
            <w14:solidFill>
              <w14:schemeClr w14:val="tx1"/>
            </w14:solidFill>
          </w14:textFill>
        </w:rPr>
        <w:t>。</w:t>
      </w:r>
    </w:p>
    <w:p w14:paraId="06EFB640">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4.“书面形式”包括信函、传真、电报等。</w:t>
      </w:r>
    </w:p>
    <w:p w14:paraId="06432B74">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5.“▲”系指实质性要求条款。</w:t>
      </w:r>
    </w:p>
    <w:p w14:paraId="45D6FE2F">
      <w:pPr>
        <w:snapToGrid w:val="0"/>
        <w:spacing w:line="500" w:lineRule="exact"/>
        <w:ind w:firstLine="470" w:firstLineChars="196"/>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（四）采购方式</w:t>
      </w:r>
    </w:p>
    <w:p w14:paraId="71E30403">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本次招标采用公开招标方式进行。</w:t>
      </w:r>
    </w:p>
    <w:p w14:paraId="1A9275D9">
      <w:pPr>
        <w:numPr>
          <w:ilvl w:val="0"/>
          <w:numId w:val="1"/>
        </w:numPr>
        <w:snapToGrid w:val="0"/>
        <w:spacing w:line="500" w:lineRule="exact"/>
        <w:ind w:firstLine="470" w:firstLineChars="196"/>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投标委托</w:t>
      </w:r>
    </w:p>
    <w:p w14:paraId="31000DEE">
      <w:pPr>
        <w:snapToGrid w:val="0"/>
        <w:spacing w:line="500" w:lineRule="exact"/>
        <w:ind w:firstLine="480" w:firstLineChars="20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本项目采用不见面形式开标，法定代表人或其授权委托人无需到场，在线响应即可（通过政采云系统）。</w:t>
      </w:r>
    </w:p>
    <w:p w14:paraId="62341E32">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（六）供应商的资格条件</w:t>
      </w:r>
    </w:p>
    <w:p w14:paraId="7DFF3DCD">
      <w:pPr>
        <w:widowControl/>
        <w:spacing w:line="480" w:lineRule="exact"/>
        <w:ind w:left="59" w:leftChars="21" w:right="6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28A575A6">
      <w:pPr>
        <w:widowControl/>
        <w:spacing w:line="440" w:lineRule="exact"/>
        <w:ind w:right="60"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2.本项目专门面向中小企业采购,供应商需提供符合《政府采购促进中小企业发</w:t>
      </w:r>
    </w:p>
    <w:p w14:paraId="22FAB645">
      <w:pPr>
        <w:widowControl/>
        <w:spacing w:line="440" w:lineRule="exact"/>
        <w:ind w:right="60"/>
        <w:rPr>
          <w:rFonts w:hint="eastAsia"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展管理办法》（财库【2020】46号）和本招标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232D32AD">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3.本项目中小企业划分类型为：工业。</w:t>
      </w:r>
    </w:p>
    <w:p w14:paraId="35907189">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（七）投标费用</w:t>
      </w:r>
    </w:p>
    <w:p w14:paraId="5D94E2AA">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1.供应商应自行承担投标过程中的所有相关费用，不论中标与否，采购人及采购代理机构在任何情况下不承担有关费用。</w:t>
      </w:r>
    </w:p>
    <w:p w14:paraId="1CFFA6F7">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2.本项目采购代理服务费按人民币</w:t>
      </w:r>
      <w:r>
        <w:rPr>
          <w:rFonts w:hint="eastAsia" w:ascii="宋体" w:hAnsi="宋体" w:cs="宋体"/>
          <w:color w:val="000000" w:themeColor="text1"/>
          <w:sz w:val="24"/>
          <w:lang w:eastAsia="zh-CN"/>
          <w14:textFill>
            <w14:solidFill>
              <w14:schemeClr w14:val="tx1"/>
            </w14:solidFill>
          </w14:textFill>
        </w:rPr>
        <w:t>捌仟零捌拾伍元</w:t>
      </w:r>
      <w:r>
        <w:rPr>
          <w:rFonts w:hint="eastAsia" w:ascii="宋体" w:hAnsi="宋体" w:cs="宋体"/>
          <w:color w:val="000000" w:themeColor="text1"/>
          <w:sz w:val="24"/>
          <w14:textFill>
            <w14:solidFill>
              <w14:schemeClr w14:val="tx1"/>
            </w14:solidFill>
          </w14:textFill>
        </w:rPr>
        <w:t>收取，在确定中标供应商后，领取中标通知书前，由中标供应商全额支付，请供应商自行考虑计入投标报价中。</w:t>
      </w:r>
    </w:p>
    <w:p w14:paraId="4DFD9033">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（八）联合体投标</w:t>
      </w:r>
    </w:p>
    <w:p w14:paraId="5CF97F65">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本项目不接受联合体投标。</w:t>
      </w:r>
    </w:p>
    <w:p w14:paraId="73F4C445">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（九）转包与分包</w:t>
      </w:r>
    </w:p>
    <w:p w14:paraId="6CF4A441">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本项目不允许转包，也不可以分包。</w:t>
      </w:r>
    </w:p>
    <w:p w14:paraId="7FD6949F">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特别说明：</w:t>
      </w:r>
    </w:p>
    <w:p w14:paraId="4E01D68E">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1.供应商投标所使用的资格、信誉、荣誉、业绩与企业认证必须为本法人所拥有。</w:t>
      </w:r>
    </w:p>
    <w:p w14:paraId="610B95CC">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2.供应商应仔细阅读招标文件的所有内容，按照招标文件的要求提交投标文件，并对所提供的全部资料的真实性承担法律责任。</w:t>
      </w:r>
    </w:p>
    <w:p w14:paraId="79E82208">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7E6239C7">
      <w:pPr>
        <w:pStyle w:val="25"/>
        <w:spacing w:line="500" w:lineRule="exact"/>
        <w:ind w:firstLine="480" w:firstLineChars="200"/>
        <w:outlineLvl w:val="1"/>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单位负责人为同一人或者存在直接控股、管理关系的不同供应商，不得参加同一合同标项下的政府采购活动。</w:t>
      </w:r>
    </w:p>
    <w:p w14:paraId="76BB8F85">
      <w:pPr>
        <w:pStyle w:val="25"/>
        <w:spacing w:line="500" w:lineRule="exact"/>
        <w:ind w:firstLine="480" w:firstLineChars="200"/>
        <w:outlineLvl w:val="1"/>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（十）质疑和投诉</w:t>
      </w:r>
    </w:p>
    <w:p w14:paraId="50569F8D">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根据《中华人民共和国财政部令第94号-政府采购质疑和投诉办法》第二章规定。</w:t>
      </w:r>
    </w:p>
    <w:p w14:paraId="3AD87984">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1.供应商认为招标文件、采购过程、中标或者中标结果使自己的权益受到损害的，可以在知道或者应知其权益受到损害之日起7个工作日内，以书面形式向采购人、采购代理机构</w:t>
      </w:r>
      <w:r>
        <w:rPr>
          <w:rFonts w:hint="eastAsia" w:ascii="宋体" w:hAnsi="宋体" w:cs="宋体"/>
          <w:color w:val="000000" w:themeColor="text1"/>
          <w:kern w:val="0"/>
          <w:sz w:val="24"/>
          <w14:textFill>
            <w14:solidFill>
              <w14:schemeClr w14:val="tx1"/>
            </w14:solidFill>
          </w14:textFill>
        </w:rPr>
        <w:t>针对同一采购程序环节</w:t>
      </w:r>
      <w:r>
        <w:rPr>
          <w:rFonts w:hint="eastAsia" w:ascii="宋体" w:hAnsi="宋体" w:cs="宋体"/>
          <w:color w:val="000000" w:themeColor="text1"/>
          <w:sz w:val="24"/>
          <w14:textFill>
            <w14:solidFill>
              <w14:schemeClr w14:val="tx1"/>
            </w14:solidFill>
          </w14:textFill>
        </w:rPr>
        <w:t>提出质疑。</w:t>
      </w:r>
    </w:p>
    <w:p w14:paraId="262FA688">
      <w:pPr>
        <w:spacing w:line="500" w:lineRule="exact"/>
        <w:ind w:firstLine="456"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2.提出质疑的供应商（以下简称质疑供应商）应当是参与所质疑项目采购活动的供应商。</w:t>
      </w:r>
    </w:p>
    <w:p w14:paraId="24F93F68">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潜在供应商已依法获取（依法获取指：</w:t>
      </w:r>
      <w:r>
        <w:rPr>
          <w:rFonts w:hint="eastAsia" w:ascii="宋体" w:hAnsi="宋体" w:cs="宋体"/>
          <w:b/>
          <w:color w:val="000000" w:themeColor="text1"/>
          <w:sz w:val="24"/>
          <w:u w:val="single"/>
          <w14:textFill>
            <w14:solidFill>
              <w14:schemeClr w14:val="tx1"/>
            </w14:solidFill>
          </w14:textFill>
        </w:rPr>
        <w:t>依法获取指：供应商按本项目招标公告要求在政采云系统上获取并报名成功</w:t>
      </w:r>
      <w:r>
        <w:rPr>
          <w:rFonts w:hint="eastAsia" w:ascii="宋体" w:hAnsi="宋体" w:cs="宋体"/>
          <w:color w:val="000000" w:themeColor="text1"/>
          <w:sz w:val="24"/>
          <w14:textFill>
            <w14:solidFill>
              <w14:schemeClr w14:val="tx1"/>
            </w14:solidFill>
          </w14:textFill>
        </w:rPr>
        <w:t>）其可质疑的招标文件的，可以对该文件提出质疑。未按照规定方式依法获取招标文件的，不得对招标文件提起质疑投诉。对招标文件提出质疑的，应当在</w:t>
      </w:r>
      <w:r>
        <w:rPr>
          <w:rFonts w:hint="eastAsia" w:ascii="宋体" w:hAnsi="宋体" w:cs="宋体"/>
          <w:color w:val="000000" w:themeColor="text1"/>
          <w:kern w:val="0"/>
          <w:sz w:val="24"/>
          <w14:textFill>
            <w14:solidFill>
              <w14:schemeClr w14:val="tx1"/>
            </w14:solidFill>
          </w14:textFill>
        </w:rPr>
        <w:t>依法获取招标文件或者招标文件公告期限届满之日起7个工作日内（公告期限届满后获取招标文件的以公告期限届满为准）提出</w:t>
      </w:r>
      <w:r>
        <w:rPr>
          <w:rFonts w:hint="eastAsia" w:ascii="宋体" w:hAnsi="宋体" w:cs="宋体"/>
          <w:color w:val="000000" w:themeColor="text1"/>
          <w:sz w:val="24"/>
          <w14:textFill>
            <w14:solidFill>
              <w14:schemeClr w14:val="tx1"/>
            </w14:solidFill>
          </w14:textFill>
        </w:rPr>
        <w:t>。</w:t>
      </w:r>
    </w:p>
    <w:p w14:paraId="7B74C804">
      <w:pPr>
        <w:spacing w:line="500" w:lineRule="exact"/>
        <w:ind w:left="560" w:left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3.供应商提出质疑应当提交质疑函和必要的证明材料。质疑函应当包括下列内容:</w:t>
      </w:r>
    </w:p>
    <w:p w14:paraId="3B764EA2">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3.1供应商的姓名或者名称、地址、邮编、联系人及联系电话；</w:t>
      </w:r>
    </w:p>
    <w:p w14:paraId="527381A0">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3.2质疑项目的名称、编号；</w:t>
      </w:r>
    </w:p>
    <w:p w14:paraId="12DD7333">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3.3具体、明确的质疑事项和与质疑事项相关的请求；</w:t>
      </w:r>
    </w:p>
    <w:p w14:paraId="6E918ABC">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3.4事实依据；</w:t>
      </w:r>
    </w:p>
    <w:p w14:paraId="5EACCBCA">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3.5必要的法律依据；</w:t>
      </w:r>
    </w:p>
    <w:p w14:paraId="2F740FDD">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3.6提出质疑的日期。</w:t>
      </w:r>
    </w:p>
    <w:p w14:paraId="4BD76409">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供应商为自然人的，应当由本人签名；供应商为法人或者其他组织的，应当由法定代表人、主要负责人，或者其授权代表签名或者盖章，并加盖公章。</w:t>
      </w:r>
    </w:p>
    <w:p w14:paraId="4153BB32">
      <w:pPr>
        <w:spacing w:line="500" w:lineRule="exact"/>
        <w:ind w:firstLine="480"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4.采购人、采购代理机构不得拒收质疑供应商在法定质疑期内发出的质疑函，应当在收到质疑函后7个工作日内做出答复</w:t>
      </w:r>
      <w:r>
        <w:rPr>
          <w:rFonts w:hint="eastAsia" w:ascii="宋体" w:hAnsi="宋体" w:cs="宋体"/>
          <w:color w:val="000000" w:themeColor="text1"/>
          <w:spacing w:val="-6"/>
          <w:sz w:val="24"/>
          <w14:textFill>
            <w14:solidFill>
              <w14:schemeClr w14:val="tx1"/>
            </w14:solidFill>
          </w14:textFill>
        </w:rPr>
        <w:t>，并以书面形式通知质疑供应商和其他有关供应商。</w:t>
      </w:r>
    </w:p>
    <w:p w14:paraId="4C2315D3">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5.供应商对评审过程、中标或者中标结果提出质疑的，采购人、采购代理机构可以组织原评标委员会、竞争性谈判小组、询价小组或者竞争性评标委员会协助答复质疑。</w:t>
      </w:r>
    </w:p>
    <w:p w14:paraId="6DFD2562">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6.质疑答复应当包括下列内容：</w:t>
      </w:r>
    </w:p>
    <w:p w14:paraId="79B23D38">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6.1质疑供应商的姓名或者名称；</w:t>
      </w:r>
    </w:p>
    <w:p w14:paraId="594C8DDD">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6.2收到质疑函的日期、质疑项目名称及编号；</w:t>
      </w:r>
    </w:p>
    <w:p w14:paraId="29A648B2">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6.3质疑事项、质疑答复的具体内容、事实依据和法律依据；</w:t>
      </w:r>
    </w:p>
    <w:p w14:paraId="6B8E4299">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6.4告知质疑供应商依法投诉的权利；</w:t>
      </w:r>
    </w:p>
    <w:p w14:paraId="28437CD7">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6.5质疑答复人名称；</w:t>
      </w:r>
    </w:p>
    <w:p w14:paraId="003A41AC">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6.6答复质疑的日期。</w:t>
      </w:r>
    </w:p>
    <w:p w14:paraId="597BBF9A">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质疑答复的内容不得涉及商业秘密。</w:t>
      </w:r>
    </w:p>
    <w:p w14:paraId="7704EE01">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7.采购人、采购代理机构认为供应商质疑不成立，或者成立但未对中标、中标结果构成影响的，继续开展采购活动；认为供应商质疑成立且影响或者可能影响中标、中标结果的，按照下列情况处理：</w:t>
      </w:r>
    </w:p>
    <w:p w14:paraId="1D923F81">
      <w:pPr>
        <w:spacing w:line="500" w:lineRule="exact"/>
        <w:ind w:firstLine="456"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7.1对招标文件提出的质疑，依法通过澄清或者修改可以继续开展采购活动的，澄清或者修改招标文件后继续开展采购活动；否则应当修改招标文件后重新开展采购活动。</w:t>
      </w:r>
    </w:p>
    <w:p w14:paraId="624E52F0">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对采购过程、中标或者中标结果提出的质疑，合格供应商符合法定数量时，可以从合格的中标或者中标候选人中另行确定中标、中标供应商的，应当依法另行确定中标、中标供应商；否则应当重新开展采购活动。</w:t>
      </w:r>
    </w:p>
    <w:p w14:paraId="29A15560">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质疑答复导致中标、中标结果改变的，采购人或者采购代理机构应当将有关情况书面报告本级财政部门。</w:t>
      </w:r>
    </w:p>
    <w:p w14:paraId="61594DF2">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二．招标文件</w:t>
      </w:r>
    </w:p>
    <w:p w14:paraId="2A409625">
      <w:pPr>
        <w:numPr>
          <w:ilvl w:val="0"/>
          <w:numId w:val="2"/>
        </w:numPr>
        <w:spacing w:line="500" w:lineRule="exact"/>
        <w:ind w:left="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招标文件的组成</w:t>
      </w:r>
    </w:p>
    <w:p w14:paraId="4336E459">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第一章 公开招标采购公告</w:t>
      </w:r>
    </w:p>
    <w:p w14:paraId="3C47672E">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第二章 采购需求</w:t>
      </w:r>
    </w:p>
    <w:p w14:paraId="2C85420A">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第三章 供应商须知</w:t>
      </w:r>
    </w:p>
    <w:p w14:paraId="595F89C5">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第四章 评标办法及评分标准</w:t>
      </w:r>
    </w:p>
    <w:p w14:paraId="71607E0B">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第五章 合同主要条款</w:t>
      </w:r>
    </w:p>
    <w:p w14:paraId="05A24C2B">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第六章 投标文件格式</w:t>
      </w:r>
    </w:p>
    <w:p w14:paraId="6E5D445A">
      <w:pPr>
        <w:snapToGrid w:val="0"/>
        <w:spacing w:line="500" w:lineRule="exact"/>
        <w:ind w:firstLine="470"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（二）供应商的风险</w:t>
      </w:r>
    </w:p>
    <w:p w14:paraId="22291F4A">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供应商没有按照招标文件要求提供全部资料，或者供应商没有对招标文件在各方面作出实质性响应是供应商的风险，并可能导致其投标被拒绝。</w:t>
      </w:r>
    </w:p>
    <w:p w14:paraId="2F630FCB">
      <w:pPr>
        <w:pStyle w:val="13"/>
        <w:widowControl w:val="0"/>
        <w:tabs>
          <w:tab w:val="left" w:pos="420"/>
          <w:tab w:val="left" w:pos="900"/>
          <w:tab w:val="clear" w:pos="454"/>
        </w:tabs>
        <w:snapToGrid w:val="0"/>
        <w:spacing w:after="0" w:afterLines="0" w:line="500" w:lineRule="exact"/>
        <w:ind w:left="0" w:firstLine="470" w:firstLineChars="196"/>
        <w:rPr>
          <w:rFonts w:hint="eastAsia" w:ascii="宋体" w:hAnsi="宋体" w:cs="宋体"/>
          <w:color w:val="000000" w:themeColor="text1"/>
          <w:kern w:val="2"/>
          <w:szCs w:val="24"/>
          <w14:textFill>
            <w14:solidFill>
              <w14:schemeClr w14:val="tx1"/>
            </w14:solidFill>
          </w14:textFill>
        </w:rPr>
      </w:pPr>
      <w:r>
        <w:rPr>
          <w:rFonts w:hint="eastAsia" w:ascii="宋体" w:hAnsi="宋体" w:cs="宋体"/>
          <w:color w:val="000000" w:themeColor="text1"/>
          <w:kern w:val="2"/>
          <w:szCs w:val="24"/>
          <w14:textFill>
            <w14:solidFill>
              <w14:schemeClr w14:val="tx1"/>
            </w14:solidFill>
          </w14:textFill>
        </w:rPr>
        <w:t xml:space="preserve">（三）招标文件的澄清与修改 </w:t>
      </w:r>
    </w:p>
    <w:p w14:paraId="1BBD572B">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1.供应商应认真阅读本招标文件，发现其中有误或有不合理要求的，供应商应</w:t>
      </w:r>
      <w:r>
        <w:rPr>
          <w:rFonts w:hint="eastAsia" w:hAnsi="宋体" w:cs="宋体"/>
          <w:color w:val="000000" w:themeColor="text1"/>
          <w:kern w:val="0"/>
          <w:sz w:val="24"/>
          <w14:textFill>
            <w14:solidFill>
              <w14:schemeClr w14:val="tx1"/>
            </w14:solidFill>
          </w14:textFill>
        </w:rPr>
        <w:t>当在依法获取招标文件或者招标文件公告期限届满之日起7个工作日内（公告期限届满后获取采购文件的以公告期限届满为准）一次性提出</w:t>
      </w:r>
      <w:r>
        <w:rPr>
          <w:rFonts w:hint="eastAsia" w:hAnsi="宋体" w:cs="宋体"/>
          <w:color w:val="000000" w:themeColor="text1"/>
          <w:sz w:val="24"/>
          <w:szCs w:val="24"/>
          <w14:textFill>
            <w14:solidFill>
              <w14:schemeClr w14:val="tx1"/>
            </w14:solidFill>
          </w14:textFill>
        </w:rPr>
        <w:t>，否则逾期视为默认。采购代理机构对已发出的招标文件进行必要澄清、答复、修改或补充的，应当在招标文件要求提交投标文件截止时间十五日前，在财政部门指定的政府采购信息发布媒体上发布更正公告；不足十五日的，采购人或者采购代理机构应当顺延提交投标文件的截止时间。</w:t>
      </w:r>
    </w:p>
    <w:p w14:paraId="3CEA1D12">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2.采购人必须以书面形式答复供应商要求澄清的问题，并将不包含问题来源的答复书面通知所有获取招标文件的供应商；除书面答复以外的其他澄清方式及澄清内容均无效。</w:t>
      </w:r>
    </w:p>
    <w:p w14:paraId="4730D58D">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4347457B">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4.招标文件的澄清、答复、修改或补充都应该通过本采购代理机构以法定形式发布，采购人非通过本机构，不得擅自澄清、答复、修改或补充招标文件。</w:t>
      </w:r>
    </w:p>
    <w:p w14:paraId="51268E45">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三．投标文件的编制要求</w:t>
      </w:r>
    </w:p>
    <w:p w14:paraId="2E7047D4">
      <w:pPr>
        <w:snapToGrid w:val="0"/>
        <w:spacing w:line="500" w:lineRule="exact"/>
        <w:ind w:left="472"/>
        <w:jc w:val="left"/>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（一）投标文件的形式和效力：</w:t>
      </w:r>
    </w:p>
    <w:p w14:paraId="3198A9D3">
      <w:pPr>
        <w:snapToGrid w:val="0"/>
        <w:spacing w:line="500" w:lineRule="exact"/>
        <w:ind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1.投标文件分为电子投标文件及数据电子备份投标文件（U盘），具体内容如下：</w:t>
      </w:r>
    </w:p>
    <w:p w14:paraId="043056EE">
      <w:pPr>
        <w:snapToGrid w:val="0"/>
        <w:spacing w:line="500" w:lineRule="exact"/>
        <w:ind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1.1电子投标文件：按政采云平台项目采购-电子交易操作要求及本招标文件要求制作、加密并递交。</w:t>
      </w:r>
    </w:p>
    <w:p w14:paraId="5A062594">
      <w:pPr>
        <w:widowControl/>
        <w:spacing w:line="540" w:lineRule="exact"/>
        <w:ind w:left="59" w:leftChars="21"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1.2数据电子备份投标文件（U盘）：</w:t>
      </w:r>
      <w:r>
        <w:rPr>
          <w:rFonts w:hint="eastAsia" w:ascii="宋体" w:hAnsi="宋体" w:cs="宋体"/>
          <w:color w:val="000000" w:themeColor="text1"/>
          <w:kern w:val="0"/>
          <w:sz w:val="24"/>
          <w14:textFill>
            <w14:solidFill>
              <w14:schemeClr w14:val="tx1"/>
            </w14:solidFill>
          </w14:textFill>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p>
    <w:p w14:paraId="2DEE4407">
      <w:pPr>
        <w:snapToGrid w:val="0"/>
        <w:spacing w:line="500" w:lineRule="exact"/>
        <w:ind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2.投标文件的效力</w:t>
      </w:r>
    </w:p>
    <w:p w14:paraId="59B21038">
      <w:pPr>
        <w:snapToGrid w:val="0"/>
        <w:spacing w:line="500" w:lineRule="exact"/>
        <w:ind w:firstLine="482" w:firstLineChars="200"/>
        <w:jc w:val="left"/>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734ECAD9">
      <w:pPr>
        <w:snapToGrid w:val="0"/>
        <w:spacing w:line="500" w:lineRule="exact"/>
        <w:ind w:left="472"/>
        <w:jc w:val="left"/>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（二）投标文件的组成（如无格式、格式自拟）</w:t>
      </w:r>
    </w:p>
    <w:p w14:paraId="7466847E">
      <w:pPr>
        <w:snapToGrid w:val="0"/>
        <w:spacing w:line="500" w:lineRule="exact"/>
        <w:ind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投标文件（包括电子投标文件及数据电子备份投标文件（U盘））由《资格文件》、《技术、商务、资信及其他文件》和《报价文件》组成，其中电子投标文件中所须加盖公章部分均采用CA签章。</w:t>
      </w:r>
    </w:p>
    <w:p w14:paraId="7CAC5862">
      <w:pPr>
        <w:spacing w:line="500" w:lineRule="exact"/>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1.资格文件主要包括下列内容：</w:t>
      </w:r>
    </w:p>
    <w:p w14:paraId="249D6DB8">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1.1有效的营业执照；</w:t>
      </w:r>
      <w:r>
        <w:rPr>
          <w:rFonts w:hint="eastAsia" w:ascii="宋体" w:hAnsi="宋体" w:cs="宋体"/>
          <w:b/>
          <w:color w:val="000000" w:themeColor="text1"/>
          <w:sz w:val="24"/>
          <w14:textFill>
            <w14:solidFill>
              <w14:schemeClr w14:val="tx1"/>
            </w14:solidFill>
          </w14:textFill>
        </w:rPr>
        <w:t xml:space="preserve">（资格审查条款） </w:t>
      </w:r>
    </w:p>
    <w:p w14:paraId="0C927E09">
      <w:pPr>
        <w:spacing w:line="500" w:lineRule="exact"/>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1.2法定代表人有效身份证明书及身份证或法定代表人授权书、授权人身份证及授权代表最近三个月中任意1个月个人社保缴纳证明文件；</w:t>
      </w:r>
      <w:r>
        <w:rPr>
          <w:rFonts w:hint="eastAsia" w:ascii="宋体" w:hAnsi="宋体" w:cs="宋体"/>
          <w:b/>
          <w:color w:val="000000" w:themeColor="text1"/>
          <w:sz w:val="24"/>
          <w14:textFill>
            <w14:solidFill>
              <w14:schemeClr w14:val="tx1"/>
            </w14:solidFill>
          </w14:textFill>
        </w:rPr>
        <w:t xml:space="preserve">（资格审查条款） </w:t>
      </w:r>
    </w:p>
    <w:p w14:paraId="1A4B696F">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1.3供应商</w:t>
      </w:r>
      <w:r>
        <w:rPr>
          <w:rFonts w:ascii="宋体" w:hAnsi="宋体" w:cs="宋体"/>
          <w:color w:val="000000" w:themeColor="text1"/>
          <w:sz w:val="24"/>
          <w14:textFill>
            <w14:solidFill>
              <w14:schemeClr w14:val="tx1"/>
            </w14:solidFill>
          </w14:textFill>
        </w:rPr>
        <w:t>承诺符合参与政府采购活动的资格条件并且没有税收缴纳、社会保障等方面的失信记录</w:t>
      </w:r>
      <w:r>
        <w:rPr>
          <w:rFonts w:hint="eastAsia" w:ascii="宋体" w:hAnsi="宋体" w:cs="宋体"/>
          <w:color w:val="000000" w:themeColor="text1"/>
          <w:sz w:val="24"/>
          <w14:textFill>
            <w14:solidFill>
              <w14:schemeClr w14:val="tx1"/>
            </w14:solidFill>
          </w14:textFill>
        </w:rPr>
        <w:t>（提供承诺函，格式自拟）；</w:t>
      </w:r>
      <w:r>
        <w:rPr>
          <w:rFonts w:hint="eastAsia" w:ascii="宋体" w:hAnsi="宋体" w:cs="宋体"/>
          <w:b/>
          <w:color w:val="000000" w:themeColor="text1"/>
          <w:sz w:val="24"/>
          <w14:textFill>
            <w14:solidFill>
              <w14:schemeClr w14:val="tx1"/>
            </w14:solidFill>
          </w14:textFill>
        </w:rPr>
        <w:t xml:space="preserve">（资格审查条款） </w:t>
      </w:r>
    </w:p>
    <w:p w14:paraId="11FA85EC">
      <w:pPr>
        <w:spacing w:line="500" w:lineRule="exact"/>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自采购公告发布之后任意时间的“信用中国”（www.creditchina.gov.cn）、“中国政府采购网”（www.ccgp.gov.cn）供应商信用查询网页截图；</w:t>
      </w:r>
      <w:r>
        <w:rPr>
          <w:rFonts w:hint="eastAsia" w:ascii="宋体" w:hAnsi="宋体" w:cs="宋体"/>
          <w:b/>
          <w:color w:val="000000" w:themeColor="text1"/>
          <w:sz w:val="24"/>
          <w14:textFill>
            <w14:solidFill>
              <w14:schemeClr w14:val="tx1"/>
            </w14:solidFill>
          </w14:textFill>
        </w:rPr>
        <w:t>（资格审查条款）</w:t>
      </w:r>
    </w:p>
    <w:p w14:paraId="148C07D7">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中小企业声明函。 (</w:t>
      </w:r>
      <w:r>
        <w:rPr>
          <w:rFonts w:hint="eastAsia" w:ascii="宋体" w:hAnsi="宋体"/>
          <w:color w:val="000000" w:themeColor="text1"/>
          <w:sz w:val="24"/>
          <w14:textFill>
            <w14:solidFill>
              <w14:schemeClr w14:val="tx1"/>
            </w14:solidFill>
          </w14:textFill>
        </w:rPr>
        <w:t>监狱企业参加投标【提供《监狱企业声明函》及其相关的证明材料】、残疾人福利性单位参加投标【提供《残疾人福利性单位声明函》及其相关的证明材料】，视为小型、微型企业，享受小微企业政策扶持</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（资格审查条款）</w:t>
      </w:r>
    </w:p>
    <w:p w14:paraId="20AAE2B2">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关于中型、小型、微型企业的认定：</w:t>
      </w:r>
    </w:p>
    <w:p w14:paraId="36630312">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供应商按照《关于印发中小企业划型标准规定的通知》（工信部联企业【2011】300号）的所属行业规定为中型、小型、微型企业【按《关于印发中小企业划型标准规定的通知》规定提供《中小企业声明函》，不提供不予认可】。</w:t>
      </w:r>
    </w:p>
    <w:p w14:paraId="29290B06">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②监狱企业参加投标【提供《监狱企业声明函》及其相关的证明材料，不提供不予认可】，视为小型、微型企业，享受小微企业政策扶持，监狱企业属于小型、微型企业的，不重复享受政策。</w:t>
      </w:r>
    </w:p>
    <w:p w14:paraId="201D0BA0">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残疾人福利性单位参加投标【提供《残疾人福利性单位声明函》及其相关的证明材料，不提供不予认可】，视为小型、微型企业，享受小微企业政策扶持，残疾人福利性单位属于小型、微型企业的，不重复享受政策。</w:t>
      </w:r>
    </w:p>
    <w:p w14:paraId="1722CC9E">
      <w:pPr>
        <w:spacing w:line="50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信用承诺书</w:t>
      </w:r>
      <w:r>
        <w:rPr>
          <w:rFonts w:hint="eastAsia" w:ascii="宋体" w:hAnsi="宋体" w:cs="宋体"/>
          <w:color w:val="000000" w:themeColor="text1"/>
          <w:sz w:val="24"/>
          <w:lang w:eastAsia="zh-CN"/>
          <w14:textFill>
            <w14:solidFill>
              <w14:schemeClr w14:val="tx1"/>
            </w14:solidFill>
          </w14:textFill>
        </w:rPr>
        <w:t>及供应商单位负责人不为同一人或者存在控股、管理关系的不同供应商的承诺书</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（资格审查条款</w:t>
      </w:r>
      <w:r>
        <w:rPr>
          <w:rFonts w:hint="eastAsia" w:ascii="宋体" w:hAnsi="宋体" w:cs="宋体"/>
          <w:b/>
          <w:color w:val="000000" w:themeColor="text1"/>
          <w:sz w:val="24"/>
          <w:lang w:eastAsia="zh-CN"/>
          <w14:textFill>
            <w14:solidFill>
              <w14:schemeClr w14:val="tx1"/>
            </w14:solidFill>
          </w14:textFill>
        </w:rPr>
        <w:t>，格式见附件</w:t>
      </w:r>
      <w:r>
        <w:rPr>
          <w:rFonts w:hint="eastAsia" w:ascii="宋体" w:hAnsi="宋体" w:cs="宋体"/>
          <w:b/>
          <w:color w:val="000000" w:themeColor="text1"/>
          <w:sz w:val="24"/>
          <w14:textFill>
            <w14:solidFill>
              <w14:schemeClr w14:val="tx1"/>
            </w14:solidFill>
          </w14:textFill>
        </w:rPr>
        <w:t>）</w:t>
      </w:r>
    </w:p>
    <w:p w14:paraId="0B18E8E0">
      <w:pPr>
        <w:spacing w:line="44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1.7电力工程施工总承包三级及以上或建筑机电安装工程专业承包叁级及以上，且具有承装（修、试）电力设施许可证肆级及以上资质证书。</w:t>
      </w:r>
      <w:r>
        <w:rPr>
          <w:rFonts w:hint="eastAsia" w:ascii="宋体" w:hAnsi="宋体" w:cs="宋体"/>
          <w:b/>
          <w:color w:val="000000" w:themeColor="text1"/>
          <w:sz w:val="24"/>
          <w14:textFill>
            <w14:solidFill>
              <w14:schemeClr w14:val="tx1"/>
            </w14:solidFill>
          </w14:textFill>
        </w:rPr>
        <w:t>（资格审查条款）</w:t>
      </w:r>
    </w:p>
    <w:p w14:paraId="4F2A1ACD">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供应商认为需要提供的其他文件和资料。</w:t>
      </w:r>
    </w:p>
    <w:p w14:paraId="0746D33E">
      <w:pPr>
        <w:widowControl/>
        <w:spacing w:line="500" w:lineRule="exact"/>
        <w:ind w:right="60"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2.技术、商务、资信及其他文件主要包括下列内容：</w:t>
      </w:r>
    </w:p>
    <w:p w14:paraId="5B4F31F6">
      <w:pPr>
        <w:snapToGrid w:val="0"/>
        <w:spacing w:line="500" w:lineRule="exact"/>
        <w:ind w:firstLine="472" w:firstLineChars="196"/>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2.1供应商自评分索引表；</w:t>
      </w:r>
    </w:p>
    <w:p w14:paraId="53A51CDF">
      <w:pPr>
        <w:snapToGrid w:val="0"/>
        <w:spacing w:line="500" w:lineRule="exact"/>
        <w:ind w:firstLine="472" w:firstLineChars="196"/>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2.2技术文件：</w:t>
      </w:r>
    </w:p>
    <w:p w14:paraId="7046CA38">
      <w:pPr>
        <w:tabs>
          <w:tab w:val="left" w:pos="3870"/>
          <w:tab w:val="left" w:pos="4085"/>
        </w:tabs>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2.2.1技术性能；</w:t>
      </w:r>
    </w:p>
    <w:p w14:paraId="26266BD0">
      <w:pPr>
        <w:tabs>
          <w:tab w:val="left" w:pos="3870"/>
          <w:tab w:val="left" w:pos="4085"/>
        </w:tabs>
        <w:snapToGrid w:val="0"/>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2.2.2项目实施方案；</w:t>
      </w:r>
    </w:p>
    <w:p w14:paraId="689A7559">
      <w:pPr>
        <w:snapToGrid w:val="0"/>
        <w:spacing w:line="500" w:lineRule="exact"/>
        <w:ind w:firstLine="470"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2.2.3供应商需要说明的其他文件和说明。</w:t>
      </w:r>
    </w:p>
    <w:p w14:paraId="4364B039">
      <w:pPr>
        <w:snapToGrid w:val="0"/>
        <w:spacing w:line="500" w:lineRule="exact"/>
        <w:ind w:firstLine="472" w:firstLineChars="196"/>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2.3商务、资信及其他文件文件：</w:t>
      </w:r>
    </w:p>
    <w:p w14:paraId="6303E7B7">
      <w:pPr>
        <w:tabs>
          <w:tab w:val="left" w:pos="3870"/>
          <w:tab w:val="left" w:pos="4085"/>
        </w:tabs>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.1供应商情况表；</w:t>
      </w:r>
    </w:p>
    <w:p w14:paraId="24B76BA3">
      <w:pPr>
        <w:snapToGrid w:val="0"/>
        <w:spacing w:line="500" w:lineRule="exact"/>
        <w:ind w:firstLine="470"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2.3.2商务条款偏离表；</w:t>
      </w:r>
    </w:p>
    <w:p w14:paraId="6F9A7132">
      <w:pPr>
        <w:snapToGrid w:val="0"/>
        <w:spacing w:line="500" w:lineRule="exact"/>
        <w:ind w:firstLine="470"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2.3.3服务承诺；</w:t>
      </w:r>
    </w:p>
    <w:p w14:paraId="72132811">
      <w:pPr>
        <w:snapToGrid w:val="0"/>
        <w:spacing w:line="500" w:lineRule="exact"/>
        <w:ind w:firstLine="470"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2.3.4技术培训方案；</w:t>
      </w:r>
    </w:p>
    <w:p w14:paraId="1870406B">
      <w:pPr>
        <w:snapToGrid w:val="0"/>
        <w:spacing w:line="500" w:lineRule="exact"/>
        <w:ind w:firstLine="470" w:firstLineChars="196"/>
        <w:jc w:val="left"/>
        <w:rPr>
          <w:rFonts w:hint="eastAsia"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2.3.5</w:t>
      </w:r>
      <w:r>
        <w:rPr>
          <w:rFonts w:hint="eastAsia" w:hAnsi="宋体" w:cs="宋体"/>
          <w:color w:val="000000" w:themeColor="text1"/>
          <w:sz w:val="24"/>
          <w14:textFill>
            <w14:solidFill>
              <w14:schemeClr w14:val="tx1"/>
            </w14:solidFill>
          </w14:textFill>
        </w:rPr>
        <w:t>企业业绩；</w:t>
      </w:r>
    </w:p>
    <w:p w14:paraId="28376824">
      <w:pPr>
        <w:snapToGrid w:val="0"/>
        <w:spacing w:line="500" w:lineRule="exact"/>
        <w:ind w:firstLine="470"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2.3.6企业认证；</w:t>
      </w:r>
    </w:p>
    <w:p w14:paraId="62E543CA">
      <w:pPr>
        <w:tabs>
          <w:tab w:val="left" w:pos="2947"/>
        </w:tabs>
        <w:snapToGrid w:val="0"/>
        <w:spacing w:line="500" w:lineRule="exact"/>
        <w:ind w:firstLine="470"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供应商认为需要提供的文件和资料。</w:t>
      </w:r>
    </w:p>
    <w:p w14:paraId="1F81ADB1">
      <w:pPr>
        <w:snapToGrid w:val="0"/>
        <w:spacing w:line="500" w:lineRule="exact"/>
        <w:ind w:firstLine="472" w:firstLineChars="196"/>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2.5报价文件：</w:t>
      </w:r>
    </w:p>
    <w:p w14:paraId="335375D2">
      <w:pPr>
        <w:snapToGrid w:val="0"/>
        <w:spacing w:line="500" w:lineRule="exact"/>
        <w:ind w:firstLine="470"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2.5.1投标函； </w:t>
      </w:r>
    </w:p>
    <w:p w14:paraId="5F5C9825">
      <w:pPr>
        <w:snapToGrid w:val="0"/>
        <w:spacing w:line="500" w:lineRule="exact"/>
        <w:ind w:firstLine="470"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2.5.2开标一览表；</w:t>
      </w:r>
    </w:p>
    <w:p w14:paraId="39CF8DE5">
      <w:pPr>
        <w:snapToGrid w:val="0"/>
        <w:spacing w:line="500" w:lineRule="exact"/>
        <w:ind w:firstLine="470" w:firstLineChars="19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2.5.3报价明细表；</w:t>
      </w:r>
    </w:p>
    <w:p w14:paraId="56BA998D">
      <w:pPr>
        <w:snapToGrid w:val="0"/>
        <w:spacing w:line="500" w:lineRule="exact"/>
        <w:ind w:firstLine="470"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2.5.4采购代理费承诺函；</w:t>
      </w:r>
    </w:p>
    <w:p w14:paraId="739684B9">
      <w:pPr>
        <w:snapToGrid w:val="0"/>
        <w:spacing w:line="500" w:lineRule="exact"/>
        <w:ind w:firstLine="470"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2.5.5供应商针对报价需要说明的其他文件和说明。</w:t>
      </w:r>
    </w:p>
    <w:p w14:paraId="53B97231">
      <w:pPr>
        <w:snapToGrid w:val="0"/>
        <w:spacing w:line="500" w:lineRule="exact"/>
        <w:ind w:firstLine="361" w:firstLineChars="150"/>
        <w:jc w:val="left"/>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（二）投标文件的语言及计量</w:t>
      </w:r>
    </w:p>
    <w:p w14:paraId="390D845B">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1.投标文件以及供应商与采购人就有关投标事宜的所有来往函电，均应以中文汉语书写。除签名、盖章、专用名称等特殊情形外，以中文汉语以外的文字表述的投标文件视同未提供。</w:t>
      </w:r>
    </w:p>
    <w:p w14:paraId="1136B964">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14:paraId="6CE02D31">
      <w:pPr>
        <w:snapToGrid w:val="0"/>
        <w:spacing w:line="500" w:lineRule="exact"/>
        <w:ind w:firstLine="470" w:firstLineChars="196"/>
        <w:jc w:val="left"/>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（三）投标报价</w:t>
      </w:r>
    </w:p>
    <w:p w14:paraId="4E170EE6">
      <w:pPr>
        <w:snapToGrid w:val="0"/>
        <w:spacing w:line="500" w:lineRule="exact"/>
        <w:ind w:firstLine="470" w:firstLineChars="196"/>
        <w:jc w:val="left"/>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1.投标报价应按招标文件中相关附表格式填写。投标报价为本招标项目全部工作内容的报价，所有报价均应使用人民币（元）表示。</w:t>
      </w:r>
    </w:p>
    <w:p w14:paraId="231C06F7">
      <w:pPr>
        <w:snapToGrid w:val="0"/>
        <w:spacing w:line="500" w:lineRule="exact"/>
        <w:ind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2.供应商的报价是履行合同的最终价格，应包含</w:t>
      </w:r>
      <w:r>
        <w:rPr>
          <w:rFonts w:hint="eastAsia" w:ascii="宋体" w:hAnsi="宋体" w:cs="宋体"/>
          <w:b/>
          <w:color w:val="000000" w:themeColor="text1"/>
          <w:sz w:val="24"/>
          <w14:textFill>
            <w14:solidFill>
              <w14:schemeClr w14:val="tx1"/>
            </w14:solidFill>
          </w14:textFill>
        </w:rPr>
        <w:t>招标采购设备（含运输费、装卸费、运输保险费）、安装、调试、水电施工费用、施工设备、劳务、管理、维护、税金等各项交付采购人使用的一切所有费用</w:t>
      </w:r>
      <w:r>
        <w:rPr>
          <w:rFonts w:hint="eastAsia" w:ascii="宋体" w:hAnsi="宋体" w:cs="宋体"/>
          <w:color w:val="000000" w:themeColor="text1"/>
          <w:sz w:val="24"/>
          <w14:textFill>
            <w14:solidFill>
              <w14:schemeClr w14:val="tx1"/>
            </w14:solidFill>
          </w14:textFill>
        </w:rPr>
        <w:t>，凡未列入的，将被视为均已包含在投标报价中。</w:t>
      </w:r>
    </w:p>
    <w:p w14:paraId="0B3F1A99">
      <w:pPr>
        <w:snapToGrid w:val="0"/>
        <w:spacing w:line="500" w:lineRule="exact"/>
        <w:ind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3.投标文件只允许有一个报价，有选择的或有条件的报价将不予接受。</w:t>
      </w:r>
    </w:p>
    <w:p w14:paraId="16EF3FA6">
      <w:pPr>
        <w:snapToGrid w:val="0"/>
        <w:spacing w:line="500" w:lineRule="exact"/>
        <w:ind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4.供应商的最终报价由供应商自担全部风险责任，中标后不得以任何理由调整报价或追加任何费用。</w:t>
      </w:r>
    </w:p>
    <w:p w14:paraId="7D1590F1">
      <w:pPr>
        <w:snapToGrid w:val="0"/>
        <w:spacing w:line="500" w:lineRule="exact"/>
        <w:ind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5.供应商所有优惠条件和优惠费用不得降低和影响本采购项目质量。</w:t>
      </w:r>
    </w:p>
    <w:p w14:paraId="301D05FD">
      <w:pPr>
        <w:snapToGrid w:val="0"/>
        <w:spacing w:line="500" w:lineRule="exact"/>
        <w:ind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6.报价如单价与总价不符时，以单价为准；大写与小写不符时以大写为准。</w:t>
      </w:r>
    </w:p>
    <w:p w14:paraId="0203106F">
      <w:pPr>
        <w:snapToGrid w:val="0"/>
        <w:spacing w:line="500" w:lineRule="exact"/>
        <w:ind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7.供应商对招标文件里有关投标报价的全部内容应仔细确认，若有个别异议，应在开标前提出修改意见，否则视同全部确认。</w:t>
      </w:r>
    </w:p>
    <w:p w14:paraId="25149DA8">
      <w:pPr>
        <w:snapToGrid w:val="0"/>
        <w:spacing w:line="500" w:lineRule="exact"/>
        <w:ind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8.供应商在报价中应充分考虑所有可能发生的费用，否则采购人将视报价总价中已包括所有费用。</w:t>
      </w:r>
    </w:p>
    <w:p w14:paraId="2BFF20DF">
      <w:pPr>
        <w:snapToGrid w:val="0"/>
        <w:spacing w:line="500" w:lineRule="exact"/>
        <w:ind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9.供应商对在合同执行中，除上述费用及招标文件规定的由中标供应商负责的工作范围以外需要采购人协调或提供便利的工作应当在报价文件中说明。</w:t>
      </w:r>
    </w:p>
    <w:p w14:paraId="281B9371">
      <w:pPr>
        <w:pStyle w:val="13"/>
        <w:widowControl w:val="0"/>
        <w:tabs>
          <w:tab w:val="clear" w:pos="454"/>
        </w:tabs>
        <w:snapToGrid w:val="0"/>
        <w:spacing w:after="0" w:afterLines="0" w:line="500" w:lineRule="exact"/>
        <w:ind w:left="0" w:firstLine="472" w:firstLineChars="196"/>
        <w:rPr>
          <w:rFonts w:hint="eastAsia" w:ascii="宋体" w:hAnsi="宋体" w:cs="宋体"/>
          <w:b/>
          <w:color w:val="000000" w:themeColor="text1"/>
          <w:kern w:val="2"/>
          <w:szCs w:val="24"/>
          <w14:textFill>
            <w14:solidFill>
              <w14:schemeClr w14:val="tx1"/>
            </w14:solidFill>
          </w14:textFill>
        </w:rPr>
      </w:pPr>
      <w:r>
        <w:rPr>
          <w:rFonts w:hint="eastAsia" w:ascii="宋体" w:hAnsi="宋体" w:cs="宋体"/>
          <w:b/>
          <w:color w:val="000000" w:themeColor="text1"/>
          <w:kern w:val="2"/>
          <w:szCs w:val="24"/>
          <w14:textFill>
            <w14:solidFill>
              <w14:schemeClr w14:val="tx1"/>
            </w14:solidFill>
          </w14:textFill>
        </w:rPr>
        <w:t>（四）投标文件的有效期</w:t>
      </w:r>
    </w:p>
    <w:p w14:paraId="61880120">
      <w:pPr>
        <w:pStyle w:val="13"/>
        <w:widowControl w:val="0"/>
        <w:tabs>
          <w:tab w:val="clear" w:pos="454"/>
        </w:tabs>
        <w:snapToGrid w:val="0"/>
        <w:spacing w:after="0" w:afterLines="0" w:line="500" w:lineRule="exact"/>
        <w:ind w:left="0" w:firstLine="480" w:firstLineChars="200"/>
        <w:rPr>
          <w:rFonts w:hint="eastAsia" w:ascii="宋体" w:hAnsi="宋体" w:cs="宋体"/>
          <w:color w:val="000000" w:themeColor="text1"/>
          <w:szCs w:val="24"/>
          <w14:textFill>
            <w14:solidFill>
              <w14:schemeClr w14:val="tx1"/>
            </w14:solidFill>
          </w14:textFill>
        </w:rPr>
      </w:pPr>
      <w:bookmarkStart w:id="5" w:name="_GoBack"/>
      <w:r>
        <w:rPr>
          <w:rFonts w:hint="eastAsia" w:ascii="宋体" w:hAnsi="宋体" w:cs="宋体"/>
          <w:color w:val="000000" w:themeColor="text1"/>
          <w:szCs w:val="24"/>
          <w14:textFill>
            <w14:solidFill>
              <w14:schemeClr w14:val="tx1"/>
            </w14:solidFill>
          </w14:textFill>
        </w:rPr>
        <w:t>▲</w:t>
      </w:r>
      <w:bookmarkEnd w:id="5"/>
      <w:r>
        <w:rPr>
          <w:rFonts w:hint="eastAsia" w:ascii="宋体" w:hAnsi="宋体" w:cs="宋体"/>
          <w:color w:val="000000" w:themeColor="text1"/>
          <w:szCs w:val="24"/>
          <w14:textFill>
            <w14:solidFill>
              <w14:schemeClr w14:val="tx1"/>
            </w14:solidFill>
          </w14:textFill>
        </w:rPr>
        <w:t>1.自投标截止日起</w:t>
      </w:r>
      <w:r>
        <w:rPr>
          <w:rFonts w:hint="eastAsia" w:ascii="宋体" w:hAnsi="宋体" w:cs="宋体"/>
          <w:color w:val="000000" w:themeColor="text1"/>
          <w:szCs w:val="24"/>
          <w:u w:val="single"/>
          <w14:textFill>
            <w14:solidFill>
              <w14:schemeClr w14:val="tx1"/>
            </w14:solidFill>
          </w14:textFill>
        </w:rPr>
        <w:t>90</w:t>
      </w:r>
      <w:r>
        <w:rPr>
          <w:rFonts w:hint="eastAsia" w:ascii="宋体" w:hAnsi="宋体" w:cs="宋体"/>
          <w:color w:val="000000" w:themeColor="text1"/>
          <w:szCs w:val="24"/>
          <w14:textFill>
            <w14:solidFill>
              <w14:schemeClr w14:val="tx1"/>
            </w14:solidFill>
          </w14:textFill>
        </w:rPr>
        <w:t>天投标文件应保持有效。有效期不足的投标文件将被拒绝。</w:t>
      </w:r>
    </w:p>
    <w:p w14:paraId="4D87BC43">
      <w:pPr>
        <w:pStyle w:val="13"/>
        <w:widowControl w:val="0"/>
        <w:tabs>
          <w:tab w:val="clear" w:pos="454"/>
        </w:tabs>
        <w:snapToGrid w:val="0"/>
        <w:spacing w:after="0" w:afterLines="0" w:line="500" w:lineRule="exact"/>
        <w:ind w:left="0"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2.在特殊情况下，采购人可与供应商协商延长投标书的有效期，这种要求和答复均以书面形式进行。</w:t>
      </w:r>
    </w:p>
    <w:p w14:paraId="1832EB75">
      <w:pPr>
        <w:snapToGrid w:val="0"/>
        <w:spacing w:line="500" w:lineRule="exact"/>
        <w:ind w:firstLine="480" w:firstLineChars="200"/>
        <w:jc w:val="left"/>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3.中标供应商的投标文件自开标之日起至合同履行完毕止均应保持有效。</w:t>
      </w:r>
    </w:p>
    <w:p w14:paraId="00463C9E">
      <w:pPr>
        <w:snapToGrid w:val="0"/>
        <w:spacing w:line="500" w:lineRule="exact"/>
        <w:ind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（五）投标文件的签署和份数</w:t>
      </w:r>
    </w:p>
    <w:p w14:paraId="6B273705">
      <w:pPr>
        <w:snapToGrid w:val="0"/>
        <w:spacing w:line="500" w:lineRule="exact"/>
        <w:ind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1.电子投标文件：</w:t>
      </w:r>
    </w:p>
    <w:p w14:paraId="24AAE98F">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w:t>
      </w:r>
    </w:p>
    <w:p w14:paraId="7D376079">
      <w:pPr>
        <w:snapToGrid w:val="0"/>
        <w:spacing w:line="500" w:lineRule="exact"/>
        <w:ind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2.数据电子备份投标文件（U盘）：</w:t>
      </w:r>
    </w:p>
    <w:p w14:paraId="6B315B95">
      <w:pPr>
        <w:widowControl/>
        <w:spacing w:line="540" w:lineRule="exact"/>
        <w:ind w:left="59" w:leftChars="21" w:right="6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w:t>
      </w:r>
    </w:p>
    <w:p w14:paraId="22E9EDE7">
      <w:pPr>
        <w:snapToGrid w:val="0"/>
        <w:spacing w:line="500" w:lineRule="exact"/>
        <w:ind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3.其他：</w:t>
      </w:r>
    </w:p>
    <w:p w14:paraId="1825B74D">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3.1投标文件需按招标文件要求的格式填写并签名盖章。</w:t>
      </w:r>
    </w:p>
    <w:p w14:paraId="077F0002">
      <w:pPr>
        <w:snapToGrid w:val="0"/>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3.2投标文件不应涂改或行间插字和增删, 如有修改，修改处须加盖供应商的公章或由法定代表人或其授权委托人签名或盖章。投标文件因字迹潦草或表达不清所引起的后果由供应商负责。</w:t>
      </w:r>
    </w:p>
    <w:p w14:paraId="70FF3ED5">
      <w:pPr>
        <w:snapToGrid w:val="0"/>
        <w:spacing w:line="500" w:lineRule="exact"/>
        <w:ind w:firstLine="354" w:firstLineChars="147"/>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（六）投标文件的包装、递交、修改和撤回</w:t>
      </w:r>
    </w:p>
    <w:p w14:paraId="51571B3E">
      <w:pPr>
        <w:snapToGrid w:val="0"/>
        <w:spacing w:line="500" w:lineRule="exact"/>
        <w:ind w:firstLine="42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14:paraId="4FD67B4C">
      <w:pPr>
        <w:widowControl/>
        <w:spacing w:line="540" w:lineRule="exact"/>
        <w:ind w:left="59" w:leftChars="21" w:right="6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2.数据电子备份投标文件（U盘）：</w:t>
      </w:r>
      <w:r>
        <w:rPr>
          <w:rFonts w:hint="eastAsia" w:ascii="宋体" w:hAnsi="宋体" w:cs="宋体"/>
          <w:color w:val="000000" w:themeColor="text1"/>
          <w:kern w:val="0"/>
          <w:sz w:val="24"/>
          <w14:textFill>
            <w14:solidFill>
              <w14:schemeClr w14:val="tx1"/>
            </w14:solidFill>
          </w14:textFill>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hint="eastAsia" w:ascii="宋体" w:hAnsi="宋体" w:cs="宋体"/>
          <w:b/>
          <w:bCs/>
          <w:color w:val="000000" w:themeColor="text1"/>
          <w:sz w:val="24"/>
          <w14:textFill>
            <w14:solidFill>
              <w14:schemeClr w14:val="tx1"/>
            </w14:solidFill>
          </w14:textFill>
        </w:rPr>
        <w:t>递交方式（详见招标公告）</w:t>
      </w:r>
    </w:p>
    <w:p w14:paraId="4601D528">
      <w:pPr>
        <w:snapToGrid w:val="0"/>
        <w:spacing w:line="500" w:lineRule="exact"/>
        <w:ind w:firstLine="42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5892BC8D">
      <w:pPr>
        <w:snapToGrid w:val="0"/>
        <w:spacing w:line="500" w:lineRule="exact"/>
        <w:ind w:firstLine="472" w:firstLineChars="196"/>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（七）投标无效的情形</w:t>
      </w:r>
    </w:p>
    <w:p w14:paraId="704C8117">
      <w:pPr>
        <w:snapToGrid w:val="0"/>
        <w:spacing w:line="500" w:lineRule="exact"/>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14:paraId="5F36C7E0">
      <w:pPr>
        <w:snapToGrid w:val="0"/>
        <w:spacing w:line="500" w:lineRule="exact"/>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1.在开标结束后（评标开始</w:t>
      </w:r>
      <w:r>
        <w:rPr>
          <w:rFonts w:hint="eastAsia" w:ascii="宋体" w:hAnsi="宋体" w:cs="宋体"/>
          <w:b/>
          <w:bCs/>
          <w:color w:val="000000" w:themeColor="text1"/>
          <w:sz w:val="24"/>
          <w:highlight w:val="none"/>
          <w14:textFill>
            <w14:solidFill>
              <w14:schemeClr w14:val="tx1"/>
            </w14:solidFill>
          </w14:textFill>
        </w:rPr>
        <w:t>前），采购代理机构对供应商的资格进行审查，如发现下列情形之一的，投标文件将被视为无效，不在进行下一步评审：</w:t>
      </w:r>
    </w:p>
    <w:p w14:paraId="1599BC59">
      <w:pPr>
        <w:widowControl/>
        <w:spacing w:line="500" w:lineRule="exact"/>
        <w:ind w:right="6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1.1未提供有效的营业执照；</w:t>
      </w:r>
    </w:p>
    <w:p w14:paraId="6A75DC2E">
      <w:pPr>
        <w:widowControl/>
        <w:spacing w:line="500" w:lineRule="exact"/>
        <w:ind w:right="6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1.2未提供法定代表人有效身份证明书及身份证或未提供法定代表人授权书与授权代表身份证或与法定代表人授权委托人身份不符的；</w:t>
      </w:r>
    </w:p>
    <w:p w14:paraId="572DCDA3">
      <w:pPr>
        <w:widowControl/>
        <w:spacing w:line="500" w:lineRule="exact"/>
        <w:ind w:right="6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1.3有授权代表但未提供</w:t>
      </w:r>
      <w:r>
        <w:rPr>
          <w:rFonts w:hint="eastAsia" w:ascii="宋体" w:hAnsi="宋体" w:cs="宋体"/>
          <w:color w:val="000000" w:themeColor="text1"/>
          <w:kern w:val="0"/>
          <w:sz w:val="24"/>
          <w14:textFill>
            <w14:solidFill>
              <w14:schemeClr w14:val="tx1"/>
            </w14:solidFill>
          </w14:textFill>
        </w:rPr>
        <w:t>授权代表最近三个月中任意1个月个人社保缴纳证明文件；</w:t>
      </w:r>
    </w:p>
    <w:p w14:paraId="0FAD2E23">
      <w:pPr>
        <w:widowControl/>
        <w:spacing w:line="500" w:lineRule="exact"/>
        <w:ind w:right="6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r>
        <w:rPr>
          <w:rFonts w:ascii="宋体" w:hAnsi="宋体" w:cs="宋体"/>
          <w:color w:val="000000" w:themeColor="text1"/>
          <w:sz w:val="24"/>
          <w14:textFill>
            <w14:solidFill>
              <w14:schemeClr w14:val="tx1"/>
            </w14:solidFill>
          </w14:textFill>
        </w:rPr>
        <w:t>符合参与政府采购活动的资格条件并且没有税收缴纳、社会保障等方面的失信记录</w:t>
      </w:r>
      <w:r>
        <w:rPr>
          <w:rFonts w:hint="eastAsia" w:ascii="宋体" w:hAnsi="宋体" w:cs="宋体"/>
          <w:color w:val="000000" w:themeColor="text1"/>
          <w:sz w:val="24"/>
          <w14:textFill>
            <w14:solidFill>
              <w14:schemeClr w14:val="tx1"/>
            </w14:solidFill>
          </w14:textFill>
        </w:rPr>
        <w:t>承诺函</w:t>
      </w:r>
      <w:r>
        <w:rPr>
          <w:rFonts w:hint="eastAsia" w:ascii="宋体" w:hAnsi="宋体" w:cs="宋体"/>
          <w:color w:val="000000" w:themeColor="text1"/>
          <w:kern w:val="0"/>
          <w:sz w:val="24"/>
          <w14:textFill>
            <w14:solidFill>
              <w14:schemeClr w14:val="tx1"/>
            </w14:solidFill>
          </w14:textFill>
        </w:rPr>
        <w:t>；</w:t>
      </w:r>
    </w:p>
    <w:p w14:paraId="32E40AE4">
      <w:pPr>
        <w:widowControl/>
        <w:spacing w:line="500" w:lineRule="exact"/>
        <w:ind w:right="6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1.5自采购公告发布之日起至投标截止日内，在“信用中国”（www.creditchina.gov.cn）被列入失信被执行人、重大税收违法当事人名单、政府采购严重违法失信行为记录名单的供应商，资格审查时不予以通过； </w:t>
      </w:r>
    </w:p>
    <w:p w14:paraId="1124F38F">
      <w:pPr>
        <w:pStyle w:val="20"/>
        <w:snapToGrid w:val="0"/>
        <w:ind w:firstLine="480" w:firstLineChars="200"/>
        <w:rPr>
          <w:rFonts w:hint="eastAsia" w:hAnsi="宋体" w:cs="宋体"/>
          <w:color w:val="000000" w:themeColor="text1"/>
          <w:spacing w:val="-6"/>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1.6</w:t>
      </w:r>
      <w:r>
        <w:rPr>
          <w:rFonts w:hint="eastAsia" w:hAnsi="宋体" w:cs="宋体"/>
          <w:color w:val="000000" w:themeColor="text1"/>
          <w:spacing w:val="-6"/>
          <w:kern w:val="2"/>
          <w:sz w:val="24"/>
          <w:szCs w:val="24"/>
          <w14:textFill>
            <w14:solidFill>
              <w14:schemeClr w14:val="tx1"/>
            </w14:solidFill>
          </w14:textFill>
        </w:rPr>
        <w:t>投标截止前，在“中国政府采购网”(www.ccgp.gov.cn)被列入政府采购严重违法失信行为记录名单中的供应商且在处罚有效期内的供应商，资格审查时不予以通过；</w:t>
      </w:r>
    </w:p>
    <w:p w14:paraId="65AEA345">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1.7未提供</w:t>
      </w:r>
      <w:r>
        <w:rPr>
          <w:rFonts w:hint="eastAsia" w:ascii="宋体" w:hAnsi="宋体" w:cs="宋体"/>
          <w:color w:val="000000" w:themeColor="text1"/>
          <w:sz w:val="24"/>
          <w14:textFill>
            <w14:solidFill>
              <w14:schemeClr w14:val="tx1"/>
            </w14:solidFill>
          </w14:textFill>
        </w:rPr>
        <w:t>信用承诺书</w:t>
      </w:r>
      <w:r>
        <w:rPr>
          <w:rFonts w:hint="eastAsia" w:ascii="宋体" w:hAnsi="宋体" w:cs="宋体"/>
          <w:color w:val="000000" w:themeColor="text1"/>
          <w:sz w:val="24"/>
          <w:lang w:eastAsia="zh-CN"/>
          <w14:textFill>
            <w14:solidFill>
              <w14:schemeClr w14:val="tx1"/>
            </w14:solidFill>
          </w14:textFill>
        </w:rPr>
        <w:t>及供应商单位负责人不为同一人或者存在控股、管理关系的不同供应商的承诺书</w:t>
      </w:r>
      <w:r>
        <w:rPr>
          <w:rFonts w:hint="eastAsia" w:hAnsi="宋体" w:cs="宋体"/>
          <w:color w:val="000000" w:themeColor="text1"/>
          <w:kern w:val="2"/>
          <w:sz w:val="24"/>
          <w:szCs w:val="24"/>
          <w14:textFill>
            <w14:solidFill>
              <w14:schemeClr w14:val="tx1"/>
            </w14:solidFill>
          </w14:textFill>
        </w:rPr>
        <w:t>的；；</w:t>
      </w:r>
    </w:p>
    <w:p w14:paraId="24D8F66D">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1.8其他重大违法、违规记录；</w:t>
      </w:r>
    </w:p>
    <w:p w14:paraId="0BBB41D8">
      <w:pPr>
        <w:pStyle w:val="20"/>
        <w:snapToGrid w:val="0"/>
        <w:ind w:firstLine="480" w:firstLineChars="20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1.9未提供中小企业声明函的；</w:t>
      </w:r>
    </w:p>
    <w:p w14:paraId="6CA54173">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1.10资格证明文件不全的，或者不符合招标文件标明的资格要求的。</w:t>
      </w:r>
    </w:p>
    <w:p w14:paraId="0D085367">
      <w:pPr>
        <w:pStyle w:val="20"/>
        <w:snapToGrid w:val="0"/>
        <w:ind w:firstLine="482" w:firstLineChars="200"/>
        <w:rPr>
          <w:rFonts w:hint="eastAsia" w:hAnsi="宋体" w:cs="宋体"/>
          <w:b/>
          <w:bCs/>
          <w:color w:val="000000" w:themeColor="text1"/>
          <w:kern w:val="2"/>
          <w:sz w:val="24"/>
          <w:szCs w:val="24"/>
          <w14:textFill>
            <w14:solidFill>
              <w14:schemeClr w14:val="tx1"/>
            </w14:solidFill>
          </w14:textFill>
        </w:rPr>
      </w:pPr>
      <w:r>
        <w:rPr>
          <w:rFonts w:hint="eastAsia" w:hAnsi="宋体" w:cs="宋体"/>
          <w:b/>
          <w:bCs/>
          <w:color w:val="000000" w:themeColor="text1"/>
          <w:kern w:val="2"/>
          <w:sz w:val="24"/>
          <w:szCs w:val="24"/>
          <w14:textFill>
            <w14:solidFill>
              <w14:schemeClr w14:val="tx1"/>
            </w14:solidFill>
          </w14:textFill>
        </w:rPr>
        <w:t>2.在符合性审查和商务评审时，如发现下列情形之一的，投标文件将被视为无效：</w:t>
      </w:r>
    </w:p>
    <w:p w14:paraId="6F5E0FEE">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2.1投标文件未按招标文件要求签名或盖章；</w:t>
      </w:r>
    </w:p>
    <w:p w14:paraId="42D513D4">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2.2《资格文件》或《技术、商务、资信及其他文件》中出现报价的；</w:t>
      </w:r>
    </w:p>
    <w:p w14:paraId="3548E967">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2.3未在浙江政府采购网（政采云平台）完成本项目网上报名的；</w:t>
      </w:r>
    </w:p>
    <w:p w14:paraId="3E6B6778">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2.4在投标截止时间以后传送的电子投标文件的；</w:t>
      </w:r>
    </w:p>
    <w:p w14:paraId="5AB596D9">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2.5投标文件格式不规范、项目不齐全或者内容虚假的；</w:t>
      </w:r>
    </w:p>
    <w:p w14:paraId="2A3EDBCB">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2.6投标文件的实质性内容未使用中文表述、意思表述不明确、前后矛盾或者使用计量单位不符合招标文件要求的（经评标委员会认定并允许其当场更正的笔误除外）；</w:t>
      </w:r>
    </w:p>
    <w:p w14:paraId="5754CE70">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2.7项目名称、投标有效期、</w:t>
      </w:r>
      <w:r>
        <w:rPr>
          <w:rFonts w:hint="eastAsia" w:hAnsi="宋体" w:cs="宋体"/>
          <w:color w:val="000000" w:themeColor="text1"/>
          <w:kern w:val="2"/>
          <w:sz w:val="24"/>
          <w:szCs w:val="24"/>
          <w:lang w:eastAsia="zh-CN"/>
          <w14:textFill>
            <w14:solidFill>
              <w14:schemeClr w14:val="tx1"/>
            </w14:solidFill>
          </w14:textFill>
        </w:rPr>
        <w:t>工期</w:t>
      </w:r>
      <w:r>
        <w:rPr>
          <w:rFonts w:hint="eastAsia" w:hAnsi="宋体" w:cs="宋体"/>
          <w:color w:val="000000" w:themeColor="text1"/>
          <w:kern w:val="2"/>
          <w:sz w:val="24"/>
          <w:szCs w:val="24"/>
          <w14:textFill>
            <w14:solidFill>
              <w14:schemeClr w14:val="tx1"/>
            </w14:solidFill>
          </w14:textFill>
        </w:rPr>
        <w:t>、服务质量保证期等商务条款不能满足招标文件要求的；</w:t>
      </w:r>
    </w:p>
    <w:p w14:paraId="2E368B44">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2.8投标标项内容与招标文件标项内容不符的；</w:t>
      </w:r>
    </w:p>
    <w:p w14:paraId="0B660438">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2.9未实质性响应招标文件要求或者投标文件有采购人不能接受的附加条件的。</w:t>
      </w:r>
    </w:p>
    <w:p w14:paraId="0D966BCD">
      <w:pPr>
        <w:pStyle w:val="20"/>
        <w:snapToGrid w:val="0"/>
        <w:ind w:firstLine="482" w:firstLineChars="200"/>
        <w:rPr>
          <w:rFonts w:hint="eastAsia" w:hAnsi="宋体" w:cs="宋体"/>
          <w:b/>
          <w:bCs/>
          <w:color w:val="000000" w:themeColor="text1"/>
          <w:kern w:val="2"/>
          <w:sz w:val="24"/>
          <w:szCs w:val="24"/>
          <w14:textFill>
            <w14:solidFill>
              <w14:schemeClr w14:val="tx1"/>
            </w14:solidFill>
          </w14:textFill>
        </w:rPr>
      </w:pPr>
      <w:r>
        <w:rPr>
          <w:rFonts w:hint="eastAsia" w:hAnsi="宋体" w:cs="宋体"/>
          <w:b/>
          <w:bCs/>
          <w:color w:val="000000" w:themeColor="text1"/>
          <w:kern w:val="2"/>
          <w:sz w:val="24"/>
          <w:szCs w:val="24"/>
          <w14:textFill>
            <w14:solidFill>
              <w14:schemeClr w14:val="tx1"/>
            </w14:solidFill>
          </w14:textFill>
        </w:rPr>
        <w:t>3.在技术评审时，如发现下列情形之一的，投标文件将被视为无效：</w:t>
      </w:r>
    </w:p>
    <w:p w14:paraId="56CF2AC3">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3.1未提供或未如实提供投标货物的技术参数，或者投标文件标明的响应或偏离与事实不符或虚假投标的；</w:t>
      </w:r>
    </w:p>
    <w:p w14:paraId="1FB08307">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3.2明显不符合招标文件要求的服务标准，或者与招标文件中标“▲”的服务要求发生实质性偏离的；</w:t>
      </w:r>
    </w:p>
    <w:p w14:paraId="62633CE3">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3.3投标技术方案不明确，存在一个或一个以上备选（替代）投标方案的；</w:t>
      </w:r>
    </w:p>
    <w:p w14:paraId="2FDA65B0">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3.3与其他参加本次投标供应商的投标文件（技术文件）的文字表述内容相同连续20行以上或者差错相同2处以上的。</w:t>
      </w:r>
    </w:p>
    <w:p w14:paraId="236488D6">
      <w:pPr>
        <w:pStyle w:val="20"/>
        <w:snapToGrid w:val="0"/>
        <w:ind w:firstLine="482" w:firstLineChars="200"/>
        <w:rPr>
          <w:rFonts w:hint="eastAsia" w:hAnsi="宋体" w:cs="宋体"/>
          <w:b/>
          <w:bCs/>
          <w:color w:val="000000" w:themeColor="text1"/>
          <w:kern w:val="2"/>
          <w:sz w:val="24"/>
          <w:szCs w:val="24"/>
          <w14:textFill>
            <w14:solidFill>
              <w14:schemeClr w14:val="tx1"/>
            </w14:solidFill>
          </w14:textFill>
        </w:rPr>
      </w:pPr>
      <w:r>
        <w:rPr>
          <w:rFonts w:hint="eastAsia" w:hAnsi="宋体" w:cs="宋体"/>
          <w:b/>
          <w:bCs/>
          <w:color w:val="000000" w:themeColor="text1"/>
          <w:kern w:val="2"/>
          <w:sz w:val="24"/>
          <w:szCs w:val="24"/>
          <w14:textFill>
            <w14:solidFill>
              <w14:schemeClr w14:val="tx1"/>
            </w14:solidFill>
          </w14:textFill>
        </w:rPr>
        <w:t>4.在报价评审时，如发现下列情形之一的，投标文件将被视为无效：</w:t>
      </w:r>
    </w:p>
    <w:p w14:paraId="1DB10008">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4.1未采用人民币报价或者未按照招标文件标明的币种报价的；</w:t>
      </w:r>
    </w:p>
    <w:p w14:paraId="39C85D98">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4.2报价超出最高限价，采购人不能支付的；</w:t>
      </w:r>
    </w:p>
    <w:p w14:paraId="5F17C307">
      <w:pPr>
        <w:pStyle w:val="20"/>
        <w:snapToGrid w:val="0"/>
        <w:ind w:firstLine="480" w:firstLineChars="200"/>
        <w:rPr>
          <w:rFonts w:hint="eastAsia" w:hAnsi="宋体" w:cs="宋体"/>
          <w:color w:val="000000" w:themeColor="text1"/>
          <w:spacing w:val="-6"/>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4.3</w:t>
      </w:r>
      <w:r>
        <w:rPr>
          <w:rFonts w:hint="eastAsia" w:hAnsi="宋体" w:cs="宋体"/>
          <w:color w:val="000000" w:themeColor="text1"/>
          <w:spacing w:val="-6"/>
          <w:kern w:val="2"/>
          <w:sz w:val="24"/>
          <w:szCs w:val="24"/>
          <w14:textFill>
            <w14:solidFill>
              <w14:schemeClr w14:val="tx1"/>
            </w14:solidFill>
          </w14:textFill>
        </w:rPr>
        <w:t xml:space="preserve">投标报价具有选择性，或者开标价格与投标文件承诺的优惠（折扣）价格不一致的。    </w:t>
      </w:r>
    </w:p>
    <w:p w14:paraId="49A0ADE4">
      <w:pPr>
        <w:pStyle w:val="20"/>
        <w:snapToGrid w:val="0"/>
        <w:ind w:firstLine="482" w:firstLineChars="200"/>
        <w:rPr>
          <w:rFonts w:hint="eastAsia" w:hAnsi="宋体" w:cs="宋体"/>
          <w:b/>
          <w:bCs/>
          <w:color w:val="000000" w:themeColor="text1"/>
          <w:kern w:val="2"/>
          <w:sz w:val="24"/>
          <w:szCs w:val="24"/>
          <w14:textFill>
            <w14:solidFill>
              <w14:schemeClr w14:val="tx1"/>
            </w14:solidFill>
          </w14:textFill>
        </w:rPr>
      </w:pPr>
      <w:r>
        <w:rPr>
          <w:rFonts w:hint="eastAsia" w:hAnsi="宋体" w:cs="宋体"/>
          <w:b/>
          <w:bCs/>
          <w:color w:val="000000" w:themeColor="text1"/>
          <w:kern w:val="2"/>
          <w:sz w:val="24"/>
          <w:szCs w:val="24"/>
          <w14:textFill>
            <w14:solidFill>
              <w14:schemeClr w14:val="tx1"/>
            </w14:solidFill>
          </w14:textFill>
        </w:rPr>
        <w:t>5.被拒绝的投标文件为无效。</w:t>
      </w:r>
    </w:p>
    <w:p w14:paraId="52FD22BC">
      <w:pPr>
        <w:pStyle w:val="20"/>
        <w:snapToGrid w:val="0"/>
        <w:ind w:firstLine="482" w:firstLineChars="200"/>
        <w:rPr>
          <w:rFonts w:hint="eastAsia" w:hAnsi="宋体" w:cs="宋体"/>
          <w:b/>
          <w:bCs/>
          <w:color w:val="000000" w:themeColor="text1"/>
          <w:kern w:val="2"/>
          <w:sz w:val="24"/>
          <w:szCs w:val="24"/>
          <w14:textFill>
            <w14:solidFill>
              <w14:schemeClr w14:val="tx1"/>
            </w14:solidFill>
          </w14:textFill>
        </w:rPr>
      </w:pPr>
      <w:r>
        <w:rPr>
          <w:rFonts w:hint="eastAsia" w:hAnsi="宋体" w:cs="宋体"/>
          <w:b/>
          <w:bCs/>
          <w:color w:val="000000" w:themeColor="text1"/>
          <w:kern w:val="2"/>
          <w:sz w:val="24"/>
          <w:szCs w:val="24"/>
          <w14:textFill>
            <w14:solidFill>
              <w14:schemeClr w14:val="tx1"/>
            </w14:solidFill>
          </w14:textFill>
        </w:rPr>
        <w:t>6.供应商有下列情形之一的，视为供应商串通投标，其投标无效：</w:t>
      </w:r>
    </w:p>
    <w:p w14:paraId="169B3739">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6.1不同供应商的投标（响应）文件由同一单位或者个人编制； </w:t>
      </w:r>
    </w:p>
    <w:p w14:paraId="038AF237">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6.2不同供应商的电子投标文件的文件制作机器码或文件创建标识码相同的；不同供应商从同一供应商或同一自然人的ＩＰ地址下载招标文件、上传投标文件或参加投标活动的人员为同一标项其他供应商的在职人员的；</w:t>
      </w:r>
    </w:p>
    <w:p w14:paraId="3020ED41">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6.3不同供应商委托同一单位或者个人办理投标事宜； </w:t>
      </w:r>
    </w:p>
    <w:p w14:paraId="7E0E926C">
      <w:pPr>
        <w:pStyle w:val="20"/>
        <w:snapToGrid w:val="0"/>
        <w:ind w:firstLine="480" w:firstLineChars="200"/>
        <w:rPr>
          <w:rFonts w:hint="eastAsia" w:hAnsi="宋体" w:cs="宋体"/>
          <w:color w:val="000000" w:themeColor="text1"/>
          <w:spacing w:val="-6"/>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6.4</w:t>
      </w:r>
      <w:r>
        <w:rPr>
          <w:rFonts w:hint="eastAsia" w:hAnsi="宋体" w:cs="宋体"/>
          <w:color w:val="000000" w:themeColor="text1"/>
          <w:spacing w:val="-6"/>
          <w:kern w:val="2"/>
          <w:sz w:val="24"/>
          <w:szCs w:val="24"/>
          <w14:textFill>
            <w14:solidFill>
              <w14:schemeClr w14:val="tx1"/>
            </w14:solidFill>
          </w14:textFill>
        </w:rPr>
        <w:t xml:space="preserve">不同供应商的投标文件或响应文件载明的项目管理成员或者联系人员为同一人； </w:t>
      </w:r>
    </w:p>
    <w:p w14:paraId="1BABFF80">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6.5不同供应商的投标（响应）文件件异常一致或者投标报价呈规律性差异； </w:t>
      </w:r>
    </w:p>
    <w:p w14:paraId="106433A4">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6.6不同供应商的投标（响应）文件相互混装。</w:t>
      </w:r>
    </w:p>
    <w:p w14:paraId="0DED3A2A">
      <w:pPr>
        <w:pStyle w:val="20"/>
        <w:snapToGrid w:val="0"/>
        <w:ind w:firstLine="482" w:firstLineChars="200"/>
        <w:rPr>
          <w:rFonts w:hint="eastAsia" w:hAnsi="宋体" w:cs="宋体"/>
          <w:b/>
          <w:bCs/>
          <w:color w:val="000000" w:themeColor="text1"/>
          <w:kern w:val="2"/>
          <w:sz w:val="24"/>
          <w:szCs w:val="24"/>
          <w14:textFill>
            <w14:solidFill>
              <w14:schemeClr w14:val="tx1"/>
            </w14:solidFill>
          </w14:textFill>
        </w:rPr>
      </w:pPr>
      <w:r>
        <w:rPr>
          <w:rFonts w:hint="eastAsia" w:hAnsi="宋体" w:cs="宋体"/>
          <w:b/>
          <w:bCs/>
          <w:color w:val="000000" w:themeColor="text1"/>
          <w:kern w:val="2"/>
          <w:sz w:val="24"/>
          <w:szCs w:val="24"/>
          <w14:textFill>
            <w14:solidFill>
              <w14:schemeClr w14:val="tx1"/>
            </w14:solidFill>
          </w14:textFill>
        </w:rPr>
        <w:t>7.供应商有下列情形之一的，属于恶意串通，其投标无效：</w:t>
      </w:r>
    </w:p>
    <w:p w14:paraId="1BA7C735">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7.1供应商直接或者间接从采购人或者采购代理机构处获得其他供应商的相关情况并修改其投标（响应）文件； </w:t>
      </w:r>
    </w:p>
    <w:p w14:paraId="230AD0B8">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7.2供应商按照采购人或者采购代理机构的授意撤换、修改投标（响应）文件； </w:t>
      </w:r>
    </w:p>
    <w:p w14:paraId="39FE1E57">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7.3供应商之间协商报价、技术方案等投标（响应）文件的实质性内容； </w:t>
      </w:r>
    </w:p>
    <w:p w14:paraId="0AC5FD74">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7.4属于同一集团、协会、商会等组织成员的供应商按照该组织要求协同参加政府采购活动；</w:t>
      </w:r>
    </w:p>
    <w:p w14:paraId="1A7DF3A2">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7.5供应商之间事先约定由某一特定供应商中标、中标； </w:t>
      </w:r>
    </w:p>
    <w:p w14:paraId="7C94C2D2">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7.6供应商之间商定部分供应商放弃参加政府采购活动或者放弃中标、中标； </w:t>
      </w:r>
    </w:p>
    <w:p w14:paraId="0B44A2E0">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7.7供应商与采购人或者采购代理机构之间、供应商相互之间，为谋求特定供应商中标、中标或者排斥其他供应商的其他串通行为。</w:t>
      </w:r>
    </w:p>
    <w:p w14:paraId="27728B5B">
      <w:pPr>
        <w:pStyle w:val="20"/>
        <w:snapToGrid w:val="0"/>
        <w:ind w:firstLine="482" w:firstLineChars="200"/>
        <w:rPr>
          <w:rFonts w:hint="eastAsia" w:hAnsi="宋体" w:cs="宋体"/>
          <w:b/>
          <w:bCs/>
          <w:color w:val="000000" w:themeColor="text1"/>
          <w:kern w:val="2"/>
          <w:sz w:val="24"/>
          <w:szCs w:val="24"/>
          <w14:textFill>
            <w14:solidFill>
              <w14:schemeClr w14:val="tx1"/>
            </w14:solidFill>
          </w14:textFill>
        </w:rPr>
      </w:pPr>
      <w:r>
        <w:rPr>
          <w:rFonts w:hint="eastAsia" w:hAnsi="宋体" w:cs="宋体"/>
          <w:b/>
          <w:bCs/>
          <w:color w:val="000000" w:themeColor="text1"/>
          <w:kern w:val="2"/>
          <w:sz w:val="24"/>
          <w:szCs w:val="24"/>
          <w14:textFill>
            <w14:solidFill>
              <w14:schemeClr w14:val="tx1"/>
            </w14:solidFill>
          </w14:textFill>
        </w:rPr>
        <w:t>8.出现以下情形，导致电子交易平台无法正常进行，或者无法保证电子交易的公平、公正和安全时，中止电子交易活动：</w:t>
      </w:r>
    </w:p>
    <w:p w14:paraId="5FD610CF">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8.1电子交易平台发生故障而无法登录访问的；</w:t>
      </w:r>
    </w:p>
    <w:p w14:paraId="4EB8B35B">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8.2电子交易平台应用或数据库出现错误，不能进行正常操作的；</w:t>
      </w:r>
    </w:p>
    <w:p w14:paraId="0B8002BD">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8.3电子交易平台发现严重安全漏洞，有潜在泄密危险的；</w:t>
      </w:r>
    </w:p>
    <w:p w14:paraId="25E1CEC4">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8.4病毒发作导致不能进行正常操作的；</w:t>
      </w:r>
    </w:p>
    <w:p w14:paraId="67FE80D9">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8.5其他无法保证电子交易的公平、公正和安全的情况。</w:t>
      </w:r>
    </w:p>
    <w:p w14:paraId="229FCF8E">
      <w:pPr>
        <w:pStyle w:val="20"/>
        <w:snapToGrid w:val="0"/>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4A9A275B">
      <w:pPr>
        <w:widowControl/>
        <w:snapToGrid w:val="0"/>
        <w:spacing w:line="480" w:lineRule="exact"/>
        <w:ind w:firstLine="482" w:firstLineChars="200"/>
        <w:outlineLvl w:val="1"/>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9.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06B71430">
      <w:pPr>
        <w:widowControl/>
        <w:snapToGrid w:val="0"/>
        <w:spacing w:line="480" w:lineRule="exact"/>
        <w:ind w:firstLine="480" w:firstLineChars="200"/>
        <w:outlineLvl w:val="1"/>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9.1不同供应商的电子投标（响应）文件上传计算机的IP地址或网卡MAC地址或硬盘序列号等硬件信息相同的；</w:t>
      </w:r>
    </w:p>
    <w:p w14:paraId="464A2B90">
      <w:pPr>
        <w:widowControl/>
        <w:snapToGrid w:val="0"/>
        <w:spacing w:line="480" w:lineRule="exact"/>
        <w:ind w:firstLine="480" w:firstLineChars="200"/>
        <w:outlineLvl w:val="1"/>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9.2上传的电子投标（响应）文件若出现使用本项目其他投标（响应）供应商的数字证书加密的，或者加盖本项目其他投标（响应）供应商的电子印章的；</w:t>
      </w:r>
    </w:p>
    <w:p w14:paraId="2ABF1130">
      <w:pPr>
        <w:widowControl/>
        <w:snapToGrid w:val="0"/>
        <w:spacing w:line="480" w:lineRule="exact"/>
        <w:ind w:firstLine="480" w:firstLineChars="200"/>
        <w:outlineLvl w:val="1"/>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9.3不同供应商的投标（响应）文件的内容存在2处（含）以上错误一致的；</w:t>
      </w:r>
    </w:p>
    <w:p w14:paraId="5BBD686A">
      <w:pPr>
        <w:widowControl/>
        <w:snapToGrid w:val="0"/>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9.4不同供应商联系人为同一人或不同联系人的联系电话一致的。</w:t>
      </w:r>
    </w:p>
    <w:p w14:paraId="4C0D60E2">
      <w:pPr>
        <w:pStyle w:val="20"/>
        <w:snapToGrid w:val="0"/>
        <w:ind w:firstLine="0"/>
        <w:outlineLvl w:val="1"/>
        <w:rPr>
          <w:rFonts w:hint="eastAsia" w:hAnsi="宋体" w:cs="宋体"/>
          <w:b/>
          <w:snapToGrid w:val="0"/>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四．开标</w:t>
      </w:r>
    </w:p>
    <w:p w14:paraId="1908903D">
      <w:pPr>
        <w:pStyle w:val="25"/>
        <w:spacing w:line="500" w:lineRule="exact"/>
        <w:ind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（一）开标准备</w:t>
      </w:r>
    </w:p>
    <w:p w14:paraId="1DB91784">
      <w:pPr>
        <w:pStyle w:val="25"/>
        <w:spacing w:line="500" w:lineRule="exact"/>
        <w:ind w:firstLine="470" w:firstLineChars="196"/>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14:paraId="064818F9">
      <w:pPr>
        <w:pStyle w:val="25"/>
        <w:spacing w:line="500" w:lineRule="exact"/>
        <w:ind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（二） 电子招投标开标及评审程序</w:t>
      </w:r>
    </w:p>
    <w:p w14:paraId="6AC26758">
      <w:pPr>
        <w:pStyle w:val="25"/>
        <w:spacing w:line="500" w:lineRule="exact"/>
        <w:ind w:firstLine="470" w:firstLineChars="196"/>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1.开标由采购人或者采购代理机构主持，邀请供应商在线参加。评标委员会成员不得参加开标活动；</w:t>
      </w:r>
    </w:p>
    <w:p w14:paraId="2B0DC4F5">
      <w:pPr>
        <w:pStyle w:val="25"/>
        <w:spacing w:line="500" w:lineRule="exact"/>
        <w:ind w:firstLine="470" w:firstLineChars="196"/>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2.主持人宣布开标会议开始，并按照规定的时间通过政采云系统组织开标，所有供应商应当准时在线参加；</w:t>
      </w:r>
    </w:p>
    <w:p w14:paraId="1D2ABF8C">
      <w:pPr>
        <w:pStyle w:val="25"/>
        <w:spacing w:line="500" w:lineRule="exact"/>
        <w:ind w:firstLine="470" w:firstLineChars="196"/>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3.主持人公布参加开标会的供应商名单；</w:t>
      </w:r>
    </w:p>
    <w:p w14:paraId="57456E11">
      <w:pPr>
        <w:pStyle w:val="25"/>
        <w:spacing w:line="500" w:lineRule="exact"/>
        <w:ind w:firstLine="470" w:firstLineChars="196"/>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4.开标过程应当由采购人或者采购代理机构负责记录, 由参加开标的相关人员签名确认后随招标文件一并存档。供应商未准时在线参</w:t>
      </w:r>
      <w:r>
        <w:rPr>
          <w:rFonts w:hint="eastAsia" w:hAnsi="宋体" w:cs="宋体"/>
          <w:bCs/>
          <w:color w:val="000000" w:themeColor="text1"/>
          <w:sz w:val="24"/>
          <w:szCs w:val="24"/>
          <w14:textFill>
            <w14:solidFill>
              <w14:schemeClr w14:val="tx1"/>
            </w14:solidFill>
          </w14:textFill>
        </w:rPr>
        <w:t>加开标的，视同认可开标结果；</w:t>
      </w:r>
    </w:p>
    <w:p w14:paraId="3BC67DB0">
      <w:pPr>
        <w:pStyle w:val="25"/>
        <w:spacing w:line="500" w:lineRule="exact"/>
        <w:ind w:firstLine="470" w:firstLineChars="196"/>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5.供应商应登录政采云平台，投标截止时间止，在收到电子加密投标文件【开始解密】通知后，通过“项目采购-开标评标”模块对电子投标文件进行在线解密；</w:t>
      </w:r>
    </w:p>
    <w:p w14:paraId="1FC3D7C9">
      <w:pPr>
        <w:pStyle w:val="25"/>
        <w:spacing w:line="500" w:lineRule="exact"/>
        <w:ind w:firstLine="470" w:firstLineChars="196"/>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6.在开标结束后（评标开</w:t>
      </w:r>
      <w:r>
        <w:rPr>
          <w:rFonts w:hint="eastAsia" w:hAnsi="宋体" w:cs="宋体"/>
          <w:bCs/>
          <w:color w:val="000000" w:themeColor="text1"/>
          <w:sz w:val="24"/>
          <w:szCs w:val="24"/>
          <w:highlight w:val="none"/>
          <w14:textFill>
            <w14:solidFill>
              <w14:schemeClr w14:val="tx1"/>
            </w14:solidFill>
          </w14:textFill>
        </w:rPr>
        <w:t>始前），由采购代理机构进行资格审查。资格审查后在系统上公布资格审查结果；</w:t>
      </w:r>
    </w:p>
    <w:p w14:paraId="343A9081">
      <w:pPr>
        <w:pStyle w:val="25"/>
        <w:spacing w:line="500" w:lineRule="exact"/>
        <w:ind w:firstLine="470" w:firstLineChars="196"/>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7.由评标委员会对资格审查通过的供应商进行技术、商务、资信及其他部分评审，符合性审查及评分结束后，由主持人在系统上公布有效投标的评审结果；</w:t>
      </w:r>
    </w:p>
    <w:p w14:paraId="6D1DD549">
      <w:pPr>
        <w:pStyle w:val="25"/>
        <w:spacing w:line="500" w:lineRule="exact"/>
        <w:ind w:firstLine="470" w:firstLineChars="196"/>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8.报价部分符合性审查及评分结束后，由主持人在系统上公布有效投标的评分结果；</w:t>
      </w:r>
    </w:p>
    <w:p w14:paraId="120F943B">
      <w:pPr>
        <w:pStyle w:val="25"/>
        <w:spacing w:line="500" w:lineRule="exact"/>
        <w:ind w:firstLine="470" w:firstLineChars="196"/>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9.最终在政采云系统上公布评审结果。</w:t>
      </w:r>
      <w:r>
        <w:rPr>
          <w:rFonts w:hint="eastAsia" w:hAnsi="宋体" w:cs="宋体"/>
          <w:bCs/>
          <w:color w:val="000000" w:themeColor="text1"/>
          <w:sz w:val="24"/>
          <w:szCs w:val="24"/>
          <w14:textFill>
            <w14:solidFill>
              <w14:schemeClr w14:val="tx1"/>
            </w14:solidFill>
          </w14:textFill>
        </w:rPr>
        <w:tab/>
      </w:r>
      <w:r>
        <w:rPr>
          <w:rFonts w:hint="eastAsia" w:hAnsi="宋体" w:cs="宋体"/>
          <w:bCs/>
          <w:color w:val="000000" w:themeColor="text1"/>
          <w:sz w:val="24"/>
          <w:szCs w:val="24"/>
          <w14:textFill>
            <w14:solidFill>
              <w14:schemeClr w14:val="tx1"/>
            </w14:solidFill>
          </w14:textFill>
        </w:rPr>
        <w:tab/>
      </w:r>
    </w:p>
    <w:p w14:paraId="5B861EFC">
      <w:pPr>
        <w:pStyle w:val="25"/>
        <w:spacing w:line="500" w:lineRule="exact"/>
        <w:ind w:firstLine="472" w:firstLineChars="196"/>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特别说明：</w:t>
      </w:r>
      <w:r>
        <w:rPr>
          <w:rFonts w:hint="eastAsia" w:hAnsi="宋体" w:cs="宋体"/>
          <w:b/>
          <w:bCs/>
          <w:color w:val="000000" w:themeColor="text1"/>
          <w:sz w:val="24"/>
          <w:szCs w:val="24"/>
          <w:u w:val="single"/>
          <w14:textFill>
            <w14:solidFill>
              <w14:schemeClr w14:val="tx1"/>
            </w14:solidFill>
          </w14:textFill>
        </w:rPr>
        <w:t>政采云公司如对电子化开标及评审程序有调整的，应按调整的程序操作</w:t>
      </w:r>
      <w:r>
        <w:rPr>
          <w:rFonts w:hint="eastAsia" w:hAnsi="宋体" w:cs="宋体"/>
          <w:b/>
          <w:bCs/>
          <w:color w:val="000000" w:themeColor="text1"/>
          <w:sz w:val="24"/>
          <w:szCs w:val="24"/>
          <w14:textFill>
            <w14:solidFill>
              <w14:schemeClr w14:val="tx1"/>
            </w14:solidFill>
          </w14:textFill>
        </w:rPr>
        <w:t>。</w:t>
      </w:r>
    </w:p>
    <w:p w14:paraId="09EB7F92">
      <w:pPr>
        <w:pStyle w:val="25"/>
        <w:spacing w:line="500" w:lineRule="exact"/>
        <w:ind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 其他</w:t>
      </w:r>
    </w:p>
    <w:p w14:paraId="118CE37A">
      <w:pPr>
        <w:pStyle w:val="25"/>
        <w:spacing w:line="500" w:lineRule="exact"/>
        <w:ind w:firstLine="470" w:firstLineChars="196"/>
        <w:rPr>
          <w:rFonts w:hint="eastAsia"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r>
        <w:rPr>
          <w:rFonts w:hint="eastAsia" w:hAnsi="宋体" w:cs="宋体"/>
          <w:bCs/>
          <w:color w:val="000000" w:themeColor="text1"/>
          <w:sz w:val="24"/>
          <w:szCs w:val="24"/>
          <w14:textFill>
            <w14:solidFill>
              <w14:schemeClr w14:val="tx1"/>
            </w14:solidFill>
          </w14:textFill>
        </w:rPr>
        <w:t>。</w:t>
      </w:r>
    </w:p>
    <w:p w14:paraId="539FE249">
      <w:pPr>
        <w:pStyle w:val="25"/>
        <w:spacing w:line="500" w:lineRule="exact"/>
        <w:outlineLvl w:val="1"/>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五．评标</w:t>
      </w:r>
    </w:p>
    <w:p w14:paraId="015A54FC">
      <w:pPr>
        <w:pStyle w:val="25"/>
        <w:spacing w:line="500" w:lineRule="exact"/>
        <w:ind w:firstLine="482" w:firstLineChars="200"/>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（一）组建评标委员会</w:t>
      </w:r>
    </w:p>
    <w:p w14:paraId="6EE7B314">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本项目评标委员会依法组建，成员人数为5人，采购人代表不得作为评标委员</w:t>
      </w:r>
      <w:r>
        <w:rPr>
          <w:rFonts w:hint="eastAsia" w:hAnsi="宋体" w:cs="宋体"/>
          <w:color w:val="000000" w:themeColor="text1"/>
          <w:sz w:val="24"/>
          <w:szCs w:val="24"/>
          <w:lang w:eastAsia="zh-CN"/>
          <w14:textFill>
            <w14:solidFill>
              <w14:schemeClr w14:val="tx1"/>
            </w14:solidFill>
          </w14:textFill>
        </w:rPr>
        <w:t>成员</w:t>
      </w:r>
      <w:r>
        <w:rPr>
          <w:rFonts w:hint="eastAsia" w:hAnsi="宋体" w:cs="宋体"/>
          <w:color w:val="000000" w:themeColor="text1"/>
          <w:sz w:val="24"/>
          <w:szCs w:val="24"/>
          <w14:textFill>
            <w14:solidFill>
              <w14:schemeClr w14:val="tx1"/>
            </w14:solidFill>
          </w14:textFill>
        </w:rPr>
        <w:t>。</w:t>
      </w:r>
    </w:p>
    <w:p w14:paraId="47BEE4AC">
      <w:pPr>
        <w:pStyle w:val="25"/>
        <w:spacing w:line="500" w:lineRule="exact"/>
        <w:ind w:firstLine="482" w:firstLineChars="200"/>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（二）评标的方式</w:t>
      </w:r>
    </w:p>
    <w:p w14:paraId="3A6442AE">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本项目采用不公开方式评标，评标的依据为招标文件和投标文件。</w:t>
      </w:r>
    </w:p>
    <w:p w14:paraId="23EDC2CB">
      <w:pPr>
        <w:pStyle w:val="25"/>
        <w:spacing w:line="500" w:lineRule="exact"/>
        <w:ind w:firstLine="482" w:firstLineChars="200"/>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w:t>
      </w:r>
      <w:r>
        <w:rPr>
          <w:rFonts w:hint="eastAsia" w:hAnsi="宋体" w:cs="宋体"/>
          <w:b/>
          <w:bCs/>
          <w:color w:val="000000" w:themeColor="text1"/>
          <w:sz w:val="24"/>
          <w:szCs w:val="24"/>
          <w14:textFill>
            <w14:solidFill>
              <w14:schemeClr w14:val="tx1"/>
            </w14:solidFill>
          </w14:textFill>
        </w:rPr>
        <w:t>评标程序</w:t>
      </w:r>
    </w:p>
    <w:p w14:paraId="57011697">
      <w:pPr>
        <w:snapToGrid w:val="0"/>
        <w:spacing w:line="50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1.形式审查</w:t>
      </w:r>
    </w:p>
    <w:p w14:paraId="4E3FEC8D">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在开标结束后（评标开始前），采购代理机构对供应商的资格和投标文件的完整性、合法性等进行审查。</w:t>
      </w:r>
    </w:p>
    <w:p w14:paraId="3B971E70">
      <w:pPr>
        <w:snapToGrid w:val="0"/>
        <w:spacing w:line="500" w:lineRule="exact"/>
        <w:ind w:left="47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2.实质审查与比较</w:t>
      </w:r>
    </w:p>
    <w:p w14:paraId="47FE05E6">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2.1评标委员会审查投标文件的实质性内容是否符合招标文件的实质性要求。</w:t>
      </w:r>
    </w:p>
    <w:p w14:paraId="1A3C33F3">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4C878DA9">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2.3各供应商的技术、商务、资信及其他得分为所有评委的有效评分的算术平均数。</w:t>
      </w:r>
    </w:p>
    <w:p w14:paraId="0C9437C4">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2.4采购代理机构工作人员协助评标委员会根据本项目的评分标准计算各供应商的商务报价得分。</w:t>
      </w:r>
    </w:p>
    <w:p w14:paraId="2D21A84A">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2.5评标委员会完成评标后,评委对各部分得分汇总,计算出本项目最终得分。评标委员会按评标原则通过电子评标系统推荐中标候选人并同时起草评标报告。</w:t>
      </w:r>
    </w:p>
    <w:p w14:paraId="03E891AC">
      <w:pPr>
        <w:snapToGrid w:val="0"/>
        <w:spacing w:line="50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（四）澄清问题的形式</w:t>
      </w:r>
    </w:p>
    <w:p w14:paraId="14F75CD7">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中需要供应商对投标文件作出澄清、说明或者补正的，评标委员会和供应商应当通过电子交易平台交换数据电文。给予供应商提交澄清说明或补正的时间不得少于半小时，供应商已经明确表示澄清说明或补正完毕的除外。</w:t>
      </w:r>
    </w:p>
    <w:p w14:paraId="0CE823AD">
      <w:pPr>
        <w:pStyle w:val="25"/>
        <w:spacing w:line="500" w:lineRule="exact"/>
        <w:ind w:firstLine="482" w:firstLineChars="20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（五）错误修正</w:t>
      </w:r>
    </w:p>
    <w:p w14:paraId="1E58708F">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投标文件如果出现计算或表达上的错误，修正错误的原则如下：</w:t>
      </w:r>
    </w:p>
    <w:p w14:paraId="3713B3D2">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1.投标文件的大写金额和小写金额不一致的，以大写金额为准；</w:t>
      </w:r>
    </w:p>
    <w:p w14:paraId="499F2F08">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2.总价金额与按单价汇总金额不一致的，以单价金额计算结果为准；</w:t>
      </w:r>
    </w:p>
    <w:p w14:paraId="47FBF298">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3.政采云系统内投标总价与供应商上传的开标一览表中投标总价不符时，以供应商上传的开标一览表中投标总价为准；</w:t>
      </w:r>
    </w:p>
    <w:p w14:paraId="2E1C0D2F">
      <w:pPr>
        <w:pStyle w:val="25"/>
        <w:spacing w:line="500" w:lineRule="exact"/>
        <w:ind w:firstLine="480" w:firstLineChars="200"/>
        <w:rPr>
          <w:rFonts w:hAnsi="宋体" w:cs="宋体"/>
          <w:b/>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对不同文字文本投标文件的解释发生异议的，以中文文本为准。</w:t>
      </w:r>
    </w:p>
    <w:p w14:paraId="25F4C4D5">
      <w:pPr>
        <w:pStyle w:val="25"/>
        <w:spacing w:line="500" w:lineRule="exact"/>
        <w:ind w:firstLine="482" w:firstLineChars="20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按上述修正错误的原则及方法调整或修正投标文件的投标报价，供应商同意并确认后，调整后的投标报价对供应商具有约束作用。如果供应商不接受修正后的报价，则其投标将作为无效投标处理。</w:t>
      </w:r>
    </w:p>
    <w:p w14:paraId="448ABD49">
      <w:pPr>
        <w:pStyle w:val="25"/>
        <w:tabs>
          <w:tab w:val="left" w:pos="630"/>
        </w:tabs>
        <w:spacing w:line="500" w:lineRule="exact"/>
        <w:ind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（六）评标原则和评标办法</w:t>
      </w:r>
    </w:p>
    <w:p w14:paraId="5B380612">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BB0A280">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2.评标办法。本项目评标办法是</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b/>
          <w:color w:val="000000" w:themeColor="text1"/>
          <w:sz w:val="24"/>
          <w:szCs w:val="24"/>
          <w:u w:val="single"/>
          <w14:textFill>
            <w14:solidFill>
              <w14:schemeClr w14:val="tx1"/>
            </w14:solidFill>
          </w14:textFill>
        </w:rPr>
        <w:t xml:space="preserve">综合评分法 </w:t>
      </w:r>
      <w:r>
        <w:rPr>
          <w:rFonts w:hint="eastAsia" w:hAnsi="宋体" w:cs="宋体"/>
          <w:color w:val="000000" w:themeColor="text1"/>
          <w:sz w:val="24"/>
          <w:szCs w:val="24"/>
          <w14:textFill>
            <w14:solidFill>
              <w14:schemeClr w14:val="tx1"/>
            </w14:solidFill>
          </w14:textFill>
        </w:rPr>
        <w:t>，具体评标内容及评分标准等详见《第四章：评标办法及评分标准》。</w:t>
      </w:r>
    </w:p>
    <w:p w14:paraId="1BC1E9E6">
      <w:pPr>
        <w:pStyle w:val="25"/>
        <w:spacing w:line="500" w:lineRule="exact"/>
        <w:ind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（七）评标过程的监控</w:t>
      </w:r>
    </w:p>
    <w:p w14:paraId="5776E1B1">
      <w:pPr>
        <w:pStyle w:val="25"/>
        <w:spacing w:line="5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本项目评标过程实行全程录音、录像监控，供应商在评标过程中所进行的试图影响评标结果的不公正活动，可能导致其投标被拒绝。</w:t>
      </w:r>
    </w:p>
    <w:p w14:paraId="2EE23096">
      <w:pPr>
        <w:pStyle w:val="25"/>
        <w:spacing w:line="500" w:lineRule="exact"/>
        <w:outlineLvl w:val="1"/>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六．定标</w:t>
      </w:r>
    </w:p>
    <w:p w14:paraId="15EA6562">
      <w:pPr>
        <w:keepNext w:val="0"/>
        <w:keepLines w:val="0"/>
        <w:pageBreakBefore w:val="0"/>
        <w:widowControl w:val="0"/>
        <w:kinsoku/>
        <w:wordWrap/>
        <w:overflowPunct/>
        <w:topLinePunct w:val="0"/>
        <w:autoSpaceDE/>
        <w:autoSpaceDN/>
        <w:bidi w:val="0"/>
        <w:snapToGrid/>
        <w:spacing w:before="0" w:line="480" w:lineRule="exact"/>
        <w:ind w:firstLine="470" w:firstLineChars="196"/>
        <w:jc w:val="both"/>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（一）确定中标供应商。本项目由采购人授权评标委员会确定中标供应商</w:t>
      </w:r>
    </w:p>
    <w:p w14:paraId="211DF279">
      <w:pPr>
        <w:keepNext w:val="0"/>
        <w:keepLines w:val="0"/>
        <w:pageBreakBefore w:val="0"/>
        <w:widowControl w:val="0"/>
        <w:kinsoku/>
        <w:wordWrap/>
        <w:overflowPunct/>
        <w:topLinePunct w:val="0"/>
        <w:autoSpaceDE/>
        <w:autoSpaceDN/>
        <w:bidi w:val="0"/>
        <w:snapToGrid/>
        <w:spacing w:before="0" w:line="480" w:lineRule="exact"/>
        <w:ind w:firstLine="470" w:firstLineChars="196"/>
        <w:jc w:val="both"/>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1.评标委员会确定的中标供应商经采购人确认后，在财政部门指定的政府采购信息发布媒体上公告中标结果。</w:t>
      </w:r>
    </w:p>
    <w:p w14:paraId="2074CC73">
      <w:pPr>
        <w:keepNext w:val="0"/>
        <w:keepLines w:val="0"/>
        <w:pageBreakBefore w:val="0"/>
        <w:widowControl w:val="0"/>
        <w:kinsoku/>
        <w:wordWrap/>
        <w:overflowPunct/>
        <w:topLinePunct w:val="0"/>
        <w:autoSpaceDE/>
        <w:autoSpaceDN/>
        <w:bidi w:val="0"/>
        <w:snapToGrid/>
        <w:spacing w:before="0" w:line="480" w:lineRule="exact"/>
        <w:ind w:firstLine="470" w:firstLineChars="196"/>
        <w:jc w:val="both"/>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2.在发布公告的同时，采购人向中标供应商发出中标通知书，中标通知书对采购人和中标供应商具有同等法律效力。</w:t>
      </w:r>
    </w:p>
    <w:p w14:paraId="005A62CD">
      <w:pPr>
        <w:keepNext w:val="0"/>
        <w:keepLines w:val="0"/>
        <w:pageBreakBefore w:val="0"/>
        <w:widowControl w:val="0"/>
        <w:kinsoku/>
        <w:wordWrap/>
        <w:overflowPunct/>
        <w:topLinePunct w:val="0"/>
        <w:autoSpaceDE/>
        <w:autoSpaceDN/>
        <w:bidi w:val="0"/>
        <w:snapToGrid/>
        <w:spacing w:before="0" w:line="480" w:lineRule="exact"/>
        <w:ind w:firstLine="470" w:firstLineChars="196"/>
        <w:jc w:val="both"/>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3.中</w:t>
      </w:r>
      <w:r>
        <w:rPr>
          <w:rFonts w:hint="eastAsia" w:ascii="宋体" w:hAnsi="宋体" w:eastAsia="宋体" w:cs="宋体"/>
          <w:color w:val="000000" w:themeColor="text1"/>
          <w:kern w:val="0"/>
          <w:sz w:val="24"/>
          <w:szCs w:val="24"/>
          <w:lang w:val="en-US" w:eastAsia="zh-CN" w:bidi="ar-SA"/>
          <w14:textFill>
            <w14:solidFill>
              <w14:schemeClr w14:val="tx1"/>
            </w14:solidFill>
          </w14:textFill>
        </w:rPr>
        <w:t>标通知书发出后，采购人改变中标结果，或者中标供应商放弃中标，应当承担相应的法律责任。</w:t>
      </w:r>
    </w:p>
    <w:p w14:paraId="2C68CD7C">
      <w:pPr>
        <w:pStyle w:val="25"/>
        <w:spacing w:line="500" w:lineRule="exact"/>
        <w:jc w:val="left"/>
        <w:outlineLvl w:val="1"/>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七．合同授予</w:t>
      </w:r>
    </w:p>
    <w:p w14:paraId="18ABC4D2">
      <w:pPr>
        <w:snapToGrid w:val="0"/>
        <w:spacing w:line="500" w:lineRule="exact"/>
        <w:ind w:firstLine="472" w:firstLineChars="196"/>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（一）签订合同</w:t>
      </w:r>
    </w:p>
    <w:p w14:paraId="3235232B">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1.采购人与中标供应商应当在《中标通知书》发出之日起</w:t>
      </w:r>
      <w:r>
        <w:rPr>
          <w:rFonts w:hint="eastAsia" w:ascii="宋体" w:hAnsi="宋体" w:cs="宋体"/>
          <w:color w:val="000000" w:themeColor="text1"/>
          <w:sz w:val="24"/>
          <w:u w:val="single"/>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日内签订政府采购合同。同时，采购代理机构对合同内容进行审查，如发现与采购结果和投标承诺内容不一致的，应予以纠正。</w:t>
      </w:r>
    </w:p>
    <w:p w14:paraId="0D2807FD">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2.中标供应商拖延、拒签合同的,将被取消中标资格。</w:t>
      </w:r>
    </w:p>
    <w:p w14:paraId="1B3ED79E">
      <w:pPr>
        <w:snapToGrid w:val="0"/>
        <w:spacing w:line="500" w:lineRule="exact"/>
        <w:ind w:firstLine="472" w:firstLineChars="196"/>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（二）中标通知书</w:t>
      </w:r>
    </w:p>
    <w:p w14:paraId="1814DAB1">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1.确定中标供应商后，采购代理机构将以书面形式发出中标通知书，通知中标的供应商其投标被接受；</w:t>
      </w:r>
    </w:p>
    <w:p w14:paraId="51886D2A">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2.中标通知书为双方签订合同的依据；</w:t>
      </w:r>
    </w:p>
    <w:p w14:paraId="140A5730">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3.中标供应商应根据中标通知书中规定的时间内，由法定代表人或其授权代表与采购人签订合同。</w:t>
      </w:r>
    </w:p>
    <w:p w14:paraId="62FA86C0">
      <w:pPr>
        <w:snapToGrid w:val="0"/>
        <w:spacing w:line="500" w:lineRule="exact"/>
        <w:ind w:firstLine="472" w:firstLineChars="196"/>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（三）履约保证金</w:t>
      </w:r>
    </w:p>
    <w:p w14:paraId="3D26E26A">
      <w:pPr>
        <w:pStyle w:val="25"/>
        <w:spacing w:line="500" w:lineRule="exact"/>
        <w:ind w:firstLine="480" w:firstLineChars="200"/>
        <w:jc w:val="left"/>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本项目不收取</w:t>
      </w:r>
    </w:p>
    <w:p w14:paraId="1C246613">
      <w:pPr>
        <w:pStyle w:val="25"/>
        <w:spacing w:line="500" w:lineRule="exact"/>
        <w:jc w:val="left"/>
        <w:outlineLvl w:val="1"/>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八．其他内容</w:t>
      </w:r>
    </w:p>
    <w:p w14:paraId="207E81BF">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发生下列情况之一，供应商自愿接受取消投标资格、记入信用档案、媒体通报、1-3年内禁止参与政府采购等处罚；如已中标（中标）的，自动放弃中标（中标）资格，并承担全部法律责任；给采购人造成损失的，依法承担赔偿责任： </w:t>
      </w:r>
    </w:p>
    <w:p w14:paraId="59181F04">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1.1供应商在提交投标（响应）文件截止时间后撤回投标（响应）文件的； </w:t>
      </w:r>
    </w:p>
    <w:p w14:paraId="5FD44253">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1.2供应商在投标（响应）文件中提交虚假材料的； </w:t>
      </w:r>
    </w:p>
    <w:p w14:paraId="36530EB7">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1.3除因不可抗力或招标文件认可的情形以外，中标供应商不与采购人签订合同的； </w:t>
      </w:r>
    </w:p>
    <w:p w14:paraId="0241BA4F">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1.4供应商与采购人、其他供应商或者采购代理机构恶意串通的； </w:t>
      </w:r>
    </w:p>
    <w:p w14:paraId="3BB9518F">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1.5中标供应商拒绝缴纳采购代理服务费的； </w:t>
      </w:r>
    </w:p>
    <w:p w14:paraId="1EAAFC41">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1.6招标文件规定的其他情形。</w:t>
      </w:r>
    </w:p>
    <w:p w14:paraId="6D65BE4E">
      <w:pPr>
        <w:widowControl/>
        <w:spacing w:line="540" w:lineRule="exact"/>
        <w:ind w:right="6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2F513AD">
      <w:pPr>
        <w:widowControl/>
        <w:spacing w:line="540" w:lineRule="exact"/>
        <w:ind w:right="60" w:firstLine="480" w:firstLineChars="200"/>
        <w:jc w:val="left"/>
        <w:rPr>
          <w:rFonts w:hint="eastAsia" w:ascii="宋体" w:hAnsi="宋体" w:cs="宋体"/>
          <w:b/>
          <w:color w:val="000000" w:themeColor="text1"/>
          <w:sz w:val="36"/>
          <w:szCs w:val="36"/>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3.本项目是否专门面向中小企业采购：是。本项目中小企业划分类型为：工业。</w:t>
      </w:r>
    </w:p>
    <w:p w14:paraId="684494D9">
      <w:pPr>
        <w:spacing w:line="560" w:lineRule="exact"/>
        <w:jc w:val="center"/>
        <w:outlineLvl w:val="0"/>
        <w:rPr>
          <w:rFonts w:hint="eastAsia" w:ascii="宋体" w:hAnsi="宋体" w:cs="宋体"/>
          <w:b/>
          <w:color w:val="000000" w:themeColor="text1"/>
          <w:sz w:val="36"/>
          <w:szCs w:val="36"/>
          <w14:textFill>
            <w14:solidFill>
              <w14:schemeClr w14:val="tx1"/>
            </w14:solidFill>
          </w14:textFill>
        </w:rPr>
      </w:pPr>
    </w:p>
    <w:p w14:paraId="39C75112">
      <w:pPr>
        <w:spacing w:line="560" w:lineRule="exact"/>
        <w:jc w:val="both"/>
        <w:outlineLvl w:val="0"/>
        <w:rPr>
          <w:rFonts w:hint="eastAsia" w:ascii="宋体" w:hAnsi="宋体" w:cs="宋体"/>
          <w:b/>
          <w:color w:val="000000" w:themeColor="text1"/>
          <w:sz w:val="36"/>
          <w:szCs w:val="36"/>
          <w14:textFill>
            <w14:solidFill>
              <w14:schemeClr w14:val="tx1"/>
            </w14:solidFill>
          </w14:textFill>
        </w:rPr>
      </w:pPr>
    </w:p>
    <w:p w14:paraId="1727CB2C">
      <w:pPr>
        <w:spacing w:line="560" w:lineRule="exact"/>
        <w:jc w:val="center"/>
        <w:outlineLvl w:val="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第四章  评标办法及评分标准</w:t>
      </w:r>
    </w:p>
    <w:p w14:paraId="05BC18A2">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为公正、公平、科学地选择中标供应商，根据《中华人民共和国政府采购法》</w:t>
      </w:r>
      <w:r>
        <w:rPr>
          <w:rFonts w:hint="eastAsia" w:ascii="宋体" w:hAnsi="宋体" w:cs="宋体"/>
          <w:color w:val="000000" w:themeColor="text1"/>
          <w:kern w:val="0"/>
          <w:sz w:val="24"/>
          <w14:textFill>
            <w14:solidFill>
              <w14:schemeClr w14:val="tx1"/>
            </w14:solidFill>
          </w14:textFill>
        </w:rPr>
        <w:t>、《政府采购货物和服务招标投标管理办法》及相关法律、法规等规定</w:t>
      </w:r>
      <w:r>
        <w:rPr>
          <w:rFonts w:hint="eastAsia" w:ascii="宋体" w:hAnsi="宋体" w:cs="宋体"/>
          <w:color w:val="000000" w:themeColor="text1"/>
          <w:sz w:val="24"/>
          <w14:textFill>
            <w14:solidFill>
              <w14:schemeClr w14:val="tx1"/>
            </w14:solidFill>
          </w14:textFill>
        </w:rPr>
        <w:t>，并结合本项目的实际，制定本办法。本办法适用于</w:t>
      </w:r>
      <w:r>
        <w:rPr>
          <w:rFonts w:hint="eastAsia" w:ascii="宋体" w:hAnsi="宋体" w:cs="宋体"/>
          <w:b/>
          <w:color w:val="000000" w:themeColor="text1"/>
          <w:sz w:val="24"/>
          <w:u w:val="single"/>
          <w:lang w:eastAsia="zh-CN"/>
          <w14:textFill>
            <w14:solidFill>
              <w14:schemeClr w14:val="tx1"/>
            </w14:solidFill>
          </w14:textFill>
        </w:rPr>
        <w:t>湖州市殡仪馆配电房变压器增容项目</w:t>
      </w:r>
      <w:r>
        <w:rPr>
          <w:rFonts w:hint="eastAsia" w:ascii="宋体" w:hAnsi="宋体" w:cs="宋体"/>
          <w:color w:val="000000" w:themeColor="text1"/>
          <w:sz w:val="24"/>
          <w14:textFill>
            <w14:solidFill>
              <w14:schemeClr w14:val="tx1"/>
            </w14:solidFill>
          </w14:textFill>
        </w:rPr>
        <w:t>的评标。</w:t>
      </w:r>
    </w:p>
    <w:p w14:paraId="1D4DFBC1">
      <w:pPr>
        <w:spacing w:line="560" w:lineRule="exact"/>
        <w:ind w:firstLine="551" w:firstLineChars="196"/>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一．总则</w:t>
      </w:r>
    </w:p>
    <w:p w14:paraId="2D4F8F1F">
      <w:pPr>
        <w:spacing w:line="560" w:lineRule="exact"/>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本次评标采用综合评分法，</w:t>
      </w:r>
      <w:r>
        <w:rPr>
          <w:rFonts w:hint="eastAsia" w:ascii="宋体" w:hAnsi="宋体" w:cs="宋体"/>
          <w:b/>
          <w:color w:val="000000" w:themeColor="text1"/>
          <w:sz w:val="24"/>
          <w14:textFill>
            <w14:solidFill>
              <w14:schemeClr w14:val="tx1"/>
            </w14:solidFill>
          </w14:textFill>
        </w:rPr>
        <w:t>总分为100分，其中价格分30分、技术分、商务分和资信及其他部分占70分</w:t>
      </w:r>
      <w:r>
        <w:rPr>
          <w:rFonts w:hint="eastAsia" w:ascii="宋体" w:hAnsi="宋体" w:cs="宋体"/>
          <w:color w:val="000000" w:themeColor="text1"/>
          <w:sz w:val="24"/>
          <w14:textFill>
            <w14:solidFill>
              <w14:schemeClr w14:val="tx1"/>
            </w14:solidFill>
          </w14:textFill>
        </w:rPr>
        <w:t>。合格供应商的评标得分为各项目汇总得分，中标候选资格按评标得分由高到低顺序排列，得分相同的，按投标报价由低到高顺序排列；得分且投标报价相同的，按技术得分由高到低顺序排列。排名第一位的供应商为中标候选人,其他供应商中标候选资格依此类推。第一中标候选供应商因不可抗力提出不能履行合同或在采购活动中存在违法违规行为或其他原因使质疑成立的，采购人可以确定第二中标候选供应商为中标供应商，排名第二的中标候选供应商因前款同样的原因不能签订合同，采购人可以确定排名第三的中标候选供应商为中标供应商。评分过程中采用四舍五入法，并保留小数2位。</w:t>
      </w:r>
    </w:p>
    <w:p w14:paraId="2667FD58">
      <w:pPr>
        <w:spacing w:line="560" w:lineRule="exact"/>
        <w:ind w:firstLine="472" w:firstLineChars="197"/>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各供应商最终得分=技术分、商务分和资信及其他分得分+价格分得分</w:t>
      </w:r>
    </w:p>
    <w:p w14:paraId="0FA7E913">
      <w:pPr>
        <w:spacing w:line="560" w:lineRule="exact"/>
        <w:ind w:firstLine="562" w:firstLineChars="200"/>
        <w:outlineLvl w:val="0"/>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二．评标内容及标准</w:t>
      </w:r>
    </w:p>
    <w:p w14:paraId="03000632">
      <w:pPr>
        <w:spacing w:line="56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1.价格分30分</w:t>
      </w:r>
    </w:p>
    <w:p w14:paraId="3DD47967">
      <w:pPr>
        <w:pStyle w:val="20"/>
        <w:spacing w:line="560" w:lineRule="exact"/>
        <w:ind w:firstLine="480" w:firstLineChars="200"/>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价格分采用低价优先法计算，</w:t>
      </w:r>
      <w:r>
        <w:rPr>
          <w:rFonts w:hint="eastAsia" w:hAnsi="宋体" w:cs="宋体"/>
          <w:bCs/>
          <w:color w:val="000000" w:themeColor="text1"/>
          <w:sz w:val="24"/>
          <w:szCs w:val="24"/>
          <w14:textFill>
            <w14:solidFill>
              <w14:schemeClr w14:val="tx1"/>
            </w14:solidFill>
          </w14:textFill>
        </w:rPr>
        <w:t>即以有效投标价格最低的投标报价为评标基准价，</w:t>
      </w:r>
      <w:r>
        <w:rPr>
          <w:rFonts w:hint="eastAsia" w:hAnsi="宋体" w:cs="宋体"/>
          <w:bCs/>
          <w:color w:val="000000" w:themeColor="text1"/>
          <w:sz w:val="24"/>
          <w14:textFill>
            <w14:solidFill>
              <w14:schemeClr w14:val="tx1"/>
            </w14:solidFill>
          </w14:textFill>
        </w:rPr>
        <w:t>其他供应商的价格分按照下列公式计算：</w:t>
      </w:r>
    </w:p>
    <w:p w14:paraId="55424FFC">
      <w:pPr>
        <w:spacing w:line="56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价格分=（评标基准价/投标报价）×30%×100</w:t>
      </w:r>
    </w:p>
    <w:p w14:paraId="7503E5E8">
      <w:pPr>
        <w:spacing w:line="520" w:lineRule="exact"/>
        <w:ind w:firstLine="472" w:firstLineChars="196"/>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2.技术分、商务、资信及其他分70分</w:t>
      </w:r>
    </w:p>
    <w:p w14:paraId="42B8C723">
      <w:pPr>
        <w:pStyle w:val="20"/>
        <w:spacing w:line="520" w:lineRule="exact"/>
        <w:ind w:firstLine="480" w:firstLineChars="200"/>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本项目设技术分5</w:t>
      </w:r>
      <w:r>
        <w:rPr>
          <w:rFonts w:hint="eastAsia" w:hAnsi="宋体" w:cs="宋体"/>
          <w:bCs/>
          <w:color w:val="000000" w:themeColor="text1"/>
          <w:sz w:val="24"/>
          <w:lang w:val="en-US" w:eastAsia="zh-CN"/>
          <w14:textFill>
            <w14:solidFill>
              <w14:schemeClr w14:val="tx1"/>
            </w14:solidFill>
          </w14:textFill>
        </w:rPr>
        <w:t>9</w:t>
      </w:r>
      <w:r>
        <w:rPr>
          <w:rFonts w:hint="eastAsia" w:hAnsi="宋体" w:cs="宋体"/>
          <w:bCs/>
          <w:color w:val="000000" w:themeColor="text1"/>
          <w:sz w:val="24"/>
          <w14:textFill>
            <w14:solidFill>
              <w14:schemeClr w14:val="tx1"/>
            </w14:solidFill>
          </w14:textFill>
        </w:rPr>
        <w:t>分、商务、资信及其他分</w:t>
      </w:r>
      <w:r>
        <w:rPr>
          <w:rFonts w:hint="eastAsia" w:hAnsi="宋体" w:cs="宋体"/>
          <w:bCs/>
          <w:color w:val="000000" w:themeColor="text1"/>
          <w:sz w:val="24"/>
          <w:lang w:val="en-US" w:eastAsia="zh-CN"/>
          <w14:textFill>
            <w14:solidFill>
              <w14:schemeClr w14:val="tx1"/>
            </w14:solidFill>
          </w14:textFill>
        </w:rPr>
        <w:t>11</w:t>
      </w:r>
      <w:r>
        <w:rPr>
          <w:rFonts w:hint="eastAsia" w:hAnsi="宋体" w:cs="宋体"/>
          <w:bCs/>
          <w:color w:val="000000" w:themeColor="text1"/>
          <w:sz w:val="24"/>
          <w14:textFill>
            <w14:solidFill>
              <w14:schemeClr w14:val="tx1"/>
            </w14:solidFill>
          </w14:textFill>
        </w:rPr>
        <w:t>分。确定进入报价评审的供应商。</w:t>
      </w:r>
    </w:p>
    <w:p w14:paraId="49F9AED2">
      <w:pPr>
        <w:tabs>
          <w:tab w:val="left" w:pos="1154"/>
        </w:tabs>
        <w:spacing w:line="52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3.技术分、商务分、资信及其他分的计算</w:t>
      </w:r>
    </w:p>
    <w:p w14:paraId="275D0A22">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技术、商务、资信及其他分按照评标委员</w:t>
      </w:r>
      <w:r>
        <w:rPr>
          <w:rFonts w:hint="eastAsia" w:ascii="宋体" w:hAnsi="宋体" w:cs="宋体"/>
          <w:color w:val="000000" w:themeColor="text1"/>
          <w:sz w:val="24"/>
          <w14:textFill>
            <w14:solidFill>
              <w14:schemeClr w14:val="tx1"/>
            </w14:solidFill>
          </w14:textFill>
        </w:rPr>
        <w:t>会成员的独立评分结果汇总数的算术平均分计算，计算公式为：</w:t>
      </w:r>
    </w:p>
    <w:p w14:paraId="7CEB9AC1">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技术分、商务分、资信及其他分=（评标委员会所有成员评分合计数）/（评标委员会组成人员数）</w:t>
      </w:r>
    </w:p>
    <w:p w14:paraId="42F6FD03">
      <w:pPr>
        <w:spacing w:line="480" w:lineRule="exact"/>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评标委员会在评审时发现供应商的报价明显低于其他通过符合性审查供应商的报价，有可能影响产品质量或者不能诚信履约的，应当要求供应商在评审现场合理时间内提供书面说明，必要时提供相关证明材料。供应商不能证明其报价合理性的，评标委员会应将该供应商的投标文件作无效处理，并在评审报告中说明。</w:t>
      </w:r>
    </w:p>
    <w:p w14:paraId="11AC3670">
      <w:pPr>
        <w:tabs>
          <w:tab w:val="left" w:pos="1154"/>
        </w:tabs>
        <w:spacing w:line="56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附件：评分表格式（技术分、商务、资信及其他分，共70分）</w:t>
      </w:r>
    </w:p>
    <w:tbl>
      <w:tblPr>
        <w:tblStyle w:val="43"/>
        <w:tblW w:w="99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317"/>
        <w:gridCol w:w="7215"/>
        <w:gridCol w:w="731"/>
      </w:tblGrid>
      <w:tr w14:paraId="63736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0204366">
            <w:pPr>
              <w:pStyle w:val="19"/>
              <w:keepNext w:val="0"/>
              <w:keepLines w:val="0"/>
              <w:pageBreakBefore w:val="0"/>
              <w:kinsoku/>
              <w:wordWrap/>
              <w:overflowPunct/>
              <w:topLinePunct w:val="0"/>
              <w:autoSpaceDE/>
              <w:autoSpaceDN/>
              <w:bidi w:val="0"/>
              <w:spacing w:after="0" w:line="410" w:lineRule="exact"/>
              <w:jc w:val="center"/>
              <w:textAlignment w:val="auto"/>
              <w:rPr>
                <w:rFonts w:hint="eastAsia"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序号</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83DFC55">
            <w:pPr>
              <w:pStyle w:val="19"/>
              <w:keepNext w:val="0"/>
              <w:keepLines w:val="0"/>
              <w:pageBreakBefore w:val="0"/>
              <w:kinsoku/>
              <w:wordWrap/>
              <w:overflowPunct/>
              <w:topLinePunct w:val="0"/>
              <w:autoSpaceDE/>
              <w:autoSpaceDN/>
              <w:bidi w:val="0"/>
              <w:spacing w:after="0" w:line="410" w:lineRule="exact"/>
              <w:jc w:val="center"/>
              <w:textAlignment w:val="auto"/>
              <w:rPr>
                <w:rFonts w:hint="eastAsia"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评审内容</w:t>
            </w:r>
          </w:p>
        </w:tc>
        <w:tc>
          <w:tcPr>
            <w:tcW w:w="7215" w:type="dxa"/>
            <w:tcBorders>
              <w:top w:val="single" w:color="auto" w:sz="4" w:space="0"/>
              <w:left w:val="single" w:color="auto" w:sz="4" w:space="0"/>
              <w:bottom w:val="single" w:color="auto" w:sz="4" w:space="0"/>
              <w:right w:val="single" w:color="auto" w:sz="4" w:space="0"/>
            </w:tcBorders>
            <w:noWrap w:val="0"/>
            <w:vAlign w:val="center"/>
          </w:tcPr>
          <w:p w14:paraId="43E1CAE5">
            <w:pPr>
              <w:pStyle w:val="19"/>
              <w:keepNext w:val="0"/>
              <w:keepLines w:val="0"/>
              <w:pageBreakBefore w:val="0"/>
              <w:kinsoku/>
              <w:wordWrap/>
              <w:overflowPunct/>
              <w:topLinePunct w:val="0"/>
              <w:autoSpaceDE/>
              <w:autoSpaceDN/>
              <w:bidi w:val="0"/>
              <w:spacing w:after="0" w:line="410" w:lineRule="exact"/>
              <w:jc w:val="center"/>
              <w:textAlignment w:val="auto"/>
              <w:rPr>
                <w:rFonts w:hint="eastAsia"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评分标准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014E575">
            <w:pPr>
              <w:pStyle w:val="19"/>
              <w:keepNext w:val="0"/>
              <w:keepLines w:val="0"/>
              <w:pageBreakBefore w:val="0"/>
              <w:kinsoku/>
              <w:wordWrap/>
              <w:overflowPunct/>
              <w:topLinePunct w:val="0"/>
              <w:autoSpaceDE/>
              <w:autoSpaceDN/>
              <w:bidi w:val="0"/>
              <w:spacing w:after="0" w:line="410" w:lineRule="exact"/>
              <w:jc w:val="center"/>
              <w:textAlignment w:val="auto"/>
              <w:rPr>
                <w:rFonts w:hint="eastAsia"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分值</w:t>
            </w:r>
          </w:p>
        </w:tc>
      </w:tr>
      <w:tr w14:paraId="2BB21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9997" w:type="dxa"/>
            <w:gridSpan w:val="4"/>
            <w:tcBorders>
              <w:top w:val="single" w:color="auto" w:sz="4" w:space="0"/>
              <w:left w:val="single" w:color="auto" w:sz="4" w:space="0"/>
              <w:bottom w:val="single" w:color="auto" w:sz="4" w:space="0"/>
              <w:right w:val="single" w:color="auto" w:sz="4" w:space="0"/>
            </w:tcBorders>
            <w:noWrap w:val="0"/>
            <w:vAlign w:val="center"/>
          </w:tcPr>
          <w:p w14:paraId="3E1373D1">
            <w:pPr>
              <w:pStyle w:val="19"/>
              <w:keepNext w:val="0"/>
              <w:keepLines w:val="0"/>
              <w:pageBreakBefore w:val="0"/>
              <w:kinsoku/>
              <w:wordWrap/>
              <w:overflowPunct/>
              <w:topLinePunct w:val="0"/>
              <w:autoSpaceDE/>
              <w:autoSpaceDN/>
              <w:bidi w:val="0"/>
              <w:spacing w:after="0" w:line="410" w:lineRule="exact"/>
              <w:jc w:val="center"/>
              <w:textAlignment w:val="auto"/>
              <w:rPr>
                <w:rFonts w:hint="eastAsia"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技术分（5</w:t>
            </w:r>
            <w:r>
              <w:rPr>
                <w:rFonts w:hint="eastAsia" w:cs="宋体"/>
                <w:b/>
                <w:color w:val="000000" w:themeColor="text1"/>
                <w:sz w:val="24"/>
                <w:lang w:val="en-US" w:eastAsia="zh-CN"/>
                <w14:textFill>
                  <w14:solidFill>
                    <w14:schemeClr w14:val="tx1"/>
                  </w14:solidFill>
                </w14:textFill>
              </w:rPr>
              <w:t>4</w:t>
            </w:r>
            <w:r>
              <w:rPr>
                <w:rFonts w:hint="eastAsia" w:cs="宋体"/>
                <w:b/>
                <w:color w:val="000000" w:themeColor="text1"/>
                <w:sz w:val="24"/>
                <w14:textFill>
                  <w14:solidFill>
                    <w14:schemeClr w14:val="tx1"/>
                  </w14:solidFill>
                </w14:textFill>
              </w:rPr>
              <w:t>分）</w:t>
            </w:r>
          </w:p>
        </w:tc>
      </w:tr>
      <w:tr w14:paraId="4F0D9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514D630">
            <w:pPr>
              <w:pStyle w:val="19"/>
              <w:keepNext w:val="0"/>
              <w:keepLines w:val="0"/>
              <w:pageBreakBefore w:val="0"/>
              <w:kinsoku/>
              <w:wordWrap/>
              <w:overflowPunct/>
              <w:topLinePunct w:val="0"/>
              <w:autoSpaceDE/>
              <w:autoSpaceDN/>
              <w:bidi w:val="0"/>
              <w:spacing w:after="0" w:line="410" w:lineRule="exact"/>
              <w:jc w:val="center"/>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99D5556">
            <w:pPr>
              <w:pStyle w:val="19"/>
              <w:keepNext w:val="0"/>
              <w:keepLines w:val="0"/>
              <w:pageBreakBefore w:val="0"/>
              <w:kinsoku/>
              <w:wordWrap/>
              <w:overflowPunct/>
              <w:topLinePunct w:val="0"/>
              <w:autoSpaceDE/>
              <w:autoSpaceDN/>
              <w:bidi w:val="0"/>
              <w:spacing w:after="0" w:line="410" w:lineRule="exact"/>
              <w:jc w:val="center"/>
              <w:textAlignment w:val="auto"/>
              <w:rPr>
                <w:rFonts w:hint="eastAsia"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技术性能</w:t>
            </w:r>
          </w:p>
        </w:tc>
        <w:tc>
          <w:tcPr>
            <w:tcW w:w="7215" w:type="dxa"/>
            <w:tcBorders>
              <w:top w:val="single" w:color="auto" w:sz="4" w:space="0"/>
              <w:left w:val="single" w:color="auto" w:sz="4" w:space="0"/>
              <w:bottom w:val="single" w:color="auto" w:sz="4" w:space="0"/>
              <w:right w:val="single" w:color="auto" w:sz="4" w:space="0"/>
            </w:tcBorders>
            <w:noWrap w:val="0"/>
            <w:vAlign w:val="top"/>
          </w:tcPr>
          <w:p w14:paraId="6A39689A">
            <w:pPr>
              <w:keepNext w:val="0"/>
              <w:keepLines w:val="0"/>
              <w:pageBreakBefore w:val="0"/>
              <w:kinsoku/>
              <w:wordWrap/>
              <w:overflowPunct/>
              <w:topLinePunct w:val="0"/>
              <w:autoSpaceDE/>
              <w:autoSpaceDN/>
              <w:bidi w:val="0"/>
              <w:spacing w:line="410" w:lineRule="exact"/>
              <w:textAlignment w:val="auto"/>
              <w:rPr>
                <w:rFonts w:hint="eastAsia"/>
                <w:b/>
                <w:bCs/>
                <w:color w:val="000000" w:themeColor="text1"/>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1.响应招标文件要求的基本技术参数、技术规格、技术规范和技术要求的响应度得基本分</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分。每有一项负偏离的扣</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分，扣完为止。</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5069797">
            <w:pPr>
              <w:pStyle w:val="36"/>
              <w:keepNext w:val="0"/>
              <w:keepLines w:val="0"/>
              <w:pageBreakBefore w:val="0"/>
              <w:kinsoku/>
              <w:wordWrap/>
              <w:overflowPunct/>
              <w:topLinePunct w:val="0"/>
              <w:autoSpaceDE/>
              <w:autoSpaceDN/>
              <w:bidi w:val="0"/>
              <w:adjustRightInd w:val="0"/>
              <w:spacing w:after="0" w:line="410" w:lineRule="exact"/>
              <w:ind w:left="0" w:leftChars="0" w:right="-140" w:rightChars="-50"/>
              <w:jc w:val="center"/>
              <w:textAlignment w:val="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分</w:t>
            </w:r>
          </w:p>
        </w:tc>
      </w:tr>
      <w:tr w14:paraId="11A09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734" w:type="dxa"/>
            <w:vMerge w:val="restart"/>
            <w:tcBorders>
              <w:top w:val="single" w:color="auto" w:sz="4" w:space="0"/>
              <w:left w:val="single" w:color="auto" w:sz="4" w:space="0"/>
              <w:right w:val="single" w:color="auto" w:sz="4" w:space="0"/>
            </w:tcBorders>
            <w:noWrap w:val="0"/>
            <w:vAlign w:val="center"/>
          </w:tcPr>
          <w:p w14:paraId="1705E09A">
            <w:pPr>
              <w:keepNext w:val="0"/>
              <w:keepLines w:val="0"/>
              <w:pageBreakBefore w:val="0"/>
              <w:tabs>
                <w:tab w:val="left" w:pos="1080"/>
              </w:tabs>
              <w:kinsoku/>
              <w:wordWrap/>
              <w:overflowPunct/>
              <w:topLinePunct w:val="0"/>
              <w:autoSpaceDE/>
              <w:autoSpaceDN/>
              <w:bidi w:val="0"/>
              <w:spacing w:line="410" w:lineRule="exact"/>
              <w:jc w:val="center"/>
              <w:textAlignment w:val="auto"/>
              <w:rPr>
                <w:rFonts w:hint="eastAsia"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17" w:type="dxa"/>
            <w:vMerge w:val="restart"/>
            <w:tcBorders>
              <w:top w:val="single" w:color="auto" w:sz="4" w:space="0"/>
              <w:left w:val="single" w:color="auto" w:sz="4" w:space="0"/>
              <w:right w:val="single" w:color="auto" w:sz="4" w:space="0"/>
            </w:tcBorders>
            <w:noWrap w:val="0"/>
            <w:vAlign w:val="center"/>
          </w:tcPr>
          <w:p w14:paraId="3EC06EB9">
            <w:pPr>
              <w:keepNext w:val="0"/>
              <w:keepLines w:val="0"/>
              <w:pageBreakBefore w:val="0"/>
              <w:kinsoku/>
              <w:wordWrap/>
              <w:overflowPunct/>
              <w:topLinePunct w:val="0"/>
              <w:autoSpaceDE/>
              <w:autoSpaceDN/>
              <w:bidi w:val="0"/>
              <w:spacing w:line="410" w:lineRule="exact"/>
              <w:jc w:val="center"/>
              <w:textAlignment w:val="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项目实施方案</w:t>
            </w:r>
          </w:p>
        </w:tc>
        <w:tc>
          <w:tcPr>
            <w:tcW w:w="7215" w:type="dxa"/>
            <w:tcBorders>
              <w:top w:val="single" w:color="auto" w:sz="4" w:space="0"/>
              <w:left w:val="single" w:color="auto" w:sz="4" w:space="0"/>
              <w:bottom w:val="single" w:color="auto" w:sz="4" w:space="0"/>
              <w:right w:val="single" w:color="auto" w:sz="4" w:space="0"/>
            </w:tcBorders>
            <w:noWrap w:val="0"/>
            <w:vAlign w:val="center"/>
          </w:tcPr>
          <w:p w14:paraId="68B71D57">
            <w:pPr>
              <w:keepNext w:val="0"/>
              <w:keepLines w:val="0"/>
              <w:pageBreakBefore w:val="0"/>
              <w:kinsoku/>
              <w:wordWrap/>
              <w:overflowPunct/>
              <w:topLinePunct w:val="0"/>
              <w:autoSpaceDE/>
              <w:autoSpaceDN/>
              <w:bidi w:val="0"/>
              <w:adjustRightInd w:val="0"/>
              <w:spacing w:line="410" w:lineRule="exact"/>
              <w:jc w:val="lef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1.保证按时供货的方案和措施：</w:t>
            </w:r>
            <w:r>
              <w:rPr>
                <w:rFonts w:hint="eastAsia" w:ascii="宋体" w:hAnsi="宋体" w:cs="宋体"/>
                <w:color w:val="000000" w:themeColor="text1"/>
                <w:sz w:val="24"/>
                <w14:textFill>
                  <w14:solidFill>
                    <w14:schemeClr w14:val="tx1"/>
                  </w14:solidFill>
                </w14:textFill>
              </w:rPr>
              <w:t>方案和措施全面、严密的得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分；方案和措施基本全面、严密的得</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分；方案和措施基本合理但不全面的得3分；方案和措施简单、可行性一般的得2分；方案和措施存在缺陷或可行性不高的得1分。</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最高得6分。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ADC7EE8">
            <w:pPr>
              <w:keepNext w:val="0"/>
              <w:keepLines w:val="0"/>
              <w:pageBreakBefore w:val="0"/>
              <w:tabs>
                <w:tab w:val="left" w:pos="1080"/>
              </w:tabs>
              <w:kinsoku/>
              <w:wordWrap/>
              <w:overflowPunct/>
              <w:topLinePunct w:val="0"/>
              <w:autoSpaceDE/>
              <w:autoSpaceDN/>
              <w:bidi w:val="0"/>
              <w:spacing w:line="410" w:lineRule="exact"/>
              <w:jc w:val="center"/>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分</w:t>
            </w:r>
          </w:p>
        </w:tc>
      </w:tr>
      <w:tr w14:paraId="09B86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734" w:type="dxa"/>
            <w:vMerge w:val="continue"/>
            <w:tcBorders>
              <w:left w:val="single" w:color="auto" w:sz="4" w:space="0"/>
              <w:right w:val="single" w:color="auto" w:sz="4" w:space="0"/>
            </w:tcBorders>
            <w:noWrap w:val="0"/>
            <w:vAlign w:val="center"/>
          </w:tcPr>
          <w:p w14:paraId="385D2D3F">
            <w:pPr>
              <w:keepNext w:val="0"/>
              <w:keepLines w:val="0"/>
              <w:pageBreakBefore w:val="0"/>
              <w:kinsoku/>
              <w:wordWrap/>
              <w:overflowPunct/>
              <w:topLinePunct w:val="0"/>
              <w:autoSpaceDE/>
              <w:autoSpaceDN/>
              <w:bidi w:val="0"/>
              <w:spacing w:line="410" w:lineRule="exact"/>
              <w:textAlignment w:val="auto"/>
            </w:pPr>
          </w:p>
        </w:tc>
        <w:tc>
          <w:tcPr>
            <w:tcW w:w="1317" w:type="dxa"/>
            <w:vMerge w:val="continue"/>
            <w:tcBorders>
              <w:left w:val="single" w:color="auto" w:sz="4" w:space="0"/>
              <w:right w:val="single" w:color="auto" w:sz="4" w:space="0"/>
            </w:tcBorders>
            <w:noWrap w:val="0"/>
            <w:vAlign w:val="center"/>
          </w:tcPr>
          <w:p w14:paraId="75C14731">
            <w:pPr>
              <w:keepNext w:val="0"/>
              <w:keepLines w:val="0"/>
              <w:pageBreakBefore w:val="0"/>
              <w:kinsoku/>
              <w:wordWrap/>
              <w:overflowPunct/>
              <w:topLinePunct w:val="0"/>
              <w:autoSpaceDE/>
              <w:autoSpaceDN/>
              <w:bidi w:val="0"/>
              <w:spacing w:line="410" w:lineRule="exact"/>
              <w:textAlignment w:val="auto"/>
            </w:pPr>
          </w:p>
        </w:tc>
        <w:tc>
          <w:tcPr>
            <w:tcW w:w="7215" w:type="dxa"/>
            <w:tcBorders>
              <w:top w:val="single" w:color="auto" w:sz="4" w:space="0"/>
              <w:left w:val="single" w:color="auto" w:sz="4" w:space="0"/>
              <w:bottom w:val="single" w:color="auto" w:sz="4" w:space="0"/>
              <w:right w:val="single" w:color="auto" w:sz="4" w:space="0"/>
            </w:tcBorders>
            <w:noWrap w:val="0"/>
            <w:vAlign w:val="center"/>
          </w:tcPr>
          <w:p w14:paraId="3D08456D">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2.保证货物质量方案和措施：</w:t>
            </w:r>
            <w:r>
              <w:rPr>
                <w:rFonts w:hint="eastAsia" w:ascii="宋体" w:hAnsi="宋体" w:cs="宋体"/>
                <w:color w:val="000000" w:themeColor="text1"/>
                <w:sz w:val="24"/>
                <w14:textFill>
                  <w14:solidFill>
                    <w14:schemeClr w14:val="tx1"/>
                  </w14:solidFill>
                </w14:textFill>
              </w:rPr>
              <w:t>有完善的质量监控措施、方案系统架构科学、合理的得</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分；质量监控措施、方案系统架构较为科学、合理的得</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分；方案基本合理但不全面的得</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分；方案和措施可行性一般的得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分；方案和措施存在缺陷或可行性不高的得1分。</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最高得8分。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9476E9A">
            <w:pPr>
              <w:keepNext w:val="0"/>
              <w:keepLines w:val="0"/>
              <w:pageBreakBefore w:val="0"/>
              <w:kinsoku/>
              <w:wordWrap/>
              <w:overflowPunct/>
              <w:topLinePunct w:val="0"/>
              <w:autoSpaceDE/>
              <w:autoSpaceDN/>
              <w:bidi w:val="0"/>
              <w:spacing w:line="410" w:lineRule="exact"/>
              <w:jc w:val="center"/>
              <w:textAlignment w:val="auto"/>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8</w:t>
            </w:r>
            <w:r>
              <w:rPr>
                <w:rFonts w:hint="eastAsia" w:ascii="宋体" w:hAnsi="宋体" w:cs="宋体"/>
                <w:color w:val="000000" w:themeColor="text1"/>
                <w:kern w:val="0"/>
                <w:sz w:val="24"/>
                <w:szCs w:val="24"/>
                <w14:textFill>
                  <w14:solidFill>
                    <w14:schemeClr w14:val="tx1"/>
                  </w14:solidFill>
                </w14:textFill>
              </w:rPr>
              <w:t>分</w:t>
            </w:r>
          </w:p>
        </w:tc>
      </w:tr>
      <w:tr w14:paraId="22ADA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734" w:type="dxa"/>
            <w:vMerge w:val="continue"/>
            <w:tcBorders>
              <w:left w:val="single" w:color="auto" w:sz="4" w:space="0"/>
              <w:right w:val="single" w:color="auto" w:sz="4" w:space="0"/>
            </w:tcBorders>
            <w:noWrap w:val="0"/>
            <w:vAlign w:val="center"/>
          </w:tcPr>
          <w:p w14:paraId="706560EC">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p>
        </w:tc>
        <w:tc>
          <w:tcPr>
            <w:tcW w:w="1317" w:type="dxa"/>
            <w:vMerge w:val="continue"/>
            <w:tcBorders>
              <w:left w:val="single" w:color="auto" w:sz="4" w:space="0"/>
              <w:right w:val="single" w:color="auto" w:sz="4" w:space="0"/>
            </w:tcBorders>
            <w:noWrap w:val="0"/>
            <w:vAlign w:val="center"/>
          </w:tcPr>
          <w:p w14:paraId="55235DAB">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p>
        </w:tc>
        <w:tc>
          <w:tcPr>
            <w:tcW w:w="7215" w:type="dxa"/>
            <w:tcBorders>
              <w:top w:val="single" w:color="auto" w:sz="4" w:space="0"/>
              <w:left w:val="single" w:color="auto" w:sz="4" w:space="0"/>
              <w:bottom w:val="single" w:color="auto" w:sz="4" w:space="0"/>
              <w:right w:val="single" w:color="auto" w:sz="4" w:space="0"/>
            </w:tcBorders>
            <w:noWrap w:val="0"/>
            <w:vAlign w:val="center"/>
          </w:tcPr>
          <w:p w14:paraId="5D80A552">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3.安装、调试方案：</w:t>
            </w:r>
            <w:r>
              <w:rPr>
                <w:rFonts w:hint="eastAsia" w:ascii="宋体" w:hAnsi="宋体" w:cs="宋体"/>
                <w:color w:val="000000" w:themeColor="text1"/>
                <w:sz w:val="24"/>
                <w14:textFill>
                  <w14:solidFill>
                    <w14:schemeClr w14:val="tx1"/>
                  </w14:solidFill>
                </w14:textFill>
              </w:rPr>
              <w:t>供应商提供的项目安装、调试的方案（安装、调试工作的时间进度及措施等）全面、严密、完整的得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分；方案和措施较为全面的得</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分；方案和措施基本合理但不完善的得3分；方案简单、可行性不强的得1分。</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最高得6分。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B2A4D03">
            <w:pPr>
              <w:keepNext w:val="0"/>
              <w:keepLines w:val="0"/>
              <w:pageBreakBefore w:val="0"/>
              <w:kinsoku/>
              <w:wordWrap/>
              <w:overflowPunct/>
              <w:topLinePunct w:val="0"/>
              <w:autoSpaceDE/>
              <w:autoSpaceDN/>
              <w:bidi w:val="0"/>
              <w:spacing w:line="410" w:lineRule="exact"/>
              <w:jc w:val="center"/>
              <w:textAlignment w:val="auto"/>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6</w:t>
            </w:r>
            <w:r>
              <w:rPr>
                <w:rFonts w:hint="eastAsia" w:ascii="宋体" w:hAnsi="宋体" w:cs="宋体"/>
                <w:b w:val="0"/>
                <w:bCs w:val="0"/>
                <w:color w:val="000000" w:themeColor="text1"/>
                <w:kern w:val="0"/>
                <w:sz w:val="24"/>
                <w:szCs w:val="24"/>
                <w14:textFill>
                  <w14:solidFill>
                    <w14:schemeClr w14:val="tx1"/>
                  </w14:solidFill>
                </w14:textFill>
              </w:rPr>
              <w:t>分</w:t>
            </w:r>
          </w:p>
        </w:tc>
      </w:tr>
      <w:tr w14:paraId="0C97A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734" w:type="dxa"/>
            <w:vMerge w:val="continue"/>
            <w:tcBorders>
              <w:left w:val="single" w:color="auto" w:sz="4" w:space="0"/>
              <w:right w:val="single" w:color="auto" w:sz="4" w:space="0"/>
            </w:tcBorders>
            <w:noWrap w:val="0"/>
            <w:vAlign w:val="center"/>
          </w:tcPr>
          <w:p w14:paraId="1DE90585">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p>
        </w:tc>
        <w:tc>
          <w:tcPr>
            <w:tcW w:w="1317" w:type="dxa"/>
            <w:vMerge w:val="continue"/>
            <w:tcBorders>
              <w:left w:val="single" w:color="auto" w:sz="4" w:space="0"/>
              <w:right w:val="single" w:color="auto" w:sz="4" w:space="0"/>
            </w:tcBorders>
            <w:noWrap w:val="0"/>
            <w:vAlign w:val="center"/>
          </w:tcPr>
          <w:p w14:paraId="369AD053">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p>
        </w:tc>
        <w:tc>
          <w:tcPr>
            <w:tcW w:w="7215" w:type="dxa"/>
            <w:tcBorders>
              <w:top w:val="single" w:color="auto" w:sz="4" w:space="0"/>
              <w:left w:val="single" w:color="auto" w:sz="4" w:space="0"/>
              <w:bottom w:val="single" w:color="auto" w:sz="4" w:space="0"/>
              <w:right w:val="single" w:color="auto" w:sz="4" w:space="0"/>
            </w:tcBorders>
            <w:noWrap w:val="0"/>
            <w:vAlign w:val="center"/>
          </w:tcPr>
          <w:p w14:paraId="5A3E1C3E">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4.供应商提供的验收方案情况：</w:t>
            </w:r>
            <w:r>
              <w:rPr>
                <w:rFonts w:hint="eastAsia" w:ascii="宋体" w:hAnsi="宋体" w:cs="宋体"/>
                <w:color w:val="000000" w:themeColor="text1"/>
                <w:sz w:val="24"/>
                <w14:textFill>
                  <w14:solidFill>
                    <w14:schemeClr w14:val="tx1"/>
                  </w14:solidFill>
                </w14:textFill>
              </w:rPr>
              <w:t>方案描述详尽、针对性强、可行性高的得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分；方案描述全面、合理的</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分；有方案描述、内容不完整的得3分；方案描述不合理、不可行的得1分。</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最高得6分。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11D305C">
            <w:pPr>
              <w:keepNext w:val="0"/>
              <w:keepLines w:val="0"/>
              <w:pageBreakBefore w:val="0"/>
              <w:kinsoku/>
              <w:wordWrap/>
              <w:overflowPunct/>
              <w:topLinePunct w:val="0"/>
              <w:autoSpaceDE/>
              <w:autoSpaceDN/>
              <w:bidi w:val="0"/>
              <w:spacing w:line="410" w:lineRule="exact"/>
              <w:jc w:val="center"/>
              <w:textAlignment w:val="auto"/>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6</w:t>
            </w:r>
            <w:r>
              <w:rPr>
                <w:rFonts w:hint="eastAsia" w:ascii="宋体" w:hAnsi="宋体" w:cs="宋体"/>
                <w:b w:val="0"/>
                <w:bCs w:val="0"/>
                <w:color w:val="000000" w:themeColor="text1"/>
                <w:kern w:val="0"/>
                <w:sz w:val="24"/>
                <w:szCs w:val="24"/>
                <w14:textFill>
                  <w14:solidFill>
                    <w14:schemeClr w14:val="tx1"/>
                  </w14:solidFill>
                </w14:textFill>
              </w:rPr>
              <w:t>分</w:t>
            </w:r>
          </w:p>
        </w:tc>
      </w:tr>
      <w:tr w14:paraId="204A1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734" w:type="dxa"/>
            <w:vMerge w:val="continue"/>
            <w:tcBorders>
              <w:left w:val="single" w:color="auto" w:sz="4" w:space="0"/>
              <w:right w:val="single" w:color="auto" w:sz="4" w:space="0"/>
            </w:tcBorders>
            <w:noWrap w:val="0"/>
            <w:vAlign w:val="center"/>
          </w:tcPr>
          <w:p w14:paraId="71390518">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p>
        </w:tc>
        <w:tc>
          <w:tcPr>
            <w:tcW w:w="1317" w:type="dxa"/>
            <w:vMerge w:val="continue"/>
            <w:tcBorders>
              <w:left w:val="single" w:color="auto" w:sz="4" w:space="0"/>
              <w:right w:val="single" w:color="auto" w:sz="4" w:space="0"/>
            </w:tcBorders>
            <w:noWrap w:val="0"/>
            <w:vAlign w:val="center"/>
          </w:tcPr>
          <w:p w14:paraId="4FDB104D">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p>
        </w:tc>
        <w:tc>
          <w:tcPr>
            <w:tcW w:w="7215" w:type="dxa"/>
            <w:tcBorders>
              <w:top w:val="single" w:color="auto" w:sz="4" w:space="0"/>
              <w:left w:val="single" w:color="auto" w:sz="4" w:space="0"/>
              <w:bottom w:val="single" w:color="auto" w:sz="4" w:space="0"/>
              <w:right w:val="single" w:color="auto" w:sz="4" w:space="0"/>
            </w:tcBorders>
            <w:noWrap w:val="0"/>
            <w:vAlign w:val="center"/>
          </w:tcPr>
          <w:p w14:paraId="3B07BD80">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5、重难点分析及建议：</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安全管理、文明施工、检测、运行使用方面措施等)，并根据重难点提供相应解决对策：分析及建议全面科学，对项目有推进作用的得6分；分析及建议全面，能符合项目要求的得5分；分析及建议相对简单，基本符合项目要求的得3分；分析及建议有偏差或不完整的得1分；分析及建议与项目无关或未提供的得0分；最高得6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A5ED3CB">
            <w:pPr>
              <w:keepNext w:val="0"/>
              <w:keepLines w:val="0"/>
              <w:pageBreakBefore w:val="0"/>
              <w:kinsoku/>
              <w:wordWrap/>
              <w:overflowPunct/>
              <w:topLinePunct w:val="0"/>
              <w:autoSpaceDE/>
              <w:autoSpaceDN/>
              <w:bidi w:val="0"/>
              <w:spacing w:line="410" w:lineRule="exact"/>
              <w:jc w:val="center"/>
              <w:textAlignment w:val="auto"/>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6</w:t>
            </w:r>
            <w:r>
              <w:rPr>
                <w:rFonts w:hint="eastAsia" w:ascii="宋体" w:hAnsi="宋体" w:cs="宋体"/>
                <w:b w:val="0"/>
                <w:bCs w:val="0"/>
                <w:color w:val="000000" w:themeColor="text1"/>
                <w:kern w:val="0"/>
                <w:sz w:val="24"/>
                <w:szCs w:val="24"/>
                <w14:textFill>
                  <w14:solidFill>
                    <w14:schemeClr w14:val="tx1"/>
                  </w14:solidFill>
                </w14:textFill>
              </w:rPr>
              <w:t>分</w:t>
            </w:r>
          </w:p>
        </w:tc>
      </w:tr>
      <w:tr w14:paraId="50F96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734" w:type="dxa"/>
            <w:vMerge w:val="continue"/>
            <w:tcBorders>
              <w:left w:val="single" w:color="auto" w:sz="4" w:space="0"/>
              <w:right w:val="single" w:color="auto" w:sz="4" w:space="0"/>
            </w:tcBorders>
            <w:noWrap w:val="0"/>
            <w:vAlign w:val="center"/>
          </w:tcPr>
          <w:p w14:paraId="68AEAD35">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p>
        </w:tc>
        <w:tc>
          <w:tcPr>
            <w:tcW w:w="1317" w:type="dxa"/>
            <w:vMerge w:val="continue"/>
            <w:tcBorders>
              <w:left w:val="single" w:color="auto" w:sz="4" w:space="0"/>
              <w:right w:val="single" w:color="auto" w:sz="4" w:space="0"/>
            </w:tcBorders>
            <w:noWrap w:val="0"/>
            <w:vAlign w:val="center"/>
          </w:tcPr>
          <w:p w14:paraId="530658F7">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p>
        </w:tc>
        <w:tc>
          <w:tcPr>
            <w:tcW w:w="7215" w:type="dxa"/>
            <w:tcBorders>
              <w:top w:val="single" w:color="auto" w:sz="4" w:space="0"/>
              <w:left w:val="single" w:color="auto" w:sz="4" w:space="0"/>
              <w:bottom w:val="single" w:color="auto" w:sz="4" w:space="0"/>
              <w:right w:val="single" w:color="auto" w:sz="4" w:space="0"/>
            </w:tcBorders>
            <w:noWrap w:val="0"/>
            <w:vAlign w:val="center"/>
          </w:tcPr>
          <w:p w14:paraId="56B5EE4D">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6、安全文明保障措施：</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根据安全文明保障措施是否符合采购人及本项目要求，并根据提供的人员安全、车辆运输、项目实施过程的中各项安全文明保障措施等进行综合评审：措施完整全面，对项目有推进作用的得6分；措施完整，能符合项目要求的得5分；措施相对简单，基本符合项目要求的得3分；措施有偏差或不完整的得1分；措施与项目无关或未提供此项内容的得0分；最高得6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B3D16B1">
            <w:pPr>
              <w:keepNext w:val="0"/>
              <w:keepLines w:val="0"/>
              <w:pageBreakBefore w:val="0"/>
              <w:kinsoku/>
              <w:wordWrap/>
              <w:overflowPunct/>
              <w:topLinePunct w:val="0"/>
              <w:autoSpaceDE/>
              <w:autoSpaceDN/>
              <w:bidi w:val="0"/>
              <w:spacing w:line="410" w:lineRule="exact"/>
              <w:jc w:val="center"/>
              <w:textAlignment w:val="auto"/>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6</w:t>
            </w:r>
            <w:r>
              <w:rPr>
                <w:rFonts w:hint="eastAsia" w:ascii="宋体" w:hAnsi="宋体" w:cs="宋体"/>
                <w:b w:val="0"/>
                <w:bCs w:val="0"/>
                <w:color w:val="000000" w:themeColor="text1"/>
                <w:kern w:val="0"/>
                <w:sz w:val="24"/>
                <w:szCs w:val="24"/>
                <w14:textFill>
                  <w14:solidFill>
                    <w14:schemeClr w14:val="tx1"/>
                  </w14:solidFill>
                </w14:textFill>
              </w:rPr>
              <w:t>分</w:t>
            </w:r>
          </w:p>
        </w:tc>
      </w:tr>
      <w:tr w14:paraId="6942C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734" w:type="dxa"/>
            <w:vMerge w:val="continue"/>
            <w:tcBorders>
              <w:left w:val="single" w:color="auto" w:sz="4" w:space="0"/>
              <w:right w:val="single" w:color="auto" w:sz="4" w:space="0"/>
            </w:tcBorders>
            <w:noWrap w:val="0"/>
            <w:vAlign w:val="center"/>
          </w:tcPr>
          <w:p w14:paraId="24EE55E0">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p>
        </w:tc>
        <w:tc>
          <w:tcPr>
            <w:tcW w:w="1317" w:type="dxa"/>
            <w:vMerge w:val="continue"/>
            <w:tcBorders>
              <w:left w:val="single" w:color="auto" w:sz="4" w:space="0"/>
              <w:right w:val="single" w:color="auto" w:sz="4" w:space="0"/>
            </w:tcBorders>
            <w:noWrap w:val="0"/>
            <w:vAlign w:val="center"/>
          </w:tcPr>
          <w:p w14:paraId="4E7965F4">
            <w:pPr>
              <w:keepNext w:val="0"/>
              <w:keepLines w:val="0"/>
              <w:pageBreakBefore w:val="0"/>
              <w:kinsoku/>
              <w:wordWrap/>
              <w:overflowPunct/>
              <w:topLinePunct w:val="0"/>
              <w:autoSpaceDE/>
              <w:autoSpaceDN/>
              <w:bidi w:val="0"/>
              <w:spacing w:line="410" w:lineRule="exact"/>
              <w:textAlignment w:val="auto"/>
              <w:rPr>
                <w:rFonts w:hint="eastAsia" w:ascii="宋体" w:hAnsi="宋体" w:cs="宋体"/>
                <w:b/>
                <w:bCs/>
                <w:color w:val="000000" w:themeColor="text1"/>
                <w:sz w:val="24"/>
                <w14:textFill>
                  <w14:solidFill>
                    <w14:schemeClr w14:val="tx1"/>
                  </w14:solidFill>
                </w14:textFill>
              </w:rPr>
            </w:pPr>
          </w:p>
        </w:tc>
        <w:tc>
          <w:tcPr>
            <w:tcW w:w="7215" w:type="dxa"/>
            <w:tcBorders>
              <w:top w:val="single" w:color="auto" w:sz="4" w:space="0"/>
              <w:left w:val="single" w:color="auto" w:sz="4" w:space="0"/>
              <w:bottom w:val="single" w:color="auto" w:sz="4" w:space="0"/>
              <w:right w:val="single" w:color="auto" w:sz="4" w:space="0"/>
            </w:tcBorders>
            <w:noWrap w:val="0"/>
            <w:vAlign w:val="center"/>
          </w:tcPr>
          <w:p w14:paraId="29E0C4A8">
            <w:pPr>
              <w:keepNext w:val="0"/>
              <w:keepLines w:val="0"/>
              <w:pageBreakBefore w:val="0"/>
              <w:kinsoku/>
              <w:wordWrap/>
              <w:overflowPunct/>
              <w:topLinePunct w:val="0"/>
              <w:autoSpaceDE/>
              <w:autoSpaceDN/>
              <w:bidi w:val="0"/>
              <w:spacing w:line="410" w:lineRule="exact"/>
              <w:textAlignment w:val="auto"/>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根据拟投入本项目人员的人力资源安排、职责岗位分工进行评审</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安排合理、职责分工明确且对本项目有推进作用的得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分；安排合理，职责分工明确的得</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分；安排有欠缺，职责不明确的得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分；安排不合理的得1分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以上方案内容未提供的不得分。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762E2B5">
            <w:pPr>
              <w:keepNext w:val="0"/>
              <w:keepLines w:val="0"/>
              <w:pageBreakBefore w:val="0"/>
              <w:kinsoku/>
              <w:wordWrap/>
              <w:overflowPunct/>
              <w:topLinePunct w:val="0"/>
              <w:autoSpaceDE/>
              <w:autoSpaceDN/>
              <w:bidi w:val="0"/>
              <w:spacing w:line="410" w:lineRule="exact"/>
              <w:jc w:val="center"/>
              <w:textAlignment w:val="auto"/>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6</w:t>
            </w:r>
            <w:r>
              <w:rPr>
                <w:rFonts w:hint="eastAsia" w:ascii="宋体" w:hAnsi="宋体" w:cs="宋体"/>
                <w:b w:val="0"/>
                <w:bCs w:val="0"/>
                <w:color w:val="000000" w:themeColor="text1"/>
                <w:kern w:val="0"/>
                <w:sz w:val="24"/>
                <w:szCs w:val="24"/>
                <w14:textFill>
                  <w14:solidFill>
                    <w14:schemeClr w14:val="tx1"/>
                  </w14:solidFill>
                </w14:textFill>
              </w:rPr>
              <w:t>分</w:t>
            </w:r>
          </w:p>
        </w:tc>
      </w:tr>
      <w:tr w14:paraId="60D00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9997" w:type="dxa"/>
            <w:gridSpan w:val="4"/>
            <w:tcBorders>
              <w:top w:val="single" w:color="auto" w:sz="4" w:space="0"/>
              <w:left w:val="single" w:color="auto" w:sz="4" w:space="0"/>
              <w:bottom w:val="single" w:color="auto" w:sz="4" w:space="0"/>
              <w:right w:val="single" w:color="auto" w:sz="4" w:space="0"/>
            </w:tcBorders>
            <w:noWrap w:val="0"/>
            <w:vAlign w:val="center"/>
          </w:tcPr>
          <w:p w14:paraId="336E2105">
            <w:pPr>
              <w:pStyle w:val="36"/>
              <w:keepNext w:val="0"/>
              <w:keepLines w:val="0"/>
              <w:pageBreakBefore w:val="0"/>
              <w:kinsoku/>
              <w:wordWrap/>
              <w:overflowPunct/>
              <w:topLinePunct w:val="0"/>
              <w:autoSpaceDE/>
              <w:autoSpaceDN/>
              <w:bidi w:val="0"/>
              <w:snapToGrid w:val="0"/>
              <w:spacing w:after="0" w:line="410" w:lineRule="exact"/>
              <w:ind w:left="560"/>
              <w:jc w:val="center"/>
              <w:textAlignment w:val="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商务、资信及其他分（</w:t>
            </w:r>
            <w:r>
              <w:rPr>
                <w:rFonts w:hint="eastAsia" w:ascii="宋体" w:hAnsi="宋体" w:cs="宋体"/>
                <w:b/>
                <w:bCs/>
                <w:color w:val="000000" w:themeColor="text1"/>
                <w:sz w:val="24"/>
                <w:szCs w:val="24"/>
                <w:lang w:val="en-US" w:eastAsia="zh-CN"/>
                <w14:textFill>
                  <w14:solidFill>
                    <w14:schemeClr w14:val="tx1"/>
                  </w14:solidFill>
                </w14:textFill>
              </w:rPr>
              <w:t>16</w:t>
            </w:r>
            <w:r>
              <w:rPr>
                <w:rFonts w:hint="eastAsia" w:ascii="宋体" w:hAnsi="宋体" w:cs="宋体"/>
                <w:b/>
                <w:bCs/>
                <w:color w:val="000000" w:themeColor="text1"/>
                <w:sz w:val="24"/>
                <w:szCs w:val="24"/>
                <w14:textFill>
                  <w14:solidFill>
                    <w14:schemeClr w14:val="tx1"/>
                  </w14:solidFill>
                </w14:textFill>
              </w:rPr>
              <w:t>分）</w:t>
            </w:r>
          </w:p>
        </w:tc>
      </w:tr>
      <w:tr w14:paraId="191FB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34" w:type="dxa"/>
            <w:vMerge w:val="restart"/>
            <w:tcBorders>
              <w:top w:val="single" w:color="auto" w:sz="4" w:space="0"/>
              <w:left w:val="single" w:color="auto" w:sz="4" w:space="0"/>
              <w:right w:val="single" w:color="auto" w:sz="4" w:space="0"/>
            </w:tcBorders>
            <w:noWrap w:val="0"/>
            <w:vAlign w:val="center"/>
          </w:tcPr>
          <w:p w14:paraId="38B8E740">
            <w:pPr>
              <w:pStyle w:val="19"/>
              <w:keepNext w:val="0"/>
              <w:keepLines w:val="0"/>
              <w:pageBreakBefore w:val="0"/>
              <w:kinsoku/>
              <w:wordWrap/>
              <w:overflowPunct/>
              <w:topLinePunct w:val="0"/>
              <w:autoSpaceDE/>
              <w:autoSpaceDN/>
              <w:bidi w:val="0"/>
              <w:spacing w:after="0" w:line="410" w:lineRule="exact"/>
              <w:jc w:val="center"/>
              <w:textAlignment w:val="auto"/>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3</w:t>
            </w:r>
          </w:p>
        </w:tc>
        <w:tc>
          <w:tcPr>
            <w:tcW w:w="1317" w:type="dxa"/>
            <w:vMerge w:val="restart"/>
            <w:tcBorders>
              <w:top w:val="single" w:color="auto" w:sz="4" w:space="0"/>
              <w:left w:val="single" w:color="auto" w:sz="4" w:space="0"/>
              <w:right w:val="single" w:color="auto" w:sz="4" w:space="0"/>
            </w:tcBorders>
            <w:noWrap w:val="0"/>
            <w:vAlign w:val="center"/>
          </w:tcPr>
          <w:p w14:paraId="27F5E5E2">
            <w:pPr>
              <w:pStyle w:val="25"/>
              <w:keepNext w:val="0"/>
              <w:keepLines w:val="0"/>
              <w:pageBreakBefore w:val="0"/>
              <w:kinsoku/>
              <w:wordWrap/>
              <w:overflowPunct/>
              <w:topLinePunct w:val="0"/>
              <w:autoSpaceDE/>
              <w:autoSpaceDN/>
              <w:bidi w:val="0"/>
              <w:spacing w:line="410" w:lineRule="exact"/>
              <w:jc w:val="center"/>
              <w:textAlignment w:val="auto"/>
              <w:rPr>
                <w:rFonts w:hint="eastAsia" w:hAnsi="宋体" w:cs="宋体"/>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服务承诺</w:t>
            </w:r>
          </w:p>
        </w:tc>
        <w:tc>
          <w:tcPr>
            <w:tcW w:w="7215" w:type="dxa"/>
            <w:tcBorders>
              <w:top w:val="single" w:color="auto" w:sz="4" w:space="0"/>
              <w:left w:val="single" w:color="auto" w:sz="4" w:space="0"/>
              <w:bottom w:val="single" w:color="auto" w:sz="4" w:space="0"/>
              <w:right w:val="single" w:color="auto" w:sz="4" w:space="0"/>
            </w:tcBorders>
            <w:noWrap w:val="0"/>
            <w:vAlign w:val="center"/>
          </w:tcPr>
          <w:p w14:paraId="79E8908F">
            <w:pPr>
              <w:keepNext w:val="0"/>
              <w:keepLines w:val="0"/>
              <w:pageBreakBefore w:val="0"/>
              <w:kinsoku/>
              <w:wordWrap/>
              <w:overflowPunct/>
              <w:topLinePunct w:val="0"/>
              <w:autoSpaceDE/>
              <w:autoSpaceDN/>
              <w:bidi w:val="0"/>
              <w:spacing w:line="410" w:lineRule="exact"/>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1.项目实施过程中及项目完成后，售后服务方案全面周到，保障力强的得</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分；售后服务方案内容作用不明显得</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分；售后服务方案内容一般的得1分；售后</w:t>
            </w:r>
            <w:r>
              <w:rPr>
                <w:rFonts w:hint="eastAsia" w:ascii="宋体" w:hAnsi="宋体" w:cs="宋体"/>
                <w:b w:val="0"/>
                <w:bCs/>
                <w:color w:val="000000" w:themeColor="text1"/>
                <w:sz w:val="24"/>
                <w14:textFill>
                  <w14:solidFill>
                    <w14:schemeClr w14:val="tx1"/>
                  </w14:solidFill>
                </w14:textFill>
              </w:rPr>
              <w:t>服务方案没有作用或未提供不得分。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93B33C9">
            <w:pPr>
              <w:pStyle w:val="25"/>
              <w:keepNext w:val="0"/>
              <w:keepLines w:val="0"/>
              <w:pageBreakBefore w:val="0"/>
              <w:kinsoku/>
              <w:wordWrap/>
              <w:overflowPunct/>
              <w:topLinePunct w:val="0"/>
              <w:autoSpaceDE/>
              <w:autoSpaceDN/>
              <w:bidi w:val="0"/>
              <w:spacing w:line="410" w:lineRule="exact"/>
              <w:jc w:val="center"/>
              <w:textAlignment w:val="auto"/>
              <w:rPr>
                <w:rFonts w:hint="eastAsia"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5分</w:t>
            </w:r>
          </w:p>
        </w:tc>
      </w:tr>
      <w:tr w14:paraId="49B89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34" w:type="dxa"/>
            <w:vMerge w:val="continue"/>
            <w:tcBorders>
              <w:left w:val="single" w:color="auto" w:sz="4" w:space="0"/>
              <w:bottom w:val="single" w:color="auto" w:sz="4" w:space="0"/>
              <w:right w:val="single" w:color="auto" w:sz="4" w:space="0"/>
            </w:tcBorders>
            <w:noWrap w:val="0"/>
            <w:vAlign w:val="center"/>
          </w:tcPr>
          <w:p w14:paraId="7F96089C">
            <w:pPr>
              <w:keepNext w:val="0"/>
              <w:keepLines w:val="0"/>
              <w:pageBreakBefore w:val="0"/>
              <w:kinsoku/>
              <w:wordWrap/>
              <w:overflowPunct/>
              <w:topLinePunct w:val="0"/>
              <w:autoSpaceDE/>
              <w:autoSpaceDN/>
              <w:bidi w:val="0"/>
              <w:spacing w:line="410" w:lineRule="exact"/>
              <w:textAlignment w:val="auto"/>
            </w:pPr>
          </w:p>
        </w:tc>
        <w:tc>
          <w:tcPr>
            <w:tcW w:w="1317" w:type="dxa"/>
            <w:vMerge w:val="continue"/>
            <w:tcBorders>
              <w:left w:val="single" w:color="auto" w:sz="4" w:space="0"/>
              <w:bottom w:val="single" w:color="auto" w:sz="4" w:space="0"/>
              <w:right w:val="single" w:color="auto" w:sz="4" w:space="0"/>
            </w:tcBorders>
            <w:noWrap w:val="0"/>
            <w:vAlign w:val="center"/>
          </w:tcPr>
          <w:p w14:paraId="7C741921">
            <w:pPr>
              <w:keepNext w:val="0"/>
              <w:keepLines w:val="0"/>
              <w:pageBreakBefore w:val="0"/>
              <w:kinsoku/>
              <w:wordWrap/>
              <w:overflowPunct/>
              <w:topLinePunct w:val="0"/>
              <w:autoSpaceDE/>
              <w:autoSpaceDN/>
              <w:bidi w:val="0"/>
              <w:spacing w:line="410" w:lineRule="exact"/>
              <w:textAlignment w:val="auto"/>
            </w:pPr>
          </w:p>
        </w:tc>
        <w:tc>
          <w:tcPr>
            <w:tcW w:w="7215" w:type="dxa"/>
            <w:tcBorders>
              <w:top w:val="single" w:color="auto" w:sz="4" w:space="0"/>
              <w:left w:val="single" w:color="auto" w:sz="4" w:space="0"/>
              <w:bottom w:val="single" w:color="auto" w:sz="4" w:space="0"/>
              <w:right w:val="single" w:color="auto" w:sz="4" w:space="0"/>
            </w:tcBorders>
            <w:noWrap w:val="0"/>
            <w:vAlign w:val="center"/>
          </w:tcPr>
          <w:p w14:paraId="750E3621">
            <w:pPr>
              <w:keepNext w:val="0"/>
              <w:keepLines w:val="0"/>
              <w:pageBreakBefore w:val="0"/>
              <w:kinsoku/>
              <w:wordWrap/>
              <w:overflowPunct/>
              <w:topLinePunct w:val="0"/>
              <w:autoSpaceDE/>
              <w:autoSpaceDN/>
              <w:bidi w:val="0"/>
              <w:spacing w:line="410" w:lineRule="exact"/>
              <w:textAlignment w:val="auto"/>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2.在满足招标文件</w:t>
            </w:r>
            <w:r>
              <w:rPr>
                <w:rFonts w:hint="eastAsia" w:ascii="宋体" w:hAnsi="宋体" w:cs="宋体"/>
                <w:b w:val="0"/>
                <w:bCs/>
                <w:color w:val="000000" w:themeColor="text1"/>
                <w:sz w:val="24"/>
                <w:lang w:val="en-US" w:eastAsia="zh-CN"/>
                <w14:textFill>
                  <w14:solidFill>
                    <w14:schemeClr w14:val="tx1"/>
                  </w14:solidFill>
                </w14:textFill>
              </w:rPr>
              <w:t>2年</w:t>
            </w:r>
            <w:r>
              <w:rPr>
                <w:rFonts w:hint="eastAsia" w:ascii="宋体" w:hAnsi="宋体" w:cs="宋体"/>
                <w:b w:val="0"/>
                <w:bCs/>
                <w:color w:val="000000" w:themeColor="text1"/>
                <w:sz w:val="24"/>
                <w14:textFill>
                  <w14:solidFill>
                    <w14:schemeClr w14:val="tx1"/>
                  </w14:solidFill>
                </w14:textFill>
              </w:rPr>
              <w:t>质保期的基础上，每增加1年得1分，最高得2分。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CF7AF99">
            <w:pPr>
              <w:keepNext w:val="0"/>
              <w:keepLines w:val="0"/>
              <w:pageBreakBefore w:val="0"/>
              <w:kinsoku/>
              <w:wordWrap/>
              <w:overflowPunct/>
              <w:topLinePunct w:val="0"/>
              <w:autoSpaceDE/>
              <w:autoSpaceDN/>
              <w:bidi w:val="0"/>
              <w:spacing w:line="410" w:lineRule="exact"/>
              <w:jc w:val="center"/>
              <w:textAlignment w:val="auto"/>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2分</w:t>
            </w:r>
          </w:p>
        </w:tc>
      </w:tr>
      <w:tr w14:paraId="25135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734" w:type="dxa"/>
            <w:tcBorders>
              <w:left w:val="single" w:color="auto" w:sz="4" w:space="0"/>
              <w:bottom w:val="single" w:color="auto" w:sz="4" w:space="0"/>
              <w:right w:val="single" w:color="auto" w:sz="4" w:space="0"/>
            </w:tcBorders>
            <w:noWrap w:val="0"/>
            <w:vAlign w:val="center"/>
          </w:tcPr>
          <w:p w14:paraId="5E4FC7FB">
            <w:pPr>
              <w:pStyle w:val="19"/>
              <w:keepNext w:val="0"/>
              <w:keepLines w:val="0"/>
              <w:pageBreakBefore w:val="0"/>
              <w:kinsoku/>
              <w:wordWrap/>
              <w:overflowPunct/>
              <w:topLinePunct w:val="0"/>
              <w:autoSpaceDE/>
              <w:autoSpaceDN/>
              <w:bidi w:val="0"/>
              <w:spacing w:after="0" w:line="410" w:lineRule="exact"/>
              <w:jc w:val="center"/>
              <w:textAlignment w:val="auto"/>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4</w:t>
            </w:r>
          </w:p>
        </w:tc>
        <w:tc>
          <w:tcPr>
            <w:tcW w:w="1317" w:type="dxa"/>
            <w:tcBorders>
              <w:left w:val="single" w:color="auto" w:sz="4" w:space="0"/>
              <w:bottom w:val="single" w:color="auto" w:sz="4" w:space="0"/>
              <w:right w:val="single" w:color="auto" w:sz="4" w:space="0"/>
            </w:tcBorders>
            <w:noWrap w:val="0"/>
            <w:vAlign w:val="center"/>
          </w:tcPr>
          <w:p w14:paraId="6494BDF1">
            <w:pPr>
              <w:pStyle w:val="19"/>
              <w:keepNext w:val="0"/>
              <w:keepLines w:val="0"/>
              <w:pageBreakBefore w:val="0"/>
              <w:kinsoku/>
              <w:wordWrap/>
              <w:overflowPunct/>
              <w:topLinePunct w:val="0"/>
              <w:autoSpaceDE/>
              <w:autoSpaceDN/>
              <w:bidi w:val="0"/>
              <w:spacing w:after="0" w:line="410" w:lineRule="exact"/>
              <w:jc w:val="center"/>
              <w:textAlignment w:val="auto"/>
              <w:rPr>
                <w:rFonts w:hint="eastAsia"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企业业绩</w:t>
            </w:r>
          </w:p>
        </w:tc>
        <w:tc>
          <w:tcPr>
            <w:tcW w:w="7215" w:type="dxa"/>
            <w:tcBorders>
              <w:top w:val="single" w:color="auto" w:sz="4" w:space="0"/>
              <w:left w:val="single" w:color="auto" w:sz="4" w:space="0"/>
              <w:bottom w:val="single" w:color="auto" w:sz="4" w:space="0"/>
              <w:right w:val="single" w:color="auto" w:sz="4" w:space="0"/>
            </w:tcBorders>
            <w:noWrap w:val="0"/>
            <w:vAlign w:val="center"/>
          </w:tcPr>
          <w:p w14:paraId="5A3837BA">
            <w:pPr>
              <w:keepNext w:val="0"/>
              <w:keepLines w:val="0"/>
              <w:pageBreakBefore w:val="0"/>
              <w:kinsoku/>
              <w:wordWrap/>
              <w:overflowPunct/>
              <w:topLinePunct w:val="0"/>
              <w:autoSpaceDE/>
              <w:autoSpaceDN/>
              <w:bidi w:val="0"/>
              <w:spacing w:line="410" w:lineRule="exact"/>
              <w:textAlignment w:val="auto"/>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根据供应商提供的</w:t>
            </w: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年1月1日</w:t>
            </w:r>
            <w:r>
              <w:rPr>
                <w:rFonts w:hint="eastAsia"/>
                <w:color w:val="000000" w:themeColor="text1"/>
                <w:sz w:val="24"/>
                <w14:textFill>
                  <w14:solidFill>
                    <w14:schemeClr w14:val="tx1"/>
                  </w14:solidFill>
                </w14:textFill>
              </w:rPr>
              <w:t>至今的同类成功实施项目业绩数量进行评定</w:t>
            </w:r>
            <w:r>
              <w:rPr>
                <w:rFonts w:hint="eastAsia"/>
                <w:color w:val="000000" w:themeColor="text1"/>
                <w:sz w:val="24"/>
                <w:lang w:eastAsia="zh-CN"/>
                <w14:textFill>
                  <w14:solidFill>
                    <w14:schemeClr w14:val="tx1"/>
                  </w14:solidFill>
                </w14:textFill>
              </w:rPr>
              <w:t>：</w:t>
            </w:r>
          </w:p>
          <w:p w14:paraId="19E0ACC5">
            <w:pPr>
              <w:keepNext w:val="0"/>
              <w:keepLines w:val="0"/>
              <w:pageBreakBefore w:val="0"/>
              <w:kinsoku/>
              <w:wordWrap/>
              <w:overflowPunct/>
              <w:topLinePunct w:val="0"/>
              <w:autoSpaceDE/>
              <w:autoSpaceDN/>
              <w:bidi w:val="0"/>
              <w:spacing w:line="410" w:lineRule="exact"/>
              <w:textAlignment w:val="auto"/>
              <w:rPr>
                <w:rFonts w:hint="eastAsia"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每提供一个有效的</w:t>
            </w:r>
            <w:r>
              <w:rPr>
                <w:rFonts w:hint="eastAsia" w:ascii="宋体" w:hAnsi="宋体" w:cs="宋体"/>
                <w:color w:val="000000" w:themeColor="text1"/>
                <w:sz w:val="24"/>
                <w14:textFill>
                  <w14:solidFill>
                    <w14:schemeClr w14:val="tx1"/>
                  </w14:solidFill>
                </w14:textFill>
              </w:rPr>
              <w:t>业绩得1分，最高得3分。</w:t>
            </w:r>
          </w:p>
          <w:p w14:paraId="24D9D719">
            <w:pPr>
              <w:pStyle w:val="19"/>
              <w:keepNext w:val="0"/>
              <w:keepLines w:val="0"/>
              <w:pageBreakBefore w:val="0"/>
              <w:kinsoku/>
              <w:wordWrap/>
              <w:overflowPunct/>
              <w:topLinePunct w:val="0"/>
              <w:autoSpaceDE/>
              <w:autoSpaceDN/>
              <w:bidi w:val="0"/>
              <w:spacing w:line="410" w:lineRule="exact"/>
              <w:textAlignment w:val="auto"/>
              <w:rPr>
                <w:rFonts w:hint="eastAsia"/>
                <w:color w:val="000000" w:themeColor="text1"/>
                <w:sz w:val="24"/>
                <w14:textFill>
                  <w14:solidFill>
                    <w14:schemeClr w14:val="tx1"/>
                  </w14:solidFill>
                </w14:textFill>
              </w:rPr>
            </w:pPr>
            <w:r>
              <w:rPr>
                <w:rFonts w:hint="eastAsia" w:ascii="Times New Roman" w:hAnsi="Times New Roman"/>
                <w:b/>
                <w:bCs/>
                <w:color w:val="000000" w:themeColor="text1"/>
                <w:sz w:val="24"/>
                <w:u w:val="single"/>
                <w14:textFill>
                  <w14:solidFill>
                    <w14:schemeClr w14:val="tx1"/>
                  </w14:solidFill>
                </w14:textFill>
              </w:rPr>
              <w:t>提供合同扫描件及验收报告（或验收相关证明材料）加盖供应商公章，未提供不得分。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61EB1B4">
            <w:pPr>
              <w:pStyle w:val="36"/>
              <w:keepNext w:val="0"/>
              <w:keepLines w:val="0"/>
              <w:pageBreakBefore w:val="0"/>
              <w:kinsoku/>
              <w:wordWrap/>
              <w:overflowPunct/>
              <w:topLinePunct w:val="0"/>
              <w:autoSpaceDE/>
              <w:autoSpaceDN/>
              <w:bidi w:val="0"/>
              <w:spacing w:after="0" w:line="410" w:lineRule="exact"/>
              <w:ind w:left="0" w:leftChars="0"/>
              <w:jc w:val="center"/>
              <w:textAlignment w:val="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3分</w:t>
            </w:r>
          </w:p>
        </w:tc>
      </w:tr>
      <w:tr w14:paraId="0A682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0357248">
            <w:pPr>
              <w:pStyle w:val="19"/>
              <w:keepNext w:val="0"/>
              <w:keepLines w:val="0"/>
              <w:pageBreakBefore w:val="0"/>
              <w:kinsoku/>
              <w:wordWrap/>
              <w:overflowPunct/>
              <w:topLinePunct w:val="0"/>
              <w:autoSpaceDE/>
              <w:autoSpaceDN/>
              <w:bidi w:val="0"/>
              <w:spacing w:after="0" w:line="410" w:lineRule="exact"/>
              <w:jc w:val="center"/>
              <w:textAlignment w:val="auto"/>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5</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6153EAB">
            <w:pPr>
              <w:keepNext w:val="0"/>
              <w:keepLines w:val="0"/>
              <w:pageBreakBefore w:val="0"/>
              <w:widowControl/>
              <w:kinsoku/>
              <w:wordWrap/>
              <w:overflowPunct/>
              <w:topLinePunct w:val="0"/>
              <w:autoSpaceDE/>
              <w:autoSpaceDN/>
              <w:bidi w:val="0"/>
              <w:spacing w:line="410" w:lineRule="exact"/>
              <w:jc w:val="center"/>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企业认证</w:t>
            </w:r>
          </w:p>
        </w:tc>
        <w:tc>
          <w:tcPr>
            <w:tcW w:w="7215" w:type="dxa"/>
            <w:tcBorders>
              <w:top w:val="single" w:color="auto" w:sz="4" w:space="0"/>
              <w:left w:val="single" w:color="auto" w:sz="4" w:space="0"/>
              <w:bottom w:val="single" w:color="auto" w:sz="4" w:space="0"/>
              <w:right w:val="single" w:color="auto" w:sz="4" w:space="0"/>
            </w:tcBorders>
            <w:noWrap w:val="0"/>
            <w:vAlign w:val="center"/>
          </w:tcPr>
          <w:p w14:paraId="50E1ECFB">
            <w:pPr>
              <w:keepNext w:val="0"/>
              <w:keepLines w:val="0"/>
              <w:pageBreakBefore w:val="0"/>
              <w:widowControl/>
              <w:kinsoku/>
              <w:wordWrap/>
              <w:overflowPunct/>
              <w:topLinePunct w:val="0"/>
              <w:autoSpaceDE/>
              <w:autoSpaceDN/>
              <w:bidi w:val="0"/>
              <w:spacing w:line="410" w:lineRule="exact"/>
              <w:ind w:firstLine="240" w:firstLineChars="100"/>
              <w:jc w:val="left"/>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w:t>
            </w:r>
            <w:r>
              <w:rPr>
                <w:rFonts w:hint="eastAsia" w:ascii="Times New Roman" w:hAnsi="Times New Roman" w:eastAsia="宋体" w:cs="宋体"/>
                <w:color w:val="000000" w:themeColor="text1"/>
                <w:sz w:val="24"/>
                <w14:textFill>
                  <w14:solidFill>
                    <w14:schemeClr w14:val="tx1"/>
                  </w14:solidFill>
                </w14:textFill>
              </w:rPr>
              <w:t>供应商具有有效</w:t>
            </w:r>
            <w:r>
              <w:rPr>
                <w:rFonts w:hint="eastAsia" w:ascii="Times New Roman" w:hAnsi="Times New Roman" w:eastAsia="宋体" w:cs="宋体"/>
                <w:color w:val="000000" w:themeColor="text1"/>
                <w:sz w:val="24"/>
                <w:lang w:eastAsia="zh-CN"/>
                <w14:textFill>
                  <w14:solidFill>
                    <w14:schemeClr w14:val="tx1"/>
                  </w14:solidFill>
                </w14:textFill>
              </w:rPr>
              <w:t>的</w:t>
            </w:r>
            <w:r>
              <w:rPr>
                <w:rFonts w:hint="eastAsia" w:ascii="Times New Roman" w:hAnsi="Times New Roman" w:eastAsia="宋体" w:cs="宋体"/>
                <w:color w:val="000000" w:themeColor="text1"/>
                <w:sz w:val="24"/>
                <w14:textFill>
                  <w14:solidFill>
                    <w14:schemeClr w14:val="tx1"/>
                  </w14:solidFill>
                </w14:textFill>
              </w:rPr>
              <w:t>质量管理体系认</w:t>
            </w:r>
            <w:r>
              <w:rPr>
                <w:rFonts w:hint="eastAsia" w:ascii="宋体" w:hAnsi="宋体" w:eastAsia="宋体" w:cs="宋体"/>
                <w:color w:val="000000" w:themeColor="text1"/>
                <w:sz w:val="24"/>
                <w14:textFill>
                  <w14:solidFill>
                    <w14:schemeClr w14:val="tx1"/>
                  </w14:solidFill>
                </w14:textFill>
              </w:rPr>
              <w:t>证证书得</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w:t>
            </w:r>
            <w:r>
              <w:rPr>
                <w:rFonts w:hint="eastAsia" w:ascii="宋体" w:hAnsi="宋体" w:eastAsia="宋体" w:cs="宋体"/>
                <w:bCs/>
                <w:color w:val="000000" w:themeColor="text1"/>
                <w:sz w:val="24"/>
                <w14:textFill>
                  <w14:solidFill>
                    <w14:schemeClr w14:val="tx1"/>
                  </w14:solidFill>
                </w14:textFill>
              </w:rPr>
              <w:t>；</w:t>
            </w:r>
          </w:p>
          <w:p w14:paraId="250D3DFC">
            <w:pPr>
              <w:keepNext w:val="0"/>
              <w:keepLines w:val="0"/>
              <w:pageBreakBefore w:val="0"/>
              <w:widowControl/>
              <w:kinsoku/>
              <w:wordWrap/>
              <w:overflowPunct/>
              <w:topLinePunct w:val="0"/>
              <w:autoSpaceDE/>
              <w:autoSpaceDN/>
              <w:bidi w:val="0"/>
              <w:spacing w:line="410" w:lineRule="exact"/>
              <w:ind w:firstLine="240" w:firstLineChars="100"/>
              <w:jc w:val="left"/>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供应商具有有效</w:t>
            </w:r>
            <w:r>
              <w:rPr>
                <w:rFonts w:hint="eastAsia" w:ascii="宋体" w:hAnsi="宋体" w:eastAsia="宋体" w:cs="宋体"/>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环境管理体系认证证书得</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w:t>
            </w:r>
            <w:r>
              <w:rPr>
                <w:rFonts w:hint="eastAsia" w:ascii="宋体" w:hAnsi="宋体" w:eastAsia="宋体" w:cs="宋体"/>
                <w:bCs/>
                <w:color w:val="000000" w:themeColor="text1"/>
                <w:sz w:val="24"/>
                <w14:textFill>
                  <w14:solidFill>
                    <w14:schemeClr w14:val="tx1"/>
                  </w14:solidFill>
                </w14:textFill>
              </w:rPr>
              <w:t>；</w:t>
            </w:r>
          </w:p>
          <w:p w14:paraId="1DB9E710">
            <w:pPr>
              <w:keepNext w:val="0"/>
              <w:keepLines w:val="0"/>
              <w:pageBreakBefore w:val="0"/>
              <w:kinsoku/>
              <w:wordWrap/>
              <w:overflowPunct/>
              <w:topLinePunct w:val="0"/>
              <w:autoSpaceDE/>
              <w:autoSpaceDN/>
              <w:bidi w:val="0"/>
              <w:spacing w:line="410" w:lineRule="exact"/>
              <w:ind w:firstLine="240" w:firstLineChars="100"/>
              <w:jc w:val="left"/>
              <w:textAlignment w:val="auto"/>
              <w:rPr>
                <w:rFonts w:hint="eastAsia" w:ascii="宋体" w:hAnsi="Times New Roman"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3、供应商具有有效的职业健康安全管理体系认证的得</w:t>
            </w:r>
            <w:r>
              <w:rPr>
                <w:rFonts w:hint="eastAsia" w:ascii="宋体" w:hAnsi="宋体" w:eastAsia="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分；</w:t>
            </w:r>
          </w:p>
          <w:p w14:paraId="51F01282">
            <w:pPr>
              <w:keepNext w:val="0"/>
              <w:keepLines w:val="0"/>
              <w:pageBreakBefore w:val="0"/>
              <w:kinsoku/>
              <w:wordWrap/>
              <w:overflowPunct/>
              <w:topLinePunct w:val="0"/>
              <w:autoSpaceDE/>
              <w:autoSpaceDN/>
              <w:bidi w:val="0"/>
              <w:spacing w:line="410" w:lineRule="exact"/>
              <w:jc w:val="left"/>
              <w:textAlignment w:val="auto"/>
              <w:rPr>
                <w:rFonts w:ascii="宋体" w:hAnsi="宋体" w:cs="宋体"/>
                <w:color w:val="000000" w:themeColor="text1"/>
                <w:spacing w:val="-11"/>
                <w:sz w:val="24"/>
                <w14:textFill>
                  <w14:solidFill>
                    <w14:schemeClr w14:val="tx1"/>
                  </w14:solidFill>
                </w14:textFill>
              </w:rPr>
            </w:pPr>
            <w:r>
              <w:rPr>
                <w:rFonts w:hint="eastAsia" w:ascii="宋体" w:hAnsi="宋体" w:eastAsia="宋体" w:cs="Times New Roman"/>
                <w:b/>
                <w:bCs/>
                <w:color w:val="000000" w:themeColor="text1"/>
                <w:sz w:val="24"/>
                <w:szCs w:val="21"/>
                <w:lang w:eastAsia="zh-CN"/>
                <w14:textFill>
                  <w14:solidFill>
                    <w14:schemeClr w14:val="tx1"/>
                  </w14:solidFill>
                </w14:textFill>
              </w:rPr>
              <w:t>注：</w:t>
            </w:r>
            <w:r>
              <w:rPr>
                <w:rFonts w:hint="eastAsia" w:ascii="Times New Roman" w:hAnsi="Times New Roman" w:eastAsia="宋体" w:cs="Times New Roman"/>
                <w:b/>
                <w:bCs/>
                <w:color w:val="000000" w:themeColor="text1"/>
                <w:sz w:val="24"/>
                <w:szCs w:val="21"/>
                <w14:textFill>
                  <w14:solidFill>
                    <w14:schemeClr w14:val="tx1"/>
                  </w14:solidFill>
                </w14:textFill>
              </w:rPr>
              <w:t>供应商须提供证书扫描件及全国认证认可信息公共服务平台网站截图并加盖公章</w:t>
            </w:r>
            <w:r>
              <w:rPr>
                <w:rFonts w:hint="eastAsia" w:ascii="Times New Roman" w:hAnsi="Times New Roman" w:eastAsia="宋体" w:cs="Times New Roman"/>
                <w:b/>
                <w:bCs/>
                <w:color w:val="000000" w:themeColor="text1"/>
                <w:sz w:val="24"/>
                <w:szCs w:val="21"/>
                <w:lang w:eastAsia="zh-CN"/>
                <w14:textFill>
                  <w14:solidFill>
                    <w14:schemeClr w14:val="tx1"/>
                  </w14:solidFill>
                </w14:textFill>
              </w:rPr>
              <w:t>，不提供不得分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D748A5A">
            <w:pPr>
              <w:pStyle w:val="36"/>
              <w:keepNext w:val="0"/>
              <w:keepLines w:val="0"/>
              <w:pageBreakBefore w:val="0"/>
              <w:kinsoku/>
              <w:wordWrap/>
              <w:overflowPunct/>
              <w:topLinePunct w:val="0"/>
              <w:autoSpaceDE/>
              <w:autoSpaceDN/>
              <w:bidi w:val="0"/>
              <w:snapToGrid w:val="0"/>
              <w:spacing w:after="0" w:line="410" w:lineRule="exact"/>
              <w:ind w:left="0" w:leftChars="0"/>
              <w:jc w:val="center"/>
              <w:textAlignment w:val="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6</w:t>
            </w:r>
            <w:r>
              <w:rPr>
                <w:rFonts w:hint="eastAsia" w:ascii="宋体" w:hAnsi="宋体" w:cs="宋体"/>
                <w:bCs/>
                <w:color w:val="000000" w:themeColor="text1"/>
                <w:sz w:val="24"/>
                <w:szCs w:val="24"/>
                <w14:textFill>
                  <w14:solidFill>
                    <w14:schemeClr w14:val="tx1"/>
                  </w14:solidFill>
                </w14:textFill>
              </w:rPr>
              <w:t>分</w:t>
            </w:r>
          </w:p>
        </w:tc>
      </w:tr>
    </w:tbl>
    <w:p w14:paraId="5823044A">
      <w:pPr>
        <w:spacing w:line="460" w:lineRule="exact"/>
        <w:jc w:val="both"/>
        <w:rPr>
          <w:rFonts w:hint="eastAsia" w:ascii="宋体" w:hAnsi="宋体" w:cs="宋体"/>
          <w:b/>
          <w:color w:val="000000" w:themeColor="text1"/>
          <w:sz w:val="36"/>
          <w:szCs w:val="36"/>
          <w14:textFill>
            <w14:solidFill>
              <w14:schemeClr w14:val="tx1"/>
            </w14:solidFill>
          </w14:textFill>
        </w:rPr>
      </w:pPr>
    </w:p>
    <w:p w14:paraId="7F772AA8">
      <w:pPr>
        <w:spacing w:line="460" w:lineRule="exact"/>
        <w:jc w:val="center"/>
        <w:rPr>
          <w:rFonts w:hint="eastAsia" w:ascii="宋体" w:hAnsi="宋体" w:cs="宋体"/>
          <w:b/>
          <w:color w:val="000000" w:themeColor="text1"/>
          <w:sz w:val="36"/>
          <w:szCs w:val="36"/>
          <w14:textFill>
            <w14:solidFill>
              <w14:schemeClr w14:val="tx1"/>
            </w14:solidFill>
          </w14:textFill>
        </w:rPr>
      </w:pPr>
    </w:p>
    <w:p w14:paraId="2E06BABB">
      <w:pPr>
        <w:spacing w:line="460" w:lineRule="exact"/>
        <w:jc w:val="both"/>
        <w:rPr>
          <w:rFonts w:hint="eastAsia" w:ascii="宋体" w:hAnsi="宋体" w:cs="宋体"/>
          <w:b/>
          <w:color w:val="000000" w:themeColor="text1"/>
          <w:sz w:val="36"/>
          <w:szCs w:val="36"/>
          <w14:textFill>
            <w14:solidFill>
              <w14:schemeClr w14:val="tx1"/>
            </w14:solidFill>
          </w14:textFill>
        </w:rPr>
      </w:pPr>
    </w:p>
    <w:p w14:paraId="384A92C3">
      <w:pPr>
        <w:spacing w:line="460" w:lineRule="exact"/>
        <w:jc w:val="center"/>
        <w:rPr>
          <w:rFonts w:hint="eastAsia" w:ascii="宋体" w:hAnsi="宋体" w:cs="宋体"/>
          <w:b/>
          <w:color w:val="000000" w:themeColor="text1"/>
          <w:sz w:val="36"/>
          <w:szCs w:val="36"/>
          <w14:textFill>
            <w14:solidFill>
              <w14:schemeClr w14:val="tx1"/>
            </w14:solidFill>
          </w14:textFill>
        </w:rPr>
      </w:pPr>
    </w:p>
    <w:p w14:paraId="428A7C2D">
      <w:pPr>
        <w:spacing w:line="460" w:lineRule="exact"/>
        <w:jc w:val="center"/>
        <w:rPr>
          <w:rFonts w:hint="eastAsia" w:ascii="宋体" w:hAnsi="宋体" w:cs="宋体"/>
          <w:b/>
          <w:color w:val="000000" w:themeColor="text1"/>
          <w:sz w:val="36"/>
          <w:szCs w:val="36"/>
          <w14:textFill>
            <w14:solidFill>
              <w14:schemeClr w14:val="tx1"/>
            </w14:solidFill>
          </w14:textFill>
        </w:rPr>
      </w:pPr>
    </w:p>
    <w:p w14:paraId="20CCD9CE">
      <w:pPr>
        <w:pStyle w:val="2"/>
        <w:rPr>
          <w:rFonts w:hint="eastAsia"/>
        </w:rPr>
      </w:pPr>
    </w:p>
    <w:p w14:paraId="6C8B606D">
      <w:pPr>
        <w:spacing w:line="460" w:lineRule="exact"/>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第五章  合同主要条款</w:t>
      </w:r>
    </w:p>
    <w:p w14:paraId="66C7A1D1">
      <w:pPr>
        <w:spacing w:line="460" w:lineRule="exact"/>
        <w:jc w:val="center"/>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浙江省政府采购合同范本</w:t>
      </w:r>
    </w:p>
    <w:p w14:paraId="7B4A56E1">
      <w:pPr>
        <w:spacing w:line="460" w:lineRule="exact"/>
        <w:jc w:val="center"/>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（以最终合同为准）</w:t>
      </w:r>
    </w:p>
    <w:p w14:paraId="3BC6CA92">
      <w:pPr>
        <w:pStyle w:val="25"/>
        <w:spacing w:line="46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项目名称：                   项目编号：               合同号：</w:t>
      </w:r>
    </w:p>
    <w:p w14:paraId="324C0CD6">
      <w:pPr>
        <w:pStyle w:val="25"/>
        <w:spacing w:line="46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甲方（采购人）：</w:t>
      </w:r>
    </w:p>
    <w:p w14:paraId="4FE5FFA5">
      <w:pPr>
        <w:pStyle w:val="25"/>
        <w:spacing w:line="46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乙方（中标供应商）：</w:t>
      </w:r>
    </w:p>
    <w:p w14:paraId="1A0B49C9">
      <w:pPr>
        <w:pStyle w:val="25"/>
        <w:spacing w:line="46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甲乙双方根据</w:t>
      </w:r>
      <w:r>
        <w:rPr>
          <w:rFonts w:hint="eastAsia" w:hAnsi="宋体" w:cs="宋体"/>
          <w:b/>
          <w:color w:val="000000" w:themeColor="text1"/>
          <w:sz w:val="24"/>
          <w:szCs w:val="24"/>
          <w:u w:val="single"/>
          <w14:textFill>
            <w14:solidFill>
              <w14:schemeClr w14:val="tx1"/>
            </w14:solidFill>
          </w14:textFill>
        </w:rPr>
        <w:t>华诚工程咨询集团有限公司</w:t>
      </w:r>
      <w:r>
        <w:rPr>
          <w:rFonts w:hint="eastAsia" w:hAnsi="宋体" w:cs="宋体"/>
          <w:color w:val="000000" w:themeColor="text1"/>
          <w:sz w:val="24"/>
          <w:szCs w:val="24"/>
          <w14:textFill>
            <w14:solidFill>
              <w14:schemeClr w14:val="tx1"/>
            </w14:solidFill>
          </w14:textFill>
        </w:rPr>
        <w:t>关于</w:t>
      </w:r>
      <w:r>
        <w:rPr>
          <w:rFonts w:hint="eastAsia" w:hAnsi="宋体" w:cs="宋体"/>
          <w:b/>
          <w:color w:val="000000" w:themeColor="text1"/>
          <w:sz w:val="24"/>
          <w:szCs w:val="24"/>
          <w:u w:val="single"/>
          <w:lang w:eastAsia="zh-CN"/>
          <w14:textFill>
            <w14:solidFill>
              <w14:schemeClr w14:val="tx1"/>
            </w14:solidFill>
          </w14:textFill>
        </w:rPr>
        <w:t>湖州市殡仪馆配电房变压器增容项目</w:t>
      </w:r>
      <w:r>
        <w:rPr>
          <w:rFonts w:hint="eastAsia" w:hAnsi="宋体" w:cs="宋体"/>
          <w:color w:val="000000" w:themeColor="text1"/>
          <w:sz w:val="24"/>
          <w:szCs w:val="24"/>
          <w14:textFill>
            <w14:solidFill>
              <w14:schemeClr w14:val="tx1"/>
            </w14:solidFill>
          </w14:textFill>
        </w:rPr>
        <w:t>公开招标的结果</w:t>
      </w:r>
      <w:r>
        <w:rPr>
          <w:rFonts w:hint="eastAsia" w:hAnsi="宋体" w:cs="宋体"/>
          <w:color w:val="000000" w:themeColor="text1"/>
          <w:sz w:val="24"/>
          <w:szCs w:val="24"/>
          <w:lang w:eastAsia="zh-CN"/>
          <w14:textFill>
            <w14:solidFill>
              <w14:schemeClr w14:val="tx1"/>
            </w14:solidFill>
          </w14:textFill>
        </w:rPr>
        <w:t>以及《中华人民共和国</w:t>
      </w:r>
      <w:r>
        <w:rPr>
          <w:rFonts w:hint="eastAsia" w:hAnsi="宋体" w:cs="宋体"/>
          <w:color w:val="000000" w:themeColor="text1"/>
          <w:sz w:val="24"/>
          <w:szCs w:val="24"/>
          <w14:textFill>
            <w14:solidFill>
              <w14:schemeClr w14:val="tx1"/>
            </w14:solidFill>
          </w14:textFill>
        </w:rPr>
        <w:t>民法典</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，签署本合同。</w:t>
      </w:r>
    </w:p>
    <w:p w14:paraId="3767264C">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hAnsi="宋体" w:cs="宋体"/>
          <w:b/>
          <w:bCs/>
          <w:color w:val="000000" w:themeColor="text1"/>
          <w14:textFill>
            <w14:solidFill>
              <w14:schemeClr w14:val="tx1"/>
            </w14:solidFill>
          </w14:textFill>
        </w:rPr>
        <w:t>一</w:t>
      </w:r>
      <w:r>
        <w:rPr>
          <w:rFonts w:hint="eastAsia" w:ascii="宋体" w:hAnsi="宋体"/>
          <w:b/>
          <w:bCs/>
          <w:color w:val="000000" w:themeColor="text1"/>
          <w:sz w:val="24"/>
          <w14:textFill>
            <w14:solidFill>
              <w14:schemeClr w14:val="tx1"/>
            </w14:solidFill>
          </w14:textFill>
        </w:rPr>
        <w:t>．货物内容（可另附清单）</w:t>
      </w:r>
    </w:p>
    <w:p w14:paraId="14EB5DB2">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1.货物名称：</w:t>
      </w:r>
    </w:p>
    <w:p w14:paraId="7C78F985">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2.型号规格：</w:t>
      </w:r>
    </w:p>
    <w:p w14:paraId="336AA37E">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3.技术参数：</w:t>
      </w:r>
    </w:p>
    <w:p w14:paraId="3140D382">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4.数量（单位）：</w:t>
      </w:r>
    </w:p>
    <w:p w14:paraId="57A6F36E">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二.合同金额</w:t>
      </w:r>
    </w:p>
    <w:p w14:paraId="3CAC1650">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合同总金额为（大写）：人民币______________元整（￥____________元）。</w:t>
      </w:r>
    </w:p>
    <w:p w14:paraId="78C7A4CF">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三.技术资料</w:t>
      </w:r>
    </w:p>
    <w:p w14:paraId="715D6DBA">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1.乙方应按招标文件规定的时间向甲方提供使用货物的有关的技术资料。</w:t>
      </w:r>
    </w:p>
    <w:p w14:paraId="5FB8D43B">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47E53CC6">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四.知识产权</w:t>
      </w:r>
    </w:p>
    <w:p w14:paraId="4C8A8554">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bookmarkStart w:id="3" w:name="OLE_LINK93"/>
      <w:r>
        <w:rPr>
          <w:rFonts w:hint="eastAsia" w:ascii="宋体" w:hAnsi="宋体"/>
          <w:color w:val="000000" w:themeColor="text1"/>
          <w:sz w:val="24"/>
          <w14:textFill>
            <w14:solidFill>
              <w14:schemeClr w14:val="tx1"/>
            </w14:solidFill>
          </w14:textFill>
        </w:rPr>
        <w:t>乙方应保证所提供的货物或其任何一部分均不会侵犯任何第三方的知识产权等合法权益。若乙方提供的货物存在部分或全部侵犯任何一方知识产权的情形的，属于根本违约，</w:t>
      </w:r>
      <w:r>
        <w:rPr>
          <w:rFonts w:hint="eastAsia" w:ascii="宋体" w:hAnsi="宋体"/>
          <w:color w:val="000000" w:themeColor="text1"/>
          <w:sz w:val="24"/>
          <w:lang w:eastAsia="zh-Hans"/>
          <w14:textFill>
            <w14:solidFill>
              <w14:schemeClr w14:val="tx1"/>
            </w14:solidFill>
          </w14:textFill>
        </w:rPr>
        <w:t>甲方有权解除合同并要求</w:t>
      </w:r>
      <w:r>
        <w:rPr>
          <w:rFonts w:hint="eastAsia" w:ascii="宋体" w:hAnsi="宋体"/>
          <w:color w:val="000000" w:themeColor="text1"/>
          <w:sz w:val="24"/>
          <w14:textFill>
            <w14:solidFill>
              <w14:schemeClr w14:val="tx1"/>
            </w14:solidFill>
          </w14:textFill>
        </w:rPr>
        <w:t>乙方需赔所涉标的物（价值）的10%作为违约金。甲方受损失额超过违约金的，乙方还需按实际损失赔偿给甲方。</w:t>
      </w:r>
    </w:p>
    <w:p w14:paraId="6BD8886A">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提供的货物或其任何一部分侵犯任何第三方的知识产权的，所产生的纠纷和赔偿由乙方承担，与甲方无关，若因此造成甲方损失的，乙方还应承担赔偿责任。若乙方交付的货物等所有权存在上述瑕疵，乙方需负责恢复至无产权瑕疵状态，并承担违约责任</w:t>
      </w:r>
      <w:bookmarkEnd w:id="3"/>
      <w:r>
        <w:rPr>
          <w:rFonts w:hint="eastAsia" w:ascii="宋体" w:hAnsi="宋体"/>
          <w:color w:val="000000" w:themeColor="text1"/>
          <w:sz w:val="24"/>
          <w14:textFill>
            <w14:solidFill>
              <w14:schemeClr w14:val="tx1"/>
            </w14:solidFill>
          </w14:textFill>
        </w:rPr>
        <w:t>。</w:t>
      </w:r>
    </w:p>
    <w:p w14:paraId="622DD02B">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五.产权担保</w:t>
      </w:r>
    </w:p>
    <w:p w14:paraId="53711602">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保证所交付的货物的所有权完全属于乙方且无任何抵押、查封等产权瑕疵。若乙方交付的货物等所有权存在上述瑕疵，乙方需负责恢复至无产权瑕疵状态，乙方需赔所涉标的物（价值）的10%作为违约金，且乙方需使货物处于无任何权利负担状态；若乙方未能解除货物上的权利负担的，甲方有权解除合同并退还所有货物，乙方除需支付违约金外，还需退还甲方已支付的所有货款。甲方受损失额超过违约金的，乙方还需按实际损失赔偿给甲方（包括但不限于因货物的产权瑕疵产生的所有赔偿以及纠纷处理的律师费、诉讼费等直接损失和间接损失）。</w:t>
      </w:r>
    </w:p>
    <w:p w14:paraId="384B9E76">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六.转包或分包</w:t>
      </w:r>
    </w:p>
    <w:p w14:paraId="5848B830">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1.本合同范围的服务、货物，应由乙方直接供应，不得转让他人供应；</w:t>
      </w:r>
    </w:p>
    <w:p w14:paraId="6670DCF1">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2.除非得到甲方的书面同意，乙方不得将本合同范围的货物全部或部分分包给他人供应；</w:t>
      </w:r>
    </w:p>
    <w:p w14:paraId="25D9DAD8">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3.如有转让和未经甲方书面同意的分包行为，甲方有权解除合同，并追究乙方的违约责任，乙方还需退还甲方已支付的全部货款。</w:t>
      </w:r>
    </w:p>
    <w:p w14:paraId="77DD38D7">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七.质保期</w:t>
      </w:r>
    </w:p>
    <w:p w14:paraId="74E36404">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年。（自设备到货并经甲方组织验收合格起计算）</w:t>
      </w:r>
    </w:p>
    <w:p w14:paraId="69BA8F8E">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w:t>
      </w:r>
      <w:r>
        <w:rPr>
          <w:rFonts w:hint="eastAsia" w:ascii="宋体" w:hAnsi="宋体"/>
          <w:b/>
          <w:bCs/>
          <w:color w:val="000000" w:themeColor="text1"/>
          <w:sz w:val="24"/>
          <w:lang w:eastAsia="zh-CN"/>
          <w14:textFill>
            <w14:solidFill>
              <w14:schemeClr w14:val="tx1"/>
            </w14:solidFill>
          </w14:textFill>
        </w:rPr>
        <w:t>工期</w:t>
      </w:r>
      <w:r>
        <w:rPr>
          <w:rFonts w:hint="eastAsia" w:ascii="宋体" w:hAnsi="宋体"/>
          <w:b/>
          <w:bCs/>
          <w:color w:val="000000" w:themeColor="text1"/>
          <w:sz w:val="24"/>
          <w14:textFill>
            <w14:solidFill>
              <w14:schemeClr w14:val="tx1"/>
            </w14:solidFill>
          </w14:textFill>
        </w:rPr>
        <w:t>、交货地点</w:t>
      </w:r>
    </w:p>
    <w:p w14:paraId="01B336E2">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工期</w:t>
      </w:r>
      <w:r>
        <w:rPr>
          <w:rFonts w:hint="eastAsia" w:ascii="宋体" w:hAnsi="宋体"/>
          <w:color w:val="000000" w:themeColor="text1"/>
          <w:sz w:val="24"/>
          <w14:textFill>
            <w14:solidFill>
              <w14:schemeClr w14:val="tx1"/>
            </w14:solidFill>
          </w14:textFill>
        </w:rPr>
        <w:t>:</w:t>
      </w:r>
    </w:p>
    <w:p w14:paraId="0AA3591E">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2.交货地点:</w:t>
      </w:r>
    </w:p>
    <w:p w14:paraId="0BE279C0">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九</w:t>
      </w:r>
      <w:bookmarkStart w:id="4" w:name="OLE_LINK98"/>
      <w:r>
        <w:rPr>
          <w:rFonts w:hint="eastAsia" w:ascii="宋体" w:hAnsi="宋体"/>
          <w:b/>
          <w:bCs/>
          <w:color w:val="000000" w:themeColor="text1"/>
          <w:sz w:val="24"/>
          <w14:textFill>
            <w14:solidFill>
              <w14:schemeClr w14:val="tx1"/>
            </w14:solidFill>
          </w14:textFill>
        </w:rPr>
        <w:t>.履约保证金</w:t>
      </w:r>
    </w:p>
    <w:bookmarkEnd w:id="4"/>
    <w:p w14:paraId="565B4209">
      <w:pPr>
        <w:tabs>
          <w:tab w:val="left" w:pos="5925"/>
        </w:tabs>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本项目不收取</w:t>
      </w:r>
    </w:p>
    <w:p w14:paraId="07FF74F7">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十.付款方式</w:t>
      </w:r>
    </w:p>
    <w:p w14:paraId="52989BD1">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1.采购人自合同生效及具备实施条件后支付预付款，也即合同金额的</w:t>
      </w:r>
      <w:r>
        <w:rPr>
          <w:rFonts w:hint="eastAsia" w:ascii="宋体" w:hAnsi="宋体" w:cs="宋体"/>
          <w:color w:val="000000" w:themeColor="text1"/>
          <w:sz w:val="24"/>
          <w:lang w:val="en-US" w:eastAsia="zh-CN"/>
          <w14:textFill>
            <w14:solidFill>
              <w14:schemeClr w14:val="tx1"/>
            </w14:solidFill>
          </w14:textFill>
        </w:rPr>
        <w:t>70</w:t>
      </w:r>
      <w:r>
        <w:rPr>
          <w:rFonts w:hint="eastAsia" w:ascii="宋体" w:hAnsi="宋体" w:cs="宋体"/>
          <w:color w:val="000000" w:themeColor="text1"/>
          <w:sz w:val="24"/>
          <w14:textFill>
            <w14:solidFill>
              <w14:schemeClr w14:val="tx1"/>
            </w14:solidFill>
          </w14:textFill>
        </w:rPr>
        <w:t>%；（注：若中标供应商明确表示无需预付款或者主动要求降低预付款比例的，采购人可不适用前述规定。）</w:t>
      </w:r>
    </w:p>
    <w:p w14:paraId="1249DEC7">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待货物按采购人时间要求全部提供安装完成并经采购人验收合格审计后，按最终审计价结算支付剩余金额</w:t>
      </w:r>
      <w:r>
        <w:rPr>
          <w:rFonts w:hint="eastAsia" w:ascii="宋体" w:hAnsi="宋体" w:cs="宋体"/>
          <w:color w:val="000000" w:themeColor="text1"/>
          <w:sz w:val="24"/>
          <w:lang w:eastAsia="zh-CN"/>
          <w14:textFill>
            <w14:solidFill>
              <w14:schemeClr w14:val="tx1"/>
            </w14:solidFill>
          </w14:textFill>
        </w:rPr>
        <w:t>。</w:t>
      </w:r>
    </w:p>
    <w:p w14:paraId="678D1FC3">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十一.税费</w:t>
      </w:r>
    </w:p>
    <w:p w14:paraId="2978F5E7">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本合同执行中相关的一切税费均由乙方负担。</w:t>
      </w:r>
    </w:p>
    <w:p w14:paraId="5A30CAB3">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十二.质量保证及后续服务</w:t>
      </w:r>
    </w:p>
    <w:p w14:paraId="005C1F7E">
      <w:pPr>
        <w:tabs>
          <w:tab w:val="left" w:pos="5925"/>
        </w:tabs>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1.乙方应按采购文件规定的货物性能、技术要求、质量标准向甲方提供未经使用的全新产品，</w:t>
      </w:r>
      <w:r>
        <w:rPr>
          <w:rFonts w:hint="eastAsia" w:ascii="宋体" w:hAnsi="宋体" w:cs="宋体"/>
          <w:bCs/>
          <w:color w:val="000000" w:themeColor="text1"/>
          <w:sz w:val="24"/>
          <w14:textFill>
            <w14:solidFill>
              <w14:schemeClr w14:val="tx1"/>
            </w14:solidFill>
          </w14:textFill>
        </w:rPr>
        <w:t>不得使用贴牌或翻新产品进行投标，一旦发现有此产品，立即解除合同，由此产生的损失有乙方承担。</w:t>
      </w:r>
    </w:p>
    <w:p w14:paraId="24B726F0">
      <w:pPr>
        <w:tabs>
          <w:tab w:val="left" w:pos="5925"/>
        </w:tabs>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2.乙方提供的货物在质保期内因货物本身的质量问题发生故障，乙方应负责免费更换。对达不到技术要求者，根据实际情况，经双方协商，可按以下办法处理：</w:t>
      </w:r>
    </w:p>
    <w:p w14:paraId="6C134124">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2.1更换：由乙方承担所发生的全部费用；</w:t>
      </w:r>
    </w:p>
    <w:p w14:paraId="2BEFF52C">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2.2贬值处理：由甲乙双方合议定价；</w:t>
      </w:r>
    </w:p>
    <w:p w14:paraId="096C6404">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2.3退货处理：乙方应退还甲方支付的合同款，同时应承担该货物的直接费用（运输、保险、检验、货款利息及银行手续费等）。</w:t>
      </w:r>
    </w:p>
    <w:p w14:paraId="601E4BA5">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3.如在使用过程中发现质量问题，乙方在接到甲方通知后在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小时内到达甲方现场。</w:t>
      </w:r>
    </w:p>
    <w:p w14:paraId="04FD5F71">
      <w:pPr>
        <w:tabs>
          <w:tab w:val="left" w:pos="5925"/>
        </w:tabs>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4.在质保期内，乙方应对货物出现的质量及安全问题负责处理解决并承担一切费用。</w:t>
      </w:r>
    </w:p>
    <w:p w14:paraId="3F6D0696">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十三.验收</w:t>
      </w:r>
    </w:p>
    <w:p w14:paraId="689672BF">
      <w:pPr>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1.设备验收标准按招标文件及响应文件技术规格标准执行；</w:t>
      </w:r>
    </w:p>
    <w:p w14:paraId="0A09933B">
      <w:pPr>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2.验收标准应符合中国有关的国家、地方、行业的标准，国家、地方、行业均没有验收标准的，则在获取甲方同意后，按双方商定的标准执行。</w:t>
      </w:r>
    </w:p>
    <w:p w14:paraId="5C39AC76">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3.如果任何设备的验收不能满足规定要求，甲方可以拒绝接受该货物，乙方应更换被拒绝的货物，或者免费进行必要的修改以满足规定的要求；</w:t>
      </w:r>
    </w:p>
    <w:p w14:paraId="28B46BE9">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4.项目完工具备验收条件时，乙方应按国家及地方有关验收规定向甲方提交验收材料，由甲方组织项目验收；</w:t>
      </w:r>
    </w:p>
    <w:p w14:paraId="7C36CFFF">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验收费用（包括设备安装完成后质量检测或</w:t>
      </w:r>
      <w:r>
        <w:rPr>
          <w:rFonts w:hint="eastAsia" w:ascii="宋体" w:hAnsi="宋体"/>
          <w:color w:val="000000" w:themeColor="text1"/>
          <w:sz w:val="24"/>
          <w14:textFill>
            <w14:solidFill>
              <w14:schemeClr w14:val="tx1"/>
            </w14:solidFill>
          </w14:textFill>
        </w:rPr>
        <w:t>项目验收中存在第三方机构进行抽样检测等），检测费用由乙方承担。</w:t>
      </w:r>
    </w:p>
    <w:p w14:paraId="5BA49CD8">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十四．货物包装、发运及运输</w:t>
      </w:r>
    </w:p>
    <w:p w14:paraId="0E9EE4D2">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1.乙方应在货物发运前对其进行满足运输距离、防潮、防震、防锈和防破损装卸等要求包装，以保证货物安全运达甲方指定地点。</w:t>
      </w:r>
    </w:p>
    <w:p w14:paraId="14027A67">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2.使用说明书、质量检验证明书、随配附件和工具以及清单一并附于货物内。</w:t>
      </w:r>
    </w:p>
    <w:p w14:paraId="288AE7DD">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3.乙方在货物发运手续办理完毕后24小时内或货到甲方48小时前通知甲方，以准备接货。</w:t>
      </w:r>
    </w:p>
    <w:p w14:paraId="1FE7BFB7">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4.货物在交付甲方前发生的风险均由乙方负责。</w:t>
      </w:r>
    </w:p>
    <w:p w14:paraId="3E52D05E">
      <w:pPr>
        <w:tabs>
          <w:tab w:val="left" w:pos="5925"/>
        </w:tabs>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5.货物在规定的交付期限内由乙方送达甲方指定的地点视为交付，乙方同时需通知甲方货物已送达。</w:t>
      </w:r>
    </w:p>
    <w:p w14:paraId="55B1D759">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十五.违约责任</w:t>
      </w:r>
    </w:p>
    <w:p w14:paraId="20770BED">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1.甲方无正当理由拒收货物的，甲方向乙方偿付拒收货款总值的百分之五违约金。</w:t>
      </w:r>
    </w:p>
    <w:p w14:paraId="7D27D3A8">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2.甲方无故逾期验收和办理货款支付手续的,甲方应按逾期付款总额每日万分之五向乙方支付违约金。</w:t>
      </w:r>
    </w:p>
    <w:p w14:paraId="58AADBF6">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B1E8BEA">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0A9C12F">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十六.不可抗力事件处理</w:t>
      </w:r>
    </w:p>
    <w:p w14:paraId="38B0D951">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1.在合同有效期内，任何一方因不可抗力事件导致不能履行合同，则合同履行期可延长，其延长期与不可抗力影响期相同。</w:t>
      </w:r>
    </w:p>
    <w:p w14:paraId="5FA83DEA">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2.不可抗力事件发生后，应立即通知对方，并寄送有关权威机构出具的证明。</w:t>
      </w:r>
    </w:p>
    <w:p w14:paraId="117E5DCF">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3.不可抗力事件延续120天以上，双方应通过友好协商，确定是否继续履行合同。</w:t>
      </w:r>
    </w:p>
    <w:p w14:paraId="604EF853">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十七.诉讼</w:t>
      </w:r>
    </w:p>
    <w:p w14:paraId="1A4F1EDD">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甲乙</w:t>
      </w:r>
      <w:r>
        <w:rPr>
          <w:rFonts w:hint="eastAsia" w:ascii="宋体" w:hAnsi="宋体"/>
          <w:color w:val="000000" w:themeColor="text1"/>
          <w:sz w:val="24"/>
          <w14:textFill>
            <w14:solidFill>
              <w14:schemeClr w14:val="tx1"/>
            </w14:solidFill>
          </w14:textFill>
        </w:rPr>
        <w:t>双方在执行合同中所发生的一切争议，应通过协商解决。如协商不成，</w:t>
      </w:r>
      <w:r>
        <w:rPr>
          <w:rFonts w:hint="eastAsia" w:ascii="宋体" w:hAnsi="宋体"/>
          <w:color w:val="000000" w:themeColor="text1"/>
          <w:sz w:val="24"/>
          <w:lang w:val="en-US" w:eastAsia="zh-CN"/>
          <w14:textFill>
            <w14:solidFill>
              <w14:schemeClr w14:val="tx1"/>
            </w14:solidFill>
          </w14:textFill>
        </w:rPr>
        <w:t>应</w:t>
      </w:r>
      <w:r>
        <w:rPr>
          <w:rFonts w:hint="eastAsia" w:ascii="宋体" w:hAnsi="宋体"/>
          <w:color w:val="000000" w:themeColor="text1"/>
          <w:sz w:val="24"/>
          <w14:textFill>
            <w14:solidFill>
              <w14:schemeClr w14:val="tx1"/>
            </w14:solidFill>
          </w14:textFill>
        </w:rPr>
        <w:t>向甲方所在地有管辖权的人民法院起诉。</w:t>
      </w:r>
    </w:p>
    <w:p w14:paraId="14DC8187">
      <w:pPr>
        <w:tabs>
          <w:tab w:val="left" w:pos="5925"/>
        </w:tabs>
        <w:spacing w:line="48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十八.合同生效及其他</w:t>
      </w:r>
    </w:p>
    <w:p w14:paraId="17EAC566">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本</w:t>
      </w:r>
      <w:r>
        <w:rPr>
          <w:rFonts w:hint="eastAsia" w:ascii="宋体" w:hAnsi="宋体"/>
          <w:color w:val="000000" w:themeColor="text1"/>
          <w:sz w:val="24"/>
          <w14:textFill>
            <w14:solidFill>
              <w14:schemeClr w14:val="tx1"/>
            </w14:solidFill>
          </w14:textFill>
        </w:rPr>
        <w:t>合同经甲乙双方法定代表人或授权委托代理人签字并加盖单位公章后生效。</w:t>
      </w:r>
    </w:p>
    <w:p w14:paraId="64BD3E4D">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val="en-US" w:eastAsia="zh-CN"/>
          <w14:textFill>
            <w14:solidFill>
              <w14:schemeClr w14:val="tx1"/>
            </w14:solidFill>
          </w14:textFill>
        </w:rPr>
        <w:t>本</w:t>
      </w:r>
      <w:r>
        <w:rPr>
          <w:rFonts w:hint="eastAsia" w:ascii="宋体" w:hAnsi="宋体"/>
          <w:color w:val="000000" w:themeColor="text1"/>
          <w:sz w:val="24"/>
          <w14:textFill>
            <w14:solidFill>
              <w14:schemeClr w14:val="tx1"/>
            </w14:solidFill>
          </w14:textFill>
        </w:rPr>
        <w:t>合同执行中涉及采购资金和招标内容修改或补充的，须签书面补充协议报财政备案，方可作为主合同不可分割的一部分。</w:t>
      </w:r>
    </w:p>
    <w:p w14:paraId="31722170">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3.本合同未尽事宜，遵照《中华人民共和国民法典》有关条文执行。</w:t>
      </w:r>
    </w:p>
    <w:p w14:paraId="2B3E960A">
      <w:pPr>
        <w:tabs>
          <w:tab w:val="left" w:pos="5925"/>
        </w:tabs>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4.本合同正本一式肆份，具有同等法律效力，甲乙双方各执二份。</w:t>
      </w:r>
    </w:p>
    <w:p w14:paraId="155E4654">
      <w:pPr>
        <w:tabs>
          <w:tab w:val="left" w:pos="5925"/>
        </w:tabs>
        <w:spacing w:line="480" w:lineRule="exact"/>
        <w:rPr>
          <w:rFonts w:hint="eastAsia" w:ascii="宋体" w:hAnsi="宋体"/>
          <w:color w:val="000000" w:themeColor="text1"/>
          <w:sz w:val="24"/>
          <w14:textFill>
            <w14:solidFill>
              <w14:schemeClr w14:val="tx1"/>
            </w14:solidFill>
          </w14:textFill>
        </w:rPr>
      </w:pPr>
    </w:p>
    <w:p w14:paraId="2AA1DD3D">
      <w:pPr>
        <w:tabs>
          <w:tab w:val="left" w:pos="5925"/>
        </w:tabs>
        <w:spacing w:line="4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甲方：                                  乙方： </w:t>
      </w:r>
    </w:p>
    <w:p w14:paraId="2021F918">
      <w:pPr>
        <w:tabs>
          <w:tab w:val="left" w:pos="5925"/>
        </w:tabs>
        <w:spacing w:line="4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                                  地址：</w:t>
      </w:r>
    </w:p>
    <w:p w14:paraId="0EC62A99">
      <w:pPr>
        <w:tabs>
          <w:tab w:val="left" w:pos="5925"/>
        </w:tabs>
        <w:spacing w:line="4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14:paraId="025B0B23">
      <w:pPr>
        <w:tabs>
          <w:tab w:val="left" w:pos="5925"/>
        </w:tabs>
        <w:spacing w:line="4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或授权委托代理人：                      或授权委托代理人：</w:t>
      </w:r>
    </w:p>
    <w:p w14:paraId="3830232C">
      <w:pPr>
        <w:tabs>
          <w:tab w:val="left" w:pos="5925"/>
        </w:tabs>
        <w:spacing w:line="4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电话：                                  电话： </w:t>
      </w:r>
    </w:p>
    <w:p w14:paraId="24AFC26E">
      <w:pPr>
        <w:tabs>
          <w:tab w:val="left" w:pos="5925"/>
        </w:tabs>
        <w:spacing w:line="4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                              邮政编码：</w:t>
      </w:r>
    </w:p>
    <w:p w14:paraId="30CC4734">
      <w:pPr>
        <w:tabs>
          <w:tab w:val="left" w:pos="5925"/>
        </w:tabs>
        <w:spacing w:line="4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r>
        <w:rPr>
          <w:rFonts w:hint="eastAsia" w:ascii="宋体" w:hAnsi="宋体"/>
          <w:color w:val="000000" w:themeColor="text1"/>
          <w:sz w:val="24"/>
          <w14:textFill>
            <w14:solidFill>
              <w14:schemeClr w14:val="tx1"/>
            </w14:solidFill>
          </w14:textFill>
        </w:rPr>
        <w:tab/>
      </w:r>
    </w:p>
    <w:p w14:paraId="7D258923">
      <w:pPr>
        <w:tabs>
          <w:tab w:val="left" w:pos="5925"/>
        </w:tabs>
        <w:spacing w:line="4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账号：                                  账号：</w:t>
      </w:r>
    </w:p>
    <w:p w14:paraId="6C9CE78B">
      <w:pPr>
        <w:tabs>
          <w:tab w:val="left" w:pos="5925"/>
        </w:tabs>
        <w:spacing w:line="480" w:lineRule="exact"/>
        <w:rPr>
          <w:rFonts w:hint="eastAsia" w:ascii="宋体" w:hAnsi="宋体"/>
          <w:color w:val="000000" w:themeColor="text1"/>
          <w:sz w:val="24"/>
          <w14:textFill>
            <w14:solidFill>
              <w14:schemeClr w14:val="tx1"/>
            </w14:solidFill>
          </w14:textFill>
        </w:rPr>
      </w:pPr>
    </w:p>
    <w:p w14:paraId="13BF1FA2">
      <w:pPr>
        <w:tabs>
          <w:tab w:val="left" w:pos="5925"/>
        </w:tabs>
        <w:spacing w:line="4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签订日期：   年   月    日</w:t>
      </w:r>
    </w:p>
    <w:p w14:paraId="47D60591">
      <w:pPr>
        <w:tabs>
          <w:tab w:val="left" w:pos="1440"/>
        </w:tabs>
        <w:spacing w:line="480" w:lineRule="exact"/>
        <w:jc w:val="center"/>
        <w:rPr>
          <w:rFonts w:hint="eastAsia" w:ascii="宋体" w:hAnsi="宋体"/>
          <w:b/>
          <w:color w:val="000000" w:themeColor="text1"/>
          <w:sz w:val="24"/>
          <w14:textFill>
            <w14:solidFill>
              <w14:schemeClr w14:val="tx1"/>
            </w14:solidFill>
          </w14:textFill>
        </w:rPr>
      </w:pPr>
    </w:p>
    <w:p w14:paraId="646B700D">
      <w:pPr>
        <w:tabs>
          <w:tab w:val="left" w:pos="1440"/>
        </w:tabs>
        <w:spacing w:line="48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注：本合同仅作示范文本，具体以双方签订的正式合同为准，合同内容不得违背本招标</w:t>
      </w:r>
    </w:p>
    <w:p w14:paraId="43A51F67">
      <w:pPr>
        <w:spacing w:line="480" w:lineRule="exact"/>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b/>
          <w:color w:val="000000" w:themeColor="text1"/>
          <w:sz w:val="24"/>
          <w14:textFill>
            <w14:solidFill>
              <w14:schemeClr w14:val="tx1"/>
            </w14:solidFill>
          </w14:textFill>
        </w:rPr>
        <w:t>文件实质性要求。</w:t>
      </w:r>
    </w:p>
    <w:p w14:paraId="0E50EE78">
      <w:pPr>
        <w:spacing w:line="530" w:lineRule="exact"/>
        <w:jc w:val="both"/>
        <w:rPr>
          <w:rFonts w:hint="eastAsia" w:ascii="宋体" w:hAnsi="宋体" w:cs="宋体"/>
          <w:b/>
          <w:color w:val="000000" w:themeColor="text1"/>
          <w:sz w:val="36"/>
          <w:szCs w:val="36"/>
          <w14:textFill>
            <w14:solidFill>
              <w14:schemeClr w14:val="tx1"/>
            </w14:solidFill>
          </w14:textFill>
        </w:rPr>
      </w:pPr>
    </w:p>
    <w:p w14:paraId="7BAF051E">
      <w:pPr>
        <w:spacing w:line="530" w:lineRule="exact"/>
        <w:jc w:val="center"/>
        <w:rPr>
          <w:rFonts w:hint="eastAsia" w:ascii="宋体" w:hAnsi="宋体" w:cs="宋体"/>
          <w:b/>
          <w:color w:val="000000" w:themeColor="text1"/>
          <w:sz w:val="36"/>
          <w:szCs w:val="36"/>
          <w14:textFill>
            <w14:solidFill>
              <w14:schemeClr w14:val="tx1"/>
            </w14:solidFill>
          </w14:textFill>
        </w:rPr>
      </w:pPr>
    </w:p>
    <w:p w14:paraId="1264D08D">
      <w:pPr>
        <w:spacing w:line="530" w:lineRule="exact"/>
        <w:jc w:val="center"/>
        <w:rPr>
          <w:rFonts w:hint="eastAsia" w:ascii="宋体" w:hAnsi="宋体" w:cs="宋体"/>
          <w:b/>
          <w:color w:val="000000" w:themeColor="text1"/>
          <w:sz w:val="36"/>
          <w:szCs w:val="36"/>
          <w14:textFill>
            <w14:solidFill>
              <w14:schemeClr w14:val="tx1"/>
            </w14:solidFill>
          </w14:textFill>
        </w:rPr>
      </w:pPr>
    </w:p>
    <w:p w14:paraId="2B67B499">
      <w:pPr>
        <w:spacing w:line="530" w:lineRule="exact"/>
        <w:jc w:val="center"/>
        <w:rPr>
          <w:rFonts w:hint="eastAsia" w:ascii="宋体" w:hAnsi="宋体" w:cs="宋体"/>
          <w:b/>
          <w:color w:val="000000" w:themeColor="text1"/>
          <w:sz w:val="36"/>
          <w:szCs w:val="36"/>
          <w14:textFill>
            <w14:solidFill>
              <w14:schemeClr w14:val="tx1"/>
            </w14:solidFill>
          </w14:textFill>
        </w:rPr>
      </w:pPr>
    </w:p>
    <w:p w14:paraId="583B90E4">
      <w:pPr>
        <w:spacing w:line="530" w:lineRule="exact"/>
        <w:jc w:val="center"/>
        <w:rPr>
          <w:rFonts w:hint="eastAsia" w:ascii="宋体" w:hAnsi="宋体" w:cs="宋体"/>
          <w:b/>
          <w:color w:val="000000" w:themeColor="text1"/>
          <w:sz w:val="36"/>
          <w:szCs w:val="36"/>
          <w14:textFill>
            <w14:solidFill>
              <w14:schemeClr w14:val="tx1"/>
            </w14:solidFill>
          </w14:textFill>
        </w:rPr>
      </w:pPr>
    </w:p>
    <w:p w14:paraId="09E2412B">
      <w:pPr>
        <w:spacing w:line="530" w:lineRule="exact"/>
        <w:jc w:val="center"/>
        <w:rPr>
          <w:rFonts w:hint="eastAsia" w:ascii="宋体" w:hAnsi="宋体" w:cs="宋体"/>
          <w:b/>
          <w:color w:val="000000" w:themeColor="text1"/>
          <w:sz w:val="36"/>
          <w:szCs w:val="36"/>
          <w14:textFill>
            <w14:solidFill>
              <w14:schemeClr w14:val="tx1"/>
            </w14:solidFill>
          </w14:textFill>
        </w:rPr>
      </w:pPr>
    </w:p>
    <w:p w14:paraId="0554E1B6">
      <w:pPr>
        <w:spacing w:line="530" w:lineRule="exact"/>
        <w:jc w:val="center"/>
        <w:rPr>
          <w:rFonts w:hint="eastAsia" w:ascii="宋体" w:hAnsi="宋体" w:cs="宋体"/>
          <w:b/>
          <w:color w:val="000000" w:themeColor="text1"/>
          <w:sz w:val="36"/>
          <w:szCs w:val="36"/>
          <w14:textFill>
            <w14:solidFill>
              <w14:schemeClr w14:val="tx1"/>
            </w14:solidFill>
          </w14:textFill>
        </w:rPr>
      </w:pPr>
    </w:p>
    <w:p w14:paraId="6DF8CAD6">
      <w:pPr>
        <w:spacing w:line="530" w:lineRule="exact"/>
        <w:jc w:val="center"/>
        <w:rPr>
          <w:rFonts w:hint="eastAsia" w:ascii="宋体" w:hAnsi="宋体" w:cs="宋体"/>
          <w:b/>
          <w:color w:val="000000" w:themeColor="text1"/>
          <w:sz w:val="36"/>
          <w:szCs w:val="36"/>
          <w14:textFill>
            <w14:solidFill>
              <w14:schemeClr w14:val="tx1"/>
            </w14:solidFill>
          </w14:textFill>
        </w:rPr>
      </w:pPr>
    </w:p>
    <w:p w14:paraId="34017CA9">
      <w:pPr>
        <w:pStyle w:val="3"/>
        <w:rPr>
          <w:rFonts w:hint="eastAsia" w:ascii="宋体" w:hAnsi="宋体" w:cs="宋体"/>
          <w:b w:val="0"/>
          <w:color w:val="000000" w:themeColor="text1"/>
          <w:sz w:val="36"/>
          <w:szCs w:val="36"/>
          <w14:textFill>
            <w14:solidFill>
              <w14:schemeClr w14:val="tx1"/>
            </w14:solidFill>
          </w14:textFill>
        </w:rPr>
      </w:pPr>
    </w:p>
    <w:p w14:paraId="6C02F2DA">
      <w:pPr>
        <w:spacing w:line="530" w:lineRule="exact"/>
        <w:jc w:val="both"/>
        <w:rPr>
          <w:rFonts w:hint="eastAsia" w:ascii="宋体" w:hAnsi="宋体" w:cs="宋体"/>
          <w:b/>
          <w:color w:val="000000" w:themeColor="text1"/>
          <w:sz w:val="36"/>
          <w:szCs w:val="36"/>
          <w14:textFill>
            <w14:solidFill>
              <w14:schemeClr w14:val="tx1"/>
            </w14:solidFill>
          </w14:textFill>
        </w:rPr>
      </w:pPr>
    </w:p>
    <w:p w14:paraId="553EB559">
      <w:pPr>
        <w:pStyle w:val="2"/>
        <w:rPr>
          <w:rFonts w:hint="eastAsia" w:ascii="宋体" w:hAnsi="宋体" w:cs="宋体"/>
          <w:b/>
          <w:color w:val="000000" w:themeColor="text1"/>
          <w:sz w:val="36"/>
          <w:szCs w:val="36"/>
          <w14:textFill>
            <w14:solidFill>
              <w14:schemeClr w14:val="tx1"/>
            </w14:solidFill>
          </w14:textFill>
        </w:rPr>
      </w:pPr>
    </w:p>
    <w:p w14:paraId="1710EC2D">
      <w:pPr>
        <w:rPr>
          <w:rFonts w:hint="eastAsia" w:ascii="宋体" w:hAnsi="宋体" w:cs="宋体"/>
          <w:b/>
          <w:color w:val="000000" w:themeColor="text1"/>
          <w:sz w:val="36"/>
          <w:szCs w:val="36"/>
          <w14:textFill>
            <w14:solidFill>
              <w14:schemeClr w14:val="tx1"/>
            </w14:solidFill>
          </w14:textFill>
        </w:rPr>
      </w:pPr>
    </w:p>
    <w:p w14:paraId="5968A982">
      <w:pPr>
        <w:pStyle w:val="2"/>
        <w:rPr>
          <w:rFonts w:hint="eastAsia" w:ascii="宋体" w:hAnsi="宋体" w:cs="宋体"/>
          <w:b/>
          <w:color w:val="000000" w:themeColor="text1"/>
          <w:sz w:val="36"/>
          <w:szCs w:val="36"/>
          <w14:textFill>
            <w14:solidFill>
              <w14:schemeClr w14:val="tx1"/>
            </w14:solidFill>
          </w14:textFill>
        </w:rPr>
      </w:pPr>
    </w:p>
    <w:p w14:paraId="300B965D">
      <w:pPr>
        <w:rPr>
          <w:rFonts w:hint="eastAsia"/>
        </w:rPr>
      </w:pPr>
    </w:p>
    <w:p w14:paraId="79DFB3EA">
      <w:pPr>
        <w:spacing w:line="530" w:lineRule="exact"/>
        <w:jc w:val="center"/>
        <w:rPr>
          <w:rFonts w:hint="eastAsia" w:ascii="宋体" w:hAnsi="宋体" w:cs="宋体"/>
          <w:b/>
          <w:i/>
          <w:iCs/>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第六章  投标文件格式</w:t>
      </w:r>
    </w:p>
    <w:p w14:paraId="01C3B27F">
      <w:pPr>
        <w:autoSpaceDE w:val="0"/>
        <w:autoSpaceDN w:val="0"/>
        <w:adjustRightInd w:val="0"/>
        <w:spacing w:line="640" w:lineRule="exact"/>
        <w:jc w:val="left"/>
        <w:rPr>
          <w:rFonts w:hint="eastAsia" w:ascii="宋体" w:hAnsi="宋体" w:cs="宋体"/>
          <w:b/>
          <w:color w:val="000000" w:themeColor="text1"/>
          <w:sz w:val="24"/>
          <w:lang w:val="zh-CN"/>
          <w14:textFill>
            <w14:solidFill>
              <w14:schemeClr w14:val="tx1"/>
            </w14:solidFill>
          </w14:textFill>
        </w:rPr>
      </w:pPr>
    </w:p>
    <w:p w14:paraId="755AC28A">
      <w:pPr>
        <w:snapToGrid w:val="0"/>
        <w:spacing w:before="50" w:after="50" w:line="360" w:lineRule="auto"/>
        <w:rPr>
          <w:rFonts w:hint="eastAsia"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1.资格文件目录（具体参考第三章供应商须知“投标文件的组成”）</w:t>
      </w:r>
    </w:p>
    <w:p w14:paraId="26779032">
      <w:pPr>
        <w:snapToGrid w:val="0"/>
        <w:spacing w:before="50" w:after="50" w:line="360" w:lineRule="auto"/>
        <w:rPr>
          <w:rFonts w:hint="eastAsia"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w:t>
      </w:r>
    </w:p>
    <w:p w14:paraId="02A23982">
      <w:pPr>
        <w:snapToGrid w:val="0"/>
        <w:spacing w:before="50" w:after="50" w:line="360" w:lineRule="auto"/>
        <w:rPr>
          <w:rFonts w:hint="eastAsia" w:ascii="宋体" w:hAnsi="宋体" w:cs="宋体"/>
          <w:b/>
          <w:bCs/>
          <w:color w:val="000000" w:themeColor="text1"/>
          <w:sz w:val="24"/>
          <w:szCs w:val="28"/>
          <w14:textFill>
            <w14:solidFill>
              <w14:schemeClr w14:val="tx1"/>
            </w14:solidFill>
          </w14:textFill>
        </w:rPr>
      </w:pPr>
    </w:p>
    <w:p w14:paraId="08BE370C">
      <w:pPr>
        <w:snapToGrid w:val="0"/>
        <w:spacing w:before="50" w:after="50" w:line="360" w:lineRule="auto"/>
        <w:rPr>
          <w:rFonts w:hint="eastAsia"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2.商务、资信及其他部分文件目录（具体参考第三章供应商须知“投标文件的组成”）</w:t>
      </w:r>
    </w:p>
    <w:p w14:paraId="17BC08E6">
      <w:pPr>
        <w:snapToGrid w:val="0"/>
        <w:spacing w:before="50" w:after="50" w:line="360" w:lineRule="auto"/>
        <w:rPr>
          <w:rFonts w:hint="eastAsia"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w:t>
      </w:r>
    </w:p>
    <w:p w14:paraId="6D13D720">
      <w:pPr>
        <w:snapToGrid w:val="0"/>
        <w:spacing w:before="50" w:after="50" w:line="360" w:lineRule="auto"/>
        <w:rPr>
          <w:rFonts w:hint="eastAsia"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 xml:space="preserve">  </w:t>
      </w:r>
    </w:p>
    <w:p w14:paraId="390AC598">
      <w:pPr>
        <w:snapToGrid w:val="0"/>
        <w:spacing w:before="50" w:after="50" w:line="360" w:lineRule="auto"/>
        <w:rPr>
          <w:rFonts w:hint="eastAsia" w:ascii="宋体" w:hAnsi="宋体" w:cs="宋体"/>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3.技术文件目录（具体参考第三章供应商须知“投标文件的组成”）</w:t>
      </w:r>
    </w:p>
    <w:p w14:paraId="78C9386C">
      <w:pPr>
        <w:snapToGrid w:val="0"/>
        <w:spacing w:before="50" w:after="50" w:line="360" w:lineRule="auto"/>
        <w:rPr>
          <w:rFonts w:hint="eastAsia"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w:t>
      </w:r>
    </w:p>
    <w:p w14:paraId="04B4E905">
      <w:pPr>
        <w:snapToGrid w:val="0"/>
        <w:spacing w:before="50" w:after="50" w:line="360" w:lineRule="auto"/>
        <w:rPr>
          <w:rFonts w:hint="eastAsia" w:ascii="宋体" w:hAnsi="宋体" w:cs="宋体"/>
          <w:b/>
          <w:color w:val="000000" w:themeColor="text1"/>
          <w:szCs w:val="28"/>
          <w14:textFill>
            <w14:solidFill>
              <w14:schemeClr w14:val="tx1"/>
            </w14:solidFill>
          </w14:textFill>
        </w:rPr>
      </w:pPr>
    </w:p>
    <w:p w14:paraId="3489DC7E">
      <w:pPr>
        <w:snapToGrid w:val="0"/>
        <w:spacing w:before="50" w:after="50" w:line="360" w:lineRule="auto"/>
        <w:rPr>
          <w:rFonts w:hint="eastAsia" w:ascii="宋体" w:hAnsi="宋体" w:cs="宋体"/>
          <w:color w:val="000000" w:themeColor="text1"/>
          <w:sz w:val="24"/>
          <w:szCs w:val="28"/>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报价文件目</w:t>
      </w:r>
      <w:r>
        <w:rPr>
          <w:rFonts w:hint="eastAsia" w:ascii="宋体" w:hAnsi="宋体" w:cs="宋体"/>
          <w:b/>
          <w:bCs/>
          <w:color w:val="000000" w:themeColor="text1"/>
          <w:sz w:val="24"/>
          <w:szCs w:val="28"/>
          <w14:textFill>
            <w14:solidFill>
              <w14:schemeClr w14:val="tx1"/>
            </w14:solidFill>
          </w14:textFill>
        </w:rPr>
        <w:t>录（具体参考第三章供应商须知“投标文件的组成”）</w:t>
      </w:r>
    </w:p>
    <w:p w14:paraId="46B5AF2E">
      <w:pPr>
        <w:snapToGrid w:val="0"/>
        <w:spacing w:before="50" w:after="120" w:afterLines="50" w:line="360" w:lineRule="auto"/>
        <w:jc w:val="left"/>
        <w:rPr>
          <w:rFonts w:hint="eastAsia" w:ascii="宋体" w:hAnsi="宋体" w:cs="宋体"/>
          <w:b/>
          <w:color w:val="000000" w:themeColor="text1"/>
          <w:szCs w:val="28"/>
          <w14:textFill>
            <w14:solidFill>
              <w14:schemeClr w14:val="tx1"/>
            </w14:solidFill>
          </w14:textFill>
        </w:rPr>
      </w:pPr>
    </w:p>
    <w:p w14:paraId="38BF47AF">
      <w:pPr>
        <w:snapToGrid w:val="0"/>
        <w:spacing w:before="50" w:after="120" w:afterLines="50" w:line="360" w:lineRule="auto"/>
        <w:jc w:val="left"/>
        <w:rPr>
          <w:rFonts w:hint="eastAsia" w:ascii="宋体" w:hAnsi="宋体" w:cs="宋体"/>
          <w:b/>
          <w:color w:val="000000" w:themeColor="text1"/>
          <w:szCs w:val="28"/>
          <w14:textFill>
            <w14:solidFill>
              <w14:schemeClr w14:val="tx1"/>
            </w14:solidFill>
          </w14:textFill>
        </w:rPr>
      </w:pPr>
    </w:p>
    <w:p w14:paraId="6916CE43">
      <w:pPr>
        <w:snapToGrid w:val="0"/>
        <w:spacing w:before="50" w:after="120" w:afterLines="50" w:line="360" w:lineRule="auto"/>
        <w:jc w:val="left"/>
        <w:rPr>
          <w:rFonts w:hint="eastAsia" w:ascii="宋体" w:hAnsi="宋体" w:cs="宋体"/>
          <w:b/>
          <w:color w:val="000000" w:themeColor="text1"/>
          <w:szCs w:val="28"/>
          <w14:textFill>
            <w14:solidFill>
              <w14:schemeClr w14:val="tx1"/>
            </w14:solidFill>
          </w14:textFill>
        </w:rPr>
      </w:pPr>
    </w:p>
    <w:p w14:paraId="0A689947">
      <w:pPr>
        <w:snapToGrid w:val="0"/>
        <w:spacing w:before="50" w:after="120" w:afterLines="5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（本章仅提供部分标准通用表格，具体格式内容请参照本招标文件中对投标文件编制要求）</w:t>
      </w:r>
    </w:p>
    <w:p w14:paraId="570FEB95">
      <w:pPr>
        <w:snapToGrid w:val="0"/>
        <w:spacing w:before="120" w:beforeLines="50" w:after="50" w:line="360" w:lineRule="auto"/>
        <w:jc w:val="center"/>
        <w:rPr>
          <w:rFonts w:hint="eastAsia" w:ascii="宋体" w:hAnsi="宋体" w:cs="宋体"/>
          <w:b/>
          <w:color w:val="000000" w:themeColor="text1"/>
          <w:sz w:val="24"/>
          <w14:textFill>
            <w14:solidFill>
              <w14:schemeClr w14:val="tx1"/>
            </w14:solidFill>
          </w14:textFill>
        </w:rPr>
      </w:pPr>
    </w:p>
    <w:p w14:paraId="0FEAE20A">
      <w:pPr>
        <w:autoSpaceDE w:val="0"/>
        <w:autoSpaceDN w:val="0"/>
        <w:adjustRightInd w:val="0"/>
        <w:spacing w:line="540" w:lineRule="exact"/>
        <w:jc w:val="left"/>
        <w:rPr>
          <w:rFonts w:hint="eastAsia" w:ascii="宋体" w:hAnsi="宋体" w:cs="宋体"/>
          <w:b/>
          <w:color w:val="000000" w:themeColor="text1"/>
          <w:sz w:val="24"/>
          <w:lang w:val="zh-CN"/>
          <w14:textFill>
            <w14:solidFill>
              <w14:schemeClr w14:val="tx1"/>
            </w14:solidFill>
          </w14:textFill>
        </w:rPr>
      </w:pPr>
    </w:p>
    <w:p w14:paraId="3169AAB0">
      <w:pPr>
        <w:autoSpaceDE w:val="0"/>
        <w:autoSpaceDN w:val="0"/>
        <w:adjustRightInd w:val="0"/>
        <w:spacing w:line="540" w:lineRule="exact"/>
        <w:jc w:val="left"/>
        <w:rPr>
          <w:rFonts w:hint="eastAsia" w:ascii="宋体" w:hAnsi="宋体" w:cs="宋体"/>
          <w:b/>
          <w:color w:val="000000" w:themeColor="text1"/>
          <w:sz w:val="24"/>
          <w:lang w:val="zh-CN"/>
          <w14:textFill>
            <w14:solidFill>
              <w14:schemeClr w14:val="tx1"/>
            </w14:solidFill>
          </w14:textFill>
        </w:rPr>
      </w:pPr>
    </w:p>
    <w:p w14:paraId="2E2A133F">
      <w:pPr>
        <w:autoSpaceDE w:val="0"/>
        <w:autoSpaceDN w:val="0"/>
        <w:adjustRightInd w:val="0"/>
        <w:spacing w:line="540" w:lineRule="exact"/>
        <w:jc w:val="left"/>
        <w:rPr>
          <w:rFonts w:hint="eastAsia" w:ascii="宋体" w:hAnsi="宋体" w:cs="宋体"/>
          <w:b/>
          <w:color w:val="000000" w:themeColor="text1"/>
          <w:sz w:val="24"/>
          <w:lang w:val="zh-CN"/>
          <w14:textFill>
            <w14:solidFill>
              <w14:schemeClr w14:val="tx1"/>
            </w14:solidFill>
          </w14:textFill>
        </w:rPr>
      </w:pPr>
    </w:p>
    <w:p w14:paraId="51BF8516">
      <w:pPr>
        <w:autoSpaceDE w:val="0"/>
        <w:autoSpaceDN w:val="0"/>
        <w:adjustRightInd w:val="0"/>
        <w:spacing w:line="540" w:lineRule="exact"/>
        <w:jc w:val="left"/>
        <w:rPr>
          <w:rFonts w:hint="eastAsia" w:ascii="宋体" w:hAnsi="宋体" w:cs="宋体"/>
          <w:b/>
          <w:color w:val="000000" w:themeColor="text1"/>
          <w:sz w:val="24"/>
          <w:lang w:val="zh-CN"/>
          <w14:textFill>
            <w14:solidFill>
              <w14:schemeClr w14:val="tx1"/>
            </w14:solidFill>
          </w14:textFill>
        </w:rPr>
      </w:pPr>
    </w:p>
    <w:p w14:paraId="622E5035">
      <w:pPr>
        <w:pStyle w:val="127"/>
        <w:ind w:firstLine="482"/>
        <w:rPr>
          <w:rFonts w:hint="eastAsia" w:ascii="宋体" w:hAnsi="宋体" w:cs="宋体"/>
          <w:b/>
          <w:color w:val="000000" w:themeColor="text1"/>
          <w:sz w:val="24"/>
          <w14:textFill>
            <w14:solidFill>
              <w14:schemeClr w14:val="tx1"/>
            </w14:solidFill>
          </w14:textFill>
        </w:rPr>
      </w:pPr>
    </w:p>
    <w:p w14:paraId="3C03AB2E">
      <w:pPr>
        <w:pStyle w:val="127"/>
        <w:ind w:firstLine="482"/>
        <w:rPr>
          <w:rFonts w:hint="eastAsia" w:ascii="宋体" w:hAnsi="宋体" w:cs="宋体"/>
          <w:b/>
          <w:color w:val="000000" w:themeColor="text1"/>
          <w:sz w:val="24"/>
          <w14:textFill>
            <w14:solidFill>
              <w14:schemeClr w14:val="tx1"/>
            </w14:solidFill>
          </w14:textFill>
        </w:rPr>
      </w:pPr>
    </w:p>
    <w:p w14:paraId="05A01723">
      <w:pPr>
        <w:pStyle w:val="127"/>
        <w:ind w:firstLine="482"/>
        <w:rPr>
          <w:rFonts w:hint="eastAsia" w:ascii="宋体" w:hAnsi="宋体" w:cs="宋体"/>
          <w:b/>
          <w:color w:val="000000" w:themeColor="text1"/>
          <w:sz w:val="24"/>
          <w14:textFill>
            <w14:solidFill>
              <w14:schemeClr w14:val="tx1"/>
            </w14:solidFill>
          </w14:textFill>
        </w:rPr>
      </w:pPr>
    </w:p>
    <w:p w14:paraId="245A5CAD">
      <w:pPr>
        <w:pStyle w:val="127"/>
        <w:ind w:firstLine="482"/>
        <w:rPr>
          <w:rFonts w:hint="eastAsia" w:ascii="宋体" w:hAnsi="宋体" w:cs="宋体"/>
          <w:b/>
          <w:color w:val="000000" w:themeColor="text1"/>
          <w:sz w:val="24"/>
          <w14:textFill>
            <w14:solidFill>
              <w14:schemeClr w14:val="tx1"/>
            </w14:solidFill>
          </w14:textFill>
        </w:rPr>
      </w:pPr>
    </w:p>
    <w:p w14:paraId="038E12F7">
      <w:pPr>
        <w:pStyle w:val="127"/>
        <w:ind w:firstLine="482"/>
        <w:rPr>
          <w:rFonts w:hint="eastAsia" w:ascii="宋体" w:hAnsi="宋体" w:cs="宋体"/>
          <w:b/>
          <w:color w:val="000000" w:themeColor="text1"/>
          <w:sz w:val="24"/>
          <w14:textFill>
            <w14:solidFill>
              <w14:schemeClr w14:val="tx1"/>
            </w14:solidFill>
          </w14:textFill>
        </w:rPr>
      </w:pPr>
    </w:p>
    <w:p w14:paraId="081D5F75">
      <w:pPr>
        <w:pStyle w:val="14"/>
        <w:spacing w:line="500" w:lineRule="exact"/>
        <w:ind w:firstLine="0"/>
        <w:jc w:val="center"/>
        <w:rPr>
          <w:rFonts w:hint="eastAsia" w:ascii="宋体" w:hAnsi="宋体" w:cs="宋体"/>
          <w:b/>
          <w:bCs/>
          <w:color w:val="000000" w:themeColor="text1"/>
          <w:spacing w:val="24"/>
          <w:sz w:val="28"/>
          <w:szCs w:val="28"/>
          <w14:textFill>
            <w14:solidFill>
              <w14:schemeClr w14:val="tx1"/>
            </w14:solidFill>
          </w14:textFill>
        </w:rPr>
      </w:pPr>
      <w:r>
        <w:rPr>
          <w:rFonts w:hint="eastAsia" w:ascii="宋体" w:hAnsi="宋体" w:cs="宋体"/>
          <w:b/>
          <w:bCs/>
          <w:color w:val="000000" w:themeColor="text1"/>
          <w:spacing w:val="24"/>
          <w:sz w:val="28"/>
          <w:szCs w:val="28"/>
          <w14:textFill>
            <w14:solidFill>
              <w14:schemeClr w14:val="tx1"/>
            </w14:solidFill>
          </w14:textFill>
        </w:rPr>
        <w:t>法定代表人有效身份证明书</w:t>
      </w:r>
    </w:p>
    <w:p w14:paraId="5BB08F4B">
      <w:pPr>
        <w:pStyle w:val="14"/>
        <w:spacing w:line="500" w:lineRule="exact"/>
        <w:ind w:firstLine="0"/>
        <w:rPr>
          <w:rFonts w:hint="eastAsia" w:ascii="宋体" w:hAnsi="宋体" w:cs="宋体"/>
          <w:b/>
          <w:bCs/>
          <w:color w:val="000000" w:themeColor="text1"/>
          <w:spacing w:val="24"/>
          <w:sz w:val="24"/>
          <w:szCs w:val="24"/>
          <w14:textFill>
            <w14:solidFill>
              <w14:schemeClr w14:val="tx1"/>
            </w14:solidFill>
          </w14:textFill>
        </w:rPr>
      </w:pPr>
    </w:p>
    <w:p w14:paraId="5ECA4493">
      <w:pPr>
        <w:pStyle w:val="14"/>
        <w:spacing w:line="500" w:lineRule="exact"/>
        <w:ind w:firstLine="0"/>
        <w:rPr>
          <w:rFonts w:hint="eastAsia" w:ascii="宋体" w:hAnsi="宋体" w:cs="宋体"/>
          <w:b/>
          <w:bCs/>
          <w:color w:val="000000" w:themeColor="text1"/>
          <w:spacing w:val="24"/>
          <w:sz w:val="24"/>
          <w:szCs w:val="24"/>
          <w14:textFill>
            <w14:solidFill>
              <w14:schemeClr w14:val="tx1"/>
            </w14:solidFill>
          </w14:textFill>
        </w:rPr>
      </w:pPr>
    </w:p>
    <w:p w14:paraId="0525A609">
      <w:pPr>
        <w:pStyle w:val="14"/>
        <w:spacing w:line="500" w:lineRule="exact"/>
        <w:ind w:firstLine="0"/>
        <w:rPr>
          <w:rFonts w:hint="eastAsia" w:ascii="宋体" w:hAnsi="宋体" w:cs="宋体"/>
          <w:b/>
          <w:bCs/>
          <w:color w:val="000000" w:themeColor="text1"/>
          <w:spacing w:val="24"/>
          <w:sz w:val="24"/>
          <w:szCs w:val="24"/>
          <w14:textFill>
            <w14:solidFill>
              <w14:schemeClr w14:val="tx1"/>
            </w14:solidFill>
          </w14:textFill>
        </w:rPr>
      </w:pPr>
    </w:p>
    <w:p w14:paraId="2F527363">
      <w:pPr>
        <w:pStyle w:val="14"/>
        <w:spacing w:line="56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（单位全称）的法定代表人，身份证号码为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14:paraId="79D95FFB">
      <w:pPr>
        <w:pStyle w:val="14"/>
        <w:spacing w:line="56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特此证明。</w:t>
      </w:r>
    </w:p>
    <w:p w14:paraId="2BECFF4F">
      <w:pPr>
        <w:pStyle w:val="14"/>
        <w:spacing w:line="560" w:lineRule="exact"/>
        <w:ind w:firstLine="374" w:firstLineChars="156"/>
        <w:rPr>
          <w:rFonts w:hint="eastAsia" w:ascii="宋体" w:hAnsi="宋体" w:cs="宋体"/>
          <w:color w:val="000000" w:themeColor="text1"/>
          <w:sz w:val="24"/>
          <w:szCs w:val="24"/>
          <w14:textFill>
            <w14:solidFill>
              <w14:schemeClr w14:val="tx1"/>
            </w14:solidFill>
          </w14:textFill>
        </w:rPr>
      </w:pPr>
    </w:p>
    <w:p w14:paraId="43740221">
      <w:pPr>
        <w:pStyle w:val="14"/>
        <w:spacing w:line="560" w:lineRule="exact"/>
        <w:ind w:firstLine="374" w:firstLineChars="156"/>
        <w:rPr>
          <w:rFonts w:hint="eastAsia" w:ascii="宋体" w:hAnsi="宋体" w:cs="宋体"/>
          <w:color w:val="000000" w:themeColor="text1"/>
          <w:sz w:val="24"/>
          <w:szCs w:val="24"/>
          <w14:textFill>
            <w14:solidFill>
              <w14:schemeClr w14:val="tx1"/>
            </w14:solidFill>
          </w14:textFill>
        </w:rPr>
      </w:pPr>
    </w:p>
    <w:p w14:paraId="05FE1A56">
      <w:pPr>
        <w:pStyle w:val="14"/>
        <w:spacing w:line="560" w:lineRule="exact"/>
        <w:ind w:firstLine="374" w:firstLineChars="156"/>
        <w:rPr>
          <w:rFonts w:hint="eastAsia" w:ascii="宋体" w:hAnsi="宋体" w:cs="宋体"/>
          <w:color w:val="000000" w:themeColor="text1"/>
          <w:sz w:val="24"/>
          <w:szCs w:val="24"/>
          <w14:textFill>
            <w14:solidFill>
              <w14:schemeClr w14:val="tx1"/>
            </w14:solidFill>
          </w14:textFill>
        </w:rPr>
      </w:pPr>
    </w:p>
    <w:p w14:paraId="6E501D86">
      <w:pPr>
        <w:pStyle w:val="14"/>
        <w:spacing w:line="560" w:lineRule="exact"/>
        <w:ind w:firstLine="374" w:firstLineChars="156"/>
        <w:rPr>
          <w:rFonts w:hint="eastAsia" w:ascii="宋体" w:hAnsi="宋体" w:cs="宋体"/>
          <w:color w:val="000000" w:themeColor="text1"/>
          <w:sz w:val="24"/>
          <w:szCs w:val="24"/>
          <w14:textFill>
            <w14:solidFill>
              <w14:schemeClr w14:val="tx1"/>
            </w14:solidFill>
          </w14:textFill>
        </w:rPr>
      </w:pPr>
    </w:p>
    <w:p w14:paraId="31D1D3FB">
      <w:pPr>
        <w:pStyle w:val="14"/>
        <w:spacing w:line="560" w:lineRule="exact"/>
        <w:ind w:firstLine="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（盖章）</w:t>
      </w:r>
    </w:p>
    <w:p w14:paraId="18BDE256">
      <w:pPr>
        <w:pStyle w:val="14"/>
        <w:spacing w:line="560" w:lineRule="exact"/>
        <w:ind w:firstLine="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法定代表人（签名或盖章）</w:t>
      </w:r>
    </w:p>
    <w:p w14:paraId="0703404A">
      <w:pPr>
        <w:pStyle w:val="14"/>
        <w:spacing w:line="560" w:lineRule="exact"/>
        <w:ind w:firstLine="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年   月   日</w:t>
      </w:r>
    </w:p>
    <w:p w14:paraId="3BB4E8DB">
      <w:pPr>
        <w:pStyle w:val="14"/>
        <w:spacing w:line="500" w:lineRule="exact"/>
        <w:ind w:firstLine="374" w:firstLineChars="156"/>
        <w:jc w:val="center"/>
        <w:rPr>
          <w:rFonts w:hint="eastAsia" w:ascii="宋体" w:hAnsi="宋体" w:cs="宋体"/>
          <w:color w:val="000000" w:themeColor="text1"/>
          <w:sz w:val="24"/>
          <w:szCs w:val="24"/>
          <w14:textFill>
            <w14:solidFill>
              <w14:schemeClr w14:val="tx1"/>
            </w14:solidFill>
          </w14:textFill>
        </w:rPr>
      </w:pPr>
    </w:p>
    <w:p w14:paraId="1D1193E8">
      <w:pPr>
        <w:pStyle w:val="14"/>
        <w:spacing w:line="500" w:lineRule="exact"/>
        <w:ind w:firstLine="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14:paraId="362C4D6C">
      <w:pPr>
        <w:pStyle w:val="14"/>
        <w:spacing w:line="500" w:lineRule="exact"/>
        <w:ind w:firstLine="0"/>
        <w:rPr>
          <w:rFonts w:hint="eastAsia" w:ascii="宋体" w:hAnsi="宋体" w:cs="宋体"/>
          <w:color w:val="000000" w:themeColor="text1"/>
          <w:sz w:val="24"/>
          <w:szCs w:val="24"/>
          <w14:textFill>
            <w14:solidFill>
              <w14:schemeClr w14:val="tx1"/>
            </w14:solidFill>
          </w14:textFill>
        </w:rPr>
      </w:pPr>
    </w:p>
    <w:p w14:paraId="09AEA4DE">
      <w:pPr>
        <w:pStyle w:val="14"/>
        <w:spacing w:line="500" w:lineRule="exact"/>
        <w:ind w:firstLine="374" w:firstLineChars="156"/>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有效身份证明正反面复印件粘贴处</w:t>
      </w:r>
    </w:p>
    <w:p w14:paraId="489414BF">
      <w:pPr>
        <w:pStyle w:val="14"/>
        <w:spacing w:line="500" w:lineRule="exact"/>
        <w:ind w:firstLine="374" w:firstLineChars="156"/>
        <w:jc w:val="center"/>
        <w:rPr>
          <w:rFonts w:hint="eastAsia" w:ascii="宋体" w:hAnsi="宋体" w:cs="宋体"/>
          <w:color w:val="000000" w:themeColor="text1"/>
          <w:sz w:val="24"/>
          <w:szCs w:val="24"/>
          <w14:textFill>
            <w14:solidFill>
              <w14:schemeClr w14:val="tx1"/>
            </w14:solidFill>
          </w14:textFill>
        </w:rPr>
      </w:pPr>
    </w:p>
    <w:p w14:paraId="78649D39">
      <w:pPr>
        <w:pStyle w:val="14"/>
        <w:spacing w:line="500" w:lineRule="exact"/>
        <w:ind w:firstLine="374" w:firstLineChars="156"/>
        <w:jc w:val="center"/>
        <w:rPr>
          <w:rFonts w:hint="eastAsia" w:ascii="宋体" w:hAnsi="宋体" w:cs="宋体"/>
          <w:color w:val="000000" w:themeColor="text1"/>
          <w:sz w:val="24"/>
          <w:szCs w:val="24"/>
          <w14:textFill>
            <w14:solidFill>
              <w14:schemeClr w14:val="tx1"/>
            </w14:solidFill>
          </w14:textFill>
        </w:rPr>
      </w:pPr>
    </w:p>
    <w:p w14:paraId="2A19DD34">
      <w:pPr>
        <w:pStyle w:val="14"/>
        <w:spacing w:line="500" w:lineRule="exact"/>
        <w:ind w:firstLine="374" w:firstLineChars="156"/>
        <w:jc w:val="center"/>
        <w:rPr>
          <w:rFonts w:hint="eastAsia" w:ascii="宋体" w:hAnsi="宋体" w:cs="宋体"/>
          <w:color w:val="000000" w:themeColor="text1"/>
          <w:sz w:val="24"/>
          <w:szCs w:val="24"/>
          <w14:textFill>
            <w14:solidFill>
              <w14:schemeClr w14:val="tx1"/>
            </w14:solidFill>
          </w14:textFill>
        </w:rPr>
      </w:pPr>
    </w:p>
    <w:p w14:paraId="02B5E576">
      <w:pPr>
        <w:pStyle w:val="14"/>
        <w:spacing w:line="500" w:lineRule="exact"/>
        <w:ind w:firstLine="451" w:firstLineChars="156"/>
        <w:jc w:val="center"/>
        <w:rPr>
          <w:rFonts w:hint="eastAsia" w:ascii="宋体" w:hAnsi="宋体" w:cs="宋体"/>
          <w:b/>
          <w:bCs/>
          <w:color w:val="000000" w:themeColor="text1"/>
          <w:spacing w:val="24"/>
          <w:sz w:val="24"/>
          <w:szCs w:val="24"/>
          <w14:textFill>
            <w14:solidFill>
              <w14:schemeClr w14:val="tx1"/>
            </w14:solidFill>
          </w14:textFill>
        </w:rPr>
      </w:pPr>
    </w:p>
    <w:p w14:paraId="7ECF0456">
      <w:pPr>
        <w:pStyle w:val="14"/>
        <w:spacing w:line="500" w:lineRule="exact"/>
        <w:ind w:firstLine="451" w:firstLineChars="156"/>
        <w:jc w:val="center"/>
        <w:rPr>
          <w:rFonts w:hint="eastAsia" w:ascii="宋体" w:hAnsi="宋体" w:cs="宋体"/>
          <w:b/>
          <w:bCs/>
          <w:color w:val="000000" w:themeColor="text1"/>
          <w:spacing w:val="24"/>
          <w:sz w:val="24"/>
          <w:szCs w:val="24"/>
          <w14:textFill>
            <w14:solidFill>
              <w14:schemeClr w14:val="tx1"/>
            </w14:solidFill>
          </w14:textFill>
        </w:rPr>
      </w:pPr>
    </w:p>
    <w:p w14:paraId="4668FFB1">
      <w:pPr>
        <w:pStyle w:val="14"/>
        <w:spacing w:line="500" w:lineRule="exact"/>
        <w:ind w:firstLine="451" w:firstLineChars="156"/>
        <w:jc w:val="center"/>
        <w:rPr>
          <w:rFonts w:hint="eastAsia" w:ascii="宋体" w:hAnsi="宋体" w:cs="宋体"/>
          <w:b/>
          <w:bCs/>
          <w:color w:val="000000" w:themeColor="text1"/>
          <w:spacing w:val="24"/>
          <w:sz w:val="24"/>
          <w:szCs w:val="24"/>
          <w14:textFill>
            <w14:solidFill>
              <w14:schemeClr w14:val="tx1"/>
            </w14:solidFill>
          </w14:textFill>
        </w:rPr>
      </w:pPr>
    </w:p>
    <w:p w14:paraId="7B2BD9D0">
      <w:pPr>
        <w:pStyle w:val="14"/>
        <w:spacing w:line="500" w:lineRule="exact"/>
        <w:ind w:firstLine="451" w:firstLineChars="156"/>
        <w:jc w:val="center"/>
        <w:rPr>
          <w:rFonts w:hint="eastAsia" w:ascii="宋体" w:hAnsi="宋体" w:cs="宋体"/>
          <w:b/>
          <w:bCs/>
          <w:color w:val="000000" w:themeColor="text1"/>
          <w:spacing w:val="24"/>
          <w:sz w:val="24"/>
          <w:szCs w:val="24"/>
          <w14:textFill>
            <w14:solidFill>
              <w14:schemeClr w14:val="tx1"/>
            </w14:solidFill>
          </w14:textFill>
        </w:rPr>
      </w:pPr>
    </w:p>
    <w:p w14:paraId="3FDCC1B8">
      <w:pPr>
        <w:pStyle w:val="14"/>
        <w:spacing w:line="600" w:lineRule="exact"/>
        <w:ind w:firstLine="0"/>
        <w:jc w:val="center"/>
        <w:rPr>
          <w:rFonts w:hint="eastAsia" w:ascii="宋体" w:hAnsi="宋体" w:cs="宋体"/>
          <w:b/>
          <w:bCs/>
          <w:color w:val="000000" w:themeColor="text1"/>
          <w:spacing w:val="24"/>
          <w:sz w:val="28"/>
          <w:szCs w:val="28"/>
          <w14:textFill>
            <w14:solidFill>
              <w14:schemeClr w14:val="tx1"/>
            </w14:solidFill>
          </w14:textFill>
        </w:rPr>
      </w:pPr>
    </w:p>
    <w:p w14:paraId="38F260DB">
      <w:pPr>
        <w:pStyle w:val="14"/>
        <w:spacing w:line="600" w:lineRule="exact"/>
        <w:ind w:firstLine="0"/>
        <w:jc w:val="center"/>
        <w:rPr>
          <w:rFonts w:hint="eastAsia" w:ascii="宋体" w:hAnsi="宋体" w:cs="宋体"/>
          <w:b/>
          <w:bCs/>
          <w:color w:val="000000" w:themeColor="text1"/>
          <w:spacing w:val="24"/>
          <w:sz w:val="28"/>
          <w:szCs w:val="28"/>
          <w14:textFill>
            <w14:solidFill>
              <w14:schemeClr w14:val="tx1"/>
            </w14:solidFill>
          </w14:textFill>
        </w:rPr>
      </w:pPr>
      <w:r>
        <w:rPr>
          <w:rFonts w:hint="eastAsia" w:ascii="宋体" w:hAnsi="宋体" w:cs="宋体"/>
          <w:b/>
          <w:bCs/>
          <w:color w:val="000000" w:themeColor="text1"/>
          <w:spacing w:val="24"/>
          <w:sz w:val="28"/>
          <w:szCs w:val="28"/>
          <w14:textFill>
            <w14:solidFill>
              <w14:schemeClr w14:val="tx1"/>
            </w14:solidFill>
          </w14:textFill>
        </w:rPr>
        <w:t>法定代表人授权委托书</w:t>
      </w:r>
    </w:p>
    <w:p w14:paraId="77DA45E3">
      <w:pPr>
        <w:spacing w:line="600" w:lineRule="exact"/>
        <w:ind w:firstLine="480" w:firstLineChars="200"/>
        <w:rPr>
          <w:rFonts w:hint="eastAsia" w:ascii="宋体" w:hAnsi="宋体" w:cs="宋体"/>
          <w:color w:val="000000" w:themeColor="text1"/>
          <w:sz w:val="24"/>
          <w14:textFill>
            <w14:solidFill>
              <w14:schemeClr w14:val="tx1"/>
            </w14:solidFill>
          </w14:textFill>
        </w:rPr>
      </w:pPr>
    </w:p>
    <w:p w14:paraId="0E47EFF7">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（供应商名称）的法定代表人，现授权委托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（姓名）为我单位代理人，以本单位的名义参加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（采购人）的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项目的投标活动。被授权代表在投标、开标、评标、合同谈判过程中所签署的一切文件和处理与之有关的一切事务，我均予以承认。</w:t>
      </w:r>
    </w:p>
    <w:p w14:paraId="5D5260FD">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被授权代表无转委托权，特此委托。</w:t>
      </w:r>
    </w:p>
    <w:p w14:paraId="0668A1E0">
      <w:pPr>
        <w:spacing w:after="156" w:line="600" w:lineRule="exact"/>
        <w:rPr>
          <w:rFonts w:hint="eastAsia" w:ascii="宋体" w:hAnsi="宋体" w:cs="宋体"/>
          <w:b/>
          <w:color w:val="000000" w:themeColor="text1"/>
          <w:sz w:val="24"/>
          <w14:textFill>
            <w14:solidFill>
              <w14:schemeClr w14:val="tx1"/>
            </w14:solidFill>
          </w14:textFill>
        </w:rPr>
      </w:pPr>
    </w:p>
    <w:p w14:paraId="16D16BDB">
      <w:pPr>
        <w:spacing w:line="600" w:lineRule="exac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single"/>
          <w14:textFill>
            <w14:solidFill>
              <w14:schemeClr w14:val="tx1"/>
            </w14:solidFill>
          </w14:textFill>
        </w:rPr>
        <w:t xml:space="preserve">       （签名）   </w:t>
      </w:r>
    </w:p>
    <w:p w14:paraId="259FEDDC">
      <w:pPr>
        <w:spacing w:line="600" w:lineRule="exac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 xml:space="preserve">                    </w:t>
      </w:r>
    </w:p>
    <w:p w14:paraId="32F99637">
      <w:pPr>
        <w:spacing w:line="600" w:lineRule="exac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p>
    <w:p w14:paraId="6938A43D">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u w:val="single"/>
          <w14:textFill>
            <w14:solidFill>
              <w14:schemeClr w14:val="tx1"/>
            </w14:solidFill>
          </w14:textFill>
        </w:rPr>
        <w:t xml:space="preserve">                 （盖章）</w:t>
      </w:r>
    </w:p>
    <w:p w14:paraId="2251E9EF">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（签名或盖章）</w:t>
      </w:r>
    </w:p>
    <w:p w14:paraId="388C1CEC">
      <w:pPr>
        <w:pStyle w:val="14"/>
        <w:spacing w:line="600" w:lineRule="exact"/>
        <w:ind w:firstLine="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年   月   日</w:t>
      </w:r>
    </w:p>
    <w:p w14:paraId="45FB3D37">
      <w:pPr>
        <w:pStyle w:val="14"/>
        <w:spacing w:line="600" w:lineRule="exact"/>
        <w:ind w:firstLine="0"/>
        <w:rPr>
          <w:rFonts w:hint="eastAsia" w:ascii="宋体" w:hAnsi="宋体" w:cs="宋体"/>
          <w:color w:val="000000" w:themeColor="text1"/>
          <w:sz w:val="24"/>
          <w:szCs w:val="24"/>
          <w14:textFill>
            <w14:solidFill>
              <w14:schemeClr w14:val="tx1"/>
            </w14:solidFill>
          </w14:textFill>
        </w:rPr>
      </w:pPr>
    </w:p>
    <w:p w14:paraId="34ABA318">
      <w:pPr>
        <w:pStyle w:val="14"/>
        <w:spacing w:line="600" w:lineRule="exact"/>
        <w:ind w:firstLine="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14:paraId="0720CD1E">
      <w:pPr>
        <w:pStyle w:val="14"/>
        <w:spacing w:line="600" w:lineRule="exact"/>
        <w:ind w:firstLine="0"/>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授权代表有效身份证明正反面复印件粘贴处</w:t>
      </w:r>
    </w:p>
    <w:p w14:paraId="622F2C21">
      <w:pPr>
        <w:pStyle w:val="14"/>
        <w:spacing w:line="600" w:lineRule="exact"/>
        <w:ind w:firstLine="0"/>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（后附授权代表最近三个月中任意1个月个人社保缴纳证明文件）</w:t>
      </w:r>
    </w:p>
    <w:p w14:paraId="00132A66">
      <w:pPr>
        <w:pStyle w:val="14"/>
        <w:spacing w:line="640" w:lineRule="exact"/>
        <w:ind w:firstLine="0"/>
        <w:jc w:val="center"/>
        <w:rPr>
          <w:rFonts w:hint="eastAsia" w:ascii="宋体" w:hAnsi="宋体" w:cs="宋体"/>
          <w:b/>
          <w:bCs/>
          <w:color w:val="000000" w:themeColor="text1"/>
          <w:spacing w:val="24"/>
          <w:sz w:val="28"/>
          <w:szCs w:val="28"/>
          <w14:textFill>
            <w14:solidFill>
              <w14:schemeClr w14:val="tx1"/>
            </w14:solidFill>
          </w14:textFill>
        </w:rPr>
      </w:pPr>
      <w:r>
        <w:rPr>
          <w:rFonts w:hint="eastAsia" w:ascii="宋体" w:hAnsi="宋体" w:cs="宋体"/>
          <w:b/>
          <w:bCs/>
          <w:color w:val="000000" w:themeColor="text1"/>
          <w:spacing w:val="24"/>
          <w:sz w:val="28"/>
          <w:szCs w:val="28"/>
          <w14:textFill>
            <w14:solidFill>
              <w14:schemeClr w14:val="tx1"/>
            </w14:solidFill>
          </w14:textFill>
        </w:rPr>
        <w:t>.</w:t>
      </w:r>
    </w:p>
    <w:p w14:paraId="2F9B9380">
      <w:pPr>
        <w:pStyle w:val="14"/>
        <w:spacing w:line="640" w:lineRule="exact"/>
        <w:ind w:firstLine="0"/>
        <w:jc w:val="center"/>
        <w:rPr>
          <w:rFonts w:hint="eastAsia" w:ascii="宋体" w:hAnsi="宋体" w:cs="宋体"/>
          <w:b/>
          <w:bCs/>
          <w:color w:val="000000" w:themeColor="text1"/>
          <w:spacing w:val="24"/>
          <w:sz w:val="28"/>
          <w:szCs w:val="28"/>
          <w14:textFill>
            <w14:solidFill>
              <w14:schemeClr w14:val="tx1"/>
            </w14:solidFill>
          </w14:textFill>
        </w:rPr>
      </w:pPr>
    </w:p>
    <w:p w14:paraId="7E008649">
      <w:pPr>
        <w:pStyle w:val="14"/>
        <w:spacing w:line="640" w:lineRule="exact"/>
        <w:ind w:firstLine="0"/>
        <w:jc w:val="center"/>
        <w:rPr>
          <w:rFonts w:hint="eastAsia" w:ascii="宋体" w:hAnsi="宋体" w:cs="宋体"/>
          <w:b/>
          <w:bCs/>
          <w:color w:val="000000" w:themeColor="text1"/>
          <w:spacing w:val="24"/>
          <w:sz w:val="28"/>
          <w:szCs w:val="28"/>
          <w14:textFill>
            <w14:solidFill>
              <w14:schemeClr w14:val="tx1"/>
            </w14:solidFill>
          </w14:textFill>
        </w:rPr>
      </w:pPr>
    </w:p>
    <w:p w14:paraId="75CDA745">
      <w:pPr>
        <w:pStyle w:val="14"/>
        <w:spacing w:line="640" w:lineRule="exact"/>
        <w:ind w:firstLine="0"/>
        <w:rPr>
          <w:rFonts w:hint="eastAsia" w:ascii="宋体" w:hAnsi="宋体" w:cs="宋体"/>
          <w:b/>
          <w:bCs/>
          <w:color w:val="000000" w:themeColor="text1"/>
          <w:spacing w:val="24"/>
          <w:sz w:val="28"/>
          <w:szCs w:val="28"/>
          <w14:textFill>
            <w14:solidFill>
              <w14:schemeClr w14:val="tx1"/>
            </w14:solidFill>
          </w14:textFill>
        </w:rPr>
      </w:pPr>
    </w:p>
    <w:p w14:paraId="73E06F3B">
      <w:pPr>
        <w:pStyle w:val="14"/>
        <w:spacing w:line="640" w:lineRule="exact"/>
        <w:ind w:firstLine="0"/>
        <w:jc w:val="center"/>
        <w:rPr>
          <w:rFonts w:hint="eastAsia" w:ascii="宋体" w:hAnsi="宋体" w:cs="宋体"/>
          <w:b/>
          <w:bCs/>
          <w:color w:val="000000" w:themeColor="text1"/>
          <w:spacing w:val="24"/>
          <w:sz w:val="28"/>
          <w:szCs w:val="28"/>
          <w14:textFill>
            <w14:solidFill>
              <w14:schemeClr w14:val="tx1"/>
            </w14:solidFill>
          </w14:textFill>
        </w:rPr>
      </w:pPr>
      <w:r>
        <w:rPr>
          <w:rFonts w:hint="eastAsia" w:ascii="宋体" w:hAnsi="宋体" w:cs="宋体"/>
          <w:b/>
          <w:bCs/>
          <w:color w:val="000000" w:themeColor="text1"/>
          <w:spacing w:val="24"/>
          <w:sz w:val="28"/>
          <w:szCs w:val="28"/>
          <w14:textFill>
            <w14:solidFill>
              <w14:schemeClr w14:val="tx1"/>
            </w14:solidFill>
          </w14:textFill>
        </w:rPr>
        <w:t>信用承诺书</w:t>
      </w:r>
    </w:p>
    <w:p w14:paraId="1000CB42">
      <w:pPr>
        <w:pStyle w:val="14"/>
        <w:spacing w:line="640" w:lineRule="exact"/>
        <w:ind w:firstLine="0"/>
        <w:jc w:val="center"/>
        <w:rPr>
          <w:rFonts w:hint="eastAsia" w:ascii="宋体" w:hAnsi="宋体" w:cs="宋体"/>
          <w:b/>
          <w:bCs/>
          <w:color w:val="000000" w:themeColor="text1"/>
          <w:spacing w:val="24"/>
          <w:sz w:val="28"/>
          <w:szCs w:val="28"/>
          <w14:textFill>
            <w14:solidFill>
              <w14:schemeClr w14:val="tx1"/>
            </w14:solidFill>
          </w14:textFill>
        </w:rPr>
      </w:pPr>
    </w:p>
    <w:p w14:paraId="135EC3AF">
      <w:pPr>
        <w:tabs>
          <w:tab w:val="left" w:pos="1650"/>
        </w:tabs>
        <w:spacing w:line="64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（供应商）现参加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（采购项目）政府采购活动，郑重承诺如下：</w:t>
      </w:r>
    </w:p>
    <w:p w14:paraId="783D3C9C">
      <w:pPr>
        <w:tabs>
          <w:tab w:val="left" w:pos="1650"/>
        </w:tabs>
        <w:spacing w:line="640" w:lineRule="exact"/>
        <w:ind w:firstLine="63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1、对所提供的资料合法性、真实性、准确性和有效性负责；</w:t>
      </w:r>
    </w:p>
    <w:p w14:paraId="3CB82662">
      <w:pPr>
        <w:tabs>
          <w:tab w:val="left" w:pos="1650"/>
        </w:tabs>
        <w:spacing w:line="640" w:lineRule="exact"/>
        <w:ind w:firstLine="63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2、严格按照国家法律、法规和规章，依法开展相关经济活动，全面履行应尽的责任和义务；</w:t>
      </w:r>
    </w:p>
    <w:p w14:paraId="391525BE">
      <w:pPr>
        <w:tabs>
          <w:tab w:val="left" w:pos="1650"/>
        </w:tabs>
        <w:spacing w:line="640" w:lineRule="exact"/>
        <w:ind w:firstLine="63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3、加强自我约束、自我规范、自我管理，不制假售假、不虚假宣传、不违约毁约、不恶意逃债、不偷税漏税，诚信依法经营；</w:t>
      </w:r>
    </w:p>
    <w:p w14:paraId="167973DF">
      <w:pPr>
        <w:tabs>
          <w:tab w:val="left" w:pos="1650"/>
        </w:tabs>
        <w:spacing w:line="640" w:lineRule="exact"/>
        <w:ind w:firstLine="63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4、自愿接受行政主管部门的依法检查、违背承诺约定将自愿承担违约责任，并接受法律法规和相关部门规章制度的惩戒和约束；</w:t>
      </w:r>
    </w:p>
    <w:p w14:paraId="35EC3A54">
      <w:pPr>
        <w:tabs>
          <w:tab w:val="left" w:pos="1650"/>
        </w:tabs>
        <w:spacing w:line="640" w:lineRule="exact"/>
        <w:ind w:firstLine="63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4ECBD2D2">
      <w:pPr>
        <w:pStyle w:val="79"/>
        <w:rPr>
          <w:rFonts w:hint="eastAsia"/>
          <w:color w:val="000000" w:themeColor="text1"/>
          <w14:textFill>
            <w14:solidFill>
              <w14:schemeClr w14:val="tx1"/>
            </w14:solidFill>
          </w14:textFill>
        </w:rPr>
      </w:pPr>
    </w:p>
    <w:p w14:paraId="4924D08E">
      <w:pPr>
        <w:pStyle w:val="140"/>
        <w:spacing w:before="0" w:beforeAutospacing="0" w:after="0" w:afterAutospacing="0" w:line="640" w:lineRule="exact"/>
        <w:ind w:firstLine="600" w:firstLineChars="250"/>
        <w:rPr>
          <w:rFonts w:hint="eastAsia"/>
          <w:color w:val="000000" w:themeColor="text1"/>
          <w:spacing w:val="-7"/>
          <w14:textFill>
            <w14:solidFill>
              <w14:schemeClr w14:val="tx1"/>
            </w14:solidFill>
          </w14:textFill>
        </w:rPr>
      </w:pPr>
      <w:r>
        <w:rPr>
          <w:rFonts w:hint="eastAsia"/>
          <w:color w:val="000000" w:themeColor="text1"/>
          <w:kern w:val="2"/>
          <w14:textFill>
            <w14:solidFill>
              <w14:schemeClr w14:val="tx1"/>
            </w14:solidFill>
          </w14:textFill>
        </w:rPr>
        <w:t>统一社会信用代码：</w:t>
      </w:r>
      <w:r>
        <w:rPr>
          <w:rFonts w:hint="eastAsia"/>
          <w:color w:val="000000" w:themeColor="text1"/>
          <w:spacing w:val="-7"/>
          <w:u w:val="single"/>
          <w14:textFill>
            <w14:solidFill>
              <w14:schemeClr w14:val="tx1"/>
            </w14:solidFill>
          </w14:textFill>
        </w:rPr>
        <w:t xml:space="preserve">                      </w:t>
      </w:r>
      <w:r>
        <w:rPr>
          <w:rFonts w:hint="eastAsia"/>
          <w:color w:val="000000" w:themeColor="text1"/>
          <w:spacing w:val="-7"/>
          <w14:textFill>
            <w14:solidFill>
              <w14:schemeClr w14:val="tx1"/>
            </w14:solidFill>
          </w14:textFill>
        </w:rPr>
        <w:t xml:space="preserve"> </w:t>
      </w:r>
    </w:p>
    <w:p w14:paraId="6A6198BD">
      <w:pPr>
        <w:pStyle w:val="140"/>
        <w:spacing w:before="0" w:beforeAutospacing="0" w:after="0" w:afterAutospacing="0" w:line="6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0BCE2439">
      <w:pPr>
        <w:pStyle w:val="140"/>
        <w:spacing w:before="0" w:beforeAutospacing="0" w:after="0" w:afterAutospacing="0" w:line="640" w:lineRule="exact"/>
        <w:ind w:firstLine="3240" w:firstLineChars="1350"/>
        <w:jc w:val="right"/>
        <w:rPr>
          <w:rFonts w:hint="eastAsia"/>
          <w:color w:val="000000" w:themeColor="text1"/>
          <w:kern w:val="2"/>
          <w14:textFill>
            <w14:solidFill>
              <w14:schemeClr w14:val="tx1"/>
            </w14:solidFill>
          </w14:textFill>
        </w:rPr>
      </w:pPr>
    </w:p>
    <w:p w14:paraId="4642E0CE">
      <w:pPr>
        <w:pStyle w:val="140"/>
        <w:spacing w:before="0" w:beforeAutospacing="0" w:after="0" w:afterAutospacing="0" w:line="640" w:lineRule="exact"/>
        <w:ind w:firstLine="3240" w:firstLineChars="1350"/>
        <w:jc w:val="right"/>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承诺单位/个人：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（盖章/签名）</w:t>
      </w:r>
    </w:p>
    <w:p w14:paraId="5E198466">
      <w:pPr>
        <w:spacing w:line="6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时        间：     年   月   日</w:t>
      </w:r>
    </w:p>
    <w:p w14:paraId="60C31480">
      <w:pPr>
        <w:pStyle w:val="14"/>
        <w:spacing w:line="600" w:lineRule="exact"/>
        <w:ind w:firstLine="0"/>
        <w:jc w:val="center"/>
        <w:rPr>
          <w:rFonts w:hint="eastAsia" w:ascii="宋体" w:hAnsi="宋体" w:cs="宋体"/>
          <w:color w:val="000000" w:themeColor="text1"/>
          <w:sz w:val="24"/>
          <w:szCs w:val="24"/>
          <w14:textFill>
            <w14:solidFill>
              <w14:schemeClr w14:val="tx1"/>
            </w14:solidFill>
          </w14:textFill>
        </w:rPr>
      </w:pPr>
    </w:p>
    <w:p w14:paraId="31F4A702">
      <w:pPr>
        <w:autoSpaceDE w:val="0"/>
        <w:autoSpaceDN w:val="0"/>
        <w:adjustRightInd w:val="0"/>
        <w:spacing w:line="540" w:lineRule="exact"/>
        <w:jc w:val="left"/>
        <w:rPr>
          <w:rFonts w:hint="eastAsia" w:ascii="宋体" w:hAnsi="宋体" w:cs="宋体"/>
          <w:color w:val="000000" w:themeColor="text1"/>
          <w:sz w:val="24"/>
          <w14:textFill>
            <w14:solidFill>
              <w14:schemeClr w14:val="tx1"/>
            </w14:solidFill>
          </w14:textFill>
        </w:rPr>
      </w:pPr>
    </w:p>
    <w:p w14:paraId="060033B2">
      <w:pPr>
        <w:snapToGrid w:val="0"/>
        <w:spacing w:line="360" w:lineRule="auto"/>
        <w:jc w:val="center"/>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技术偏离表</w:t>
      </w:r>
    </w:p>
    <w:tbl>
      <w:tblPr>
        <w:tblStyle w:val="4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3"/>
        <w:gridCol w:w="2332"/>
        <w:gridCol w:w="2333"/>
        <w:gridCol w:w="1499"/>
        <w:gridCol w:w="2444"/>
      </w:tblGrid>
      <w:tr w14:paraId="6894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14:paraId="0081AA33">
            <w:pPr>
              <w:spacing w:before="156"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7008F6F">
            <w:pPr>
              <w:spacing w:before="156"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招标文件规范要求</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15928B1B">
            <w:pPr>
              <w:spacing w:before="156"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投标文件对应规范</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174EE12B">
            <w:pPr>
              <w:spacing w:before="156"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偏离情况</w:t>
            </w:r>
          </w:p>
        </w:tc>
        <w:tc>
          <w:tcPr>
            <w:tcW w:w="2444" w:type="dxa"/>
            <w:tcBorders>
              <w:top w:val="single" w:color="auto" w:sz="4" w:space="0"/>
              <w:left w:val="single" w:color="auto" w:sz="4" w:space="0"/>
              <w:bottom w:val="single" w:color="auto" w:sz="4" w:space="0"/>
              <w:right w:val="single" w:color="auto" w:sz="4" w:space="0"/>
            </w:tcBorders>
            <w:noWrap w:val="0"/>
            <w:vAlign w:val="center"/>
          </w:tcPr>
          <w:p w14:paraId="6E804DB9">
            <w:pPr>
              <w:spacing w:before="156"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偏离原因</w:t>
            </w:r>
          </w:p>
        </w:tc>
      </w:tr>
      <w:tr w14:paraId="1F41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3D5B4646">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70C16698">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5BEADE9C">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046E9252">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492A0DA4">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r>
      <w:tr w14:paraId="01CE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7D4446E3">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4B695A2E">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22043302">
            <w:pPr>
              <w:spacing w:before="156" w:line="360" w:lineRule="auto"/>
              <w:ind w:firstLine="560" w:firstLineChars="200"/>
              <w:jc w:val="center"/>
              <w:rPr>
                <w:rFonts w:hint="eastAsia" w:ascii="宋体" w:hAnsi="宋体" w:cs="宋体"/>
                <w:color w:val="000000" w:themeColor="text1"/>
                <w:szCs w:val="21"/>
                <w14:textFill>
                  <w14:solidFill>
                    <w14:schemeClr w14:val="tx1"/>
                  </w14:solidFill>
                </w14:textFill>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06C19B0E">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3F9618CC">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r>
      <w:tr w14:paraId="08F8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341C9294">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63106F10">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414D76AC">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45BA6590">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1D419C03">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r>
      <w:tr w14:paraId="26E7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2966E670">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04AE76D6">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27B64CEE">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56A7EF21">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2754FC04">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r>
      <w:tr w14:paraId="712B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77B65D5E">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063E52E3">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5EC627B2">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55038314">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627352E7">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r>
      <w:tr w14:paraId="49A5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20EE3EEB">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5E894216">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2F5CDD93">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6656F61F">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252D9486">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r>
      <w:tr w14:paraId="32C6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3EFBCD15">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45928FE1">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4F054420">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5F31A235">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27B92686">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r>
      <w:tr w14:paraId="1A34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1AC2E51F">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5C727E21">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48B7DC1D">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7D9FB723">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1FD48894">
            <w:pPr>
              <w:spacing w:before="156" w:line="360" w:lineRule="auto"/>
              <w:ind w:firstLine="560" w:firstLineChars="200"/>
              <w:rPr>
                <w:rFonts w:hint="eastAsia" w:ascii="宋体" w:hAnsi="宋体" w:cs="宋体"/>
                <w:color w:val="000000" w:themeColor="text1"/>
                <w:szCs w:val="21"/>
                <w14:textFill>
                  <w14:solidFill>
                    <w14:schemeClr w14:val="tx1"/>
                  </w14:solidFill>
                </w14:textFill>
              </w:rPr>
            </w:pPr>
          </w:p>
        </w:tc>
      </w:tr>
    </w:tbl>
    <w:p w14:paraId="395A9493">
      <w:pPr>
        <w:spacing w:before="156"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注：对每个招标内容及要求的响应必须遵循如下规则：</w:t>
      </w:r>
    </w:p>
    <w:p w14:paraId="06FE4162">
      <w:pPr>
        <w:numPr>
          <w:ilvl w:val="0"/>
          <w:numId w:val="3"/>
        </w:numPr>
        <w:spacing w:before="156"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偏离情况用“未响应”、“负偏离”、“正偏离”、“无偏离”四种之一来表明该功能或性能指标参数需求是否被满足。   </w:t>
      </w:r>
    </w:p>
    <w:p w14:paraId="1B21D433">
      <w:pPr>
        <w:numPr>
          <w:ilvl w:val="0"/>
          <w:numId w:val="3"/>
        </w:numPr>
        <w:spacing w:before="156"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偏离表中每一项在同一行一一对应，解释投标方案与用户需求之间的偏差；偏离表中仅填写条款内容但没有在同一行标明响应的，可能被认为是“未响应”，投标单位须承担此不利后果。</w:t>
      </w:r>
    </w:p>
    <w:p w14:paraId="0646F4C5">
      <w:pPr>
        <w:spacing w:before="156"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3.此表可在不改变格式的情况下自行制作。</w:t>
      </w:r>
    </w:p>
    <w:p w14:paraId="0CAD652A">
      <w:pPr>
        <w:spacing w:line="360" w:lineRule="auto"/>
        <w:ind w:left="479" w:leftChars="17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736391B7">
      <w:pPr>
        <w:spacing w:line="360" w:lineRule="auto"/>
        <w:ind w:left="479" w:leftChars="171" w:firstLine="3840" w:firstLineChars="16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p>
    <w:p w14:paraId="0212848A">
      <w:pPr>
        <w:spacing w:line="360" w:lineRule="auto"/>
        <w:ind w:left="479" w:leftChars="17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法定代表人或其授代表（签名或盖章）</w:t>
      </w:r>
      <w:r>
        <w:rPr>
          <w:rFonts w:hint="eastAsia" w:ascii="宋体" w:hAnsi="宋体" w:cs="宋体"/>
          <w:color w:val="000000" w:themeColor="text1"/>
          <w:sz w:val="24"/>
          <w14:textFill>
            <w14:solidFill>
              <w14:schemeClr w14:val="tx1"/>
            </w14:solidFill>
          </w14:textFill>
        </w:rPr>
        <w:t>：</w:t>
      </w:r>
    </w:p>
    <w:p w14:paraId="6CC956C6">
      <w:pPr>
        <w:snapToGrid w:val="0"/>
        <w:spacing w:before="120" w:beforeLines="50" w:after="50"/>
        <w:jc w:val="center"/>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  年  月  日</w:t>
      </w:r>
    </w:p>
    <w:p w14:paraId="22CCAFFA">
      <w:pPr>
        <w:pStyle w:val="14"/>
        <w:spacing w:line="600" w:lineRule="exact"/>
        <w:ind w:firstLine="0"/>
        <w:jc w:val="center"/>
        <w:rPr>
          <w:rFonts w:hint="eastAsia" w:ascii="宋体" w:hAnsi="宋体" w:cs="宋体"/>
          <w:b/>
          <w:bCs/>
          <w:color w:val="000000" w:themeColor="text1"/>
          <w:spacing w:val="24"/>
          <w:sz w:val="28"/>
          <w:szCs w:val="28"/>
          <w14:textFill>
            <w14:solidFill>
              <w14:schemeClr w14:val="tx1"/>
            </w14:solidFill>
          </w14:textFill>
        </w:rPr>
      </w:pPr>
    </w:p>
    <w:p w14:paraId="4A574964">
      <w:pPr>
        <w:pStyle w:val="14"/>
        <w:spacing w:line="600" w:lineRule="exact"/>
        <w:ind w:firstLine="0"/>
        <w:jc w:val="center"/>
        <w:rPr>
          <w:rFonts w:hint="eastAsia" w:ascii="宋体" w:hAnsi="宋体" w:cs="宋体"/>
          <w:b/>
          <w:bCs/>
          <w:color w:val="000000" w:themeColor="text1"/>
          <w:spacing w:val="24"/>
          <w:sz w:val="28"/>
          <w:szCs w:val="28"/>
          <w14:textFill>
            <w14:solidFill>
              <w14:schemeClr w14:val="tx1"/>
            </w14:solidFill>
          </w14:textFill>
        </w:rPr>
      </w:pPr>
    </w:p>
    <w:p w14:paraId="7DE86684">
      <w:pPr>
        <w:spacing w:line="500" w:lineRule="exact"/>
        <w:ind w:right="560" w:rightChars="200"/>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bCs/>
          <w:color w:val="000000" w:themeColor="text1"/>
          <w:spacing w:val="24"/>
          <w:szCs w:val="28"/>
          <w14:textFill>
            <w14:solidFill>
              <w14:schemeClr w14:val="tx1"/>
            </w14:solidFill>
          </w14:textFill>
        </w:rPr>
        <w:t>商务条款偏离表</w:t>
      </w:r>
    </w:p>
    <w:p w14:paraId="7125722F">
      <w:pPr>
        <w:spacing w:line="50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供应商全称（加盖公章）：               </w:t>
      </w:r>
    </w:p>
    <w:p w14:paraId="29146ADA">
      <w:pPr>
        <w:spacing w:line="50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p>
    <w:tbl>
      <w:tblPr>
        <w:tblStyle w:val="43"/>
        <w:tblW w:w="89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3060"/>
        <w:gridCol w:w="3060"/>
        <w:gridCol w:w="1775"/>
      </w:tblGrid>
      <w:tr w14:paraId="68CBD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44521004">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A1599EC">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招标文件的商务条款</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86B907A">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响应文件的商务条款</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0FD9CD49">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偏离原因</w:t>
            </w:r>
          </w:p>
        </w:tc>
      </w:tr>
      <w:tr w14:paraId="09AE9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54913264">
            <w:pPr>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C32478E">
            <w:pPr>
              <w:snapToGrid w:val="0"/>
              <w:spacing w:line="500" w:lineRule="exact"/>
              <w:jc w:val="center"/>
              <w:rPr>
                <w:rFonts w:hint="eastAsia" w:ascii="宋体" w:hAnsi="宋体" w:eastAsia="宋体" w:cs="宋体"/>
                <w:color w:val="000000" w:themeColor="text1"/>
                <w:sz w:val="24"/>
                <w:szCs w:val="20"/>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工期</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5D0BA66">
            <w:pPr>
              <w:spacing w:line="500" w:lineRule="exact"/>
              <w:ind w:firstLine="480" w:firstLineChars="200"/>
              <w:jc w:val="center"/>
              <w:rPr>
                <w:rFonts w:ascii="宋体" w:hAnsi="宋体" w:cs="宋体"/>
                <w:color w:val="000000" w:themeColor="text1"/>
                <w:sz w:val="24"/>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3305323C">
            <w:pPr>
              <w:spacing w:line="500" w:lineRule="exact"/>
              <w:ind w:firstLine="480" w:firstLineChars="200"/>
              <w:jc w:val="center"/>
              <w:rPr>
                <w:rFonts w:ascii="宋体" w:hAnsi="宋体" w:cs="宋体"/>
                <w:color w:val="000000" w:themeColor="text1"/>
                <w:sz w:val="24"/>
                <w14:textFill>
                  <w14:solidFill>
                    <w14:schemeClr w14:val="tx1"/>
                  </w14:solidFill>
                </w14:textFill>
              </w:rPr>
            </w:pPr>
          </w:p>
        </w:tc>
      </w:tr>
      <w:tr w14:paraId="6457E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7D772EAC">
            <w:pPr>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D1E2A70">
            <w:pPr>
              <w:snapToGrid w:val="0"/>
              <w:spacing w:line="500" w:lineRule="exact"/>
              <w:jc w:val="center"/>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履约保证金</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2FCDBD0">
            <w:pPr>
              <w:spacing w:line="500" w:lineRule="exact"/>
              <w:ind w:firstLine="480" w:firstLineChars="200"/>
              <w:jc w:val="center"/>
              <w:rPr>
                <w:rFonts w:ascii="宋体" w:hAnsi="宋体" w:cs="宋体"/>
                <w:color w:val="000000" w:themeColor="text1"/>
                <w:sz w:val="24"/>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2575D4B9">
            <w:pPr>
              <w:spacing w:line="500" w:lineRule="exact"/>
              <w:ind w:firstLine="480" w:firstLineChars="200"/>
              <w:jc w:val="center"/>
              <w:rPr>
                <w:rFonts w:ascii="宋体" w:hAnsi="宋体" w:cs="宋体"/>
                <w:color w:val="000000" w:themeColor="text1"/>
                <w:sz w:val="24"/>
                <w14:textFill>
                  <w14:solidFill>
                    <w14:schemeClr w14:val="tx1"/>
                  </w14:solidFill>
                </w14:textFill>
              </w:rPr>
            </w:pPr>
          </w:p>
        </w:tc>
      </w:tr>
      <w:tr w14:paraId="22AF4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648B4BC5">
            <w:pPr>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0D0F0FB4">
            <w:pPr>
              <w:snapToGrid w:val="0"/>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E356A8A">
            <w:pPr>
              <w:spacing w:line="500" w:lineRule="exact"/>
              <w:ind w:firstLine="480" w:firstLineChars="200"/>
              <w:jc w:val="center"/>
              <w:rPr>
                <w:rFonts w:ascii="宋体" w:hAnsi="宋体" w:cs="宋体"/>
                <w:color w:val="000000" w:themeColor="text1"/>
                <w:sz w:val="24"/>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5610DB9F">
            <w:pPr>
              <w:spacing w:line="500" w:lineRule="exact"/>
              <w:ind w:firstLine="480" w:firstLineChars="200"/>
              <w:jc w:val="center"/>
              <w:rPr>
                <w:rFonts w:ascii="宋体" w:hAnsi="宋体" w:cs="宋体"/>
                <w:color w:val="000000" w:themeColor="text1"/>
                <w:sz w:val="24"/>
                <w14:textFill>
                  <w14:solidFill>
                    <w14:schemeClr w14:val="tx1"/>
                  </w14:solidFill>
                </w14:textFill>
              </w:rPr>
            </w:pPr>
          </w:p>
        </w:tc>
      </w:tr>
      <w:tr w14:paraId="30309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5770E035">
            <w:pPr>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D3706C7">
            <w:pPr>
              <w:spacing w:line="500" w:lineRule="exact"/>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质保期</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95DA615">
            <w:pPr>
              <w:spacing w:line="500" w:lineRule="exact"/>
              <w:ind w:firstLine="480" w:firstLineChars="200"/>
              <w:jc w:val="center"/>
              <w:rPr>
                <w:rFonts w:ascii="宋体" w:hAnsi="宋体" w:cs="宋体"/>
                <w:color w:val="000000" w:themeColor="text1"/>
                <w:sz w:val="24"/>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3AE7831F">
            <w:pPr>
              <w:spacing w:line="500" w:lineRule="exact"/>
              <w:ind w:firstLine="480" w:firstLineChars="200"/>
              <w:jc w:val="center"/>
              <w:rPr>
                <w:rFonts w:ascii="宋体" w:hAnsi="宋体" w:cs="宋体"/>
                <w:color w:val="000000" w:themeColor="text1"/>
                <w:sz w:val="24"/>
                <w14:textFill>
                  <w14:solidFill>
                    <w14:schemeClr w14:val="tx1"/>
                  </w14:solidFill>
                </w14:textFill>
              </w:rPr>
            </w:pPr>
          </w:p>
        </w:tc>
      </w:tr>
      <w:tr w14:paraId="7141D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76B89D89">
            <w:pPr>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F9FC083">
            <w:pPr>
              <w:spacing w:line="50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其他要求</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0BA7F5DD">
            <w:pPr>
              <w:spacing w:line="500" w:lineRule="exact"/>
              <w:ind w:firstLine="480" w:firstLineChars="200"/>
              <w:jc w:val="center"/>
              <w:rPr>
                <w:rFonts w:ascii="宋体" w:hAnsi="宋体" w:cs="宋体"/>
                <w:color w:val="000000" w:themeColor="text1"/>
                <w:sz w:val="24"/>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17CA07CC">
            <w:pPr>
              <w:spacing w:line="500" w:lineRule="exact"/>
              <w:ind w:firstLine="480" w:firstLineChars="200"/>
              <w:jc w:val="center"/>
              <w:rPr>
                <w:rFonts w:ascii="宋体" w:hAnsi="宋体" w:cs="宋体"/>
                <w:color w:val="000000" w:themeColor="text1"/>
                <w:sz w:val="24"/>
                <w14:textFill>
                  <w14:solidFill>
                    <w14:schemeClr w14:val="tx1"/>
                  </w14:solidFill>
                </w14:textFill>
              </w:rPr>
            </w:pPr>
          </w:p>
        </w:tc>
      </w:tr>
      <w:tr w14:paraId="1599A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7794ED78">
            <w:pPr>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E6B9915">
            <w:pPr>
              <w:spacing w:line="500" w:lineRule="exact"/>
              <w:ind w:firstLine="960" w:firstLineChars="400"/>
              <w:rPr>
                <w:rFonts w:ascii="宋体" w:hAnsi="宋体" w:cs="宋体"/>
                <w:color w:val="000000" w:themeColor="text1"/>
                <w:sz w:val="24"/>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521180F">
            <w:pPr>
              <w:spacing w:line="500" w:lineRule="exact"/>
              <w:ind w:firstLine="480" w:firstLineChars="200"/>
              <w:jc w:val="center"/>
              <w:rPr>
                <w:rFonts w:ascii="宋体" w:hAnsi="宋体" w:cs="宋体"/>
                <w:color w:val="000000" w:themeColor="text1"/>
                <w:sz w:val="24"/>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3B89A8DD">
            <w:pPr>
              <w:spacing w:line="500" w:lineRule="exact"/>
              <w:ind w:firstLine="480" w:firstLineChars="200"/>
              <w:jc w:val="center"/>
              <w:rPr>
                <w:rFonts w:ascii="宋体" w:hAnsi="宋体" w:cs="宋体"/>
                <w:color w:val="000000" w:themeColor="text1"/>
                <w:sz w:val="24"/>
                <w14:textFill>
                  <w14:solidFill>
                    <w14:schemeClr w14:val="tx1"/>
                  </w14:solidFill>
                </w14:textFill>
              </w:rPr>
            </w:pPr>
          </w:p>
        </w:tc>
      </w:tr>
    </w:tbl>
    <w:p w14:paraId="69DD5C7F">
      <w:pPr>
        <w:snapToGrid w:val="0"/>
        <w:spacing w:before="120" w:beforeLines="50" w:line="500" w:lineRule="exact"/>
        <w:jc w:val="left"/>
        <w:rPr>
          <w:rFonts w:hint="eastAsia" w:ascii="宋体" w:hAnsi="宋体"/>
          <w:color w:val="000000" w:themeColor="text1"/>
          <w:sz w:val="24"/>
          <w14:textFill>
            <w14:solidFill>
              <w14:schemeClr w14:val="tx1"/>
            </w14:solidFill>
          </w14:textFill>
        </w:rPr>
      </w:pPr>
    </w:p>
    <w:p w14:paraId="06E4D1AD">
      <w:pPr>
        <w:autoSpaceDE w:val="0"/>
        <w:autoSpaceDN w:val="0"/>
        <w:adjustRightInd w:val="0"/>
        <w:spacing w:line="540" w:lineRule="exact"/>
        <w:jc w:val="left"/>
        <w:rPr>
          <w:rFonts w:hint="eastAsia" w:ascii="宋体" w:hAnsi="宋体" w:cs="宋体"/>
          <w:b/>
          <w:color w:val="000000" w:themeColor="text1"/>
          <w:sz w:val="24"/>
          <w:lang w:val="zh-CN"/>
          <w14:textFill>
            <w14:solidFill>
              <w14:schemeClr w14:val="tx1"/>
            </w14:solidFill>
          </w14:textFill>
        </w:rPr>
      </w:pPr>
    </w:p>
    <w:p w14:paraId="1ABA7ED2">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法定代表人或其授权代表（签名或盖章）：</w:t>
      </w:r>
    </w:p>
    <w:p w14:paraId="1288F05C">
      <w:pPr>
        <w:autoSpaceDE w:val="0"/>
        <w:autoSpaceDN w:val="0"/>
        <w:adjustRightInd w:val="0"/>
        <w:spacing w:line="540" w:lineRule="exact"/>
        <w:jc w:val="left"/>
        <w:rPr>
          <w:rFonts w:hint="eastAsia"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14:paraId="6FEE9310">
      <w:pPr>
        <w:spacing w:line="360" w:lineRule="auto"/>
        <w:jc w:val="center"/>
        <w:rPr>
          <w:rFonts w:hint="eastAsia" w:ascii="宋体" w:hAnsi="宋体" w:cs="宋体"/>
          <w:b/>
          <w:bCs/>
          <w:color w:val="000000" w:themeColor="text1"/>
          <w:szCs w:val="28"/>
          <w14:textFill>
            <w14:solidFill>
              <w14:schemeClr w14:val="tx1"/>
            </w14:solidFill>
          </w14:textFill>
        </w:rPr>
      </w:pPr>
    </w:p>
    <w:p w14:paraId="16A534A9">
      <w:pPr>
        <w:spacing w:line="360" w:lineRule="auto"/>
        <w:jc w:val="center"/>
        <w:rPr>
          <w:rFonts w:hint="eastAsia" w:ascii="宋体" w:hAnsi="宋体" w:cs="宋体"/>
          <w:b/>
          <w:bCs/>
          <w:color w:val="000000" w:themeColor="text1"/>
          <w:szCs w:val="28"/>
          <w14:textFill>
            <w14:solidFill>
              <w14:schemeClr w14:val="tx1"/>
            </w14:solidFill>
          </w14:textFill>
        </w:rPr>
      </w:pPr>
    </w:p>
    <w:p w14:paraId="6BF8248D">
      <w:pPr>
        <w:spacing w:line="360" w:lineRule="auto"/>
        <w:jc w:val="center"/>
        <w:rPr>
          <w:rFonts w:hint="eastAsia" w:ascii="宋体" w:hAnsi="宋体" w:cs="宋体"/>
          <w:b/>
          <w:bCs/>
          <w:color w:val="000000" w:themeColor="text1"/>
          <w:szCs w:val="28"/>
          <w14:textFill>
            <w14:solidFill>
              <w14:schemeClr w14:val="tx1"/>
            </w14:solidFill>
          </w14:textFill>
        </w:rPr>
      </w:pPr>
    </w:p>
    <w:p w14:paraId="297A05D5">
      <w:pPr>
        <w:spacing w:line="360" w:lineRule="auto"/>
        <w:jc w:val="center"/>
        <w:rPr>
          <w:rFonts w:hint="eastAsia" w:ascii="宋体" w:hAnsi="宋体" w:cs="宋体"/>
          <w:b/>
          <w:bCs/>
          <w:color w:val="000000" w:themeColor="text1"/>
          <w:szCs w:val="28"/>
          <w14:textFill>
            <w14:solidFill>
              <w14:schemeClr w14:val="tx1"/>
            </w14:solidFill>
          </w14:textFill>
        </w:rPr>
      </w:pPr>
    </w:p>
    <w:p w14:paraId="44FBE67D">
      <w:pPr>
        <w:spacing w:line="360" w:lineRule="auto"/>
        <w:jc w:val="center"/>
        <w:rPr>
          <w:rFonts w:hint="eastAsia" w:ascii="宋体" w:hAnsi="宋体" w:cs="宋体"/>
          <w:b/>
          <w:bCs/>
          <w:color w:val="000000" w:themeColor="text1"/>
          <w:szCs w:val="28"/>
          <w14:textFill>
            <w14:solidFill>
              <w14:schemeClr w14:val="tx1"/>
            </w14:solidFill>
          </w14:textFill>
        </w:rPr>
      </w:pPr>
    </w:p>
    <w:p w14:paraId="467861A0">
      <w:pPr>
        <w:spacing w:line="360" w:lineRule="auto"/>
        <w:jc w:val="center"/>
        <w:rPr>
          <w:rFonts w:hint="eastAsia" w:ascii="宋体" w:hAnsi="宋体" w:cs="宋体"/>
          <w:b/>
          <w:bCs/>
          <w:color w:val="000000" w:themeColor="text1"/>
          <w:szCs w:val="28"/>
          <w14:textFill>
            <w14:solidFill>
              <w14:schemeClr w14:val="tx1"/>
            </w14:solidFill>
          </w14:textFill>
        </w:rPr>
      </w:pPr>
    </w:p>
    <w:p w14:paraId="20616A95">
      <w:pPr>
        <w:spacing w:line="500" w:lineRule="exact"/>
        <w:jc w:val="center"/>
        <w:rPr>
          <w:rFonts w:hint="eastAsia" w:ascii="宋体" w:hAnsi="宋体" w:cs="宋体"/>
          <w:b/>
          <w:bCs/>
          <w:color w:val="000000" w:themeColor="text1"/>
          <w:spacing w:val="14"/>
          <w:szCs w:val="28"/>
          <w14:textFill>
            <w14:solidFill>
              <w14:schemeClr w14:val="tx1"/>
            </w14:solidFill>
          </w14:textFill>
        </w:rPr>
      </w:pPr>
    </w:p>
    <w:p w14:paraId="6B45A56F">
      <w:pPr>
        <w:spacing w:line="360" w:lineRule="auto"/>
        <w:jc w:val="center"/>
        <w:rPr>
          <w:rFonts w:hint="eastAsia" w:ascii="宋体" w:hAnsi="宋体" w:cs="宋体"/>
          <w:b/>
          <w:bCs/>
          <w:color w:val="000000" w:themeColor="text1"/>
          <w:spacing w:val="14"/>
          <w:szCs w:val="28"/>
          <w14:textFill>
            <w14:solidFill>
              <w14:schemeClr w14:val="tx1"/>
            </w14:solidFill>
          </w14:textFill>
        </w:rPr>
      </w:pPr>
    </w:p>
    <w:p w14:paraId="060FFC20">
      <w:pPr>
        <w:pStyle w:val="14"/>
        <w:spacing w:line="600" w:lineRule="exact"/>
        <w:ind w:firstLine="0"/>
        <w:jc w:val="center"/>
        <w:rPr>
          <w:rFonts w:hint="eastAsia" w:ascii="宋体" w:hAnsi="宋体" w:cs="宋体"/>
          <w:b/>
          <w:bCs/>
          <w:color w:val="000000" w:themeColor="text1"/>
          <w:spacing w:val="24"/>
          <w:sz w:val="28"/>
          <w:szCs w:val="28"/>
          <w14:textFill>
            <w14:solidFill>
              <w14:schemeClr w14:val="tx1"/>
            </w14:solidFill>
          </w14:textFill>
        </w:rPr>
      </w:pPr>
      <w:r>
        <w:rPr>
          <w:rFonts w:hint="eastAsia" w:ascii="宋体" w:hAnsi="宋体" w:cs="宋体"/>
          <w:b/>
          <w:bCs/>
          <w:color w:val="000000" w:themeColor="text1"/>
          <w:spacing w:val="24"/>
          <w:sz w:val="28"/>
          <w:szCs w:val="28"/>
          <w14:textFill>
            <w14:solidFill>
              <w14:schemeClr w14:val="tx1"/>
            </w14:solidFill>
          </w14:textFill>
        </w:rPr>
        <w:t>供应商情况表</w:t>
      </w:r>
    </w:p>
    <w:tbl>
      <w:tblPr>
        <w:tblStyle w:val="43"/>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999"/>
      </w:tblGrid>
      <w:tr w14:paraId="6ED9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9249" w:type="dxa"/>
            <w:gridSpan w:val="10"/>
            <w:tcBorders>
              <w:top w:val="single" w:color="auto" w:sz="12" w:space="0"/>
              <w:left w:val="single" w:color="auto" w:sz="12" w:space="0"/>
              <w:bottom w:val="single" w:color="auto" w:sz="6" w:space="0"/>
              <w:right w:val="single" w:color="auto" w:sz="12" w:space="0"/>
            </w:tcBorders>
            <w:noWrap w:val="0"/>
            <w:vAlign w:val="center"/>
          </w:tcPr>
          <w:p w14:paraId="63E3A1D9">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企业情况</w:t>
            </w:r>
          </w:p>
        </w:tc>
      </w:tr>
      <w:tr w14:paraId="6779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70A07C9C">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14:paraId="18F370D0">
            <w:pPr>
              <w:spacing w:line="500" w:lineRule="exact"/>
              <w:jc w:val="center"/>
              <w:rPr>
                <w:rFonts w:hint="eastAsia" w:ascii="宋体" w:hAnsi="宋体" w:cs="宋体"/>
                <w:color w:val="000000" w:themeColor="text1"/>
                <w:sz w:val="24"/>
                <w14:textFill>
                  <w14:solidFill>
                    <w14:schemeClr w14:val="tx1"/>
                  </w14:solidFill>
                </w14:textFill>
              </w:rPr>
            </w:pPr>
          </w:p>
        </w:tc>
      </w:tr>
      <w:tr w14:paraId="60A2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407073DB">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p>
        </w:tc>
        <w:tc>
          <w:tcPr>
            <w:tcW w:w="3730" w:type="dxa"/>
            <w:gridSpan w:val="5"/>
            <w:tcBorders>
              <w:top w:val="single" w:color="auto" w:sz="6" w:space="0"/>
              <w:left w:val="single" w:color="auto" w:sz="6" w:space="0"/>
              <w:bottom w:val="single" w:color="auto" w:sz="6" w:space="0"/>
              <w:right w:val="single" w:color="auto" w:sz="6" w:space="0"/>
            </w:tcBorders>
            <w:noWrap w:val="0"/>
            <w:vAlign w:val="center"/>
          </w:tcPr>
          <w:p w14:paraId="781B6898">
            <w:pPr>
              <w:spacing w:line="500" w:lineRule="exact"/>
              <w:jc w:val="center"/>
              <w:rPr>
                <w:rFonts w:hint="eastAsia" w:ascii="宋体" w:hAnsi="宋体" w:cs="宋体"/>
                <w:color w:val="000000" w:themeColor="text1"/>
                <w:sz w:val="24"/>
                <w14:textFill>
                  <w14:solidFill>
                    <w14:schemeClr w14:val="tx1"/>
                  </w14:solidFill>
                </w14:textFill>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6D67DBC2">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p>
        </w:tc>
        <w:tc>
          <w:tcPr>
            <w:tcW w:w="2133" w:type="dxa"/>
            <w:gridSpan w:val="2"/>
            <w:tcBorders>
              <w:top w:val="single" w:color="auto" w:sz="6" w:space="0"/>
              <w:left w:val="single" w:color="auto" w:sz="6" w:space="0"/>
              <w:bottom w:val="single" w:color="auto" w:sz="6" w:space="0"/>
              <w:right w:val="single" w:color="auto" w:sz="12" w:space="0"/>
            </w:tcBorders>
            <w:noWrap w:val="0"/>
            <w:vAlign w:val="center"/>
          </w:tcPr>
          <w:p w14:paraId="0C3D7DF0">
            <w:pPr>
              <w:spacing w:line="500" w:lineRule="exact"/>
              <w:jc w:val="center"/>
              <w:rPr>
                <w:rFonts w:hint="eastAsia" w:ascii="宋体" w:hAnsi="宋体" w:cs="宋体"/>
                <w:color w:val="000000" w:themeColor="text1"/>
                <w:sz w:val="24"/>
                <w14:textFill>
                  <w14:solidFill>
                    <w14:schemeClr w14:val="tx1"/>
                  </w14:solidFill>
                </w14:textFill>
              </w:rPr>
            </w:pPr>
          </w:p>
        </w:tc>
      </w:tr>
      <w:tr w14:paraId="13F6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7ECB88CC">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noWrap w:val="0"/>
            <w:vAlign w:val="center"/>
          </w:tcPr>
          <w:p w14:paraId="6472DD30">
            <w:pPr>
              <w:spacing w:line="500" w:lineRule="exact"/>
              <w:jc w:val="center"/>
              <w:rPr>
                <w:rFonts w:hint="eastAsia" w:ascii="宋体" w:hAnsi="宋体" w:cs="宋体"/>
                <w:color w:val="000000" w:themeColor="text1"/>
                <w:sz w:val="24"/>
                <w14:textFill>
                  <w14:solidFill>
                    <w14:schemeClr w14:val="tx1"/>
                  </w14:solidFill>
                </w14:textFill>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42A71FD6">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注册资本</w:t>
            </w:r>
          </w:p>
        </w:tc>
        <w:tc>
          <w:tcPr>
            <w:tcW w:w="2133" w:type="dxa"/>
            <w:gridSpan w:val="2"/>
            <w:tcBorders>
              <w:top w:val="single" w:color="auto" w:sz="6" w:space="0"/>
              <w:left w:val="single" w:color="auto" w:sz="6" w:space="0"/>
              <w:bottom w:val="single" w:color="auto" w:sz="6" w:space="0"/>
              <w:right w:val="single" w:color="auto" w:sz="12" w:space="0"/>
            </w:tcBorders>
            <w:noWrap w:val="0"/>
            <w:vAlign w:val="center"/>
          </w:tcPr>
          <w:p w14:paraId="43AA73D3">
            <w:pPr>
              <w:spacing w:line="500" w:lineRule="exact"/>
              <w:jc w:val="center"/>
              <w:rPr>
                <w:rFonts w:hint="eastAsia" w:ascii="宋体" w:hAnsi="宋体" w:cs="宋体"/>
                <w:color w:val="000000" w:themeColor="text1"/>
                <w:sz w:val="24"/>
                <w14:textFill>
                  <w14:solidFill>
                    <w14:schemeClr w14:val="tx1"/>
                  </w14:solidFill>
                </w14:textFill>
              </w:rPr>
            </w:pPr>
          </w:p>
        </w:tc>
      </w:tr>
      <w:tr w14:paraId="4E0C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16599FB5">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noWrap w:val="0"/>
            <w:vAlign w:val="center"/>
          </w:tcPr>
          <w:p w14:paraId="693EEEEB">
            <w:pPr>
              <w:spacing w:line="500" w:lineRule="exact"/>
              <w:jc w:val="center"/>
              <w:rPr>
                <w:rFonts w:hint="eastAsia" w:ascii="宋体" w:hAnsi="宋体" w:cs="宋体"/>
                <w:color w:val="000000" w:themeColor="text1"/>
                <w:sz w:val="24"/>
                <w14:textFill>
                  <w14:solidFill>
                    <w14:schemeClr w14:val="tx1"/>
                  </w14:solidFill>
                </w14:textFill>
              </w:rPr>
            </w:pPr>
          </w:p>
        </w:tc>
        <w:tc>
          <w:tcPr>
            <w:tcW w:w="1390" w:type="dxa"/>
            <w:gridSpan w:val="2"/>
            <w:tcBorders>
              <w:top w:val="single" w:color="auto" w:sz="6" w:space="0"/>
              <w:left w:val="single" w:color="auto" w:sz="6" w:space="0"/>
              <w:bottom w:val="single" w:color="auto" w:sz="6" w:space="0"/>
              <w:right w:val="single" w:color="auto" w:sz="6" w:space="0"/>
            </w:tcBorders>
            <w:noWrap w:val="0"/>
            <w:vAlign w:val="center"/>
          </w:tcPr>
          <w:p w14:paraId="7882EAF8">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帐 号</w:t>
            </w:r>
          </w:p>
        </w:tc>
        <w:tc>
          <w:tcPr>
            <w:tcW w:w="3692" w:type="dxa"/>
            <w:gridSpan w:val="4"/>
            <w:tcBorders>
              <w:top w:val="single" w:color="auto" w:sz="6" w:space="0"/>
              <w:left w:val="single" w:color="auto" w:sz="6" w:space="0"/>
              <w:bottom w:val="single" w:color="auto" w:sz="6" w:space="0"/>
              <w:right w:val="single" w:color="auto" w:sz="12" w:space="0"/>
            </w:tcBorders>
            <w:noWrap w:val="0"/>
            <w:vAlign w:val="center"/>
          </w:tcPr>
          <w:p w14:paraId="1A03EB10">
            <w:pPr>
              <w:spacing w:line="500" w:lineRule="exact"/>
              <w:jc w:val="center"/>
              <w:rPr>
                <w:rFonts w:hint="eastAsia" w:ascii="宋体" w:hAnsi="宋体" w:cs="宋体"/>
                <w:color w:val="000000" w:themeColor="text1"/>
                <w:sz w:val="24"/>
                <w14:textFill>
                  <w14:solidFill>
                    <w14:schemeClr w14:val="tx1"/>
                  </w14:solidFill>
                </w14:textFill>
              </w:rPr>
            </w:pPr>
          </w:p>
        </w:tc>
      </w:tr>
      <w:tr w14:paraId="1BF8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679C77E8">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14:paraId="36FB2D79">
            <w:pPr>
              <w:spacing w:line="500" w:lineRule="exact"/>
              <w:ind w:firstLine="360" w:firstLineChars="150"/>
              <w:rPr>
                <w:rFonts w:hint="eastAsia" w:ascii="宋体" w:hAnsi="宋体" w:cs="宋体"/>
                <w:color w:val="000000" w:themeColor="text1"/>
                <w:sz w:val="24"/>
                <w14:textFill>
                  <w14:solidFill>
                    <w14:schemeClr w14:val="tx1"/>
                  </w14:solidFill>
                </w14:textFill>
              </w:rPr>
            </w:pPr>
          </w:p>
        </w:tc>
      </w:tr>
      <w:tr w14:paraId="005A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37DCDC56">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企业总人数</w:t>
            </w: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1795D87">
            <w:pPr>
              <w:spacing w:line="500" w:lineRule="exact"/>
              <w:jc w:val="center"/>
              <w:rPr>
                <w:rFonts w:hint="eastAsia" w:ascii="宋体" w:hAnsi="宋体" w:cs="宋体"/>
                <w:color w:val="000000" w:themeColor="text1"/>
                <w:sz w:val="24"/>
                <w14:textFill>
                  <w14:solidFill>
                    <w14:schemeClr w14:val="tx1"/>
                  </w14:solidFill>
                </w14:textFill>
              </w:rPr>
            </w:pPr>
          </w:p>
        </w:tc>
        <w:tc>
          <w:tcPr>
            <w:tcW w:w="1134" w:type="dxa"/>
            <w:tcBorders>
              <w:top w:val="single" w:color="auto" w:sz="6" w:space="0"/>
              <w:left w:val="single" w:color="auto" w:sz="6" w:space="0"/>
              <w:right w:val="single" w:color="auto" w:sz="6" w:space="0"/>
            </w:tcBorders>
            <w:noWrap w:val="0"/>
            <w:vAlign w:val="center"/>
          </w:tcPr>
          <w:p w14:paraId="64197A8C">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管理</w:t>
            </w:r>
          </w:p>
          <w:p w14:paraId="30448F96">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人员</w:t>
            </w:r>
          </w:p>
        </w:tc>
        <w:tc>
          <w:tcPr>
            <w:tcW w:w="993" w:type="dxa"/>
            <w:gridSpan w:val="2"/>
            <w:tcBorders>
              <w:top w:val="single" w:color="auto" w:sz="6" w:space="0"/>
              <w:left w:val="single" w:color="auto" w:sz="6" w:space="0"/>
              <w:bottom w:val="single" w:color="auto" w:sz="6" w:space="0"/>
              <w:right w:val="single" w:color="auto" w:sz="6" w:space="0"/>
            </w:tcBorders>
            <w:noWrap w:val="0"/>
            <w:vAlign w:val="center"/>
          </w:tcPr>
          <w:p w14:paraId="51A51DC8">
            <w:pPr>
              <w:spacing w:line="500" w:lineRule="exact"/>
              <w:jc w:val="center"/>
              <w:rPr>
                <w:rFonts w:hint="eastAsia" w:ascii="宋体" w:hAnsi="宋体" w:cs="宋体"/>
                <w:color w:val="000000" w:themeColor="text1"/>
                <w:sz w:val="24"/>
                <w14:textFill>
                  <w14:solidFill>
                    <w14:schemeClr w14:val="tx1"/>
                  </w14:solidFill>
                </w14:textFill>
              </w:rPr>
            </w:pPr>
          </w:p>
        </w:tc>
        <w:tc>
          <w:tcPr>
            <w:tcW w:w="1134" w:type="dxa"/>
            <w:gridSpan w:val="2"/>
            <w:tcBorders>
              <w:top w:val="single" w:color="auto" w:sz="6" w:space="0"/>
              <w:left w:val="single" w:color="auto" w:sz="6" w:space="0"/>
              <w:bottom w:val="single" w:color="auto" w:sz="6" w:space="0"/>
              <w:right w:val="single" w:color="auto" w:sz="4" w:space="0"/>
            </w:tcBorders>
            <w:noWrap w:val="0"/>
            <w:vAlign w:val="center"/>
          </w:tcPr>
          <w:p w14:paraId="0BB7C3FB">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w:t>
            </w:r>
          </w:p>
          <w:p w14:paraId="01B94B2D">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人员</w:t>
            </w:r>
          </w:p>
        </w:tc>
        <w:tc>
          <w:tcPr>
            <w:tcW w:w="992" w:type="dxa"/>
            <w:tcBorders>
              <w:top w:val="single" w:color="auto" w:sz="6" w:space="0"/>
              <w:left w:val="single" w:color="auto" w:sz="4" w:space="0"/>
              <w:bottom w:val="single" w:color="auto" w:sz="6" w:space="0"/>
              <w:right w:val="single" w:color="auto" w:sz="4" w:space="0"/>
            </w:tcBorders>
            <w:noWrap w:val="0"/>
            <w:vAlign w:val="center"/>
          </w:tcPr>
          <w:p w14:paraId="0DD75478">
            <w:pPr>
              <w:spacing w:line="500" w:lineRule="exact"/>
              <w:jc w:val="center"/>
              <w:rPr>
                <w:rFonts w:hint="eastAsia" w:ascii="宋体" w:hAnsi="宋体" w:cs="宋体"/>
                <w:color w:val="000000" w:themeColor="text1"/>
                <w:sz w:val="24"/>
                <w14:textFill>
                  <w14:solidFill>
                    <w14:schemeClr w14:val="tx1"/>
                  </w14:solidFill>
                </w14:textFill>
              </w:rPr>
            </w:pPr>
          </w:p>
        </w:tc>
        <w:tc>
          <w:tcPr>
            <w:tcW w:w="1134" w:type="dxa"/>
            <w:tcBorders>
              <w:top w:val="single" w:color="auto" w:sz="6" w:space="0"/>
              <w:left w:val="single" w:color="auto" w:sz="4" w:space="0"/>
              <w:bottom w:val="single" w:color="auto" w:sz="6" w:space="0"/>
              <w:right w:val="single" w:color="auto" w:sz="4" w:space="0"/>
            </w:tcBorders>
            <w:noWrap w:val="0"/>
            <w:vAlign w:val="center"/>
          </w:tcPr>
          <w:p w14:paraId="29872421">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职工</w:t>
            </w:r>
          </w:p>
          <w:p w14:paraId="1D847CF8">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人员</w:t>
            </w:r>
          </w:p>
        </w:tc>
        <w:tc>
          <w:tcPr>
            <w:tcW w:w="999" w:type="dxa"/>
            <w:tcBorders>
              <w:top w:val="single" w:color="auto" w:sz="6" w:space="0"/>
              <w:left w:val="single" w:color="auto" w:sz="4" w:space="0"/>
              <w:bottom w:val="single" w:color="auto" w:sz="6" w:space="0"/>
              <w:right w:val="single" w:color="auto" w:sz="12" w:space="0"/>
            </w:tcBorders>
            <w:noWrap w:val="0"/>
            <w:vAlign w:val="center"/>
          </w:tcPr>
          <w:p w14:paraId="354E450C">
            <w:pPr>
              <w:spacing w:line="500" w:lineRule="exact"/>
              <w:jc w:val="center"/>
              <w:rPr>
                <w:rFonts w:hint="eastAsia" w:ascii="宋体" w:hAnsi="宋体" w:cs="宋体"/>
                <w:color w:val="000000" w:themeColor="text1"/>
                <w:sz w:val="24"/>
                <w14:textFill>
                  <w14:solidFill>
                    <w14:schemeClr w14:val="tx1"/>
                  </w14:solidFill>
                </w14:textFill>
              </w:rPr>
            </w:pPr>
          </w:p>
        </w:tc>
      </w:tr>
      <w:tr w14:paraId="56A9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34D5E13A">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经营范围</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14:paraId="5F3126B4">
            <w:pPr>
              <w:spacing w:line="500" w:lineRule="exact"/>
              <w:jc w:val="center"/>
              <w:rPr>
                <w:rFonts w:hint="eastAsia" w:ascii="宋体" w:hAnsi="宋体" w:cs="宋体"/>
                <w:color w:val="000000" w:themeColor="text1"/>
                <w:sz w:val="24"/>
                <w14:textFill>
                  <w14:solidFill>
                    <w14:schemeClr w14:val="tx1"/>
                  </w14:solidFill>
                </w14:textFill>
              </w:rPr>
            </w:pPr>
          </w:p>
        </w:tc>
      </w:tr>
      <w:tr w14:paraId="125C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5" w:hRule="atLeast"/>
        </w:trPr>
        <w:tc>
          <w:tcPr>
            <w:tcW w:w="1827" w:type="dxa"/>
            <w:tcBorders>
              <w:top w:val="single" w:color="auto" w:sz="6" w:space="0"/>
              <w:left w:val="single" w:color="auto" w:sz="12" w:space="0"/>
              <w:bottom w:val="single" w:color="auto" w:sz="4" w:space="0"/>
              <w:right w:val="single" w:color="auto" w:sz="6" w:space="0"/>
            </w:tcBorders>
            <w:noWrap w:val="0"/>
            <w:vAlign w:val="center"/>
          </w:tcPr>
          <w:p w14:paraId="07BEBB4F">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企业现有的资</w:t>
            </w:r>
          </w:p>
          <w:p w14:paraId="5E638444">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质证书</w:t>
            </w:r>
          </w:p>
        </w:tc>
        <w:tc>
          <w:tcPr>
            <w:tcW w:w="7422" w:type="dxa"/>
            <w:gridSpan w:val="9"/>
            <w:tcBorders>
              <w:top w:val="single" w:color="auto" w:sz="6" w:space="0"/>
              <w:left w:val="single" w:color="auto" w:sz="6" w:space="0"/>
              <w:bottom w:val="single" w:color="auto" w:sz="4" w:space="0"/>
              <w:right w:val="single" w:color="auto" w:sz="12" w:space="0"/>
            </w:tcBorders>
            <w:noWrap w:val="0"/>
            <w:vAlign w:val="center"/>
          </w:tcPr>
          <w:p w14:paraId="5E0F9E42">
            <w:pPr>
              <w:spacing w:line="500" w:lineRule="exact"/>
              <w:jc w:val="center"/>
              <w:rPr>
                <w:rFonts w:hint="eastAsia" w:ascii="宋体" w:hAnsi="宋体" w:cs="宋体"/>
                <w:color w:val="000000" w:themeColor="text1"/>
                <w:sz w:val="24"/>
                <w14:textFill>
                  <w14:solidFill>
                    <w14:schemeClr w14:val="tx1"/>
                  </w14:solidFill>
                </w14:textFill>
              </w:rPr>
            </w:pPr>
          </w:p>
          <w:p w14:paraId="760495FE">
            <w:pPr>
              <w:spacing w:line="500" w:lineRule="exact"/>
              <w:jc w:val="center"/>
              <w:rPr>
                <w:rFonts w:hint="eastAsia" w:ascii="宋体" w:hAnsi="宋体" w:cs="宋体"/>
                <w:color w:val="000000" w:themeColor="text1"/>
                <w:sz w:val="24"/>
                <w14:textFill>
                  <w14:solidFill>
                    <w14:schemeClr w14:val="tx1"/>
                  </w14:solidFill>
                </w14:textFill>
              </w:rPr>
            </w:pPr>
          </w:p>
          <w:p w14:paraId="361EB983">
            <w:pPr>
              <w:spacing w:line="500" w:lineRule="exact"/>
              <w:jc w:val="center"/>
              <w:rPr>
                <w:rFonts w:hint="eastAsia" w:ascii="宋体" w:hAnsi="宋体" w:cs="宋体"/>
                <w:color w:val="000000" w:themeColor="text1"/>
                <w:sz w:val="24"/>
                <w14:textFill>
                  <w14:solidFill>
                    <w14:schemeClr w14:val="tx1"/>
                  </w14:solidFill>
                </w14:textFill>
              </w:rPr>
            </w:pPr>
          </w:p>
          <w:p w14:paraId="462A50A9">
            <w:pPr>
              <w:spacing w:line="500" w:lineRule="exact"/>
              <w:jc w:val="center"/>
              <w:rPr>
                <w:rFonts w:hint="eastAsia" w:ascii="宋体" w:hAnsi="宋体" w:cs="宋体"/>
                <w:color w:val="000000" w:themeColor="text1"/>
                <w:sz w:val="24"/>
                <w14:textFill>
                  <w14:solidFill>
                    <w14:schemeClr w14:val="tx1"/>
                  </w14:solidFill>
                </w14:textFill>
              </w:rPr>
            </w:pPr>
          </w:p>
          <w:p w14:paraId="23898B9D">
            <w:pPr>
              <w:spacing w:line="500" w:lineRule="exact"/>
              <w:jc w:val="center"/>
              <w:rPr>
                <w:rFonts w:hint="eastAsia" w:ascii="宋体" w:hAnsi="宋体" w:cs="宋体"/>
                <w:color w:val="000000" w:themeColor="text1"/>
                <w:sz w:val="24"/>
                <w14:textFill>
                  <w14:solidFill>
                    <w14:schemeClr w14:val="tx1"/>
                  </w14:solidFill>
                </w14:textFill>
              </w:rPr>
            </w:pPr>
          </w:p>
          <w:p w14:paraId="3AC442C1">
            <w:pPr>
              <w:spacing w:line="500" w:lineRule="exact"/>
              <w:rPr>
                <w:rFonts w:hint="eastAsia" w:ascii="宋体" w:hAnsi="宋体" w:cs="宋体"/>
                <w:color w:val="000000" w:themeColor="text1"/>
                <w:sz w:val="24"/>
                <w14:textFill>
                  <w14:solidFill>
                    <w14:schemeClr w14:val="tx1"/>
                  </w14:solidFill>
                </w14:textFill>
              </w:rPr>
            </w:pPr>
          </w:p>
        </w:tc>
      </w:tr>
    </w:tbl>
    <w:p w14:paraId="508628B3">
      <w:pPr>
        <w:autoSpaceDE w:val="0"/>
        <w:autoSpaceDN w:val="0"/>
        <w:adjustRightInd w:val="0"/>
        <w:spacing w:line="540" w:lineRule="exact"/>
        <w:jc w:val="left"/>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注：表格不能满足时可自行增加。</w:t>
      </w:r>
    </w:p>
    <w:p w14:paraId="213AA24C">
      <w:pPr>
        <w:spacing w:before="120" w:line="420" w:lineRule="exac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法定代表人或其授权代表（签名或盖章）：</w:t>
      </w:r>
      <w:r>
        <w:rPr>
          <w:rFonts w:hint="eastAsia" w:ascii="宋体" w:hAnsi="宋体" w:cs="宋体"/>
          <w:color w:val="000000" w:themeColor="text1"/>
          <w:sz w:val="24"/>
          <w:u w:val="single"/>
          <w14:textFill>
            <w14:solidFill>
              <w14:schemeClr w14:val="tx1"/>
            </w14:solidFill>
          </w14:textFill>
        </w:rPr>
        <w:t xml:space="preserve">             </w:t>
      </w:r>
    </w:p>
    <w:p w14:paraId="061BE779">
      <w:pPr>
        <w:spacing w:before="120" w:after="50" w:line="4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02713961">
      <w:pPr>
        <w:autoSpaceDE w:val="0"/>
        <w:autoSpaceDN w:val="0"/>
        <w:adjustRightInd w:val="0"/>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14:paraId="5E6F9B5F">
      <w:pPr>
        <w:pStyle w:val="14"/>
        <w:spacing w:line="600" w:lineRule="exact"/>
        <w:ind w:firstLine="0"/>
        <w:jc w:val="center"/>
        <w:rPr>
          <w:rFonts w:hint="eastAsia" w:ascii="宋体" w:hAnsi="宋体" w:cs="宋体"/>
          <w:b/>
          <w:bCs/>
          <w:color w:val="000000" w:themeColor="text1"/>
          <w:spacing w:val="24"/>
          <w:sz w:val="28"/>
          <w:szCs w:val="28"/>
          <w14:textFill>
            <w14:solidFill>
              <w14:schemeClr w14:val="tx1"/>
            </w14:solidFill>
          </w14:textFill>
        </w:rPr>
      </w:pPr>
    </w:p>
    <w:p w14:paraId="04063A9B">
      <w:pPr>
        <w:pStyle w:val="14"/>
        <w:spacing w:line="600" w:lineRule="exact"/>
        <w:ind w:firstLine="0"/>
        <w:jc w:val="center"/>
        <w:rPr>
          <w:rFonts w:hint="eastAsia" w:ascii="宋体" w:hAnsi="宋体" w:cs="宋体"/>
          <w:b/>
          <w:bCs/>
          <w:color w:val="000000" w:themeColor="text1"/>
          <w:spacing w:val="24"/>
          <w:sz w:val="28"/>
          <w:szCs w:val="28"/>
          <w14:textFill>
            <w14:solidFill>
              <w14:schemeClr w14:val="tx1"/>
            </w14:solidFill>
          </w14:textFill>
        </w:rPr>
      </w:pPr>
      <w:r>
        <w:rPr>
          <w:rFonts w:hint="eastAsia" w:ascii="宋体" w:hAnsi="宋体" w:cs="宋体"/>
          <w:b/>
          <w:bCs/>
          <w:color w:val="000000" w:themeColor="text1"/>
          <w:spacing w:val="24"/>
          <w:sz w:val="28"/>
          <w:szCs w:val="28"/>
          <w14:textFill>
            <w14:solidFill>
              <w14:schemeClr w14:val="tx1"/>
            </w14:solidFill>
          </w14:textFill>
        </w:rPr>
        <w:t xml:space="preserve"> 企业业绩</w:t>
      </w:r>
    </w:p>
    <w:p w14:paraId="0DD29642">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供应商全称（加盖公章）：            </w:t>
      </w:r>
    </w:p>
    <w:p w14:paraId="313A9629">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p>
    <w:tbl>
      <w:tblPr>
        <w:tblStyle w:val="43"/>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14:paraId="2AE3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noWrap w:val="0"/>
            <w:vAlign w:val="center"/>
          </w:tcPr>
          <w:p w14:paraId="268C99AC">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417" w:type="dxa"/>
            <w:noWrap w:val="0"/>
            <w:vAlign w:val="center"/>
          </w:tcPr>
          <w:p w14:paraId="67442DC8">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p>
        </w:tc>
        <w:tc>
          <w:tcPr>
            <w:tcW w:w="1701" w:type="dxa"/>
            <w:noWrap w:val="0"/>
            <w:vAlign w:val="center"/>
          </w:tcPr>
          <w:p w14:paraId="38A8F3FB">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使用方</w:t>
            </w:r>
          </w:p>
        </w:tc>
        <w:tc>
          <w:tcPr>
            <w:tcW w:w="1559" w:type="dxa"/>
            <w:noWrap w:val="0"/>
            <w:vAlign w:val="center"/>
          </w:tcPr>
          <w:p w14:paraId="52C7FE35">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合同金额</w:t>
            </w:r>
          </w:p>
          <w:p w14:paraId="7D04B76D">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(人民币)</w:t>
            </w:r>
          </w:p>
        </w:tc>
        <w:tc>
          <w:tcPr>
            <w:tcW w:w="1276" w:type="dxa"/>
            <w:noWrap w:val="0"/>
            <w:vAlign w:val="center"/>
          </w:tcPr>
          <w:p w14:paraId="71B36EFD">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签订时间</w:t>
            </w:r>
          </w:p>
        </w:tc>
        <w:tc>
          <w:tcPr>
            <w:tcW w:w="1701" w:type="dxa"/>
            <w:noWrap w:val="0"/>
            <w:vAlign w:val="center"/>
          </w:tcPr>
          <w:p w14:paraId="68F75391">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使用方联系人</w:t>
            </w:r>
          </w:p>
        </w:tc>
        <w:tc>
          <w:tcPr>
            <w:tcW w:w="1302" w:type="dxa"/>
            <w:noWrap w:val="0"/>
            <w:vAlign w:val="center"/>
          </w:tcPr>
          <w:p w14:paraId="2244557A">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联系方式</w:t>
            </w:r>
          </w:p>
        </w:tc>
      </w:tr>
      <w:tr w14:paraId="0206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6631B9AE">
            <w:pPr>
              <w:spacing w:line="360" w:lineRule="auto"/>
              <w:jc w:val="center"/>
              <w:rPr>
                <w:rFonts w:hint="eastAsia" w:ascii="宋体" w:hAnsi="宋体" w:cs="宋体"/>
                <w:bCs/>
                <w:color w:val="000000" w:themeColor="text1"/>
                <w:sz w:val="24"/>
                <w14:textFill>
                  <w14:solidFill>
                    <w14:schemeClr w14:val="tx1"/>
                  </w14:solidFill>
                </w14:textFill>
              </w:rPr>
            </w:pPr>
          </w:p>
        </w:tc>
        <w:tc>
          <w:tcPr>
            <w:tcW w:w="1417" w:type="dxa"/>
            <w:noWrap w:val="0"/>
            <w:vAlign w:val="center"/>
          </w:tcPr>
          <w:p w14:paraId="35CEFE77">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2FE96B87">
            <w:pPr>
              <w:spacing w:line="360" w:lineRule="auto"/>
              <w:jc w:val="center"/>
              <w:rPr>
                <w:rFonts w:hint="eastAsia" w:ascii="宋体" w:hAnsi="宋体" w:cs="宋体"/>
                <w:bCs/>
                <w:color w:val="000000" w:themeColor="text1"/>
                <w:sz w:val="24"/>
                <w14:textFill>
                  <w14:solidFill>
                    <w14:schemeClr w14:val="tx1"/>
                  </w14:solidFill>
                </w14:textFill>
              </w:rPr>
            </w:pPr>
          </w:p>
        </w:tc>
        <w:tc>
          <w:tcPr>
            <w:tcW w:w="1559" w:type="dxa"/>
            <w:noWrap w:val="0"/>
            <w:vAlign w:val="center"/>
          </w:tcPr>
          <w:p w14:paraId="281DAF64">
            <w:pPr>
              <w:spacing w:line="360" w:lineRule="auto"/>
              <w:jc w:val="center"/>
              <w:rPr>
                <w:rFonts w:hint="eastAsia" w:ascii="宋体" w:hAnsi="宋体" w:cs="宋体"/>
                <w:bCs/>
                <w:color w:val="000000" w:themeColor="text1"/>
                <w:sz w:val="24"/>
                <w14:textFill>
                  <w14:solidFill>
                    <w14:schemeClr w14:val="tx1"/>
                  </w14:solidFill>
                </w14:textFill>
              </w:rPr>
            </w:pPr>
          </w:p>
        </w:tc>
        <w:tc>
          <w:tcPr>
            <w:tcW w:w="1276" w:type="dxa"/>
            <w:noWrap w:val="0"/>
            <w:vAlign w:val="center"/>
          </w:tcPr>
          <w:p w14:paraId="21218781">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66B2F7ED">
            <w:pPr>
              <w:spacing w:line="360" w:lineRule="auto"/>
              <w:jc w:val="center"/>
              <w:rPr>
                <w:rFonts w:hint="eastAsia" w:ascii="宋体" w:hAnsi="宋体" w:cs="宋体"/>
                <w:bCs/>
                <w:color w:val="000000" w:themeColor="text1"/>
                <w:sz w:val="24"/>
                <w14:textFill>
                  <w14:solidFill>
                    <w14:schemeClr w14:val="tx1"/>
                  </w14:solidFill>
                </w14:textFill>
              </w:rPr>
            </w:pPr>
          </w:p>
        </w:tc>
        <w:tc>
          <w:tcPr>
            <w:tcW w:w="1302" w:type="dxa"/>
            <w:noWrap w:val="0"/>
            <w:vAlign w:val="center"/>
          </w:tcPr>
          <w:p w14:paraId="1A1F7FCE">
            <w:pPr>
              <w:spacing w:line="360" w:lineRule="auto"/>
              <w:jc w:val="center"/>
              <w:rPr>
                <w:rFonts w:hint="eastAsia" w:ascii="宋体" w:hAnsi="宋体" w:cs="宋体"/>
                <w:bCs/>
                <w:color w:val="000000" w:themeColor="text1"/>
                <w:sz w:val="24"/>
                <w14:textFill>
                  <w14:solidFill>
                    <w14:schemeClr w14:val="tx1"/>
                  </w14:solidFill>
                </w14:textFill>
              </w:rPr>
            </w:pPr>
          </w:p>
        </w:tc>
      </w:tr>
      <w:tr w14:paraId="5693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2AC6BB34">
            <w:pPr>
              <w:spacing w:line="360" w:lineRule="auto"/>
              <w:jc w:val="center"/>
              <w:rPr>
                <w:rFonts w:hint="eastAsia" w:ascii="宋体" w:hAnsi="宋体" w:cs="宋体"/>
                <w:bCs/>
                <w:color w:val="000000" w:themeColor="text1"/>
                <w:sz w:val="24"/>
                <w14:textFill>
                  <w14:solidFill>
                    <w14:schemeClr w14:val="tx1"/>
                  </w14:solidFill>
                </w14:textFill>
              </w:rPr>
            </w:pPr>
          </w:p>
        </w:tc>
        <w:tc>
          <w:tcPr>
            <w:tcW w:w="1417" w:type="dxa"/>
            <w:noWrap w:val="0"/>
            <w:vAlign w:val="center"/>
          </w:tcPr>
          <w:p w14:paraId="56115580">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0CE8C425">
            <w:pPr>
              <w:spacing w:line="360" w:lineRule="auto"/>
              <w:jc w:val="center"/>
              <w:rPr>
                <w:rFonts w:hint="eastAsia" w:ascii="宋体" w:hAnsi="宋体" w:cs="宋体"/>
                <w:bCs/>
                <w:color w:val="000000" w:themeColor="text1"/>
                <w:sz w:val="24"/>
                <w14:textFill>
                  <w14:solidFill>
                    <w14:schemeClr w14:val="tx1"/>
                  </w14:solidFill>
                </w14:textFill>
              </w:rPr>
            </w:pPr>
          </w:p>
        </w:tc>
        <w:tc>
          <w:tcPr>
            <w:tcW w:w="1559" w:type="dxa"/>
            <w:noWrap w:val="0"/>
            <w:vAlign w:val="center"/>
          </w:tcPr>
          <w:p w14:paraId="4BB9BAAD">
            <w:pPr>
              <w:spacing w:line="360" w:lineRule="auto"/>
              <w:jc w:val="center"/>
              <w:rPr>
                <w:rFonts w:hint="eastAsia" w:ascii="宋体" w:hAnsi="宋体" w:cs="宋体"/>
                <w:bCs/>
                <w:color w:val="000000" w:themeColor="text1"/>
                <w:sz w:val="24"/>
                <w14:textFill>
                  <w14:solidFill>
                    <w14:schemeClr w14:val="tx1"/>
                  </w14:solidFill>
                </w14:textFill>
              </w:rPr>
            </w:pPr>
          </w:p>
        </w:tc>
        <w:tc>
          <w:tcPr>
            <w:tcW w:w="1276" w:type="dxa"/>
            <w:noWrap w:val="0"/>
            <w:vAlign w:val="center"/>
          </w:tcPr>
          <w:p w14:paraId="2055585E">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5B7E138D">
            <w:pPr>
              <w:spacing w:line="360" w:lineRule="auto"/>
              <w:jc w:val="center"/>
              <w:rPr>
                <w:rFonts w:hint="eastAsia" w:ascii="宋体" w:hAnsi="宋体" w:cs="宋体"/>
                <w:bCs/>
                <w:color w:val="000000" w:themeColor="text1"/>
                <w:sz w:val="24"/>
                <w14:textFill>
                  <w14:solidFill>
                    <w14:schemeClr w14:val="tx1"/>
                  </w14:solidFill>
                </w14:textFill>
              </w:rPr>
            </w:pPr>
          </w:p>
        </w:tc>
        <w:tc>
          <w:tcPr>
            <w:tcW w:w="1302" w:type="dxa"/>
            <w:noWrap w:val="0"/>
            <w:vAlign w:val="center"/>
          </w:tcPr>
          <w:p w14:paraId="771C069E">
            <w:pPr>
              <w:spacing w:line="360" w:lineRule="auto"/>
              <w:jc w:val="center"/>
              <w:rPr>
                <w:rFonts w:hint="eastAsia" w:ascii="宋体" w:hAnsi="宋体" w:cs="宋体"/>
                <w:bCs/>
                <w:color w:val="000000" w:themeColor="text1"/>
                <w:sz w:val="24"/>
                <w14:textFill>
                  <w14:solidFill>
                    <w14:schemeClr w14:val="tx1"/>
                  </w14:solidFill>
                </w14:textFill>
              </w:rPr>
            </w:pPr>
          </w:p>
        </w:tc>
      </w:tr>
      <w:tr w14:paraId="0AC9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35757256">
            <w:pPr>
              <w:spacing w:line="360" w:lineRule="auto"/>
              <w:jc w:val="center"/>
              <w:rPr>
                <w:rFonts w:hint="eastAsia" w:ascii="宋体" w:hAnsi="宋体" w:cs="宋体"/>
                <w:bCs/>
                <w:color w:val="000000" w:themeColor="text1"/>
                <w:sz w:val="24"/>
                <w14:textFill>
                  <w14:solidFill>
                    <w14:schemeClr w14:val="tx1"/>
                  </w14:solidFill>
                </w14:textFill>
              </w:rPr>
            </w:pPr>
          </w:p>
        </w:tc>
        <w:tc>
          <w:tcPr>
            <w:tcW w:w="1417" w:type="dxa"/>
            <w:noWrap w:val="0"/>
            <w:vAlign w:val="center"/>
          </w:tcPr>
          <w:p w14:paraId="6A3F7502">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712D5505">
            <w:pPr>
              <w:spacing w:line="360" w:lineRule="auto"/>
              <w:jc w:val="center"/>
              <w:rPr>
                <w:rFonts w:hint="eastAsia" w:ascii="宋体" w:hAnsi="宋体" w:cs="宋体"/>
                <w:bCs/>
                <w:color w:val="000000" w:themeColor="text1"/>
                <w:sz w:val="24"/>
                <w14:textFill>
                  <w14:solidFill>
                    <w14:schemeClr w14:val="tx1"/>
                  </w14:solidFill>
                </w14:textFill>
              </w:rPr>
            </w:pPr>
          </w:p>
        </w:tc>
        <w:tc>
          <w:tcPr>
            <w:tcW w:w="1559" w:type="dxa"/>
            <w:noWrap w:val="0"/>
            <w:vAlign w:val="center"/>
          </w:tcPr>
          <w:p w14:paraId="6FBEE7A4">
            <w:pPr>
              <w:spacing w:line="360" w:lineRule="auto"/>
              <w:jc w:val="center"/>
              <w:rPr>
                <w:rFonts w:hint="eastAsia" w:ascii="宋体" w:hAnsi="宋体" w:cs="宋体"/>
                <w:bCs/>
                <w:color w:val="000000" w:themeColor="text1"/>
                <w:sz w:val="24"/>
                <w14:textFill>
                  <w14:solidFill>
                    <w14:schemeClr w14:val="tx1"/>
                  </w14:solidFill>
                </w14:textFill>
              </w:rPr>
            </w:pPr>
          </w:p>
        </w:tc>
        <w:tc>
          <w:tcPr>
            <w:tcW w:w="1276" w:type="dxa"/>
            <w:noWrap w:val="0"/>
            <w:vAlign w:val="center"/>
          </w:tcPr>
          <w:p w14:paraId="23AAB424">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39597357">
            <w:pPr>
              <w:spacing w:line="360" w:lineRule="auto"/>
              <w:jc w:val="center"/>
              <w:rPr>
                <w:rFonts w:hint="eastAsia" w:ascii="宋体" w:hAnsi="宋体" w:cs="宋体"/>
                <w:bCs/>
                <w:color w:val="000000" w:themeColor="text1"/>
                <w:sz w:val="24"/>
                <w14:textFill>
                  <w14:solidFill>
                    <w14:schemeClr w14:val="tx1"/>
                  </w14:solidFill>
                </w14:textFill>
              </w:rPr>
            </w:pPr>
          </w:p>
        </w:tc>
        <w:tc>
          <w:tcPr>
            <w:tcW w:w="1302" w:type="dxa"/>
            <w:noWrap w:val="0"/>
            <w:vAlign w:val="center"/>
          </w:tcPr>
          <w:p w14:paraId="6B28A0D5">
            <w:pPr>
              <w:spacing w:line="360" w:lineRule="auto"/>
              <w:jc w:val="center"/>
              <w:rPr>
                <w:rFonts w:hint="eastAsia" w:ascii="宋体" w:hAnsi="宋体" w:cs="宋体"/>
                <w:bCs/>
                <w:color w:val="000000" w:themeColor="text1"/>
                <w:sz w:val="24"/>
                <w14:textFill>
                  <w14:solidFill>
                    <w14:schemeClr w14:val="tx1"/>
                  </w14:solidFill>
                </w14:textFill>
              </w:rPr>
            </w:pPr>
          </w:p>
        </w:tc>
      </w:tr>
      <w:tr w14:paraId="283C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74A64482">
            <w:pPr>
              <w:spacing w:line="360" w:lineRule="auto"/>
              <w:jc w:val="center"/>
              <w:rPr>
                <w:rFonts w:hint="eastAsia" w:ascii="宋体" w:hAnsi="宋体" w:cs="宋体"/>
                <w:bCs/>
                <w:color w:val="000000" w:themeColor="text1"/>
                <w:sz w:val="24"/>
                <w14:textFill>
                  <w14:solidFill>
                    <w14:schemeClr w14:val="tx1"/>
                  </w14:solidFill>
                </w14:textFill>
              </w:rPr>
            </w:pPr>
          </w:p>
        </w:tc>
        <w:tc>
          <w:tcPr>
            <w:tcW w:w="1417" w:type="dxa"/>
            <w:noWrap w:val="0"/>
            <w:vAlign w:val="center"/>
          </w:tcPr>
          <w:p w14:paraId="01EDA416">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517DB4C3">
            <w:pPr>
              <w:spacing w:line="360" w:lineRule="auto"/>
              <w:jc w:val="center"/>
              <w:rPr>
                <w:rFonts w:hint="eastAsia" w:ascii="宋体" w:hAnsi="宋体" w:cs="宋体"/>
                <w:bCs/>
                <w:color w:val="000000" w:themeColor="text1"/>
                <w:sz w:val="24"/>
                <w14:textFill>
                  <w14:solidFill>
                    <w14:schemeClr w14:val="tx1"/>
                  </w14:solidFill>
                </w14:textFill>
              </w:rPr>
            </w:pPr>
          </w:p>
        </w:tc>
        <w:tc>
          <w:tcPr>
            <w:tcW w:w="1559" w:type="dxa"/>
            <w:noWrap w:val="0"/>
            <w:vAlign w:val="center"/>
          </w:tcPr>
          <w:p w14:paraId="61CC3B2F">
            <w:pPr>
              <w:spacing w:line="360" w:lineRule="auto"/>
              <w:jc w:val="center"/>
              <w:rPr>
                <w:rFonts w:hint="eastAsia" w:ascii="宋体" w:hAnsi="宋体" w:cs="宋体"/>
                <w:bCs/>
                <w:color w:val="000000" w:themeColor="text1"/>
                <w:sz w:val="24"/>
                <w14:textFill>
                  <w14:solidFill>
                    <w14:schemeClr w14:val="tx1"/>
                  </w14:solidFill>
                </w14:textFill>
              </w:rPr>
            </w:pPr>
          </w:p>
        </w:tc>
        <w:tc>
          <w:tcPr>
            <w:tcW w:w="1276" w:type="dxa"/>
            <w:noWrap w:val="0"/>
            <w:vAlign w:val="center"/>
          </w:tcPr>
          <w:p w14:paraId="4AC41DB9">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676E0695">
            <w:pPr>
              <w:spacing w:line="360" w:lineRule="auto"/>
              <w:jc w:val="center"/>
              <w:rPr>
                <w:rFonts w:hint="eastAsia" w:ascii="宋体" w:hAnsi="宋体" w:cs="宋体"/>
                <w:bCs/>
                <w:color w:val="000000" w:themeColor="text1"/>
                <w:sz w:val="24"/>
                <w14:textFill>
                  <w14:solidFill>
                    <w14:schemeClr w14:val="tx1"/>
                  </w14:solidFill>
                </w14:textFill>
              </w:rPr>
            </w:pPr>
          </w:p>
        </w:tc>
        <w:tc>
          <w:tcPr>
            <w:tcW w:w="1302" w:type="dxa"/>
            <w:noWrap w:val="0"/>
            <w:vAlign w:val="center"/>
          </w:tcPr>
          <w:p w14:paraId="44708B39">
            <w:pPr>
              <w:spacing w:line="360" w:lineRule="auto"/>
              <w:jc w:val="center"/>
              <w:rPr>
                <w:rFonts w:hint="eastAsia" w:ascii="宋体" w:hAnsi="宋体" w:cs="宋体"/>
                <w:bCs/>
                <w:color w:val="000000" w:themeColor="text1"/>
                <w:sz w:val="24"/>
                <w14:textFill>
                  <w14:solidFill>
                    <w14:schemeClr w14:val="tx1"/>
                  </w14:solidFill>
                </w14:textFill>
              </w:rPr>
            </w:pPr>
          </w:p>
        </w:tc>
      </w:tr>
      <w:tr w14:paraId="4154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474FD719">
            <w:pPr>
              <w:spacing w:line="360" w:lineRule="auto"/>
              <w:jc w:val="center"/>
              <w:rPr>
                <w:rFonts w:hint="eastAsia" w:ascii="宋体" w:hAnsi="宋体" w:cs="宋体"/>
                <w:bCs/>
                <w:color w:val="000000" w:themeColor="text1"/>
                <w:sz w:val="24"/>
                <w14:textFill>
                  <w14:solidFill>
                    <w14:schemeClr w14:val="tx1"/>
                  </w14:solidFill>
                </w14:textFill>
              </w:rPr>
            </w:pPr>
          </w:p>
        </w:tc>
        <w:tc>
          <w:tcPr>
            <w:tcW w:w="1417" w:type="dxa"/>
            <w:noWrap w:val="0"/>
            <w:vAlign w:val="center"/>
          </w:tcPr>
          <w:p w14:paraId="5A1E91EF">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3E236174">
            <w:pPr>
              <w:spacing w:line="360" w:lineRule="auto"/>
              <w:jc w:val="center"/>
              <w:rPr>
                <w:rFonts w:hint="eastAsia" w:ascii="宋体" w:hAnsi="宋体" w:cs="宋体"/>
                <w:bCs/>
                <w:color w:val="000000" w:themeColor="text1"/>
                <w:sz w:val="24"/>
                <w14:textFill>
                  <w14:solidFill>
                    <w14:schemeClr w14:val="tx1"/>
                  </w14:solidFill>
                </w14:textFill>
              </w:rPr>
            </w:pPr>
          </w:p>
        </w:tc>
        <w:tc>
          <w:tcPr>
            <w:tcW w:w="1559" w:type="dxa"/>
            <w:noWrap w:val="0"/>
            <w:vAlign w:val="center"/>
          </w:tcPr>
          <w:p w14:paraId="11A6F657">
            <w:pPr>
              <w:spacing w:line="360" w:lineRule="auto"/>
              <w:jc w:val="center"/>
              <w:rPr>
                <w:rFonts w:hint="eastAsia" w:ascii="宋体" w:hAnsi="宋体" w:cs="宋体"/>
                <w:bCs/>
                <w:color w:val="000000" w:themeColor="text1"/>
                <w:sz w:val="24"/>
                <w14:textFill>
                  <w14:solidFill>
                    <w14:schemeClr w14:val="tx1"/>
                  </w14:solidFill>
                </w14:textFill>
              </w:rPr>
            </w:pPr>
          </w:p>
        </w:tc>
        <w:tc>
          <w:tcPr>
            <w:tcW w:w="1276" w:type="dxa"/>
            <w:noWrap w:val="0"/>
            <w:vAlign w:val="center"/>
          </w:tcPr>
          <w:p w14:paraId="16BB57A9">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5A9122C5">
            <w:pPr>
              <w:spacing w:line="360" w:lineRule="auto"/>
              <w:jc w:val="center"/>
              <w:rPr>
                <w:rFonts w:hint="eastAsia" w:ascii="宋体" w:hAnsi="宋体" w:cs="宋体"/>
                <w:bCs/>
                <w:color w:val="000000" w:themeColor="text1"/>
                <w:sz w:val="24"/>
                <w14:textFill>
                  <w14:solidFill>
                    <w14:schemeClr w14:val="tx1"/>
                  </w14:solidFill>
                </w14:textFill>
              </w:rPr>
            </w:pPr>
          </w:p>
        </w:tc>
        <w:tc>
          <w:tcPr>
            <w:tcW w:w="1302" w:type="dxa"/>
            <w:noWrap w:val="0"/>
            <w:vAlign w:val="center"/>
          </w:tcPr>
          <w:p w14:paraId="5A232ACC">
            <w:pPr>
              <w:spacing w:line="360" w:lineRule="auto"/>
              <w:jc w:val="center"/>
              <w:rPr>
                <w:rFonts w:hint="eastAsia" w:ascii="宋体" w:hAnsi="宋体" w:cs="宋体"/>
                <w:bCs/>
                <w:color w:val="000000" w:themeColor="text1"/>
                <w:sz w:val="24"/>
                <w14:textFill>
                  <w14:solidFill>
                    <w14:schemeClr w14:val="tx1"/>
                  </w14:solidFill>
                </w14:textFill>
              </w:rPr>
            </w:pPr>
          </w:p>
        </w:tc>
      </w:tr>
      <w:tr w14:paraId="2729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5FB24008">
            <w:pPr>
              <w:spacing w:line="360" w:lineRule="auto"/>
              <w:jc w:val="center"/>
              <w:rPr>
                <w:rFonts w:hint="eastAsia" w:ascii="宋体" w:hAnsi="宋体" w:cs="宋体"/>
                <w:bCs/>
                <w:color w:val="000000" w:themeColor="text1"/>
                <w:sz w:val="24"/>
                <w14:textFill>
                  <w14:solidFill>
                    <w14:schemeClr w14:val="tx1"/>
                  </w14:solidFill>
                </w14:textFill>
              </w:rPr>
            </w:pPr>
          </w:p>
        </w:tc>
        <w:tc>
          <w:tcPr>
            <w:tcW w:w="1417" w:type="dxa"/>
            <w:noWrap w:val="0"/>
            <w:vAlign w:val="center"/>
          </w:tcPr>
          <w:p w14:paraId="279838AA">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174C412A">
            <w:pPr>
              <w:spacing w:line="360" w:lineRule="auto"/>
              <w:jc w:val="center"/>
              <w:rPr>
                <w:rFonts w:hint="eastAsia" w:ascii="宋体" w:hAnsi="宋体" w:cs="宋体"/>
                <w:bCs/>
                <w:color w:val="000000" w:themeColor="text1"/>
                <w:sz w:val="24"/>
                <w14:textFill>
                  <w14:solidFill>
                    <w14:schemeClr w14:val="tx1"/>
                  </w14:solidFill>
                </w14:textFill>
              </w:rPr>
            </w:pPr>
          </w:p>
        </w:tc>
        <w:tc>
          <w:tcPr>
            <w:tcW w:w="1559" w:type="dxa"/>
            <w:noWrap w:val="0"/>
            <w:vAlign w:val="center"/>
          </w:tcPr>
          <w:p w14:paraId="339EEE69">
            <w:pPr>
              <w:spacing w:line="360" w:lineRule="auto"/>
              <w:jc w:val="center"/>
              <w:rPr>
                <w:rFonts w:hint="eastAsia" w:ascii="宋体" w:hAnsi="宋体" w:cs="宋体"/>
                <w:bCs/>
                <w:color w:val="000000" w:themeColor="text1"/>
                <w:sz w:val="24"/>
                <w14:textFill>
                  <w14:solidFill>
                    <w14:schemeClr w14:val="tx1"/>
                  </w14:solidFill>
                </w14:textFill>
              </w:rPr>
            </w:pPr>
          </w:p>
        </w:tc>
        <w:tc>
          <w:tcPr>
            <w:tcW w:w="1276" w:type="dxa"/>
            <w:noWrap w:val="0"/>
            <w:vAlign w:val="center"/>
          </w:tcPr>
          <w:p w14:paraId="3B303733">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32595CB6">
            <w:pPr>
              <w:spacing w:line="360" w:lineRule="auto"/>
              <w:jc w:val="center"/>
              <w:rPr>
                <w:rFonts w:hint="eastAsia" w:ascii="宋体" w:hAnsi="宋体" w:cs="宋体"/>
                <w:bCs/>
                <w:color w:val="000000" w:themeColor="text1"/>
                <w:sz w:val="24"/>
                <w14:textFill>
                  <w14:solidFill>
                    <w14:schemeClr w14:val="tx1"/>
                  </w14:solidFill>
                </w14:textFill>
              </w:rPr>
            </w:pPr>
          </w:p>
        </w:tc>
        <w:tc>
          <w:tcPr>
            <w:tcW w:w="1302" w:type="dxa"/>
            <w:noWrap w:val="0"/>
            <w:vAlign w:val="center"/>
          </w:tcPr>
          <w:p w14:paraId="6F5BEE48">
            <w:pPr>
              <w:spacing w:line="360" w:lineRule="auto"/>
              <w:jc w:val="center"/>
              <w:rPr>
                <w:rFonts w:hint="eastAsia" w:ascii="宋体" w:hAnsi="宋体" w:cs="宋体"/>
                <w:bCs/>
                <w:color w:val="000000" w:themeColor="text1"/>
                <w:sz w:val="24"/>
                <w14:textFill>
                  <w14:solidFill>
                    <w14:schemeClr w14:val="tx1"/>
                  </w14:solidFill>
                </w14:textFill>
              </w:rPr>
            </w:pPr>
          </w:p>
        </w:tc>
      </w:tr>
      <w:tr w14:paraId="3AC8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7ECF13B3">
            <w:pPr>
              <w:spacing w:line="360" w:lineRule="auto"/>
              <w:jc w:val="center"/>
              <w:rPr>
                <w:rFonts w:hint="eastAsia" w:ascii="宋体" w:hAnsi="宋体" w:cs="宋体"/>
                <w:bCs/>
                <w:color w:val="000000" w:themeColor="text1"/>
                <w:sz w:val="24"/>
                <w14:textFill>
                  <w14:solidFill>
                    <w14:schemeClr w14:val="tx1"/>
                  </w14:solidFill>
                </w14:textFill>
              </w:rPr>
            </w:pPr>
          </w:p>
        </w:tc>
        <w:tc>
          <w:tcPr>
            <w:tcW w:w="1417" w:type="dxa"/>
            <w:noWrap w:val="0"/>
            <w:vAlign w:val="center"/>
          </w:tcPr>
          <w:p w14:paraId="5D0BD020">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78021E7B">
            <w:pPr>
              <w:spacing w:line="360" w:lineRule="auto"/>
              <w:jc w:val="center"/>
              <w:rPr>
                <w:rFonts w:hint="eastAsia" w:ascii="宋体" w:hAnsi="宋体" w:cs="宋体"/>
                <w:bCs/>
                <w:color w:val="000000" w:themeColor="text1"/>
                <w:sz w:val="24"/>
                <w14:textFill>
                  <w14:solidFill>
                    <w14:schemeClr w14:val="tx1"/>
                  </w14:solidFill>
                </w14:textFill>
              </w:rPr>
            </w:pPr>
          </w:p>
        </w:tc>
        <w:tc>
          <w:tcPr>
            <w:tcW w:w="1559" w:type="dxa"/>
            <w:noWrap w:val="0"/>
            <w:vAlign w:val="center"/>
          </w:tcPr>
          <w:p w14:paraId="5073A97A">
            <w:pPr>
              <w:spacing w:line="360" w:lineRule="auto"/>
              <w:jc w:val="center"/>
              <w:rPr>
                <w:rFonts w:hint="eastAsia" w:ascii="宋体" w:hAnsi="宋体" w:cs="宋体"/>
                <w:bCs/>
                <w:color w:val="000000" w:themeColor="text1"/>
                <w:sz w:val="24"/>
                <w14:textFill>
                  <w14:solidFill>
                    <w14:schemeClr w14:val="tx1"/>
                  </w14:solidFill>
                </w14:textFill>
              </w:rPr>
            </w:pPr>
          </w:p>
        </w:tc>
        <w:tc>
          <w:tcPr>
            <w:tcW w:w="1276" w:type="dxa"/>
            <w:noWrap w:val="0"/>
            <w:vAlign w:val="center"/>
          </w:tcPr>
          <w:p w14:paraId="330484E6">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40D5D2B4">
            <w:pPr>
              <w:spacing w:line="360" w:lineRule="auto"/>
              <w:jc w:val="center"/>
              <w:rPr>
                <w:rFonts w:hint="eastAsia" w:ascii="宋体" w:hAnsi="宋体" w:cs="宋体"/>
                <w:bCs/>
                <w:color w:val="000000" w:themeColor="text1"/>
                <w:sz w:val="24"/>
                <w14:textFill>
                  <w14:solidFill>
                    <w14:schemeClr w14:val="tx1"/>
                  </w14:solidFill>
                </w14:textFill>
              </w:rPr>
            </w:pPr>
          </w:p>
        </w:tc>
        <w:tc>
          <w:tcPr>
            <w:tcW w:w="1302" w:type="dxa"/>
            <w:noWrap w:val="0"/>
            <w:vAlign w:val="center"/>
          </w:tcPr>
          <w:p w14:paraId="3EC2D641">
            <w:pPr>
              <w:spacing w:line="360" w:lineRule="auto"/>
              <w:jc w:val="center"/>
              <w:rPr>
                <w:rFonts w:hint="eastAsia" w:ascii="宋体" w:hAnsi="宋体" w:cs="宋体"/>
                <w:bCs/>
                <w:color w:val="000000" w:themeColor="text1"/>
                <w:sz w:val="24"/>
                <w14:textFill>
                  <w14:solidFill>
                    <w14:schemeClr w14:val="tx1"/>
                  </w14:solidFill>
                </w14:textFill>
              </w:rPr>
            </w:pPr>
          </w:p>
        </w:tc>
      </w:tr>
      <w:tr w14:paraId="3229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68E11CE5">
            <w:pPr>
              <w:spacing w:line="360" w:lineRule="auto"/>
              <w:jc w:val="center"/>
              <w:rPr>
                <w:rFonts w:hint="eastAsia" w:ascii="宋体" w:hAnsi="宋体" w:cs="宋体"/>
                <w:bCs/>
                <w:color w:val="000000" w:themeColor="text1"/>
                <w:sz w:val="24"/>
                <w14:textFill>
                  <w14:solidFill>
                    <w14:schemeClr w14:val="tx1"/>
                  </w14:solidFill>
                </w14:textFill>
              </w:rPr>
            </w:pPr>
          </w:p>
        </w:tc>
        <w:tc>
          <w:tcPr>
            <w:tcW w:w="1417" w:type="dxa"/>
            <w:noWrap w:val="0"/>
            <w:vAlign w:val="center"/>
          </w:tcPr>
          <w:p w14:paraId="1754CF98">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74E0254B">
            <w:pPr>
              <w:spacing w:line="360" w:lineRule="auto"/>
              <w:jc w:val="center"/>
              <w:rPr>
                <w:rFonts w:hint="eastAsia" w:ascii="宋体" w:hAnsi="宋体" w:cs="宋体"/>
                <w:bCs/>
                <w:color w:val="000000" w:themeColor="text1"/>
                <w:sz w:val="24"/>
                <w14:textFill>
                  <w14:solidFill>
                    <w14:schemeClr w14:val="tx1"/>
                  </w14:solidFill>
                </w14:textFill>
              </w:rPr>
            </w:pPr>
          </w:p>
        </w:tc>
        <w:tc>
          <w:tcPr>
            <w:tcW w:w="1559" w:type="dxa"/>
            <w:noWrap w:val="0"/>
            <w:vAlign w:val="center"/>
          </w:tcPr>
          <w:p w14:paraId="60974F5C">
            <w:pPr>
              <w:spacing w:line="360" w:lineRule="auto"/>
              <w:jc w:val="center"/>
              <w:rPr>
                <w:rFonts w:hint="eastAsia" w:ascii="宋体" w:hAnsi="宋体" w:cs="宋体"/>
                <w:bCs/>
                <w:color w:val="000000" w:themeColor="text1"/>
                <w:sz w:val="24"/>
                <w14:textFill>
                  <w14:solidFill>
                    <w14:schemeClr w14:val="tx1"/>
                  </w14:solidFill>
                </w14:textFill>
              </w:rPr>
            </w:pPr>
          </w:p>
        </w:tc>
        <w:tc>
          <w:tcPr>
            <w:tcW w:w="1276" w:type="dxa"/>
            <w:noWrap w:val="0"/>
            <w:vAlign w:val="center"/>
          </w:tcPr>
          <w:p w14:paraId="42E1A587">
            <w:pPr>
              <w:spacing w:line="360" w:lineRule="auto"/>
              <w:jc w:val="center"/>
              <w:rPr>
                <w:rFonts w:hint="eastAsia" w:ascii="宋体" w:hAnsi="宋体" w:cs="宋体"/>
                <w:bCs/>
                <w:color w:val="000000" w:themeColor="text1"/>
                <w:sz w:val="24"/>
                <w14:textFill>
                  <w14:solidFill>
                    <w14:schemeClr w14:val="tx1"/>
                  </w14:solidFill>
                </w14:textFill>
              </w:rPr>
            </w:pPr>
          </w:p>
        </w:tc>
        <w:tc>
          <w:tcPr>
            <w:tcW w:w="1701" w:type="dxa"/>
            <w:noWrap w:val="0"/>
            <w:vAlign w:val="center"/>
          </w:tcPr>
          <w:p w14:paraId="53A15501">
            <w:pPr>
              <w:spacing w:line="360" w:lineRule="auto"/>
              <w:jc w:val="center"/>
              <w:rPr>
                <w:rFonts w:hint="eastAsia" w:ascii="宋体" w:hAnsi="宋体" w:cs="宋体"/>
                <w:bCs/>
                <w:color w:val="000000" w:themeColor="text1"/>
                <w:sz w:val="24"/>
                <w14:textFill>
                  <w14:solidFill>
                    <w14:schemeClr w14:val="tx1"/>
                  </w14:solidFill>
                </w14:textFill>
              </w:rPr>
            </w:pPr>
          </w:p>
        </w:tc>
        <w:tc>
          <w:tcPr>
            <w:tcW w:w="1302" w:type="dxa"/>
            <w:noWrap w:val="0"/>
            <w:vAlign w:val="center"/>
          </w:tcPr>
          <w:p w14:paraId="5B382D71">
            <w:pPr>
              <w:spacing w:line="360" w:lineRule="auto"/>
              <w:jc w:val="center"/>
              <w:rPr>
                <w:rFonts w:hint="eastAsia" w:ascii="宋体" w:hAnsi="宋体" w:cs="宋体"/>
                <w:bCs/>
                <w:color w:val="000000" w:themeColor="text1"/>
                <w:sz w:val="24"/>
                <w14:textFill>
                  <w14:solidFill>
                    <w14:schemeClr w14:val="tx1"/>
                  </w14:solidFill>
                </w14:textFill>
              </w:rPr>
            </w:pPr>
          </w:p>
        </w:tc>
      </w:tr>
    </w:tbl>
    <w:p w14:paraId="5E5B7C83">
      <w:pPr>
        <w:rPr>
          <w:rFonts w:hint="eastAsia" w:ascii="宋体" w:hAnsi="宋体" w:cs="宋体"/>
          <w:color w:val="000000" w:themeColor="text1"/>
          <w:sz w:val="24"/>
          <w14:textFill>
            <w14:solidFill>
              <w14:schemeClr w14:val="tx1"/>
            </w14:solidFill>
          </w14:textFill>
        </w:rPr>
      </w:pPr>
    </w:p>
    <w:p w14:paraId="4ECCD2F9">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法定代表人或其授权代表（签名或盖章）：</w:t>
      </w:r>
    </w:p>
    <w:p w14:paraId="5850D1E8">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3D416399">
      <w:pPr>
        <w:rPr>
          <w:rFonts w:hint="eastAsia" w:ascii="宋体" w:hAnsi="宋体" w:cs="宋体"/>
          <w:color w:val="000000" w:themeColor="text1"/>
          <w:sz w:val="24"/>
          <w14:textFill>
            <w14:solidFill>
              <w14:schemeClr w14:val="tx1"/>
            </w14:solidFill>
          </w14:textFill>
        </w:rPr>
      </w:pPr>
    </w:p>
    <w:p w14:paraId="24887C60">
      <w:pPr>
        <w:rPr>
          <w:rFonts w:hint="eastAsia" w:ascii="宋体" w:hAnsi="宋体" w:cs="宋体"/>
          <w:color w:val="000000" w:themeColor="text1"/>
          <w:sz w:val="24"/>
          <w14:textFill>
            <w14:solidFill>
              <w14:schemeClr w14:val="tx1"/>
            </w14:solidFill>
          </w14:textFill>
        </w:rPr>
      </w:pPr>
    </w:p>
    <w:p w14:paraId="2650E82E">
      <w:pPr>
        <w:spacing w:line="360" w:lineRule="auto"/>
        <w:ind w:firstLine="360" w:firstLineChars="150"/>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注：此表仅提供了表格形式，供应商应根据需要准备足够数量的表格来填写；</w:t>
      </w:r>
    </w:p>
    <w:p w14:paraId="1587F1EC">
      <w:pPr>
        <w:spacing w:line="560" w:lineRule="exact"/>
        <w:ind w:right="560" w:rightChars="200"/>
        <w:rPr>
          <w:rFonts w:hint="eastAsia" w:ascii="宋体" w:hAnsi="宋体" w:cs="宋体"/>
          <w:b/>
          <w:color w:val="000000" w:themeColor="text1"/>
          <w:szCs w:val="28"/>
          <w14:textFill>
            <w14:solidFill>
              <w14:schemeClr w14:val="tx1"/>
            </w14:solidFill>
          </w14:textFill>
        </w:rPr>
      </w:pPr>
    </w:p>
    <w:p w14:paraId="73B561D8">
      <w:pPr>
        <w:autoSpaceDE w:val="0"/>
        <w:autoSpaceDN w:val="0"/>
        <w:adjustRightInd w:val="0"/>
        <w:spacing w:line="360" w:lineRule="exact"/>
        <w:jc w:val="center"/>
        <w:rPr>
          <w:rFonts w:hint="eastAsia" w:ascii="宋体" w:hAnsi="宋体" w:cs="宋体"/>
          <w:b/>
          <w:color w:val="000000" w:themeColor="text1"/>
          <w:szCs w:val="28"/>
          <w:lang w:val="zh-CN"/>
          <w14:textFill>
            <w14:solidFill>
              <w14:schemeClr w14:val="tx1"/>
            </w14:solidFill>
          </w14:textFill>
        </w:rPr>
      </w:pPr>
    </w:p>
    <w:p w14:paraId="3CA0B7E1">
      <w:pPr>
        <w:autoSpaceDE w:val="0"/>
        <w:autoSpaceDN w:val="0"/>
        <w:adjustRightInd w:val="0"/>
        <w:spacing w:line="360" w:lineRule="exact"/>
        <w:jc w:val="center"/>
        <w:rPr>
          <w:rFonts w:hint="eastAsia" w:ascii="宋体" w:hAnsi="宋体" w:cs="宋体"/>
          <w:b/>
          <w:color w:val="000000" w:themeColor="text1"/>
          <w:szCs w:val="28"/>
          <w:lang w:val="zh-CN"/>
          <w14:textFill>
            <w14:solidFill>
              <w14:schemeClr w14:val="tx1"/>
            </w14:solidFill>
          </w14:textFill>
        </w:rPr>
      </w:pPr>
    </w:p>
    <w:p w14:paraId="466BB951">
      <w:pPr>
        <w:autoSpaceDE w:val="0"/>
        <w:autoSpaceDN w:val="0"/>
        <w:adjustRightInd w:val="0"/>
        <w:spacing w:line="360" w:lineRule="exact"/>
        <w:jc w:val="center"/>
        <w:rPr>
          <w:rFonts w:hint="eastAsia" w:ascii="宋体" w:hAnsi="宋体" w:cs="宋体"/>
          <w:b/>
          <w:color w:val="000000" w:themeColor="text1"/>
          <w:szCs w:val="28"/>
          <w:lang w:val="zh-CN"/>
          <w14:textFill>
            <w14:solidFill>
              <w14:schemeClr w14:val="tx1"/>
            </w14:solidFill>
          </w14:textFill>
        </w:rPr>
      </w:pPr>
    </w:p>
    <w:p w14:paraId="61B6019A">
      <w:pPr>
        <w:autoSpaceDE w:val="0"/>
        <w:autoSpaceDN w:val="0"/>
        <w:adjustRightInd w:val="0"/>
        <w:spacing w:line="360" w:lineRule="exact"/>
        <w:jc w:val="center"/>
        <w:rPr>
          <w:rFonts w:hint="eastAsia" w:ascii="宋体" w:hAnsi="宋体" w:cs="宋体"/>
          <w:b/>
          <w:color w:val="000000" w:themeColor="text1"/>
          <w:szCs w:val="28"/>
          <w:lang w:val="zh-CN"/>
          <w14:textFill>
            <w14:solidFill>
              <w14:schemeClr w14:val="tx1"/>
            </w14:solidFill>
          </w14:textFill>
        </w:rPr>
      </w:pPr>
    </w:p>
    <w:p w14:paraId="7AB7A947">
      <w:pPr>
        <w:autoSpaceDE w:val="0"/>
        <w:autoSpaceDN w:val="0"/>
        <w:adjustRightInd w:val="0"/>
        <w:spacing w:line="360" w:lineRule="exact"/>
        <w:jc w:val="center"/>
        <w:rPr>
          <w:rFonts w:hint="eastAsia" w:ascii="宋体" w:hAnsi="宋体" w:cs="宋体"/>
          <w:b/>
          <w:color w:val="000000" w:themeColor="text1"/>
          <w:szCs w:val="28"/>
          <w:lang w:val="zh-CN"/>
          <w14:textFill>
            <w14:solidFill>
              <w14:schemeClr w14:val="tx1"/>
            </w14:solidFill>
          </w14:textFill>
        </w:rPr>
      </w:pPr>
    </w:p>
    <w:p w14:paraId="25C833B0">
      <w:pPr>
        <w:autoSpaceDE w:val="0"/>
        <w:autoSpaceDN w:val="0"/>
        <w:adjustRightInd w:val="0"/>
        <w:spacing w:line="360" w:lineRule="exact"/>
        <w:jc w:val="center"/>
        <w:rPr>
          <w:rFonts w:hint="eastAsia" w:ascii="宋体" w:hAnsi="宋体" w:cs="宋体"/>
          <w:b/>
          <w:color w:val="000000" w:themeColor="text1"/>
          <w:szCs w:val="28"/>
          <w:lang w:val="zh-CN"/>
          <w14:textFill>
            <w14:solidFill>
              <w14:schemeClr w14:val="tx1"/>
            </w14:solidFill>
          </w14:textFill>
        </w:rPr>
      </w:pPr>
      <w:r>
        <w:rPr>
          <w:rFonts w:hint="eastAsia" w:ascii="宋体" w:hAnsi="宋体" w:cs="宋体"/>
          <w:b/>
          <w:color w:val="000000" w:themeColor="text1"/>
          <w:szCs w:val="28"/>
          <w:lang w:val="zh-CN"/>
          <w14:textFill>
            <w14:solidFill>
              <w14:schemeClr w14:val="tx1"/>
            </w14:solidFill>
          </w14:textFill>
        </w:rPr>
        <w:t>投标函</w:t>
      </w:r>
    </w:p>
    <w:p w14:paraId="7CF6D3B2">
      <w:pPr>
        <w:pStyle w:val="25"/>
        <w:spacing w:before="120" w:after="120" w:line="510" w:lineRule="exact"/>
        <w:rPr>
          <w:rFonts w:hint="eastAsia" w:hAnsi="宋体" w:cs="宋体"/>
          <w:b/>
          <w:color w:val="000000" w:themeColor="text1"/>
          <w14:textFill>
            <w14:solidFill>
              <w14:schemeClr w14:val="tx1"/>
            </w14:solidFill>
          </w14:textFill>
        </w:rPr>
      </w:pPr>
      <w:r>
        <w:rPr>
          <w:rFonts w:hint="eastAsia" w:hAnsi="宋体" w:cs="宋体"/>
          <w:b/>
          <w:color w:val="000000" w:themeColor="text1"/>
          <w:u w:val="single"/>
          <w14:textFill>
            <w14:solidFill>
              <w14:schemeClr w14:val="tx1"/>
            </w14:solidFill>
          </w14:textFill>
        </w:rPr>
        <w:t xml:space="preserve">                 </w:t>
      </w:r>
      <w:r>
        <w:rPr>
          <w:rFonts w:hint="eastAsia" w:hAnsi="宋体" w:cs="宋体"/>
          <w:b/>
          <w:color w:val="000000" w:themeColor="text1"/>
          <w14:textFill>
            <w14:solidFill>
              <w14:schemeClr w14:val="tx1"/>
            </w14:solidFill>
          </w14:textFill>
        </w:rPr>
        <w:t>：</w:t>
      </w:r>
    </w:p>
    <w:p w14:paraId="3C549811">
      <w:pPr>
        <w:autoSpaceDE w:val="0"/>
        <w:autoSpaceDN w:val="0"/>
        <w:adjustRightInd w:val="0"/>
        <w:spacing w:line="510" w:lineRule="exact"/>
        <w:ind w:firstLine="590" w:firstLineChars="245"/>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（供应商全称）授权</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 xml:space="preserve"> （授权代表名称）</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（职务、职称）为授权代表，参加贵方组织的</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（采购项目名称）（括号内填项目编号）采购的有关活动，并对</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 xml:space="preserve">项目（采购项目名称）进行投标。为此：    </w:t>
      </w:r>
    </w:p>
    <w:p w14:paraId="3E1688A7">
      <w:pPr>
        <w:autoSpaceDE w:val="0"/>
        <w:autoSpaceDN w:val="0"/>
        <w:adjustRightInd w:val="0"/>
        <w:spacing w:line="510" w:lineRule="exact"/>
        <w:ind w:firstLine="482" w:firstLineChars="201"/>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1、供应商须提供须知规定的全部投标文件（电子投标文件包括《资格文件》、《技术、商务、资信及其他文件》、《报价文件》），电子投标文件确认已上传</w:t>
      </w:r>
      <w:r>
        <w:rPr>
          <w:rFonts w:hint="eastAsia" w:ascii="宋体" w:hAnsi="宋体" w:cs="宋体"/>
          <w:color w:val="000000" w:themeColor="text1"/>
          <w:sz w:val="24"/>
          <w14:textFill>
            <w14:solidFill>
              <w14:schemeClr w14:val="tx1"/>
            </w14:solidFill>
          </w14:textFill>
        </w:rPr>
        <w:t>。</w:t>
      </w:r>
    </w:p>
    <w:p w14:paraId="14329DA3">
      <w:pPr>
        <w:autoSpaceDE w:val="0"/>
        <w:autoSpaceDN w:val="0"/>
        <w:adjustRightInd w:val="0"/>
        <w:spacing w:line="510" w:lineRule="exact"/>
        <w:ind w:firstLine="482" w:firstLineChars="201"/>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2、保证遵守招标文件中的有关规定和收费标准。</w:t>
      </w:r>
    </w:p>
    <w:p w14:paraId="7DDE9078">
      <w:pPr>
        <w:autoSpaceDE w:val="0"/>
        <w:autoSpaceDN w:val="0"/>
        <w:adjustRightInd w:val="0"/>
        <w:spacing w:line="510" w:lineRule="exact"/>
        <w:ind w:firstLine="482" w:firstLineChars="201"/>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3、保证诚信地执行采购人、供应商双方所签的合同，并承担合同规定的责任义务。</w:t>
      </w:r>
    </w:p>
    <w:p w14:paraId="5D5CA24D">
      <w:pPr>
        <w:autoSpaceDE w:val="0"/>
        <w:autoSpaceDN w:val="0"/>
        <w:adjustRightInd w:val="0"/>
        <w:spacing w:line="510" w:lineRule="exact"/>
        <w:ind w:firstLine="482" w:firstLineChars="201"/>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4、供应商已详细审查全部招标文件，包括招标文件补充文件（如果有的话）。我方完全理解并同意放弃对这方面有不明及误解的权力。如果招标文件有相互矛盾之处，我方同意按采购人的理解处理。</w:t>
      </w:r>
    </w:p>
    <w:p w14:paraId="5AF311A6">
      <w:pPr>
        <w:autoSpaceDE w:val="0"/>
        <w:autoSpaceDN w:val="0"/>
        <w:adjustRightInd w:val="0"/>
        <w:spacing w:line="510" w:lineRule="exact"/>
        <w:ind w:firstLine="482" w:firstLineChars="201"/>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5、利益冲突：近三年内直至目前，我公司与本项目的采购人、采购机构没有任何的隶属关系。</w:t>
      </w:r>
    </w:p>
    <w:p w14:paraId="356D51C1">
      <w:pPr>
        <w:autoSpaceDE w:val="0"/>
        <w:autoSpaceDN w:val="0"/>
        <w:adjustRightInd w:val="0"/>
        <w:spacing w:line="510" w:lineRule="exact"/>
        <w:ind w:firstLine="482" w:firstLineChars="201"/>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6、我公司没有被本项目所在地的政府采购管理部门限制参加报价。</w:t>
      </w:r>
    </w:p>
    <w:p w14:paraId="073E20F8">
      <w:pPr>
        <w:autoSpaceDE w:val="0"/>
        <w:autoSpaceDN w:val="0"/>
        <w:adjustRightInd w:val="0"/>
        <w:spacing w:line="510" w:lineRule="exact"/>
        <w:ind w:firstLine="482" w:firstLineChars="201"/>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7、愿意向贵方提供任何与该项报价有关的数据、情况和技术资料，完全理解贵方不一定接受最低价的报价或收到的任何报价。</w:t>
      </w:r>
    </w:p>
    <w:p w14:paraId="3A812F7B">
      <w:pPr>
        <w:autoSpaceDE w:val="0"/>
        <w:autoSpaceDN w:val="0"/>
        <w:adjustRightInd w:val="0"/>
        <w:spacing w:line="510" w:lineRule="exact"/>
        <w:ind w:firstLine="482" w:firstLineChars="201"/>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8、本报价文件自报价之日起</w:t>
      </w:r>
      <w:r>
        <w:rPr>
          <w:rFonts w:hint="eastAsia"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lang w:val="zh-CN"/>
          <w14:textFill>
            <w14:solidFill>
              <w14:schemeClr w14:val="tx1"/>
            </w14:solidFill>
          </w14:textFill>
        </w:rPr>
        <w:t>0天内有效。</w:t>
      </w:r>
    </w:p>
    <w:p w14:paraId="485F2261">
      <w:pPr>
        <w:autoSpaceDE w:val="0"/>
        <w:autoSpaceDN w:val="0"/>
        <w:adjustRightInd w:val="0"/>
        <w:spacing w:line="510" w:lineRule="exact"/>
        <w:ind w:firstLine="482" w:firstLineChars="201"/>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9、兹证明上述声明是真实的、正确的，并提供了全部能提供的资料和数据，我们同意遵照贵方要求出示有关证明文件。</w:t>
      </w:r>
    </w:p>
    <w:p w14:paraId="406A5C1D">
      <w:pPr>
        <w:autoSpaceDE w:val="0"/>
        <w:autoSpaceDN w:val="0"/>
        <w:adjustRightInd w:val="0"/>
        <w:spacing w:line="510" w:lineRule="exact"/>
        <w:ind w:firstLine="482" w:firstLineChars="201"/>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以上事项如有虚假或隐瞒，我方愿意承担一切后果，并不再寻求任何旨在减轻或免除法律责任的辩解。</w:t>
      </w:r>
    </w:p>
    <w:p w14:paraId="5BEA5E55">
      <w:pPr>
        <w:autoSpaceDE w:val="0"/>
        <w:autoSpaceDN w:val="0"/>
        <w:adjustRightInd w:val="0"/>
        <w:spacing w:line="510" w:lineRule="exact"/>
        <w:ind w:firstLine="482" w:firstLineChars="201"/>
        <w:rPr>
          <w:rFonts w:hint="eastAsia" w:ascii="宋体" w:hAnsi="宋体" w:cs="宋体"/>
          <w:color w:val="000000" w:themeColor="text1"/>
          <w:sz w:val="24"/>
          <w:lang w:val="zh-CN"/>
          <w14:textFill>
            <w14:solidFill>
              <w14:schemeClr w14:val="tx1"/>
            </w14:solidFill>
          </w14:textFill>
        </w:rPr>
      </w:pPr>
    </w:p>
    <w:p w14:paraId="50BFD14C">
      <w:pPr>
        <w:autoSpaceDE w:val="0"/>
        <w:autoSpaceDN w:val="0"/>
        <w:adjustRightInd w:val="0"/>
        <w:spacing w:line="510" w:lineRule="exact"/>
        <w:ind w:firstLine="482" w:firstLineChars="201"/>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供应商全称（盖章）：</w:t>
      </w:r>
    </w:p>
    <w:p w14:paraId="0CEFD610">
      <w:pPr>
        <w:autoSpaceDE w:val="0"/>
        <w:autoSpaceDN w:val="0"/>
        <w:adjustRightInd w:val="0"/>
        <w:spacing w:line="510" w:lineRule="exact"/>
        <w:ind w:firstLine="482" w:firstLineChars="20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法定代表人其授权代表（签名或盖章）：         </w:t>
      </w:r>
    </w:p>
    <w:p w14:paraId="573B4F86">
      <w:pPr>
        <w:autoSpaceDE w:val="0"/>
        <w:autoSpaceDN w:val="0"/>
        <w:adjustRightInd w:val="0"/>
        <w:spacing w:line="510" w:lineRule="exact"/>
        <w:ind w:firstLine="482" w:firstLineChars="201"/>
        <w:rPr>
          <w:rFonts w:hint="eastAsia"/>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   期：</w:t>
      </w:r>
    </w:p>
    <w:p w14:paraId="6D97AFFA">
      <w:pPr>
        <w:spacing w:line="360" w:lineRule="auto"/>
        <w:jc w:val="cente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 xml:space="preserve">  </w:t>
      </w:r>
    </w:p>
    <w:p w14:paraId="6F86207A">
      <w:pPr>
        <w:spacing w:line="360" w:lineRule="auto"/>
        <w:jc w:val="center"/>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 xml:space="preserve"> 开标一览表（报价表）</w:t>
      </w:r>
    </w:p>
    <w:p w14:paraId="45DD0874">
      <w:pPr>
        <w:spacing w:line="600" w:lineRule="exact"/>
        <w:ind w:firstLine="30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供应商全称（加盖公章）：      </w:t>
      </w:r>
    </w:p>
    <w:p w14:paraId="1633D9AC">
      <w:pPr>
        <w:spacing w:line="600" w:lineRule="exact"/>
        <w:ind w:firstLine="30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项目编号：                </w:t>
      </w:r>
    </w:p>
    <w:tbl>
      <w:tblPr>
        <w:tblStyle w:val="43"/>
        <w:tblW w:w="955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044"/>
        <w:gridCol w:w="6529"/>
      </w:tblGrid>
      <w:tr w14:paraId="481E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900" w:type="dxa"/>
            <w:noWrap w:val="0"/>
            <w:vAlign w:val="center"/>
          </w:tcPr>
          <w:p w14:paraId="0AD3D875">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124" w:type="dxa"/>
            <w:gridSpan w:val="2"/>
            <w:noWrap w:val="0"/>
            <w:vAlign w:val="center"/>
          </w:tcPr>
          <w:p w14:paraId="1114CD46">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投标项目名称</w:t>
            </w:r>
          </w:p>
        </w:tc>
        <w:tc>
          <w:tcPr>
            <w:tcW w:w="6529" w:type="dxa"/>
            <w:noWrap w:val="0"/>
            <w:vAlign w:val="center"/>
          </w:tcPr>
          <w:p w14:paraId="06415060">
            <w:pPr>
              <w:spacing w:line="600" w:lineRule="exact"/>
              <w:jc w:val="center"/>
              <w:rPr>
                <w:rFonts w:hint="eastAsia" w:ascii="宋体" w:hAnsi="宋体" w:cs="宋体"/>
                <w:color w:val="000000" w:themeColor="text1"/>
                <w:sz w:val="24"/>
                <w14:textFill>
                  <w14:solidFill>
                    <w14:schemeClr w14:val="tx1"/>
                  </w14:solidFill>
                </w14:textFill>
              </w:rPr>
            </w:pPr>
          </w:p>
        </w:tc>
      </w:tr>
      <w:tr w14:paraId="1F6A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3"/>
            <w:noWrap w:val="0"/>
            <w:vAlign w:val="center"/>
          </w:tcPr>
          <w:p w14:paraId="1B9575E8">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w:t>
            </w:r>
          </w:p>
        </w:tc>
        <w:tc>
          <w:tcPr>
            <w:tcW w:w="6529" w:type="dxa"/>
            <w:noWrap w:val="0"/>
            <w:vAlign w:val="center"/>
          </w:tcPr>
          <w:p w14:paraId="01D7F020">
            <w:pPr>
              <w:spacing w:line="600" w:lineRule="exact"/>
              <w:jc w:val="center"/>
              <w:rPr>
                <w:rFonts w:hint="eastAsia" w:ascii="宋体" w:hAnsi="宋体" w:cs="宋体"/>
                <w:color w:val="000000" w:themeColor="text1"/>
                <w:sz w:val="24"/>
                <w14:textFill>
                  <w14:solidFill>
                    <w14:schemeClr w14:val="tx1"/>
                  </w14:solidFill>
                </w14:textFill>
              </w:rPr>
            </w:pPr>
          </w:p>
        </w:tc>
      </w:tr>
      <w:tr w14:paraId="23CE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3"/>
            <w:noWrap w:val="0"/>
            <w:vAlign w:val="center"/>
          </w:tcPr>
          <w:p w14:paraId="37336A0E">
            <w:pPr>
              <w:spacing w:line="60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工期</w:t>
            </w:r>
          </w:p>
        </w:tc>
        <w:tc>
          <w:tcPr>
            <w:tcW w:w="6529" w:type="dxa"/>
            <w:noWrap w:val="0"/>
            <w:vAlign w:val="center"/>
          </w:tcPr>
          <w:p w14:paraId="2436CC4E">
            <w:pPr>
              <w:spacing w:line="600" w:lineRule="exact"/>
              <w:jc w:val="center"/>
              <w:rPr>
                <w:rFonts w:hint="eastAsia" w:ascii="宋体" w:hAnsi="宋体" w:cs="宋体"/>
                <w:color w:val="000000" w:themeColor="text1"/>
                <w:sz w:val="24"/>
                <w14:textFill>
                  <w14:solidFill>
                    <w14:schemeClr w14:val="tx1"/>
                  </w14:solidFill>
                </w14:textFill>
              </w:rPr>
            </w:pPr>
          </w:p>
        </w:tc>
      </w:tr>
      <w:tr w14:paraId="1D09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gridSpan w:val="2"/>
            <w:vMerge w:val="restart"/>
            <w:tcBorders>
              <w:top w:val="single" w:color="auto" w:sz="4" w:space="0"/>
            </w:tcBorders>
            <w:noWrap w:val="0"/>
            <w:vAlign w:val="center"/>
          </w:tcPr>
          <w:p w14:paraId="09F7D413">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投标总价</w:t>
            </w:r>
          </w:p>
          <w:p w14:paraId="0841BDEA">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044" w:type="dxa"/>
            <w:tcBorders>
              <w:top w:val="single" w:color="auto" w:sz="4" w:space="0"/>
              <w:bottom w:val="single" w:color="auto" w:sz="4" w:space="0"/>
            </w:tcBorders>
            <w:noWrap w:val="0"/>
            <w:vAlign w:val="center"/>
          </w:tcPr>
          <w:p w14:paraId="789D0B7D">
            <w:pPr>
              <w:widowControl/>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小写</w:t>
            </w:r>
          </w:p>
        </w:tc>
        <w:tc>
          <w:tcPr>
            <w:tcW w:w="6529" w:type="dxa"/>
            <w:noWrap w:val="0"/>
            <w:vAlign w:val="center"/>
          </w:tcPr>
          <w:p w14:paraId="10F957CC">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p>
        </w:tc>
      </w:tr>
      <w:tr w14:paraId="305E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gridSpan w:val="2"/>
            <w:vMerge w:val="continue"/>
            <w:noWrap w:val="0"/>
            <w:vAlign w:val="center"/>
          </w:tcPr>
          <w:p w14:paraId="03962D65">
            <w:pPr>
              <w:spacing w:line="600" w:lineRule="exact"/>
              <w:jc w:val="center"/>
              <w:rPr>
                <w:rFonts w:hint="eastAsia" w:ascii="宋体" w:hAnsi="宋体" w:cs="宋体"/>
                <w:color w:val="000000" w:themeColor="text1"/>
                <w:sz w:val="24"/>
                <w14:textFill>
                  <w14:solidFill>
                    <w14:schemeClr w14:val="tx1"/>
                  </w14:solidFill>
                </w14:textFill>
              </w:rPr>
            </w:pPr>
          </w:p>
        </w:tc>
        <w:tc>
          <w:tcPr>
            <w:tcW w:w="1044" w:type="dxa"/>
            <w:tcBorders>
              <w:top w:val="single" w:color="auto" w:sz="4" w:space="0"/>
              <w:bottom w:val="single" w:color="auto" w:sz="4" w:space="0"/>
            </w:tcBorders>
            <w:noWrap w:val="0"/>
            <w:vAlign w:val="center"/>
          </w:tcPr>
          <w:p w14:paraId="2D2AC3E5">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大写</w:t>
            </w:r>
          </w:p>
        </w:tc>
        <w:tc>
          <w:tcPr>
            <w:tcW w:w="6529" w:type="dxa"/>
            <w:noWrap w:val="0"/>
            <w:vAlign w:val="center"/>
          </w:tcPr>
          <w:p w14:paraId="3F9CC3EA">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p>
        </w:tc>
      </w:tr>
    </w:tbl>
    <w:p w14:paraId="6B0A8739">
      <w:pPr>
        <w:spacing w:line="6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1.本项目</w:t>
      </w:r>
      <w:r>
        <w:rPr>
          <w:rFonts w:hint="eastAsia" w:ascii="宋体" w:hAnsi="宋体" w:cs="宋体"/>
          <w:color w:val="000000" w:themeColor="text1"/>
          <w:sz w:val="24"/>
          <w:lang w:eastAsia="zh-CN"/>
          <w14:textFill>
            <w14:solidFill>
              <w14:schemeClr w14:val="tx1"/>
            </w14:solidFill>
          </w14:textFill>
        </w:rPr>
        <w:t>设</w:t>
      </w:r>
      <w:r>
        <w:rPr>
          <w:rFonts w:hint="eastAsia" w:ascii="宋体" w:hAnsi="宋体" w:cs="宋体"/>
          <w:color w:val="000000" w:themeColor="text1"/>
          <w:sz w:val="24"/>
          <w:lang w:val="en-US" w:eastAsia="zh-CN"/>
          <w14:textFill>
            <w14:solidFill>
              <w14:schemeClr w14:val="tx1"/>
            </w14:solidFill>
          </w14:textFill>
        </w:rPr>
        <w:t>最高限价</w:t>
      </w:r>
      <w:r>
        <w:rPr>
          <w:rFonts w:hint="eastAsia" w:ascii="宋体" w:hAnsi="宋体" w:cs="宋体"/>
          <w:color w:val="000000" w:themeColor="text1"/>
          <w:sz w:val="24"/>
          <w14:textFill>
            <w14:solidFill>
              <w14:schemeClr w14:val="tx1"/>
            </w14:solidFill>
          </w14:textFill>
        </w:rPr>
        <w:t>人民币</w:t>
      </w:r>
      <w:r>
        <w:rPr>
          <w:rFonts w:hint="eastAsia" w:ascii="宋体" w:hAnsi="宋体" w:cs="宋体"/>
          <w:color w:val="000000" w:themeColor="text1"/>
          <w:sz w:val="24"/>
          <w:lang w:val="en-US" w:eastAsia="zh-CN"/>
          <w14:textFill>
            <w14:solidFill>
              <w14:schemeClr w14:val="tx1"/>
            </w14:solidFill>
          </w14:textFill>
        </w:rPr>
        <w:t>50.9</w:t>
      </w:r>
      <w:r>
        <w:rPr>
          <w:rFonts w:hint="eastAsia" w:ascii="宋体" w:hAnsi="宋体" w:cs="宋体"/>
          <w:color w:val="000000" w:themeColor="text1"/>
          <w:sz w:val="24"/>
          <w14:textFill>
            <w14:solidFill>
              <w14:schemeClr w14:val="tx1"/>
            </w14:solidFill>
          </w14:textFill>
        </w:rPr>
        <w:t>万元</w:t>
      </w:r>
      <w:r>
        <w:rPr>
          <w:rFonts w:hint="eastAsia" w:ascii="宋体" w:hAnsi="宋体" w:cs="宋体"/>
          <w:color w:val="000000" w:themeColor="text1"/>
          <w:sz w:val="24"/>
          <w:lang w:eastAsia="zh-CN"/>
          <w14:textFill>
            <w14:solidFill>
              <w14:schemeClr w14:val="tx1"/>
            </w14:solidFill>
          </w14:textFill>
        </w:rPr>
        <w:t>，投标报价超过最高限价作无效标处理。</w:t>
      </w:r>
    </w:p>
    <w:p w14:paraId="46529796">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应包含完成招标文件要求的所有工作所发生的费用及供应商认为完成本招标文件规定内容所需发生的其它费用，凡未列入的，将被视为均已包含在投标总报价中。只允许有一个报价，任何有选择的或有条件的报价将不予接受，凡未列入的，将被视为均已包含在投标总报价中。</w:t>
      </w:r>
    </w:p>
    <w:p w14:paraId="25181625">
      <w:pPr>
        <w:spacing w:line="600" w:lineRule="exact"/>
        <w:ind w:firstLine="480" w:firstLineChars="200"/>
        <w:rPr>
          <w:rFonts w:ascii="宋体" w:hAnsi="宋体" w:cs="宋体"/>
          <w:color w:val="000000" w:themeColor="text1"/>
          <w:sz w:val="24"/>
          <w14:textFill>
            <w14:solidFill>
              <w14:schemeClr w14:val="tx1"/>
            </w14:solidFill>
          </w14:textFill>
        </w:rPr>
      </w:pPr>
    </w:p>
    <w:p w14:paraId="60548286">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法定代表人或其授权代表（签名或盖章）：</w:t>
      </w:r>
    </w:p>
    <w:p w14:paraId="2E033DE5">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14:paraId="5A0C714B">
      <w:pPr>
        <w:spacing w:line="600" w:lineRule="exact"/>
        <w:ind w:firstLine="480" w:firstLineChars="200"/>
        <w:rPr>
          <w:rFonts w:hint="eastAsia" w:ascii="宋体" w:hAnsi="宋体" w:cs="宋体"/>
          <w:color w:val="000000" w:themeColor="text1"/>
          <w:sz w:val="24"/>
          <w14:textFill>
            <w14:solidFill>
              <w14:schemeClr w14:val="tx1"/>
            </w14:solidFill>
          </w14:textFill>
        </w:rPr>
      </w:pPr>
    </w:p>
    <w:p w14:paraId="4DC51166">
      <w:pPr>
        <w:spacing w:line="760" w:lineRule="exact"/>
        <w:jc w:val="center"/>
        <w:rPr>
          <w:rFonts w:hint="eastAsia" w:ascii="宋体" w:hAnsi="宋体" w:cs="宋体"/>
          <w:b/>
          <w:color w:val="000000" w:themeColor="text1"/>
          <w:sz w:val="32"/>
          <w:szCs w:val="32"/>
          <w14:textFill>
            <w14:solidFill>
              <w14:schemeClr w14:val="tx1"/>
            </w14:solidFill>
          </w14:textFill>
        </w:rPr>
      </w:pPr>
    </w:p>
    <w:p w14:paraId="2961BDCE">
      <w:pPr>
        <w:spacing w:line="760" w:lineRule="exact"/>
        <w:jc w:val="center"/>
        <w:rPr>
          <w:rFonts w:hint="eastAsia" w:ascii="宋体" w:hAnsi="宋体" w:cs="宋体"/>
          <w:b/>
          <w:color w:val="000000" w:themeColor="text1"/>
          <w:sz w:val="32"/>
          <w:szCs w:val="32"/>
          <w14:textFill>
            <w14:solidFill>
              <w14:schemeClr w14:val="tx1"/>
            </w14:solidFill>
          </w14:textFill>
        </w:rPr>
      </w:pPr>
    </w:p>
    <w:p w14:paraId="0052827F">
      <w:pPr>
        <w:spacing w:line="760" w:lineRule="exact"/>
        <w:jc w:val="center"/>
        <w:rPr>
          <w:rFonts w:hint="eastAsia" w:ascii="宋体" w:hAnsi="宋体" w:cs="宋体"/>
          <w:b/>
          <w:color w:val="000000" w:themeColor="text1"/>
          <w:sz w:val="32"/>
          <w:szCs w:val="32"/>
          <w14:textFill>
            <w14:solidFill>
              <w14:schemeClr w14:val="tx1"/>
            </w14:solidFill>
          </w14:textFill>
        </w:rPr>
      </w:pPr>
    </w:p>
    <w:p w14:paraId="7280344F">
      <w:pPr>
        <w:spacing w:line="760" w:lineRule="exact"/>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报价明细表</w:t>
      </w:r>
    </w:p>
    <w:p w14:paraId="03E8869B">
      <w:pPr>
        <w:snapToGrid w:val="0"/>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tbl>
      <w:tblPr>
        <w:tblStyle w:val="43"/>
        <w:tblW w:w="10775" w:type="dxa"/>
        <w:jc w:val="center"/>
        <w:tblLayout w:type="fixed"/>
        <w:tblCellMar>
          <w:top w:w="0" w:type="dxa"/>
          <w:left w:w="108" w:type="dxa"/>
          <w:bottom w:w="0" w:type="dxa"/>
          <w:right w:w="108" w:type="dxa"/>
        </w:tblCellMar>
      </w:tblPr>
      <w:tblGrid>
        <w:gridCol w:w="1033"/>
        <w:gridCol w:w="1682"/>
        <w:gridCol w:w="1820"/>
        <w:gridCol w:w="2370"/>
        <w:gridCol w:w="1290"/>
        <w:gridCol w:w="1290"/>
        <w:gridCol w:w="1290"/>
      </w:tblGrid>
      <w:tr w14:paraId="3B162801">
        <w:tblPrEx>
          <w:tblCellMar>
            <w:top w:w="0" w:type="dxa"/>
            <w:left w:w="108" w:type="dxa"/>
            <w:bottom w:w="0" w:type="dxa"/>
            <w:right w:w="108" w:type="dxa"/>
          </w:tblCellMar>
        </w:tblPrEx>
        <w:trPr>
          <w:trHeight w:val="1254"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CCA06">
            <w:pPr>
              <w:widowControl/>
              <w:adjustRightInd w:val="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序号</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405561FB">
            <w:pPr>
              <w:widowControl/>
              <w:adjustRightInd w:val="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项目名称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56B92">
            <w:pPr>
              <w:widowControl/>
              <w:adjustRightInd w:val="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单位</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50EEF">
            <w:pPr>
              <w:widowControl/>
              <w:adjustRightInd w:val="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数量</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CE41B">
            <w:pPr>
              <w:widowControl/>
              <w:adjustRightInd w:val="0"/>
              <w:jc w:val="center"/>
              <w:textAlignment w:val="center"/>
              <w:rPr>
                <w:rFonts w:hint="eastAsia" w:ascii="宋体" w:hAnsi="宋体" w:eastAsia="宋体" w:cs="宋体"/>
                <w:b/>
                <w:bCs/>
                <w:color w:val="auto"/>
                <w:kern w:val="0"/>
                <w:sz w:val="24"/>
                <w:szCs w:val="24"/>
                <w:lang w:eastAsia="zh-CN" w:bidi="ar"/>
              </w:rPr>
            </w:pPr>
            <w:r>
              <w:rPr>
                <w:rFonts w:hint="eastAsia" w:ascii="宋体" w:hAnsi="宋体" w:cs="宋体"/>
                <w:b/>
                <w:bCs/>
                <w:color w:val="auto"/>
                <w:kern w:val="0"/>
                <w:sz w:val="24"/>
                <w:szCs w:val="24"/>
                <w:lang w:eastAsia="zh-CN" w:bidi="ar"/>
              </w:rPr>
              <w:t>单价（元）</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68C30">
            <w:pPr>
              <w:widowControl/>
              <w:adjustRightInd w:val="0"/>
              <w:jc w:val="center"/>
              <w:textAlignment w:val="center"/>
              <w:rPr>
                <w:rFonts w:hint="eastAsia" w:ascii="宋体" w:hAnsi="宋体" w:eastAsia="宋体" w:cs="宋体"/>
                <w:b/>
                <w:bCs/>
                <w:color w:val="auto"/>
                <w:kern w:val="0"/>
                <w:sz w:val="24"/>
                <w:szCs w:val="24"/>
                <w:lang w:eastAsia="zh-CN" w:bidi="ar"/>
              </w:rPr>
            </w:pPr>
            <w:r>
              <w:rPr>
                <w:rFonts w:hint="eastAsia" w:ascii="宋体" w:hAnsi="宋体" w:cs="宋体"/>
                <w:b/>
                <w:bCs/>
                <w:color w:val="auto"/>
                <w:kern w:val="0"/>
                <w:sz w:val="24"/>
                <w:szCs w:val="24"/>
                <w:lang w:eastAsia="zh-CN" w:bidi="ar"/>
              </w:rPr>
              <w:t>合计（元）</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AC80E">
            <w:pPr>
              <w:widowControl/>
              <w:adjustRightInd w:val="0"/>
              <w:jc w:val="center"/>
              <w:textAlignment w:val="center"/>
              <w:rPr>
                <w:rFonts w:hint="eastAsia" w:ascii="宋体" w:hAnsi="宋体" w:eastAsia="宋体" w:cs="宋体"/>
                <w:b/>
                <w:bCs/>
                <w:color w:val="auto"/>
                <w:kern w:val="0"/>
                <w:sz w:val="24"/>
                <w:szCs w:val="24"/>
                <w:lang w:eastAsia="zh-CN" w:bidi="ar"/>
              </w:rPr>
            </w:pPr>
            <w:r>
              <w:rPr>
                <w:rFonts w:hint="eastAsia" w:ascii="宋体" w:hAnsi="宋体" w:cs="宋体"/>
                <w:b/>
                <w:bCs/>
                <w:color w:val="auto"/>
                <w:kern w:val="0"/>
                <w:sz w:val="24"/>
                <w:szCs w:val="24"/>
                <w:lang w:eastAsia="zh-CN" w:bidi="ar"/>
              </w:rPr>
              <w:t>品牌</w:t>
            </w:r>
          </w:p>
        </w:tc>
      </w:tr>
      <w:tr w14:paraId="2ACB60DC">
        <w:tblPrEx>
          <w:tblCellMar>
            <w:top w:w="0" w:type="dxa"/>
            <w:left w:w="108" w:type="dxa"/>
            <w:bottom w:w="0" w:type="dxa"/>
            <w:right w:w="108" w:type="dxa"/>
          </w:tblCellMar>
        </w:tblPrEx>
        <w:trPr>
          <w:trHeight w:val="321" w:hRule="atLeast"/>
          <w:jc w:val="center"/>
        </w:trPr>
        <w:tc>
          <w:tcPr>
            <w:tcW w:w="1033" w:type="dxa"/>
            <w:tcBorders>
              <w:top w:val="nil"/>
              <w:left w:val="single" w:color="000000" w:sz="4" w:space="0"/>
              <w:bottom w:val="single" w:color="000000" w:sz="4" w:space="0"/>
              <w:right w:val="single" w:color="000000" w:sz="4" w:space="0"/>
            </w:tcBorders>
            <w:shd w:val="clear" w:color="auto" w:fill="auto"/>
            <w:noWrap/>
            <w:vAlign w:val="center"/>
          </w:tcPr>
          <w:p w14:paraId="53B313F0">
            <w:pPr>
              <w:widowControl/>
              <w:adjustRightInd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一</w:t>
            </w:r>
          </w:p>
        </w:tc>
        <w:tc>
          <w:tcPr>
            <w:tcW w:w="7162" w:type="dxa"/>
            <w:gridSpan w:val="4"/>
            <w:tcBorders>
              <w:top w:val="nil"/>
              <w:left w:val="nil"/>
              <w:bottom w:val="single" w:color="000000" w:sz="4" w:space="0"/>
              <w:right w:val="single" w:color="000000" w:sz="4" w:space="0"/>
            </w:tcBorders>
            <w:shd w:val="clear" w:color="auto" w:fill="FFFFFF"/>
            <w:noWrap w:val="0"/>
            <w:vAlign w:val="center"/>
          </w:tcPr>
          <w:p w14:paraId="3FA7BECA">
            <w:pPr>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拆除工程</w:t>
            </w:r>
          </w:p>
        </w:tc>
        <w:tc>
          <w:tcPr>
            <w:tcW w:w="1290" w:type="dxa"/>
            <w:tcBorders>
              <w:top w:val="nil"/>
              <w:left w:val="nil"/>
              <w:bottom w:val="single" w:color="000000" w:sz="4" w:space="0"/>
              <w:right w:val="single" w:color="000000" w:sz="4" w:space="0"/>
            </w:tcBorders>
            <w:shd w:val="clear" w:color="auto" w:fill="FFFFFF"/>
            <w:noWrap w:val="0"/>
            <w:vAlign w:val="center"/>
          </w:tcPr>
          <w:p w14:paraId="50DE827D">
            <w:pPr>
              <w:adjustRightInd w:val="0"/>
              <w:jc w:val="left"/>
              <w:rPr>
                <w:rFonts w:hint="eastAsia" w:ascii="宋体" w:hAnsi="宋体" w:eastAsia="宋体" w:cs="宋体"/>
                <w:color w:val="auto"/>
                <w:sz w:val="24"/>
                <w:szCs w:val="24"/>
              </w:rPr>
            </w:pPr>
          </w:p>
        </w:tc>
        <w:tc>
          <w:tcPr>
            <w:tcW w:w="1290" w:type="dxa"/>
            <w:tcBorders>
              <w:top w:val="nil"/>
              <w:left w:val="nil"/>
              <w:bottom w:val="single" w:color="000000" w:sz="4" w:space="0"/>
              <w:right w:val="single" w:color="000000" w:sz="4" w:space="0"/>
            </w:tcBorders>
            <w:shd w:val="clear" w:color="auto" w:fill="FFFFFF"/>
            <w:noWrap w:val="0"/>
            <w:vAlign w:val="center"/>
          </w:tcPr>
          <w:p w14:paraId="1C952157">
            <w:pPr>
              <w:adjustRightInd w:val="0"/>
              <w:jc w:val="left"/>
              <w:rPr>
                <w:rFonts w:hint="eastAsia" w:ascii="宋体" w:hAnsi="宋体" w:eastAsia="宋体" w:cs="宋体"/>
                <w:color w:val="auto"/>
                <w:sz w:val="24"/>
                <w:szCs w:val="24"/>
              </w:rPr>
            </w:pPr>
          </w:p>
        </w:tc>
      </w:tr>
      <w:tr w14:paraId="4A1302C8">
        <w:tblPrEx>
          <w:tblCellMar>
            <w:top w:w="0" w:type="dxa"/>
            <w:left w:w="108" w:type="dxa"/>
            <w:bottom w:w="0" w:type="dxa"/>
            <w:right w:w="108" w:type="dxa"/>
          </w:tblCellMar>
        </w:tblPrEx>
        <w:trPr>
          <w:trHeight w:val="632"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8493">
            <w:pPr>
              <w:widowControl/>
              <w:adjustRightInd w:val="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3E23A095">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互感器</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CF1F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194E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0D2AB">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10F4C">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2D700">
            <w:pPr>
              <w:widowControl/>
              <w:adjustRightInd w:val="0"/>
              <w:jc w:val="center"/>
              <w:textAlignment w:val="center"/>
              <w:rPr>
                <w:rFonts w:hint="eastAsia" w:ascii="宋体" w:hAnsi="宋体" w:eastAsia="宋体" w:cs="宋体"/>
                <w:color w:val="auto"/>
                <w:kern w:val="0"/>
                <w:sz w:val="24"/>
                <w:szCs w:val="24"/>
                <w:lang w:bidi="ar"/>
              </w:rPr>
            </w:pPr>
          </w:p>
        </w:tc>
      </w:tr>
      <w:tr w14:paraId="55C4B36D">
        <w:tblPrEx>
          <w:tblCellMar>
            <w:top w:w="0" w:type="dxa"/>
            <w:left w:w="108" w:type="dxa"/>
            <w:bottom w:w="0" w:type="dxa"/>
            <w:right w:w="108" w:type="dxa"/>
          </w:tblCellMar>
        </w:tblPrEx>
        <w:trPr>
          <w:trHeight w:val="632"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BC90">
            <w:pPr>
              <w:widowControl/>
              <w:adjustRightInd w:val="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24948D28">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互感器</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1C50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5470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37742">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C8E74">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B785F">
            <w:pPr>
              <w:widowControl/>
              <w:adjustRightInd w:val="0"/>
              <w:jc w:val="center"/>
              <w:textAlignment w:val="center"/>
              <w:rPr>
                <w:rFonts w:hint="eastAsia" w:ascii="宋体" w:hAnsi="宋体" w:eastAsia="宋体" w:cs="宋体"/>
                <w:color w:val="auto"/>
                <w:kern w:val="0"/>
                <w:sz w:val="24"/>
                <w:szCs w:val="24"/>
                <w:lang w:bidi="ar"/>
              </w:rPr>
            </w:pPr>
          </w:p>
        </w:tc>
      </w:tr>
      <w:tr w14:paraId="36904DF6">
        <w:tblPrEx>
          <w:tblCellMar>
            <w:top w:w="0" w:type="dxa"/>
            <w:left w:w="108" w:type="dxa"/>
            <w:bottom w:w="0" w:type="dxa"/>
            <w:right w:w="108" w:type="dxa"/>
          </w:tblCellMar>
        </w:tblPrEx>
        <w:trPr>
          <w:trHeight w:val="632"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A247">
            <w:pPr>
              <w:widowControl/>
              <w:adjustRightInd w:val="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70CA2F0F">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干式变压器</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900A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15D0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1E699">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E4BE0">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0DAB2">
            <w:pPr>
              <w:widowControl/>
              <w:adjustRightInd w:val="0"/>
              <w:jc w:val="center"/>
              <w:textAlignment w:val="center"/>
              <w:rPr>
                <w:rFonts w:hint="eastAsia" w:ascii="宋体" w:hAnsi="宋体" w:eastAsia="宋体" w:cs="宋体"/>
                <w:color w:val="auto"/>
                <w:kern w:val="0"/>
                <w:sz w:val="24"/>
                <w:szCs w:val="24"/>
                <w:lang w:bidi="ar"/>
              </w:rPr>
            </w:pPr>
          </w:p>
        </w:tc>
      </w:tr>
      <w:tr w14:paraId="6EDDE8E4">
        <w:tblPrEx>
          <w:tblCellMar>
            <w:top w:w="0" w:type="dxa"/>
            <w:left w:w="108" w:type="dxa"/>
            <w:bottom w:w="0" w:type="dxa"/>
            <w:right w:w="108" w:type="dxa"/>
          </w:tblCellMar>
        </w:tblPrEx>
        <w:trPr>
          <w:trHeight w:val="632"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D650">
            <w:pPr>
              <w:widowControl/>
              <w:adjustRightInd w:val="0"/>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237A6D6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低压开关柜(屏)</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CAE5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C1F8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D3FA6">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57A1F">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1A5B6">
            <w:pPr>
              <w:widowControl/>
              <w:adjustRightInd w:val="0"/>
              <w:jc w:val="center"/>
              <w:textAlignment w:val="center"/>
              <w:rPr>
                <w:rFonts w:hint="eastAsia" w:ascii="宋体" w:hAnsi="宋体" w:eastAsia="宋体" w:cs="宋体"/>
                <w:color w:val="auto"/>
                <w:kern w:val="0"/>
                <w:sz w:val="24"/>
                <w:szCs w:val="24"/>
                <w:lang w:bidi="ar"/>
              </w:rPr>
            </w:pPr>
          </w:p>
        </w:tc>
      </w:tr>
      <w:tr w14:paraId="09B9097F">
        <w:tblPrEx>
          <w:tblCellMar>
            <w:top w:w="0" w:type="dxa"/>
            <w:left w:w="108" w:type="dxa"/>
            <w:bottom w:w="0" w:type="dxa"/>
            <w:right w:w="108" w:type="dxa"/>
          </w:tblCellMar>
        </w:tblPrEx>
        <w:trPr>
          <w:trHeight w:val="632"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9CA6">
            <w:pPr>
              <w:widowControl/>
              <w:adjustRightInd w:val="0"/>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5</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69FC8C22">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0.4kV馈线电缆拆除</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597A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3EA7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17C37">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E9C4C">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2EFEF">
            <w:pPr>
              <w:widowControl/>
              <w:adjustRightInd w:val="0"/>
              <w:jc w:val="center"/>
              <w:textAlignment w:val="center"/>
              <w:rPr>
                <w:rFonts w:hint="eastAsia" w:ascii="宋体" w:hAnsi="宋体" w:eastAsia="宋体" w:cs="宋体"/>
                <w:color w:val="auto"/>
                <w:kern w:val="0"/>
                <w:sz w:val="24"/>
                <w:szCs w:val="24"/>
                <w:lang w:bidi="ar"/>
              </w:rPr>
            </w:pPr>
          </w:p>
        </w:tc>
      </w:tr>
      <w:tr w14:paraId="5602AB96">
        <w:tblPrEx>
          <w:tblCellMar>
            <w:top w:w="0" w:type="dxa"/>
            <w:left w:w="108" w:type="dxa"/>
            <w:bottom w:w="0" w:type="dxa"/>
            <w:right w:w="108" w:type="dxa"/>
          </w:tblCellMar>
        </w:tblPrEx>
        <w:trPr>
          <w:trHeight w:val="632"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CD14">
            <w:pPr>
              <w:widowControl/>
              <w:adjustRightInd w:val="0"/>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6</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67C9455A">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高压电缆拆除</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38BD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1606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CB827">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5D6E9">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CC48B">
            <w:pPr>
              <w:widowControl/>
              <w:adjustRightInd w:val="0"/>
              <w:jc w:val="center"/>
              <w:textAlignment w:val="center"/>
              <w:rPr>
                <w:rFonts w:hint="eastAsia" w:ascii="宋体" w:hAnsi="宋体" w:eastAsia="宋体" w:cs="宋体"/>
                <w:color w:val="auto"/>
                <w:kern w:val="0"/>
                <w:sz w:val="24"/>
                <w:szCs w:val="24"/>
                <w:lang w:bidi="ar"/>
              </w:rPr>
            </w:pPr>
          </w:p>
        </w:tc>
      </w:tr>
      <w:tr w14:paraId="7DC6C0F6">
        <w:tblPrEx>
          <w:tblCellMar>
            <w:top w:w="0" w:type="dxa"/>
            <w:left w:w="108" w:type="dxa"/>
            <w:bottom w:w="0" w:type="dxa"/>
            <w:right w:w="108" w:type="dxa"/>
          </w:tblCellMar>
        </w:tblPrEx>
        <w:trPr>
          <w:trHeight w:val="460"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4433">
            <w:pPr>
              <w:widowControl/>
              <w:adjustRightInd w:val="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二</w:t>
            </w:r>
          </w:p>
        </w:tc>
        <w:tc>
          <w:tcPr>
            <w:tcW w:w="7162"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54875FC2">
            <w:pPr>
              <w:widowControl/>
              <w:adjustRightInd w:val="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新装变配电</w:t>
            </w:r>
          </w:p>
        </w:tc>
        <w:tc>
          <w:tcPr>
            <w:tcW w:w="1290" w:type="dxa"/>
            <w:tcBorders>
              <w:top w:val="single" w:color="000000" w:sz="4" w:space="0"/>
              <w:left w:val="nil"/>
              <w:bottom w:val="single" w:color="000000" w:sz="4" w:space="0"/>
              <w:right w:val="single" w:color="000000" w:sz="4" w:space="0"/>
            </w:tcBorders>
            <w:shd w:val="clear" w:color="auto" w:fill="FFFFFF"/>
            <w:noWrap w:val="0"/>
            <w:vAlign w:val="center"/>
          </w:tcPr>
          <w:p w14:paraId="41920CED">
            <w:pPr>
              <w:widowControl/>
              <w:adjustRightInd w:val="0"/>
              <w:jc w:val="left"/>
              <w:textAlignment w:val="center"/>
              <w:rPr>
                <w:rFonts w:hint="eastAsia" w:ascii="宋体" w:hAnsi="宋体" w:eastAsia="宋体" w:cs="宋体"/>
                <w:color w:val="auto"/>
                <w:sz w:val="24"/>
                <w:szCs w:val="24"/>
              </w:rPr>
            </w:pPr>
          </w:p>
        </w:tc>
        <w:tc>
          <w:tcPr>
            <w:tcW w:w="1290" w:type="dxa"/>
            <w:tcBorders>
              <w:top w:val="single" w:color="000000" w:sz="4" w:space="0"/>
              <w:left w:val="nil"/>
              <w:bottom w:val="single" w:color="000000" w:sz="4" w:space="0"/>
              <w:right w:val="single" w:color="000000" w:sz="4" w:space="0"/>
            </w:tcBorders>
            <w:shd w:val="clear" w:color="auto" w:fill="FFFFFF"/>
            <w:noWrap w:val="0"/>
            <w:vAlign w:val="center"/>
          </w:tcPr>
          <w:p w14:paraId="314D7442">
            <w:pPr>
              <w:widowControl/>
              <w:adjustRightInd w:val="0"/>
              <w:jc w:val="left"/>
              <w:textAlignment w:val="center"/>
              <w:rPr>
                <w:rFonts w:hint="eastAsia" w:ascii="宋体" w:hAnsi="宋体" w:eastAsia="宋体" w:cs="宋体"/>
                <w:color w:val="auto"/>
                <w:sz w:val="24"/>
                <w:szCs w:val="24"/>
              </w:rPr>
            </w:pPr>
          </w:p>
        </w:tc>
      </w:tr>
      <w:tr w14:paraId="0B1667C4">
        <w:tblPrEx>
          <w:tblCellMar>
            <w:top w:w="0" w:type="dxa"/>
            <w:left w:w="108" w:type="dxa"/>
            <w:bottom w:w="0" w:type="dxa"/>
            <w:right w:w="108" w:type="dxa"/>
          </w:tblCellMar>
        </w:tblPrEx>
        <w:trPr>
          <w:trHeight w:val="830"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B73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27AF7CB9">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互感器</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3EBC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5C20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2545F">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4CBE8">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BBD9B">
            <w:pPr>
              <w:widowControl/>
              <w:adjustRightInd w:val="0"/>
              <w:jc w:val="center"/>
              <w:textAlignment w:val="center"/>
              <w:rPr>
                <w:rFonts w:hint="eastAsia" w:ascii="宋体" w:hAnsi="宋体" w:eastAsia="宋体" w:cs="宋体"/>
                <w:color w:val="auto"/>
                <w:kern w:val="0"/>
                <w:sz w:val="24"/>
                <w:szCs w:val="24"/>
                <w:lang w:bidi="ar"/>
              </w:rPr>
            </w:pPr>
          </w:p>
        </w:tc>
      </w:tr>
      <w:tr w14:paraId="754CEE3E">
        <w:tblPrEx>
          <w:tblCellMar>
            <w:top w:w="0" w:type="dxa"/>
            <w:left w:w="108" w:type="dxa"/>
            <w:bottom w:w="0" w:type="dxa"/>
            <w:right w:w="108" w:type="dxa"/>
          </w:tblCellMar>
        </w:tblPrEx>
        <w:trPr>
          <w:trHeight w:val="632"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5E6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7FDBD9E4">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互感器</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3153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2BF9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60503">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35FBC">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0E3B7">
            <w:pPr>
              <w:widowControl/>
              <w:adjustRightInd w:val="0"/>
              <w:jc w:val="center"/>
              <w:textAlignment w:val="center"/>
              <w:rPr>
                <w:rFonts w:hint="eastAsia" w:ascii="宋体" w:hAnsi="宋体" w:eastAsia="宋体" w:cs="宋体"/>
                <w:color w:val="auto"/>
                <w:kern w:val="0"/>
                <w:sz w:val="24"/>
                <w:szCs w:val="24"/>
                <w:lang w:bidi="ar"/>
              </w:rPr>
            </w:pPr>
          </w:p>
        </w:tc>
      </w:tr>
      <w:tr w14:paraId="5AACD280">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A1B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3B15D398">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互感器</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3B05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6C37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89B88">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BD2BE">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07429">
            <w:pPr>
              <w:widowControl/>
              <w:adjustRightInd w:val="0"/>
              <w:jc w:val="center"/>
              <w:textAlignment w:val="center"/>
              <w:rPr>
                <w:rFonts w:hint="eastAsia" w:ascii="宋体" w:hAnsi="宋体" w:eastAsia="宋体" w:cs="宋体"/>
                <w:color w:val="auto"/>
                <w:kern w:val="0"/>
                <w:sz w:val="24"/>
                <w:szCs w:val="24"/>
                <w:lang w:bidi="ar"/>
              </w:rPr>
            </w:pPr>
          </w:p>
        </w:tc>
      </w:tr>
      <w:tr w14:paraId="02042723">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1C3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42EADC6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微机保护</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F095C">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4CD6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6F9CF">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913B3">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8A756">
            <w:pPr>
              <w:widowControl/>
              <w:adjustRightInd w:val="0"/>
              <w:jc w:val="center"/>
              <w:textAlignment w:val="center"/>
              <w:rPr>
                <w:rFonts w:hint="eastAsia" w:ascii="宋体" w:hAnsi="宋体" w:eastAsia="宋体" w:cs="宋体"/>
                <w:color w:val="auto"/>
                <w:kern w:val="0"/>
                <w:sz w:val="24"/>
                <w:szCs w:val="24"/>
                <w:lang w:bidi="ar"/>
              </w:rPr>
            </w:pPr>
          </w:p>
        </w:tc>
      </w:tr>
      <w:tr w14:paraId="6C19FBE2">
        <w:tblPrEx>
          <w:tblCellMar>
            <w:top w:w="0" w:type="dxa"/>
            <w:left w:w="108" w:type="dxa"/>
            <w:bottom w:w="0" w:type="dxa"/>
            <w:right w:w="108" w:type="dxa"/>
          </w:tblCellMar>
        </w:tblPrEx>
        <w:trPr>
          <w:trHeight w:val="460"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A57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47D62962">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直流电源</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D55A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027A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FE41B">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320D1">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66D57">
            <w:pPr>
              <w:widowControl/>
              <w:adjustRightInd w:val="0"/>
              <w:jc w:val="center"/>
              <w:textAlignment w:val="center"/>
              <w:rPr>
                <w:rFonts w:hint="eastAsia" w:ascii="宋体" w:hAnsi="宋体" w:eastAsia="宋体" w:cs="宋体"/>
                <w:color w:val="auto"/>
                <w:kern w:val="0"/>
                <w:sz w:val="24"/>
                <w:szCs w:val="24"/>
                <w:lang w:bidi="ar"/>
              </w:rPr>
            </w:pPr>
          </w:p>
        </w:tc>
      </w:tr>
      <w:tr w14:paraId="706EB800">
        <w:tblPrEx>
          <w:tblCellMar>
            <w:top w:w="0" w:type="dxa"/>
            <w:left w:w="108" w:type="dxa"/>
            <w:bottom w:w="0" w:type="dxa"/>
            <w:right w:w="108" w:type="dxa"/>
          </w:tblCellMar>
        </w:tblPrEx>
        <w:trPr>
          <w:trHeight w:val="1254"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F81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6</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22A9581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干式变压器</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545A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B0B0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DA9C3">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AC6B8">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881D5">
            <w:pPr>
              <w:widowControl/>
              <w:adjustRightInd w:val="0"/>
              <w:jc w:val="center"/>
              <w:textAlignment w:val="center"/>
              <w:rPr>
                <w:rFonts w:hint="eastAsia" w:ascii="宋体" w:hAnsi="宋体" w:eastAsia="宋体" w:cs="宋体"/>
                <w:color w:val="auto"/>
                <w:kern w:val="0"/>
                <w:sz w:val="24"/>
                <w:szCs w:val="24"/>
                <w:lang w:bidi="ar"/>
              </w:rPr>
            </w:pPr>
          </w:p>
        </w:tc>
      </w:tr>
      <w:tr w14:paraId="50FCAA31">
        <w:tblPrEx>
          <w:tblCellMar>
            <w:top w:w="0" w:type="dxa"/>
            <w:left w:w="108" w:type="dxa"/>
            <w:bottom w:w="0" w:type="dxa"/>
            <w:right w:w="108" w:type="dxa"/>
          </w:tblCellMar>
        </w:tblPrEx>
        <w:trPr>
          <w:trHeight w:val="460"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778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7</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17255E9F">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带形母线（侧进）</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84E0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m</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33EB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37469">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B6B7C">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EBC5C">
            <w:pPr>
              <w:widowControl/>
              <w:adjustRightInd w:val="0"/>
              <w:jc w:val="center"/>
              <w:textAlignment w:val="center"/>
              <w:rPr>
                <w:rFonts w:hint="eastAsia" w:ascii="宋体" w:hAnsi="宋体" w:eastAsia="宋体" w:cs="宋体"/>
                <w:color w:val="auto"/>
                <w:kern w:val="0"/>
                <w:sz w:val="24"/>
                <w:szCs w:val="24"/>
                <w:lang w:bidi="ar"/>
              </w:rPr>
            </w:pPr>
          </w:p>
        </w:tc>
      </w:tr>
      <w:tr w14:paraId="58E458CF">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5A4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8</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3F23E924">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电力变压器系统</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9276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套</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9D6E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4CB0B">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13275">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BFF8E">
            <w:pPr>
              <w:widowControl/>
              <w:adjustRightInd w:val="0"/>
              <w:jc w:val="center"/>
              <w:textAlignment w:val="center"/>
              <w:rPr>
                <w:rFonts w:hint="eastAsia" w:ascii="宋体" w:hAnsi="宋体" w:eastAsia="宋体" w:cs="宋体"/>
                <w:color w:val="auto"/>
                <w:kern w:val="0"/>
                <w:sz w:val="24"/>
                <w:szCs w:val="24"/>
                <w:lang w:bidi="ar"/>
              </w:rPr>
            </w:pPr>
          </w:p>
        </w:tc>
      </w:tr>
      <w:tr w14:paraId="237647A4">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F82C">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9</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60549681">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低压开关柜(屏)</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0D09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9E83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19D13">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C8C75">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9C0BD">
            <w:pPr>
              <w:widowControl/>
              <w:adjustRightInd w:val="0"/>
              <w:jc w:val="center"/>
              <w:textAlignment w:val="center"/>
              <w:rPr>
                <w:rFonts w:hint="eastAsia" w:ascii="宋体" w:hAnsi="宋体" w:eastAsia="宋体" w:cs="宋体"/>
                <w:color w:val="auto"/>
                <w:kern w:val="0"/>
                <w:sz w:val="24"/>
                <w:szCs w:val="24"/>
                <w:lang w:bidi="ar"/>
              </w:rPr>
            </w:pPr>
          </w:p>
        </w:tc>
      </w:tr>
      <w:tr w14:paraId="648D3B9A">
        <w:tblPrEx>
          <w:tblCellMar>
            <w:top w:w="0" w:type="dxa"/>
            <w:left w:w="108" w:type="dxa"/>
            <w:bottom w:w="0" w:type="dxa"/>
            <w:right w:w="108" w:type="dxa"/>
          </w:tblCellMar>
        </w:tblPrEx>
        <w:trPr>
          <w:trHeight w:val="632"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42C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649A3534">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低压开关柜(屏)</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8682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326B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D1A7C">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C0EBA">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C17D0">
            <w:pPr>
              <w:widowControl/>
              <w:adjustRightInd w:val="0"/>
              <w:jc w:val="center"/>
              <w:textAlignment w:val="center"/>
              <w:rPr>
                <w:rFonts w:hint="eastAsia" w:ascii="宋体" w:hAnsi="宋体" w:eastAsia="宋体" w:cs="宋体"/>
                <w:color w:val="auto"/>
                <w:kern w:val="0"/>
                <w:sz w:val="24"/>
                <w:szCs w:val="24"/>
                <w:lang w:bidi="ar"/>
              </w:rPr>
            </w:pPr>
          </w:p>
        </w:tc>
      </w:tr>
      <w:tr w14:paraId="5C92AE25">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636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11</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3BF8802E">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低压开关柜(屏)</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A248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FC60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22BD0">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029EC">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7AFCA">
            <w:pPr>
              <w:widowControl/>
              <w:adjustRightInd w:val="0"/>
              <w:jc w:val="center"/>
              <w:textAlignment w:val="center"/>
              <w:rPr>
                <w:rFonts w:hint="eastAsia" w:ascii="宋体" w:hAnsi="宋体" w:eastAsia="宋体" w:cs="宋体"/>
                <w:color w:val="auto"/>
                <w:kern w:val="0"/>
                <w:sz w:val="24"/>
                <w:szCs w:val="24"/>
                <w:lang w:bidi="ar"/>
              </w:rPr>
            </w:pPr>
          </w:p>
        </w:tc>
      </w:tr>
      <w:tr w14:paraId="78B433EC">
        <w:tblPrEx>
          <w:tblCellMar>
            <w:top w:w="0" w:type="dxa"/>
            <w:left w:w="108" w:type="dxa"/>
            <w:bottom w:w="0" w:type="dxa"/>
            <w:right w:w="108" w:type="dxa"/>
          </w:tblCellMar>
        </w:tblPrEx>
        <w:trPr>
          <w:trHeight w:val="632"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193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12</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7EA9BD75">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低压开关柜(屏)</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45C9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26ADC">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216CC">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AAAEC">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D1E96">
            <w:pPr>
              <w:widowControl/>
              <w:adjustRightInd w:val="0"/>
              <w:jc w:val="center"/>
              <w:textAlignment w:val="center"/>
              <w:rPr>
                <w:rFonts w:hint="eastAsia" w:ascii="宋体" w:hAnsi="宋体" w:eastAsia="宋体" w:cs="宋体"/>
                <w:color w:val="auto"/>
                <w:kern w:val="0"/>
                <w:sz w:val="24"/>
                <w:szCs w:val="24"/>
                <w:lang w:bidi="ar"/>
              </w:rPr>
            </w:pPr>
          </w:p>
        </w:tc>
      </w:tr>
      <w:tr w14:paraId="23E40106">
        <w:tblPrEx>
          <w:tblCellMar>
            <w:top w:w="0" w:type="dxa"/>
            <w:left w:w="108" w:type="dxa"/>
            <w:bottom w:w="0" w:type="dxa"/>
            <w:right w:w="108" w:type="dxa"/>
          </w:tblCellMar>
        </w:tblPrEx>
        <w:trPr>
          <w:trHeight w:val="942"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988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13</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4C1CFA07">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低压开关柜(屏)</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4CB4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8AB5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0F204">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A949D">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8AF91">
            <w:pPr>
              <w:widowControl/>
              <w:adjustRightInd w:val="0"/>
              <w:jc w:val="center"/>
              <w:textAlignment w:val="center"/>
              <w:rPr>
                <w:rFonts w:hint="eastAsia" w:ascii="宋体" w:hAnsi="宋体" w:eastAsia="宋体" w:cs="宋体"/>
                <w:color w:val="auto"/>
                <w:kern w:val="0"/>
                <w:sz w:val="24"/>
                <w:szCs w:val="24"/>
                <w:lang w:bidi="ar"/>
              </w:rPr>
            </w:pPr>
          </w:p>
        </w:tc>
      </w:tr>
      <w:tr w14:paraId="22C80D12">
        <w:tblPrEx>
          <w:tblCellMar>
            <w:top w:w="0" w:type="dxa"/>
            <w:left w:w="108" w:type="dxa"/>
            <w:bottom w:w="0" w:type="dxa"/>
            <w:right w:w="108" w:type="dxa"/>
          </w:tblCellMar>
        </w:tblPrEx>
        <w:trPr>
          <w:trHeight w:val="942"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F1D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14</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2D905FD8">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送配电装置系统</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5144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套</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1C68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8B6BA">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60DDE">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31051">
            <w:pPr>
              <w:widowControl/>
              <w:adjustRightInd w:val="0"/>
              <w:jc w:val="center"/>
              <w:textAlignment w:val="center"/>
              <w:rPr>
                <w:rFonts w:hint="eastAsia" w:ascii="宋体" w:hAnsi="宋体" w:eastAsia="宋体" w:cs="宋体"/>
                <w:color w:val="auto"/>
                <w:kern w:val="0"/>
                <w:sz w:val="24"/>
                <w:szCs w:val="24"/>
                <w:lang w:bidi="ar"/>
              </w:rPr>
            </w:pPr>
          </w:p>
        </w:tc>
      </w:tr>
      <w:tr w14:paraId="61F8A684">
        <w:tblPrEx>
          <w:tblCellMar>
            <w:top w:w="0" w:type="dxa"/>
            <w:left w:w="108" w:type="dxa"/>
            <w:bottom w:w="0" w:type="dxa"/>
            <w:right w:w="108" w:type="dxa"/>
          </w:tblCellMar>
        </w:tblPrEx>
        <w:trPr>
          <w:trHeight w:val="910"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DB5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15</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574F6E4D">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送配电装置系统</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8ED8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套</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EC8F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47698">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A9458">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42AFB">
            <w:pPr>
              <w:widowControl/>
              <w:adjustRightInd w:val="0"/>
              <w:jc w:val="center"/>
              <w:textAlignment w:val="center"/>
              <w:rPr>
                <w:rFonts w:hint="eastAsia" w:ascii="宋体" w:hAnsi="宋体" w:eastAsia="宋体" w:cs="宋体"/>
                <w:color w:val="auto"/>
                <w:kern w:val="0"/>
                <w:sz w:val="24"/>
                <w:szCs w:val="24"/>
                <w:lang w:bidi="ar"/>
              </w:rPr>
            </w:pPr>
          </w:p>
        </w:tc>
      </w:tr>
      <w:tr w14:paraId="779CDED6">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315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16</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6754A23B">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电缆试验</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EDF5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E1F5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02221">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7306F">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49244">
            <w:pPr>
              <w:widowControl/>
              <w:adjustRightInd w:val="0"/>
              <w:jc w:val="center"/>
              <w:textAlignment w:val="center"/>
              <w:rPr>
                <w:rFonts w:hint="eastAsia" w:ascii="宋体" w:hAnsi="宋体" w:eastAsia="宋体" w:cs="宋体"/>
                <w:color w:val="auto"/>
                <w:kern w:val="0"/>
                <w:sz w:val="24"/>
                <w:szCs w:val="24"/>
                <w:lang w:bidi="ar"/>
              </w:rPr>
            </w:pPr>
          </w:p>
        </w:tc>
      </w:tr>
      <w:tr w14:paraId="69579082">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C06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17</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0C627286">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0.4kV馈线电缆重新接线</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853F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1358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047B1">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7C3BA">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4DEF9">
            <w:pPr>
              <w:widowControl/>
              <w:adjustRightInd w:val="0"/>
              <w:jc w:val="center"/>
              <w:textAlignment w:val="center"/>
              <w:rPr>
                <w:rFonts w:hint="eastAsia" w:ascii="宋体" w:hAnsi="宋体" w:eastAsia="宋体" w:cs="宋体"/>
                <w:color w:val="auto"/>
                <w:kern w:val="0"/>
                <w:sz w:val="24"/>
                <w:szCs w:val="24"/>
                <w:lang w:bidi="ar"/>
              </w:rPr>
            </w:pPr>
          </w:p>
        </w:tc>
      </w:tr>
      <w:tr w14:paraId="09ECC444">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764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18</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6DEEF1A0">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高压电缆重新接线</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160E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1927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CFA53">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430AC">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90ADB">
            <w:pPr>
              <w:widowControl/>
              <w:adjustRightInd w:val="0"/>
              <w:jc w:val="center"/>
              <w:textAlignment w:val="center"/>
              <w:rPr>
                <w:rFonts w:hint="eastAsia" w:ascii="宋体" w:hAnsi="宋体" w:eastAsia="宋体" w:cs="宋体"/>
                <w:color w:val="auto"/>
                <w:kern w:val="0"/>
                <w:sz w:val="24"/>
                <w:szCs w:val="24"/>
                <w:lang w:bidi="ar"/>
              </w:rPr>
            </w:pPr>
          </w:p>
        </w:tc>
      </w:tr>
      <w:tr w14:paraId="6E964F53">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1B8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19</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10F0D0FC">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安全工器具</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8D42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套</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9930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1FDB6">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E0F42">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D2C20">
            <w:pPr>
              <w:widowControl/>
              <w:adjustRightInd w:val="0"/>
              <w:jc w:val="center"/>
              <w:textAlignment w:val="center"/>
              <w:rPr>
                <w:rFonts w:hint="eastAsia" w:ascii="宋体" w:hAnsi="宋体" w:eastAsia="宋体" w:cs="宋体"/>
                <w:color w:val="auto"/>
                <w:kern w:val="0"/>
                <w:sz w:val="24"/>
                <w:szCs w:val="24"/>
                <w:lang w:bidi="ar"/>
              </w:rPr>
            </w:pPr>
          </w:p>
        </w:tc>
      </w:tr>
      <w:tr w14:paraId="600A9622">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D5D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20</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3A5C7EE6">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模拟图板</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1414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套</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7652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C5702">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40506">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11FEF">
            <w:pPr>
              <w:widowControl/>
              <w:adjustRightInd w:val="0"/>
              <w:jc w:val="center"/>
              <w:textAlignment w:val="center"/>
              <w:rPr>
                <w:rFonts w:hint="eastAsia" w:ascii="宋体" w:hAnsi="宋体" w:eastAsia="宋体" w:cs="宋体"/>
                <w:color w:val="auto"/>
                <w:kern w:val="0"/>
                <w:sz w:val="24"/>
                <w:szCs w:val="24"/>
                <w:lang w:bidi="ar"/>
              </w:rPr>
            </w:pPr>
          </w:p>
        </w:tc>
      </w:tr>
      <w:tr w14:paraId="58B1885B">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038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21</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7D25469E">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挡鼠板</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3330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块</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7DA2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1E09B">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28D4B">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2B5C6">
            <w:pPr>
              <w:widowControl/>
              <w:adjustRightInd w:val="0"/>
              <w:jc w:val="center"/>
              <w:textAlignment w:val="center"/>
              <w:rPr>
                <w:rFonts w:hint="eastAsia" w:ascii="宋体" w:hAnsi="宋体" w:eastAsia="宋体" w:cs="宋体"/>
                <w:color w:val="auto"/>
                <w:kern w:val="0"/>
                <w:sz w:val="24"/>
                <w:szCs w:val="24"/>
                <w:lang w:bidi="ar"/>
              </w:rPr>
            </w:pPr>
          </w:p>
        </w:tc>
      </w:tr>
      <w:tr w14:paraId="790F6EE5">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836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22</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69D9A2F8">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电缆沟盖板</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749B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块</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B827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66EFA">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B3970">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14170">
            <w:pPr>
              <w:widowControl/>
              <w:adjustRightInd w:val="0"/>
              <w:jc w:val="center"/>
              <w:textAlignment w:val="center"/>
              <w:rPr>
                <w:rFonts w:hint="eastAsia" w:ascii="宋体" w:hAnsi="宋体" w:eastAsia="宋体" w:cs="宋体"/>
                <w:color w:val="auto"/>
                <w:kern w:val="0"/>
                <w:sz w:val="24"/>
                <w:szCs w:val="24"/>
                <w:lang w:bidi="ar"/>
              </w:rPr>
            </w:pPr>
          </w:p>
        </w:tc>
      </w:tr>
      <w:tr w14:paraId="29808459">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1F2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23</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7D5A9742">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钢板</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AFEF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块</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9317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30550">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78515">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7A86E">
            <w:pPr>
              <w:widowControl/>
              <w:adjustRightInd w:val="0"/>
              <w:jc w:val="center"/>
              <w:textAlignment w:val="center"/>
              <w:rPr>
                <w:rFonts w:hint="eastAsia" w:ascii="宋体" w:hAnsi="宋体" w:eastAsia="宋体" w:cs="宋体"/>
                <w:color w:val="auto"/>
                <w:kern w:val="0"/>
                <w:sz w:val="24"/>
                <w:szCs w:val="24"/>
                <w:lang w:bidi="ar"/>
              </w:rPr>
            </w:pPr>
          </w:p>
        </w:tc>
      </w:tr>
      <w:tr w14:paraId="4575DADE">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F6E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24</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1C1D928A">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水管改造</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F995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2E80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90B4B">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30B06">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10049">
            <w:pPr>
              <w:widowControl/>
              <w:adjustRightInd w:val="0"/>
              <w:jc w:val="center"/>
              <w:textAlignment w:val="center"/>
              <w:rPr>
                <w:rFonts w:hint="eastAsia" w:ascii="宋体" w:hAnsi="宋体" w:eastAsia="宋体" w:cs="宋体"/>
                <w:color w:val="auto"/>
                <w:kern w:val="0"/>
                <w:sz w:val="24"/>
                <w:szCs w:val="24"/>
                <w:lang w:bidi="ar"/>
              </w:rPr>
            </w:pPr>
          </w:p>
        </w:tc>
      </w:tr>
      <w:tr w14:paraId="3FDAFD48">
        <w:tblPrEx>
          <w:tblCellMar>
            <w:top w:w="0" w:type="dxa"/>
            <w:left w:w="108" w:type="dxa"/>
            <w:bottom w:w="0" w:type="dxa"/>
            <w:right w:w="108" w:type="dxa"/>
          </w:tblCellMar>
        </w:tblPrEx>
        <w:trPr>
          <w:trHeight w:val="68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730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25</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001D9AE7">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防火泥</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6819C">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公斤</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2FA9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96DED">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16847">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D11B5">
            <w:pPr>
              <w:widowControl/>
              <w:adjustRightInd w:val="0"/>
              <w:jc w:val="center"/>
              <w:textAlignment w:val="center"/>
              <w:rPr>
                <w:rFonts w:hint="eastAsia" w:ascii="宋体" w:hAnsi="宋体" w:eastAsia="宋体" w:cs="宋体"/>
                <w:color w:val="auto"/>
                <w:kern w:val="0"/>
                <w:sz w:val="24"/>
                <w:szCs w:val="24"/>
                <w:lang w:bidi="ar"/>
              </w:rPr>
            </w:pPr>
          </w:p>
        </w:tc>
      </w:tr>
      <w:tr w14:paraId="30119173">
        <w:tblPrEx>
          <w:tblCellMar>
            <w:top w:w="0" w:type="dxa"/>
            <w:left w:w="108" w:type="dxa"/>
            <w:bottom w:w="0" w:type="dxa"/>
            <w:right w:w="108" w:type="dxa"/>
          </w:tblCellMar>
        </w:tblPrEx>
        <w:trPr>
          <w:trHeight w:val="321"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FE81">
            <w:pPr>
              <w:widowControl/>
              <w:adjustRightInd w:val="0"/>
              <w:jc w:val="center"/>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val="en-US" w:eastAsia="zh-CN" w:bidi="ar"/>
              </w:rPr>
              <w:t>三</w:t>
            </w:r>
          </w:p>
        </w:tc>
        <w:tc>
          <w:tcPr>
            <w:tcW w:w="7162"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B9B28F1">
            <w:pPr>
              <w:widowControl/>
              <w:adjustRightInd w:val="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其他</w:t>
            </w:r>
          </w:p>
        </w:tc>
        <w:tc>
          <w:tcPr>
            <w:tcW w:w="1290" w:type="dxa"/>
            <w:tcBorders>
              <w:top w:val="single" w:color="000000" w:sz="4" w:space="0"/>
              <w:left w:val="nil"/>
              <w:bottom w:val="single" w:color="000000" w:sz="4" w:space="0"/>
              <w:right w:val="single" w:color="000000" w:sz="4" w:space="0"/>
            </w:tcBorders>
            <w:shd w:val="clear" w:color="auto" w:fill="FFFFFF"/>
            <w:noWrap w:val="0"/>
            <w:vAlign w:val="center"/>
          </w:tcPr>
          <w:p w14:paraId="451EE334">
            <w:pPr>
              <w:widowControl/>
              <w:adjustRightInd w:val="0"/>
              <w:jc w:val="left"/>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nil"/>
              <w:bottom w:val="single" w:color="000000" w:sz="4" w:space="0"/>
              <w:right w:val="single" w:color="000000" w:sz="4" w:space="0"/>
            </w:tcBorders>
            <w:shd w:val="clear" w:color="auto" w:fill="FFFFFF"/>
            <w:noWrap w:val="0"/>
            <w:vAlign w:val="center"/>
          </w:tcPr>
          <w:p w14:paraId="27689B3C">
            <w:pPr>
              <w:widowControl/>
              <w:adjustRightInd w:val="0"/>
              <w:jc w:val="left"/>
              <w:textAlignment w:val="center"/>
              <w:rPr>
                <w:rFonts w:hint="eastAsia" w:ascii="宋体" w:hAnsi="宋体" w:eastAsia="宋体" w:cs="宋体"/>
                <w:color w:val="auto"/>
                <w:kern w:val="0"/>
                <w:sz w:val="24"/>
                <w:szCs w:val="24"/>
                <w:lang w:bidi="ar"/>
              </w:rPr>
            </w:pPr>
          </w:p>
        </w:tc>
      </w:tr>
      <w:tr w14:paraId="1CE5AFA0">
        <w:tblPrEx>
          <w:tblCellMar>
            <w:top w:w="0" w:type="dxa"/>
            <w:left w:w="108" w:type="dxa"/>
            <w:bottom w:w="0" w:type="dxa"/>
            <w:right w:w="108" w:type="dxa"/>
          </w:tblCellMar>
        </w:tblPrEx>
        <w:trPr>
          <w:trHeight w:val="632"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384A">
            <w:pPr>
              <w:widowControl/>
              <w:adjustRightInd w:val="0"/>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1682" w:type="dxa"/>
            <w:tcBorders>
              <w:top w:val="single" w:color="000000" w:sz="4" w:space="0"/>
              <w:left w:val="nil"/>
              <w:bottom w:val="single" w:color="000000" w:sz="4" w:space="0"/>
              <w:right w:val="single" w:color="000000" w:sz="4" w:space="0"/>
            </w:tcBorders>
            <w:shd w:val="clear" w:color="auto" w:fill="FFFFFF"/>
            <w:noWrap w:val="0"/>
            <w:vAlign w:val="center"/>
          </w:tcPr>
          <w:p w14:paraId="0A4AE0B4">
            <w:pPr>
              <w:widowControl/>
              <w:adjustRightInd w:val="0"/>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完成本项目的其它费用</w:t>
            </w:r>
          </w:p>
        </w:tc>
        <w:tc>
          <w:tcPr>
            <w:tcW w:w="1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311C9">
            <w:pPr>
              <w:widowControl/>
              <w:adjustRightInd w:val="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77FB7">
            <w:pPr>
              <w:widowControl/>
              <w:adjustRightInd w:val="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6F00C">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5D383">
            <w:pPr>
              <w:widowControl/>
              <w:adjustRightInd w:val="0"/>
              <w:jc w:val="center"/>
              <w:textAlignment w:val="center"/>
              <w:rPr>
                <w:rFonts w:hint="eastAsia" w:ascii="宋体" w:hAnsi="宋体" w:eastAsia="宋体" w:cs="宋体"/>
                <w:color w:val="auto"/>
                <w:kern w:val="0"/>
                <w:sz w:val="24"/>
                <w:szCs w:val="24"/>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09F6E">
            <w:pPr>
              <w:widowControl/>
              <w:adjustRightInd w:val="0"/>
              <w:jc w:val="center"/>
              <w:textAlignment w:val="center"/>
              <w:rPr>
                <w:rFonts w:hint="eastAsia" w:ascii="宋体" w:hAnsi="宋体" w:eastAsia="宋体" w:cs="宋体"/>
                <w:color w:val="auto"/>
                <w:kern w:val="0"/>
                <w:sz w:val="24"/>
                <w:szCs w:val="24"/>
                <w:lang w:bidi="ar"/>
              </w:rPr>
            </w:pPr>
          </w:p>
        </w:tc>
      </w:tr>
      <w:tr w14:paraId="20C5A688">
        <w:tblPrEx>
          <w:tblCellMar>
            <w:top w:w="0" w:type="dxa"/>
            <w:left w:w="108" w:type="dxa"/>
            <w:bottom w:w="0" w:type="dxa"/>
            <w:right w:w="108" w:type="dxa"/>
          </w:tblCellMar>
        </w:tblPrEx>
        <w:trPr>
          <w:trHeight w:val="632" w:hRule="atLeast"/>
          <w:jc w:val="center"/>
        </w:trPr>
        <w:tc>
          <w:tcPr>
            <w:tcW w:w="107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3B6E">
            <w:pPr>
              <w:widowControl/>
              <w:adjustRightInd w:val="0"/>
              <w:jc w:val="center"/>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eastAsia="zh-CN" w:bidi="ar"/>
              </w:rPr>
              <w:t>合计：</w:t>
            </w:r>
          </w:p>
        </w:tc>
      </w:tr>
    </w:tbl>
    <w:p w14:paraId="2237BCBC">
      <w:pPr>
        <w:pStyle w:val="127"/>
        <w:ind w:left="0" w:leftChars="0" w:firstLine="0" w:firstLineChars="0"/>
        <w:rPr>
          <w:rFonts w:hint="eastAsia"/>
          <w:color w:val="000000" w:themeColor="text1"/>
          <w14:textFill>
            <w14:solidFill>
              <w14:schemeClr w14:val="tx1"/>
            </w14:solidFill>
          </w14:textFill>
        </w:rPr>
      </w:pPr>
    </w:p>
    <w:p w14:paraId="19426A81">
      <w:pPr>
        <w:snapToGrid w:val="0"/>
        <w:spacing w:line="4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 1、报价一经涂改，应在涂改处加盖单位公章或者由法定代表人或其授权代理人签名或盖章，否则其投标作无效投标处理。</w:t>
      </w:r>
    </w:p>
    <w:p w14:paraId="6566BEC5">
      <w:pPr>
        <w:snapToGrid w:val="0"/>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2、上表中</w:t>
      </w:r>
      <w:r>
        <w:rPr>
          <w:rFonts w:hint="eastAsia" w:ascii="宋体" w:hAnsi="宋体" w:cs="宋体"/>
          <w:color w:val="000000" w:themeColor="text1"/>
          <w:sz w:val="24"/>
          <w:lang w:eastAsia="zh-CN"/>
          <w14:textFill>
            <w14:solidFill>
              <w14:schemeClr w14:val="tx1"/>
            </w14:solidFill>
          </w14:textFill>
        </w:rPr>
        <w:t>合计</w:t>
      </w:r>
      <w:r>
        <w:rPr>
          <w:rFonts w:hint="eastAsia" w:ascii="宋体" w:hAnsi="宋体" w:cs="宋体"/>
          <w:color w:val="000000" w:themeColor="text1"/>
          <w:sz w:val="24"/>
          <w14:textFill>
            <w14:solidFill>
              <w14:schemeClr w14:val="tx1"/>
            </w14:solidFill>
          </w14:textFill>
        </w:rPr>
        <w:t>应与开标一览表投标报价一致。</w:t>
      </w:r>
    </w:p>
    <w:p w14:paraId="3287872A">
      <w:pPr>
        <w:snapToGrid w:val="0"/>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3、最终以清单中单价进行结算，同型号规格货物如出现不同单价，以最低价格进行结算。</w:t>
      </w:r>
    </w:p>
    <w:p w14:paraId="7FA7C13A">
      <w:pPr>
        <w:snapToGrid w:val="0"/>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4、超过最高限价的报价无效。</w:t>
      </w:r>
    </w:p>
    <w:p w14:paraId="3E59787E">
      <w:pPr>
        <w:pStyle w:val="2"/>
        <w:ind w:firstLine="240"/>
        <w:rPr>
          <w:rFonts w:hint="eastAsia"/>
          <w:color w:val="000000" w:themeColor="text1"/>
          <w:sz w:val="24"/>
          <w14:textFill>
            <w14:solidFill>
              <w14:schemeClr w14:val="tx1"/>
            </w14:solidFill>
          </w14:textFill>
        </w:rPr>
      </w:pPr>
    </w:p>
    <w:p w14:paraId="68907064">
      <w:pPr>
        <w:snapToGrid w:val="0"/>
        <w:spacing w:line="4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供应商名称（盖章）：</w:t>
      </w:r>
      <w:r>
        <w:rPr>
          <w:rFonts w:hint="eastAsia" w:ascii="宋体" w:hAnsi="宋体" w:cs="宋体"/>
          <w:color w:val="000000" w:themeColor="text1"/>
          <w:sz w:val="24"/>
          <w:u w:val="single"/>
          <w14:textFill>
            <w14:solidFill>
              <w14:schemeClr w14:val="tx1"/>
            </w14:solidFill>
          </w14:textFill>
        </w:rPr>
        <w:t xml:space="preserve">                    </w:t>
      </w:r>
    </w:p>
    <w:p w14:paraId="69FAB4CD">
      <w:pPr>
        <w:snapToGrid w:val="0"/>
        <w:spacing w:line="4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法定代表人或其授权代表（签名或盖章）：</w:t>
      </w:r>
      <w:r>
        <w:rPr>
          <w:rFonts w:hint="eastAsia" w:ascii="宋体" w:hAnsi="宋体" w:cs="宋体"/>
          <w:color w:val="000000" w:themeColor="text1"/>
          <w:sz w:val="24"/>
          <w:u w:val="single"/>
          <w14:textFill>
            <w14:solidFill>
              <w14:schemeClr w14:val="tx1"/>
            </w14:solidFill>
          </w14:textFill>
        </w:rPr>
        <w:t xml:space="preserve">                    </w:t>
      </w:r>
    </w:p>
    <w:p w14:paraId="3E696267">
      <w:pPr>
        <w:adjustRightInd w:val="0"/>
        <w:snapToGrid w:val="0"/>
        <w:spacing w:before="120" w:beforeLines="50" w:after="120" w:afterLines="50" w:line="500" w:lineRule="exact"/>
        <w:rPr>
          <w:rFonts w:hint="eastAsia" w:ascii="宋体" w:hAnsi="宋体" w:cs="宋体"/>
          <w:color w:val="000000" w:themeColor="text1"/>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1A5D9FE">
      <w:pPr>
        <w:pStyle w:val="3"/>
        <w:spacing w:before="162"/>
        <w:jc w:val="center"/>
        <w:rPr>
          <w:rFonts w:hint="eastAsia" w:ascii="宋体" w:hAnsi="宋体" w:cs="宋体"/>
          <w:color w:val="000000" w:themeColor="text1"/>
          <w:kern w:val="2"/>
          <w:sz w:val="28"/>
          <w:szCs w:val="28"/>
          <w14:textFill>
            <w14:solidFill>
              <w14:schemeClr w14:val="tx1"/>
            </w14:solidFill>
          </w14:textFill>
        </w:rPr>
      </w:pPr>
    </w:p>
    <w:p w14:paraId="099A785F">
      <w:pPr>
        <w:rPr>
          <w:rFonts w:hint="eastAsia"/>
          <w:color w:val="000000" w:themeColor="text1"/>
          <w:lang w:eastAsia="zh-CN"/>
          <w14:textFill>
            <w14:solidFill>
              <w14:schemeClr w14:val="tx1"/>
            </w14:solidFill>
          </w14:textFill>
        </w:rPr>
      </w:pPr>
    </w:p>
    <w:p w14:paraId="402807C1">
      <w:pPr>
        <w:pStyle w:val="3"/>
        <w:spacing w:before="162"/>
        <w:jc w:val="center"/>
        <w:rPr>
          <w:rFonts w:hint="eastAsia" w:ascii="宋体" w:hAnsi="宋体" w:cs="宋体"/>
          <w:color w:val="000000" w:themeColor="text1"/>
          <w:kern w:val="2"/>
          <w:sz w:val="28"/>
          <w:szCs w:val="28"/>
          <w14:textFill>
            <w14:solidFill>
              <w14:schemeClr w14:val="tx1"/>
            </w14:solidFill>
          </w14:textFill>
        </w:rPr>
      </w:pPr>
    </w:p>
    <w:p w14:paraId="7AB39049">
      <w:pPr>
        <w:pStyle w:val="3"/>
        <w:spacing w:before="162"/>
        <w:jc w:val="center"/>
        <w:rPr>
          <w:rFonts w:hint="eastAsia" w:ascii="宋体" w:hAnsi="宋体" w:cs="宋体"/>
          <w:color w:val="000000" w:themeColor="text1"/>
          <w:kern w:val="2"/>
          <w:sz w:val="28"/>
          <w:szCs w:val="28"/>
          <w14:textFill>
            <w14:solidFill>
              <w14:schemeClr w14:val="tx1"/>
            </w14:solidFill>
          </w14:textFill>
        </w:rPr>
      </w:pPr>
    </w:p>
    <w:p w14:paraId="57FE0411">
      <w:pPr>
        <w:pStyle w:val="3"/>
        <w:spacing w:before="162"/>
        <w:jc w:val="center"/>
        <w:rPr>
          <w:rFonts w:hint="eastAsia" w:ascii="宋体" w:hAnsi="宋体" w:cs="宋体"/>
          <w:color w:val="000000" w:themeColor="text1"/>
          <w:kern w:val="2"/>
          <w:sz w:val="28"/>
          <w:szCs w:val="28"/>
          <w14:textFill>
            <w14:solidFill>
              <w14:schemeClr w14:val="tx1"/>
            </w14:solidFill>
          </w14:textFill>
        </w:rPr>
      </w:pPr>
    </w:p>
    <w:p w14:paraId="13F090CA">
      <w:pPr>
        <w:pStyle w:val="3"/>
        <w:spacing w:before="162"/>
        <w:jc w:val="center"/>
        <w:rPr>
          <w:rFonts w:hint="eastAsia" w:ascii="宋体" w:hAnsi="宋体" w:cs="宋体"/>
          <w:color w:val="000000" w:themeColor="text1"/>
          <w:kern w:val="2"/>
          <w:sz w:val="28"/>
          <w:szCs w:val="28"/>
          <w14:textFill>
            <w14:solidFill>
              <w14:schemeClr w14:val="tx1"/>
            </w14:solidFill>
          </w14:textFill>
        </w:rPr>
      </w:pPr>
    </w:p>
    <w:p w14:paraId="72DA5E4B">
      <w:pPr>
        <w:rPr>
          <w:rFonts w:hint="eastAsia" w:ascii="宋体" w:hAnsi="宋体" w:cs="宋体"/>
          <w:color w:val="000000" w:themeColor="text1"/>
          <w:kern w:val="2"/>
          <w:sz w:val="28"/>
          <w:szCs w:val="28"/>
          <w14:textFill>
            <w14:solidFill>
              <w14:schemeClr w14:val="tx1"/>
            </w14:solidFill>
          </w14:textFill>
        </w:rPr>
      </w:pPr>
    </w:p>
    <w:p w14:paraId="4255A7DA">
      <w:pPr>
        <w:pStyle w:val="2"/>
        <w:rPr>
          <w:rFonts w:hint="eastAsia" w:ascii="宋体" w:hAnsi="宋体" w:cs="宋体"/>
          <w:color w:val="000000" w:themeColor="text1"/>
          <w:kern w:val="2"/>
          <w:sz w:val="28"/>
          <w:szCs w:val="28"/>
          <w14:textFill>
            <w14:solidFill>
              <w14:schemeClr w14:val="tx1"/>
            </w14:solidFill>
          </w14:textFill>
        </w:rPr>
      </w:pPr>
    </w:p>
    <w:p w14:paraId="32379332">
      <w:pPr>
        <w:rPr>
          <w:rFonts w:hint="eastAsia"/>
        </w:rPr>
      </w:pPr>
    </w:p>
    <w:p w14:paraId="0ACE66EC">
      <w:pPr>
        <w:pStyle w:val="3"/>
        <w:spacing w:before="162"/>
        <w:jc w:val="center"/>
        <w:rPr>
          <w:rFonts w:hint="eastAsia" w:ascii="宋体" w:hAnsi="宋体" w:cs="宋体"/>
          <w:b w:val="0"/>
          <w:color w:val="000000" w:themeColor="text1"/>
          <w:sz w:val="28"/>
          <w:szCs w:val="28"/>
          <w14:textFill>
            <w14:solidFill>
              <w14:schemeClr w14:val="tx1"/>
            </w14:solidFill>
          </w14:textFill>
        </w:rPr>
      </w:pPr>
      <w:r>
        <w:rPr>
          <w:rFonts w:hint="eastAsia" w:ascii="宋体" w:hAnsi="宋体" w:cs="宋体"/>
          <w:color w:val="000000" w:themeColor="text1"/>
          <w:kern w:val="2"/>
          <w:sz w:val="28"/>
          <w:szCs w:val="28"/>
          <w14:textFill>
            <w14:solidFill>
              <w14:schemeClr w14:val="tx1"/>
            </w14:solidFill>
          </w14:textFill>
        </w:rPr>
        <w:t>中小企业声明函</w:t>
      </w:r>
    </w:p>
    <w:p w14:paraId="23AF4C6A">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 郑重声明，根据《政府采购促进中小企业发展管理办法》（财库﹝2020﹞46 号）的规定，本公司 参加</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采购活动，提供的货物全部由符合政策要求的中小企业制造。相关企业的具体情况如下（含签订分包意向协议的中小企业）：</w:t>
      </w:r>
    </w:p>
    <w:p w14:paraId="19767AC4">
      <w:pPr>
        <w:spacing w:line="5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（货物名称） </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r>
        <w:rPr>
          <w:rFonts w:hint="eastAsia" w:ascii="宋体" w:hAnsi="宋体" w:cs="宋体"/>
          <w:color w:val="000000" w:themeColor="text1"/>
          <w:sz w:val="24"/>
          <w14:textFill>
            <w14:solidFill>
              <w14:schemeClr w14:val="tx1"/>
            </w14:solidFill>
          </w14:textFill>
        </w:rPr>
        <w:t>）；</w:t>
      </w:r>
    </w:p>
    <w:p w14:paraId="30C59761">
      <w:pPr>
        <w:spacing w:line="5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（货物名称）     </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r>
        <w:rPr>
          <w:rFonts w:hint="eastAsia" w:ascii="宋体" w:hAnsi="宋体" w:cs="宋体"/>
          <w:color w:val="000000" w:themeColor="text1"/>
          <w:sz w:val="24"/>
          <w14:textFill>
            <w14:solidFill>
              <w14:schemeClr w14:val="tx1"/>
            </w14:solidFill>
          </w14:textFill>
        </w:rPr>
        <w:t>）；</w:t>
      </w:r>
    </w:p>
    <w:p w14:paraId="7F4B36D7">
      <w:pPr>
        <w:spacing w:line="5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4F9FEDD1">
      <w:pPr>
        <w:spacing w:line="5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以上企业，不属于大企业的分支机构，不存在控股股东为大企业的情形，也不存在与大企业的负责人为同一人的情形。</w:t>
      </w:r>
    </w:p>
    <w:p w14:paraId="1E79F702">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5B946E65">
      <w:pPr>
        <w:pStyle w:val="34"/>
        <w:spacing w:line="500" w:lineRule="exact"/>
        <w:ind w:firstLine="482" w:firstLineChars="200"/>
        <w:rPr>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此声明函需如实填写，内容完整，如有缺项、漏项的作为不提供处理。（所有货物均应填写完整）</w:t>
      </w:r>
    </w:p>
    <w:p w14:paraId="27D9DA0C">
      <w:pPr>
        <w:tabs>
          <w:tab w:val="left" w:pos="2996"/>
        </w:tabs>
        <w:spacing w:line="500" w:lineRule="exact"/>
        <w:ind w:firstLine="480" w:firstLineChars="200"/>
        <w:rPr>
          <w:color w:val="000000" w:themeColor="text1"/>
          <w:sz w:val="24"/>
          <w14:textFill>
            <w14:solidFill>
              <w14:schemeClr w14:val="tx1"/>
            </w14:solidFill>
          </w14:textFill>
        </w:rPr>
      </w:pPr>
    </w:p>
    <w:p w14:paraId="2E450867">
      <w:pPr>
        <w:tabs>
          <w:tab w:val="left" w:pos="2996"/>
        </w:tabs>
        <w:spacing w:line="5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企业名称（盖章）：</w:t>
      </w:r>
    </w:p>
    <w:p w14:paraId="115E8A00">
      <w:pPr>
        <w:tabs>
          <w:tab w:val="left" w:pos="2996"/>
        </w:tabs>
        <w:spacing w:line="5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日　期：</w:t>
      </w:r>
    </w:p>
    <w:p w14:paraId="35C7A1B3">
      <w:pPr>
        <w:spacing w:line="500" w:lineRule="exact"/>
        <w:rPr>
          <w:rFonts w:hint="eastAsia" w:ascii="宋体" w:hAnsi="宋体" w:cs="宋体"/>
          <w:color w:val="000000" w:themeColor="text1"/>
          <w:sz w:val="24"/>
          <w14:textFill>
            <w14:solidFill>
              <w14:schemeClr w14:val="tx1"/>
            </w14:solidFill>
          </w14:textFill>
        </w:rPr>
      </w:pPr>
    </w:p>
    <w:p w14:paraId="460BA2AD">
      <w:pPr>
        <w:spacing w:line="440" w:lineRule="exact"/>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本项目为货物类采购项目，根据《政府采购促进中小企业发展管理办法》（财库【2020】46号）货物类享受本办法规定的中小企业扶持政策要求：货物由中小企业制造，即货物由中小企业生产且使用该中小企业商号或者注册商标。</w:t>
      </w:r>
    </w:p>
    <w:p w14:paraId="7E346F1A">
      <w:pPr>
        <w:snapToGrid w:val="0"/>
        <w:spacing w:before="50" w:after="120" w:afterLines="50" w:line="440" w:lineRule="exac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此声明函需如实填写，内容完整，如有缺项、漏项的作为不提供处理。</w:t>
      </w:r>
    </w:p>
    <w:p w14:paraId="30767B3A">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从业人员、营业收入、资产总额填报上一年度数据，无上一年度数据的新成立企业可不填报。</w:t>
      </w:r>
    </w:p>
    <w:p w14:paraId="2EB51E3E">
      <w:pPr>
        <w:pStyle w:val="19"/>
        <w:rPr>
          <w:rFonts w:hint="eastAsia"/>
          <w:color w:val="000000" w:themeColor="text1"/>
          <w14:textFill>
            <w14:solidFill>
              <w14:schemeClr w14:val="tx1"/>
            </w14:solidFill>
          </w14:textFill>
        </w:rPr>
      </w:pPr>
    </w:p>
    <w:p w14:paraId="181683C1">
      <w:pPr>
        <w:snapToGrid w:val="0"/>
        <w:spacing w:before="50" w:after="120" w:afterLines="50" w:line="600" w:lineRule="exact"/>
        <w:jc w:val="cente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监狱企业声明函</w:t>
      </w:r>
    </w:p>
    <w:p w14:paraId="34C0CAE1">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【非监狱企业的不用提供】</w:t>
      </w:r>
    </w:p>
    <w:p w14:paraId="7B780758">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本企业郑重声明，根据《关于政府采购支持监狱企业发展有关问题的通知》(财库[2014]68号）的规定，本企业为监狱企业。</w:t>
      </w:r>
    </w:p>
    <w:p w14:paraId="0EDC002A">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根据上述标准，我企业属于监狱企业的理由为: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0352F940">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本企业为参加(项目名称: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)采购活动提供本企业的产品。</w:t>
      </w:r>
    </w:p>
    <w:p w14:paraId="0B5AFE64">
      <w:pPr>
        <w:spacing w:line="600" w:lineRule="exact"/>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本企业对上述声明的真实性负责。如有虚假，将依法承担相应责任。</w:t>
      </w:r>
    </w:p>
    <w:p w14:paraId="135E0ABA">
      <w:pPr>
        <w:spacing w:line="600" w:lineRule="exact"/>
        <w:rPr>
          <w:rFonts w:hint="eastAsia" w:ascii="宋体" w:hAnsi="宋体" w:cs="宋体"/>
          <w:color w:val="000000" w:themeColor="text1"/>
          <w:sz w:val="24"/>
          <w14:textFill>
            <w14:solidFill>
              <w14:schemeClr w14:val="tx1"/>
            </w14:solidFill>
          </w14:textFill>
        </w:rPr>
      </w:pPr>
    </w:p>
    <w:p w14:paraId="0E914972">
      <w:pPr>
        <w:spacing w:line="600" w:lineRule="exact"/>
        <w:rPr>
          <w:rFonts w:hint="eastAsia" w:ascii="宋体" w:hAnsi="宋体" w:cs="宋体"/>
          <w:color w:val="000000" w:themeColor="text1"/>
          <w:sz w:val="24"/>
          <w14:textFill>
            <w14:solidFill>
              <w14:schemeClr w14:val="tx1"/>
            </w14:solidFill>
          </w14:textFill>
        </w:rPr>
      </w:pPr>
    </w:p>
    <w:p w14:paraId="451ED4DB">
      <w:pPr>
        <w:spacing w:line="600" w:lineRule="exact"/>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供应商名称(盖章) :</w:t>
      </w:r>
    </w:p>
    <w:p w14:paraId="73398333">
      <w:pPr>
        <w:spacing w:line="600" w:lineRule="exact"/>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14:paraId="5FC18C85">
      <w:pPr>
        <w:spacing w:line="600" w:lineRule="exact"/>
        <w:rPr>
          <w:rFonts w:hint="eastAsia" w:ascii="宋体" w:hAnsi="宋体" w:cs="宋体"/>
          <w:color w:val="000000" w:themeColor="text1"/>
          <w:sz w:val="24"/>
          <w14:textFill>
            <w14:solidFill>
              <w14:schemeClr w14:val="tx1"/>
            </w14:solidFill>
          </w14:textFill>
        </w:rPr>
      </w:pPr>
    </w:p>
    <w:p w14:paraId="394F92CE">
      <w:pPr>
        <w:spacing w:line="600" w:lineRule="exact"/>
        <w:rPr>
          <w:rFonts w:hint="eastAsia" w:ascii="宋体" w:hAnsi="宋体" w:cs="宋体"/>
          <w:color w:val="000000" w:themeColor="text1"/>
          <w:sz w:val="24"/>
          <w14:textFill>
            <w14:solidFill>
              <w14:schemeClr w14:val="tx1"/>
            </w14:solidFill>
          </w14:textFill>
        </w:rPr>
      </w:pPr>
    </w:p>
    <w:p w14:paraId="534CC22D">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w:t>
      </w:r>
    </w:p>
    <w:p w14:paraId="7A637A48">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085CD2">
      <w:pPr>
        <w:spacing w:line="540" w:lineRule="exact"/>
        <w:rPr>
          <w:rFonts w:hint="eastAsia" w:ascii="宋体" w:hAnsi="宋体" w:cs="宋体"/>
          <w:color w:val="000000" w:themeColor="text1"/>
          <w:sz w:val="24"/>
          <w14:textFill>
            <w14:solidFill>
              <w14:schemeClr w14:val="tx1"/>
            </w14:solidFill>
          </w14:textFill>
        </w:rPr>
      </w:pPr>
    </w:p>
    <w:p w14:paraId="18620A67">
      <w:pPr>
        <w:snapToGrid w:val="0"/>
        <w:spacing w:before="50" w:after="120" w:afterLines="50" w:line="600" w:lineRule="exact"/>
        <w:jc w:val="center"/>
        <w:rPr>
          <w:rFonts w:hint="eastAsia" w:ascii="宋体" w:hAnsi="宋体" w:cs="宋体"/>
          <w:b/>
          <w:bCs/>
          <w:color w:val="000000" w:themeColor="text1"/>
          <w:szCs w:val="28"/>
          <w14:textFill>
            <w14:solidFill>
              <w14:schemeClr w14:val="tx1"/>
            </w14:solidFill>
          </w14:textFill>
        </w:rPr>
      </w:pPr>
    </w:p>
    <w:p w14:paraId="36285F11">
      <w:pPr>
        <w:snapToGrid w:val="0"/>
        <w:spacing w:before="50" w:after="120" w:afterLines="50" w:line="600" w:lineRule="exact"/>
        <w:jc w:val="cente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残疾人福利性单位声明函</w:t>
      </w:r>
    </w:p>
    <w:p w14:paraId="7B2AD94D">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【非残疾人福利性单位不用提供】</w:t>
      </w:r>
    </w:p>
    <w:p w14:paraId="3DB55E14">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(采购人名称)单位的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(项目名称)项目采购活动提供本单位制造的货物(由本单位承担工程/提供服务)，或者提供其他残疾人福利性单位制造的货物(不包括使用非残疾人福利性单位注册商标的货物)。</w:t>
      </w:r>
    </w:p>
    <w:p w14:paraId="439A02EA">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639DE5A1">
      <w:pPr>
        <w:spacing w:line="600" w:lineRule="exact"/>
        <w:ind w:firstLine="480" w:firstLineChars="200"/>
        <w:rPr>
          <w:rFonts w:hint="eastAsia" w:ascii="宋体" w:hAnsi="宋体" w:cs="宋体"/>
          <w:color w:val="000000" w:themeColor="text1"/>
          <w:sz w:val="24"/>
          <w14:textFill>
            <w14:solidFill>
              <w14:schemeClr w14:val="tx1"/>
            </w14:solidFill>
          </w14:textFill>
        </w:rPr>
      </w:pPr>
    </w:p>
    <w:p w14:paraId="55E9C4D8">
      <w:pPr>
        <w:spacing w:line="600" w:lineRule="exact"/>
        <w:ind w:firstLine="480" w:firstLineChars="200"/>
        <w:rPr>
          <w:rFonts w:hint="eastAsia" w:ascii="宋体" w:hAnsi="宋体" w:cs="宋体"/>
          <w:color w:val="000000" w:themeColor="text1"/>
          <w:sz w:val="24"/>
          <w14:textFill>
            <w14:solidFill>
              <w14:schemeClr w14:val="tx1"/>
            </w14:solidFill>
          </w14:textFill>
        </w:rPr>
      </w:pPr>
    </w:p>
    <w:p w14:paraId="40251E09">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供应商名称(盖章)：</w:t>
      </w:r>
    </w:p>
    <w:p w14:paraId="226885C0">
      <w:pPr>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14:paraId="783A6D0E">
      <w:pPr>
        <w:spacing w:line="600" w:lineRule="exact"/>
        <w:ind w:firstLine="480" w:firstLineChars="200"/>
        <w:rPr>
          <w:rFonts w:hint="eastAsia" w:ascii="宋体" w:hAnsi="宋体" w:cs="宋体"/>
          <w:color w:val="000000" w:themeColor="text1"/>
          <w:sz w:val="24"/>
          <w14:textFill>
            <w14:solidFill>
              <w14:schemeClr w14:val="tx1"/>
            </w14:solidFill>
          </w14:textFill>
        </w:rPr>
      </w:pPr>
    </w:p>
    <w:p w14:paraId="7D792F79">
      <w:pPr>
        <w:spacing w:line="600" w:lineRule="exact"/>
        <w:ind w:firstLine="480" w:firstLineChars="200"/>
        <w:rPr>
          <w:rFonts w:hint="eastAsia" w:ascii="宋体" w:hAnsi="宋体" w:cs="宋体"/>
          <w:color w:val="000000" w:themeColor="text1"/>
          <w:sz w:val="24"/>
          <w14:textFill>
            <w14:solidFill>
              <w14:schemeClr w14:val="tx1"/>
            </w14:solidFill>
          </w14:textFill>
        </w:rPr>
      </w:pPr>
    </w:p>
    <w:p w14:paraId="3D18346A">
      <w:pPr>
        <w:spacing w:line="600" w:lineRule="exact"/>
        <w:ind w:firstLine="480" w:firstLineChars="200"/>
        <w:rPr>
          <w:rFonts w:hint="eastAsia" w:ascii="宋体" w:hAnsi="宋体" w:cs="宋体"/>
          <w:color w:val="000000" w:themeColor="text1"/>
          <w:sz w:val="24"/>
          <w14:textFill>
            <w14:solidFill>
              <w14:schemeClr w14:val="tx1"/>
            </w14:solidFill>
          </w14:textFill>
        </w:rPr>
      </w:pPr>
    </w:p>
    <w:p w14:paraId="5ECFDDEF">
      <w:pPr>
        <w:spacing w:line="600" w:lineRule="exact"/>
        <w:ind w:firstLine="480" w:firstLineChars="200"/>
        <w:rPr>
          <w:rFonts w:hint="eastAsia" w:ascii="宋体" w:hAnsi="宋体" w:cs="宋体"/>
          <w:color w:val="000000" w:themeColor="text1"/>
          <w:sz w:val="24"/>
          <w14:textFill>
            <w14:solidFill>
              <w14:schemeClr w14:val="tx1"/>
            </w14:solidFill>
          </w14:textFill>
        </w:rPr>
      </w:pPr>
    </w:p>
    <w:p w14:paraId="206E33DD">
      <w:pPr>
        <w:spacing w:line="600" w:lineRule="exact"/>
        <w:ind w:firstLine="480" w:firstLineChars="200"/>
        <w:rPr>
          <w:rFonts w:hint="eastAsia" w:ascii="宋体" w:hAnsi="宋体" w:cs="宋体"/>
          <w:color w:val="000000" w:themeColor="text1"/>
          <w:sz w:val="24"/>
          <w14:textFill>
            <w14:solidFill>
              <w14:schemeClr w14:val="tx1"/>
            </w14:solidFill>
          </w14:textFill>
        </w:rPr>
      </w:pPr>
    </w:p>
    <w:p w14:paraId="0C54CADD">
      <w:pPr>
        <w:spacing w:line="600" w:lineRule="exact"/>
        <w:rPr>
          <w:rFonts w:hint="eastAsia" w:ascii="宋体" w:hAnsi="宋体" w:cs="宋体"/>
          <w:color w:val="000000" w:themeColor="text1"/>
          <w:sz w:val="24"/>
          <w14:textFill>
            <w14:solidFill>
              <w14:schemeClr w14:val="tx1"/>
            </w14:solidFill>
          </w14:textFill>
        </w:rPr>
      </w:pPr>
    </w:p>
    <w:p w14:paraId="5A2A28E4">
      <w:pPr>
        <w:spacing w:line="600" w:lineRule="exact"/>
        <w:rPr>
          <w:rFonts w:hint="eastAsia" w:ascii="宋体" w:hAnsi="宋体" w:cs="宋体"/>
          <w:color w:val="000000" w:themeColor="text1"/>
          <w:sz w:val="24"/>
          <w14:textFill>
            <w14:solidFill>
              <w14:schemeClr w14:val="tx1"/>
            </w14:solidFill>
          </w14:textFill>
        </w:rPr>
      </w:pPr>
    </w:p>
    <w:p w14:paraId="7AEDFC11">
      <w:pPr>
        <w:pStyle w:val="42"/>
        <w:ind w:firstLine="560"/>
        <w:rPr>
          <w:rFonts w:hint="eastAsia" w:hAnsi="宋体" w:cs="宋体"/>
          <w:color w:val="000000" w:themeColor="text1"/>
          <w14:textFill>
            <w14:solidFill>
              <w14:schemeClr w14:val="tx1"/>
            </w14:solidFill>
          </w14:textFill>
        </w:rPr>
      </w:pPr>
    </w:p>
    <w:p w14:paraId="5B8FFAC3">
      <w:pPr>
        <w:spacing w:line="600" w:lineRule="exact"/>
        <w:rPr>
          <w:rFonts w:hint="eastAsia" w:ascii="宋体" w:hAnsi="宋体" w:cs="宋体"/>
          <w:color w:val="000000" w:themeColor="text1"/>
          <w:sz w:val="24"/>
          <w14:textFill>
            <w14:solidFill>
              <w14:schemeClr w14:val="tx1"/>
            </w14:solidFill>
          </w14:textFill>
        </w:rPr>
      </w:pPr>
    </w:p>
    <w:p w14:paraId="0DAEE0CA">
      <w:pPr>
        <w:spacing w:line="600" w:lineRule="exact"/>
        <w:rPr>
          <w:rFonts w:hint="eastAsia" w:ascii="宋体" w:hAnsi="宋体" w:cs="宋体"/>
          <w:color w:val="000000" w:themeColor="text1"/>
          <w:sz w:val="24"/>
          <w14:textFill>
            <w14:solidFill>
              <w14:schemeClr w14:val="tx1"/>
            </w14:solidFill>
          </w14:textFill>
        </w:rPr>
      </w:pPr>
    </w:p>
    <w:p w14:paraId="40FF7B6B">
      <w:pPr>
        <w:snapToGrid w:val="0"/>
        <w:spacing w:before="50" w:after="120" w:afterLines="50" w:line="600" w:lineRule="exact"/>
        <w:jc w:val="center"/>
        <w:rPr>
          <w:rFonts w:hint="eastAsia" w:ascii="宋体" w:hAnsi="宋体" w:cs="宋体"/>
          <w:b/>
          <w:bCs/>
          <w:color w:val="000000" w:themeColor="text1"/>
          <w:szCs w:val="28"/>
          <w14:textFill>
            <w14:solidFill>
              <w14:schemeClr w14:val="tx1"/>
            </w14:solidFill>
          </w14:textFill>
        </w:rPr>
      </w:pPr>
    </w:p>
    <w:p w14:paraId="3FB4F6F6">
      <w:pPr>
        <w:pStyle w:val="14"/>
        <w:ind w:firstLine="0"/>
        <w:jc w:val="center"/>
        <w:rPr>
          <w:rFonts w:hint="eastAsia" w:ascii="宋体" w:hAnsi="宋体" w:eastAsia="宋体" w:cs="宋体"/>
          <w:b w:val="0"/>
          <w:bCs/>
          <w:color w:val="000000" w:themeColor="text1"/>
          <w:sz w:val="30"/>
          <w:szCs w:val="30"/>
          <w14:textFill>
            <w14:solidFill>
              <w14:schemeClr w14:val="tx1"/>
            </w14:solidFill>
          </w14:textFill>
        </w:rPr>
      </w:pPr>
      <w:r>
        <w:rPr>
          <w:rFonts w:hint="eastAsia" w:ascii="宋体" w:hAnsi="宋体" w:eastAsia="宋体" w:cs="宋体"/>
          <w:b w:val="0"/>
          <w:bCs/>
          <w:color w:val="000000" w:themeColor="text1"/>
          <w:sz w:val="30"/>
          <w:szCs w:val="30"/>
          <w14:textFill>
            <w14:solidFill>
              <w14:schemeClr w14:val="tx1"/>
            </w14:solidFill>
          </w14:textFill>
        </w:rPr>
        <w:t>供应商单位负责人不为同一人或者存在控股、管理关系的不同供应商的承诺书</w:t>
      </w:r>
    </w:p>
    <w:p w14:paraId="7570DE7C">
      <w:pPr>
        <w:pStyle w:val="152"/>
        <w:widowControl w:val="0"/>
        <w:snapToGrid w:val="0"/>
        <w:spacing w:line="500" w:lineRule="exact"/>
        <w:ind w:firstLine="480" w:firstLineChars="200"/>
        <w:jc w:val="both"/>
        <w:rPr>
          <w:rFonts w:hint="eastAsia" w:ascii="宋体" w:hAnsi="宋体" w:eastAsia="宋体" w:cs="宋体"/>
          <w:b w:val="0"/>
          <w:bCs/>
          <w:color w:val="000000" w:themeColor="text1"/>
          <w:sz w:val="24"/>
          <w:szCs w:val="24"/>
          <w14:textFill>
            <w14:solidFill>
              <w14:schemeClr w14:val="tx1"/>
            </w14:solidFill>
          </w14:textFill>
        </w:rPr>
      </w:pPr>
    </w:p>
    <w:p w14:paraId="64D2B2E1">
      <w:pPr>
        <w:pStyle w:val="152"/>
        <w:widowControl w:val="0"/>
        <w:snapToGrid w:val="0"/>
        <w:spacing w:line="500" w:lineRule="exact"/>
        <w:jc w:val="both"/>
        <w:rPr>
          <w:rFonts w:hint="eastAsia" w:ascii="宋体" w:hAnsi="宋体" w:eastAsia="宋体" w:cs="宋体"/>
          <w:b w:val="0"/>
          <w:bCs/>
          <w:color w:val="000000" w:themeColor="text1"/>
          <w:spacing w:val="6"/>
          <w:sz w:val="24"/>
          <w:szCs w:val="24"/>
          <w:u w:val="single"/>
          <w14:textFill>
            <w14:solidFill>
              <w14:schemeClr w14:val="tx1"/>
            </w14:solidFill>
          </w14:textFill>
        </w:rPr>
      </w:pPr>
      <w:r>
        <w:rPr>
          <w:rFonts w:hint="eastAsia" w:ascii="宋体" w:hAnsi="宋体" w:eastAsia="宋体" w:cs="宋体"/>
          <w:b w:val="0"/>
          <w:bCs/>
          <w:color w:val="000000" w:themeColor="text1"/>
          <w:spacing w:val="6"/>
          <w:sz w:val="24"/>
          <w:szCs w:val="24"/>
          <w14:textFill>
            <w14:solidFill>
              <w14:schemeClr w14:val="tx1"/>
            </w14:solidFill>
          </w14:textFill>
        </w:rPr>
        <w:t>致：</w:t>
      </w:r>
      <w:r>
        <w:rPr>
          <w:rFonts w:hint="eastAsia" w:ascii="宋体" w:hAnsi="宋体" w:eastAsia="宋体" w:cs="宋体"/>
          <w:b w:val="0"/>
          <w:bCs/>
          <w:color w:val="000000" w:themeColor="text1"/>
          <w:spacing w:val="6"/>
          <w:sz w:val="24"/>
          <w:szCs w:val="24"/>
          <w:u w:val="single"/>
          <w14:textFill>
            <w14:solidFill>
              <w14:schemeClr w14:val="tx1"/>
            </w14:solidFill>
          </w14:textFill>
        </w:rPr>
        <w:t xml:space="preserve">          （采购人名称）：</w:t>
      </w:r>
    </w:p>
    <w:p w14:paraId="3057DE7E">
      <w:pPr>
        <w:pStyle w:val="152"/>
        <w:widowControl w:val="0"/>
        <w:snapToGrid w:val="0"/>
        <w:spacing w:line="500" w:lineRule="exact"/>
        <w:ind w:firstLine="504" w:firstLineChars="200"/>
        <w:jc w:val="both"/>
        <w:rPr>
          <w:rFonts w:hint="eastAsia" w:ascii="宋体" w:hAnsi="宋体" w:eastAsia="宋体" w:cs="宋体"/>
          <w:b w:val="0"/>
          <w:bCs/>
          <w:color w:val="000000" w:themeColor="text1"/>
          <w:spacing w:val="6"/>
          <w:sz w:val="24"/>
          <w:szCs w:val="24"/>
          <w14:textFill>
            <w14:solidFill>
              <w14:schemeClr w14:val="tx1"/>
            </w14:solidFill>
          </w14:textFill>
        </w:rPr>
      </w:pPr>
      <w:r>
        <w:rPr>
          <w:rFonts w:hint="eastAsia" w:ascii="宋体" w:hAnsi="宋体" w:eastAsia="宋体" w:cs="宋体"/>
          <w:b w:val="0"/>
          <w:bCs/>
          <w:color w:val="000000" w:themeColor="text1"/>
          <w:spacing w:val="6"/>
          <w:sz w:val="24"/>
          <w:szCs w:val="24"/>
          <w14:textFill>
            <w14:solidFill>
              <w14:schemeClr w14:val="tx1"/>
            </w14:solidFill>
          </w14:textFill>
        </w:rPr>
        <w:t>本单位</w:t>
      </w:r>
      <w:r>
        <w:rPr>
          <w:rFonts w:hint="eastAsia" w:ascii="宋体" w:hAnsi="宋体" w:eastAsia="宋体" w:cs="宋体"/>
          <w:b w:val="0"/>
          <w:bCs/>
          <w:color w:val="000000" w:themeColor="text1"/>
          <w:spacing w:val="6"/>
          <w:sz w:val="24"/>
          <w:szCs w:val="24"/>
          <w:u w:val="single"/>
          <w14:textFill>
            <w14:solidFill>
              <w14:schemeClr w14:val="tx1"/>
            </w14:solidFill>
          </w14:textFill>
        </w:rPr>
        <w:t xml:space="preserve">                  </w:t>
      </w:r>
      <w:r>
        <w:rPr>
          <w:rFonts w:hint="eastAsia" w:ascii="宋体" w:hAnsi="宋体" w:eastAsia="宋体" w:cs="宋体"/>
          <w:b w:val="0"/>
          <w:bCs/>
          <w:color w:val="000000" w:themeColor="text1"/>
          <w:spacing w:val="6"/>
          <w:sz w:val="24"/>
          <w:szCs w:val="24"/>
          <w14:textFill>
            <w14:solidFill>
              <w14:schemeClr w14:val="tx1"/>
            </w14:solidFill>
          </w14:textFill>
        </w:rPr>
        <w:t>，负责人</w:t>
      </w:r>
      <w:r>
        <w:rPr>
          <w:rFonts w:hint="eastAsia" w:ascii="宋体" w:hAnsi="宋体" w:eastAsia="宋体" w:cs="宋体"/>
          <w:b w:val="0"/>
          <w:bCs/>
          <w:color w:val="000000" w:themeColor="text1"/>
          <w:spacing w:val="6"/>
          <w:sz w:val="24"/>
          <w:szCs w:val="24"/>
          <w:u w:val="single"/>
          <w14:textFill>
            <w14:solidFill>
              <w14:schemeClr w14:val="tx1"/>
            </w14:solidFill>
          </w14:textFill>
        </w:rPr>
        <w:t xml:space="preserve">        （姓名）</w:t>
      </w:r>
      <w:r>
        <w:rPr>
          <w:rFonts w:hint="eastAsia" w:ascii="宋体" w:hAnsi="宋体" w:eastAsia="宋体" w:cs="宋体"/>
          <w:b w:val="0"/>
          <w:bCs/>
          <w:color w:val="000000" w:themeColor="text1"/>
          <w:spacing w:val="6"/>
          <w:sz w:val="24"/>
          <w:szCs w:val="24"/>
          <w14:textFill>
            <w14:solidFill>
              <w14:schemeClr w14:val="tx1"/>
            </w14:solidFill>
          </w14:textFill>
        </w:rPr>
        <w:t>合法参加</w:t>
      </w:r>
      <w:r>
        <w:rPr>
          <w:rFonts w:hint="eastAsia" w:ascii="宋体" w:hAnsi="宋体" w:eastAsia="宋体" w:cs="宋体"/>
          <w:b w:val="0"/>
          <w:bCs/>
          <w:color w:val="000000" w:themeColor="text1"/>
          <w:spacing w:val="6"/>
          <w:sz w:val="24"/>
          <w:szCs w:val="24"/>
          <w:u w:val="single"/>
          <w14:textFill>
            <w14:solidFill>
              <w14:schemeClr w14:val="tx1"/>
            </w14:solidFill>
          </w14:textFill>
        </w:rPr>
        <w:t xml:space="preserve">         </w:t>
      </w:r>
      <w:r>
        <w:rPr>
          <w:rFonts w:hint="eastAsia" w:ascii="宋体" w:hAnsi="宋体" w:eastAsia="宋体" w:cs="宋体"/>
          <w:b w:val="0"/>
          <w:bCs/>
          <w:color w:val="000000" w:themeColor="text1"/>
          <w:spacing w:val="6"/>
          <w:sz w:val="24"/>
          <w:szCs w:val="24"/>
          <w14:textFill>
            <w14:solidFill>
              <w14:schemeClr w14:val="tx1"/>
            </w14:solidFill>
          </w14:textFill>
        </w:rPr>
        <w:t>项目（项目编号：</w:t>
      </w:r>
      <w:r>
        <w:rPr>
          <w:rFonts w:hint="eastAsia" w:ascii="宋体" w:hAnsi="宋体" w:eastAsia="宋体" w:cs="宋体"/>
          <w:b w:val="0"/>
          <w:bCs/>
          <w:color w:val="000000" w:themeColor="text1"/>
          <w:spacing w:val="6"/>
          <w:sz w:val="24"/>
          <w:szCs w:val="24"/>
          <w:u w:val="single"/>
          <w14:textFill>
            <w14:solidFill>
              <w14:schemeClr w14:val="tx1"/>
            </w14:solidFill>
          </w14:textFill>
        </w:rPr>
        <w:t xml:space="preserve">        </w:t>
      </w:r>
      <w:r>
        <w:rPr>
          <w:rFonts w:hint="eastAsia" w:ascii="宋体" w:hAnsi="宋体" w:eastAsia="宋体" w:cs="宋体"/>
          <w:b w:val="0"/>
          <w:bCs/>
          <w:color w:val="000000" w:themeColor="text1"/>
          <w:spacing w:val="6"/>
          <w:sz w:val="24"/>
          <w:szCs w:val="24"/>
          <w14:textFill>
            <w14:solidFill>
              <w14:schemeClr w14:val="tx1"/>
            </w14:solidFill>
          </w14:textFill>
        </w:rPr>
        <w:t xml:space="preserve">）采购活动，经与本单位法人代表（负责人）确认，现就有关事项郑重声明如下： </w:t>
      </w:r>
    </w:p>
    <w:p w14:paraId="62D32962">
      <w:pPr>
        <w:pStyle w:val="153"/>
        <w:widowControl/>
        <w:snapToGrid w:val="0"/>
        <w:spacing w:line="500" w:lineRule="exact"/>
        <w:ind w:firstLine="480" w:firstLineChars="200"/>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本单位已知</w:t>
      </w:r>
      <w:r>
        <w:rPr>
          <w:rFonts w:hint="eastAsia" w:ascii="宋体" w:hAnsi="宋体" w:eastAsia="宋体" w:cs="宋体"/>
          <w:b w:val="0"/>
          <w:bCs/>
          <w:color w:val="000000" w:themeColor="text1"/>
          <w:kern w:val="0"/>
          <w:sz w:val="24"/>
          <w:szCs w:val="24"/>
          <w:lang w:eastAsia="zh-CN"/>
          <w14:textFill>
            <w14:solidFill>
              <w14:schemeClr w14:val="tx1"/>
            </w14:solidFill>
          </w14:textFill>
        </w:rPr>
        <w:t>晓</w:t>
      </w:r>
      <w:r>
        <w:rPr>
          <w:rFonts w:hint="eastAsia" w:ascii="宋体" w:hAnsi="宋体" w:eastAsia="宋体" w:cs="宋体"/>
          <w:b w:val="0"/>
          <w:bCs/>
          <w:color w:val="000000" w:themeColor="text1"/>
          <w:kern w:val="0"/>
          <w:sz w:val="24"/>
          <w:szCs w:val="24"/>
          <w14:textFill>
            <w14:solidFill>
              <w14:schemeClr w14:val="tx1"/>
            </w14:solidFill>
          </w14:textFill>
        </w:rPr>
        <w:t>参加本项目采购活动的所有供应商负责人不得为同一人或者存在控股、管理关系；与其他供应商之间不得存在以下利害关系 ：</w:t>
      </w:r>
    </w:p>
    <w:p w14:paraId="0D92E6B3">
      <w:pPr>
        <w:pStyle w:val="152"/>
        <w:widowControl w:val="0"/>
        <w:snapToGrid w:val="0"/>
        <w:spacing w:line="500" w:lineRule="exact"/>
        <w:jc w:val="both"/>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 xml:space="preserve">  A.法定代表人或负责人或实际控制人是同一人</w:t>
      </w:r>
    </w:p>
    <w:p w14:paraId="44F49C43">
      <w:pPr>
        <w:pStyle w:val="152"/>
        <w:widowControl w:val="0"/>
        <w:snapToGrid w:val="0"/>
        <w:spacing w:line="500" w:lineRule="exact"/>
        <w:jc w:val="both"/>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 xml:space="preserve">  B.法定代表人或负责人或实际控制人是夫妻关系</w:t>
      </w:r>
    </w:p>
    <w:p w14:paraId="5E7DC37C">
      <w:pPr>
        <w:pStyle w:val="152"/>
        <w:widowControl w:val="0"/>
        <w:snapToGrid w:val="0"/>
        <w:spacing w:line="500" w:lineRule="exact"/>
        <w:jc w:val="both"/>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 xml:space="preserve">  C.法定代表人或负责人或实际控制人是直系血亲关系</w:t>
      </w:r>
    </w:p>
    <w:p w14:paraId="443640C9">
      <w:pPr>
        <w:pStyle w:val="152"/>
        <w:widowControl w:val="0"/>
        <w:snapToGrid w:val="0"/>
        <w:spacing w:line="500" w:lineRule="exact"/>
        <w:jc w:val="both"/>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 xml:space="preserve">  D.法定代表人或负责人或实际控制人存在三代以内旁系血亲关系</w:t>
      </w:r>
    </w:p>
    <w:p w14:paraId="0321CFD0">
      <w:pPr>
        <w:pStyle w:val="152"/>
        <w:widowControl w:val="0"/>
        <w:snapToGrid w:val="0"/>
        <w:spacing w:line="500" w:lineRule="exact"/>
        <w:jc w:val="both"/>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 xml:space="preserve">  E.法定代表人或负责人或实际控制人存在近姻亲关系</w:t>
      </w:r>
    </w:p>
    <w:p w14:paraId="12821065">
      <w:pPr>
        <w:pStyle w:val="152"/>
        <w:widowControl w:val="0"/>
        <w:snapToGrid w:val="0"/>
        <w:spacing w:line="500" w:lineRule="exact"/>
        <w:jc w:val="both"/>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 xml:space="preserve">  F.法定代表人或负责人或实际控制人存在股份控制或实际控制关系</w:t>
      </w:r>
    </w:p>
    <w:p w14:paraId="0F092D29">
      <w:pPr>
        <w:pStyle w:val="152"/>
        <w:widowControl w:val="0"/>
        <w:snapToGrid w:val="0"/>
        <w:spacing w:line="500" w:lineRule="exact"/>
        <w:jc w:val="both"/>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 xml:space="preserve">  G.存在共同直接或间接投资设立子公司、联营企业和合营企业情况</w:t>
      </w:r>
    </w:p>
    <w:p w14:paraId="2D2A340E">
      <w:pPr>
        <w:pStyle w:val="152"/>
        <w:widowControl w:val="0"/>
        <w:snapToGrid w:val="0"/>
        <w:spacing w:line="500" w:lineRule="exact"/>
        <w:jc w:val="both"/>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14:paraId="53A11378">
      <w:pPr>
        <w:pStyle w:val="152"/>
        <w:widowControl w:val="0"/>
        <w:snapToGrid w:val="0"/>
        <w:spacing w:line="500" w:lineRule="exact"/>
        <w:jc w:val="both"/>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 xml:space="preserve">   </w:t>
      </w:r>
    </w:p>
    <w:p w14:paraId="0A4FB404">
      <w:pPr>
        <w:snapToGrid w:val="0"/>
        <w:spacing w:before="156" w:beforeLines="50" w:line="440" w:lineRule="exact"/>
        <w:rPr>
          <w:rFonts w:hint="eastAsia" w:ascii="宋体" w:hAnsi="宋体" w:eastAsia="宋体" w:cs="宋体"/>
          <w:b w:val="0"/>
          <w:bCs/>
          <w:color w:val="000000" w:themeColor="text1"/>
          <w:sz w:val="24"/>
          <w:szCs w:val="24"/>
          <w14:textFill>
            <w14:solidFill>
              <w14:schemeClr w14:val="tx1"/>
            </w14:solidFill>
          </w14:textFill>
        </w:rPr>
      </w:pPr>
    </w:p>
    <w:p w14:paraId="143DBD15">
      <w:pPr>
        <w:snapToGrid w:val="0"/>
        <w:spacing w:before="120" w:line="440" w:lineRule="exact"/>
        <w:rPr>
          <w:rFonts w:hint="eastAsia" w:ascii="宋体" w:hAnsi="宋体" w:eastAsia="宋体" w:cs="宋体"/>
          <w:b w:val="0"/>
          <w:bCs/>
          <w:color w:val="000000" w:themeColor="text1"/>
          <w:sz w:val="24"/>
          <w:szCs w:val="24"/>
          <w:u w:val="single"/>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法定代表人或授权委托人：</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single"/>
          <w14:textFill>
            <w14:solidFill>
              <w14:schemeClr w14:val="tx1"/>
            </w14:solidFill>
          </w14:textFill>
        </w:rPr>
        <w:t xml:space="preserve">（签字或盖章） </w:t>
      </w:r>
    </w:p>
    <w:p w14:paraId="6BAC0A49">
      <w:pPr>
        <w:snapToGrid w:val="0"/>
        <w:spacing w:before="50" w:line="44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供应商：</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single"/>
          <w14:textFill>
            <w14:solidFill>
              <w14:schemeClr w14:val="tx1"/>
            </w14:solidFill>
          </w14:textFill>
        </w:rPr>
        <w:t xml:space="preserve">（盖章）        </w:t>
      </w:r>
      <w:r>
        <w:rPr>
          <w:rFonts w:hint="eastAsia" w:ascii="宋体" w:hAnsi="宋体" w:eastAsia="宋体" w:cs="宋体"/>
          <w:b w:val="0"/>
          <w:bCs/>
          <w:color w:val="000000" w:themeColor="text1"/>
          <w:sz w:val="24"/>
          <w:szCs w:val="24"/>
          <w14:textFill>
            <w14:solidFill>
              <w14:schemeClr w14:val="tx1"/>
            </w14:solidFill>
          </w14:textFill>
        </w:rPr>
        <w:t xml:space="preserve">                      </w:t>
      </w:r>
    </w:p>
    <w:p w14:paraId="777F2F55">
      <w:pPr>
        <w:snapToGrid w:val="0"/>
        <w:spacing w:before="50" w:line="440" w:lineRule="exact"/>
        <w:ind w:firstLine="960" w:firstLineChars="40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年    月    日</w:t>
      </w:r>
    </w:p>
    <w:p w14:paraId="3F939B54">
      <w:pPr>
        <w:pStyle w:val="3"/>
        <w:rPr>
          <w:rFonts w:hint="eastAsia"/>
          <w:color w:val="000000" w:themeColor="text1"/>
          <w14:textFill>
            <w14:solidFill>
              <w14:schemeClr w14:val="tx1"/>
            </w14:solidFill>
          </w14:textFill>
        </w:rPr>
      </w:pPr>
    </w:p>
    <w:p w14:paraId="445FA3D3">
      <w:pPr>
        <w:snapToGrid w:val="0"/>
        <w:spacing w:before="50" w:after="120" w:afterLines="50" w:line="600" w:lineRule="exact"/>
        <w:jc w:val="center"/>
        <w:rPr>
          <w:rFonts w:hint="eastAsia" w:ascii="宋体" w:hAnsi="宋体" w:cs="宋体"/>
          <w:b/>
          <w:bCs/>
          <w:color w:val="000000" w:themeColor="text1"/>
          <w:szCs w:val="28"/>
          <w14:textFill>
            <w14:solidFill>
              <w14:schemeClr w14:val="tx1"/>
            </w14:solidFill>
          </w14:textFill>
        </w:rPr>
      </w:pPr>
    </w:p>
    <w:p w14:paraId="7368BA2A">
      <w:pPr>
        <w:snapToGrid w:val="0"/>
        <w:spacing w:before="50" w:after="120" w:afterLines="50" w:line="600" w:lineRule="exact"/>
        <w:jc w:val="cente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采购代理服务费承诺函</w:t>
      </w:r>
    </w:p>
    <w:p w14:paraId="1E94FE88">
      <w:pPr>
        <w:pStyle w:val="79"/>
        <w:rPr>
          <w:rFonts w:hint="eastAsia"/>
          <w:color w:val="000000" w:themeColor="text1"/>
          <w14:textFill>
            <w14:solidFill>
              <w14:schemeClr w14:val="tx1"/>
            </w14:solidFill>
          </w14:textFill>
        </w:rPr>
      </w:pPr>
    </w:p>
    <w:p w14:paraId="5D6D6A53">
      <w:pPr>
        <w:pStyle w:val="14"/>
        <w:spacing w:line="500" w:lineRule="exact"/>
        <w:ind w:firstLine="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华诚工程咨询集团有限公司：</w:t>
      </w:r>
    </w:p>
    <w:p w14:paraId="26204D55">
      <w:pPr>
        <w:pStyle w:val="14"/>
        <w:spacing w:line="5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根据招标文件的规定，一旦我公司中标，我公司同意按招标文件要求向贵公司交纳中标项目的采购代理服务费，在确定中标供应商后，领取中标通知书前一次性结清。</w:t>
      </w:r>
    </w:p>
    <w:p w14:paraId="0ABBBB3C">
      <w:pPr>
        <w:pStyle w:val="14"/>
        <w:spacing w:line="5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本承诺函自开标之日起至本次采购期满有效。</w:t>
      </w:r>
    </w:p>
    <w:p w14:paraId="7A8DF69D">
      <w:pPr>
        <w:pStyle w:val="14"/>
        <w:spacing w:line="500" w:lineRule="exact"/>
        <w:ind w:firstLine="0"/>
        <w:jc w:val="left"/>
        <w:rPr>
          <w:rFonts w:hint="eastAsia" w:ascii="宋体" w:hAnsi="宋体" w:cs="宋体"/>
          <w:color w:val="000000" w:themeColor="text1"/>
          <w:sz w:val="24"/>
          <w14:textFill>
            <w14:solidFill>
              <w14:schemeClr w14:val="tx1"/>
            </w14:solidFill>
          </w14:textFill>
        </w:rPr>
      </w:pPr>
    </w:p>
    <w:p w14:paraId="653241D2">
      <w:pPr>
        <w:pStyle w:val="14"/>
        <w:spacing w:line="500" w:lineRule="exact"/>
        <w:ind w:firstLine="0"/>
        <w:jc w:val="left"/>
        <w:rPr>
          <w:rFonts w:hint="eastAsia" w:ascii="宋体" w:hAnsi="宋体" w:cs="宋体"/>
          <w:color w:val="000000" w:themeColor="text1"/>
          <w:sz w:val="24"/>
          <w14:textFill>
            <w14:solidFill>
              <w14:schemeClr w14:val="tx1"/>
            </w14:solidFill>
          </w14:textFill>
        </w:rPr>
      </w:pPr>
    </w:p>
    <w:p w14:paraId="15EA6892">
      <w:pPr>
        <w:pStyle w:val="14"/>
        <w:spacing w:line="500" w:lineRule="exact"/>
        <w:jc w:val="left"/>
        <w:rPr>
          <w:rFonts w:hint="eastAsia" w:ascii="宋体" w:hAnsi="宋体" w:cs="宋体"/>
          <w:color w:val="000000" w:themeColor="text1"/>
          <w:sz w:val="24"/>
          <w14:textFill>
            <w14:solidFill>
              <w14:schemeClr w14:val="tx1"/>
            </w14:solidFill>
          </w14:textFill>
        </w:rPr>
      </w:pPr>
    </w:p>
    <w:p w14:paraId="0C744181">
      <w:pPr>
        <w:pStyle w:val="14"/>
        <w:spacing w:line="500" w:lineRule="exact"/>
        <w:ind w:firstLine="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法定代表人或其授权代表（</w:t>
      </w:r>
      <w:r>
        <w:rPr>
          <w:rFonts w:hint="eastAsia" w:ascii="宋体" w:hAnsi="宋体" w:cs="宋体"/>
          <w:color w:val="000000" w:themeColor="text1"/>
          <w:sz w:val="24"/>
          <w:szCs w:val="24"/>
          <w14:textFill>
            <w14:solidFill>
              <w14:schemeClr w14:val="tx1"/>
            </w14:solidFill>
          </w14:textFill>
        </w:rPr>
        <w:t>签名</w:t>
      </w:r>
      <w:r>
        <w:rPr>
          <w:rFonts w:hint="eastAsia" w:ascii="宋体" w:hAnsi="宋体" w:cs="宋体"/>
          <w:color w:val="000000" w:themeColor="text1"/>
          <w:sz w:val="24"/>
          <w14:textFill>
            <w14:solidFill>
              <w14:schemeClr w14:val="tx1"/>
            </w14:solidFill>
          </w14:textFill>
        </w:rPr>
        <w:t>或盖章）：</w:t>
      </w:r>
    </w:p>
    <w:p w14:paraId="4FB453BD">
      <w:pPr>
        <w:pStyle w:val="14"/>
        <w:spacing w:line="500" w:lineRule="exact"/>
        <w:ind w:firstLine="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p>
    <w:p w14:paraId="0CBE2FD9">
      <w:pPr>
        <w:pStyle w:val="14"/>
        <w:spacing w:line="500" w:lineRule="exact"/>
        <w:ind w:firstLine="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日期：2025年  月  日</w:t>
      </w:r>
    </w:p>
    <w:p w14:paraId="27653039">
      <w:pPr>
        <w:spacing w:line="500" w:lineRule="exact"/>
        <w:rPr>
          <w:rFonts w:hint="eastAsia" w:ascii="宋体" w:hAnsi="宋体" w:cs="宋体"/>
          <w:color w:val="000000" w:themeColor="text1"/>
          <w:sz w:val="24"/>
          <w14:textFill>
            <w14:solidFill>
              <w14:schemeClr w14:val="tx1"/>
            </w14:solidFill>
          </w14:textFill>
        </w:rPr>
      </w:pPr>
    </w:p>
    <w:p w14:paraId="539E4F0A">
      <w:pPr>
        <w:pStyle w:val="127"/>
        <w:spacing w:line="500" w:lineRule="exact"/>
        <w:rPr>
          <w:rFonts w:hint="eastAsia" w:ascii="宋体" w:hAnsi="宋体" w:cs="宋体"/>
          <w:color w:val="000000" w:themeColor="text1"/>
          <w:sz w:val="24"/>
          <w14:textFill>
            <w14:solidFill>
              <w14:schemeClr w14:val="tx1"/>
            </w14:solidFill>
          </w14:textFill>
        </w:rPr>
      </w:pPr>
    </w:p>
    <w:p w14:paraId="605BC642">
      <w:pPr>
        <w:pStyle w:val="127"/>
        <w:spacing w:line="500" w:lineRule="exact"/>
        <w:rPr>
          <w:rFonts w:hint="eastAsia" w:ascii="宋体" w:hAnsi="宋体" w:cs="宋体"/>
          <w:color w:val="000000" w:themeColor="text1"/>
          <w:sz w:val="24"/>
          <w14:textFill>
            <w14:solidFill>
              <w14:schemeClr w14:val="tx1"/>
            </w14:solidFill>
          </w14:textFill>
        </w:rPr>
      </w:pPr>
    </w:p>
    <w:p w14:paraId="372D74CB">
      <w:pPr>
        <w:spacing w:line="500" w:lineRule="exact"/>
        <w:rPr>
          <w:rFonts w:hint="eastAsia" w:ascii="宋体" w:hAnsi="宋体" w:cs="宋体"/>
          <w:b/>
          <w:color w:val="000000" w:themeColor="text1"/>
          <w:sz w:val="24"/>
          <w:u w:val="single"/>
          <w14:textFill>
            <w14:solidFill>
              <w14:schemeClr w14:val="tx1"/>
            </w14:solidFill>
          </w14:textFill>
        </w:rPr>
      </w:pPr>
      <w:r>
        <w:rPr>
          <w:rFonts w:hint="eastAsia" w:ascii="宋体" w:hAnsi="宋体" w:cs="宋体"/>
          <w:b/>
          <w:color w:val="000000" w:themeColor="text1"/>
          <w:sz w:val="24"/>
          <w:u w:val="single"/>
          <w14:textFill>
            <w14:solidFill>
              <w14:schemeClr w14:val="tx1"/>
            </w14:solidFill>
          </w14:textFill>
        </w:rPr>
        <w:t>代理费汇款账号：</w:t>
      </w:r>
    </w:p>
    <w:p w14:paraId="77097308">
      <w:pPr>
        <w:snapToGrid w:val="0"/>
        <w:spacing w:line="54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收款单位（户名）:华诚工程咨询集团有限公司湖州飞英街道分公司</w:t>
      </w:r>
    </w:p>
    <w:p w14:paraId="7F64A0D0">
      <w:pPr>
        <w:snapToGrid w:val="0"/>
        <w:spacing w:line="54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开户银行：浙江泰隆商业银行湖州分行营业部</w:t>
      </w:r>
    </w:p>
    <w:p w14:paraId="556D72ED">
      <w:pPr>
        <w:snapToGrid w:val="0"/>
        <w:spacing w:line="54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银行账号：33100010201000009655</w:t>
      </w:r>
    </w:p>
    <w:p w14:paraId="4C1F5ACD">
      <w:pPr>
        <w:snapToGrid w:val="0"/>
        <w:spacing w:line="540" w:lineRule="exact"/>
        <w:rPr>
          <w:rFonts w:hint="eastAsia" w:ascii="宋体" w:hAnsi="宋体"/>
          <w:color w:val="000000" w:themeColor="text1"/>
          <w:sz w:val="24"/>
          <w14:textFill>
            <w14:solidFill>
              <w14:schemeClr w14:val="tx1"/>
            </w14:solidFill>
          </w14:textFill>
        </w:rPr>
      </w:pPr>
    </w:p>
    <w:p w14:paraId="74E5A3BC">
      <w:pPr>
        <w:snapToGrid w:val="0"/>
        <w:spacing w:line="540" w:lineRule="exact"/>
        <w:rPr>
          <w:rFonts w:hint="eastAsia" w:ascii="宋体" w:hAnsi="宋体"/>
          <w:color w:val="000000" w:themeColor="text1"/>
          <w:sz w:val="24"/>
          <w14:textFill>
            <w14:solidFill>
              <w14:schemeClr w14:val="tx1"/>
            </w14:solidFill>
          </w14:textFill>
        </w:rPr>
      </w:pPr>
    </w:p>
    <w:p w14:paraId="5E5FDC04">
      <w:pPr>
        <w:pStyle w:val="127"/>
        <w:spacing w:line="500" w:lineRule="exact"/>
        <w:rPr>
          <w:rFonts w:hint="eastAsia" w:ascii="宋体" w:hAnsi="宋体" w:cs="宋体"/>
          <w:color w:val="000000" w:themeColor="text1"/>
          <w:sz w:val="24"/>
          <w14:textFill>
            <w14:solidFill>
              <w14:schemeClr w14:val="tx1"/>
            </w14:solidFill>
          </w14:textFill>
        </w:rPr>
      </w:pPr>
    </w:p>
    <w:p w14:paraId="6F912C21">
      <w:pPr>
        <w:pStyle w:val="127"/>
        <w:rPr>
          <w:rFonts w:hint="eastAsia" w:ascii="宋体" w:hAnsi="宋体" w:cs="宋体"/>
          <w:color w:val="000000" w:themeColor="text1"/>
          <w:sz w:val="24"/>
          <w14:textFill>
            <w14:solidFill>
              <w14:schemeClr w14:val="tx1"/>
            </w14:solidFill>
          </w14:textFill>
        </w:rPr>
      </w:pPr>
    </w:p>
    <w:p w14:paraId="72D6E55C">
      <w:pPr>
        <w:pStyle w:val="127"/>
        <w:rPr>
          <w:rFonts w:hint="eastAsia" w:ascii="宋体" w:hAnsi="宋体" w:cs="宋体"/>
          <w:color w:val="000000" w:themeColor="text1"/>
          <w:sz w:val="24"/>
          <w14:textFill>
            <w14:solidFill>
              <w14:schemeClr w14:val="tx1"/>
            </w14:solidFill>
          </w14:textFill>
        </w:rPr>
      </w:pPr>
    </w:p>
    <w:p w14:paraId="1B00E359">
      <w:pPr>
        <w:pStyle w:val="127"/>
        <w:rPr>
          <w:rFonts w:hint="eastAsia" w:ascii="宋体" w:hAnsi="宋体" w:cs="宋体"/>
          <w:color w:val="000000" w:themeColor="text1"/>
          <w:sz w:val="24"/>
          <w14:textFill>
            <w14:solidFill>
              <w14:schemeClr w14:val="tx1"/>
            </w14:solidFill>
          </w14:textFill>
        </w:rPr>
      </w:pPr>
    </w:p>
    <w:p w14:paraId="43D49D5C">
      <w:pPr>
        <w:spacing w:line="600" w:lineRule="exact"/>
        <w:rPr>
          <w:rFonts w:hint="eastAsia" w:ascii="宋体" w:hAnsi="宋体" w:cs="宋体"/>
          <w:color w:val="000000" w:themeColor="text1"/>
          <w:sz w:val="24"/>
          <w14:textFill>
            <w14:solidFill>
              <w14:schemeClr w14:val="tx1"/>
            </w14:solidFill>
          </w14:textFill>
        </w:rPr>
      </w:pPr>
    </w:p>
    <w:p w14:paraId="15F1E2CD">
      <w:pPr>
        <w:snapToGrid w:val="0"/>
        <w:spacing w:before="50" w:after="50"/>
        <w:jc w:val="left"/>
        <w:rPr>
          <w:rFonts w:hint="eastAsia" w:ascii="宋体" w:hAnsi="宋体" w:cs="宋体"/>
          <w:color w:val="000000" w:themeColor="text1"/>
          <w:sz w:val="24"/>
          <w14:textFill>
            <w14:solidFill>
              <w14:schemeClr w14:val="tx1"/>
            </w14:solidFill>
          </w14:textFill>
        </w:rPr>
      </w:pPr>
    </w:p>
    <w:p w14:paraId="748E90F5">
      <w:pPr>
        <w:snapToGrid w:val="0"/>
        <w:spacing w:before="50" w:after="50"/>
        <w:jc w:val="center"/>
        <w:rPr>
          <w:rFonts w:hint="eastAsia" w:ascii="宋体" w:hAnsi="宋体" w:cs="宋体"/>
          <w:b/>
          <w:bCs/>
          <w:color w:val="000000" w:themeColor="text1"/>
          <w:szCs w:val="28"/>
          <w14:textFill>
            <w14:solidFill>
              <w14:schemeClr w14:val="tx1"/>
            </w14:solidFill>
          </w14:textFill>
        </w:rPr>
      </w:pPr>
    </w:p>
    <w:p w14:paraId="2FC64246">
      <w:pPr>
        <w:snapToGrid w:val="0"/>
        <w:spacing w:before="50" w:after="50"/>
        <w:jc w:val="center"/>
        <w:rPr>
          <w:rFonts w:ascii="宋体" w:hAnsi="宋体" w:cs="宋体"/>
          <w:b/>
          <w:bCs/>
          <w:color w:val="000000" w:themeColor="text1"/>
          <w:szCs w:val="28"/>
          <w14:textFill>
            <w14:solidFill>
              <w14:schemeClr w14:val="tx1"/>
            </w14:solidFill>
          </w14:textFill>
        </w:rPr>
      </w:pPr>
    </w:p>
    <w:p w14:paraId="6AE7CBC5">
      <w:pPr>
        <w:snapToGrid w:val="0"/>
        <w:spacing w:before="50" w:after="50"/>
        <w:jc w:val="cente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供应商自评分索引表</w:t>
      </w:r>
    </w:p>
    <w:p w14:paraId="4D788777">
      <w:pPr>
        <w:snapToGrid w:val="0"/>
        <w:spacing w:before="50"/>
        <w:jc w:val="center"/>
        <w:rPr>
          <w:rFonts w:hint="eastAsia" w:ascii="宋体" w:hAnsi="宋体" w:cs="宋体"/>
          <w:b/>
          <w:color w:val="000000" w:themeColor="text1"/>
          <w:szCs w:val="28"/>
          <w14:textFill>
            <w14:solidFill>
              <w14:schemeClr w14:val="tx1"/>
            </w14:solidFill>
          </w14:textFill>
        </w:rPr>
      </w:pPr>
    </w:p>
    <w:p w14:paraId="6F47AB60">
      <w:pPr>
        <w:pStyle w:val="15"/>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供应商全称（公章）：              </w:t>
      </w:r>
    </w:p>
    <w:tbl>
      <w:tblPr>
        <w:tblStyle w:val="43"/>
        <w:tblW w:w="90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67"/>
        <w:gridCol w:w="2552"/>
        <w:gridCol w:w="1134"/>
        <w:gridCol w:w="1983"/>
      </w:tblGrid>
      <w:tr w14:paraId="689F3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14:paraId="4B21263B">
            <w:pPr>
              <w:snapToGrid w:val="0"/>
              <w:spacing w:before="120" w:beforeLines="5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DCAFF3C">
            <w:pPr>
              <w:snapToGrid w:val="0"/>
              <w:spacing w:before="120" w:beforeLines="5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投标文件对应资料</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391B9E">
            <w:pPr>
              <w:snapToGrid w:val="0"/>
              <w:spacing w:before="120" w:beforeLines="5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自评分</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3D168BC">
            <w:pPr>
              <w:snapToGrid w:val="0"/>
              <w:spacing w:before="120" w:beforeLines="5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投标文件页码</w:t>
            </w:r>
          </w:p>
        </w:tc>
      </w:tr>
      <w:tr w14:paraId="05384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14:paraId="7E5B7F1A">
            <w:pPr>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对应第四章评分办法及</w:t>
            </w:r>
          </w:p>
          <w:p w14:paraId="16513AB4">
            <w:pPr>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评分标准（报价除外）</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9824733">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4478D9">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86C1EB6">
            <w:pPr>
              <w:snapToGrid w:val="0"/>
              <w:spacing w:before="120" w:beforeLines="50"/>
              <w:jc w:val="center"/>
              <w:rPr>
                <w:rFonts w:hint="eastAsia" w:ascii="宋体" w:hAnsi="宋体" w:cs="宋体"/>
                <w:color w:val="000000" w:themeColor="text1"/>
                <w:sz w:val="24"/>
                <w14:textFill>
                  <w14:solidFill>
                    <w14:schemeClr w14:val="tx1"/>
                  </w14:solidFill>
                </w14:textFill>
              </w:rPr>
            </w:pPr>
          </w:p>
        </w:tc>
      </w:tr>
      <w:tr w14:paraId="5BDC9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14:paraId="3856B46D">
            <w:pPr>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82BA0A1">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B5D0EB">
            <w:pPr>
              <w:snapToGrid w:val="0"/>
              <w:spacing w:before="120" w:beforeLines="50"/>
              <w:ind w:left="43"/>
              <w:jc w:val="center"/>
              <w:rPr>
                <w:rFonts w:hint="eastAsia" w:ascii="宋体" w:hAnsi="宋体" w:cs="宋体"/>
                <w:color w:val="000000" w:themeColor="text1"/>
                <w:sz w:val="24"/>
                <w14:textFill>
                  <w14:solidFill>
                    <w14:schemeClr w14:val="tx1"/>
                  </w14:solidFill>
                </w14:textFil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CB240B9">
            <w:pPr>
              <w:snapToGrid w:val="0"/>
              <w:spacing w:before="120" w:beforeLines="50"/>
              <w:ind w:left="43"/>
              <w:jc w:val="center"/>
              <w:rPr>
                <w:rFonts w:hint="eastAsia" w:ascii="宋体" w:hAnsi="宋体" w:cs="宋体"/>
                <w:color w:val="000000" w:themeColor="text1"/>
                <w:sz w:val="24"/>
                <w14:textFill>
                  <w14:solidFill>
                    <w14:schemeClr w14:val="tx1"/>
                  </w14:solidFill>
                </w14:textFill>
              </w:rPr>
            </w:pPr>
          </w:p>
        </w:tc>
      </w:tr>
      <w:tr w14:paraId="486F9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14:paraId="28AE5C7F">
            <w:pPr>
              <w:snapToGrid w:val="0"/>
              <w:jc w:val="center"/>
              <w:rPr>
                <w:rFonts w:hint="eastAsia" w:ascii="宋体" w:hAnsi="宋体" w:cs="宋体"/>
                <w:color w:val="000000" w:themeColor="text1"/>
                <w:sz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D1538F6">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8D8FD4">
            <w:pPr>
              <w:snapToGrid w:val="0"/>
              <w:spacing w:before="120" w:beforeLines="50"/>
              <w:ind w:left="43"/>
              <w:jc w:val="center"/>
              <w:rPr>
                <w:rFonts w:hint="eastAsia" w:ascii="宋体" w:hAnsi="宋体" w:cs="宋体"/>
                <w:color w:val="000000" w:themeColor="text1"/>
                <w:sz w:val="24"/>
                <w14:textFill>
                  <w14:solidFill>
                    <w14:schemeClr w14:val="tx1"/>
                  </w14:solidFill>
                </w14:textFil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098B1FB">
            <w:pPr>
              <w:snapToGrid w:val="0"/>
              <w:spacing w:before="120" w:beforeLines="50"/>
              <w:ind w:left="43"/>
              <w:jc w:val="center"/>
              <w:rPr>
                <w:rFonts w:hint="eastAsia" w:ascii="宋体" w:hAnsi="宋体" w:cs="宋体"/>
                <w:color w:val="000000" w:themeColor="text1"/>
                <w:sz w:val="24"/>
                <w14:textFill>
                  <w14:solidFill>
                    <w14:schemeClr w14:val="tx1"/>
                  </w14:solidFill>
                </w14:textFill>
              </w:rPr>
            </w:pPr>
          </w:p>
        </w:tc>
      </w:tr>
      <w:tr w14:paraId="0AC26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14:paraId="21AD20A3">
            <w:pPr>
              <w:snapToGrid w:val="0"/>
              <w:jc w:val="center"/>
              <w:rPr>
                <w:rFonts w:hint="eastAsia" w:ascii="宋体" w:hAnsi="宋体" w:cs="宋体"/>
                <w:color w:val="000000" w:themeColor="text1"/>
                <w:sz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0A3709E">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21CFEF">
            <w:pPr>
              <w:snapToGrid w:val="0"/>
              <w:spacing w:before="120" w:beforeLines="50"/>
              <w:ind w:left="43"/>
              <w:jc w:val="center"/>
              <w:rPr>
                <w:rFonts w:hint="eastAsia" w:ascii="宋体" w:hAnsi="宋体" w:cs="宋体"/>
                <w:color w:val="000000" w:themeColor="text1"/>
                <w:sz w:val="24"/>
                <w14:textFill>
                  <w14:solidFill>
                    <w14:schemeClr w14:val="tx1"/>
                  </w14:solidFill>
                </w14:textFil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5B2069E">
            <w:pPr>
              <w:snapToGrid w:val="0"/>
              <w:spacing w:before="120" w:beforeLines="50"/>
              <w:ind w:left="43"/>
              <w:jc w:val="center"/>
              <w:rPr>
                <w:rFonts w:hint="eastAsia" w:ascii="宋体" w:hAnsi="宋体" w:cs="宋体"/>
                <w:color w:val="000000" w:themeColor="text1"/>
                <w:sz w:val="24"/>
                <w14:textFill>
                  <w14:solidFill>
                    <w14:schemeClr w14:val="tx1"/>
                  </w14:solidFill>
                </w14:textFill>
              </w:rPr>
            </w:pPr>
          </w:p>
        </w:tc>
      </w:tr>
      <w:tr w14:paraId="2E255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14:paraId="02CF143A">
            <w:pPr>
              <w:snapToGrid w:val="0"/>
              <w:jc w:val="center"/>
              <w:rPr>
                <w:rFonts w:hint="eastAsia" w:ascii="宋体" w:hAnsi="宋体" w:cs="宋体"/>
                <w:color w:val="000000" w:themeColor="text1"/>
                <w:sz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D2DE4D3">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9D8934">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361F61C">
            <w:pPr>
              <w:snapToGrid w:val="0"/>
              <w:spacing w:before="120" w:beforeLines="50"/>
              <w:jc w:val="center"/>
              <w:rPr>
                <w:rFonts w:hint="eastAsia" w:ascii="宋体" w:hAnsi="宋体" w:cs="宋体"/>
                <w:color w:val="000000" w:themeColor="text1"/>
                <w:sz w:val="24"/>
                <w14:textFill>
                  <w14:solidFill>
                    <w14:schemeClr w14:val="tx1"/>
                  </w14:solidFill>
                </w14:textFill>
              </w:rPr>
            </w:pPr>
          </w:p>
        </w:tc>
      </w:tr>
      <w:tr w14:paraId="321F1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14:paraId="1CAFB30E">
            <w:pPr>
              <w:snapToGrid w:val="0"/>
              <w:jc w:val="center"/>
              <w:rPr>
                <w:rFonts w:hint="eastAsia" w:ascii="宋体" w:hAnsi="宋体" w:cs="宋体"/>
                <w:color w:val="000000" w:themeColor="text1"/>
                <w:sz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827805E">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B4F5A1">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01FBAEA">
            <w:pPr>
              <w:snapToGrid w:val="0"/>
              <w:spacing w:before="120" w:beforeLines="50"/>
              <w:jc w:val="center"/>
              <w:rPr>
                <w:rFonts w:hint="eastAsia" w:ascii="宋体" w:hAnsi="宋体" w:cs="宋体"/>
                <w:color w:val="000000" w:themeColor="text1"/>
                <w:sz w:val="24"/>
                <w14:textFill>
                  <w14:solidFill>
                    <w14:schemeClr w14:val="tx1"/>
                  </w14:solidFill>
                </w14:textFill>
              </w:rPr>
            </w:pPr>
          </w:p>
        </w:tc>
      </w:tr>
      <w:tr w14:paraId="608AB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14:paraId="7F32EE94">
            <w:pPr>
              <w:snapToGrid w:val="0"/>
              <w:jc w:val="center"/>
              <w:rPr>
                <w:rFonts w:hint="eastAsia" w:ascii="宋体" w:hAnsi="宋体" w:cs="宋体"/>
                <w:color w:val="000000" w:themeColor="text1"/>
                <w:sz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65E0CC4">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65B56E">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181972A">
            <w:pPr>
              <w:snapToGrid w:val="0"/>
              <w:spacing w:before="120" w:beforeLines="50"/>
              <w:jc w:val="center"/>
              <w:rPr>
                <w:rFonts w:hint="eastAsia" w:ascii="宋体" w:hAnsi="宋体" w:cs="宋体"/>
                <w:color w:val="000000" w:themeColor="text1"/>
                <w:sz w:val="24"/>
                <w14:textFill>
                  <w14:solidFill>
                    <w14:schemeClr w14:val="tx1"/>
                  </w14:solidFill>
                </w14:textFill>
              </w:rPr>
            </w:pPr>
          </w:p>
        </w:tc>
      </w:tr>
      <w:tr w14:paraId="5E02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14:paraId="29116960">
            <w:pPr>
              <w:snapToGrid w:val="0"/>
              <w:jc w:val="center"/>
              <w:rPr>
                <w:rFonts w:hint="eastAsia" w:ascii="宋体" w:hAnsi="宋体" w:cs="宋体"/>
                <w:color w:val="000000" w:themeColor="text1"/>
                <w:sz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D900F70">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D0945E">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B2E4E31">
            <w:pPr>
              <w:snapToGrid w:val="0"/>
              <w:spacing w:before="120" w:beforeLines="50"/>
              <w:jc w:val="center"/>
              <w:rPr>
                <w:rFonts w:hint="eastAsia" w:ascii="宋体" w:hAnsi="宋体" w:cs="宋体"/>
                <w:color w:val="000000" w:themeColor="text1"/>
                <w:sz w:val="24"/>
                <w14:textFill>
                  <w14:solidFill>
                    <w14:schemeClr w14:val="tx1"/>
                  </w14:solidFill>
                </w14:textFill>
              </w:rPr>
            </w:pPr>
          </w:p>
        </w:tc>
      </w:tr>
      <w:tr w14:paraId="16B48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14:paraId="7D2F3FA7">
            <w:pPr>
              <w:snapToGrid w:val="0"/>
              <w:jc w:val="center"/>
              <w:rPr>
                <w:rFonts w:hint="eastAsia" w:ascii="宋体" w:hAnsi="宋体" w:cs="宋体"/>
                <w:color w:val="000000" w:themeColor="text1"/>
                <w:sz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865E265">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6F6DEB">
            <w:pPr>
              <w:snapToGrid w:val="0"/>
              <w:spacing w:before="120" w:beforeLines="50"/>
              <w:jc w:val="center"/>
              <w:rPr>
                <w:rFonts w:hint="eastAsia" w:ascii="宋体" w:hAnsi="宋体" w:cs="宋体"/>
                <w:color w:val="000000" w:themeColor="text1"/>
                <w:sz w:val="24"/>
                <w14:textFill>
                  <w14:solidFill>
                    <w14:schemeClr w14:val="tx1"/>
                  </w14:solidFill>
                </w14:textFil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CA43FB0">
            <w:pPr>
              <w:snapToGrid w:val="0"/>
              <w:spacing w:before="120" w:beforeLines="50"/>
              <w:jc w:val="center"/>
              <w:rPr>
                <w:rFonts w:hint="eastAsia" w:ascii="宋体" w:hAnsi="宋体" w:cs="宋体"/>
                <w:color w:val="000000" w:themeColor="text1"/>
                <w:sz w:val="24"/>
                <w14:textFill>
                  <w14:solidFill>
                    <w14:schemeClr w14:val="tx1"/>
                  </w14:solidFill>
                </w14:textFill>
              </w:rPr>
            </w:pPr>
          </w:p>
        </w:tc>
      </w:tr>
    </w:tbl>
    <w:p w14:paraId="75069E37">
      <w:pPr>
        <w:snapToGrid w:val="0"/>
        <w:spacing w:line="460" w:lineRule="exact"/>
        <w:ind w:firstLine="240" w:firstLineChars="100"/>
        <w:rPr>
          <w:rFonts w:hint="eastAsia" w:ascii="宋体" w:hAnsi="宋体" w:cs="宋体"/>
          <w:color w:val="000000" w:themeColor="text1"/>
          <w:sz w:val="24"/>
          <w14:textFill>
            <w14:solidFill>
              <w14:schemeClr w14:val="tx1"/>
            </w14:solidFill>
          </w14:textFill>
        </w:rPr>
      </w:pPr>
    </w:p>
    <w:p w14:paraId="0C97C02C">
      <w:pPr>
        <w:snapToGrid w:val="0"/>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法定代表人或其授权代表（签名或盖章）：</w:t>
      </w:r>
    </w:p>
    <w:p w14:paraId="6B5A23BA">
      <w:pPr>
        <w:snapToGrid w:val="0"/>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14:paraId="2DD1B7E3">
      <w:pPr>
        <w:spacing w:line="360" w:lineRule="auto"/>
        <w:rPr>
          <w:rFonts w:hint="eastAsia" w:ascii="宋体" w:hAnsi="宋体" w:cs="宋体"/>
          <w:b/>
          <w:bCs/>
          <w:color w:val="000000" w:themeColor="text1"/>
          <w:szCs w:val="28"/>
          <w14:textFill>
            <w14:solidFill>
              <w14:schemeClr w14:val="tx1"/>
            </w14:solidFill>
          </w14:textFill>
        </w:rPr>
      </w:pPr>
    </w:p>
    <w:p w14:paraId="17AC87D7">
      <w:pPr>
        <w:spacing w:line="360" w:lineRule="auto"/>
        <w:jc w:val="center"/>
        <w:rPr>
          <w:rFonts w:hint="eastAsia" w:ascii="宋体" w:hAnsi="宋体" w:cs="宋体"/>
          <w:b/>
          <w:bCs/>
          <w:color w:val="000000" w:themeColor="text1"/>
          <w:szCs w:val="28"/>
          <w14:textFill>
            <w14:solidFill>
              <w14:schemeClr w14:val="tx1"/>
            </w14:solidFill>
          </w14:textFill>
        </w:rPr>
      </w:pPr>
    </w:p>
    <w:p w14:paraId="3C7E15DE">
      <w:pPr>
        <w:snapToGrid w:val="0"/>
        <w:spacing w:line="560" w:lineRule="exact"/>
        <w:jc w:val="center"/>
        <w:rPr>
          <w:rFonts w:hint="eastAsia" w:ascii="宋体" w:hAnsi="宋体"/>
          <w:b/>
          <w:bCs/>
          <w:color w:val="000000" w:themeColor="text1"/>
          <w:szCs w:val="28"/>
          <w14:textFill>
            <w14:solidFill>
              <w14:schemeClr w14:val="tx1"/>
            </w14:solidFill>
          </w14:textFill>
        </w:rPr>
      </w:pPr>
    </w:p>
    <w:p w14:paraId="1375615C">
      <w:pPr>
        <w:pStyle w:val="42"/>
        <w:ind w:firstLine="0" w:firstLineChars="0"/>
        <w:rPr>
          <w:rFonts w:hint="eastAsia" w:hAnsi="宋体"/>
          <w:b/>
          <w:bCs/>
          <w:color w:val="000000" w:themeColor="text1"/>
          <w:szCs w:val="28"/>
          <w14:textFill>
            <w14:solidFill>
              <w14:schemeClr w14:val="tx1"/>
            </w14:solidFill>
          </w14:textFill>
        </w:rPr>
      </w:pPr>
    </w:p>
    <w:sectPr>
      <w:footerReference r:id="rId7" w:type="first"/>
      <w:footerReference r:id="rId6" w:type="default"/>
      <w:pgSz w:w="11906" w:h="16838"/>
      <w:pgMar w:top="1417" w:right="1249" w:bottom="1417" w:left="1417" w:header="850" w:footer="1128"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D4E8">
    <w:pPr>
      <w:pStyle w:val="30"/>
      <w:ind w:firstLine="210" w:firstLineChars="100"/>
      <w:rPr>
        <w:rFonts w:hint="eastAsia" w:ascii="宋体" w:hAnsi="宋体" w:cs="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4C2862">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q5Zd4BAAC+AwAADgAAAGRycy9lMm9Eb2MueG1srVPBjtMwEL0j8Q+W&#10;7zTZaoW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rKrll3gEAAL4DAAAOAAAAAAAA&#10;AAEAIAAAAB4BAABkcnMvZTJvRG9jLnhtbFBLBQYAAAAABgAGAFkBAABuBQAAAAA=&#10;">
              <v:fill on="f" focussize="0,0"/>
              <v:stroke on="f"/>
              <v:imagedata o:title=""/>
              <o:lock v:ext="edit" aspectratio="f"/>
              <v:textbox inset="0mm,0mm,0mm,0mm" style="mso-fit-shape-to-text:t;">
                <w:txbxContent>
                  <w:p w14:paraId="284C2862">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1"/>
        <w:szCs w:val="21"/>
      </w:rPr>
      <w:t xml:space="preserve">华诚工程咨询集团有限公司 </w:t>
    </w:r>
    <w:r>
      <w:rPr>
        <w:rFonts w:hint="eastAsia" w:ascii="宋体" w:hAnsi="宋体" w:cs="宋体"/>
      </w:rPr>
      <w:t xml:space="preserve">                                             联系电话：2170107</w:t>
    </w:r>
  </w:p>
  <w:p w14:paraId="31E3E582">
    <w:pPr>
      <w:pStyle w:val="3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D4706">
    <w:pPr>
      <w:jc w:val="center"/>
      <w:rPr>
        <w:rFonts w:hint="eastAsia"/>
        <w:lang w:val="zh-CN"/>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E42CEE">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b6hN4BAAC+AwAADgAAAGRycy9lMm9Eb2MueG1srVPBjtMwEL0j8Q+W&#10;7zTZSqA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e9vqE3gEAAL4DAAAOAAAAAAAA&#10;AAEAIAAAAB4BAABkcnMvZTJvRG9jLnhtbFBLBQYAAAAABgAGAFkBAABuBQAAAAA=&#10;">
              <v:fill on="f" focussize="0,0"/>
              <v:stroke on="f"/>
              <v:imagedata o:title=""/>
              <o:lock v:ext="edit" aspectratio="f"/>
              <v:textbox inset="0mm,0mm,0mm,0mm" style="mso-fit-shape-to-text:t;">
                <w:txbxContent>
                  <w:p w14:paraId="56E42CEE">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vanish/>
        <w:highlight w:val="yellow"/>
        <w:lang w:val="en-US" w:eastAsia="zh-CN"/>
      </w:rPr>
      <w:t>1</w:t>
    </w:r>
    <w:r>
      <w:rPr>
        <w:vanish/>
        <w:highlight w:val="yellow"/>
      </w:rPr>
      <w:t>&gt;</w:t>
    </w:r>
  </w:p>
  <w:p w14:paraId="1AC31C79">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0CB72">
    <w:pPr>
      <w:pStyle w:val="30"/>
      <w:ind w:firstLine="210" w:firstLineChars="100"/>
      <w:rPr>
        <w:rFonts w:hint="eastAsia" w:ascii="宋体" w:hAnsi="宋体" w:cs="宋体"/>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5DD825">
                          <w:pPr>
                            <w:pStyle w:val="3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QqoHdAQAAvwMAAA4AAAAAAAAA&#10;AQAgAAAAHgEAAGRycy9lMm9Eb2MueG1sUEsFBgAAAAAGAAYAWQEAAG0FAAAAAA==&#10;">
              <v:fill on="f" focussize="0,0"/>
              <v:stroke on="f"/>
              <v:imagedata o:title=""/>
              <o:lock v:ext="edit" aspectratio="f"/>
              <v:textbox inset="0mm,0mm,0mm,0mm" style="mso-fit-shape-to-text:t;">
                <w:txbxContent>
                  <w:p w14:paraId="3B5DD825">
                    <w:pPr>
                      <w:pStyle w:val="30"/>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sz w:val="21"/>
        <w:szCs w:val="21"/>
      </w:rPr>
      <w:t xml:space="preserve">华诚工程咨询集团有限公司 </w:t>
    </w:r>
    <w:r>
      <w:rPr>
        <w:rFonts w:hint="eastAsia" w:ascii="宋体" w:hAnsi="宋体" w:cs="宋体"/>
      </w:rPr>
      <w:t xml:space="preserve">                                            </w:t>
    </w:r>
    <w:r>
      <w:rPr>
        <w:rFonts w:hint="eastAsia" w:ascii="宋体" w:hAnsi="宋体" w:cs="宋体"/>
        <w:sz w:val="21"/>
        <w:szCs w:val="21"/>
      </w:rPr>
      <w:t>联系电话：0572-2170107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EB0FC">
    <w:pPr>
      <w:jc w:val="center"/>
      <w:rPr>
        <w:rFonts w:hint="eastAsia"/>
        <w:lang w:val="zh-CN"/>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133624">
                          <w:pPr>
                            <w:pStyle w:val="3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oz3Cg3gEAAL8DAAAOAAAAAAAA&#10;AAEAIAAAAB4BAABkcnMvZTJvRG9jLnhtbFBLBQYAAAAABgAGAFkBAABuBQAAAAA=&#10;">
              <v:fill on="f" focussize="0,0"/>
              <v:stroke on="f"/>
              <v:imagedata o:title=""/>
              <o:lock v:ext="edit" aspectratio="f"/>
              <v:textbox inset="0mm,0mm,0mm,0mm" style="mso-fit-shape-to-text:t;">
                <w:txbxContent>
                  <w:p w14:paraId="53133624">
                    <w:pPr>
                      <w:pStyle w:val="30"/>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vanish/>
        <w:highlight w:val="yellow"/>
      </w:rPr>
      <w:t>浙江</w:t>
    </w:r>
    <w:r>
      <w:rPr>
        <w:vanish/>
        <w:highlight w:val="yellow"/>
      </w:rPr>
      <w:t>&gt;</w:t>
    </w:r>
  </w:p>
  <w:p w14:paraId="0DAFFE0B">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7CD9">
    <w:pPr>
      <w:pStyle w:val="31"/>
      <w:ind w:firstLine="210" w:firstLineChars="100"/>
      <w:jc w:val="both"/>
      <w:rPr>
        <w:sz w:val="21"/>
        <w:szCs w:val="21"/>
      </w:rPr>
    </w:pPr>
    <w:r>
      <w:rPr>
        <w:rFonts w:hint="eastAsia" w:ascii="宋体" w:hAnsi="宋体" w:cs="宋体"/>
        <w:sz w:val="21"/>
        <w:szCs w:val="21"/>
        <w:lang w:eastAsia="zh-CN"/>
      </w:rPr>
      <w:t>湖州市殡仪馆配电房变压器增容项目</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8A986"/>
    <w:multiLevelType w:val="singleLevel"/>
    <w:tmpl w:val="B118A986"/>
    <w:lvl w:ilvl="0" w:tentative="0">
      <w:start w:val="5"/>
      <w:numFmt w:val="chineseCounting"/>
      <w:suff w:val="nothing"/>
      <w:lvlText w:val="（%1）"/>
      <w:lvlJc w:val="left"/>
      <w:rPr>
        <w:rFonts w:hint="eastAsia"/>
      </w:rPr>
    </w:lvl>
  </w:abstractNum>
  <w:abstractNum w:abstractNumId="1">
    <w:nsid w:val="582470DB"/>
    <w:multiLevelType w:val="singleLevel"/>
    <w:tmpl w:val="582470DB"/>
    <w:lvl w:ilvl="0" w:tentative="0">
      <w:start w:val="1"/>
      <w:numFmt w:val="decimal"/>
      <w:suff w:val="nothing"/>
      <w:lvlText w:val="%1."/>
      <w:lvlJc w:val="left"/>
    </w:lvl>
  </w:abstractNum>
  <w:abstractNum w:abstractNumId="2">
    <w:nsid w:val="757B417D"/>
    <w:multiLevelType w:val="multilevel"/>
    <w:tmpl w:val="757B417D"/>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ZDNlYzgyNDJhOGZlYWE3Yzc3MGU3OWQ5ZDc5ZTcifQ=="/>
    <w:docVar w:name="KSO_WPS_MARK_KEY" w:val="85063d14-3734-4808-9e80-dd4cb9264b6d"/>
  </w:docVars>
  <w:rsids>
    <w:rsidRoot w:val="0047705C"/>
    <w:rsid w:val="000009E2"/>
    <w:rsid w:val="000018CF"/>
    <w:rsid w:val="0000258D"/>
    <w:rsid w:val="00003096"/>
    <w:rsid w:val="00004A1E"/>
    <w:rsid w:val="0000540D"/>
    <w:rsid w:val="00006A48"/>
    <w:rsid w:val="00011328"/>
    <w:rsid w:val="00011C71"/>
    <w:rsid w:val="000133D5"/>
    <w:rsid w:val="000201F8"/>
    <w:rsid w:val="0002112B"/>
    <w:rsid w:val="000246AC"/>
    <w:rsid w:val="00025849"/>
    <w:rsid w:val="000270EB"/>
    <w:rsid w:val="00034126"/>
    <w:rsid w:val="000341D6"/>
    <w:rsid w:val="0003549D"/>
    <w:rsid w:val="00036D18"/>
    <w:rsid w:val="00041202"/>
    <w:rsid w:val="00043CA6"/>
    <w:rsid w:val="000461C6"/>
    <w:rsid w:val="00047086"/>
    <w:rsid w:val="0004786D"/>
    <w:rsid w:val="00052522"/>
    <w:rsid w:val="0005261F"/>
    <w:rsid w:val="00052A6A"/>
    <w:rsid w:val="00053026"/>
    <w:rsid w:val="000547FA"/>
    <w:rsid w:val="000574CA"/>
    <w:rsid w:val="00057F90"/>
    <w:rsid w:val="00060371"/>
    <w:rsid w:val="000613CB"/>
    <w:rsid w:val="00062BB5"/>
    <w:rsid w:val="0006517A"/>
    <w:rsid w:val="000665B6"/>
    <w:rsid w:val="00066810"/>
    <w:rsid w:val="00071244"/>
    <w:rsid w:val="000738E6"/>
    <w:rsid w:val="000753C6"/>
    <w:rsid w:val="000756FD"/>
    <w:rsid w:val="00077D4E"/>
    <w:rsid w:val="00077D73"/>
    <w:rsid w:val="0008056D"/>
    <w:rsid w:val="00080D44"/>
    <w:rsid w:val="00085350"/>
    <w:rsid w:val="00085EC8"/>
    <w:rsid w:val="000863C0"/>
    <w:rsid w:val="0008692A"/>
    <w:rsid w:val="00086E90"/>
    <w:rsid w:val="00092F64"/>
    <w:rsid w:val="000943CC"/>
    <w:rsid w:val="00095462"/>
    <w:rsid w:val="00095A03"/>
    <w:rsid w:val="0009620F"/>
    <w:rsid w:val="00096C9F"/>
    <w:rsid w:val="0009759E"/>
    <w:rsid w:val="000A0955"/>
    <w:rsid w:val="000A277C"/>
    <w:rsid w:val="000A4579"/>
    <w:rsid w:val="000A57F5"/>
    <w:rsid w:val="000A7EE4"/>
    <w:rsid w:val="000B0890"/>
    <w:rsid w:val="000B1486"/>
    <w:rsid w:val="000B1DDC"/>
    <w:rsid w:val="000B3E42"/>
    <w:rsid w:val="000B5F02"/>
    <w:rsid w:val="000C0668"/>
    <w:rsid w:val="000C0E18"/>
    <w:rsid w:val="000C2179"/>
    <w:rsid w:val="000C2342"/>
    <w:rsid w:val="000C35C6"/>
    <w:rsid w:val="000C5551"/>
    <w:rsid w:val="000C66CF"/>
    <w:rsid w:val="000D1ABC"/>
    <w:rsid w:val="000D3086"/>
    <w:rsid w:val="000D58A9"/>
    <w:rsid w:val="000D5C05"/>
    <w:rsid w:val="000D693A"/>
    <w:rsid w:val="000D7DCD"/>
    <w:rsid w:val="000E05CF"/>
    <w:rsid w:val="000E0E10"/>
    <w:rsid w:val="000E13EA"/>
    <w:rsid w:val="000E271D"/>
    <w:rsid w:val="000E37C1"/>
    <w:rsid w:val="000E3DDA"/>
    <w:rsid w:val="000E4F03"/>
    <w:rsid w:val="000E513E"/>
    <w:rsid w:val="000E56C6"/>
    <w:rsid w:val="000E668D"/>
    <w:rsid w:val="000E7C11"/>
    <w:rsid w:val="000F0278"/>
    <w:rsid w:val="000F27DE"/>
    <w:rsid w:val="000F3372"/>
    <w:rsid w:val="000F3F09"/>
    <w:rsid w:val="000F3F42"/>
    <w:rsid w:val="000F4A15"/>
    <w:rsid w:val="000F621F"/>
    <w:rsid w:val="000F63B2"/>
    <w:rsid w:val="000F7ADC"/>
    <w:rsid w:val="00100D07"/>
    <w:rsid w:val="0010105A"/>
    <w:rsid w:val="001034A4"/>
    <w:rsid w:val="00107C0D"/>
    <w:rsid w:val="001109DD"/>
    <w:rsid w:val="00111EB5"/>
    <w:rsid w:val="00112735"/>
    <w:rsid w:val="00112C83"/>
    <w:rsid w:val="001141FB"/>
    <w:rsid w:val="00114EB3"/>
    <w:rsid w:val="00115BF2"/>
    <w:rsid w:val="00117F8C"/>
    <w:rsid w:val="00120072"/>
    <w:rsid w:val="00120280"/>
    <w:rsid w:val="00120321"/>
    <w:rsid w:val="001207E8"/>
    <w:rsid w:val="00122E72"/>
    <w:rsid w:val="00123D9B"/>
    <w:rsid w:val="00125974"/>
    <w:rsid w:val="00130ACC"/>
    <w:rsid w:val="00132168"/>
    <w:rsid w:val="00133E23"/>
    <w:rsid w:val="0014365D"/>
    <w:rsid w:val="001437F9"/>
    <w:rsid w:val="0014455C"/>
    <w:rsid w:val="00144AAF"/>
    <w:rsid w:val="00146069"/>
    <w:rsid w:val="00146161"/>
    <w:rsid w:val="0014653E"/>
    <w:rsid w:val="00146965"/>
    <w:rsid w:val="001526DB"/>
    <w:rsid w:val="00153099"/>
    <w:rsid w:val="001552C6"/>
    <w:rsid w:val="00156959"/>
    <w:rsid w:val="001579B3"/>
    <w:rsid w:val="00160482"/>
    <w:rsid w:val="00161428"/>
    <w:rsid w:val="001616B5"/>
    <w:rsid w:val="0016222B"/>
    <w:rsid w:val="0016532E"/>
    <w:rsid w:val="00165634"/>
    <w:rsid w:val="00167876"/>
    <w:rsid w:val="00172CCE"/>
    <w:rsid w:val="00173E47"/>
    <w:rsid w:val="0017457A"/>
    <w:rsid w:val="00176588"/>
    <w:rsid w:val="00181C03"/>
    <w:rsid w:val="00183260"/>
    <w:rsid w:val="001833BF"/>
    <w:rsid w:val="00186447"/>
    <w:rsid w:val="001927AC"/>
    <w:rsid w:val="001932D5"/>
    <w:rsid w:val="00195464"/>
    <w:rsid w:val="001A0AFA"/>
    <w:rsid w:val="001A2BFE"/>
    <w:rsid w:val="001A3992"/>
    <w:rsid w:val="001A68D9"/>
    <w:rsid w:val="001A6B59"/>
    <w:rsid w:val="001A70E9"/>
    <w:rsid w:val="001A73E0"/>
    <w:rsid w:val="001A7DFC"/>
    <w:rsid w:val="001B1653"/>
    <w:rsid w:val="001B2796"/>
    <w:rsid w:val="001B34A6"/>
    <w:rsid w:val="001B576B"/>
    <w:rsid w:val="001C0809"/>
    <w:rsid w:val="001C1CC3"/>
    <w:rsid w:val="001C23D5"/>
    <w:rsid w:val="001C277C"/>
    <w:rsid w:val="001C287E"/>
    <w:rsid w:val="001C2BA0"/>
    <w:rsid w:val="001C39D9"/>
    <w:rsid w:val="001C3EE6"/>
    <w:rsid w:val="001C44F0"/>
    <w:rsid w:val="001C56EF"/>
    <w:rsid w:val="001C7559"/>
    <w:rsid w:val="001C7A55"/>
    <w:rsid w:val="001C7D2C"/>
    <w:rsid w:val="001D31F9"/>
    <w:rsid w:val="001D45DC"/>
    <w:rsid w:val="001D4780"/>
    <w:rsid w:val="001D4B36"/>
    <w:rsid w:val="001E0C36"/>
    <w:rsid w:val="001E42CF"/>
    <w:rsid w:val="001E4C7E"/>
    <w:rsid w:val="001E4F30"/>
    <w:rsid w:val="001E54FB"/>
    <w:rsid w:val="001F1283"/>
    <w:rsid w:val="001F1A02"/>
    <w:rsid w:val="001F222B"/>
    <w:rsid w:val="001F44BE"/>
    <w:rsid w:val="001F6BEC"/>
    <w:rsid w:val="001F75B8"/>
    <w:rsid w:val="001F7912"/>
    <w:rsid w:val="00200EB3"/>
    <w:rsid w:val="0020116D"/>
    <w:rsid w:val="002034DA"/>
    <w:rsid w:val="002039F0"/>
    <w:rsid w:val="00204972"/>
    <w:rsid w:val="00207874"/>
    <w:rsid w:val="00207FE0"/>
    <w:rsid w:val="0021013E"/>
    <w:rsid w:val="002105AC"/>
    <w:rsid w:val="0021426C"/>
    <w:rsid w:val="002145AB"/>
    <w:rsid w:val="00214A2F"/>
    <w:rsid w:val="002209D8"/>
    <w:rsid w:val="0022113C"/>
    <w:rsid w:val="0022113E"/>
    <w:rsid w:val="002226A4"/>
    <w:rsid w:val="00222BFE"/>
    <w:rsid w:val="00223559"/>
    <w:rsid w:val="00225B5F"/>
    <w:rsid w:val="002266B5"/>
    <w:rsid w:val="0022739B"/>
    <w:rsid w:val="00234356"/>
    <w:rsid w:val="00237771"/>
    <w:rsid w:val="002419EA"/>
    <w:rsid w:val="00241ADA"/>
    <w:rsid w:val="00246826"/>
    <w:rsid w:val="0024740F"/>
    <w:rsid w:val="00250BB7"/>
    <w:rsid w:val="0025125D"/>
    <w:rsid w:val="0025318A"/>
    <w:rsid w:val="0025646D"/>
    <w:rsid w:val="00256AD3"/>
    <w:rsid w:val="00256DC7"/>
    <w:rsid w:val="002603EE"/>
    <w:rsid w:val="002620AF"/>
    <w:rsid w:val="00262F84"/>
    <w:rsid w:val="00263412"/>
    <w:rsid w:val="00265F64"/>
    <w:rsid w:val="00266250"/>
    <w:rsid w:val="00266899"/>
    <w:rsid w:val="00266B44"/>
    <w:rsid w:val="00270F0D"/>
    <w:rsid w:val="00273487"/>
    <w:rsid w:val="00273530"/>
    <w:rsid w:val="002756A1"/>
    <w:rsid w:val="00280A55"/>
    <w:rsid w:val="00282790"/>
    <w:rsid w:val="0028561C"/>
    <w:rsid w:val="00290CDD"/>
    <w:rsid w:val="00291EA6"/>
    <w:rsid w:val="00292749"/>
    <w:rsid w:val="0029347E"/>
    <w:rsid w:val="00293564"/>
    <w:rsid w:val="00293F85"/>
    <w:rsid w:val="002951CF"/>
    <w:rsid w:val="00295E2F"/>
    <w:rsid w:val="00297889"/>
    <w:rsid w:val="002A2B0C"/>
    <w:rsid w:val="002A2DE4"/>
    <w:rsid w:val="002A3020"/>
    <w:rsid w:val="002A4CBF"/>
    <w:rsid w:val="002B3572"/>
    <w:rsid w:val="002B7A77"/>
    <w:rsid w:val="002C3504"/>
    <w:rsid w:val="002C5DFE"/>
    <w:rsid w:val="002C73E3"/>
    <w:rsid w:val="002D190B"/>
    <w:rsid w:val="002D21A6"/>
    <w:rsid w:val="002D5FFC"/>
    <w:rsid w:val="002D6873"/>
    <w:rsid w:val="002D7F13"/>
    <w:rsid w:val="002E1BDB"/>
    <w:rsid w:val="002E1E08"/>
    <w:rsid w:val="002E2CB0"/>
    <w:rsid w:val="002E31A3"/>
    <w:rsid w:val="002E75AE"/>
    <w:rsid w:val="002E7B43"/>
    <w:rsid w:val="002F3167"/>
    <w:rsid w:val="002F6E6D"/>
    <w:rsid w:val="002F7143"/>
    <w:rsid w:val="00301DB5"/>
    <w:rsid w:val="00304311"/>
    <w:rsid w:val="00304771"/>
    <w:rsid w:val="003050A6"/>
    <w:rsid w:val="003062D7"/>
    <w:rsid w:val="0030797E"/>
    <w:rsid w:val="00310807"/>
    <w:rsid w:val="00311D6D"/>
    <w:rsid w:val="00313261"/>
    <w:rsid w:val="00314351"/>
    <w:rsid w:val="0031691E"/>
    <w:rsid w:val="00320503"/>
    <w:rsid w:val="00320C23"/>
    <w:rsid w:val="00321BD1"/>
    <w:rsid w:val="00321E68"/>
    <w:rsid w:val="00322A0C"/>
    <w:rsid w:val="003262F6"/>
    <w:rsid w:val="00326FE2"/>
    <w:rsid w:val="00327C12"/>
    <w:rsid w:val="0033046D"/>
    <w:rsid w:val="00330F9D"/>
    <w:rsid w:val="003316A6"/>
    <w:rsid w:val="00331ADF"/>
    <w:rsid w:val="003320F3"/>
    <w:rsid w:val="003334E3"/>
    <w:rsid w:val="003359E6"/>
    <w:rsid w:val="00335EA1"/>
    <w:rsid w:val="00336F26"/>
    <w:rsid w:val="0034083C"/>
    <w:rsid w:val="00343A62"/>
    <w:rsid w:val="003459D6"/>
    <w:rsid w:val="00346E90"/>
    <w:rsid w:val="003501EA"/>
    <w:rsid w:val="00352089"/>
    <w:rsid w:val="00352D38"/>
    <w:rsid w:val="00354D44"/>
    <w:rsid w:val="00356A58"/>
    <w:rsid w:val="00357983"/>
    <w:rsid w:val="003611C2"/>
    <w:rsid w:val="003613F3"/>
    <w:rsid w:val="0036376F"/>
    <w:rsid w:val="00365DB6"/>
    <w:rsid w:val="003666E3"/>
    <w:rsid w:val="00372D46"/>
    <w:rsid w:val="00380340"/>
    <w:rsid w:val="0038096D"/>
    <w:rsid w:val="00381444"/>
    <w:rsid w:val="00381E8D"/>
    <w:rsid w:val="003829B0"/>
    <w:rsid w:val="003849FD"/>
    <w:rsid w:val="00384CA7"/>
    <w:rsid w:val="00385254"/>
    <w:rsid w:val="00386E4E"/>
    <w:rsid w:val="00387178"/>
    <w:rsid w:val="0038720D"/>
    <w:rsid w:val="00392C4C"/>
    <w:rsid w:val="003931ED"/>
    <w:rsid w:val="00393B8E"/>
    <w:rsid w:val="003A255A"/>
    <w:rsid w:val="003A30FC"/>
    <w:rsid w:val="003A602C"/>
    <w:rsid w:val="003A7A9B"/>
    <w:rsid w:val="003A7E50"/>
    <w:rsid w:val="003B04E0"/>
    <w:rsid w:val="003B0D86"/>
    <w:rsid w:val="003B40EB"/>
    <w:rsid w:val="003B6B08"/>
    <w:rsid w:val="003C083D"/>
    <w:rsid w:val="003C2E22"/>
    <w:rsid w:val="003C388A"/>
    <w:rsid w:val="003C5369"/>
    <w:rsid w:val="003C54D1"/>
    <w:rsid w:val="003C6DF3"/>
    <w:rsid w:val="003C6EBE"/>
    <w:rsid w:val="003D1519"/>
    <w:rsid w:val="003D3C18"/>
    <w:rsid w:val="003E0FD4"/>
    <w:rsid w:val="003E1493"/>
    <w:rsid w:val="003E1BE0"/>
    <w:rsid w:val="003E50D7"/>
    <w:rsid w:val="003E5627"/>
    <w:rsid w:val="003E6541"/>
    <w:rsid w:val="003E7777"/>
    <w:rsid w:val="003F018C"/>
    <w:rsid w:val="003F0D01"/>
    <w:rsid w:val="003F1F92"/>
    <w:rsid w:val="003F23B7"/>
    <w:rsid w:val="003F267D"/>
    <w:rsid w:val="003F3480"/>
    <w:rsid w:val="003F5C0B"/>
    <w:rsid w:val="003F69D1"/>
    <w:rsid w:val="003F73D5"/>
    <w:rsid w:val="003F77DA"/>
    <w:rsid w:val="00400EBA"/>
    <w:rsid w:val="0040530F"/>
    <w:rsid w:val="00406101"/>
    <w:rsid w:val="0040672F"/>
    <w:rsid w:val="004110B0"/>
    <w:rsid w:val="00412B9E"/>
    <w:rsid w:val="00413BB6"/>
    <w:rsid w:val="00413CDD"/>
    <w:rsid w:val="00416D9D"/>
    <w:rsid w:val="004227CC"/>
    <w:rsid w:val="004228BF"/>
    <w:rsid w:val="0042497F"/>
    <w:rsid w:val="00424D45"/>
    <w:rsid w:val="004253FB"/>
    <w:rsid w:val="00425BE1"/>
    <w:rsid w:val="00425E83"/>
    <w:rsid w:val="0042635C"/>
    <w:rsid w:val="0042745F"/>
    <w:rsid w:val="00430E2A"/>
    <w:rsid w:val="004335BC"/>
    <w:rsid w:val="004353E9"/>
    <w:rsid w:val="004375B2"/>
    <w:rsid w:val="004423A9"/>
    <w:rsid w:val="00442916"/>
    <w:rsid w:val="00443897"/>
    <w:rsid w:val="00445520"/>
    <w:rsid w:val="00445E21"/>
    <w:rsid w:val="00455027"/>
    <w:rsid w:val="00455529"/>
    <w:rsid w:val="00457A86"/>
    <w:rsid w:val="00463542"/>
    <w:rsid w:val="00463A64"/>
    <w:rsid w:val="00463A84"/>
    <w:rsid w:val="004700D0"/>
    <w:rsid w:val="004706C3"/>
    <w:rsid w:val="00471A71"/>
    <w:rsid w:val="00473781"/>
    <w:rsid w:val="00473FA1"/>
    <w:rsid w:val="0047705C"/>
    <w:rsid w:val="004772F1"/>
    <w:rsid w:val="004831DB"/>
    <w:rsid w:val="0048471E"/>
    <w:rsid w:val="004851BC"/>
    <w:rsid w:val="0048523B"/>
    <w:rsid w:val="00492173"/>
    <w:rsid w:val="00495FCD"/>
    <w:rsid w:val="00496084"/>
    <w:rsid w:val="0049617D"/>
    <w:rsid w:val="00497EB2"/>
    <w:rsid w:val="004A10EA"/>
    <w:rsid w:val="004A3E2C"/>
    <w:rsid w:val="004A463C"/>
    <w:rsid w:val="004A4B9C"/>
    <w:rsid w:val="004A62EA"/>
    <w:rsid w:val="004B1D93"/>
    <w:rsid w:val="004B20F3"/>
    <w:rsid w:val="004B6D8B"/>
    <w:rsid w:val="004B7423"/>
    <w:rsid w:val="004B7D88"/>
    <w:rsid w:val="004C0833"/>
    <w:rsid w:val="004C1977"/>
    <w:rsid w:val="004C41CD"/>
    <w:rsid w:val="004C508A"/>
    <w:rsid w:val="004C708C"/>
    <w:rsid w:val="004C7570"/>
    <w:rsid w:val="004C7BCA"/>
    <w:rsid w:val="004D0DD2"/>
    <w:rsid w:val="004D279D"/>
    <w:rsid w:val="004D3305"/>
    <w:rsid w:val="004D4763"/>
    <w:rsid w:val="004D48FE"/>
    <w:rsid w:val="004D6B06"/>
    <w:rsid w:val="004D75BF"/>
    <w:rsid w:val="004E26AA"/>
    <w:rsid w:val="004E3682"/>
    <w:rsid w:val="004E5109"/>
    <w:rsid w:val="004E72F1"/>
    <w:rsid w:val="004E79FA"/>
    <w:rsid w:val="004F18EA"/>
    <w:rsid w:val="004F1A68"/>
    <w:rsid w:val="004F3822"/>
    <w:rsid w:val="004F3F6C"/>
    <w:rsid w:val="004F42C0"/>
    <w:rsid w:val="004F5E5E"/>
    <w:rsid w:val="004F6475"/>
    <w:rsid w:val="004F72BE"/>
    <w:rsid w:val="005001B8"/>
    <w:rsid w:val="00502614"/>
    <w:rsid w:val="00504854"/>
    <w:rsid w:val="00505672"/>
    <w:rsid w:val="00507060"/>
    <w:rsid w:val="00513B53"/>
    <w:rsid w:val="005142DA"/>
    <w:rsid w:val="005143FC"/>
    <w:rsid w:val="005146A3"/>
    <w:rsid w:val="00515EBC"/>
    <w:rsid w:val="00525347"/>
    <w:rsid w:val="00525EBC"/>
    <w:rsid w:val="005270D8"/>
    <w:rsid w:val="00532B5A"/>
    <w:rsid w:val="00541CC4"/>
    <w:rsid w:val="00543565"/>
    <w:rsid w:val="0054507F"/>
    <w:rsid w:val="0054627C"/>
    <w:rsid w:val="00546809"/>
    <w:rsid w:val="00550528"/>
    <w:rsid w:val="005539D2"/>
    <w:rsid w:val="0055624B"/>
    <w:rsid w:val="00557577"/>
    <w:rsid w:val="00560F1D"/>
    <w:rsid w:val="005614AF"/>
    <w:rsid w:val="00561688"/>
    <w:rsid w:val="00561A74"/>
    <w:rsid w:val="00564536"/>
    <w:rsid w:val="005647CF"/>
    <w:rsid w:val="005664DD"/>
    <w:rsid w:val="0056725D"/>
    <w:rsid w:val="005705E7"/>
    <w:rsid w:val="005706E6"/>
    <w:rsid w:val="00570E39"/>
    <w:rsid w:val="005732E5"/>
    <w:rsid w:val="0057368B"/>
    <w:rsid w:val="005746B5"/>
    <w:rsid w:val="005765D8"/>
    <w:rsid w:val="00577B2F"/>
    <w:rsid w:val="005808EE"/>
    <w:rsid w:val="0058256A"/>
    <w:rsid w:val="00586059"/>
    <w:rsid w:val="0058611E"/>
    <w:rsid w:val="00586F4A"/>
    <w:rsid w:val="005921C9"/>
    <w:rsid w:val="005922F7"/>
    <w:rsid w:val="00592E68"/>
    <w:rsid w:val="0059566C"/>
    <w:rsid w:val="00595C48"/>
    <w:rsid w:val="005A1260"/>
    <w:rsid w:val="005A4508"/>
    <w:rsid w:val="005A721B"/>
    <w:rsid w:val="005A74F7"/>
    <w:rsid w:val="005A7EEA"/>
    <w:rsid w:val="005B00CE"/>
    <w:rsid w:val="005B097E"/>
    <w:rsid w:val="005B098C"/>
    <w:rsid w:val="005B0B0D"/>
    <w:rsid w:val="005B2BC4"/>
    <w:rsid w:val="005B2BDC"/>
    <w:rsid w:val="005B3BAE"/>
    <w:rsid w:val="005B781B"/>
    <w:rsid w:val="005C1AD0"/>
    <w:rsid w:val="005C2ABE"/>
    <w:rsid w:val="005C354C"/>
    <w:rsid w:val="005C4482"/>
    <w:rsid w:val="005C4CF2"/>
    <w:rsid w:val="005C786B"/>
    <w:rsid w:val="005D04E0"/>
    <w:rsid w:val="005D11D5"/>
    <w:rsid w:val="005D1A56"/>
    <w:rsid w:val="005D2B50"/>
    <w:rsid w:val="005D2B5C"/>
    <w:rsid w:val="005D3C99"/>
    <w:rsid w:val="005D4384"/>
    <w:rsid w:val="005D5951"/>
    <w:rsid w:val="005E016E"/>
    <w:rsid w:val="005E32E7"/>
    <w:rsid w:val="005E48B7"/>
    <w:rsid w:val="005E6273"/>
    <w:rsid w:val="005E6DB1"/>
    <w:rsid w:val="005F10EC"/>
    <w:rsid w:val="005F1A3E"/>
    <w:rsid w:val="005F3241"/>
    <w:rsid w:val="005F4F1A"/>
    <w:rsid w:val="005F5188"/>
    <w:rsid w:val="005F767B"/>
    <w:rsid w:val="00601CAF"/>
    <w:rsid w:val="006046FD"/>
    <w:rsid w:val="006057BF"/>
    <w:rsid w:val="00605E3E"/>
    <w:rsid w:val="00605FB0"/>
    <w:rsid w:val="0060610C"/>
    <w:rsid w:val="00606FBC"/>
    <w:rsid w:val="0060768F"/>
    <w:rsid w:val="0061542B"/>
    <w:rsid w:val="00617AE9"/>
    <w:rsid w:val="00625110"/>
    <w:rsid w:val="006308AF"/>
    <w:rsid w:val="00631EBA"/>
    <w:rsid w:val="00633836"/>
    <w:rsid w:val="00634A73"/>
    <w:rsid w:val="00635A5B"/>
    <w:rsid w:val="00635EC4"/>
    <w:rsid w:val="00642D6E"/>
    <w:rsid w:val="00643446"/>
    <w:rsid w:val="006434CE"/>
    <w:rsid w:val="00644939"/>
    <w:rsid w:val="00644F24"/>
    <w:rsid w:val="00646D40"/>
    <w:rsid w:val="00647B81"/>
    <w:rsid w:val="006502EF"/>
    <w:rsid w:val="00650B25"/>
    <w:rsid w:val="006522BE"/>
    <w:rsid w:val="006525CE"/>
    <w:rsid w:val="006529BC"/>
    <w:rsid w:val="006552AA"/>
    <w:rsid w:val="0065744B"/>
    <w:rsid w:val="00657584"/>
    <w:rsid w:val="006608D6"/>
    <w:rsid w:val="00663259"/>
    <w:rsid w:val="00670CE0"/>
    <w:rsid w:val="006716F6"/>
    <w:rsid w:val="006737A1"/>
    <w:rsid w:val="006747C7"/>
    <w:rsid w:val="00674B3E"/>
    <w:rsid w:val="006753FF"/>
    <w:rsid w:val="006754A3"/>
    <w:rsid w:val="00675B33"/>
    <w:rsid w:val="00681029"/>
    <w:rsid w:val="0068197E"/>
    <w:rsid w:val="00682C72"/>
    <w:rsid w:val="00683E88"/>
    <w:rsid w:val="00687056"/>
    <w:rsid w:val="00691571"/>
    <w:rsid w:val="00692391"/>
    <w:rsid w:val="00692B85"/>
    <w:rsid w:val="00694DFA"/>
    <w:rsid w:val="0069651C"/>
    <w:rsid w:val="006979D9"/>
    <w:rsid w:val="006A05C1"/>
    <w:rsid w:val="006A32EA"/>
    <w:rsid w:val="006A4537"/>
    <w:rsid w:val="006B0E29"/>
    <w:rsid w:val="006B1024"/>
    <w:rsid w:val="006B17FC"/>
    <w:rsid w:val="006B1E00"/>
    <w:rsid w:val="006B30B6"/>
    <w:rsid w:val="006B54D0"/>
    <w:rsid w:val="006B6954"/>
    <w:rsid w:val="006B7A11"/>
    <w:rsid w:val="006C4809"/>
    <w:rsid w:val="006C5632"/>
    <w:rsid w:val="006D072F"/>
    <w:rsid w:val="006D2924"/>
    <w:rsid w:val="006D2AE8"/>
    <w:rsid w:val="006D583B"/>
    <w:rsid w:val="006D6CE9"/>
    <w:rsid w:val="006D7B55"/>
    <w:rsid w:val="006D7DAB"/>
    <w:rsid w:val="006E02F6"/>
    <w:rsid w:val="006E1E18"/>
    <w:rsid w:val="006E64B3"/>
    <w:rsid w:val="006E7CB5"/>
    <w:rsid w:val="006F0A6A"/>
    <w:rsid w:val="006F2389"/>
    <w:rsid w:val="006F4935"/>
    <w:rsid w:val="006F4A50"/>
    <w:rsid w:val="006F6FA3"/>
    <w:rsid w:val="006F78AB"/>
    <w:rsid w:val="00705222"/>
    <w:rsid w:val="00706159"/>
    <w:rsid w:val="007078A7"/>
    <w:rsid w:val="00712D42"/>
    <w:rsid w:val="0071415F"/>
    <w:rsid w:val="00714AE5"/>
    <w:rsid w:val="00714ED8"/>
    <w:rsid w:val="00715338"/>
    <w:rsid w:val="00716755"/>
    <w:rsid w:val="00716818"/>
    <w:rsid w:val="00720352"/>
    <w:rsid w:val="00724978"/>
    <w:rsid w:val="00724FB2"/>
    <w:rsid w:val="00725D3E"/>
    <w:rsid w:val="00725FB3"/>
    <w:rsid w:val="0073085C"/>
    <w:rsid w:val="007314C7"/>
    <w:rsid w:val="007326B5"/>
    <w:rsid w:val="00732F38"/>
    <w:rsid w:val="00734B98"/>
    <w:rsid w:val="00734CE5"/>
    <w:rsid w:val="007359D8"/>
    <w:rsid w:val="0073686D"/>
    <w:rsid w:val="00736A52"/>
    <w:rsid w:val="0074139B"/>
    <w:rsid w:val="00744356"/>
    <w:rsid w:val="0074547C"/>
    <w:rsid w:val="007509D1"/>
    <w:rsid w:val="00753E55"/>
    <w:rsid w:val="00755701"/>
    <w:rsid w:val="007571A5"/>
    <w:rsid w:val="007579F1"/>
    <w:rsid w:val="007608FE"/>
    <w:rsid w:val="007615C5"/>
    <w:rsid w:val="00762456"/>
    <w:rsid w:val="00763738"/>
    <w:rsid w:val="00763881"/>
    <w:rsid w:val="00764513"/>
    <w:rsid w:val="00765129"/>
    <w:rsid w:val="00766D0C"/>
    <w:rsid w:val="00767CC2"/>
    <w:rsid w:val="00767D46"/>
    <w:rsid w:val="00770162"/>
    <w:rsid w:val="007718B0"/>
    <w:rsid w:val="007765B8"/>
    <w:rsid w:val="0077678E"/>
    <w:rsid w:val="00777393"/>
    <w:rsid w:val="00780901"/>
    <w:rsid w:val="00781160"/>
    <w:rsid w:val="00781B76"/>
    <w:rsid w:val="00781C0D"/>
    <w:rsid w:val="0078253B"/>
    <w:rsid w:val="00783800"/>
    <w:rsid w:val="00784965"/>
    <w:rsid w:val="0078561F"/>
    <w:rsid w:val="00785CEE"/>
    <w:rsid w:val="0078638A"/>
    <w:rsid w:val="00786AD0"/>
    <w:rsid w:val="00791AA4"/>
    <w:rsid w:val="00791F76"/>
    <w:rsid w:val="007924CD"/>
    <w:rsid w:val="007926FC"/>
    <w:rsid w:val="0079344D"/>
    <w:rsid w:val="007965D5"/>
    <w:rsid w:val="007A2356"/>
    <w:rsid w:val="007A23E4"/>
    <w:rsid w:val="007A2A07"/>
    <w:rsid w:val="007A30FA"/>
    <w:rsid w:val="007A3832"/>
    <w:rsid w:val="007A3EA6"/>
    <w:rsid w:val="007A502C"/>
    <w:rsid w:val="007B174C"/>
    <w:rsid w:val="007B4082"/>
    <w:rsid w:val="007B6BD3"/>
    <w:rsid w:val="007B79F4"/>
    <w:rsid w:val="007C6131"/>
    <w:rsid w:val="007C70D1"/>
    <w:rsid w:val="007C7308"/>
    <w:rsid w:val="007C736C"/>
    <w:rsid w:val="007D36BA"/>
    <w:rsid w:val="007D6D5E"/>
    <w:rsid w:val="007E43AC"/>
    <w:rsid w:val="007E7D76"/>
    <w:rsid w:val="007F583A"/>
    <w:rsid w:val="0080167F"/>
    <w:rsid w:val="008039C3"/>
    <w:rsid w:val="00807866"/>
    <w:rsid w:val="00807E4A"/>
    <w:rsid w:val="00810EE7"/>
    <w:rsid w:val="008111BA"/>
    <w:rsid w:val="00813667"/>
    <w:rsid w:val="00813B57"/>
    <w:rsid w:val="00816EE2"/>
    <w:rsid w:val="00823C52"/>
    <w:rsid w:val="00824B84"/>
    <w:rsid w:val="00825096"/>
    <w:rsid w:val="00826290"/>
    <w:rsid w:val="00826CB0"/>
    <w:rsid w:val="00832712"/>
    <w:rsid w:val="00835DCF"/>
    <w:rsid w:val="0083648F"/>
    <w:rsid w:val="008375C6"/>
    <w:rsid w:val="00841165"/>
    <w:rsid w:val="00841F80"/>
    <w:rsid w:val="008427C7"/>
    <w:rsid w:val="008430D8"/>
    <w:rsid w:val="00844D5C"/>
    <w:rsid w:val="0084685B"/>
    <w:rsid w:val="00850AC9"/>
    <w:rsid w:val="00850BE6"/>
    <w:rsid w:val="0085181C"/>
    <w:rsid w:val="00852EC1"/>
    <w:rsid w:val="00854E88"/>
    <w:rsid w:val="00855337"/>
    <w:rsid w:val="008559D6"/>
    <w:rsid w:val="0085754F"/>
    <w:rsid w:val="008600AE"/>
    <w:rsid w:val="0086177B"/>
    <w:rsid w:val="00864BB0"/>
    <w:rsid w:val="00864F03"/>
    <w:rsid w:val="008652A2"/>
    <w:rsid w:val="008662AD"/>
    <w:rsid w:val="008668F6"/>
    <w:rsid w:val="0086696C"/>
    <w:rsid w:val="00867C82"/>
    <w:rsid w:val="00867DA9"/>
    <w:rsid w:val="00870F41"/>
    <w:rsid w:val="00872D30"/>
    <w:rsid w:val="00873869"/>
    <w:rsid w:val="00873B84"/>
    <w:rsid w:val="00875DA0"/>
    <w:rsid w:val="00880691"/>
    <w:rsid w:val="008807B9"/>
    <w:rsid w:val="00880916"/>
    <w:rsid w:val="00880E2C"/>
    <w:rsid w:val="00881304"/>
    <w:rsid w:val="0088218C"/>
    <w:rsid w:val="00882197"/>
    <w:rsid w:val="0088275D"/>
    <w:rsid w:val="00882D23"/>
    <w:rsid w:val="0088380A"/>
    <w:rsid w:val="008840BC"/>
    <w:rsid w:val="008841E5"/>
    <w:rsid w:val="008851B9"/>
    <w:rsid w:val="00891A53"/>
    <w:rsid w:val="008923D6"/>
    <w:rsid w:val="00894CD1"/>
    <w:rsid w:val="00895655"/>
    <w:rsid w:val="00896276"/>
    <w:rsid w:val="00897722"/>
    <w:rsid w:val="008A0449"/>
    <w:rsid w:val="008A1DCD"/>
    <w:rsid w:val="008A7D8B"/>
    <w:rsid w:val="008A7F25"/>
    <w:rsid w:val="008B5730"/>
    <w:rsid w:val="008C1A1C"/>
    <w:rsid w:val="008C2434"/>
    <w:rsid w:val="008C2F2B"/>
    <w:rsid w:val="008C3517"/>
    <w:rsid w:val="008C4F44"/>
    <w:rsid w:val="008C5059"/>
    <w:rsid w:val="008C6B96"/>
    <w:rsid w:val="008C749F"/>
    <w:rsid w:val="008D19F9"/>
    <w:rsid w:val="008D374F"/>
    <w:rsid w:val="008D4543"/>
    <w:rsid w:val="008D57A8"/>
    <w:rsid w:val="008D5F6E"/>
    <w:rsid w:val="008E0223"/>
    <w:rsid w:val="008E12C9"/>
    <w:rsid w:val="008E21B8"/>
    <w:rsid w:val="008E295A"/>
    <w:rsid w:val="008E3F83"/>
    <w:rsid w:val="008E40FA"/>
    <w:rsid w:val="008E5A4C"/>
    <w:rsid w:val="008E62E6"/>
    <w:rsid w:val="008F1394"/>
    <w:rsid w:val="008F294A"/>
    <w:rsid w:val="008F7C9A"/>
    <w:rsid w:val="00902319"/>
    <w:rsid w:val="00902DFD"/>
    <w:rsid w:val="00904599"/>
    <w:rsid w:val="00905890"/>
    <w:rsid w:val="00906203"/>
    <w:rsid w:val="0090702A"/>
    <w:rsid w:val="00907E6F"/>
    <w:rsid w:val="00910381"/>
    <w:rsid w:val="009121C4"/>
    <w:rsid w:val="0091396C"/>
    <w:rsid w:val="0091449E"/>
    <w:rsid w:val="00914960"/>
    <w:rsid w:val="009150C5"/>
    <w:rsid w:val="00915186"/>
    <w:rsid w:val="0091602B"/>
    <w:rsid w:val="00916BC6"/>
    <w:rsid w:val="00917CEB"/>
    <w:rsid w:val="00924443"/>
    <w:rsid w:val="00925D9B"/>
    <w:rsid w:val="00926E89"/>
    <w:rsid w:val="00930820"/>
    <w:rsid w:val="0093199F"/>
    <w:rsid w:val="00932792"/>
    <w:rsid w:val="009342ED"/>
    <w:rsid w:val="009351AA"/>
    <w:rsid w:val="00935430"/>
    <w:rsid w:val="009355B1"/>
    <w:rsid w:val="009359D0"/>
    <w:rsid w:val="00935BCA"/>
    <w:rsid w:val="009365F5"/>
    <w:rsid w:val="00936F28"/>
    <w:rsid w:val="00937441"/>
    <w:rsid w:val="009411A9"/>
    <w:rsid w:val="00944990"/>
    <w:rsid w:val="009453F1"/>
    <w:rsid w:val="00945AB6"/>
    <w:rsid w:val="00946B3B"/>
    <w:rsid w:val="009475A7"/>
    <w:rsid w:val="00951895"/>
    <w:rsid w:val="00953ABB"/>
    <w:rsid w:val="0095677F"/>
    <w:rsid w:val="009620EF"/>
    <w:rsid w:val="00966637"/>
    <w:rsid w:val="00972E0B"/>
    <w:rsid w:val="00975396"/>
    <w:rsid w:val="00975BDD"/>
    <w:rsid w:val="00977590"/>
    <w:rsid w:val="00981D0F"/>
    <w:rsid w:val="0098403C"/>
    <w:rsid w:val="009848DE"/>
    <w:rsid w:val="00985831"/>
    <w:rsid w:val="00986859"/>
    <w:rsid w:val="00990992"/>
    <w:rsid w:val="00991EBC"/>
    <w:rsid w:val="00992ED2"/>
    <w:rsid w:val="009939F9"/>
    <w:rsid w:val="00993A33"/>
    <w:rsid w:val="00994A3D"/>
    <w:rsid w:val="00994B00"/>
    <w:rsid w:val="00996383"/>
    <w:rsid w:val="009963C2"/>
    <w:rsid w:val="0099697B"/>
    <w:rsid w:val="009A02C1"/>
    <w:rsid w:val="009A1FF9"/>
    <w:rsid w:val="009A3102"/>
    <w:rsid w:val="009A47B4"/>
    <w:rsid w:val="009A5036"/>
    <w:rsid w:val="009A7462"/>
    <w:rsid w:val="009B32D4"/>
    <w:rsid w:val="009B3DD2"/>
    <w:rsid w:val="009B6EFD"/>
    <w:rsid w:val="009C12C0"/>
    <w:rsid w:val="009C1F54"/>
    <w:rsid w:val="009C28BF"/>
    <w:rsid w:val="009C38AA"/>
    <w:rsid w:val="009C5379"/>
    <w:rsid w:val="009D10C9"/>
    <w:rsid w:val="009D13E4"/>
    <w:rsid w:val="009D4E7F"/>
    <w:rsid w:val="009D54FC"/>
    <w:rsid w:val="009D6C35"/>
    <w:rsid w:val="009E2EFC"/>
    <w:rsid w:val="009E6354"/>
    <w:rsid w:val="009E6599"/>
    <w:rsid w:val="009E65F8"/>
    <w:rsid w:val="009E6899"/>
    <w:rsid w:val="009E6FD4"/>
    <w:rsid w:val="009E6FEF"/>
    <w:rsid w:val="009E7F1D"/>
    <w:rsid w:val="009F6447"/>
    <w:rsid w:val="009F6C44"/>
    <w:rsid w:val="009F7555"/>
    <w:rsid w:val="009F7735"/>
    <w:rsid w:val="00A055C7"/>
    <w:rsid w:val="00A05F41"/>
    <w:rsid w:val="00A07048"/>
    <w:rsid w:val="00A1320C"/>
    <w:rsid w:val="00A14048"/>
    <w:rsid w:val="00A1608E"/>
    <w:rsid w:val="00A16BCE"/>
    <w:rsid w:val="00A20650"/>
    <w:rsid w:val="00A211D7"/>
    <w:rsid w:val="00A2243D"/>
    <w:rsid w:val="00A23DE0"/>
    <w:rsid w:val="00A247B6"/>
    <w:rsid w:val="00A2590B"/>
    <w:rsid w:val="00A301DA"/>
    <w:rsid w:val="00A309FF"/>
    <w:rsid w:val="00A32622"/>
    <w:rsid w:val="00A35398"/>
    <w:rsid w:val="00A3555C"/>
    <w:rsid w:val="00A411CC"/>
    <w:rsid w:val="00A42026"/>
    <w:rsid w:val="00A42C29"/>
    <w:rsid w:val="00A442BF"/>
    <w:rsid w:val="00A45C89"/>
    <w:rsid w:val="00A47391"/>
    <w:rsid w:val="00A528AA"/>
    <w:rsid w:val="00A549D9"/>
    <w:rsid w:val="00A55719"/>
    <w:rsid w:val="00A57D41"/>
    <w:rsid w:val="00A60775"/>
    <w:rsid w:val="00A642AA"/>
    <w:rsid w:val="00A65F7E"/>
    <w:rsid w:val="00A66403"/>
    <w:rsid w:val="00A67041"/>
    <w:rsid w:val="00A71667"/>
    <w:rsid w:val="00A73285"/>
    <w:rsid w:val="00A74B38"/>
    <w:rsid w:val="00A76C5A"/>
    <w:rsid w:val="00A81C03"/>
    <w:rsid w:val="00A83C3B"/>
    <w:rsid w:val="00A86817"/>
    <w:rsid w:val="00A900FA"/>
    <w:rsid w:val="00A90FF2"/>
    <w:rsid w:val="00A94DE6"/>
    <w:rsid w:val="00A974AC"/>
    <w:rsid w:val="00A97B9D"/>
    <w:rsid w:val="00A97F89"/>
    <w:rsid w:val="00AA0C02"/>
    <w:rsid w:val="00AA5A66"/>
    <w:rsid w:val="00AA5DE1"/>
    <w:rsid w:val="00AB4EA5"/>
    <w:rsid w:val="00AB4F64"/>
    <w:rsid w:val="00AB622F"/>
    <w:rsid w:val="00AB6511"/>
    <w:rsid w:val="00AC3E79"/>
    <w:rsid w:val="00AC3F9D"/>
    <w:rsid w:val="00AC6929"/>
    <w:rsid w:val="00AD009A"/>
    <w:rsid w:val="00AD02EC"/>
    <w:rsid w:val="00AD0C02"/>
    <w:rsid w:val="00AD0C14"/>
    <w:rsid w:val="00AD1099"/>
    <w:rsid w:val="00AD2EDF"/>
    <w:rsid w:val="00AD33B8"/>
    <w:rsid w:val="00AD3B4A"/>
    <w:rsid w:val="00AD77F2"/>
    <w:rsid w:val="00AE3BEA"/>
    <w:rsid w:val="00AE514C"/>
    <w:rsid w:val="00AF0672"/>
    <w:rsid w:val="00AF514F"/>
    <w:rsid w:val="00AF52C7"/>
    <w:rsid w:val="00AF595D"/>
    <w:rsid w:val="00AF5EE4"/>
    <w:rsid w:val="00AF68E5"/>
    <w:rsid w:val="00AF6DA8"/>
    <w:rsid w:val="00AF797C"/>
    <w:rsid w:val="00B00350"/>
    <w:rsid w:val="00B00A6E"/>
    <w:rsid w:val="00B01BA1"/>
    <w:rsid w:val="00B05066"/>
    <w:rsid w:val="00B05B31"/>
    <w:rsid w:val="00B06922"/>
    <w:rsid w:val="00B06B1E"/>
    <w:rsid w:val="00B110D5"/>
    <w:rsid w:val="00B113A4"/>
    <w:rsid w:val="00B14E7F"/>
    <w:rsid w:val="00B16A17"/>
    <w:rsid w:val="00B22B2B"/>
    <w:rsid w:val="00B231F7"/>
    <w:rsid w:val="00B238F1"/>
    <w:rsid w:val="00B23E71"/>
    <w:rsid w:val="00B2419B"/>
    <w:rsid w:val="00B247D8"/>
    <w:rsid w:val="00B25738"/>
    <w:rsid w:val="00B26775"/>
    <w:rsid w:val="00B2711D"/>
    <w:rsid w:val="00B274A1"/>
    <w:rsid w:val="00B30AFA"/>
    <w:rsid w:val="00B32C15"/>
    <w:rsid w:val="00B338C7"/>
    <w:rsid w:val="00B34277"/>
    <w:rsid w:val="00B365C7"/>
    <w:rsid w:val="00B40576"/>
    <w:rsid w:val="00B4089C"/>
    <w:rsid w:val="00B41200"/>
    <w:rsid w:val="00B46437"/>
    <w:rsid w:val="00B4652E"/>
    <w:rsid w:val="00B515E0"/>
    <w:rsid w:val="00B523A4"/>
    <w:rsid w:val="00B5298F"/>
    <w:rsid w:val="00B53C7D"/>
    <w:rsid w:val="00B548BA"/>
    <w:rsid w:val="00B5494C"/>
    <w:rsid w:val="00B62FC6"/>
    <w:rsid w:val="00B6339C"/>
    <w:rsid w:val="00B65017"/>
    <w:rsid w:val="00B71B90"/>
    <w:rsid w:val="00B73297"/>
    <w:rsid w:val="00B7646B"/>
    <w:rsid w:val="00B7750C"/>
    <w:rsid w:val="00B8060B"/>
    <w:rsid w:val="00B81029"/>
    <w:rsid w:val="00B81F3E"/>
    <w:rsid w:val="00B83D38"/>
    <w:rsid w:val="00B86A3A"/>
    <w:rsid w:val="00B8790C"/>
    <w:rsid w:val="00B920F7"/>
    <w:rsid w:val="00B92B70"/>
    <w:rsid w:val="00B933BB"/>
    <w:rsid w:val="00B93472"/>
    <w:rsid w:val="00B95344"/>
    <w:rsid w:val="00BA183B"/>
    <w:rsid w:val="00BA2125"/>
    <w:rsid w:val="00BA2D3A"/>
    <w:rsid w:val="00BA66C4"/>
    <w:rsid w:val="00BA67C5"/>
    <w:rsid w:val="00BB1512"/>
    <w:rsid w:val="00BB32E3"/>
    <w:rsid w:val="00BC0EAC"/>
    <w:rsid w:val="00BC27A8"/>
    <w:rsid w:val="00BC6723"/>
    <w:rsid w:val="00BD116D"/>
    <w:rsid w:val="00BD1FB7"/>
    <w:rsid w:val="00BD319A"/>
    <w:rsid w:val="00BD4E5A"/>
    <w:rsid w:val="00BD59A1"/>
    <w:rsid w:val="00BD5C50"/>
    <w:rsid w:val="00BD6525"/>
    <w:rsid w:val="00BD793E"/>
    <w:rsid w:val="00BE2C2E"/>
    <w:rsid w:val="00BE5355"/>
    <w:rsid w:val="00BE612F"/>
    <w:rsid w:val="00BE6746"/>
    <w:rsid w:val="00BF006B"/>
    <w:rsid w:val="00BF0995"/>
    <w:rsid w:val="00BF2806"/>
    <w:rsid w:val="00BF4890"/>
    <w:rsid w:val="00BF58F0"/>
    <w:rsid w:val="00BF60B4"/>
    <w:rsid w:val="00BF6152"/>
    <w:rsid w:val="00BF76CC"/>
    <w:rsid w:val="00BF7E2C"/>
    <w:rsid w:val="00C00130"/>
    <w:rsid w:val="00C004F5"/>
    <w:rsid w:val="00C01485"/>
    <w:rsid w:val="00C03469"/>
    <w:rsid w:val="00C03767"/>
    <w:rsid w:val="00C05566"/>
    <w:rsid w:val="00C06140"/>
    <w:rsid w:val="00C103C8"/>
    <w:rsid w:val="00C1078B"/>
    <w:rsid w:val="00C12422"/>
    <w:rsid w:val="00C12738"/>
    <w:rsid w:val="00C161A8"/>
    <w:rsid w:val="00C17B4E"/>
    <w:rsid w:val="00C17F55"/>
    <w:rsid w:val="00C2134E"/>
    <w:rsid w:val="00C21703"/>
    <w:rsid w:val="00C220A2"/>
    <w:rsid w:val="00C22F36"/>
    <w:rsid w:val="00C30C73"/>
    <w:rsid w:val="00C323E7"/>
    <w:rsid w:val="00C342D4"/>
    <w:rsid w:val="00C35BE1"/>
    <w:rsid w:val="00C3688E"/>
    <w:rsid w:val="00C40071"/>
    <w:rsid w:val="00C43416"/>
    <w:rsid w:val="00C457F4"/>
    <w:rsid w:val="00C50B2E"/>
    <w:rsid w:val="00C55609"/>
    <w:rsid w:val="00C62025"/>
    <w:rsid w:val="00C63E4C"/>
    <w:rsid w:val="00C707DE"/>
    <w:rsid w:val="00C73D25"/>
    <w:rsid w:val="00C7431A"/>
    <w:rsid w:val="00C761E9"/>
    <w:rsid w:val="00C76737"/>
    <w:rsid w:val="00C76C1C"/>
    <w:rsid w:val="00C77B76"/>
    <w:rsid w:val="00C80142"/>
    <w:rsid w:val="00C80510"/>
    <w:rsid w:val="00C80812"/>
    <w:rsid w:val="00C84C68"/>
    <w:rsid w:val="00C87212"/>
    <w:rsid w:val="00C90905"/>
    <w:rsid w:val="00C90EE1"/>
    <w:rsid w:val="00C92B5C"/>
    <w:rsid w:val="00C92FC9"/>
    <w:rsid w:val="00C95909"/>
    <w:rsid w:val="00C9683C"/>
    <w:rsid w:val="00C973BE"/>
    <w:rsid w:val="00C97CBE"/>
    <w:rsid w:val="00CA4C61"/>
    <w:rsid w:val="00CA4D1E"/>
    <w:rsid w:val="00CA6C1C"/>
    <w:rsid w:val="00CA737D"/>
    <w:rsid w:val="00CB3C1A"/>
    <w:rsid w:val="00CB45DC"/>
    <w:rsid w:val="00CC0E74"/>
    <w:rsid w:val="00CC1AAF"/>
    <w:rsid w:val="00CC1B67"/>
    <w:rsid w:val="00CC2E08"/>
    <w:rsid w:val="00CC35B3"/>
    <w:rsid w:val="00CC52D6"/>
    <w:rsid w:val="00CD0187"/>
    <w:rsid w:val="00CD166F"/>
    <w:rsid w:val="00CD7214"/>
    <w:rsid w:val="00CE12C1"/>
    <w:rsid w:val="00CE4338"/>
    <w:rsid w:val="00CF09C5"/>
    <w:rsid w:val="00CF0B2F"/>
    <w:rsid w:val="00CF1EE1"/>
    <w:rsid w:val="00CF4C67"/>
    <w:rsid w:val="00CF57BB"/>
    <w:rsid w:val="00CF6BEE"/>
    <w:rsid w:val="00D019E1"/>
    <w:rsid w:val="00D026B8"/>
    <w:rsid w:val="00D04C64"/>
    <w:rsid w:val="00D04DD7"/>
    <w:rsid w:val="00D058C3"/>
    <w:rsid w:val="00D07017"/>
    <w:rsid w:val="00D07FAD"/>
    <w:rsid w:val="00D101DD"/>
    <w:rsid w:val="00D105D5"/>
    <w:rsid w:val="00D110E8"/>
    <w:rsid w:val="00D115BD"/>
    <w:rsid w:val="00D141E8"/>
    <w:rsid w:val="00D14589"/>
    <w:rsid w:val="00D151D7"/>
    <w:rsid w:val="00D15DAD"/>
    <w:rsid w:val="00D20247"/>
    <w:rsid w:val="00D2217E"/>
    <w:rsid w:val="00D248E2"/>
    <w:rsid w:val="00D278C2"/>
    <w:rsid w:val="00D35452"/>
    <w:rsid w:val="00D35F26"/>
    <w:rsid w:val="00D36125"/>
    <w:rsid w:val="00D40A8E"/>
    <w:rsid w:val="00D42D1E"/>
    <w:rsid w:val="00D4527A"/>
    <w:rsid w:val="00D45297"/>
    <w:rsid w:val="00D453A0"/>
    <w:rsid w:val="00D510CB"/>
    <w:rsid w:val="00D53512"/>
    <w:rsid w:val="00D54C86"/>
    <w:rsid w:val="00D5553E"/>
    <w:rsid w:val="00D565D5"/>
    <w:rsid w:val="00D608E6"/>
    <w:rsid w:val="00D60C25"/>
    <w:rsid w:val="00D60DED"/>
    <w:rsid w:val="00D61B22"/>
    <w:rsid w:val="00D64900"/>
    <w:rsid w:val="00D70652"/>
    <w:rsid w:val="00D707A0"/>
    <w:rsid w:val="00D71D85"/>
    <w:rsid w:val="00D72345"/>
    <w:rsid w:val="00D75446"/>
    <w:rsid w:val="00D757E2"/>
    <w:rsid w:val="00D807ED"/>
    <w:rsid w:val="00D807F4"/>
    <w:rsid w:val="00D81195"/>
    <w:rsid w:val="00D838F9"/>
    <w:rsid w:val="00D840D9"/>
    <w:rsid w:val="00D8417C"/>
    <w:rsid w:val="00D84E69"/>
    <w:rsid w:val="00D878F3"/>
    <w:rsid w:val="00D91C92"/>
    <w:rsid w:val="00D92FA2"/>
    <w:rsid w:val="00D9337E"/>
    <w:rsid w:val="00D933FC"/>
    <w:rsid w:val="00D95EC4"/>
    <w:rsid w:val="00D9675B"/>
    <w:rsid w:val="00D975F1"/>
    <w:rsid w:val="00DA09B7"/>
    <w:rsid w:val="00DA0F0B"/>
    <w:rsid w:val="00DA158D"/>
    <w:rsid w:val="00DA3AEA"/>
    <w:rsid w:val="00DA4524"/>
    <w:rsid w:val="00DA5647"/>
    <w:rsid w:val="00DA692B"/>
    <w:rsid w:val="00DA6987"/>
    <w:rsid w:val="00DA6C80"/>
    <w:rsid w:val="00DA6D4F"/>
    <w:rsid w:val="00DB4F48"/>
    <w:rsid w:val="00DB791E"/>
    <w:rsid w:val="00DB7B26"/>
    <w:rsid w:val="00DC3128"/>
    <w:rsid w:val="00DC3D2B"/>
    <w:rsid w:val="00DD188E"/>
    <w:rsid w:val="00DD1DEA"/>
    <w:rsid w:val="00DD38AD"/>
    <w:rsid w:val="00DD565D"/>
    <w:rsid w:val="00DD7013"/>
    <w:rsid w:val="00DD7EA5"/>
    <w:rsid w:val="00DE1877"/>
    <w:rsid w:val="00DE2057"/>
    <w:rsid w:val="00DE2BEC"/>
    <w:rsid w:val="00DE359D"/>
    <w:rsid w:val="00DE46A2"/>
    <w:rsid w:val="00DE5776"/>
    <w:rsid w:val="00DE625E"/>
    <w:rsid w:val="00DE64ED"/>
    <w:rsid w:val="00DF0A04"/>
    <w:rsid w:val="00DF5409"/>
    <w:rsid w:val="00DF5537"/>
    <w:rsid w:val="00DF7FEB"/>
    <w:rsid w:val="00E031BD"/>
    <w:rsid w:val="00E0536F"/>
    <w:rsid w:val="00E07360"/>
    <w:rsid w:val="00E12648"/>
    <w:rsid w:val="00E12A41"/>
    <w:rsid w:val="00E1737F"/>
    <w:rsid w:val="00E1787E"/>
    <w:rsid w:val="00E17D4C"/>
    <w:rsid w:val="00E24DCA"/>
    <w:rsid w:val="00E33965"/>
    <w:rsid w:val="00E34AB8"/>
    <w:rsid w:val="00E36926"/>
    <w:rsid w:val="00E417B2"/>
    <w:rsid w:val="00E42C07"/>
    <w:rsid w:val="00E44418"/>
    <w:rsid w:val="00E44DC6"/>
    <w:rsid w:val="00E44F76"/>
    <w:rsid w:val="00E50D75"/>
    <w:rsid w:val="00E51E93"/>
    <w:rsid w:val="00E52840"/>
    <w:rsid w:val="00E53F87"/>
    <w:rsid w:val="00E61094"/>
    <w:rsid w:val="00E611DE"/>
    <w:rsid w:val="00E661FE"/>
    <w:rsid w:val="00E66D95"/>
    <w:rsid w:val="00E752CC"/>
    <w:rsid w:val="00E80013"/>
    <w:rsid w:val="00E83575"/>
    <w:rsid w:val="00E83708"/>
    <w:rsid w:val="00E842CE"/>
    <w:rsid w:val="00E930F4"/>
    <w:rsid w:val="00E93DAC"/>
    <w:rsid w:val="00E947A1"/>
    <w:rsid w:val="00E962E6"/>
    <w:rsid w:val="00E971F6"/>
    <w:rsid w:val="00E97D4C"/>
    <w:rsid w:val="00EA1700"/>
    <w:rsid w:val="00EA2179"/>
    <w:rsid w:val="00EA36FF"/>
    <w:rsid w:val="00EA6A52"/>
    <w:rsid w:val="00EB1B9F"/>
    <w:rsid w:val="00EB50F6"/>
    <w:rsid w:val="00EB56F4"/>
    <w:rsid w:val="00EB62B5"/>
    <w:rsid w:val="00EB6342"/>
    <w:rsid w:val="00EC13C1"/>
    <w:rsid w:val="00EC1C52"/>
    <w:rsid w:val="00EC4266"/>
    <w:rsid w:val="00EC4A9C"/>
    <w:rsid w:val="00EC66BF"/>
    <w:rsid w:val="00ED08D4"/>
    <w:rsid w:val="00ED1774"/>
    <w:rsid w:val="00ED1967"/>
    <w:rsid w:val="00ED1D04"/>
    <w:rsid w:val="00ED32AA"/>
    <w:rsid w:val="00ED3A2C"/>
    <w:rsid w:val="00ED4251"/>
    <w:rsid w:val="00ED6764"/>
    <w:rsid w:val="00ED7CDB"/>
    <w:rsid w:val="00EE069D"/>
    <w:rsid w:val="00EE1ADD"/>
    <w:rsid w:val="00EE44C7"/>
    <w:rsid w:val="00EE51D7"/>
    <w:rsid w:val="00EE5AE9"/>
    <w:rsid w:val="00EE615B"/>
    <w:rsid w:val="00EE7562"/>
    <w:rsid w:val="00EE7D66"/>
    <w:rsid w:val="00EE7D85"/>
    <w:rsid w:val="00EF001C"/>
    <w:rsid w:val="00EF18B5"/>
    <w:rsid w:val="00EF248D"/>
    <w:rsid w:val="00F00778"/>
    <w:rsid w:val="00F02C6A"/>
    <w:rsid w:val="00F046C5"/>
    <w:rsid w:val="00F060DF"/>
    <w:rsid w:val="00F12A4D"/>
    <w:rsid w:val="00F13C8E"/>
    <w:rsid w:val="00F15D83"/>
    <w:rsid w:val="00F21A9C"/>
    <w:rsid w:val="00F22442"/>
    <w:rsid w:val="00F23334"/>
    <w:rsid w:val="00F24019"/>
    <w:rsid w:val="00F27294"/>
    <w:rsid w:val="00F27B43"/>
    <w:rsid w:val="00F31640"/>
    <w:rsid w:val="00F31B5C"/>
    <w:rsid w:val="00F3226E"/>
    <w:rsid w:val="00F32330"/>
    <w:rsid w:val="00F341EC"/>
    <w:rsid w:val="00F34996"/>
    <w:rsid w:val="00F3737E"/>
    <w:rsid w:val="00F37F7A"/>
    <w:rsid w:val="00F40C0E"/>
    <w:rsid w:val="00F42A77"/>
    <w:rsid w:val="00F4531C"/>
    <w:rsid w:val="00F4650A"/>
    <w:rsid w:val="00F50204"/>
    <w:rsid w:val="00F530C5"/>
    <w:rsid w:val="00F546B2"/>
    <w:rsid w:val="00F54D61"/>
    <w:rsid w:val="00F60B2C"/>
    <w:rsid w:val="00F611A0"/>
    <w:rsid w:val="00F6168F"/>
    <w:rsid w:val="00F6232B"/>
    <w:rsid w:val="00F62B1D"/>
    <w:rsid w:val="00F64C11"/>
    <w:rsid w:val="00F65514"/>
    <w:rsid w:val="00F66152"/>
    <w:rsid w:val="00F6693C"/>
    <w:rsid w:val="00F73E9A"/>
    <w:rsid w:val="00F75061"/>
    <w:rsid w:val="00F77A87"/>
    <w:rsid w:val="00F8436F"/>
    <w:rsid w:val="00F87E8D"/>
    <w:rsid w:val="00F908B3"/>
    <w:rsid w:val="00F9115B"/>
    <w:rsid w:val="00F93AA9"/>
    <w:rsid w:val="00F95193"/>
    <w:rsid w:val="00F95C7D"/>
    <w:rsid w:val="00FA0877"/>
    <w:rsid w:val="00FA5446"/>
    <w:rsid w:val="00FB1EB7"/>
    <w:rsid w:val="00FB1FB4"/>
    <w:rsid w:val="00FB208E"/>
    <w:rsid w:val="00FB224A"/>
    <w:rsid w:val="00FB23B0"/>
    <w:rsid w:val="00FB4A2B"/>
    <w:rsid w:val="00FB4DC5"/>
    <w:rsid w:val="00FB5125"/>
    <w:rsid w:val="00FC18DB"/>
    <w:rsid w:val="00FC18E8"/>
    <w:rsid w:val="00FC1F08"/>
    <w:rsid w:val="00FC39A2"/>
    <w:rsid w:val="00FC52DA"/>
    <w:rsid w:val="00FC553F"/>
    <w:rsid w:val="00FD1CD8"/>
    <w:rsid w:val="00FD2936"/>
    <w:rsid w:val="00FD2CC8"/>
    <w:rsid w:val="00FD3B93"/>
    <w:rsid w:val="00FD47FE"/>
    <w:rsid w:val="00FD4C8F"/>
    <w:rsid w:val="00FD4EFC"/>
    <w:rsid w:val="00FD75B7"/>
    <w:rsid w:val="00FD7964"/>
    <w:rsid w:val="00FD7D80"/>
    <w:rsid w:val="00FE05A4"/>
    <w:rsid w:val="00FE0985"/>
    <w:rsid w:val="00FE151A"/>
    <w:rsid w:val="00FE238B"/>
    <w:rsid w:val="00FE2B72"/>
    <w:rsid w:val="00FE325D"/>
    <w:rsid w:val="00FE32AF"/>
    <w:rsid w:val="00FE4EF3"/>
    <w:rsid w:val="00FE6E66"/>
    <w:rsid w:val="00FE7E63"/>
    <w:rsid w:val="00FE7EE3"/>
    <w:rsid w:val="00FF11D2"/>
    <w:rsid w:val="00FF3202"/>
    <w:rsid w:val="00FF3AFA"/>
    <w:rsid w:val="00FF49C1"/>
    <w:rsid w:val="00FF4FB1"/>
    <w:rsid w:val="00FF711A"/>
    <w:rsid w:val="00FF7B30"/>
    <w:rsid w:val="00FF7EFF"/>
    <w:rsid w:val="01C854A5"/>
    <w:rsid w:val="01DE4120"/>
    <w:rsid w:val="020D6755"/>
    <w:rsid w:val="020F5A2E"/>
    <w:rsid w:val="025518D9"/>
    <w:rsid w:val="027D77E4"/>
    <w:rsid w:val="02B8446E"/>
    <w:rsid w:val="02BF3534"/>
    <w:rsid w:val="03444585"/>
    <w:rsid w:val="03644503"/>
    <w:rsid w:val="03BA004D"/>
    <w:rsid w:val="04256689"/>
    <w:rsid w:val="043336DF"/>
    <w:rsid w:val="047576BE"/>
    <w:rsid w:val="04810711"/>
    <w:rsid w:val="048F58F8"/>
    <w:rsid w:val="050C2014"/>
    <w:rsid w:val="05501E2C"/>
    <w:rsid w:val="0568729E"/>
    <w:rsid w:val="059F5D2D"/>
    <w:rsid w:val="05C86C11"/>
    <w:rsid w:val="060125C0"/>
    <w:rsid w:val="074009EF"/>
    <w:rsid w:val="07524779"/>
    <w:rsid w:val="076B18A3"/>
    <w:rsid w:val="07AA541D"/>
    <w:rsid w:val="07C753BE"/>
    <w:rsid w:val="07CC004B"/>
    <w:rsid w:val="07D61561"/>
    <w:rsid w:val="08077197"/>
    <w:rsid w:val="08554890"/>
    <w:rsid w:val="09416502"/>
    <w:rsid w:val="09454065"/>
    <w:rsid w:val="09A740CB"/>
    <w:rsid w:val="0A1575AE"/>
    <w:rsid w:val="0A2666E6"/>
    <w:rsid w:val="0A3079E2"/>
    <w:rsid w:val="0A5A1682"/>
    <w:rsid w:val="0A8D3014"/>
    <w:rsid w:val="0A922AED"/>
    <w:rsid w:val="0AE014C2"/>
    <w:rsid w:val="0B160A76"/>
    <w:rsid w:val="0B381539"/>
    <w:rsid w:val="0BB31DB8"/>
    <w:rsid w:val="0C791BD6"/>
    <w:rsid w:val="0D292E8C"/>
    <w:rsid w:val="0DC601E4"/>
    <w:rsid w:val="0E125C27"/>
    <w:rsid w:val="0E1B65D4"/>
    <w:rsid w:val="0E3E3CC5"/>
    <w:rsid w:val="0E451CEB"/>
    <w:rsid w:val="0EB50CA8"/>
    <w:rsid w:val="0F0B40F6"/>
    <w:rsid w:val="0F6D5B4E"/>
    <w:rsid w:val="0FB876D6"/>
    <w:rsid w:val="0FFD3F79"/>
    <w:rsid w:val="10293503"/>
    <w:rsid w:val="10552BAE"/>
    <w:rsid w:val="10652CFA"/>
    <w:rsid w:val="1085407B"/>
    <w:rsid w:val="10995C4D"/>
    <w:rsid w:val="10E82E2C"/>
    <w:rsid w:val="11381A12"/>
    <w:rsid w:val="11A16A45"/>
    <w:rsid w:val="11C954B8"/>
    <w:rsid w:val="123016FF"/>
    <w:rsid w:val="124F0C9E"/>
    <w:rsid w:val="125B5476"/>
    <w:rsid w:val="127076B1"/>
    <w:rsid w:val="12A602C8"/>
    <w:rsid w:val="12C854F1"/>
    <w:rsid w:val="12E30580"/>
    <w:rsid w:val="12FA03A9"/>
    <w:rsid w:val="13B26D42"/>
    <w:rsid w:val="13D45F54"/>
    <w:rsid w:val="13DE055E"/>
    <w:rsid w:val="13F102CD"/>
    <w:rsid w:val="13FE2906"/>
    <w:rsid w:val="14835FA6"/>
    <w:rsid w:val="1489113C"/>
    <w:rsid w:val="149D2596"/>
    <w:rsid w:val="14C259E7"/>
    <w:rsid w:val="14C6441B"/>
    <w:rsid w:val="151026BF"/>
    <w:rsid w:val="15890378"/>
    <w:rsid w:val="15897288"/>
    <w:rsid w:val="158D0483"/>
    <w:rsid w:val="15F474BC"/>
    <w:rsid w:val="161C0D90"/>
    <w:rsid w:val="17380495"/>
    <w:rsid w:val="179C3662"/>
    <w:rsid w:val="17FC4E98"/>
    <w:rsid w:val="18104FBC"/>
    <w:rsid w:val="181C1E50"/>
    <w:rsid w:val="183679B2"/>
    <w:rsid w:val="184A0F79"/>
    <w:rsid w:val="185C06BF"/>
    <w:rsid w:val="18963889"/>
    <w:rsid w:val="18D3402E"/>
    <w:rsid w:val="19307DDB"/>
    <w:rsid w:val="19391E16"/>
    <w:rsid w:val="19901073"/>
    <w:rsid w:val="19B84869"/>
    <w:rsid w:val="19C47B8C"/>
    <w:rsid w:val="19CA0450"/>
    <w:rsid w:val="19F95564"/>
    <w:rsid w:val="1A050EA7"/>
    <w:rsid w:val="1A0A60AA"/>
    <w:rsid w:val="1A967754"/>
    <w:rsid w:val="1AE12834"/>
    <w:rsid w:val="1AF813A6"/>
    <w:rsid w:val="1B04464E"/>
    <w:rsid w:val="1BA23620"/>
    <w:rsid w:val="1BA24EE0"/>
    <w:rsid w:val="1BC70082"/>
    <w:rsid w:val="1BEF5F0C"/>
    <w:rsid w:val="1C1E06E4"/>
    <w:rsid w:val="1C315075"/>
    <w:rsid w:val="1C3854F8"/>
    <w:rsid w:val="1C8834F1"/>
    <w:rsid w:val="1C922B11"/>
    <w:rsid w:val="1C9A30F8"/>
    <w:rsid w:val="1CB74E3A"/>
    <w:rsid w:val="1CCF70C4"/>
    <w:rsid w:val="1CF55787"/>
    <w:rsid w:val="1D16134E"/>
    <w:rsid w:val="1D5E177D"/>
    <w:rsid w:val="1D6A4B3B"/>
    <w:rsid w:val="1DD038CF"/>
    <w:rsid w:val="1E662ABE"/>
    <w:rsid w:val="1E6F540B"/>
    <w:rsid w:val="1EC46515"/>
    <w:rsid w:val="1EF917C9"/>
    <w:rsid w:val="1F3403A3"/>
    <w:rsid w:val="1F7F7E19"/>
    <w:rsid w:val="1FF803B1"/>
    <w:rsid w:val="20733E65"/>
    <w:rsid w:val="207D3B6B"/>
    <w:rsid w:val="208C57BD"/>
    <w:rsid w:val="20BE027A"/>
    <w:rsid w:val="211D7D13"/>
    <w:rsid w:val="21FE2E7E"/>
    <w:rsid w:val="22105521"/>
    <w:rsid w:val="22941B08"/>
    <w:rsid w:val="22A81989"/>
    <w:rsid w:val="23603619"/>
    <w:rsid w:val="238F2ACC"/>
    <w:rsid w:val="23F502BC"/>
    <w:rsid w:val="23F6696E"/>
    <w:rsid w:val="241762B7"/>
    <w:rsid w:val="24727D0E"/>
    <w:rsid w:val="248B0175"/>
    <w:rsid w:val="258359CC"/>
    <w:rsid w:val="258C5545"/>
    <w:rsid w:val="259F2ED8"/>
    <w:rsid w:val="25A2481E"/>
    <w:rsid w:val="25C341D9"/>
    <w:rsid w:val="25CC4866"/>
    <w:rsid w:val="25EA144E"/>
    <w:rsid w:val="261407A2"/>
    <w:rsid w:val="26EB7CEF"/>
    <w:rsid w:val="2705555E"/>
    <w:rsid w:val="27070615"/>
    <w:rsid w:val="27660D7A"/>
    <w:rsid w:val="28236AFA"/>
    <w:rsid w:val="28243AD4"/>
    <w:rsid w:val="285F68BA"/>
    <w:rsid w:val="288A6488"/>
    <w:rsid w:val="28947075"/>
    <w:rsid w:val="28C35DA8"/>
    <w:rsid w:val="28DF619E"/>
    <w:rsid w:val="29623707"/>
    <w:rsid w:val="2975753D"/>
    <w:rsid w:val="29B30AFA"/>
    <w:rsid w:val="29F45EE6"/>
    <w:rsid w:val="2A0D1A7B"/>
    <w:rsid w:val="2A1F4553"/>
    <w:rsid w:val="2A2F792E"/>
    <w:rsid w:val="2A786116"/>
    <w:rsid w:val="2A9B2A11"/>
    <w:rsid w:val="2AB45D93"/>
    <w:rsid w:val="2B177B7E"/>
    <w:rsid w:val="2BA37F57"/>
    <w:rsid w:val="2BD669CE"/>
    <w:rsid w:val="2C226D05"/>
    <w:rsid w:val="2C250666"/>
    <w:rsid w:val="2C395296"/>
    <w:rsid w:val="2C612D04"/>
    <w:rsid w:val="2C7B072E"/>
    <w:rsid w:val="2C8D6F70"/>
    <w:rsid w:val="2CAC6AAF"/>
    <w:rsid w:val="2D504550"/>
    <w:rsid w:val="2D6D649D"/>
    <w:rsid w:val="2D870CB3"/>
    <w:rsid w:val="2DB751F1"/>
    <w:rsid w:val="2DC76B45"/>
    <w:rsid w:val="2DEB3115"/>
    <w:rsid w:val="2DF3559B"/>
    <w:rsid w:val="2E2323D2"/>
    <w:rsid w:val="2F004159"/>
    <w:rsid w:val="2F0B0DFE"/>
    <w:rsid w:val="2F2B5336"/>
    <w:rsid w:val="2F355E03"/>
    <w:rsid w:val="2F5F5021"/>
    <w:rsid w:val="2FB860D1"/>
    <w:rsid w:val="2FBF28ED"/>
    <w:rsid w:val="2FDF15B3"/>
    <w:rsid w:val="30490E4E"/>
    <w:rsid w:val="304E52F9"/>
    <w:rsid w:val="307E57A9"/>
    <w:rsid w:val="30B856CA"/>
    <w:rsid w:val="30E47FC6"/>
    <w:rsid w:val="30E923D7"/>
    <w:rsid w:val="31221964"/>
    <w:rsid w:val="312D648A"/>
    <w:rsid w:val="31401D64"/>
    <w:rsid w:val="318409C1"/>
    <w:rsid w:val="31BF5791"/>
    <w:rsid w:val="31F63D69"/>
    <w:rsid w:val="322F2243"/>
    <w:rsid w:val="322F60DB"/>
    <w:rsid w:val="324B2FA6"/>
    <w:rsid w:val="3255259F"/>
    <w:rsid w:val="32F0309F"/>
    <w:rsid w:val="32F15C70"/>
    <w:rsid w:val="33247E57"/>
    <w:rsid w:val="332F75BC"/>
    <w:rsid w:val="3364735F"/>
    <w:rsid w:val="33A3683E"/>
    <w:rsid w:val="33BD1E12"/>
    <w:rsid w:val="34254A15"/>
    <w:rsid w:val="34272865"/>
    <w:rsid w:val="3427648D"/>
    <w:rsid w:val="343263C4"/>
    <w:rsid w:val="346B68E5"/>
    <w:rsid w:val="34A34E15"/>
    <w:rsid w:val="34CF5BC1"/>
    <w:rsid w:val="34FA0097"/>
    <w:rsid w:val="35170CF1"/>
    <w:rsid w:val="352978C7"/>
    <w:rsid w:val="353A419E"/>
    <w:rsid w:val="356A1BA8"/>
    <w:rsid w:val="35AC140C"/>
    <w:rsid w:val="362F7155"/>
    <w:rsid w:val="36885316"/>
    <w:rsid w:val="37013067"/>
    <w:rsid w:val="376D0FBB"/>
    <w:rsid w:val="37791207"/>
    <w:rsid w:val="37A925F3"/>
    <w:rsid w:val="37BD455A"/>
    <w:rsid w:val="37F51845"/>
    <w:rsid w:val="383C6637"/>
    <w:rsid w:val="38CE0D59"/>
    <w:rsid w:val="391C319E"/>
    <w:rsid w:val="39856839"/>
    <w:rsid w:val="3A1420B6"/>
    <w:rsid w:val="3A261A1C"/>
    <w:rsid w:val="3AE72072"/>
    <w:rsid w:val="3B325325"/>
    <w:rsid w:val="3B566C74"/>
    <w:rsid w:val="3B6F6790"/>
    <w:rsid w:val="3B752ECA"/>
    <w:rsid w:val="3B876FC8"/>
    <w:rsid w:val="3B92433E"/>
    <w:rsid w:val="3B935854"/>
    <w:rsid w:val="3BC92C85"/>
    <w:rsid w:val="3BE85B8C"/>
    <w:rsid w:val="3BE95BE9"/>
    <w:rsid w:val="3C666152"/>
    <w:rsid w:val="3CBF5095"/>
    <w:rsid w:val="3CCA7B09"/>
    <w:rsid w:val="3D9B3A77"/>
    <w:rsid w:val="3DF11B9A"/>
    <w:rsid w:val="3E3E59A1"/>
    <w:rsid w:val="3E6D748E"/>
    <w:rsid w:val="3E7A4E41"/>
    <w:rsid w:val="3EF360E4"/>
    <w:rsid w:val="3F0D1DF6"/>
    <w:rsid w:val="3F2B0C2C"/>
    <w:rsid w:val="3FA35599"/>
    <w:rsid w:val="3FAA0936"/>
    <w:rsid w:val="40053F18"/>
    <w:rsid w:val="40454ED4"/>
    <w:rsid w:val="4138081D"/>
    <w:rsid w:val="418B6E7D"/>
    <w:rsid w:val="41D9432D"/>
    <w:rsid w:val="41F4558C"/>
    <w:rsid w:val="42251207"/>
    <w:rsid w:val="42B06DBB"/>
    <w:rsid w:val="433D1A86"/>
    <w:rsid w:val="433D563D"/>
    <w:rsid w:val="437B6A1D"/>
    <w:rsid w:val="43951B11"/>
    <w:rsid w:val="439E7AD9"/>
    <w:rsid w:val="44415F35"/>
    <w:rsid w:val="44482F6E"/>
    <w:rsid w:val="44AE49FA"/>
    <w:rsid w:val="44B05457"/>
    <w:rsid w:val="457445E5"/>
    <w:rsid w:val="45921F42"/>
    <w:rsid w:val="45E22746"/>
    <w:rsid w:val="46003F39"/>
    <w:rsid w:val="461E2F55"/>
    <w:rsid w:val="46426F35"/>
    <w:rsid w:val="46634015"/>
    <w:rsid w:val="467D47BF"/>
    <w:rsid w:val="46834A9C"/>
    <w:rsid w:val="46963AB9"/>
    <w:rsid w:val="46CD2B24"/>
    <w:rsid w:val="472A2A79"/>
    <w:rsid w:val="47403344"/>
    <w:rsid w:val="47DE0D7A"/>
    <w:rsid w:val="47EF4B5B"/>
    <w:rsid w:val="4841528D"/>
    <w:rsid w:val="4874395E"/>
    <w:rsid w:val="48936A18"/>
    <w:rsid w:val="48CC5F83"/>
    <w:rsid w:val="48E84A03"/>
    <w:rsid w:val="49007695"/>
    <w:rsid w:val="49242744"/>
    <w:rsid w:val="496A2D77"/>
    <w:rsid w:val="497F49DC"/>
    <w:rsid w:val="49E947D9"/>
    <w:rsid w:val="4A8365CE"/>
    <w:rsid w:val="4ABF4968"/>
    <w:rsid w:val="4B072A05"/>
    <w:rsid w:val="4B2A05E1"/>
    <w:rsid w:val="4B552101"/>
    <w:rsid w:val="4B722F91"/>
    <w:rsid w:val="4B9707D8"/>
    <w:rsid w:val="4BA37B62"/>
    <w:rsid w:val="4BB75225"/>
    <w:rsid w:val="4C001FDF"/>
    <w:rsid w:val="4CD57A05"/>
    <w:rsid w:val="4D550A35"/>
    <w:rsid w:val="4D7348E0"/>
    <w:rsid w:val="4D966104"/>
    <w:rsid w:val="4DDA12BB"/>
    <w:rsid w:val="4DDC0BC5"/>
    <w:rsid w:val="4E3D2AB2"/>
    <w:rsid w:val="4E913935"/>
    <w:rsid w:val="4F44266F"/>
    <w:rsid w:val="4F67507B"/>
    <w:rsid w:val="4F6D6BC8"/>
    <w:rsid w:val="4FAE1D52"/>
    <w:rsid w:val="4FC149AB"/>
    <w:rsid w:val="4FC61725"/>
    <w:rsid w:val="4FE237A9"/>
    <w:rsid w:val="4FF205CE"/>
    <w:rsid w:val="4FF24104"/>
    <w:rsid w:val="502F4F01"/>
    <w:rsid w:val="50450BF2"/>
    <w:rsid w:val="505E5526"/>
    <w:rsid w:val="50976552"/>
    <w:rsid w:val="510A2576"/>
    <w:rsid w:val="510F7611"/>
    <w:rsid w:val="512A095C"/>
    <w:rsid w:val="513502E6"/>
    <w:rsid w:val="51376676"/>
    <w:rsid w:val="518F1A72"/>
    <w:rsid w:val="519C1E3C"/>
    <w:rsid w:val="51E728D6"/>
    <w:rsid w:val="52143238"/>
    <w:rsid w:val="52694E91"/>
    <w:rsid w:val="52A5444E"/>
    <w:rsid w:val="52EC2ECE"/>
    <w:rsid w:val="53027E3B"/>
    <w:rsid w:val="537A3DBD"/>
    <w:rsid w:val="53847C03"/>
    <w:rsid w:val="538A2537"/>
    <w:rsid w:val="53963F2F"/>
    <w:rsid w:val="542E7F22"/>
    <w:rsid w:val="54497FE9"/>
    <w:rsid w:val="547278D1"/>
    <w:rsid w:val="55031DE7"/>
    <w:rsid w:val="550350E8"/>
    <w:rsid w:val="553C1A99"/>
    <w:rsid w:val="55496C4A"/>
    <w:rsid w:val="557A499B"/>
    <w:rsid w:val="55933B30"/>
    <w:rsid w:val="559D469A"/>
    <w:rsid w:val="5641114F"/>
    <w:rsid w:val="565405AF"/>
    <w:rsid w:val="56B92956"/>
    <w:rsid w:val="56C93C57"/>
    <w:rsid w:val="57190E48"/>
    <w:rsid w:val="573B4ACD"/>
    <w:rsid w:val="57AB74FD"/>
    <w:rsid w:val="57D95464"/>
    <w:rsid w:val="57F42500"/>
    <w:rsid w:val="58636949"/>
    <w:rsid w:val="58807657"/>
    <w:rsid w:val="58CC541D"/>
    <w:rsid w:val="58CF07BE"/>
    <w:rsid w:val="59733370"/>
    <w:rsid w:val="59964BEA"/>
    <w:rsid w:val="59E03365"/>
    <w:rsid w:val="5A4777D0"/>
    <w:rsid w:val="5A5960B0"/>
    <w:rsid w:val="5AC14A57"/>
    <w:rsid w:val="5ACD2313"/>
    <w:rsid w:val="5B1647AC"/>
    <w:rsid w:val="5B4B7534"/>
    <w:rsid w:val="5B6E7664"/>
    <w:rsid w:val="5B6F3FE4"/>
    <w:rsid w:val="5B746998"/>
    <w:rsid w:val="5B8B50E3"/>
    <w:rsid w:val="5BBF0533"/>
    <w:rsid w:val="5C1F3BBD"/>
    <w:rsid w:val="5C680ABC"/>
    <w:rsid w:val="5C8811C7"/>
    <w:rsid w:val="5CE16408"/>
    <w:rsid w:val="5D635691"/>
    <w:rsid w:val="5DF919A8"/>
    <w:rsid w:val="5E227734"/>
    <w:rsid w:val="5E24514B"/>
    <w:rsid w:val="5E3E1A7B"/>
    <w:rsid w:val="5E751DA2"/>
    <w:rsid w:val="5E904BF6"/>
    <w:rsid w:val="5EB962FE"/>
    <w:rsid w:val="5ECC03E5"/>
    <w:rsid w:val="5F061262"/>
    <w:rsid w:val="5F411109"/>
    <w:rsid w:val="5F7B06E4"/>
    <w:rsid w:val="60094239"/>
    <w:rsid w:val="601C2DED"/>
    <w:rsid w:val="604D7062"/>
    <w:rsid w:val="60C55207"/>
    <w:rsid w:val="60C74646"/>
    <w:rsid w:val="61013810"/>
    <w:rsid w:val="610C731E"/>
    <w:rsid w:val="61651BD7"/>
    <w:rsid w:val="616A35EC"/>
    <w:rsid w:val="61776447"/>
    <w:rsid w:val="61935A48"/>
    <w:rsid w:val="620A697F"/>
    <w:rsid w:val="625F72B5"/>
    <w:rsid w:val="62A80F69"/>
    <w:rsid w:val="62F4282C"/>
    <w:rsid w:val="63AF727A"/>
    <w:rsid w:val="63FF6C51"/>
    <w:rsid w:val="64A2304D"/>
    <w:rsid w:val="64E22023"/>
    <w:rsid w:val="64E63360"/>
    <w:rsid w:val="64EA7131"/>
    <w:rsid w:val="64F31244"/>
    <w:rsid w:val="65A97923"/>
    <w:rsid w:val="65BC7449"/>
    <w:rsid w:val="65CC666D"/>
    <w:rsid w:val="65E94473"/>
    <w:rsid w:val="66713BE3"/>
    <w:rsid w:val="66F17ADE"/>
    <w:rsid w:val="66FA3972"/>
    <w:rsid w:val="670C627A"/>
    <w:rsid w:val="67332E10"/>
    <w:rsid w:val="674A0CD4"/>
    <w:rsid w:val="675F7978"/>
    <w:rsid w:val="677173CC"/>
    <w:rsid w:val="67972958"/>
    <w:rsid w:val="67B114FB"/>
    <w:rsid w:val="67B65BE4"/>
    <w:rsid w:val="68165AE8"/>
    <w:rsid w:val="68DA0966"/>
    <w:rsid w:val="69430276"/>
    <w:rsid w:val="696C1788"/>
    <w:rsid w:val="69C7016A"/>
    <w:rsid w:val="6A53739E"/>
    <w:rsid w:val="6A9471D9"/>
    <w:rsid w:val="6A9A5C09"/>
    <w:rsid w:val="6AB53EE0"/>
    <w:rsid w:val="6ABE1083"/>
    <w:rsid w:val="6AC16C52"/>
    <w:rsid w:val="6B0F396C"/>
    <w:rsid w:val="6B47606F"/>
    <w:rsid w:val="6B4A015F"/>
    <w:rsid w:val="6B5145F2"/>
    <w:rsid w:val="6BE660EB"/>
    <w:rsid w:val="6BE875EF"/>
    <w:rsid w:val="6C071D85"/>
    <w:rsid w:val="6C1561EF"/>
    <w:rsid w:val="6C240FFD"/>
    <w:rsid w:val="6C33252E"/>
    <w:rsid w:val="6C6E0F77"/>
    <w:rsid w:val="6C8B4516"/>
    <w:rsid w:val="6D080EE3"/>
    <w:rsid w:val="6D390664"/>
    <w:rsid w:val="6E0C7925"/>
    <w:rsid w:val="6E1C6ACE"/>
    <w:rsid w:val="6E2B4ADD"/>
    <w:rsid w:val="6E453F30"/>
    <w:rsid w:val="6EB05630"/>
    <w:rsid w:val="6EC051B8"/>
    <w:rsid w:val="6EED3624"/>
    <w:rsid w:val="6F1977DB"/>
    <w:rsid w:val="6FEF21B0"/>
    <w:rsid w:val="70054344"/>
    <w:rsid w:val="7005602F"/>
    <w:rsid w:val="701B239C"/>
    <w:rsid w:val="702E52C6"/>
    <w:rsid w:val="705F4E7D"/>
    <w:rsid w:val="70A00DEB"/>
    <w:rsid w:val="70C90342"/>
    <w:rsid w:val="712B73E4"/>
    <w:rsid w:val="71476240"/>
    <w:rsid w:val="71A339C3"/>
    <w:rsid w:val="71D155C4"/>
    <w:rsid w:val="723A1F04"/>
    <w:rsid w:val="729216B1"/>
    <w:rsid w:val="72AB7FE2"/>
    <w:rsid w:val="72E6261C"/>
    <w:rsid w:val="735805B7"/>
    <w:rsid w:val="735F2AA9"/>
    <w:rsid w:val="736C7381"/>
    <w:rsid w:val="738B2759"/>
    <w:rsid w:val="73FB1F86"/>
    <w:rsid w:val="740F0269"/>
    <w:rsid w:val="743B1556"/>
    <w:rsid w:val="751B4C79"/>
    <w:rsid w:val="75295853"/>
    <w:rsid w:val="753F5BCE"/>
    <w:rsid w:val="75670F92"/>
    <w:rsid w:val="75A9693E"/>
    <w:rsid w:val="75AF4E0D"/>
    <w:rsid w:val="75DB0129"/>
    <w:rsid w:val="75E97235"/>
    <w:rsid w:val="75E97D61"/>
    <w:rsid w:val="75EF3883"/>
    <w:rsid w:val="75F2446F"/>
    <w:rsid w:val="75F81AFD"/>
    <w:rsid w:val="765B1253"/>
    <w:rsid w:val="76807F41"/>
    <w:rsid w:val="769B452E"/>
    <w:rsid w:val="769E0365"/>
    <w:rsid w:val="77130569"/>
    <w:rsid w:val="776C101A"/>
    <w:rsid w:val="7794569F"/>
    <w:rsid w:val="77AC2836"/>
    <w:rsid w:val="783E7819"/>
    <w:rsid w:val="78856C47"/>
    <w:rsid w:val="78E14780"/>
    <w:rsid w:val="799E6FD3"/>
    <w:rsid w:val="7A034501"/>
    <w:rsid w:val="7A1268B5"/>
    <w:rsid w:val="7A161CA8"/>
    <w:rsid w:val="7A531010"/>
    <w:rsid w:val="7A9360A0"/>
    <w:rsid w:val="7AB93F2C"/>
    <w:rsid w:val="7B026735"/>
    <w:rsid w:val="7B0B4E22"/>
    <w:rsid w:val="7B4D7927"/>
    <w:rsid w:val="7B7E0DEE"/>
    <w:rsid w:val="7B9C2B6E"/>
    <w:rsid w:val="7BAD3AD3"/>
    <w:rsid w:val="7BB01E77"/>
    <w:rsid w:val="7BC56929"/>
    <w:rsid w:val="7C6F6241"/>
    <w:rsid w:val="7CE30711"/>
    <w:rsid w:val="7CF765FA"/>
    <w:rsid w:val="7D7B1D80"/>
    <w:rsid w:val="7DE852ED"/>
    <w:rsid w:val="7E397596"/>
    <w:rsid w:val="7E710910"/>
    <w:rsid w:val="7F2E4E1F"/>
    <w:rsid w:val="7F3374C3"/>
    <w:rsid w:val="7F5151EE"/>
    <w:rsid w:val="7F727557"/>
    <w:rsid w:val="7F9C32FE"/>
    <w:rsid w:val="FF7F874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spacing w:before="260" w:after="260" w:line="416" w:lineRule="auto"/>
      <w:outlineLvl w:val="2"/>
    </w:pPr>
    <w:rPr>
      <w:b/>
      <w:bCs/>
      <w:sz w:val="32"/>
      <w:szCs w:val="32"/>
    </w:rPr>
  </w:style>
  <w:style w:type="paragraph" w:styleId="6">
    <w:name w:val="heading 4"/>
    <w:basedOn w:val="1"/>
    <w:next w:val="7"/>
    <w:link w:val="55"/>
    <w:qFormat/>
    <w:uiPriority w:val="0"/>
    <w:pPr>
      <w:pBdr>
        <w:bottom w:val="single" w:color="B8CCE4" w:sz="4" w:space="2"/>
      </w:pBdr>
      <w:spacing w:before="200" w:after="80"/>
      <w:outlineLvl w:val="3"/>
    </w:pPr>
    <w:rPr>
      <w:rFonts w:ascii="Cambria" w:hAnsi="Cambria" w:cs="宋体"/>
      <w:i/>
      <w:iCs/>
      <w:color w:val="4F81BD"/>
      <w:sz w:val="24"/>
    </w:rPr>
  </w:style>
  <w:style w:type="paragraph" w:styleId="8">
    <w:name w:val="heading 5"/>
    <w:basedOn w:val="1"/>
    <w:next w:val="1"/>
    <w:link w:val="56"/>
    <w:qFormat/>
    <w:uiPriority w:val="0"/>
    <w:pPr>
      <w:spacing w:before="200" w:after="80"/>
      <w:outlineLvl w:val="4"/>
    </w:pPr>
    <w:rPr>
      <w:rFonts w:ascii="Cambria" w:hAnsi="Cambria" w:cs="宋体"/>
      <w:color w:val="4F81BD"/>
      <w:sz w:val="21"/>
    </w:rPr>
  </w:style>
  <w:style w:type="paragraph" w:styleId="9">
    <w:name w:val="heading 6"/>
    <w:basedOn w:val="1"/>
    <w:next w:val="1"/>
    <w:link w:val="57"/>
    <w:qFormat/>
    <w:uiPriority w:val="0"/>
    <w:pPr>
      <w:spacing w:before="280" w:after="100"/>
      <w:outlineLvl w:val="5"/>
    </w:pPr>
    <w:rPr>
      <w:rFonts w:ascii="Cambria" w:hAnsi="Cambria" w:cs="宋体"/>
      <w:i/>
      <w:iCs/>
      <w:color w:val="4F81BD"/>
      <w:sz w:val="21"/>
    </w:rPr>
  </w:style>
  <w:style w:type="paragraph" w:styleId="10">
    <w:name w:val="heading 7"/>
    <w:basedOn w:val="1"/>
    <w:next w:val="1"/>
    <w:link w:val="58"/>
    <w:qFormat/>
    <w:uiPriority w:val="0"/>
    <w:pPr>
      <w:spacing w:before="320" w:after="100"/>
      <w:outlineLvl w:val="6"/>
    </w:pPr>
    <w:rPr>
      <w:rFonts w:ascii="Cambria" w:hAnsi="Cambria"/>
      <w:b/>
      <w:bCs/>
      <w:color w:val="9BBB59"/>
      <w:sz w:val="21"/>
    </w:rPr>
  </w:style>
  <w:style w:type="paragraph" w:styleId="11">
    <w:name w:val="heading 8"/>
    <w:basedOn w:val="1"/>
    <w:next w:val="1"/>
    <w:link w:val="59"/>
    <w:qFormat/>
    <w:uiPriority w:val="0"/>
    <w:pPr>
      <w:spacing w:before="320" w:after="100"/>
      <w:outlineLvl w:val="7"/>
    </w:pPr>
    <w:rPr>
      <w:rFonts w:ascii="Cambria" w:hAnsi="Cambria"/>
      <w:b/>
      <w:bCs/>
      <w:i/>
      <w:iCs/>
      <w:color w:val="9BBB59"/>
      <w:sz w:val="21"/>
    </w:rPr>
  </w:style>
  <w:style w:type="paragraph" w:styleId="12">
    <w:name w:val="heading 9"/>
    <w:basedOn w:val="1"/>
    <w:next w:val="1"/>
    <w:link w:val="60"/>
    <w:qFormat/>
    <w:uiPriority w:val="0"/>
    <w:pPr>
      <w:spacing w:before="320" w:after="100"/>
      <w:outlineLvl w:val="8"/>
    </w:pPr>
    <w:rPr>
      <w:rFonts w:ascii="Cambria" w:hAnsi="Cambria"/>
      <w:i/>
      <w:iCs/>
      <w:color w:val="9BBB59"/>
      <w:sz w:val="21"/>
    </w:rPr>
  </w:style>
  <w:style w:type="character" w:default="1" w:styleId="45">
    <w:name w:val="Default Paragraph Font"/>
    <w:semiHidden/>
    <w:qFormat/>
    <w:uiPriority w:val="0"/>
  </w:style>
  <w:style w:type="table" w:default="1" w:styleId="43">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0"/>
    <w:pPr>
      <w:spacing w:after="120" w:line="240" w:lineRule="auto"/>
      <w:ind w:firstLine="420" w:firstLineChars="100"/>
    </w:pPr>
    <w:rPr>
      <w:sz w:val="28"/>
    </w:rPr>
  </w:style>
  <w:style w:type="paragraph" w:customStyle="1" w:styleId="7">
    <w:name w:val="正文首缩两字"/>
    <w:qFormat/>
    <w:uiPriority w:val="0"/>
    <w:pPr>
      <w:widowControl w:val="0"/>
      <w:spacing w:afterLines="30" w:line="360" w:lineRule="auto"/>
      <w:ind w:left="210" w:right="210" w:firstLine="480" w:firstLineChars="200"/>
    </w:pPr>
    <w:rPr>
      <w:rFonts w:ascii="宋体" w:hAnsi="宋体" w:eastAsia="仿宋_GB2312" w:cs="Times New Roman"/>
      <w:sz w:val="24"/>
      <w:szCs w:val="24"/>
      <w:lang w:val="en-US" w:eastAsia="zh-CN" w:bidi="ar-SA"/>
    </w:rPr>
  </w:style>
  <w:style w:type="paragraph" w:styleId="13">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4">
    <w:name w:val="Normal Indent"/>
    <w:basedOn w:val="1"/>
    <w:next w:val="1"/>
    <w:link w:val="61"/>
    <w:qFormat/>
    <w:uiPriority w:val="0"/>
    <w:pPr>
      <w:ind w:firstLine="420"/>
    </w:pPr>
    <w:rPr>
      <w:sz w:val="21"/>
      <w:szCs w:val="20"/>
    </w:rPr>
  </w:style>
  <w:style w:type="paragraph" w:styleId="15">
    <w:name w:val="caption"/>
    <w:basedOn w:val="1"/>
    <w:next w:val="1"/>
    <w:link w:val="62"/>
    <w:qFormat/>
    <w:uiPriority w:val="0"/>
    <w:pPr>
      <w:adjustRightInd w:val="0"/>
      <w:snapToGrid w:val="0"/>
      <w:spacing w:line="360" w:lineRule="auto"/>
      <w:ind w:firstLine="200" w:firstLineChars="200"/>
    </w:pPr>
    <w:rPr>
      <w:rFonts w:ascii="Arial" w:hAnsi="Arial" w:eastAsia="黑体"/>
      <w:sz w:val="20"/>
      <w:szCs w:val="20"/>
    </w:rPr>
  </w:style>
  <w:style w:type="paragraph" w:styleId="16">
    <w:name w:val="Document Map"/>
    <w:basedOn w:val="1"/>
    <w:link w:val="63"/>
    <w:qFormat/>
    <w:uiPriority w:val="0"/>
    <w:pPr>
      <w:shd w:val="clear" w:color="auto" w:fill="000080"/>
    </w:pPr>
    <w:rPr>
      <w:rFonts w:ascii="宋体" w:hAnsi="宋体"/>
      <w:sz w:val="21"/>
    </w:rPr>
  </w:style>
  <w:style w:type="paragraph" w:styleId="17">
    <w:name w:val="annotation text"/>
    <w:basedOn w:val="1"/>
    <w:link w:val="64"/>
    <w:semiHidden/>
    <w:qFormat/>
    <w:uiPriority w:val="0"/>
    <w:pPr>
      <w:jc w:val="left"/>
    </w:pPr>
  </w:style>
  <w:style w:type="paragraph" w:styleId="18">
    <w:name w:val="List Bullet 3"/>
    <w:basedOn w:val="1"/>
    <w:qFormat/>
    <w:uiPriority w:val="0"/>
    <w:pPr>
      <w:tabs>
        <w:tab w:val="left" w:pos="360"/>
        <w:tab w:val="left" w:pos="1200"/>
      </w:tabs>
      <w:ind w:left="360" w:hanging="360"/>
    </w:pPr>
    <w:rPr>
      <w:sz w:val="21"/>
      <w:szCs w:val="20"/>
    </w:rPr>
  </w:style>
  <w:style w:type="paragraph" w:styleId="19">
    <w:name w:val="Body Text"/>
    <w:basedOn w:val="1"/>
    <w:next w:val="2"/>
    <w:link w:val="51"/>
    <w:qFormat/>
    <w:uiPriority w:val="0"/>
    <w:pPr>
      <w:spacing w:after="120"/>
    </w:pPr>
    <w:rPr>
      <w:rFonts w:ascii="宋体" w:hAnsi="宋体"/>
    </w:rPr>
  </w:style>
  <w:style w:type="paragraph" w:styleId="20">
    <w:name w:val="Body Text Indent"/>
    <w:basedOn w:val="1"/>
    <w:link w:val="65"/>
    <w:qFormat/>
    <w:uiPriority w:val="0"/>
    <w:pPr>
      <w:widowControl/>
      <w:tabs>
        <w:tab w:val="left" w:pos="0"/>
        <w:tab w:val="left" w:pos="993"/>
        <w:tab w:val="left" w:pos="1134"/>
      </w:tabs>
      <w:spacing w:line="500" w:lineRule="exact"/>
      <w:ind w:firstLine="567"/>
    </w:pPr>
    <w:rPr>
      <w:rFonts w:ascii="宋体"/>
      <w:kern w:val="0"/>
      <w:szCs w:val="20"/>
    </w:rPr>
  </w:style>
  <w:style w:type="paragraph" w:styleId="21">
    <w:name w:val="List Number 3"/>
    <w:basedOn w:val="1"/>
    <w:qFormat/>
    <w:uiPriority w:val="0"/>
    <w:pPr>
      <w:tabs>
        <w:tab w:val="left" w:pos="1200"/>
        <w:tab w:val="left" w:pos="1260"/>
      </w:tabs>
      <w:ind w:hanging="720"/>
    </w:pPr>
    <w:rPr>
      <w:sz w:val="21"/>
    </w:rPr>
  </w:style>
  <w:style w:type="paragraph" w:styleId="22">
    <w:name w:val="List 2"/>
    <w:basedOn w:val="1"/>
    <w:qFormat/>
    <w:uiPriority w:val="0"/>
    <w:pPr>
      <w:ind w:left="100" w:leftChars="200" w:hanging="200" w:hangingChars="200"/>
    </w:p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3"/>
    <w:basedOn w:val="1"/>
    <w:next w:val="1"/>
    <w:qFormat/>
    <w:uiPriority w:val="0"/>
    <w:pPr>
      <w:widowControl/>
      <w:ind w:left="400" w:right="255"/>
    </w:pPr>
    <w:rPr>
      <w:kern w:val="0"/>
      <w:sz w:val="24"/>
      <w:szCs w:val="20"/>
    </w:rPr>
  </w:style>
  <w:style w:type="paragraph" w:styleId="25">
    <w:name w:val="Plain Text"/>
    <w:basedOn w:val="1"/>
    <w:link w:val="66"/>
    <w:qFormat/>
    <w:uiPriority w:val="0"/>
    <w:pPr>
      <w:adjustRightInd w:val="0"/>
      <w:snapToGrid w:val="0"/>
    </w:pPr>
    <w:rPr>
      <w:rFonts w:ascii="宋体" w:hAnsi="Courier New" w:cs="Courier New"/>
      <w:sz w:val="21"/>
      <w:szCs w:val="21"/>
    </w:rPr>
  </w:style>
  <w:style w:type="paragraph" w:styleId="26">
    <w:name w:val="toc 8"/>
    <w:basedOn w:val="1"/>
    <w:next w:val="1"/>
    <w:qFormat/>
    <w:uiPriority w:val="0"/>
    <w:pPr>
      <w:ind w:left="2940" w:leftChars="1400"/>
    </w:pPr>
  </w:style>
  <w:style w:type="paragraph" w:styleId="27">
    <w:name w:val="Date"/>
    <w:basedOn w:val="1"/>
    <w:next w:val="1"/>
    <w:link w:val="67"/>
    <w:qFormat/>
    <w:uiPriority w:val="0"/>
    <w:pPr>
      <w:ind w:leftChars="2500"/>
    </w:pPr>
    <w:rPr>
      <w:rFonts w:ascii="楷体_GB2312" w:eastAsia="楷体_GB2312"/>
      <w:sz w:val="32"/>
      <w:szCs w:val="20"/>
    </w:rPr>
  </w:style>
  <w:style w:type="paragraph" w:styleId="28">
    <w:name w:val="Body Text Indent 2"/>
    <w:basedOn w:val="1"/>
    <w:link w:val="68"/>
    <w:qFormat/>
    <w:uiPriority w:val="0"/>
    <w:pPr>
      <w:spacing w:after="120" w:line="480" w:lineRule="auto"/>
      <w:ind w:left="420" w:leftChars="200"/>
    </w:pPr>
  </w:style>
  <w:style w:type="paragraph" w:styleId="29">
    <w:name w:val="Balloon Text"/>
    <w:basedOn w:val="1"/>
    <w:link w:val="69"/>
    <w:semiHidden/>
    <w:qFormat/>
    <w:uiPriority w:val="0"/>
    <w:rPr>
      <w:sz w:val="18"/>
      <w:szCs w:val="18"/>
    </w:rPr>
  </w:style>
  <w:style w:type="paragraph" w:styleId="30">
    <w:name w:val="footer"/>
    <w:basedOn w:val="1"/>
    <w:link w:val="70"/>
    <w:qFormat/>
    <w:uiPriority w:val="99"/>
    <w:pPr>
      <w:tabs>
        <w:tab w:val="center" w:pos="4153"/>
        <w:tab w:val="right" w:pos="8306"/>
      </w:tabs>
      <w:snapToGrid w:val="0"/>
      <w:jc w:val="left"/>
    </w:pPr>
    <w:rPr>
      <w:sz w:val="18"/>
      <w:szCs w:val="18"/>
    </w:rPr>
  </w:style>
  <w:style w:type="paragraph" w:styleId="31">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32">
    <w:name w:val="Subtitle"/>
    <w:basedOn w:val="1"/>
    <w:next w:val="1"/>
    <w:link w:val="72"/>
    <w:qFormat/>
    <w:uiPriority w:val="0"/>
    <w:pPr>
      <w:spacing w:before="200" w:after="900"/>
      <w:jc w:val="right"/>
    </w:pPr>
    <w:rPr>
      <w:rFonts w:ascii="宋体" w:hAnsi="宋体"/>
      <w:i/>
      <w:iCs/>
      <w:sz w:val="24"/>
    </w:rPr>
  </w:style>
  <w:style w:type="paragraph" w:styleId="33">
    <w:name w:val="List"/>
    <w:basedOn w:val="1"/>
    <w:qFormat/>
    <w:uiPriority w:val="0"/>
    <w:pPr>
      <w:ind w:left="200" w:hanging="200" w:hangingChars="200"/>
    </w:pPr>
    <w:rPr>
      <w:sz w:val="21"/>
      <w:szCs w:val="20"/>
    </w:rPr>
  </w:style>
  <w:style w:type="paragraph" w:styleId="34">
    <w:name w:val="footnote text"/>
    <w:basedOn w:val="1"/>
    <w:qFormat/>
    <w:uiPriority w:val="0"/>
    <w:pPr>
      <w:snapToGrid w:val="0"/>
      <w:jc w:val="left"/>
    </w:pPr>
    <w:rPr>
      <w:sz w:val="18"/>
    </w:rPr>
  </w:style>
  <w:style w:type="paragraph" w:styleId="35">
    <w:name w:val="toc 6"/>
    <w:basedOn w:val="1"/>
    <w:next w:val="1"/>
    <w:qFormat/>
    <w:uiPriority w:val="0"/>
    <w:pPr>
      <w:widowControl w:val="0"/>
      <w:ind w:left="840"/>
    </w:pPr>
    <w:rPr>
      <w:rFonts w:ascii="Calibri" w:hAnsi="Calibri" w:cs="Calibri"/>
      <w:kern w:val="2"/>
      <w:sz w:val="20"/>
      <w:szCs w:val="20"/>
      <w:lang w:bidi="ar-SA"/>
    </w:rPr>
  </w:style>
  <w:style w:type="paragraph" w:styleId="36">
    <w:name w:val="Body Text Indent 3"/>
    <w:basedOn w:val="1"/>
    <w:link w:val="73"/>
    <w:qFormat/>
    <w:uiPriority w:val="0"/>
    <w:pPr>
      <w:spacing w:after="120"/>
      <w:ind w:left="420" w:leftChars="200"/>
    </w:pPr>
    <w:rPr>
      <w:sz w:val="16"/>
      <w:szCs w:val="16"/>
    </w:rPr>
  </w:style>
  <w:style w:type="paragraph" w:styleId="37">
    <w:name w:val="Body Text 2"/>
    <w:basedOn w:val="1"/>
    <w:link w:val="74"/>
    <w:qFormat/>
    <w:uiPriority w:val="0"/>
    <w:pPr>
      <w:widowControl/>
      <w:snapToGrid w:val="0"/>
      <w:spacing w:before="50" w:after="156" w:afterLines="50" w:line="400" w:lineRule="exact"/>
      <w:jc w:val="left"/>
    </w:pPr>
    <w:rPr>
      <w:sz w:val="18"/>
      <w:szCs w:val="18"/>
    </w:r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link w:val="75"/>
    <w:qFormat/>
    <w:uiPriority w:val="0"/>
    <w:pPr>
      <w:pBdr>
        <w:top w:val="single" w:color="A7BFDE" w:sz="8" w:space="10"/>
        <w:bottom w:val="single" w:color="9BBB59" w:sz="24" w:space="15"/>
      </w:pBdr>
      <w:jc w:val="center"/>
    </w:pPr>
    <w:rPr>
      <w:rFonts w:ascii="宋体" w:hAnsi="Courier New" w:cs="Courier New"/>
      <w:sz w:val="21"/>
      <w:szCs w:val="21"/>
    </w:rPr>
  </w:style>
  <w:style w:type="paragraph" w:styleId="41">
    <w:name w:val="annotation subject"/>
    <w:basedOn w:val="17"/>
    <w:next w:val="17"/>
    <w:link w:val="76"/>
    <w:semiHidden/>
    <w:qFormat/>
    <w:uiPriority w:val="0"/>
    <w:rPr>
      <w:b/>
      <w:bCs/>
    </w:rPr>
  </w:style>
  <w:style w:type="paragraph" w:styleId="42">
    <w:name w:val="Body Text First Indent 2"/>
    <w:basedOn w:val="20"/>
    <w:next w:val="1"/>
    <w:unhideWhenUsed/>
    <w:qFormat/>
    <w:uiPriority w:val="99"/>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21"/>
      <w:szCs w:val="21"/>
    </w:rPr>
  </w:style>
  <w:style w:type="character" w:customStyle="1" w:styleId="51">
    <w:name w:val="正文文本 字符"/>
    <w:link w:val="19"/>
    <w:qFormat/>
    <w:uiPriority w:val="0"/>
    <w:rPr>
      <w:rFonts w:ascii="宋体" w:hAnsi="宋体"/>
      <w:kern w:val="2"/>
      <w:sz w:val="28"/>
      <w:szCs w:val="24"/>
    </w:rPr>
  </w:style>
  <w:style w:type="character" w:customStyle="1" w:styleId="52">
    <w:name w:val="标题 1 字符"/>
    <w:link w:val="3"/>
    <w:qFormat/>
    <w:uiPriority w:val="0"/>
    <w:rPr>
      <w:rFonts w:eastAsia="宋体"/>
      <w:b/>
      <w:bCs/>
      <w:kern w:val="44"/>
      <w:sz w:val="44"/>
      <w:szCs w:val="44"/>
      <w:lang w:val="en-US" w:eastAsia="zh-CN" w:bidi="ar-SA"/>
    </w:rPr>
  </w:style>
  <w:style w:type="character" w:customStyle="1" w:styleId="53">
    <w:name w:val="标题 2 字符"/>
    <w:link w:val="4"/>
    <w:qFormat/>
    <w:uiPriority w:val="0"/>
    <w:rPr>
      <w:rFonts w:ascii="Arial" w:hAnsi="Arial" w:eastAsia="黑体"/>
      <w:b/>
      <w:bCs/>
      <w:kern w:val="2"/>
      <w:sz w:val="32"/>
      <w:szCs w:val="32"/>
      <w:lang w:val="en-US" w:eastAsia="zh-CN" w:bidi="ar-SA"/>
    </w:rPr>
  </w:style>
  <w:style w:type="character" w:customStyle="1" w:styleId="54">
    <w:name w:val="标题 3 字符"/>
    <w:link w:val="5"/>
    <w:qFormat/>
    <w:uiPriority w:val="0"/>
    <w:rPr>
      <w:rFonts w:eastAsia="宋体"/>
      <w:b/>
      <w:bCs/>
      <w:kern w:val="2"/>
      <w:sz w:val="32"/>
      <w:szCs w:val="32"/>
      <w:lang w:val="en-US" w:eastAsia="zh-CN" w:bidi="ar-SA"/>
    </w:rPr>
  </w:style>
  <w:style w:type="character" w:customStyle="1" w:styleId="55">
    <w:name w:val="标题 4 字符"/>
    <w:link w:val="6"/>
    <w:qFormat/>
    <w:uiPriority w:val="0"/>
    <w:rPr>
      <w:rFonts w:ascii="Cambria" w:hAnsi="Cambria" w:eastAsia="宋体" w:cs="宋体"/>
      <w:i/>
      <w:iCs/>
      <w:color w:val="4F81BD"/>
      <w:kern w:val="2"/>
      <w:sz w:val="24"/>
      <w:szCs w:val="24"/>
      <w:lang w:val="en-US" w:eastAsia="zh-CN" w:bidi="ar-SA"/>
    </w:rPr>
  </w:style>
  <w:style w:type="character" w:customStyle="1" w:styleId="56">
    <w:name w:val="标题 5 字符"/>
    <w:link w:val="8"/>
    <w:qFormat/>
    <w:uiPriority w:val="0"/>
    <w:rPr>
      <w:rFonts w:ascii="Cambria" w:hAnsi="Cambria" w:eastAsia="宋体" w:cs="宋体"/>
      <w:color w:val="4F81BD"/>
      <w:kern w:val="2"/>
      <w:sz w:val="21"/>
      <w:szCs w:val="24"/>
      <w:lang w:val="en-US" w:eastAsia="zh-CN" w:bidi="ar-SA"/>
    </w:rPr>
  </w:style>
  <w:style w:type="character" w:customStyle="1" w:styleId="57">
    <w:name w:val="标题 6 字符"/>
    <w:link w:val="9"/>
    <w:qFormat/>
    <w:uiPriority w:val="0"/>
    <w:rPr>
      <w:rFonts w:ascii="Cambria" w:hAnsi="Cambria" w:eastAsia="宋体" w:cs="宋体"/>
      <w:i/>
      <w:iCs/>
      <w:color w:val="4F81BD"/>
      <w:kern w:val="2"/>
      <w:sz w:val="21"/>
      <w:szCs w:val="24"/>
      <w:lang w:val="en-US" w:eastAsia="zh-CN" w:bidi="ar-SA"/>
    </w:rPr>
  </w:style>
  <w:style w:type="character" w:customStyle="1" w:styleId="58">
    <w:name w:val="标题 7 字符"/>
    <w:link w:val="10"/>
    <w:qFormat/>
    <w:uiPriority w:val="0"/>
    <w:rPr>
      <w:rFonts w:ascii="Cambria" w:hAnsi="Cambria" w:eastAsia="宋体"/>
      <w:b/>
      <w:bCs/>
      <w:color w:val="9BBB59"/>
      <w:kern w:val="2"/>
      <w:sz w:val="21"/>
      <w:szCs w:val="24"/>
      <w:lang w:val="en-US" w:eastAsia="zh-CN" w:bidi="ar-SA"/>
    </w:rPr>
  </w:style>
  <w:style w:type="character" w:customStyle="1" w:styleId="59">
    <w:name w:val="标题 8 字符"/>
    <w:link w:val="11"/>
    <w:qFormat/>
    <w:uiPriority w:val="0"/>
    <w:rPr>
      <w:rFonts w:ascii="Cambria" w:hAnsi="Cambria" w:eastAsia="宋体"/>
      <w:b/>
      <w:bCs/>
      <w:i/>
      <w:iCs/>
      <w:color w:val="9BBB59"/>
      <w:kern w:val="2"/>
      <w:sz w:val="21"/>
      <w:szCs w:val="24"/>
      <w:lang w:val="en-US" w:eastAsia="zh-CN" w:bidi="ar-SA"/>
    </w:rPr>
  </w:style>
  <w:style w:type="character" w:customStyle="1" w:styleId="60">
    <w:name w:val="标题 9 字符"/>
    <w:link w:val="12"/>
    <w:qFormat/>
    <w:uiPriority w:val="0"/>
    <w:rPr>
      <w:rFonts w:ascii="Cambria" w:hAnsi="Cambria" w:eastAsia="宋体"/>
      <w:i/>
      <w:iCs/>
      <w:color w:val="9BBB59"/>
      <w:kern w:val="2"/>
      <w:sz w:val="21"/>
      <w:szCs w:val="24"/>
      <w:lang w:val="en-US" w:eastAsia="zh-CN" w:bidi="ar-SA"/>
    </w:rPr>
  </w:style>
  <w:style w:type="character" w:customStyle="1" w:styleId="61">
    <w:name w:val="正文缩进 字符"/>
    <w:link w:val="14"/>
    <w:qFormat/>
    <w:uiPriority w:val="0"/>
    <w:rPr>
      <w:rFonts w:eastAsia="宋体"/>
      <w:kern w:val="2"/>
      <w:sz w:val="21"/>
      <w:lang w:val="en-US" w:eastAsia="zh-CN" w:bidi="ar-SA"/>
    </w:rPr>
  </w:style>
  <w:style w:type="character" w:customStyle="1" w:styleId="62">
    <w:name w:val="题注 字符"/>
    <w:link w:val="15"/>
    <w:qFormat/>
    <w:uiPriority w:val="0"/>
    <w:rPr>
      <w:rFonts w:ascii="Arial" w:hAnsi="Arial" w:eastAsia="黑体" w:cs="Arial"/>
      <w:kern w:val="2"/>
    </w:rPr>
  </w:style>
  <w:style w:type="character" w:customStyle="1" w:styleId="63">
    <w:name w:val="文档结构图 字符"/>
    <w:link w:val="16"/>
    <w:qFormat/>
    <w:uiPriority w:val="0"/>
    <w:rPr>
      <w:rFonts w:ascii="宋体" w:hAnsi="宋体" w:eastAsia="宋体"/>
      <w:kern w:val="2"/>
      <w:sz w:val="21"/>
      <w:szCs w:val="24"/>
      <w:lang w:val="en-US" w:eastAsia="zh-CN" w:bidi="ar-SA"/>
    </w:rPr>
  </w:style>
  <w:style w:type="character" w:customStyle="1" w:styleId="64">
    <w:name w:val="批注文字 字符"/>
    <w:link w:val="17"/>
    <w:qFormat/>
    <w:uiPriority w:val="0"/>
    <w:rPr>
      <w:rFonts w:eastAsia="宋体"/>
      <w:kern w:val="2"/>
      <w:sz w:val="28"/>
      <w:szCs w:val="24"/>
      <w:lang w:val="en-US" w:eastAsia="zh-CN" w:bidi="ar-SA"/>
    </w:rPr>
  </w:style>
  <w:style w:type="character" w:customStyle="1" w:styleId="65">
    <w:name w:val="正文文本缩进 字符"/>
    <w:link w:val="20"/>
    <w:qFormat/>
    <w:uiPriority w:val="0"/>
    <w:rPr>
      <w:rFonts w:ascii="宋体" w:eastAsia="宋体"/>
      <w:sz w:val="28"/>
      <w:lang w:val="en-US" w:eastAsia="zh-CN" w:bidi="ar-SA"/>
    </w:rPr>
  </w:style>
  <w:style w:type="character" w:customStyle="1" w:styleId="66">
    <w:name w:val="纯文本 字符"/>
    <w:link w:val="25"/>
    <w:qFormat/>
    <w:uiPriority w:val="0"/>
    <w:rPr>
      <w:rFonts w:ascii="宋体" w:hAnsi="Courier New" w:eastAsia="宋体" w:cs="Courier New"/>
      <w:kern w:val="2"/>
      <w:sz w:val="21"/>
      <w:szCs w:val="21"/>
      <w:lang w:val="en-US" w:eastAsia="zh-CN" w:bidi="ar-SA"/>
    </w:rPr>
  </w:style>
  <w:style w:type="character" w:customStyle="1" w:styleId="67">
    <w:name w:val="日期 字符"/>
    <w:link w:val="27"/>
    <w:qFormat/>
    <w:uiPriority w:val="0"/>
    <w:rPr>
      <w:rFonts w:ascii="楷体_GB2312" w:eastAsia="楷体_GB2312"/>
      <w:kern w:val="2"/>
      <w:sz w:val="32"/>
      <w:lang w:val="en-US" w:eastAsia="zh-CN" w:bidi="ar-SA"/>
    </w:rPr>
  </w:style>
  <w:style w:type="character" w:customStyle="1" w:styleId="68">
    <w:name w:val="正文文本缩进 2 字符"/>
    <w:link w:val="28"/>
    <w:qFormat/>
    <w:uiPriority w:val="0"/>
    <w:rPr>
      <w:rFonts w:eastAsia="宋体"/>
      <w:kern w:val="2"/>
      <w:sz w:val="28"/>
      <w:szCs w:val="24"/>
      <w:lang w:val="en-US" w:eastAsia="zh-CN" w:bidi="ar-SA"/>
    </w:rPr>
  </w:style>
  <w:style w:type="character" w:customStyle="1" w:styleId="69">
    <w:name w:val="批注框文本 字符"/>
    <w:link w:val="29"/>
    <w:qFormat/>
    <w:uiPriority w:val="0"/>
    <w:rPr>
      <w:rFonts w:eastAsia="宋体"/>
      <w:kern w:val="2"/>
      <w:sz w:val="18"/>
      <w:szCs w:val="18"/>
      <w:lang w:val="en-US" w:eastAsia="zh-CN" w:bidi="ar-SA"/>
    </w:rPr>
  </w:style>
  <w:style w:type="character" w:customStyle="1" w:styleId="70">
    <w:name w:val="页脚 字符"/>
    <w:link w:val="30"/>
    <w:qFormat/>
    <w:uiPriority w:val="99"/>
    <w:rPr>
      <w:rFonts w:eastAsia="宋体"/>
      <w:kern w:val="2"/>
      <w:sz w:val="18"/>
      <w:szCs w:val="18"/>
      <w:lang w:val="en-US" w:eastAsia="zh-CN" w:bidi="ar-SA"/>
    </w:rPr>
  </w:style>
  <w:style w:type="character" w:customStyle="1" w:styleId="71">
    <w:name w:val="页眉 字符"/>
    <w:link w:val="31"/>
    <w:qFormat/>
    <w:uiPriority w:val="99"/>
    <w:rPr>
      <w:rFonts w:eastAsia="宋体"/>
      <w:kern w:val="2"/>
      <w:sz w:val="18"/>
      <w:szCs w:val="18"/>
      <w:lang w:val="en-US" w:eastAsia="zh-CN" w:bidi="ar-SA"/>
    </w:rPr>
  </w:style>
  <w:style w:type="character" w:customStyle="1" w:styleId="72">
    <w:name w:val="副标题 字符"/>
    <w:link w:val="32"/>
    <w:qFormat/>
    <w:uiPriority w:val="0"/>
    <w:rPr>
      <w:rFonts w:ascii="宋体" w:hAnsi="宋体" w:eastAsia="宋体"/>
      <w:i/>
      <w:iCs/>
      <w:kern w:val="2"/>
      <w:sz w:val="24"/>
      <w:szCs w:val="24"/>
      <w:lang w:val="en-US" w:eastAsia="zh-CN" w:bidi="ar-SA"/>
    </w:rPr>
  </w:style>
  <w:style w:type="character" w:customStyle="1" w:styleId="73">
    <w:name w:val="正文文本缩进 3 字符"/>
    <w:link w:val="36"/>
    <w:qFormat/>
    <w:uiPriority w:val="0"/>
    <w:rPr>
      <w:rFonts w:eastAsia="宋体"/>
      <w:kern w:val="2"/>
      <w:sz w:val="16"/>
      <w:szCs w:val="16"/>
      <w:lang w:val="en-US" w:eastAsia="zh-CN" w:bidi="ar-SA"/>
    </w:rPr>
  </w:style>
  <w:style w:type="character" w:customStyle="1" w:styleId="74">
    <w:name w:val="正文文本 2 字符"/>
    <w:link w:val="37"/>
    <w:qFormat/>
    <w:uiPriority w:val="0"/>
    <w:rPr>
      <w:kern w:val="2"/>
      <w:sz w:val="18"/>
      <w:szCs w:val="18"/>
      <w:lang w:bidi="ar-SA"/>
    </w:rPr>
  </w:style>
  <w:style w:type="character" w:customStyle="1" w:styleId="75">
    <w:name w:val="标题 字符"/>
    <w:link w:val="40"/>
    <w:qFormat/>
    <w:uiPriority w:val="0"/>
    <w:rPr>
      <w:rFonts w:ascii="宋体" w:hAnsi="Courier New" w:eastAsia="宋体" w:cs="Courier New"/>
      <w:kern w:val="2"/>
      <w:sz w:val="21"/>
      <w:szCs w:val="21"/>
      <w:lang w:val="en-US" w:eastAsia="zh-CN" w:bidi="ar-SA"/>
    </w:rPr>
  </w:style>
  <w:style w:type="character" w:customStyle="1" w:styleId="76">
    <w:name w:val="批注主题 字符"/>
    <w:link w:val="41"/>
    <w:qFormat/>
    <w:uiPriority w:val="0"/>
    <w:rPr>
      <w:rFonts w:eastAsia="宋体"/>
      <w:b/>
      <w:bCs/>
      <w:kern w:val="2"/>
      <w:sz w:val="28"/>
      <w:szCs w:val="24"/>
      <w:lang w:val="en-US" w:eastAsia="zh-CN" w:bidi="ar-SA"/>
    </w:rPr>
  </w:style>
  <w:style w:type="paragraph" w:customStyle="1" w:styleId="7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8">
    <w:name w:val="密级编号"/>
    <w:basedOn w:val="1"/>
    <w:next w:val="14"/>
    <w:qFormat/>
    <w:uiPriority w:val="0"/>
    <w:pPr>
      <w:widowControl w:val="0"/>
      <w:autoSpaceDE/>
      <w:autoSpaceDN/>
      <w:spacing w:before="0" w:after="0" w:line="240" w:lineRule="auto"/>
      <w:ind w:left="0" w:firstLine="0"/>
      <w:jc w:val="center"/>
    </w:pPr>
    <w:rPr>
      <w:rFonts w:ascii="仿宋_GB2312" w:eastAsia="仿宋_GB2312"/>
      <w:sz w:val="24"/>
    </w:rPr>
  </w:style>
  <w:style w:type="paragraph" w:customStyle="1" w:styleId="79">
    <w:name w:val="表格文字"/>
    <w:basedOn w:val="1"/>
    <w:next w:val="19"/>
    <w:qFormat/>
    <w:uiPriority w:val="0"/>
    <w:pPr>
      <w:adjustRightInd w:val="0"/>
      <w:spacing w:line="420" w:lineRule="atLeast"/>
      <w:jc w:val="left"/>
      <w:textAlignment w:val="baseline"/>
    </w:pPr>
    <w:rPr>
      <w:rFonts w:ascii="Times New Roman" w:hAnsi="Times New Roman"/>
      <w:kern w:val="0"/>
    </w:rPr>
  </w:style>
  <w:style w:type="character" w:customStyle="1" w:styleId="80">
    <w:name w:val="纯文本 Char1"/>
    <w:qFormat/>
    <w:uiPriority w:val="0"/>
    <w:rPr>
      <w:rFonts w:ascii="宋体" w:hAnsi="Courier New" w:eastAsia="宋体"/>
      <w:kern w:val="2"/>
      <w:sz w:val="21"/>
      <w:lang w:val="en-US" w:eastAsia="zh-CN" w:bidi="ar-SA"/>
    </w:rPr>
  </w:style>
  <w:style w:type="character" w:customStyle="1" w:styleId="81">
    <w:name w:val="特点 Char"/>
    <w:qFormat/>
    <w:uiPriority w:val="0"/>
    <w:rPr>
      <w:rFonts w:eastAsia="宋体"/>
      <w:kern w:val="2"/>
      <w:sz w:val="21"/>
      <w:lang w:val="en-US" w:eastAsia="zh-CN" w:bidi="ar-SA"/>
    </w:rPr>
  </w:style>
  <w:style w:type="character" w:customStyle="1" w:styleId="82">
    <w:name w:val="无间隔 字符1"/>
    <w:link w:val="83"/>
    <w:qFormat/>
    <w:uiPriority w:val="0"/>
    <w:rPr>
      <w:rFonts w:ascii="宋体" w:hAnsi="宋体" w:eastAsia="宋体"/>
      <w:kern w:val="2"/>
      <w:sz w:val="21"/>
      <w:szCs w:val="24"/>
      <w:lang w:val="en-US" w:eastAsia="zh-CN" w:bidi="ar-SA"/>
    </w:rPr>
  </w:style>
  <w:style w:type="paragraph" w:styleId="83">
    <w:name w:val="No Spacing"/>
    <w:basedOn w:val="1"/>
    <w:link w:val="82"/>
    <w:qFormat/>
    <w:uiPriority w:val="0"/>
    <w:rPr>
      <w:rFonts w:ascii="宋体" w:hAnsi="宋体"/>
      <w:sz w:val="21"/>
    </w:rPr>
  </w:style>
  <w:style w:type="character" w:customStyle="1" w:styleId="84">
    <w:name w:val=" Char Char2"/>
    <w:qFormat/>
    <w:uiPriority w:val="0"/>
    <w:rPr>
      <w:rFonts w:eastAsia="宋体"/>
      <w:sz w:val="24"/>
      <w:lang w:val="en-US" w:eastAsia="zh-CN" w:bidi="ar-SA"/>
    </w:rPr>
  </w:style>
  <w:style w:type="character" w:customStyle="1" w:styleId="85">
    <w:name w:val="明显引用 字符"/>
    <w:link w:val="86"/>
    <w:qFormat/>
    <w:uiPriority w:val="0"/>
    <w:rPr>
      <w:rFonts w:ascii="Cambria" w:hAnsi="Cambria" w:eastAsia="宋体"/>
      <w:i/>
      <w:iCs/>
      <w:color w:val="FFFFFF"/>
      <w:kern w:val="2"/>
      <w:sz w:val="24"/>
      <w:szCs w:val="24"/>
      <w:lang w:val="en-US" w:eastAsia="zh-CN" w:bidi="ar-SA"/>
    </w:rPr>
  </w:style>
  <w:style w:type="paragraph" w:styleId="86">
    <w:name w:val="Intense Quote"/>
    <w:basedOn w:val="1"/>
    <w:next w:val="1"/>
    <w:link w:val="85"/>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rPr>
  </w:style>
  <w:style w:type="character" w:customStyle="1" w:styleId="87">
    <w:name w:val="apple-style-span"/>
    <w:qFormat/>
    <w:uiPriority w:val="0"/>
  </w:style>
  <w:style w:type="character" w:customStyle="1" w:styleId="88">
    <w:name w:val="ca-21"/>
    <w:qFormat/>
    <w:uiPriority w:val="0"/>
    <w:rPr>
      <w:rFonts w:hint="default" w:ascii="Times New Roman" w:hAnsi="Times New Roman" w:cs="Times New Roman"/>
      <w:color w:val="000000"/>
      <w:sz w:val="22"/>
      <w:szCs w:val="22"/>
    </w:rPr>
  </w:style>
  <w:style w:type="character" w:customStyle="1" w:styleId="89">
    <w:name w:val="h2 Char"/>
    <w:qFormat/>
    <w:uiPriority w:val="0"/>
    <w:rPr>
      <w:rFonts w:ascii="Arial" w:hAnsi="Arial" w:eastAsia="黑体"/>
      <w:b/>
      <w:bCs/>
      <w:kern w:val="2"/>
      <w:sz w:val="32"/>
      <w:szCs w:val="32"/>
      <w:lang w:val="en-US" w:eastAsia="zh-CN" w:bidi="ar-SA"/>
    </w:rPr>
  </w:style>
  <w:style w:type="character" w:customStyle="1" w:styleId="90">
    <w:name w:val="font31"/>
    <w:qFormat/>
    <w:uiPriority w:val="0"/>
    <w:rPr>
      <w:rFonts w:hint="eastAsia" w:ascii="宋体" w:hAnsi="宋体" w:eastAsia="宋体" w:cs="宋体"/>
      <w:b/>
      <w:color w:val="000000"/>
      <w:sz w:val="20"/>
      <w:szCs w:val="20"/>
      <w:u w:val="none"/>
    </w:rPr>
  </w:style>
  <w:style w:type="character" w:customStyle="1" w:styleId="91">
    <w:name w:val="引用 字符"/>
    <w:link w:val="92"/>
    <w:qFormat/>
    <w:uiPriority w:val="0"/>
    <w:rPr>
      <w:rFonts w:ascii="Cambria" w:hAnsi="Cambria" w:eastAsia="宋体"/>
      <w:i/>
      <w:iCs/>
      <w:color w:val="5A5A5A"/>
      <w:kern w:val="2"/>
      <w:sz w:val="21"/>
      <w:szCs w:val="24"/>
      <w:lang w:val="en-US" w:eastAsia="zh-CN" w:bidi="ar-SA"/>
    </w:rPr>
  </w:style>
  <w:style w:type="paragraph" w:styleId="92">
    <w:name w:val="Quote"/>
    <w:basedOn w:val="1"/>
    <w:next w:val="1"/>
    <w:link w:val="91"/>
    <w:qFormat/>
    <w:uiPriority w:val="0"/>
    <w:rPr>
      <w:rFonts w:ascii="Cambria" w:hAnsi="Cambria"/>
      <w:i/>
      <w:iCs/>
      <w:color w:val="5A5A5A"/>
      <w:sz w:val="21"/>
    </w:rPr>
  </w:style>
  <w:style w:type="character" w:customStyle="1" w:styleId="93">
    <w:name w:val="ptb181"/>
    <w:qFormat/>
    <w:uiPriority w:val="0"/>
    <w:rPr>
      <w:rFonts w:hint="default" w:ascii="Verdana" w:hAnsi="Verdana"/>
      <w:b/>
      <w:bCs/>
      <w:color w:val="000000"/>
      <w:sz w:val="26"/>
      <w:szCs w:val="26"/>
    </w:rPr>
  </w:style>
  <w:style w:type="character" w:customStyle="1" w:styleId="94">
    <w:name w:val="列表段落 字符"/>
    <w:link w:val="95"/>
    <w:qFormat/>
    <w:uiPriority w:val="0"/>
    <w:rPr>
      <w:rFonts w:ascii="Calibri" w:hAnsi="Calibri" w:eastAsia="宋体"/>
      <w:kern w:val="2"/>
      <w:sz w:val="21"/>
      <w:szCs w:val="22"/>
      <w:lang w:val="en-US" w:eastAsia="zh-CN" w:bidi="ar-SA"/>
    </w:rPr>
  </w:style>
  <w:style w:type="paragraph" w:styleId="95">
    <w:name w:val="List Paragraph"/>
    <w:basedOn w:val="1"/>
    <w:link w:val="94"/>
    <w:qFormat/>
    <w:uiPriority w:val="0"/>
    <w:pPr>
      <w:ind w:firstLine="420" w:firstLineChars="200"/>
    </w:pPr>
    <w:rPr>
      <w:rFonts w:ascii="Calibri" w:hAnsi="Calibri"/>
      <w:sz w:val="21"/>
      <w:szCs w:val="22"/>
    </w:rPr>
  </w:style>
  <w:style w:type="character" w:customStyle="1" w:styleId="96">
    <w:name w:val="ca-11"/>
    <w:qFormat/>
    <w:uiPriority w:val="0"/>
    <w:rPr>
      <w:rFonts w:hint="eastAsia" w:ascii="宋体" w:hAnsi="宋体" w:eastAsia="宋体"/>
      <w:color w:val="000000"/>
      <w:sz w:val="22"/>
      <w:szCs w:val="22"/>
    </w:rPr>
  </w:style>
  <w:style w:type="character" w:customStyle="1" w:styleId="97">
    <w:name w:val="aa1"/>
    <w:qFormat/>
    <w:uiPriority w:val="0"/>
    <w:rPr>
      <w:sz w:val="18"/>
      <w:szCs w:val="18"/>
    </w:rPr>
  </w:style>
  <w:style w:type="character" w:customStyle="1" w:styleId="98">
    <w:name w:val="ca-41"/>
    <w:qFormat/>
    <w:uiPriority w:val="0"/>
    <w:rPr>
      <w:b/>
      <w:bCs/>
      <w:color w:val="FF0000"/>
      <w:spacing w:val="-20"/>
      <w:sz w:val="24"/>
      <w:szCs w:val="24"/>
    </w:rPr>
  </w:style>
  <w:style w:type="character" w:customStyle="1" w:styleId="99">
    <w:name w:val="无间隔 字符"/>
    <w:link w:val="100"/>
    <w:qFormat/>
    <w:uiPriority w:val="1"/>
    <w:rPr>
      <w:rFonts w:ascii="等线" w:hAnsi="等线" w:eastAsia="等线"/>
      <w:sz w:val="22"/>
      <w:szCs w:val="22"/>
      <w:lang w:val="en-US" w:eastAsia="zh-CN" w:bidi="ar-SA"/>
    </w:rPr>
  </w:style>
  <w:style w:type="paragraph" w:customStyle="1" w:styleId="100">
    <w:name w:val="无间隔1"/>
    <w:link w:val="99"/>
    <w:qFormat/>
    <w:uiPriority w:val="1"/>
    <w:rPr>
      <w:rFonts w:ascii="等线" w:hAnsi="等线" w:eastAsia="等线" w:cs="Times New Roman"/>
      <w:sz w:val="22"/>
      <w:szCs w:val="22"/>
      <w:lang w:val="en-US" w:eastAsia="zh-CN" w:bidi="ar-SA"/>
    </w:rPr>
  </w:style>
  <w:style w:type="character" w:customStyle="1" w:styleId="101">
    <w:name w:val="文档正文 Char Char Char Char"/>
    <w:link w:val="102"/>
    <w:qFormat/>
    <w:uiPriority w:val="0"/>
    <w:rPr>
      <w:kern w:val="2"/>
      <w:sz w:val="21"/>
      <w:szCs w:val="21"/>
      <w:lang w:val="en-US" w:eastAsia="zh-CN" w:bidi="ar-SA"/>
    </w:rPr>
  </w:style>
  <w:style w:type="paragraph" w:customStyle="1" w:styleId="102">
    <w:name w:val="文档正文 Char Char Char"/>
    <w:link w:val="101"/>
    <w:qFormat/>
    <w:uiPriority w:val="0"/>
    <w:pPr>
      <w:adjustRightInd w:val="0"/>
      <w:snapToGrid w:val="0"/>
      <w:spacing w:line="360" w:lineRule="auto"/>
      <w:ind w:firstLine="200" w:firstLineChars="200"/>
    </w:pPr>
    <w:rPr>
      <w:rFonts w:ascii="Times New Roman" w:hAnsi="Times New Roman" w:eastAsia="宋体" w:cs="Times New Roman"/>
      <w:kern w:val="2"/>
      <w:sz w:val="21"/>
      <w:szCs w:val="21"/>
      <w:lang w:val="en-US" w:eastAsia="zh-CN" w:bidi="ar-SA"/>
    </w:rPr>
  </w:style>
  <w:style w:type="character" w:customStyle="1" w:styleId="103">
    <w:name w:val=" Char Char14"/>
    <w:qFormat/>
    <w:uiPriority w:val="0"/>
    <w:rPr>
      <w:rFonts w:eastAsia="宋体"/>
      <w:kern w:val="2"/>
      <w:sz w:val="18"/>
      <w:szCs w:val="18"/>
      <w:lang w:val="en-US" w:eastAsia="zh-CN" w:bidi="ar-SA"/>
    </w:rPr>
  </w:style>
  <w:style w:type="character" w:customStyle="1" w:styleId="104">
    <w:name w:val="font71"/>
    <w:qFormat/>
    <w:uiPriority w:val="0"/>
    <w:rPr>
      <w:rFonts w:hint="eastAsia" w:ascii="宋体" w:hAnsi="宋体" w:eastAsia="宋体" w:cs="宋体"/>
      <w:color w:val="000000"/>
      <w:sz w:val="18"/>
      <w:szCs w:val="18"/>
      <w:u w:val="none"/>
    </w:rPr>
  </w:style>
  <w:style w:type="character" w:customStyle="1" w:styleId="105">
    <w:name w:val=" Char Char13"/>
    <w:qFormat/>
    <w:uiPriority w:val="0"/>
    <w:rPr>
      <w:rFonts w:eastAsia="宋体"/>
      <w:kern w:val="2"/>
      <w:sz w:val="18"/>
      <w:szCs w:val="18"/>
      <w:lang w:val="en-US" w:eastAsia="zh-CN" w:bidi="ar-SA"/>
    </w:rPr>
  </w:style>
  <w:style w:type="character" w:customStyle="1" w:styleId="106">
    <w:name w:val="htd01"/>
    <w:qFormat/>
    <w:uiPriority w:val="0"/>
  </w:style>
  <w:style w:type="character" w:customStyle="1" w:styleId="107">
    <w:name w:val="font41"/>
    <w:qFormat/>
    <w:uiPriority w:val="0"/>
    <w:rPr>
      <w:rFonts w:hint="eastAsia" w:ascii="微软雅黑" w:hAnsi="微软雅黑" w:eastAsia="微软雅黑" w:cs="微软雅黑"/>
      <w:color w:val="000000"/>
      <w:sz w:val="20"/>
      <w:szCs w:val="20"/>
      <w:u w:val="none"/>
    </w:rPr>
  </w:style>
  <w:style w:type="character" w:customStyle="1" w:styleId="108">
    <w:name w:val="标题 Char"/>
    <w:qFormat/>
    <w:uiPriority w:val="0"/>
    <w:rPr>
      <w:rFonts w:ascii="Cambria" w:hAnsi="Cambria" w:eastAsia="宋体"/>
      <w:b/>
      <w:bCs/>
      <w:sz w:val="32"/>
      <w:szCs w:val="32"/>
      <w:lang w:bidi="ar-SA"/>
    </w:rPr>
  </w:style>
  <w:style w:type="character" w:customStyle="1" w:styleId="109">
    <w:name w:val="ca-4"/>
    <w:qFormat/>
    <w:uiPriority w:val="0"/>
  </w:style>
  <w:style w:type="character" w:customStyle="1" w:styleId="110">
    <w:name w:val="内文 Char"/>
    <w:link w:val="111"/>
    <w:qFormat/>
    <w:uiPriority w:val="0"/>
    <w:rPr>
      <w:rFonts w:ascii="Arial" w:hAnsi="Arial" w:eastAsia="Times New Roman" w:cs="Arial"/>
      <w:kern w:val="2"/>
      <w:sz w:val="21"/>
      <w:szCs w:val="22"/>
      <w:lang w:val="en-US" w:eastAsia="zh-CN" w:bidi="ar-SA"/>
    </w:rPr>
  </w:style>
  <w:style w:type="paragraph" w:customStyle="1" w:styleId="111">
    <w:name w:val="内文"/>
    <w:link w:val="110"/>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112">
    <w:name w:val="标书正文格式 Char"/>
    <w:link w:val="113"/>
    <w:qFormat/>
    <w:uiPriority w:val="0"/>
    <w:rPr>
      <w:rFonts w:eastAsia="楷体_GB2312"/>
      <w:kern w:val="2"/>
      <w:sz w:val="24"/>
      <w:szCs w:val="24"/>
      <w:lang w:val="en-US" w:eastAsia="zh-CN" w:bidi="ar-SA"/>
    </w:rPr>
  </w:style>
  <w:style w:type="paragraph" w:customStyle="1" w:styleId="113">
    <w:name w:val="标书正文格式"/>
    <w:link w:val="112"/>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114">
    <w:name w:val="ca-01"/>
    <w:qFormat/>
    <w:uiPriority w:val="0"/>
    <w:rPr>
      <w:rFonts w:hint="eastAsia" w:ascii="宋体" w:hAnsi="宋体" w:eastAsia="宋体"/>
      <w:color w:val="000000"/>
      <w:sz w:val="30"/>
      <w:szCs w:val="30"/>
    </w:rPr>
  </w:style>
  <w:style w:type="character" w:customStyle="1" w:styleId="115">
    <w:name w:val="段 Char"/>
    <w:link w:val="116"/>
    <w:qFormat/>
    <w:locked/>
    <w:uiPriority w:val="0"/>
    <w:rPr>
      <w:rFonts w:ascii="宋体" w:hAnsi="宋体" w:eastAsia="Times New Roman"/>
      <w:kern w:val="2"/>
      <w:sz w:val="21"/>
      <w:szCs w:val="22"/>
      <w:lang w:val="en-US" w:eastAsia="zh-CN" w:bidi="ar-SA"/>
    </w:rPr>
  </w:style>
  <w:style w:type="paragraph" w:customStyle="1" w:styleId="116">
    <w:name w:val="段"/>
    <w:link w:val="115"/>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character" w:customStyle="1" w:styleId="117">
    <w:name w:val="e"/>
    <w:qFormat/>
    <w:uiPriority w:val="0"/>
  </w:style>
  <w:style w:type="character" w:customStyle="1" w:styleId="118">
    <w:name w:val="ca-2"/>
    <w:qFormat/>
    <w:uiPriority w:val="0"/>
  </w:style>
  <w:style w:type="character" w:customStyle="1" w:styleId="119">
    <w:name w:val="font01"/>
    <w:qFormat/>
    <w:uiPriority w:val="0"/>
    <w:rPr>
      <w:rFonts w:hint="eastAsia" w:ascii="宋体" w:hAnsi="宋体" w:eastAsia="宋体" w:cs="宋体"/>
      <w:color w:val="000000"/>
      <w:sz w:val="20"/>
      <w:szCs w:val="20"/>
      <w:u w:val="none"/>
      <w:vertAlign w:val="superscript"/>
    </w:rPr>
  </w:style>
  <w:style w:type="character" w:customStyle="1" w:styleId="120">
    <w:name w:val="sub_title1"/>
    <w:qFormat/>
    <w:uiPriority w:val="0"/>
  </w:style>
  <w:style w:type="character" w:customStyle="1" w:styleId="121">
    <w:name w:val="font11"/>
    <w:qFormat/>
    <w:uiPriority w:val="0"/>
    <w:rPr>
      <w:rFonts w:hint="eastAsia" w:ascii="宋体" w:hAnsi="宋体" w:eastAsia="宋体" w:cs="宋体"/>
      <w:color w:val="000000"/>
      <w:sz w:val="24"/>
      <w:szCs w:val="24"/>
      <w:u w:val="none"/>
    </w:rPr>
  </w:style>
  <w:style w:type="paragraph" w:customStyle="1" w:styleId="122">
    <w:name w:val="列表段落1"/>
    <w:basedOn w:val="1"/>
    <w:qFormat/>
    <w:uiPriority w:val="0"/>
    <w:pPr>
      <w:ind w:firstLine="420" w:firstLineChars="200"/>
    </w:pPr>
    <w:rPr>
      <w:rFonts w:ascii="等线" w:hAnsi="等线" w:eastAsia="等线"/>
      <w:sz w:val="21"/>
    </w:rPr>
  </w:style>
  <w:style w:type="paragraph" w:customStyle="1" w:styleId="123">
    <w:name w:val="默认段落字体 Para Char Char Char Char Char Char Char Char Char1 Char Char Char Char"/>
    <w:basedOn w:val="1"/>
    <w:qFormat/>
    <w:uiPriority w:val="0"/>
    <w:rPr>
      <w:rFonts w:ascii="Tahoma" w:hAnsi="Tahoma"/>
      <w:sz w:val="24"/>
      <w:szCs w:val="20"/>
    </w:rPr>
  </w:style>
  <w:style w:type="paragraph" w:customStyle="1" w:styleId="124">
    <w:name w:val="表格名称"/>
    <w:basedOn w:val="15"/>
    <w:qFormat/>
    <w:uiPriority w:val="0"/>
    <w:pPr>
      <w:ind w:firstLine="0" w:firstLineChars="0"/>
      <w:jc w:val="center"/>
    </w:pPr>
    <w:rPr>
      <w:rFonts w:ascii="Times New Roman" w:hAnsi="宋体" w:eastAsia="宋体"/>
      <w:b/>
      <w:sz w:val="18"/>
      <w:szCs w:val="18"/>
    </w:rPr>
  </w:style>
  <w:style w:type="paragraph" w:customStyle="1" w:styleId="125">
    <w:name w:val="List Paragraph1"/>
    <w:basedOn w:val="1"/>
    <w:qFormat/>
    <w:uiPriority w:val="0"/>
    <w:pPr>
      <w:ind w:firstLine="420" w:firstLineChars="200"/>
    </w:pPr>
    <w:rPr>
      <w:rFonts w:ascii="Calibri" w:hAnsi="Calibri"/>
      <w:sz w:val="21"/>
      <w:szCs w:val="22"/>
    </w:rPr>
  </w:style>
  <w:style w:type="paragraph" w:customStyle="1" w:styleId="12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首行缩进"/>
    <w:basedOn w:val="1"/>
    <w:qFormat/>
    <w:uiPriority w:val="0"/>
    <w:pPr>
      <w:ind w:firstLine="480" w:firstLineChars="200"/>
    </w:pPr>
    <w:rPr>
      <w:lang w:val="zh-CN"/>
    </w:rPr>
  </w:style>
  <w:style w:type="paragraph" w:customStyle="1" w:styleId="128">
    <w:name w:val="text"/>
    <w:basedOn w:val="1"/>
    <w:qFormat/>
    <w:uiPriority w:val="0"/>
    <w:pPr>
      <w:widowControl/>
      <w:spacing w:before="100" w:beforeAutospacing="1" w:after="100" w:afterAutospacing="1"/>
      <w:jc w:val="left"/>
    </w:pPr>
    <w:rPr>
      <w:rFonts w:ascii="_x000B__x000C_" w:hAnsi="_x000B__x000C_" w:eastAsia="Arial Unicode MS" w:cs="Arial Unicode MS"/>
      <w:color w:val="000000"/>
      <w:kern w:val="0"/>
      <w:sz w:val="24"/>
    </w:rPr>
  </w:style>
  <w:style w:type="paragraph" w:customStyle="1" w:styleId="129">
    <w:name w:val=" Char Char Char Char"/>
    <w:basedOn w:val="1"/>
    <w:qFormat/>
    <w:uiPriority w:val="0"/>
    <w:rPr>
      <w:sz w:val="21"/>
    </w:rPr>
  </w:style>
  <w:style w:type="paragraph" w:customStyle="1" w:styleId="130">
    <w:name w:val="p0"/>
    <w:basedOn w:val="1"/>
    <w:qFormat/>
    <w:uiPriority w:val="0"/>
    <w:pPr>
      <w:widowControl/>
    </w:pPr>
    <w:rPr>
      <w:kern w:val="0"/>
      <w:sz w:val="21"/>
      <w:szCs w:val="21"/>
    </w:rPr>
  </w:style>
  <w:style w:type="paragraph" w:customStyle="1" w:styleId="131">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32">
    <w:name w:val="列出段落1"/>
    <w:basedOn w:val="1"/>
    <w:qFormat/>
    <w:uiPriority w:val="99"/>
    <w:pPr>
      <w:ind w:firstLine="420" w:firstLineChars="200"/>
    </w:pPr>
  </w:style>
  <w:style w:type="paragraph" w:customStyle="1" w:styleId="133">
    <w:name w:val="_Style 3"/>
    <w:basedOn w:val="1"/>
    <w:qFormat/>
    <w:uiPriority w:val="0"/>
    <w:pPr>
      <w:ind w:firstLine="420" w:firstLineChars="200"/>
    </w:pPr>
    <w:rPr>
      <w:rFonts w:ascii="Calibri" w:hAnsi="Calibri"/>
      <w:sz w:val="21"/>
      <w:szCs w:val="22"/>
    </w:rPr>
  </w:style>
  <w:style w:type="paragraph" w:customStyle="1" w:styleId="134">
    <w:name w:val="font7"/>
    <w:basedOn w:val="1"/>
    <w:qFormat/>
    <w:uiPriority w:val="0"/>
    <w:pPr>
      <w:widowControl/>
      <w:spacing w:before="100" w:beforeAutospacing="1" w:after="100" w:afterAutospacing="1"/>
      <w:jc w:val="left"/>
    </w:pPr>
    <w:rPr>
      <w:kern w:val="0"/>
      <w:sz w:val="24"/>
    </w:rPr>
  </w:style>
  <w:style w:type="paragraph" w:customStyle="1" w:styleId="135">
    <w:name w:val="正文段"/>
    <w:basedOn w:val="1"/>
    <w:qFormat/>
    <w:uiPriority w:val="0"/>
    <w:pPr>
      <w:widowControl/>
      <w:snapToGrid w:val="0"/>
      <w:spacing w:after="156" w:afterLines="50"/>
      <w:ind w:firstLine="200" w:firstLineChars="200"/>
    </w:pPr>
    <w:rPr>
      <w:kern w:val="0"/>
      <w:sz w:val="24"/>
      <w:szCs w:val="20"/>
    </w:rPr>
  </w:style>
  <w:style w:type="paragraph" w:customStyle="1" w:styleId="13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7">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paragraph" w:customStyle="1" w:styleId="138">
    <w:name w:val="样式 表格正文 + 两端对齐"/>
    <w:basedOn w:val="1"/>
    <w:qFormat/>
    <w:uiPriority w:val="0"/>
    <w:pPr>
      <w:spacing w:line="300" w:lineRule="auto"/>
    </w:pPr>
    <w:rPr>
      <w:sz w:val="24"/>
      <w:szCs w:val="20"/>
    </w:rPr>
  </w:style>
  <w:style w:type="paragraph" w:customStyle="1" w:styleId="139">
    <w:name w:val="List Paragraph2"/>
    <w:basedOn w:val="1"/>
    <w:qFormat/>
    <w:uiPriority w:val="0"/>
    <w:pPr>
      <w:ind w:firstLine="420" w:firstLineChars="200"/>
    </w:pPr>
    <w:rPr>
      <w:rFonts w:ascii="Calibri" w:hAnsi="Calibri"/>
      <w:sz w:val="21"/>
      <w:szCs w:val="22"/>
    </w:rPr>
  </w:style>
  <w:style w:type="paragraph" w:customStyle="1" w:styleId="14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2">
    <w:name w:val=" Char Char Char1"/>
    <w:basedOn w:val="1"/>
    <w:qFormat/>
    <w:uiPriority w:val="0"/>
    <w:rPr>
      <w:rFonts w:ascii="Tahoma" w:hAnsi="Tahoma"/>
      <w:sz w:val="24"/>
      <w:szCs w:val="20"/>
    </w:rPr>
  </w:style>
  <w:style w:type="paragraph" w:customStyle="1" w:styleId="143">
    <w:name w:val="Table Paragraph"/>
    <w:basedOn w:val="1"/>
    <w:qFormat/>
    <w:uiPriority w:val="99"/>
  </w:style>
  <w:style w:type="paragraph" w:customStyle="1" w:styleId="144">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 Char"/>
    <w:basedOn w:val="1"/>
    <w:qFormat/>
    <w:uiPriority w:val="0"/>
    <w:rPr>
      <w:rFonts w:ascii="仿宋_GB2312" w:eastAsia="仿宋_GB2312"/>
      <w:b/>
      <w:sz w:val="32"/>
      <w:szCs w:val="32"/>
    </w:rPr>
  </w:style>
  <w:style w:type="paragraph" w:customStyle="1" w:styleId="146">
    <w:name w:val="样式3"/>
    <w:next w:val="1"/>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47">
    <w:name w:val="正文 A"/>
    <w:qFormat/>
    <w:uiPriority w:val="99"/>
    <w:pPr>
      <w:widowControl w:val="0"/>
      <w:jc w:val="both"/>
    </w:pPr>
    <w:rPr>
      <w:rFonts w:ascii="Times New Roman" w:hAnsi="Arial Unicode MS" w:eastAsia="Times New Roman" w:cs="Arial Unicode MS"/>
      <w:color w:val="000000"/>
      <w:kern w:val="2"/>
      <w:sz w:val="21"/>
      <w:szCs w:val="21"/>
      <w:lang w:val="en-US" w:eastAsia="zh-CN" w:bidi="ar-SA"/>
    </w:rPr>
  </w:style>
  <w:style w:type="paragraph" w:customStyle="1" w:styleId="148">
    <w:name w:val=" Char Char"/>
    <w:basedOn w:val="16"/>
    <w:qFormat/>
    <w:uiPriority w:val="0"/>
    <w:rPr>
      <w:rFonts w:ascii="Times New Roman" w:hAnsi="Times New Roman"/>
      <w:sz w:val="24"/>
    </w:rPr>
  </w:style>
  <w:style w:type="character" w:customStyle="1" w:styleId="149">
    <w:name w:val="font21"/>
    <w:qFormat/>
    <w:uiPriority w:val="0"/>
    <w:rPr>
      <w:rFonts w:hint="eastAsia" w:ascii="宋体" w:hAnsi="宋体" w:eastAsia="宋体" w:cs="宋体"/>
      <w:color w:val="000000"/>
      <w:sz w:val="22"/>
      <w:szCs w:val="22"/>
      <w:u w:val="none"/>
    </w:rPr>
  </w:style>
  <w:style w:type="paragraph" w:customStyle="1" w:styleId="150">
    <w:name w:val="_Style 149"/>
    <w:unhideWhenUsed/>
    <w:qFormat/>
    <w:uiPriority w:val="99"/>
    <w:rPr>
      <w:rFonts w:ascii="Times New Roman" w:hAnsi="Times New Roman" w:eastAsia="宋体" w:cs="Times New Roman"/>
      <w:kern w:val="2"/>
      <w:sz w:val="28"/>
      <w:szCs w:val="24"/>
      <w:lang w:val="en-US" w:eastAsia="zh-CN" w:bidi="ar-SA"/>
    </w:rPr>
  </w:style>
  <w:style w:type="character" w:customStyle="1" w:styleId="151">
    <w:name w:val="font51"/>
    <w:basedOn w:val="45"/>
    <w:qFormat/>
    <w:uiPriority w:val="0"/>
    <w:rPr>
      <w:rFonts w:hint="default" w:ascii="仿宋_GB2312" w:eastAsia="仿宋_GB2312" w:cs="仿宋_GB2312"/>
      <w:color w:val="000000"/>
      <w:sz w:val="21"/>
      <w:szCs w:val="21"/>
      <w:u w:val="none"/>
    </w:rPr>
  </w:style>
  <w:style w:type="paragraph" w:customStyle="1" w:styleId="152">
    <w:name w:val="Plain Text"/>
    <w:basedOn w:val="153"/>
    <w:qFormat/>
    <w:uiPriority w:val="0"/>
    <w:pPr>
      <w:widowControl/>
      <w:jc w:val="left"/>
    </w:pPr>
    <w:rPr>
      <w:rFonts w:ascii="宋体" w:hAnsi="Courier New"/>
    </w:rPr>
  </w:style>
  <w:style w:type="paragraph" w:customStyle="1" w:styleId="153">
    <w:name w:val="Normal"/>
    <w:qFormat/>
    <w:uiPriority w:val="0"/>
    <w:pPr>
      <w:widowControl w:val="0"/>
      <w:spacing w:line="400" w:lineRule="exact"/>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35941</Words>
  <Characters>38559</Characters>
  <Lines>314</Lines>
  <Paragraphs>88</Paragraphs>
  <TotalTime>5</TotalTime>
  <ScaleCrop>false</ScaleCrop>
  <LinksUpToDate>false</LinksUpToDate>
  <CharactersWithSpaces>40428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2025-04-24T09:28:00Z</dcterms:created>
  <dc:creator>微软用户</dc:creator>
  <cp:lastModifiedBy>灿烂</cp:lastModifiedBy>
  <cp:lastPrinted>2025-06-23T14:46:00Z</cp:lastPrinted>
  <dcterms:modified xsi:type="dcterms:W3CDTF">2025-07-01T00:46:52Z</dcterms:modified>
  <dc:title>湖州新世纪外国语学校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A1DB210602454207A1FF247E897AA1B5_13</vt:lpwstr>
  </property>
  <property fmtid="{D5CDD505-2E9C-101B-9397-08002B2CF9AE}" pid="4" name="KSOTemplateDocerSaveRecord">
    <vt:lpwstr>eyJoZGlkIjoiZTlkNDA2ZTEwYmZlYzZmNjVhNTQzYjY0ZDg5ZTJmMTgiLCJ1c2VySWQiOiIyODg2MDg3NDMifQ==</vt:lpwstr>
  </property>
</Properties>
</file>