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color w:val="auto"/>
          <w:sz w:val="52"/>
          <w:szCs w:val="52"/>
          <w:highlight w:val="none"/>
        </w:rPr>
      </w:pPr>
    </w:p>
    <w:p>
      <w:pPr>
        <w:pStyle w:val="11"/>
        <w:rPr>
          <w:color w:val="auto"/>
          <w:highlight w:val="none"/>
        </w:rPr>
      </w:pPr>
    </w:p>
    <w:p>
      <w:pPr>
        <w:spacing w:line="360" w:lineRule="auto"/>
        <w:jc w:val="center"/>
        <w:rPr>
          <w:rFonts w:ascii="宋体" w:hAnsi="宋体"/>
          <w:b/>
          <w:color w:val="auto"/>
          <w:sz w:val="52"/>
          <w:szCs w:val="52"/>
          <w:highlight w:val="none"/>
        </w:rPr>
      </w:pPr>
      <w:bookmarkStart w:id="0" w:name="OLE_LINK38"/>
      <w:bookmarkStart w:id="1" w:name="OLE_LINK37"/>
      <w:bookmarkStart w:id="2" w:name="OLE_LINK36"/>
      <w:bookmarkStart w:id="3" w:name="OLE_LINK35"/>
      <w:r>
        <w:rPr>
          <w:rFonts w:hint="eastAsia" w:ascii="宋体" w:hAnsi="宋体"/>
          <w:b/>
          <w:color w:val="auto"/>
          <w:sz w:val="52"/>
          <w:szCs w:val="52"/>
          <w:highlight w:val="none"/>
        </w:rPr>
        <w:t>湖州市中心医院</w:t>
      </w: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2025-2028年度机电运维管理项目</w:t>
      </w:r>
    </w:p>
    <w:bookmarkEnd w:id="0"/>
    <w:bookmarkEnd w:id="1"/>
    <w:bookmarkEnd w:id="2"/>
    <w:bookmarkEnd w:id="3"/>
    <w:p>
      <w:pPr>
        <w:pStyle w:val="11"/>
        <w:rPr>
          <w:color w:val="auto"/>
          <w:highlight w:val="none"/>
        </w:rPr>
      </w:pPr>
    </w:p>
    <w:p>
      <w:pPr>
        <w:rPr>
          <w:color w:val="auto"/>
          <w:highlight w:val="none"/>
        </w:rPr>
      </w:pPr>
    </w:p>
    <w:p>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（财政审批编号：</w:t>
      </w:r>
      <w:bookmarkStart w:id="4" w:name="OLE_LINK3"/>
      <w:bookmarkStart w:id="5" w:name="OLE_LINK4"/>
      <w:r>
        <w:rPr>
          <w:color w:val="auto"/>
          <w:highlight w:val="none"/>
        </w:rPr>
        <w:fldChar w:fldCharType="begin"/>
      </w:r>
      <w:r>
        <w:rPr>
          <w:color w:val="auto"/>
          <w:highlight w:val="none"/>
        </w:rPr>
        <w:instrText xml:space="preserve"> HYPERLINK "https://pay.zcygov.cn/purchaseplan_front/" \l "/plan/list/detail?id=1000000000008155833&amp;encrypt=c77a4982d7694e5b620c252d661c49da" \t "https://www.zcygov.cn/delegation-order/order/_blank"</w:instrText>
      </w:r>
      <w:r>
        <w:rPr>
          <w:color w:val="auto"/>
          <w:highlight w:val="none"/>
        </w:rPr>
        <w:fldChar w:fldCharType="separate"/>
      </w:r>
      <w:r>
        <w:rPr>
          <w:rFonts w:hint="eastAsia" w:ascii="宋体" w:hAnsi="宋体"/>
          <w:b/>
          <w:color w:val="auto"/>
          <w:sz w:val="28"/>
          <w:szCs w:val="28"/>
          <w:highlight w:val="none"/>
          <w:lang w:eastAsia="zh-CN"/>
        </w:rPr>
        <w:t>HZCG[2025]248号</w:t>
      </w:r>
      <w:r>
        <w:rPr>
          <w:rFonts w:ascii="宋体" w:hAnsi="宋体"/>
          <w:b/>
          <w:color w:val="auto"/>
          <w:sz w:val="28"/>
          <w:szCs w:val="28"/>
          <w:highlight w:val="none"/>
        </w:rPr>
        <w:fldChar w:fldCharType="end"/>
      </w:r>
      <w:bookmarkEnd w:id="4"/>
      <w:bookmarkEnd w:id="5"/>
      <w:r>
        <w:rPr>
          <w:rFonts w:hint="eastAsia" w:ascii="宋体" w:hAnsi="宋体"/>
          <w:b/>
          <w:color w:val="auto"/>
          <w:sz w:val="28"/>
          <w:szCs w:val="28"/>
          <w:highlight w:val="none"/>
        </w:rPr>
        <w:t>）</w:t>
      </w:r>
    </w:p>
    <w:p>
      <w:pPr>
        <w:snapToGrid w:val="0"/>
        <w:spacing w:beforeLines="50" w:line="360" w:lineRule="auto"/>
        <w:jc w:val="center"/>
        <w:rPr>
          <w:rFonts w:ascii="隶书" w:hAnsi="Arial Narrow" w:eastAsia="楷体_GB2312"/>
          <w:color w:val="auto"/>
          <w:sz w:val="30"/>
          <w:szCs w:val="72"/>
          <w:highlight w:val="none"/>
        </w:rPr>
      </w:pPr>
      <w:r>
        <w:rPr>
          <w:rFonts w:hint="eastAsia" w:ascii="宋体" w:hAnsi="宋体" w:cs="宋体"/>
          <w:b/>
          <w:color w:val="auto"/>
          <w:sz w:val="52"/>
          <w:szCs w:val="52"/>
          <w:highlight w:val="none"/>
        </w:rPr>
        <w:t>（电子招投标）</w:t>
      </w:r>
    </w:p>
    <w:p>
      <w:pPr>
        <w:snapToGrid w:val="0"/>
        <w:spacing w:beforeLines="50" w:line="360" w:lineRule="auto"/>
        <w:rPr>
          <w:rFonts w:ascii="隶书" w:hAnsi="Arial Narrow" w:eastAsia="楷体_GB2312"/>
          <w:color w:val="auto"/>
          <w:sz w:val="30"/>
          <w:szCs w:val="72"/>
          <w:highlight w:val="none"/>
        </w:rPr>
      </w:pPr>
    </w:p>
    <w:p>
      <w:pPr>
        <w:spacing w:beforeLines="5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pPr>
        <w:snapToGrid w:val="0"/>
        <w:spacing w:line="360" w:lineRule="auto"/>
        <w:rPr>
          <w:rFonts w:ascii="宋体" w:hAnsi="宋体"/>
          <w:color w:val="auto"/>
          <w:sz w:val="30"/>
          <w:szCs w:val="72"/>
          <w:highlight w:val="none"/>
        </w:rPr>
      </w:pPr>
    </w:p>
    <w:p>
      <w:pPr>
        <w:snapToGrid w:val="0"/>
        <w:spacing w:line="360" w:lineRule="auto"/>
        <w:rPr>
          <w:rFonts w:ascii="宋体" w:hAnsi="宋体"/>
          <w:color w:val="auto"/>
          <w:sz w:val="30"/>
          <w:szCs w:val="72"/>
          <w:highlight w:val="none"/>
        </w:rPr>
      </w:pPr>
    </w:p>
    <w:p>
      <w:pPr>
        <w:snapToGrid w:val="0"/>
        <w:spacing w:line="360" w:lineRule="auto"/>
        <w:rPr>
          <w:rFonts w:ascii="宋体" w:hAnsi="宋体"/>
          <w:color w:val="auto"/>
          <w:sz w:val="30"/>
          <w:szCs w:val="72"/>
          <w:highlight w:val="none"/>
        </w:rPr>
      </w:pPr>
    </w:p>
    <w:p>
      <w:pPr>
        <w:pStyle w:val="13"/>
        <w:snapToGrid w:val="0"/>
        <w:spacing w:beforeLines="0" w:afterLines="0" w:line="360" w:lineRule="auto"/>
        <w:ind w:firstLine="596" w:firstLineChars="198"/>
        <w:rPr>
          <w:rFonts w:hint="eastAsia" w:hAnsi="宋体" w:eastAsia="宋体"/>
          <w:b/>
          <w:color w:val="auto"/>
          <w:sz w:val="30"/>
          <w:szCs w:val="30"/>
          <w:highlight w:val="none"/>
          <w:lang w:val="en-US" w:eastAsia="zh-CN"/>
        </w:rPr>
      </w:pPr>
      <w:r>
        <w:rPr>
          <w:rFonts w:hAnsi="宋体"/>
          <w:b/>
          <w:color w:val="auto"/>
          <w:sz w:val="30"/>
          <w:szCs w:val="30"/>
          <w:highlight w:val="none"/>
        </w:rPr>
        <w:t>项目编号：</w:t>
      </w:r>
      <w:r>
        <w:rPr>
          <w:rFonts w:hint="eastAsia" w:hAnsi="宋体"/>
          <w:b/>
          <w:color w:val="auto"/>
          <w:sz w:val="30"/>
          <w:szCs w:val="30"/>
          <w:highlight w:val="none"/>
          <w:lang w:eastAsia="zh-CN"/>
        </w:rPr>
        <w:t>HYHZ2025-54（1）</w:t>
      </w:r>
    </w:p>
    <w:p>
      <w:pPr>
        <w:pStyle w:val="13"/>
        <w:snapToGrid w:val="0"/>
        <w:spacing w:beforeLines="0" w:afterLines="0" w:line="360" w:lineRule="auto"/>
        <w:ind w:left="2086" w:leftChars="282" w:hanging="1494" w:hangingChars="496"/>
        <w:rPr>
          <w:rFonts w:hAnsi="宋体"/>
          <w:b/>
          <w:color w:val="auto"/>
          <w:sz w:val="30"/>
          <w:szCs w:val="30"/>
          <w:highlight w:val="none"/>
        </w:rPr>
      </w:pPr>
      <w:r>
        <w:rPr>
          <w:rFonts w:hint="eastAsia" w:hAnsi="宋体"/>
          <w:b/>
          <w:color w:val="auto"/>
          <w:sz w:val="30"/>
          <w:szCs w:val="30"/>
          <w:highlight w:val="none"/>
        </w:rPr>
        <w:t>项目名称：</w:t>
      </w:r>
      <w:bookmarkStart w:id="6" w:name="OLE_LINK14"/>
      <w:bookmarkStart w:id="7" w:name="OLE_LINK12"/>
      <w:r>
        <w:rPr>
          <w:rFonts w:hint="eastAsia" w:hAnsi="宋体"/>
          <w:b/>
          <w:color w:val="auto"/>
          <w:sz w:val="30"/>
          <w:szCs w:val="30"/>
          <w:highlight w:val="none"/>
        </w:rPr>
        <w:t>湖州市中心医院</w:t>
      </w:r>
      <w:bookmarkEnd w:id="6"/>
      <w:bookmarkEnd w:id="7"/>
      <w:r>
        <w:rPr>
          <w:rFonts w:hint="eastAsia" w:hAnsi="宋体"/>
          <w:b/>
          <w:color w:val="auto"/>
          <w:sz w:val="30"/>
          <w:szCs w:val="30"/>
          <w:highlight w:val="none"/>
        </w:rPr>
        <w:t>2025-2028年度机电运维管理项目</w:t>
      </w:r>
    </w:p>
    <w:p>
      <w:pPr>
        <w:pStyle w:val="13"/>
        <w:snapToGrid w:val="0"/>
        <w:spacing w:beforeLines="0" w:afterLines="0" w:line="360" w:lineRule="auto"/>
        <w:ind w:left="2087" w:leftChars="284" w:hanging="1491" w:hangingChars="495"/>
        <w:rPr>
          <w:rFonts w:hAnsi="宋体"/>
          <w:b/>
          <w:color w:val="auto"/>
          <w:sz w:val="30"/>
          <w:szCs w:val="30"/>
          <w:highlight w:val="none"/>
        </w:rPr>
      </w:pPr>
      <w:r>
        <w:rPr>
          <w:rFonts w:hAnsi="宋体"/>
          <w:b/>
          <w:color w:val="auto"/>
          <w:sz w:val="30"/>
          <w:szCs w:val="30"/>
          <w:highlight w:val="none"/>
        </w:rPr>
        <w:t>采购单位：</w:t>
      </w:r>
      <w:r>
        <w:rPr>
          <w:rFonts w:hint="eastAsia" w:hAnsi="宋体"/>
          <w:b/>
          <w:color w:val="auto"/>
          <w:sz w:val="30"/>
          <w:szCs w:val="30"/>
          <w:highlight w:val="none"/>
        </w:rPr>
        <w:t>湖州市中心医院</w:t>
      </w:r>
    </w:p>
    <w:p>
      <w:pPr>
        <w:pStyle w:val="13"/>
        <w:snapToGrid w:val="0"/>
        <w:spacing w:beforeLines="0" w:afterLines="0" w:line="360" w:lineRule="auto"/>
        <w:ind w:firstLine="590" w:firstLineChars="196"/>
        <w:rPr>
          <w:rFonts w:hAnsi="宋体"/>
          <w:b/>
          <w:color w:val="auto"/>
          <w:sz w:val="30"/>
          <w:szCs w:val="30"/>
          <w:highlight w:val="none"/>
        </w:rPr>
      </w:pPr>
      <w:r>
        <w:rPr>
          <w:rFonts w:hAnsi="宋体"/>
          <w:b/>
          <w:color w:val="auto"/>
          <w:sz w:val="30"/>
          <w:szCs w:val="30"/>
          <w:highlight w:val="none"/>
        </w:rPr>
        <w:t>代理机构：</w:t>
      </w:r>
      <w:r>
        <w:rPr>
          <w:rFonts w:hint="eastAsia" w:hAnsi="宋体"/>
          <w:b/>
          <w:color w:val="auto"/>
          <w:sz w:val="30"/>
          <w:szCs w:val="30"/>
          <w:highlight w:val="none"/>
        </w:rPr>
        <w:t>浙江华耀建设咨询有限公司</w:t>
      </w:r>
    </w:p>
    <w:p>
      <w:pPr>
        <w:pStyle w:val="13"/>
        <w:snapToGrid w:val="0"/>
        <w:spacing w:beforeLines="0" w:afterLines="0" w:line="360" w:lineRule="auto"/>
        <w:ind w:firstLine="590" w:firstLineChars="196"/>
        <w:rPr>
          <w:rFonts w:hAnsi="宋体"/>
          <w:b/>
          <w:color w:val="auto"/>
          <w:sz w:val="30"/>
          <w:szCs w:val="30"/>
          <w:highlight w:val="none"/>
        </w:rPr>
      </w:pPr>
    </w:p>
    <w:p>
      <w:pPr>
        <w:snapToGrid w:val="0"/>
        <w:spacing w:line="360" w:lineRule="auto"/>
        <w:jc w:val="center"/>
        <w:rPr>
          <w:rFonts w:ascii="宋体" w:hAnsi="宋体"/>
          <w:b/>
          <w:bCs/>
          <w:color w:val="auto"/>
          <w:w w:val="95"/>
          <w:sz w:val="30"/>
          <w:szCs w:val="30"/>
          <w:highlight w:val="none"/>
        </w:rPr>
      </w:pPr>
      <w:r>
        <w:rPr>
          <w:rFonts w:hint="eastAsia" w:ascii="宋体" w:hAnsi="宋体"/>
          <w:b/>
          <w:bCs/>
          <w:color w:val="auto"/>
          <w:w w:val="95"/>
          <w:sz w:val="30"/>
          <w:szCs w:val="30"/>
          <w:highlight w:val="none"/>
        </w:rPr>
        <w:t xml:space="preserve">                      2025年</w:t>
      </w:r>
      <w:r>
        <w:rPr>
          <w:rFonts w:hint="eastAsia" w:ascii="宋体" w:hAnsi="宋体"/>
          <w:b/>
          <w:bCs/>
          <w:color w:val="auto"/>
          <w:w w:val="95"/>
          <w:sz w:val="30"/>
          <w:szCs w:val="30"/>
          <w:highlight w:val="none"/>
          <w:lang w:val="en-US" w:eastAsia="zh-CN"/>
        </w:rPr>
        <w:t>6</w:t>
      </w:r>
      <w:r>
        <w:rPr>
          <w:rFonts w:hint="eastAsia" w:ascii="宋体" w:hAnsi="宋体"/>
          <w:b/>
          <w:bCs/>
          <w:color w:val="auto"/>
          <w:w w:val="95"/>
          <w:sz w:val="30"/>
          <w:szCs w:val="30"/>
          <w:highlight w:val="none"/>
        </w:rPr>
        <w:t>月</w:t>
      </w:r>
      <w:r>
        <w:rPr>
          <w:rFonts w:hint="eastAsia" w:ascii="宋体" w:hAnsi="宋体"/>
          <w:b/>
          <w:bCs/>
          <w:color w:val="auto"/>
          <w:w w:val="95"/>
          <w:sz w:val="30"/>
          <w:szCs w:val="30"/>
          <w:highlight w:val="none"/>
          <w:lang w:val="en-US" w:eastAsia="zh-CN"/>
        </w:rPr>
        <w:t>23</w:t>
      </w:r>
      <w:r>
        <w:rPr>
          <w:rFonts w:hint="eastAsia" w:ascii="宋体" w:hAnsi="宋体"/>
          <w:b/>
          <w:bCs/>
          <w:color w:val="auto"/>
          <w:w w:val="95"/>
          <w:sz w:val="30"/>
          <w:szCs w:val="30"/>
          <w:highlight w:val="none"/>
        </w:rPr>
        <w:t>日</w:t>
      </w:r>
    </w:p>
    <w:p>
      <w:pPr>
        <w:pStyle w:val="13"/>
        <w:spacing w:beforeLines="0" w:afterLines="0" w:line="360" w:lineRule="auto"/>
        <w:jc w:val="center"/>
        <w:rPr>
          <w:rFonts w:ascii="创艺简标宋" w:hAnsi="宋体" w:eastAsia="创艺简标宋"/>
          <w:b/>
          <w:color w:val="auto"/>
          <w:sz w:val="44"/>
          <w:szCs w:val="44"/>
          <w:highlight w:val="none"/>
        </w:rPr>
      </w:pPr>
    </w:p>
    <w:p>
      <w:pPr>
        <w:pStyle w:val="13"/>
        <w:spacing w:beforeLines="0" w:afterLines="0" w:line="360" w:lineRule="auto"/>
        <w:jc w:val="center"/>
        <w:rPr>
          <w:rFonts w:ascii="创艺简标宋" w:hAnsi="宋体" w:eastAsia="创艺简标宋"/>
          <w:b/>
          <w:color w:val="auto"/>
          <w:sz w:val="44"/>
          <w:szCs w:val="44"/>
          <w:highlight w:val="none"/>
        </w:rPr>
      </w:pPr>
    </w:p>
    <w:p>
      <w:pPr>
        <w:pStyle w:val="13"/>
        <w:spacing w:beforeLines="0" w:afterLines="0" w:line="360" w:lineRule="auto"/>
        <w:jc w:val="center"/>
        <w:rPr>
          <w:rFonts w:ascii="创艺简标宋" w:hAnsi="宋体" w:eastAsia="创艺简标宋"/>
          <w:b/>
          <w:color w:val="auto"/>
          <w:sz w:val="44"/>
          <w:szCs w:val="44"/>
          <w:highlight w:val="none"/>
        </w:rPr>
      </w:pPr>
      <w:r>
        <w:rPr>
          <w:rFonts w:hint="eastAsia" w:ascii="创艺简标宋" w:hAnsi="宋体" w:eastAsia="创艺简标宋"/>
          <w:b/>
          <w:color w:val="auto"/>
          <w:sz w:val="44"/>
          <w:szCs w:val="44"/>
          <w:highlight w:val="none"/>
        </w:rPr>
        <w:t>目    录</w:t>
      </w:r>
    </w:p>
    <w:p>
      <w:pPr>
        <w:pStyle w:val="13"/>
        <w:spacing w:before="120" w:after="120" w:line="360" w:lineRule="auto"/>
        <w:jc w:val="center"/>
        <w:rPr>
          <w:rFonts w:ascii="创艺简标宋" w:hAnsi="宋体" w:eastAsia="创艺简标宋"/>
          <w:color w:val="auto"/>
          <w:sz w:val="44"/>
          <w:szCs w:val="44"/>
          <w:highlight w:val="none"/>
        </w:rPr>
      </w:pPr>
      <w:bookmarkStart w:id="8" w:name="OLE_LINK123"/>
      <w:bookmarkStart w:id="9" w:name="OLE_LINK122"/>
      <w:bookmarkStart w:id="10" w:name="OLE_LINK116"/>
      <w:bookmarkStart w:id="11" w:name="OLE_LINK119"/>
    </w:p>
    <w:p>
      <w:pPr>
        <w:numPr>
          <w:ilvl w:val="0"/>
          <w:numId w:val="2"/>
        </w:numPr>
        <w:spacing w:line="360" w:lineRule="auto"/>
        <w:ind w:left="600" w:hanging="600"/>
        <w:rPr>
          <w:rFonts w:ascii="宋体" w:hAnsi="宋体"/>
          <w:color w:val="auto"/>
          <w:sz w:val="30"/>
          <w:szCs w:val="20"/>
          <w:highlight w:val="none"/>
        </w:rPr>
      </w:pPr>
      <w:r>
        <w:rPr>
          <w:rFonts w:hint="eastAsia" w:ascii="宋体" w:hAnsi="宋体"/>
          <w:color w:val="auto"/>
          <w:sz w:val="30"/>
          <w:highlight w:val="none"/>
        </w:rPr>
        <w:t>公开招标采购公告   -------------------------3</w:t>
      </w:r>
    </w:p>
    <w:p>
      <w:pPr>
        <w:numPr>
          <w:ilvl w:val="0"/>
          <w:numId w:val="2"/>
        </w:numPr>
        <w:spacing w:line="360" w:lineRule="auto"/>
        <w:ind w:left="600" w:hanging="600"/>
        <w:rPr>
          <w:rFonts w:ascii="宋体" w:hAnsi="宋体"/>
          <w:color w:val="auto"/>
          <w:sz w:val="30"/>
          <w:szCs w:val="20"/>
          <w:highlight w:val="none"/>
        </w:rPr>
      </w:pPr>
      <w:r>
        <w:rPr>
          <w:rFonts w:hint="eastAsia" w:ascii="宋体" w:hAnsi="宋体"/>
          <w:color w:val="auto"/>
          <w:sz w:val="30"/>
          <w:highlight w:val="none"/>
        </w:rPr>
        <w:t>招标需求   ---------------------------------7</w:t>
      </w:r>
    </w:p>
    <w:p>
      <w:pPr>
        <w:numPr>
          <w:ilvl w:val="0"/>
          <w:numId w:val="2"/>
        </w:numPr>
        <w:spacing w:line="360" w:lineRule="auto"/>
        <w:ind w:left="600" w:hanging="600"/>
        <w:rPr>
          <w:color w:val="auto"/>
          <w:sz w:val="30"/>
          <w:szCs w:val="30"/>
          <w:highlight w:val="none"/>
        </w:rPr>
      </w:pPr>
      <w:r>
        <w:rPr>
          <w:rFonts w:hint="eastAsia" w:ascii="宋体" w:hAnsi="宋体"/>
          <w:color w:val="auto"/>
          <w:sz w:val="30"/>
          <w:highlight w:val="none"/>
        </w:rPr>
        <w:t>投标人须知   ------------------------------14</w:t>
      </w:r>
    </w:p>
    <w:p>
      <w:pPr>
        <w:spacing w:line="360" w:lineRule="auto"/>
        <w:ind w:firstLine="1350" w:firstLineChars="450"/>
        <w:rPr>
          <w:rFonts w:ascii="宋体" w:hAnsi="宋体"/>
          <w:color w:val="auto"/>
          <w:sz w:val="30"/>
          <w:highlight w:val="none"/>
        </w:rPr>
      </w:pPr>
      <w:r>
        <w:rPr>
          <w:rFonts w:hint="eastAsia"/>
          <w:color w:val="auto"/>
          <w:sz w:val="30"/>
          <w:szCs w:val="30"/>
          <w:highlight w:val="none"/>
        </w:rPr>
        <w:t>一、总则</w:t>
      </w:r>
      <w:r>
        <w:rPr>
          <w:rFonts w:hint="eastAsia" w:ascii="宋体" w:hAnsi="宋体"/>
          <w:color w:val="auto"/>
          <w:sz w:val="30"/>
          <w:highlight w:val="none"/>
        </w:rPr>
        <w:t>--------------------------------15</w:t>
      </w:r>
    </w:p>
    <w:p>
      <w:pPr>
        <w:spacing w:line="360" w:lineRule="auto"/>
        <w:ind w:firstLine="1350" w:firstLineChars="450"/>
        <w:rPr>
          <w:rFonts w:ascii="宋体" w:hAnsi="宋体"/>
          <w:color w:val="auto"/>
          <w:sz w:val="30"/>
          <w:highlight w:val="none"/>
        </w:rPr>
      </w:pPr>
      <w:r>
        <w:rPr>
          <w:rFonts w:hint="eastAsia"/>
          <w:color w:val="auto"/>
          <w:sz w:val="30"/>
          <w:szCs w:val="30"/>
          <w:highlight w:val="none"/>
        </w:rPr>
        <w:t>二、招标文件</w:t>
      </w:r>
      <w:r>
        <w:rPr>
          <w:rFonts w:hint="eastAsia" w:ascii="宋体" w:hAnsi="宋体"/>
          <w:color w:val="auto"/>
          <w:sz w:val="30"/>
          <w:highlight w:val="none"/>
        </w:rPr>
        <w:t>----------------------------18</w:t>
      </w:r>
    </w:p>
    <w:p>
      <w:pPr>
        <w:spacing w:line="360" w:lineRule="auto"/>
        <w:ind w:firstLine="1350" w:firstLineChars="450"/>
        <w:rPr>
          <w:rFonts w:ascii="宋体" w:hAnsi="宋体"/>
          <w:color w:val="auto"/>
          <w:sz w:val="30"/>
          <w:highlight w:val="none"/>
        </w:rPr>
      </w:pPr>
      <w:r>
        <w:rPr>
          <w:rFonts w:hint="eastAsia"/>
          <w:color w:val="auto"/>
          <w:sz w:val="30"/>
          <w:szCs w:val="30"/>
          <w:highlight w:val="none"/>
        </w:rPr>
        <w:t>三、投标文件的编制</w:t>
      </w:r>
      <w:r>
        <w:rPr>
          <w:rFonts w:hint="eastAsia" w:ascii="宋体" w:hAnsi="宋体"/>
          <w:color w:val="auto"/>
          <w:sz w:val="30"/>
          <w:highlight w:val="none"/>
        </w:rPr>
        <w:t>---------------------19</w:t>
      </w:r>
    </w:p>
    <w:p>
      <w:pPr>
        <w:spacing w:line="360" w:lineRule="auto"/>
        <w:ind w:firstLine="1350" w:firstLineChars="450"/>
        <w:rPr>
          <w:rFonts w:ascii="宋体" w:hAnsi="宋体"/>
          <w:color w:val="auto"/>
          <w:sz w:val="30"/>
          <w:highlight w:val="none"/>
        </w:rPr>
      </w:pPr>
      <w:r>
        <w:rPr>
          <w:rFonts w:hint="eastAsia"/>
          <w:color w:val="auto"/>
          <w:sz w:val="30"/>
          <w:szCs w:val="30"/>
          <w:highlight w:val="none"/>
        </w:rPr>
        <w:t>四、开标</w:t>
      </w:r>
      <w:r>
        <w:rPr>
          <w:rFonts w:hint="eastAsia" w:ascii="宋体" w:hAnsi="宋体"/>
          <w:color w:val="auto"/>
          <w:sz w:val="30"/>
          <w:highlight w:val="none"/>
        </w:rPr>
        <w:t>---------------------------------25</w:t>
      </w:r>
    </w:p>
    <w:p>
      <w:pPr>
        <w:spacing w:line="360" w:lineRule="auto"/>
        <w:ind w:firstLine="1350" w:firstLineChars="450"/>
        <w:rPr>
          <w:rFonts w:ascii="宋体" w:hAnsi="宋体"/>
          <w:color w:val="auto"/>
          <w:sz w:val="30"/>
          <w:highlight w:val="none"/>
        </w:rPr>
      </w:pPr>
      <w:r>
        <w:rPr>
          <w:rFonts w:hint="eastAsia"/>
          <w:color w:val="auto"/>
          <w:sz w:val="30"/>
          <w:szCs w:val="30"/>
          <w:highlight w:val="none"/>
        </w:rPr>
        <w:t>五、评标</w:t>
      </w:r>
      <w:r>
        <w:rPr>
          <w:rFonts w:hint="eastAsia" w:ascii="宋体" w:hAnsi="宋体"/>
          <w:color w:val="auto"/>
          <w:sz w:val="30"/>
          <w:highlight w:val="none"/>
        </w:rPr>
        <w:t>---------------------------------26</w:t>
      </w:r>
    </w:p>
    <w:p>
      <w:pPr>
        <w:spacing w:line="360" w:lineRule="auto"/>
        <w:ind w:firstLine="1350" w:firstLineChars="450"/>
        <w:rPr>
          <w:rFonts w:ascii="宋体" w:hAnsi="宋体"/>
          <w:color w:val="auto"/>
          <w:sz w:val="30"/>
          <w:highlight w:val="none"/>
        </w:rPr>
      </w:pPr>
      <w:r>
        <w:rPr>
          <w:rFonts w:hint="eastAsia"/>
          <w:color w:val="auto"/>
          <w:sz w:val="30"/>
          <w:szCs w:val="30"/>
          <w:highlight w:val="none"/>
        </w:rPr>
        <w:t>六、定标</w:t>
      </w:r>
      <w:r>
        <w:rPr>
          <w:rFonts w:hint="eastAsia" w:ascii="宋体" w:hAnsi="宋体"/>
          <w:color w:val="auto"/>
          <w:sz w:val="30"/>
          <w:highlight w:val="none"/>
        </w:rPr>
        <w:t>---------------------------------28</w:t>
      </w:r>
    </w:p>
    <w:p>
      <w:pPr>
        <w:spacing w:line="360" w:lineRule="auto"/>
        <w:ind w:firstLine="1350" w:firstLineChars="450"/>
        <w:rPr>
          <w:color w:val="auto"/>
          <w:sz w:val="30"/>
          <w:szCs w:val="30"/>
          <w:highlight w:val="none"/>
        </w:rPr>
      </w:pPr>
      <w:r>
        <w:rPr>
          <w:rFonts w:hint="eastAsia"/>
          <w:color w:val="auto"/>
          <w:sz w:val="30"/>
          <w:szCs w:val="30"/>
          <w:highlight w:val="none"/>
        </w:rPr>
        <w:t>七、合同授予</w:t>
      </w:r>
      <w:r>
        <w:rPr>
          <w:rFonts w:hint="eastAsia" w:ascii="宋体" w:hAnsi="宋体"/>
          <w:color w:val="auto"/>
          <w:sz w:val="30"/>
          <w:highlight w:val="none"/>
        </w:rPr>
        <w:t>-----------------------------29</w:t>
      </w:r>
    </w:p>
    <w:p>
      <w:pPr>
        <w:numPr>
          <w:ilvl w:val="0"/>
          <w:numId w:val="2"/>
        </w:numPr>
        <w:spacing w:line="360" w:lineRule="auto"/>
        <w:ind w:left="600" w:hanging="600"/>
        <w:rPr>
          <w:rFonts w:ascii="宋体" w:hAnsi="宋体"/>
          <w:color w:val="auto"/>
          <w:sz w:val="30"/>
          <w:szCs w:val="20"/>
          <w:highlight w:val="none"/>
        </w:rPr>
      </w:pPr>
      <w:r>
        <w:rPr>
          <w:rFonts w:hint="eastAsia" w:ascii="宋体" w:hAnsi="宋体"/>
          <w:color w:val="auto"/>
          <w:sz w:val="30"/>
          <w:highlight w:val="none"/>
        </w:rPr>
        <w:t>评标办法及评分标准 ------------------------30</w:t>
      </w:r>
    </w:p>
    <w:p>
      <w:pPr>
        <w:numPr>
          <w:ilvl w:val="0"/>
          <w:numId w:val="2"/>
        </w:numPr>
        <w:spacing w:line="360" w:lineRule="auto"/>
        <w:ind w:left="600" w:hanging="600"/>
        <w:rPr>
          <w:rFonts w:ascii="宋体" w:hAnsi="宋体"/>
          <w:color w:val="auto"/>
          <w:sz w:val="30"/>
          <w:szCs w:val="20"/>
          <w:highlight w:val="none"/>
        </w:rPr>
      </w:pPr>
      <w:r>
        <w:rPr>
          <w:rFonts w:hint="eastAsia" w:ascii="宋体" w:hAnsi="宋体"/>
          <w:color w:val="auto"/>
          <w:sz w:val="30"/>
          <w:highlight w:val="none"/>
        </w:rPr>
        <w:t>政府采购合同主要条款-----------------------35</w:t>
      </w:r>
    </w:p>
    <w:p>
      <w:pPr>
        <w:numPr>
          <w:ilvl w:val="0"/>
          <w:numId w:val="2"/>
        </w:numPr>
        <w:spacing w:line="360" w:lineRule="auto"/>
        <w:ind w:left="600" w:hanging="600"/>
        <w:rPr>
          <w:rFonts w:ascii="宋体" w:hAnsi="宋体"/>
          <w:color w:val="auto"/>
          <w:sz w:val="30"/>
          <w:szCs w:val="20"/>
          <w:highlight w:val="none"/>
        </w:rPr>
      </w:pPr>
      <w:r>
        <w:rPr>
          <w:rFonts w:hint="eastAsia" w:ascii="宋体" w:hAnsi="宋体"/>
          <w:color w:val="auto"/>
          <w:sz w:val="30"/>
          <w:highlight w:val="none"/>
        </w:rPr>
        <w:t>投标文件格式    ---------------------------38</w:t>
      </w:r>
    </w:p>
    <w:p>
      <w:pPr>
        <w:rPr>
          <w:color w:val="auto"/>
          <w:highlight w:val="none"/>
        </w:rPr>
      </w:pPr>
    </w:p>
    <w:bookmarkEnd w:id="8"/>
    <w:bookmarkEnd w:id="9"/>
    <w:p>
      <w:pPr>
        <w:rPr>
          <w:color w:val="auto"/>
          <w:highlight w:val="none"/>
        </w:rPr>
      </w:pPr>
    </w:p>
    <w:p>
      <w:pPr>
        <w:rPr>
          <w:color w:val="auto"/>
          <w:highlight w:val="none"/>
        </w:rPr>
      </w:pPr>
    </w:p>
    <w:bookmarkEnd w:id="10"/>
    <w:bookmarkEnd w:id="11"/>
    <w:p>
      <w:pPr>
        <w:rPr>
          <w:color w:val="auto"/>
          <w:highlight w:val="none"/>
        </w:rPr>
      </w:pPr>
    </w:p>
    <w:p>
      <w:pPr>
        <w:rPr>
          <w:color w:val="auto"/>
          <w:highlight w:val="none"/>
        </w:rPr>
      </w:pPr>
    </w:p>
    <w:p>
      <w:pPr>
        <w:pStyle w:val="3"/>
        <w:rPr>
          <w:color w:val="auto"/>
          <w:highlight w:val="none"/>
        </w:rPr>
      </w:pPr>
      <w:r>
        <w:rPr>
          <w:color w:val="auto"/>
          <w:highlight w:val="none"/>
        </w:rPr>
        <w:br w:type="page"/>
      </w:r>
    </w:p>
    <w:p>
      <w:pPr>
        <w:pStyle w:val="13"/>
        <w:snapToGrid w:val="0"/>
        <w:spacing w:beforeLines="0" w:afterLines="0" w:line="360" w:lineRule="auto"/>
        <w:jc w:val="center"/>
        <w:outlineLvl w:val="0"/>
        <w:rPr>
          <w:rFonts w:ascii="黑体" w:hAnsi="宋体" w:eastAsia="黑体"/>
          <w:color w:val="auto"/>
          <w:sz w:val="30"/>
          <w:szCs w:val="30"/>
          <w:highlight w:val="none"/>
        </w:rPr>
      </w:pPr>
      <w:r>
        <w:rPr>
          <w:rFonts w:hint="eastAsia" w:ascii="黑体" w:hAnsi="宋体" w:eastAsia="黑体"/>
          <w:color w:val="auto"/>
          <w:sz w:val="30"/>
          <w:szCs w:val="30"/>
          <w:highlight w:val="none"/>
        </w:rPr>
        <w:t>第一章  公开招标</w:t>
      </w:r>
      <w:r>
        <w:rPr>
          <w:rFonts w:hint="eastAsia" w:ascii="黑体" w:hAnsi="宋体" w:eastAsia="黑体"/>
          <w:color w:val="auto"/>
          <w:sz w:val="30"/>
          <w:szCs w:val="30"/>
          <w:highlight w:val="none"/>
          <w:lang w:eastAsia="zh-CN"/>
        </w:rPr>
        <w:t>（</w:t>
      </w:r>
      <w:r>
        <w:rPr>
          <w:rFonts w:hint="eastAsia" w:ascii="黑体" w:hAnsi="宋体" w:eastAsia="黑体"/>
          <w:color w:val="auto"/>
          <w:sz w:val="30"/>
          <w:szCs w:val="30"/>
          <w:highlight w:val="none"/>
          <w:lang w:val="en-US" w:eastAsia="zh-CN"/>
        </w:rPr>
        <w:t>重新招标）</w:t>
      </w:r>
      <w:r>
        <w:rPr>
          <w:rFonts w:hint="eastAsia" w:ascii="黑体" w:hAnsi="宋体" w:eastAsia="黑体"/>
          <w:color w:val="auto"/>
          <w:sz w:val="30"/>
          <w:szCs w:val="30"/>
          <w:highlight w:val="none"/>
        </w:rPr>
        <w:t>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湖州市中心医院2025-2028年度机电运维管理项目的潜在投标人应在浙江政府采购网（http://zfcg.czt.zj.gov.cn/) 获取招标文件，并于2025年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16</w:t>
      </w:r>
      <w:r>
        <w:rPr>
          <w:rFonts w:hint="eastAsia" w:ascii="宋体" w:hAnsi="宋体"/>
          <w:color w:val="auto"/>
          <w:sz w:val="24"/>
          <w:highlight w:val="none"/>
        </w:rPr>
        <w:t>日</w:t>
      </w:r>
      <w:r>
        <w:rPr>
          <w:rFonts w:hint="eastAsia" w:ascii="宋体" w:hAnsi="宋体"/>
          <w:color w:val="auto"/>
          <w:sz w:val="24"/>
          <w:highlight w:val="none"/>
          <w:lang w:val="en-US" w:eastAsia="zh-CN"/>
        </w:rPr>
        <w:t>09</w:t>
      </w:r>
      <w:r>
        <w:rPr>
          <w:rFonts w:hint="eastAsia" w:ascii="宋体" w:hAnsi="宋体"/>
          <w:color w:val="auto"/>
          <w:sz w:val="24"/>
          <w:highlight w:val="none"/>
        </w:rPr>
        <w:t>：00（北京时间）前递交投标文件。</w:t>
      </w:r>
    </w:p>
    <w:p>
      <w:pPr>
        <w:snapToGrid w:val="0"/>
        <w:spacing w:line="360" w:lineRule="auto"/>
        <w:ind w:firstLine="482" w:firstLineChars="200"/>
        <w:rPr>
          <w:rFonts w:ascii="宋体" w:hAnsi="宋体"/>
          <w:color w:val="auto"/>
          <w:sz w:val="24"/>
          <w:highlight w:val="none"/>
        </w:rPr>
      </w:pPr>
      <w:r>
        <w:rPr>
          <w:rFonts w:hint="eastAsia" w:ascii="宋体" w:hAnsi="宋体" w:cs="Arial"/>
          <w:b/>
          <w:color w:val="auto"/>
          <w:sz w:val="24"/>
          <w:highlight w:val="none"/>
        </w:rPr>
        <w:t>一、项目基本情况</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HYHZ2025-54（1）</w:t>
      </w:r>
    </w:p>
    <w:p>
      <w:pPr>
        <w:spacing w:line="360" w:lineRule="auto"/>
        <w:ind w:firstLine="480" w:firstLineChars="200"/>
        <w:rPr>
          <w:color w:val="auto"/>
          <w:highlight w:val="none"/>
        </w:rPr>
      </w:pPr>
      <w:r>
        <w:rPr>
          <w:rFonts w:hint="eastAsia" w:ascii="宋体" w:hAnsi="宋体"/>
          <w:color w:val="auto"/>
          <w:sz w:val="24"/>
          <w:highlight w:val="none"/>
        </w:rPr>
        <w:t>项目名称：湖州市中心医院2025-2028年度机电运维管理项目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预算金额：</w:t>
      </w:r>
      <w:r>
        <w:rPr>
          <w:rFonts w:hint="eastAsia" w:ascii="宋体" w:hAnsi="宋体"/>
          <w:color w:val="auto"/>
          <w:sz w:val="24"/>
          <w:highlight w:val="none"/>
          <w:lang w:val="en-US" w:eastAsia="zh-CN"/>
        </w:rPr>
        <w:t>15000000元</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最高限价：</w:t>
      </w:r>
      <w:r>
        <w:rPr>
          <w:rFonts w:hint="eastAsia" w:ascii="宋体" w:hAnsi="宋体"/>
          <w:color w:val="auto"/>
          <w:sz w:val="24"/>
          <w:highlight w:val="none"/>
          <w:lang w:val="en-US" w:eastAsia="zh-CN"/>
        </w:rPr>
        <w:t>14149800元</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olor w:val="auto"/>
          <w:sz w:val="24"/>
          <w:highlight w:val="none"/>
        </w:rPr>
        <w:t>采购需求：详</w:t>
      </w:r>
      <w:r>
        <w:rPr>
          <w:rFonts w:hint="eastAsia" w:ascii="宋体" w:hAnsi="宋体" w:cs="仿宋"/>
          <w:color w:val="auto"/>
          <w:sz w:val="24"/>
          <w:highlight w:val="none"/>
        </w:rPr>
        <w:t>见招标文件第二章采购需求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合同履行期限：3年，详见招标文件第二章采购需求</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本项目接受联合体投标。</w:t>
      </w:r>
    </w:p>
    <w:p>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二、申请人的资格要求 </w:t>
      </w:r>
    </w:p>
    <w:p>
      <w:pPr>
        <w:snapToGrid w:val="0"/>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1.满足《中华人民共和国政府采购法》第二十二条规定；</w:t>
      </w:r>
      <w:r>
        <w:rPr>
          <w:rFonts w:hint="eastAsia" w:ascii="宋体" w:hAnsi="宋体"/>
          <w:color w:val="auto"/>
          <w:sz w:val="24"/>
          <w:highlight w:val="none"/>
        </w:rPr>
        <w:t>未被“信用中国”（www.creditchina.gov.cn）、中国政府采购网（www.ccgp.gov.cn）列入失信被执行人、重大税收违法案件当事人名单、政府采购严重违法失信行为记录名单。</w:t>
      </w:r>
    </w:p>
    <w:p>
      <w:pPr>
        <w:snapToGrid w:val="0"/>
        <w:spacing w:line="360" w:lineRule="auto"/>
        <w:ind w:firstLine="472" w:firstLineChars="196"/>
        <w:rPr>
          <w:rFonts w:ascii="宋体" w:hAnsi="宋体"/>
          <w:color w:val="auto"/>
          <w:sz w:val="24"/>
          <w:highlight w:val="none"/>
        </w:rPr>
      </w:pPr>
      <w:r>
        <w:rPr>
          <w:rFonts w:hint="eastAsia" w:ascii="宋体" w:hAnsi="宋体"/>
          <w:b/>
          <w:color w:val="auto"/>
          <w:sz w:val="24"/>
          <w:highlight w:val="none"/>
        </w:rPr>
        <w:t>2.落实政府采购政策需满足的资格要求：</w:t>
      </w:r>
      <w:r>
        <w:rPr>
          <w:rFonts w:hint="eastAsia" w:ascii="宋体" w:hAnsi="宋体" w:cs="仿宋"/>
          <w:color w:val="auto"/>
          <w:sz w:val="24"/>
          <w:highlight w:val="none"/>
        </w:rPr>
        <w:t>无</w:t>
      </w:r>
    </w:p>
    <w:p>
      <w:pPr>
        <w:widowControl/>
        <w:spacing w:line="360" w:lineRule="auto"/>
        <w:ind w:firstLine="480" w:firstLineChars="200"/>
        <w:jc w:val="left"/>
        <w:rPr>
          <w:rFonts w:ascii="宋体" w:hAnsi="宋体"/>
          <w:color w:val="auto"/>
          <w:sz w:val="24"/>
          <w:highlight w:val="none"/>
          <w:lang w:val="zh-CN"/>
        </w:rPr>
      </w:pPr>
      <w:r>
        <w:rPr>
          <w:rFonts w:hint="eastAsia" w:ascii="宋体" w:hAnsi="宋体"/>
          <w:color w:val="auto"/>
          <w:sz w:val="24"/>
          <w:highlight w:val="none"/>
          <w:lang w:val="zh-CN"/>
        </w:rPr>
        <w:t>▲3.本项目的特定资格要求：无</w:t>
      </w:r>
    </w:p>
    <w:p>
      <w:pPr>
        <w:widowControl/>
        <w:spacing w:line="360" w:lineRule="auto"/>
        <w:ind w:firstLine="482" w:firstLineChars="200"/>
        <w:jc w:val="left"/>
        <w:rPr>
          <w:rFonts w:ascii="宋体" w:hAnsi="宋体" w:cs="Arial"/>
          <w:b/>
          <w:color w:val="auto"/>
          <w:sz w:val="24"/>
          <w:highlight w:val="none"/>
        </w:rPr>
      </w:pPr>
      <w:r>
        <w:rPr>
          <w:rFonts w:hint="eastAsia" w:ascii="宋体" w:hAnsi="宋体" w:cs="Arial"/>
          <w:b/>
          <w:color w:val="auto"/>
          <w:sz w:val="24"/>
          <w:highlight w:val="none"/>
        </w:rPr>
        <w:t xml:space="preserve">三、获取招标文件 </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时间：2025年</w:t>
      </w:r>
      <w:r>
        <w:rPr>
          <w:rFonts w:hint="eastAsia" w:ascii="宋体" w:hAnsi="宋体" w:cs="仿宋"/>
          <w:color w:val="auto"/>
          <w:sz w:val="24"/>
          <w:highlight w:val="none"/>
          <w:lang w:val="en-US" w:eastAsia="zh-CN"/>
        </w:rPr>
        <w:t>6</w:t>
      </w:r>
      <w:r>
        <w:rPr>
          <w:rFonts w:hint="eastAsia" w:ascii="宋体" w:hAnsi="宋体" w:cs="仿宋"/>
          <w:color w:val="auto"/>
          <w:sz w:val="24"/>
          <w:highlight w:val="none"/>
        </w:rPr>
        <w:t>月</w:t>
      </w:r>
      <w:r>
        <w:rPr>
          <w:rFonts w:hint="eastAsia" w:ascii="宋体" w:hAnsi="宋体" w:cs="仿宋"/>
          <w:color w:val="auto"/>
          <w:sz w:val="24"/>
          <w:highlight w:val="none"/>
          <w:lang w:val="en-US" w:eastAsia="zh-CN"/>
        </w:rPr>
        <w:t>23</w:t>
      </w:r>
      <w:r>
        <w:rPr>
          <w:rFonts w:hint="eastAsia" w:ascii="宋体" w:hAnsi="宋体" w:cs="仿宋"/>
          <w:color w:val="auto"/>
          <w:sz w:val="24"/>
          <w:highlight w:val="none"/>
        </w:rPr>
        <w:t xml:space="preserve">日至 </w:t>
      </w:r>
      <w:r>
        <w:rPr>
          <w:rFonts w:hint="eastAsia" w:ascii="宋体" w:hAnsi="宋体"/>
          <w:color w:val="auto"/>
          <w:sz w:val="24"/>
          <w:highlight w:val="none"/>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16</w:t>
      </w:r>
      <w:r>
        <w:rPr>
          <w:rFonts w:hint="eastAsia" w:ascii="宋体" w:hAnsi="宋体"/>
          <w:color w:val="auto"/>
          <w:sz w:val="24"/>
          <w:highlight w:val="none"/>
        </w:rPr>
        <w:t>日</w:t>
      </w:r>
      <w:r>
        <w:rPr>
          <w:rFonts w:hint="eastAsia" w:ascii="宋体" w:hAnsi="宋体" w:cs="仿宋"/>
          <w:color w:val="auto"/>
          <w:sz w:val="24"/>
          <w:highlight w:val="none"/>
        </w:rPr>
        <w:t>，每天上午00:00至12:00，下午12:00至23:59</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方式：本次招标文件实行网上获取，不接受供应商现场报名。</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售价：0</w:t>
      </w:r>
    </w:p>
    <w:p>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四、提交投标文件截止时间、开标时间和地点 </w:t>
      </w:r>
    </w:p>
    <w:p>
      <w:pPr>
        <w:snapToGrid w:val="0"/>
        <w:spacing w:line="360" w:lineRule="auto"/>
        <w:ind w:firstLine="600" w:firstLineChars="250"/>
        <w:rPr>
          <w:rFonts w:ascii="宋体" w:hAnsi="宋体" w:cs="仿宋"/>
          <w:bCs/>
          <w:color w:val="auto"/>
          <w:sz w:val="24"/>
          <w:highlight w:val="none"/>
        </w:rPr>
      </w:pPr>
      <w:r>
        <w:rPr>
          <w:rFonts w:hint="eastAsia" w:ascii="宋体" w:hAnsi="宋体" w:cs="仿宋"/>
          <w:color w:val="auto"/>
          <w:sz w:val="24"/>
          <w:highlight w:val="none"/>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16</w:t>
      </w:r>
      <w:r>
        <w:rPr>
          <w:rFonts w:hint="eastAsia" w:ascii="宋体" w:hAnsi="宋体"/>
          <w:color w:val="auto"/>
          <w:sz w:val="24"/>
          <w:highlight w:val="none"/>
        </w:rPr>
        <w:t>日</w:t>
      </w:r>
      <w:r>
        <w:rPr>
          <w:rFonts w:hint="eastAsia" w:ascii="宋体" w:hAnsi="宋体"/>
          <w:color w:val="auto"/>
          <w:sz w:val="24"/>
          <w:highlight w:val="none"/>
          <w:lang w:val="en-US" w:eastAsia="zh-CN"/>
        </w:rPr>
        <w:t>09</w:t>
      </w:r>
      <w:r>
        <w:rPr>
          <w:rFonts w:hint="eastAsia" w:ascii="宋体" w:hAnsi="宋体"/>
          <w:color w:val="auto"/>
          <w:sz w:val="24"/>
          <w:highlight w:val="none"/>
        </w:rPr>
        <w:t>：00</w:t>
      </w:r>
      <w:r>
        <w:rPr>
          <w:rFonts w:hint="eastAsia" w:ascii="宋体" w:hAnsi="宋体" w:cs="仿宋"/>
          <w:bCs/>
          <w:color w:val="auto"/>
          <w:sz w:val="24"/>
          <w:highlight w:val="none"/>
        </w:rPr>
        <w:t>（北京时间）</w:t>
      </w:r>
    </w:p>
    <w:p>
      <w:pPr>
        <w:snapToGrid w:val="0"/>
        <w:spacing w:line="360" w:lineRule="auto"/>
        <w:ind w:firstLine="600" w:firstLineChars="250"/>
        <w:rPr>
          <w:rFonts w:ascii="宋体" w:hAnsi="宋体" w:cs="仿宋"/>
          <w:bCs/>
          <w:color w:val="auto"/>
          <w:sz w:val="24"/>
          <w:highlight w:val="none"/>
          <w:u w:val="single"/>
        </w:rPr>
      </w:pPr>
      <w:r>
        <w:rPr>
          <w:rFonts w:hint="eastAsia" w:ascii="宋体" w:hAnsi="宋体" w:cs="仿宋"/>
          <w:color w:val="auto"/>
          <w:sz w:val="24"/>
          <w:highlight w:val="none"/>
        </w:rPr>
        <w:t>地点：通过“政府采购云平台（http://www.zcygov.cn）”实行在线投标及开标</w:t>
      </w:r>
    </w:p>
    <w:p>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五、公告期限</w:t>
      </w:r>
    </w:p>
    <w:p>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自本公告发布之日起5个工作日。</w:t>
      </w:r>
    </w:p>
    <w:p>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六、其他补充事宜</w:t>
      </w:r>
    </w:p>
    <w:p>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4.答疑内容是招标文件的组成部分，并将在网上发布补充（答疑、澄清）文件，潜在供应商应自行关注网站公告，采购人不再一一通知，供应商因自身贻误行为导致投标失效的，责任自负。</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360" w:lineRule="auto"/>
        <w:ind w:firstLine="480" w:firstLineChars="200"/>
        <w:rPr>
          <w:rFonts w:ascii="宋体" w:hAnsi="宋体" w:cs="Arial"/>
          <w:b/>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根据《政府采购促进中小企业发展管理办法》，本项目是否专门面向中小企业采购：</w:t>
      </w:r>
      <w:r>
        <w:rPr>
          <w:rFonts w:hint="eastAsia" w:ascii="宋体" w:hAnsi="宋体" w:cs="宋体"/>
          <w:color w:val="auto"/>
          <w:sz w:val="24"/>
          <w:highlight w:val="none"/>
        </w:rPr>
        <w:t>否。</w:t>
      </w:r>
    </w:p>
    <w:p>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7.本项目公告发布网站： 浙江政府采购网、湖州市公共资源交易信息网：http://ggzy.huzhou.gov.cn/hzfront/-“政府采购”－“分散采购”模块</w:t>
      </w:r>
    </w:p>
    <w:p>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8.投标事项：</w:t>
      </w:r>
    </w:p>
    <w:p>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（2）参与政府采购项目的注册供应商，需登录浙江政府采购云平台（http://www.zcygov.cn）进行网上报名，尚未注册的供应商应当先在浙江政府采购云平台上申请注册。</w:t>
      </w:r>
    </w:p>
    <w:p>
      <w:pP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sz w:val="24"/>
          <w:highlight w:val="none"/>
        </w:rPr>
        <w:t>（3）政府采购项目电子交易操作指南：</w:t>
      </w:r>
      <w:r>
        <w:rPr>
          <w:color w:val="auto"/>
          <w:highlight w:val="none"/>
        </w:rPr>
        <w:t>https://service.zcygov.cn/#/knowledges/CW1EtGwBFdiHxlNd6I3m/6IMVAG0BFdiHxlNdQ8Na</w:t>
      </w:r>
    </w:p>
    <w:p>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（5）投标供应商应当在投标截止时间前，将生成的“电子加密投标文件”上传递交至“政府采购云平台”。投标截止时间以后上传递交的投标文件将被“政府采购云平台”拒收。</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（6）备</w:t>
      </w:r>
      <w:r>
        <w:rPr>
          <w:rFonts w:hint="eastAsia" w:ascii="宋体" w:hAnsi="宋体"/>
          <w:color w:val="auto"/>
          <w:sz w:val="24"/>
          <w:highlight w:val="none"/>
        </w:rPr>
        <w:t>份</w:t>
      </w:r>
      <w:r>
        <w:rPr>
          <w:rFonts w:hint="eastAsia" w:ascii="宋体" w:hAnsi="宋体" w:cs="宋体"/>
          <w:color w:val="auto"/>
          <w:kern w:val="0"/>
          <w:sz w:val="24"/>
          <w:highlight w:val="none"/>
        </w:rPr>
        <w:t>投标文件</w:t>
      </w:r>
      <w:r>
        <w:rPr>
          <w:rFonts w:hint="eastAsia" w:ascii="宋体" w:hAnsi="宋体"/>
          <w:color w:val="auto"/>
          <w:sz w:val="24"/>
          <w:highlight w:val="none"/>
        </w:rPr>
        <w:t>：根据“浙江省政府采购项目电子交易管理暂行办法”第二十条规定，本次招标允许供应商递交备份</w:t>
      </w:r>
      <w:r>
        <w:rPr>
          <w:rFonts w:hint="eastAsia" w:ascii="宋体" w:hAnsi="宋体" w:cs="宋体"/>
          <w:color w:val="auto"/>
          <w:kern w:val="0"/>
          <w:sz w:val="24"/>
          <w:highlight w:val="none"/>
        </w:rPr>
        <w:t>投标文件</w:t>
      </w:r>
      <w:r>
        <w:rPr>
          <w:rFonts w:hint="eastAsia" w:ascii="宋体" w:hAnsi="宋体"/>
          <w:color w:val="auto"/>
          <w:sz w:val="24"/>
          <w:highlight w:val="none"/>
        </w:rPr>
        <w:t>，仅提交备份</w:t>
      </w:r>
      <w:r>
        <w:rPr>
          <w:rFonts w:hint="eastAsia" w:ascii="宋体" w:hAnsi="宋体" w:cs="宋体"/>
          <w:color w:val="auto"/>
          <w:kern w:val="0"/>
          <w:sz w:val="24"/>
          <w:highlight w:val="none"/>
        </w:rPr>
        <w:t>投标文件</w:t>
      </w:r>
      <w:r>
        <w:rPr>
          <w:rFonts w:hint="eastAsia" w:ascii="宋体" w:hAnsi="宋体"/>
          <w:color w:val="auto"/>
          <w:sz w:val="24"/>
          <w:highlight w:val="none"/>
        </w:rPr>
        <w:t>的，</w:t>
      </w:r>
      <w:r>
        <w:rPr>
          <w:rFonts w:hint="eastAsia" w:ascii="宋体" w:hAnsi="宋体" w:cs="宋体"/>
          <w:color w:val="auto"/>
          <w:kern w:val="0"/>
          <w:sz w:val="24"/>
          <w:highlight w:val="none"/>
        </w:rPr>
        <w:t>投标</w:t>
      </w:r>
      <w:r>
        <w:rPr>
          <w:rFonts w:hint="eastAsia" w:ascii="宋体" w:hAnsi="宋体"/>
          <w:color w:val="auto"/>
          <w:sz w:val="24"/>
          <w:highlight w:val="none"/>
        </w:rPr>
        <w:t>无效。本项目不强制要求供应商提交备份</w:t>
      </w:r>
      <w:r>
        <w:rPr>
          <w:rFonts w:hint="eastAsia" w:ascii="宋体" w:hAnsi="宋体" w:cs="宋体"/>
          <w:color w:val="auto"/>
          <w:kern w:val="0"/>
          <w:sz w:val="24"/>
          <w:highlight w:val="none"/>
        </w:rPr>
        <w:t>投标文件</w:t>
      </w:r>
      <w:r>
        <w:rPr>
          <w:rFonts w:hint="eastAsia" w:ascii="宋体" w:hAnsi="宋体"/>
          <w:color w:val="auto"/>
          <w:sz w:val="24"/>
          <w:highlight w:val="none"/>
        </w:rPr>
        <w:t>，但由于未提交备份</w:t>
      </w:r>
      <w:r>
        <w:rPr>
          <w:rFonts w:hint="eastAsia" w:ascii="宋体" w:hAnsi="宋体" w:cs="宋体"/>
          <w:color w:val="auto"/>
          <w:kern w:val="0"/>
          <w:sz w:val="24"/>
          <w:highlight w:val="none"/>
        </w:rPr>
        <w:t>投标文件</w:t>
      </w:r>
      <w:r>
        <w:rPr>
          <w:rFonts w:hint="eastAsia" w:ascii="宋体" w:hAnsi="宋体"/>
          <w:color w:val="auto"/>
          <w:sz w:val="24"/>
          <w:highlight w:val="none"/>
        </w:rPr>
        <w:t>而造成项目开评标活动无法进行下去的，</w:t>
      </w:r>
      <w:r>
        <w:rPr>
          <w:rFonts w:hint="eastAsia" w:ascii="宋体" w:hAnsi="宋体" w:cs="宋体"/>
          <w:color w:val="auto"/>
          <w:kern w:val="0"/>
          <w:sz w:val="24"/>
          <w:highlight w:val="none"/>
        </w:rPr>
        <w:t>投标</w:t>
      </w:r>
      <w:r>
        <w:rPr>
          <w:rFonts w:hint="eastAsia" w:ascii="宋体" w:hAnsi="宋体"/>
          <w:color w:val="auto"/>
          <w:sz w:val="24"/>
          <w:highlight w:val="none"/>
        </w:rPr>
        <w:t>无效的，相关风险由供应</w:t>
      </w:r>
      <w:r>
        <w:rPr>
          <w:rFonts w:hint="eastAsia" w:ascii="宋体" w:hAnsi="宋体" w:cs="宋体"/>
          <w:color w:val="auto"/>
          <w:kern w:val="0"/>
          <w:sz w:val="24"/>
          <w:highlight w:val="none"/>
        </w:rPr>
        <w:t>商自行承担。</w:t>
      </w:r>
      <w:r>
        <w:rPr>
          <w:rFonts w:ascii="宋体" w:hAnsi="宋体" w:cs="宋体"/>
          <w:color w:val="auto"/>
          <w:kern w:val="0"/>
          <w:sz w:val="24"/>
          <w:highlight w:val="none"/>
        </w:rPr>
        <w:t>备份</w:t>
      </w:r>
      <w:r>
        <w:rPr>
          <w:rFonts w:hint="eastAsia" w:ascii="宋体" w:hAnsi="宋体" w:cs="宋体"/>
          <w:color w:val="auto"/>
          <w:kern w:val="0"/>
          <w:sz w:val="24"/>
          <w:highlight w:val="none"/>
        </w:rPr>
        <w:t>投标文件：1份。</w:t>
      </w:r>
      <w:r>
        <w:rPr>
          <w:rFonts w:ascii="宋体" w:hAnsi="宋体" w:cs="宋体"/>
          <w:color w:val="auto"/>
          <w:kern w:val="0"/>
          <w:sz w:val="24"/>
          <w:highlight w:val="none"/>
        </w:rPr>
        <w:t>以介质存储的数据电文形式的备份</w:t>
      </w:r>
      <w:r>
        <w:rPr>
          <w:rFonts w:hint="eastAsia" w:ascii="宋体" w:hAnsi="宋体" w:cs="宋体"/>
          <w:color w:val="auto"/>
          <w:kern w:val="0"/>
          <w:sz w:val="24"/>
          <w:highlight w:val="none"/>
        </w:rPr>
        <w:t>投标文件（</w:t>
      </w:r>
      <w:r>
        <w:rPr>
          <w:rFonts w:ascii="宋体" w:hAnsi="宋体" w:cs="宋体"/>
          <w:color w:val="auto"/>
          <w:kern w:val="0"/>
          <w:sz w:val="24"/>
          <w:highlight w:val="none"/>
        </w:rPr>
        <w:t>BFBS格式</w:t>
      </w:r>
      <w:r>
        <w:rPr>
          <w:rFonts w:hint="eastAsia" w:ascii="宋体" w:hAnsi="宋体" w:cs="宋体"/>
          <w:color w:val="auto"/>
          <w:kern w:val="0"/>
          <w:sz w:val="24"/>
          <w:highlight w:val="none"/>
        </w:rPr>
        <w:t>）</w:t>
      </w:r>
      <w:r>
        <w:rPr>
          <w:rFonts w:ascii="宋体" w:hAnsi="宋体" w:cs="宋体"/>
          <w:color w:val="auto"/>
          <w:kern w:val="0"/>
          <w:sz w:val="24"/>
          <w:highlight w:val="none"/>
        </w:rPr>
        <w:t>，按政采云平台项目采购</w:t>
      </w:r>
      <w:r>
        <w:rPr>
          <w:rFonts w:hint="eastAsia" w:ascii="宋体" w:hAnsi="宋体" w:cs="宋体"/>
          <w:color w:val="auto"/>
          <w:kern w:val="0"/>
          <w:sz w:val="24"/>
          <w:highlight w:val="none"/>
        </w:rPr>
        <w:t>－</w:t>
      </w:r>
      <w:r>
        <w:rPr>
          <w:rFonts w:ascii="宋体" w:hAnsi="宋体" w:cs="宋体"/>
          <w:color w:val="auto"/>
          <w:kern w:val="0"/>
          <w:sz w:val="24"/>
          <w:highlight w:val="none"/>
        </w:rPr>
        <w:t>电子交易操作指南中上传的电子</w:t>
      </w:r>
      <w:r>
        <w:rPr>
          <w:rFonts w:hint="eastAsia" w:ascii="宋体" w:hAnsi="宋体" w:cs="宋体"/>
          <w:color w:val="auto"/>
          <w:kern w:val="0"/>
          <w:sz w:val="24"/>
          <w:highlight w:val="none"/>
        </w:rPr>
        <w:t>投标文件</w:t>
      </w:r>
      <w:r>
        <w:rPr>
          <w:rFonts w:ascii="宋体" w:hAnsi="宋体" w:cs="宋体"/>
          <w:color w:val="auto"/>
          <w:kern w:val="0"/>
          <w:sz w:val="24"/>
          <w:highlight w:val="none"/>
        </w:rPr>
        <w:t>格式，以U盘形式存储提供</w:t>
      </w:r>
      <w:r>
        <w:rPr>
          <w:rFonts w:hint="eastAsia" w:ascii="宋体" w:hAnsi="宋体" w:cs="宋体"/>
          <w:color w:val="auto"/>
          <w:kern w:val="0"/>
          <w:sz w:val="24"/>
          <w:highlight w:val="none"/>
        </w:rPr>
        <w:t>）</w:t>
      </w:r>
      <w:r>
        <w:rPr>
          <w:rFonts w:ascii="宋体" w:hAnsi="宋体" w:cs="宋体"/>
          <w:color w:val="auto"/>
          <w:kern w:val="0"/>
          <w:sz w:val="24"/>
          <w:highlight w:val="none"/>
        </w:rPr>
        <w:t>。U盘盘面上粘贴标签，标注单位名称，装入一个外包封袋中进行邮寄</w:t>
      </w:r>
      <w:r>
        <w:rPr>
          <w:rFonts w:hint="eastAsia" w:ascii="宋体" w:hAnsi="宋体" w:cs="宋体"/>
          <w:color w:val="auto"/>
          <w:kern w:val="0"/>
          <w:sz w:val="24"/>
          <w:highlight w:val="none"/>
        </w:rPr>
        <w:t>。</w:t>
      </w:r>
      <w:r>
        <w:rPr>
          <w:rFonts w:ascii="宋体" w:hAnsi="宋体" w:cs="宋体"/>
          <w:color w:val="auto"/>
          <w:kern w:val="0"/>
          <w:sz w:val="24"/>
          <w:highlight w:val="none"/>
        </w:rPr>
        <w:t>邮寄时，总的外包封袋上可不注明单位名称，但应注明单位的联系人、联系电话及项目名称</w:t>
      </w:r>
      <w:r>
        <w:rPr>
          <w:rFonts w:hint="eastAsia" w:ascii="宋体" w:hAnsi="宋体" w:cs="宋体"/>
          <w:color w:val="auto"/>
          <w:kern w:val="0"/>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s="宋体"/>
          <w:color w:val="auto"/>
          <w:kern w:val="0"/>
          <w:sz w:val="24"/>
          <w:highlight w:val="none"/>
        </w:rPr>
        <w:t>，</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拒绝到付。以收件人实际签收时间为准，逾期送达的将拒绝接收。</w:t>
      </w:r>
    </w:p>
    <w:p>
      <w:pPr>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（7）本项目开评标会议通过政采云电子交易系统在线完成，</w:t>
      </w:r>
      <w:r>
        <w:rPr>
          <w:rFonts w:hint="eastAsia" w:ascii="宋体" w:hAnsi="宋体"/>
          <w:color w:val="auto"/>
          <w:sz w:val="24"/>
          <w:highlight w:val="none"/>
        </w:rPr>
        <w:t>请潜在供应商代表自行准备联网的计算机设备、“政府采购云平台”CA数字证书。开评标会议开始后，应全程关注政采云电子交易系统的各类通知：在线询标等，及时澄清、响应，避免逾期无效等情况的发生。</w:t>
      </w:r>
    </w:p>
    <w:p>
      <w:pPr>
        <w:snapToGrid w:val="0"/>
        <w:spacing w:line="360" w:lineRule="auto"/>
        <w:ind w:firstLine="542" w:firstLineChars="225"/>
        <w:rPr>
          <w:rFonts w:ascii="宋体" w:hAnsi="宋体" w:cs="Arial"/>
          <w:b/>
          <w:color w:val="auto"/>
          <w:sz w:val="24"/>
          <w:highlight w:val="none"/>
        </w:rPr>
      </w:pPr>
      <w:r>
        <w:rPr>
          <w:rFonts w:hint="eastAsia" w:ascii="宋体" w:hAnsi="宋体" w:cs="Arial"/>
          <w:b/>
          <w:color w:val="auto"/>
          <w:sz w:val="24"/>
          <w:highlight w:val="none"/>
        </w:rPr>
        <w:t>七、业务咨询：</w:t>
      </w:r>
    </w:p>
    <w:p>
      <w:pPr>
        <w:snapToGrid w:val="0"/>
        <w:spacing w:line="360" w:lineRule="auto"/>
        <w:ind w:firstLine="470" w:firstLineChars="196"/>
        <w:rPr>
          <w:rFonts w:ascii="宋体" w:hAnsi="宋体" w:cs="Arial"/>
          <w:b/>
          <w:color w:val="auto"/>
          <w:sz w:val="24"/>
          <w:highlight w:val="none"/>
        </w:rPr>
      </w:pPr>
      <w:r>
        <w:rPr>
          <w:rFonts w:hint="eastAsia" w:ascii="宋体" w:hAnsi="宋体"/>
          <w:color w:val="auto"/>
          <w:sz w:val="24"/>
          <w:highlight w:val="none"/>
        </w:rPr>
        <w:t>1.采购代理机构名称：浙江华耀建设咨询有限公司</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kern w:val="0"/>
          <w:sz w:val="24"/>
          <w:highlight w:val="none"/>
        </w:rPr>
        <w:t>浙江省湖州市静江公寓1单元1101室</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联系人：小张；联系电话：0572-2198738；传真：0572-2198739</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供应商质疑函接收人：何女士   联系电话：0572-2371910</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电子邮箱：</w:t>
      </w:r>
      <w:r>
        <w:rPr>
          <w:color w:val="auto"/>
          <w:highlight w:val="none"/>
        </w:rPr>
        <w:fldChar w:fldCharType="begin"/>
      </w:r>
      <w:r>
        <w:rPr>
          <w:color w:val="auto"/>
          <w:highlight w:val="none"/>
        </w:rPr>
        <w:instrText xml:space="preserve"> HYPERLINK "mailto:huayaohz@163.com。" </w:instrText>
      </w:r>
      <w:r>
        <w:rPr>
          <w:color w:val="auto"/>
          <w:highlight w:val="none"/>
        </w:rPr>
        <w:fldChar w:fldCharType="separate"/>
      </w:r>
      <w:r>
        <w:rPr>
          <w:rFonts w:hint="eastAsia" w:ascii="宋体" w:hAnsi="宋体"/>
          <w:color w:val="auto"/>
          <w:sz w:val="24"/>
          <w:highlight w:val="none"/>
        </w:rPr>
        <w:t>huayaohz@163.com</w:t>
      </w:r>
      <w:r>
        <w:rPr>
          <w:rFonts w:hint="eastAsia" w:ascii="宋体" w:hAnsi="宋体"/>
          <w:color w:val="auto"/>
          <w:sz w:val="24"/>
          <w:highlight w:val="none"/>
        </w:rPr>
        <w:fldChar w:fldCharType="end"/>
      </w:r>
    </w:p>
    <w:p>
      <w:pPr>
        <w:snapToGrid w:val="0"/>
        <w:spacing w:line="360" w:lineRule="auto"/>
        <w:ind w:firstLine="420" w:firstLineChars="200"/>
        <w:rPr>
          <w:color w:val="auto"/>
          <w:highlight w:val="none"/>
        </w:rPr>
      </w:pP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2.采购人名称：湖州市中心医院</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eastAsia="zh-CN"/>
        </w:rPr>
        <w:t>吴先生</w:t>
      </w:r>
      <w:r>
        <w:rPr>
          <w:rFonts w:hint="eastAsia" w:ascii="宋体" w:hAnsi="宋体"/>
          <w:color w:val="auto"/>
          <w:sz w:val="24"/>
          <w:highlight w:val="none"/>
        </w:rPr>
        <w:t xml:space="preserve">                    联系电话：0572-2555370 </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采购人质疑联系人：</w:t>
      </w:r>
      <w:r>
        <w:rPr>
          <w:rFonts w:hint="eastAsia" w:ascii="宋体" w:hAnsi="宋体"/>
          <w:color w:val="auto"/>
          <w:sz w:val="24"/>
          <w:highlight w:val="none"/>
          <w:lang w:eastAsia="zh-CN"/>
        </w:rPr>
        <w:t>林先生</w:t>
      </w:r>
      <w:r>
        <w:rPr>
          <w:rFonts w:hint="eastAsia" w:ascii="宋体" w:hAnsi="宋体"/>
          <w:color w:val="auto"/>
          <w:sz w:val="24"/>
          <w:highlight w:val="none"/>
        </w:rPr>
        <w:t xml:space="preserve">        联系电话：0572-2555370</w:t>
      </w:r>
    </w:p>
    <w:p>
      <w:pPr>
        <w:pStyle w:val="2"/>
        <w:rPr>
          <w:color w:val="auto"/>
          <w:highlight w:val="none"/>
        </w:rPr>
      </w:pPr>
    </w:p>
    <w:p>
      <w:pPr>
        <w:snapToGrid w:val="0"/>
        <w:spacing w:line="360" w:lineRule="auto"/>
        <w:ind w:firstLine="470" w:firstLineChars="196"/>
        <w:rPr>
          <w:rFonts w:ascii="宋体" w:hAnsi="宋体" w:cs="宋体"/>
          <w:color w:val="auto"/>
          <w:sz w:val="24"/>
          <w:highlight w:val="none"/>
        </w:rPr>
      </w:pPr>
      <w:r>
        <w:rPr>
          <w:rFonts w:hint="eastAsia" w:ascii="宋体" w:hAnsi="宋体" w:cs="Arial"/>
          <w:color w:val="auto"/>
          <w:sz w:val="24"/>
          <w:highlight w:val="none"/>
        </w:rPr>
        <w:t>3.同级政府采购监督管理部门名称：</w:t>
      </w:r>
      <w:r>
        <w:rPr>
          <w:rFonts w:hint="eastAsia" w:ascii="宋体" w:hAnsi="宋体" w:cs="宋体"/>
          <w:color w:val="auto"/>
          <w:sz w:val="24"/>
          <w:highlight w:val="none"/>
        </w:rPr>
        <w:t>湖州市财政局采监处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地址：湖州市龙王山路518号</w:t>
      </w:r>
    </w:p>
    <w:p>
      <w:pPr>
        <w:snapToGrid w:val="0"/>
        <w:spacing w:line="360" w:lineRule="auto"/>
        <w:ind w:firstLine="470" w:firstLineChars="196"/>
        <w:rPr>
          <w:rFonts w:ascii="宋体" w:hAnsi="宋体" w:cs="Arial"/>
          <w:color w:val="auto"/>
          <w:sz w:val="24"/>
          <w:highlight w:val="none"/>
        </w:rPr>
      </w:pPr>
      <w:r>
        <w:rPr>
          <w:rFonts w:hint="eastAsia" w:ascii="宋体" w:hAnsi="宋体" w:cs="Arial"/>
          <w:color w:val="auto"/>
          <w:sz w:val="24"/>
          <w:highlight w:val="none"/>
        </w:rPr>
        <w:t>联系人：程先生；监督投诉电话：0572-</w:t>
      </w:r>
      <w:r>
        <w:rPr>
          <w:rFonts w:ascii="宋体" w:hAnsi="宋体" w:cs="宋体"/>
          <w:color w:val="auto"/>
          <w:sz w:val="24"/>
          <w:highlight w:val="none"/>
        </w:rPr>
        <w:t>2150216</w:t>
      </w:r>
    </w:p>
    <w:p>
      <w:pPr>
        <w:snapToGrid w:val="0"/>
        <w:spacing w:line="360" w:lineRule="auto"/>
        <w:ind w:left="238" w:firstLine="240" w:firstLineChars="100"/>
        <w:rPr>
          <w:rFonts w:ascii="宋体" w:hAnsi="宋体"/>
          <w:color w:val="auto"/>
          <w:sz w:val="24"/>
          <w:highlight w:val="none"/>
        </w:rPr>
      </w:pPr>
      <w:r>
        <w:rPr>
          <w:rFonts w:hint="eastAsia" w:ascii="宋体" w:hAnsi="宋体" w:cs="Arial"/>
          <w:color w:val="auto"/>
          <w:sz w:val="24"/>
          <w:highlight w:val="none"/>
        </w:rPr>
        <w:t xml:space="preserve">                                                     湖州市中心医院</w:t>
      </w:r>
    </w:p>
    <w:p>
      <w:pPr>
        <w:snapToGrid w:val="0"/>
        <w:spacing w:line="360" w:lineRule="auto"/>
        <w:ind w:left="238"/>
        <w:jc w:val="center"/>
        <w:rPr>
          <w:rFonts w:ascii="宋体" w:hAnsi="宋体"/>
          <w:color w:val="auto"/>
          <w:sz w:val="24"/>
          <w:highlight w:val="none"/>
        </w:rPr>
      </w:pPr>
      <w:r>
        <w:rPr>
          <w:rFonts w:hint="eastAsia" w:ascii="宋体" w:hAnsi="宋体"/>
          <w:color w:val="auto"/>
          <w:sz w:val="24"/>
          <w:highlight w:val="none"/>
        </w:rPr>
        <w:t xml:space="preserve">                                                 浙江华耀建设咨询有限公司</w:t>
      </w:r>
    </w:p>
    <w:p>
      <w:pPr>
        <w:snapToGrid w:val="0"/>
        <w:spacing w:line="360" w:lineRule="auto"/>
        <w:ind w:left="238"/>
        <w:jc w:val="center"/>
        <w:rPr>
          <w:rFonts w:ascii="宋体" w:hAnsi="宋体"/>
          <w:color w:val="auto"/>
          <w:sz w:val="24"/>
          <w:highlight w:val="none"/>
        </w:rPr>
      </w:pPr>
      <w:r>
        <w:rPr>
          <w:rFonts w:hint="eastAsia" w:ascii="宋体" w:hAnsi="宋体"/>
          <w:color w:val="auto"/>
          <w:sz w:val="24"/>
          <w:highlight w:val="none"/>
        </w:rPr>
        <w:t xml:space="preserve">                                                 2025年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w:t>
      </w:r>
    </w:p>
    <w:p>
      <w:pPr>
        <w:jc w:val="left"/>
        <w:rPr>
          <w:rFonts w:ascii="宋体" w:hAnsi="宋体" w:cs="仿宋"/>
          <w:b/>
          <w:color w:val="auto"/>
          <w:sz w:val="24"/>
          <w:highlight w:val="none"/>
        </w:rPr>
      </w:pPr>
      <w:r>
        <w:rPr>
          <w:rFonts w:hint="eastAsia" w:ascii="宋体" w:hAnsi="宋体" w:cs="仿宋"/>
          <w:b/>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rPr>
          <w:rFonts w:ascii="宋体" w:hAnsi="宋体" w:cs="仿宋"/>
          <w:b/>
          <w:color w:val="auto"/>
          <w:sz w:val="24"/>
          <w:highlight w:val="none"/>
        </w:rPr>
      </w:pPr>
      <w:r>
        <w:rPr>
          <w:rFonts w:hint="eastAsia" w:ascii="宋体" w:hAnsi="宋体" w:cs="仿宋"/>
          <w:b/>
          <w:color w:val="auto"/>
          <w:sz w:val="24"/>
          <w:highlight w:val="none"/>
        </w:rPr>
        <w:t>CA问题联系电话（人工）：汇信CA 400-888-4636；天谷CA 400-087-8198。</w:t>
      </w:r>
    </w:p>
    <w:p>
      <w:pPr>
        <w:pStyle w:val="11"/>
        <w:rPr>
          <w:color w:val="auto"/>
          <w:highlight w:val="none"/>
        </w:rPr>
      </w:pPr>
    </w:p>
    <w:p>
      <w:pPr>
        <w:rPr>
          <w:rFonts w:ascii="宋体" w:hAnsi="宋体"/>
          <w:b/>
          <w:color w:val="auto"/>
          <w:sz w:val="30"/>
          <w:szCs w:val="30"/>
          <w:highlight w:val="none"/>
        </w:rPr>
      </w:pPr>
      <w:r>
        <w:rPr>
          <w:rFonts w:hint="eastAsia" w:ascii="宋体" w:hAnsi="宋体"/>
          <w:b/>
          <w:color w:val="auto"/>
          <w:sz w:val="30"/>
          <w:szCs w:val="30"/>
          <w:highlight w:val="none"/>
        </w:rPr>
        <w:br w:type="page"/>
      </w:r>
    </w:p>
    <w:p>
      <w:pPr>
        <w:snapToGrid w:val="0"/>
        <w:spacing w:line="360" w:lineRule="auto"/>
        <w:ind w:left="238"/>
        <w:jc w:val="center"/>
        <w:rPr>
          <w:rFonts w:ascii="宋体" w:hAnsi="宋体"/>
          <w:b/>
          <w:color w:val="auto"/>
          <w:sz w:val="30"/>
          <w:szCs w:val="30"/>
          <w:highlight w:val="none"/>
        </w:rPr>
      </w:pPr>
      <w:r>
        <w:rPr>
          <w:rFonts w:hint="eastAsia" w:ascii="宋体" w:hAnsi="宋体"/>
          <w:b/>
          <w:color w:val="auto"/>
          <w:sz w:val="30"/>
          <w:szCs w:val="30"/>
          <w:highlight w:val="none"/>
        </w:rPr>
        <w:t>第二章  招标需求</w:t>
      </w:r>
    </w:p>
    <w:p>
      <w:pPr>
        <w:widowControl/>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一、采购项目名称：湖州市中心医院2025-2028年度机电运维管理项目</w:t>
      </w:r>
    </w:p>
    <w:p>
      <w:pPr>
        <w:widowControl/>
        <w:spacing w:line="360" w:lineRule="auto"/>
        <w:ind w:firstLine="482" w:firstLineChars="200"/>
        <w:rPr>
          <w:rFonts w:hint="eastAsia" w:ascii="宋体" w:hAnsi="宋体" w:eastAsia="宋体"/>
          <w:b/>
          <w:color w:val="auto"/>
          <w:sz w:val="24"/>
          <w:highlight w:val="none"/>
          <w:lang w:eastAsia="zh-CN"/>
        </w:rPr>
      </w:pPr>
      <w:r>
        <w:rPr>
          <w:rFonts w:hint="eastAsia" w:ascii="宋体" w:hAnsi="宋体"/>
          <w:b/>
          <w:color w:val="auto"/>
          <w:sz w:val="24"/>
          <w:highlight w:val="none"/>
        </w:rPr>
        <w:t>二、采购项目编号：</w:t>
      </w:r>
      <w:r>
        <w:rPr>
          <w:rFonts w:hint="eastAsia" w:ascii="宋体" w:hAnsi="宋体"/>
          <w:b/>
          <w:color w:val="auto"/>
          <w:sz w:val="24"/>
          <w:highlight w:val="none"/>
          <w:lang w:eastAsia="zh-CN"/>
        </w:rPr>
        <w:t>HYHZ2025-54（1）</w:t>
      </w:r>
    </w:p>
    <w:p>
      <w:pPr>
        <w:widowControl/>
        <w:spacing w:line="360" w:lineRule="auto"/>
        <w:ind w:firstLine="482" w:firstLineChars="200"/>
        <w:outlineLvl w:val="1"/>
        <w:rPr>
          <w:rFonts w:hint="eastAsia" w:ascii="宋体" w:hAnsi="宋体"/>
          <w:b/>
          <w:color w:val="auto"/>
          <w:sz w:val="24"/>
          <w:highlight w:val="none"/>
        </w:rPr>
      </w:pPr>
      <w:r>
        <w:rPr>
          <w:rFonts w:hint="eastAsia" w:ascii="宋体" w:hAnsi="宋体"/>
          <w:b/>
          <w:color w:val="auto"/>
          <w:sz w:val="24"/>
          <w:highlight w:val="none"/>
        </w:rPr>
        <w:t>三、采购项目预算：人民币</w:t>
      </w:r>
      <w:r>
        <w:rPr>
          <w:rFonts w:hint="eastAsia" w:ascii="宋体" w:hAnsi="宋体"/>
          <w:b/>
          <w:color w:val="auto"/>
          <w:sz w:val="24"/>
          <w:highlight w:val="none"/>
          <w:lang w:eastAsia="zh-CN"/>
        </w:rPr>
        <w:t>壹仟伍佰万</w:t>
      </w:r>
      <w:r>
        <w:rPr>
          <w:rFonts w:hint="eastAsia" w:ascii="宋体" w:hAnsi="宋体"/>
          <w:b/>
          <w:color w:val="auto"/>
          <w:sz w:val="24"/>
          <w:highlight w:val="none"/>
        </w:rPr>
        <w:t>元整（￥</w:t>
      </w:r>
      <w:r>
        <w:rPr>
          <w:rFonts w:hint="eastAsia" w:ascii="宋体" w:hAnsi="宋体"/>
          <w:b/>
          <w:color w:val="auto"/>
          <w:sz w:val="24"/>
          <w:highlight w:val="none"/>
          <w:lang w:val="en-US" w:eastAsia="zh-CN"/>
        </w:rPr>
        <w:t>15000000.00</w:t>
      </w:r>
      <w:r>
        <w:rPr>
          <w:rFonts w:hint="eastAsia" w:ascii="宋体" w:hAnsi="宋体"/>
          <w:b/>
          <w:color w:val="auto"/>
          <w:sz w:val="24"/>
          <w:highlight w:val="none"/>
        </w:rPr>
        <w:t>）</w:t>
      </w:r>
    </w:p>
    <w:p>
      <w:pPr>
        <w:widowControl/>
        <w:spacing w:line="360" w:lineRule="auto"/>
        <w:ind w:firstLine="482" w:firstLineChars="200"/>
        <w:outlineLvl w:val="1"/>
        <w:rPr>
          <w:rFonts w:hint="eastAsia" w:ascii="宋体" w:hAnsi="宋体"/>
          <w:b/>
          <w:color w:val="auto"/>
          <w:sz w:val="24"/>
          <w:highlight w:val="none"/>
        </w:rPr>
      </w:pPr>
      <w:r>
        <w:rPr>
          <w:rFonts w:hint="eastAsia" w:ascii="宋体" w:hAnsi="宋体"/>
          <w:b/>
          <w:color w:val="auto"/>
          <w:sz w:val="24"/>
          <w:highlight w:val="none"/>
        </w:rPr>
        <w:t>四、最高限价：</w:t>
      </w:r>
      <w:r>
        <w:rPr>
          <w:rFonts w:hint="eastAsia" w:ascii="宋体" w:hAnsi="宋体"/>
          <w:b/>
          <w:color w:val="auto"/>
          <w:sz w:val="24"/>
          <w:highlight w:val="none"/>
          <w:lang w:val="en-US" w:eastAsia="zh-CN"/>
        </w:rPr>
        <w:t>14149800元</w:t>
      </w:r>
    </w:p>
    <w:p>
      <w:pPr>
        <w:widowControl/>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五、采购项目实施地点：采购人指定地点</w:t>
      </w:r>
    </w:p>
    <w:p>
      <w:pPr>
        <w:widowControl/>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lang w:eastAsia="zh-CN"/>
        </w:rPr>
        <w:t>六</w:t>
      </w:r>
      <w:r>
        <w:rPr>
          <w:rFonts w:hint="eastAsia" w:ascii="宋体" w:hAnsi="宋体"/>
          <w:b/>
          <w:color w:val="auto"/>
          <w:sz w:val="24"/>
          <w:highlight w:val="none"/>
        </w:rPr>
        <w:t>、采购项目服务要求：</w:t>
      </w:r>
    </w:p>
    <w:p>
      <w:pPr>
        <w:spacing w:line="360" w:lineRule="auto"/>
        <w:ind w:firstLine="482" w:firstLineChars="200"/>
        <w:rPr>
          <w:rFonts w:asciiTheme="majorEastAsia" w:hAnsiTheme="majorEastAsia" w:eastAsiaTheme="majorEastAsia"/>
          <w:b/>
          <w:color w:val="auto"/>
          <w:sz w:val="24"/>
          <w:highlight w:val="none"/>
        </w:rPr>
      </w:pPr>
      <w:r>
        <w:rPr>
          <w:rFonts w:hint="eastAsia" w:cs="Arial" w:asciiTheme="majorEastAsia" w:hAnsiTheme="majorEastAsia" w:eastAsiaTheme="majorEastAsia"/>
          <w:b/>
          <w:bCs/>
          <w:color w:val="auto"/>
          <w:sz w:val="24"/>
          <w:highlight w:val="none"/>
        </w:rPr>
        <w:t>（一）</w:t>
      </w:r>
      <w:r>
        <w:rPr>
          <w:rFonts w:hint="eastAsia" w:asciiTheme="majorEastAsia" w:hAnsiTheme="majorEastAsia" w:eastAsiaTheme="majorEastAsia"/>
          <w:b/>
          <w:color w:val="auto"/>
          <w:sz w:val="24"/>
          <w:highlight w:val="none"/>
        </w:rPr>
        <w:t>采购项目概况</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1.负责对医院供配电系统、给排水系统、空调通风系统、医用气体系统、净化空调系统进行运行管理；</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2.对各类建筑设施设备、建筑装饰工程等进行维护管理；</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3.负责各种工程运维台账的收集归档工作；</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4.负责制定年度、月度运维计划；</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5.协助院方进行管理范围内设备、设施的更新、改造和大、中修计划的实施；</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6.定期进行安全生产检查；</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7.定期进行安全生产培训和应急安全演练；</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8.完成医院布置的其他工作任务等。</w:t>
      </w:r>
    </w:p>
    <w:p>
      <w:pPr>
        <w:spacing w:line="360" w:lineRule="auto"/>
        <w:ind w:firstLine="482" w:firstLineChars="200"/>
        <w:rPr>
          <w:rFonts w:cs="Arial" w:asciiTheme="majorEastAsia" w:hAnsiTheme="majorEastAsia" w:eastAsiaTheme="majorEastAsia"/>
          <w:b/>
          <w:bCs/>
          <w:color w:val="auto"/>
          <w:sz w:val="24"/>
          <w:highlight w:val="none"/>
        </w:rPr>
      </w:pPr>
    </w:p>
    <w:p>
      <w:pPr>
        <w:spacing w:line="360" w:lineRule="auto"/>
        <w:ind w:firstLine="482" w:firstLineChars="200"/>
        <w:rPr>
          <w:rFonts w:asciiTheme="majorEastAsia" w:hAnsiTheme="majorEastAsia" w:eastAsiaTheme="majorEastAsia"/>
          <w:color w:val="auto"/>
          <w:sz w:val="24"/>
          <w:highlight w:val="none"/>
        </w:rPr>
      </w:pPr>
      <w:bookmarkStart w:id="12" w:name="OLE_LINK28"/>
      <w:bookmarkStart w:id="13" w:name="OLE_LINK27"/>
      <w:r>
        <w:rPr>
          <w:rFonts w:hint="eastAsia" w:cs="Arial" w:asciiTheme="majorEastAsia" w:hAnsiTheme="majorEastAsia" w:eastAsiaTheme="majorEastAsia"/>
          <w:b/>
          <w:bCs/>
          <w:color w:val="auto"/>
          <w:sz w:val="24"/>
          <w:highlight w:val="none"/>
        </w:rPr>
        <w:t>（二）</w:t>
      </w:r>
      <w:bookmarkStart w:id="14" w:name="OLE_LINK22"/>
      <w:bookmarkStart w:id="15" w:name="OLE_LINK21"/>
      <w:r>
        <w:rPr>
          <w:rFonts w:hint="eastAsia" w:cs="宋体" w:asciiTheme="majorEastAsia" w:hAnsiTheme="majorEastAsia" w:eastAsiaTheme="majorEastAsia"/>
          <w:b/>
          <w:color w:val="auto"/>
          <w:sz w:val="24"/>
          <w:highlight w:val="none"/>
        </w:rPr>
        <w:t>管</w:t>
      </w:r>
      <w:bookmarkEnd w:id="12"/>
      <w:bookmarkEnd w:id="13"/>
      <w:r>
        <w:rPr>
          <w:rFonts w:hint="eastAsia" w:cs="宋体" w:asciiTheme="majorEastAsia" w:hAnsiTheme="majorEastAsia" w:eastAsiaTheme="majorEastAsia"/>
          <w:b/>
          <w:color w:val="auto"/>
          <w:sz w:val="24"/>
          <w:highlight w:val="none"/>
        </w:rPr>
        <w:t>理服务范围及要求</w:t>
      </w:r>
    </w:p>
    <w:bookmarkEnd w:id="14"/>
    <w:bookmarkEnd w:id="15"/>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1.对高配电设施配电设备的日常巡检、维护、保养；</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2.对气体机房设备的日常维护；</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3.对手术室、重症、供应室净化空调系统螺杆制冷机的日常管理维护保养；</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4.全院木制家具、门窗、五金设施的及时维修和保养工作；</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5.负责全院后勤类电气设备、设施的维修保养；</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6.医院水泵房设备及供水、下水系统日常管理与维修；</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7.医院内各区域空调通风系统的日常管理与维修；</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8.负责开发区分院范围内水、电、医用气体系统及后勤设施设备的日常维修、巡检等工作；</w:t>
      </w:r>
    </w:p>
    <w:p>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9.配合医院主管部门完成临时分配的其他任务（例如文明城市检查）或阶段性任务（例如等级医院评审）等。</w:t>
      </w:r>
    </w:p>
    <w:p>
      <w:pPr>
        <w:spacing w:line="360" w:lineRule="auto"/>
        <w:ind w:firstLine="482" w:firstLineChars="200"/>
        <w:rPr>
          <w:rFonts w:cs="Arial" w:asciiTheme="majorEastAsia" w:hAnsiTheme="majorEastAsia" w:eastAsiaTheme="majorEastAsia"/>
          <w:b/>
          <w:bCs/>
          <w:color w:val="auto"/>
          <w:sz w:val="24"/>
          <w:highlight w:val="none"/>
        </w:rPr>
      </w:pPr>
    </w:p>
    <w:p>
      <w:pPr>
        <w:spacing w:line="360" w:lineRule="auto"/>
        <w:ind w:firstLine="482" w:firstLineChars="200"/>
        <w:rPr>
          <w:rFonts w:cs="宋体" w:asciiTheme="majorEastAsia" w:hAnsiTheme="majorEastAsia" w:eastAsiaTheme="majorEastAsia"/>
          <w:b/>
          <w:color w:val="auto"/>
          <w:sz w:val="24"/>
          <w:highlight w:val="none"/>
        </w:rPr>
      </w:pPr>
      <w:r>
        <w:rPr>
          <w:rFonts w:hint="eastAsia" w:cs="Arial" w:asciiTheme="majorEastAsia" w:hAnsiTheme="majorEastAsia" w:eastAsiaTheme="majorEastAsia"/>
          <w:b/>
          <w:bCs/>
          <w:color w:val="auto"/>
          <w:sz w:val="24"/>
          <w:highlight w:val="none"/>
        </w:rPr>
        <w:t>（三）</w:t>
      </w:r>
      <w:r>
        <w:rPr>
          <w:rFonts w:hint="eastAsia" w:cs="宋体" w:asciiTheme="majorEastAsia" w:hAnsiTheme="majorEastAsia" w:eastAsiaTheme="majorEastAsia"/>
          <w:b/>
          <w:color w:val="auto"/>
          <w:sz w:val="24"/>
          <w:highlight w:val="none"/>
        </w:rPr>
        <w:t>项目要求</w:t>
      </w:r>
    </w:p>
    <w:p>
      <w:pPr>
        <w:spacing w:line="360" w:lineRule="auto"/>
        <w:ind w:firstLine="482" w:firstLineChars="200"/>
        <w:rPr>
          <w:rFonts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1</w:t>
      </w:r>
      <w:r>
        <w:rPr>
          <w:rFonts w:hint="eastAsia" w:asciiTheme="majorEastAsia" w:hAnsiTheme="majorEastAsia" w:eastAsiaTheme="majorEastAsia"/>
          <w:b/>
          <w:color w:val="auto"/>
          <w:sz w:val="24"/>
          <w:highlight w:val="none"/>
        </w:rPr>
        <w:t>综合管理</w:t>
      </w:r>
    </w:p>
    <w:p>
      <w:pPr>
        <w:spacing w:line="360" w:lineRule="auto"/>
        <w:ind w:firstLine="480" w:firstLineChars="200"/>
        <w:rPr>
          <w:rFonts w:cs="宋体" w:asciiTheme="majorEastAsia" w:hAnsiTheme="majorEastAsia" w:eastAsiaTheme="majorEastAsia"/>
          <w:color w:val="auto"/>
          <w:sz w:val="24"/>
          <w:highlight w:val="none"/>
        </w:rPr>
      </w:pPr>
      <w:r>
        <w:rPr>
          <w:rFonts w:hint="eastAsia" w:asciiTheme="majorEastAsia" w:hAnsiTheme="majorEastAsia" w:eastAsiaTheme="majorEastAsia"/>
          <w:bCs/>
          <w:color w:val="auto"/>
          <w:sz w:val="24"/>
          <w:highlight w:val="none"/>
        </w:rPr>
        <w:t>1.1建立</w:t>
      </w:r>
      <w:r>
        <w:rPr>
          <w:rFonts w:hint="eastAsia" w:cs="宋体" w:asciiTheme="majorEastAsia" w:hAnsiTheme="majorEastAsia" w:eastAsiaTheme="majorEastAsia"/>
          <w:color w:val="auto"/>
          <w:sz w:val="24"/>
          <w:highlight w:val="none"/>
        </w:rPr>
        <w:t>健全管理制度，明确各种岗位工作标准，并制定具体的落实措施和考核办法；</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1.2设备图纸、档案资料管理完善、收集齐全，分类清晰；建立设备台账，登记详细，账物相符；</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1.3设备机房环境整洁卫生，物品摆放有序。机房内严禁吸烟、饮酒等与工作不相符的事宜，无关人员不得随意入内；</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1.4落实设备安全运行岗位责任制；分工明确，定期巡检和维护保养设备，严格执行有关维修保养规程和操作使用规程，并按规定记录设备运行状况；</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1.5专业技术人员按行业规定持证上岗，着装规范，佩戴标志明显，服务规范，作风严谨；</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1.6</w:t>
      </w:r>
      <w:r>
        <w:rPr>
          <w:rFonts w:hint="eastAsia" w:asciiTheme="majorEastAsia" w:hAnsiTheme="majorEastAsia" w:eastAsiaTheme="majorEastAsia"/>
          <w:color w:val="auto"/>
          <w:sz w:val="24"/>
          <w:highlight w:val="none"/>
        </w:rPr>
        <w:t>进一步做好各类设备管理台账，记录各类</w:t>
      </w:r>
      <w:r>
        <w:rPr>
          <w:rFonts w:asciiTheme="majorEastAsia" w:hAnsiTheme="majorEastAsia" w:eastAsiaTheme="majorEastAsia"/>
          <w:color w:val="auto"/>
          <w:sz w:val="24"/>
          <w:highlight w:val="none"/>
        </w:rPr>
        <w:t>维</w:t>
      </w:r>
      <w:r>
        <w:rPr>
          <w:rFonts w:hint="eastAsia" w:asciiTheme="majorEastAsia" w:hAnsiTheme="majorEastAsia" w:eastAsiaTheme="majorEastAsia"/>
          <w:color w:val="auto"/>
          <w:sz w:val="24"/>
          <w:highlight w:val="none"/>
        </w:rPr>
        <w:t>修</w:t>
      </w:r>
      <w:r>
        <w:rPr>
          <w:rFonts w:asciiTheme="majorEastAsia" w:hAnsiTheme="majorEastAsia" w:eastAsiaTheme="majorEastAsia"/>
          <w:color w:val="auto"/>
          <w:sz w:val="24"/>
          <w:highlight w:val="none"/>
        </w:rPr>
        <w:t>材料损耗</w:t>
      </w:r>
      <w:r>
        <w:rPr>
          <w:rFonts w:hint="eastAsia" w:asciiTheme="majorEastAsia" w:hAnsiTheme="majorEastAsia" w:eastAsiaTheme="majorEastAsia"/>
          <w:color w:val="auto"/>
          <w:sz w:val="24"/>
          <w:highlight w:val="none"/>
        </w:rPr>
        <w:t>及流向</w:t>
      </w:r>
      <w:r>
        <w:rPr>
          <w:rFonts w:asciiTheme="majorEastAsia" w:hAnsiTheme="majorEastAsia" w:eastAsiaTheme="majorEastAsia"/>
          <w:color w:val="auto"/>
          <w:sz w:val="24"/>
          <w:highlight w:val="none"/>
        </w:rPr>
        <w:t>情况</w:t>
      </w:r>
      <w:r>
        <w:rPr>
          <w:rFonts w:hint="eastAsia" w:asciiTheme="majorEastAsia" w:hAnsiTheme="majorEastAsia" w:eastAsiaTheme="majorEastAsia"/>
          <w:color w:val="auto"/>
          <w:sz w:val="24"/>
          <w:highlight w:val="none"/>
        </w:rPr>
        <w:t>，并定期分析物耗情况</w:t>
      </w:r>
      <w:r>
        <w:rPr>
          <w:rFonts w:asciiTheme="majorEastAsia" w:hAnsiTheme="majorEastAsia" w:eastAsiaTheme="majorEastAsia"/>
          <w:color w:val="auto"/>
          <w:sz w:val="24"/>
          <w:highlight w:val="none"/>
        </w:rPr>
        <w:t>。</w:t>
      </w:r>
      <w:r>
        <w:rPr>
          <w:rFonts w:hint="eastAsia" w:asciiTheme="majorEastAsia" w:hAnsiTheme="majorEastAsia" w:eastAsiaTheme="majorEastAsia"/>
          <w:bCs/>
          <w:color w:val="auto"/>
          <w:sz w:val="24"/>
          <w:highlight w:val="none"/>
        </w:rPr>
        <w:t>每月公开一次维修人员考核考勤情况及维护材料损耗情况；</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1.7严格24小时值班值勤制度，设立服务电话，接受采购人管理服务报修、求助、建议、问询、质疑、投诉等各类信息的收集和反馈，并及时处理，有回访制度和记录；</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1.8定期发放后勤设备设施管理服务工作征求意见单，接受合理化建议并及时整改，杜绝员工违纪现象发生；</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1.9兑现设备维修服务承诺，接报修10分钟内赶到现场维修。在设备维修过程中，非常规故障维修期限小修为6小时；中修12小时；大修24小时。要保证维修质量，减少返修，并有回访记录；</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1.10制订和完善各类设备系统突发事件应急处置预案；</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1.11对员工有培训（入院前培训、业务培训、安全培训、应急处置培训等），并为有职业资格要求的运行维修人员提供继续教育和考证经费保障。</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color w:val="auto"/>
          <w:sz w:val="24"/>
          <w:highlight w:val="none"/>
        </w:rPr>
        <w:t>1.12保持员工队伍相对稳定，调动技术骨干，须提前告知招标采购单位。按招、投标文件岗位配置配足员工，不得擅自减少。经抽查，发现员工数减少，且无正当理由，采购人有权按实际减少的人数扣除相应的人均管理服务费，同时要求中标供应商补足规定人数。</w:t>
      </w:r>
    </w:p>
    <w:p>
      <w:pPr>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2具体设施设备管理</w:t>
      </w:r>
    </w:p>
    <w:p>
      <w:pPr>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2.1高压配电：</w:t>
      </w:r>
    </w:p>
    <w:p>
      <w:pPr>
        <w:spacing w:line="360" w:lineRule="auto"/>
        <w:ind w:firstLine="480"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Cs/>
          <w:color w:val="auto"/>
          <w:sz w:val="24"/>
          <w:highlight w:val="none"/>
        </w:rPr>
        <w:t>高配电必须实行24小时</w:t>
      </w:r>
      <w:r>
        <w:rPr>
          <w:rFonts w:hint="eastAsia" w:asciiTheme="majorEastAsia" w:hAnsiTheme="majorEastAsia" w:eastAsiaTheme="majorEastAsia"/>
          <w:bCs/>
          <w:color w:val="auto"/>
          <w:sz w:val="24"/>
          <w:highlight w:val="none"/>
          <w:lang w:val="en-US" w:eastAsia="zh-CN"/>
        </w:rPr>
        <w:t>倒班制</w:t>
      </w:r>
      <w:r>
        <w:rPr>
          <w:rFonts w:hint="eastAsia" w:asciiTheme="majorEastAsia" w:hAnsiTheme="majorEastAsia" w:eastAsiaTheme="majorEastAsia"/>
          <w:bCs/>
          <w:color w:val="auto"/>
          <w:sz w:val="24"/>
          <w:highlight w:val="none"/>
        </w:rPr>
        <w:t>，并确保双人双岗，其中1人为正值，1人为副值，同时负责对配电设备的日常巡检、维护、保养，以上人员均需高压电工作业证。要求运行人员熟悉和掌握医院电力设施的功能和操作规程；按照制度对电力设施进行巡视、检查、维护和保养，保证电力设施处于正常运行状态；发现故障应在确认后按相关操作规程及时排除；不能确定、不能及时排除的应立即向部门主管人员报告；做好维护管理高压、低压设备运行记录；完成科室交办的其他事项。</w:t>
      </w:r>
    </w:p>
    <w:p>
      <w:pPr>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2.2医用气体（氧气、负压吸引、压缩空气等）：</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实行24小时值</w:t>
      </w:r>
      <w:r>
        <w:rPr>
          <w:rFonts w:hint="eastAsia" w:asciiTheme="majorEastAsia" w:hAnsiTheme="majorEastAsia" w:eastAsiaTheme="majorEastAsia"/>
          <w:bCs/>
          <w:color w:val="auto"/>
          <w:sz w:val="24"/>
          <w:highlight w:val="none"/>
          <w:lang w:val="en-US" w:eastAsia="zh-CN"/>
        </w:rPr>
        <w:t>倒班制</w:t>
      </w:r>
      <w:r>
        <w:rPr>
          <w:rFonts w:hint="eastAsia" w:asciiTheme="majorEastAsia" w:hAnsiTheme="majorEastAsia" w:eastAsiaTheme="majorEastAsia"/>
          <w:bCs/>
          <w:color w:val="auto"/>
          <w:sz w:val="24"/>
          <w:highlight w:val="none"/>
        </w:rPr>
        <w:t>，工作人员需持特种设备上岗证。负责对气体机房设备的日常维护，对供氧系统、吸引系统、压缩空气系统等的维护，负责瓶氧、氮气、二氧化碳等瓶装特种气体的管理和配送，对设备仪表的监测，应急情况的处理，岗位的值守，应熟悉中心供氧和中心吸引全套管网系统，按要求进行巡视，及时掌握设备运行情况，并做好记录，注意并排除操作中所发现的异常现象，并完成科室交办的其他事项。</w:t>
      </w:r>
    </w:p>
    <w:p>
      <w:pPr>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2.3净化空调24小时机组运转值班：</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净化空调涉及手术室、ICU、供应室等区域的环境参数，实行24小时</w:t>
      </w:r>
      <w:r>
        <w:rPr>
          <w:rFonts w:hint="eastAsia" w:asciiTheme="majorEastAsia" w:hAnsiTheme="majorEastAsia" w:eastAsiaTheme="majorEastAsia"/>
          <w:bCs/>
          <w:color w:val="auto"/>
          <w:sz w:val="24"/>
          <w:highlight w:val="none"/>
          <w:lang w:val="en-US" w:eastAsia="zh-CN"/>
        </w:rPr>
        <w:t>倒班制</w:t>
      </w:r>
      <w:r>
        <w:rPr>
          <w:rFonts w:hint="eastAsia" w:asciiTheme="majorEastAsia" w:hAnsiTheme="majorEastAsia" w:eastAsiaTheme="majorEastAsia"/>
          <w:bCs/>
          <w:color w:val="auto"/>
          <w:sz w:val="24"/>
          <w:highlight w:val="none"/>
        </w:rPr>
        <w:t>，配备人员不得空岗，工作人员均需低压电工作业证。运行人员严格执行各项规章制度及操作规程，熟悉净化层流系统设备的工作原理、性能等，确保净化系统安全、经济运行；认真填写相关运行记录、交接班记录、巡视检查记录、人员出入记录等。负责对手术室、重症、供应室净化空调系统螺杆制冷机的日常管理维护保养，对净化机组各参数的日常监测，对过滤网的定期清洗更换，运维台账的整理；并完成科室交办的其他事项。</w:t>
      </w:r>
    </w:p>
    <w:p>
      <w:pPr>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2.4</w:t>
      </w:r>
      <w:r>
        <w:rPr>
          <w:rFonts w:hint="eastAsia" w:asciiTheme="majorEastAsia" w:hAnsiTheme="majorEastAsia" w:eastAsiaTheme="majorEastAsia"/>
          <w:b/>
          <w:color w:val="auto"/>
          <w:sz w:val="24"/>
          <w:highlight w:val="none"/>
          <w:lang w:val="en-US" w:eastAsia="zh-CN"/>
        </w:rPr>
        <w:t>综合维修</w:t>
      </w:r>
      <w:r>
        <w:rPr>
          <w:rFonts w:hint="eastAsia" w:asciiTheme="majorEastAsia" w:hAnsiTheme="majorEastAsia" w:eastAsiaTheme="majorEastAsia"/>
          <w:b/>
          <w:color w:val="auto"/>
          <w:sz w:val="24"/>
          <w:highlight w:val="none"/>
        </w:rPr>
        <w:t>：</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工作人员</w:t>
      </w:r>
      <w:r>
        <w:rPr>
          <w:rFonts w:hint="eastAsia" w:asciiTheme="majorEastAsia" w:hAnsiTheme="majorEastAsia" w:eastAsiaTheme="majorEastAsia"/>
          <w:bCs/>
          <w:color w:val="auto"/>
          <w:sz w:val="24"/>
          <w:highlight w:val="none"/>
          <w:lang w:val="en-US" w:eastAsia="zh-CN"/>
        </w:rPr>
        <w:t>全部需要低压电工作业证，其中不少于2人需持焊接与热切割作业证。排班实行常日班、白班夜班倒班制，其中夜班不少于4人。①</w:t>
      </w:r>
      <w:r>
        <w:rPr>
          <w:rFonts w:hint="eastAsia" w:asciiTheme="majorEastAsia" w:hAnsiTheme="majorEastAsia" w:eastAsiaTheme="majorEastAsia"/>
          <w:bCs/>
          <w:color w:val="auto"/>
          <w:sz w:val="24"/>
          <w:highlight w:val="none"/>
        </w:rPr>
        <w:t>全院木制家具、门窗；铝合金门窗、门锁、病床、各类推车、锁具、防盗门窗等五金设施的及时维修和保养工作，以确保医院各项工作的正常开展，并完成科室交办的其他事项。负责全院各类电气设备、设施的维修保养，使之正常、安全地运行，以确保医院各项工作的正常开展。协助</w:t>
      </w:r>
      <w:r>
        <w:rPr>
          <w:rFonts w:hint="eastAsia" w:asciiTheme="majorEastAsia" w:hAnsiTheme="majorEastAsia" w:eastAsiaTheme="majorEastAsia"/>
          <w:bCs/>
          <w:color w:val="auto"/>
          <w:sz w:val="24"/>
          <w:highlight w:val="none"/>
          <w:lang w:eastAsia="zh-CN"/>
        </w:rPr>
        <w:t>保卫后勤科</w:t>
      </w:r>
      <w:r>
        <w:rPr>
          <w:rFonts w:hint="eastAsia" w:asciiTheme="majorEastAsia" w:hAnsiTheme="majorEastAsia" w:eastAsiaTheme="majorEastAsia"/>
          <w:bCs/>
          <w:color w:val="auto"/>
          <w:sz w:val="24"/>
          <w:highlight w:val="none"/>
        </w:rPr>
        <w:t>制订本班组年度、季度维修工作计划，并使之达到医院的目标和标准。</w:t>
      </w:r>
      <w:r>
        <w:rPr>
          <w:rFonts w:hint="eastAsia" w:asciiTheme="majorEastAsia" w:hAnsiTheme="majorEastAsia" w:eastAsiaTheme="majorEastAsia"/>
          <w:bCs/>
          <w:color w:val="auto"/>
          <w:sz w:val="24"/>
          <w:highlight w:val="none"/>
          <w:lang w:val="en-US" w:eastAsia="zh-CN"/>
        </w:rPr>
        <w:t>②</w:t>
      </w:r>
      <w:r>
        <w:rPr>
          <w:rFonts w:hint="eastAsia" w:asciiTheme="majorEastAsia" w:hAnsiTheme="majorEastAsia" w:eastAsiaTheme="majorEastAsia"/>
          <w:bCs/>
          <w:color w:val="auto"/>
          <w:sz w:val="24"/>
          <w:highlight w:val="none"/>
        </w:rPr>
        <w:t>负责班组内的维修材料、设备资料的管理。完成所指派的各项临时性任务。相关设备周期性维护和检修，包括日常巡检、周检、月检、季检、年检；低压配电设施日常管理与维修；门禁系统的维护；气动物流系统的维护；后勤各电气化智能化设备的维护，照明系统、应急照明灯具更换等；各区域设备的定期巡查维修；做好应急情况的处置，并完成所指派的各项临时性任务。熟悉医院给排水系统设备的工作原理、性能等，确保给排水系统安全、经济运行；</w:t>
      </w:r>
      <w:r>
        <w:rPr>
          <w:rFonts w:hint="eastAsia" w:asciiTheme="majorEastAsia" w:hAnsiTheme="majorEastAsia" w:eastAsiaTheme="majorEastAsia"/>
          <w:bCs/>
          <w:color w:val="auto"/>
          <w:sz w:val="24"/>
          <w:highlight w:val="none"/>
          <w:lang w:val="en-US" w:eastAsia="zh-CN"/>
        </w:rPr>
        <w:t>③</w:t>
      </w:r>
      <w:r>
        <w:rPr>
          <w:rFonts w:hint="eastAsia" w:asciiTheme="majorEastAsia" w:hAnsiTheme="majorEastAsia" w:eastAsiaTheme="majorEastAsia"/>
          <w:bCs/>
          <w:color w:val="auto"/>
          <w:sz w:val="24"/>
          <w:highlight w:val="none"/>
        </w:rPr>
        <w:t>负责医院水泵房设备及供水、下水系统日常管理与维修；地下及地面水泵日常管理与维修；供气系统的维修；制订给排水事故应急处理方案。遇有突发应急事故，维修人员须在5分钟内抵现场抢修，杜绝大面积跑水、泛水或长时间停水现象，并完成所指派的各项临时性任务。</w:t>
      </w:r>
      <w:r>
        <w:rPr>
          <w:rFonts w:hint="eastAsia" w:asciiTheme="majorEastAsia" w:hAnsiTheme="majorEastAsia" w:eastAsiaTheme="majorEastAsia"/>
          <w:bCs/>
          <w:color w:val="auto"/>
          <w:sz w:val="24"/>
          <w:highlight w:val="none"/>
          <w:lang w:val="en-US" w:eastAsia="zh-CN"/>
        </w:rPr>
        <w:t>④</w:t>
      </w:r>
      <w:r>
        <w:rPr>
          <w:rFonts w:hint="eastAsia" w:asciiTheme="majorEastAsia" w:hAnsiTheme="majorEastAsia" w:eastAsiaTheme="majorEastAsia"/>
          <w:bCs/>
          <w:color w:val="auto"/>
          <w:sz w:val="24"/>
          <w:highlight w:val="none"/>
        </w:rPr>
        <w:t>负责医院内各区域空调通风系统的日常管理与维修；中央空调末端设备管理、维护、维修；中央空调末端机组过滤器的更换；各区域净化空调机组及末端设备的日常管理与维修；分体式空调设备的日常巡检，保养；</w:t>
      </w:r>
      <w:r>
        <w:rPr>
          <w:rFonts w:hint="eastAsia" w:asciiTheme="majorEastAsia" w:hAnsiTheme="majorEastAsia" w:eastAsiaTheme="majorEastAsia"/>
          <w:color w:val="auto"/>
          <w:sz w:val="24"/>
          <w:highlight w:val="none"/>
        </w:rPr>
        <w:t>无滴漏水现象，噪声不超过规定指标。负责与专业维保单位的联系及现场管理工作并做好</w:t>
      </w:r>
      <w:r>
        <w:rPr>
          <w:rFonts w:hint="eastAsia" w:asciiTheme="majorEastAsia" w:hAnsiTheme="majorEastAsia" w:eastAsiaTheme="majorEastAsia"/>
          <w:bCs/>
          <w:color w:val="auto"/>
          <w:sz w:val="24"/>
          <w:highlight w:val="none"/>
        </w:rPr>
        <w:t>应急情况的处置，并完成所指派的各项临时性任务。</w:t>
      </w:r>
      <w:r>
        <w:rPr>
          <w:rFonts w:hint="eastAsia" w:asciiTheme="majorEastAsia" w:hAnsiTheme="majorEastAsia" w:eastAsiaTheme="majorEastAsia"/>
          <w:bCs/>
          <w:color w:val="auto"/>
          <w:sz w:val="24"/>
          <w:highlight w:val="none"/>
          <w:lang w:val="en-US" w:eastAsia="zh-CN"/>
        </w:rPr>
        <w:t>⑤负责医院所有区域地面破损、瓷砖破损、管道油漆保养等维修工作。</w:t>
      </w:r>
    </w:p>
    <w:p>
      <w:pPr>
        <w:spacing w:line="360" w:lineRule="auto"/>
        <w:ind w:firstLine="482" w:firstLineChars="200"/>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2.</w:t>
      </w:r>
      <w:r>
        <w:rPr>
          <w:rFonts w:hint="eastAsia" w:asciiTheme="majorEastAsia" w:hAnsiTheme="majorEastAsia" w:eastAsiaTheme="majorEastAsia"/>
          <w:b/>
          <w:color w:val="auto"/>
          <w:sz w:val="24"/>
          <w:highlight w:val="none"/>
          <w:lang w:val="en-US" w:eastAsia="zh-CN"/>
        </w:rPr>
        <w:t>5</w:t>
      </w:r>
      <w:r>
        <w:rPr>
          <w:rFonts w:hint="eastAsia" w:asciiTheme="majorEastAsia" w:hAnsiTheme="majorEastAsia" w:eastAsiaTheme="majorEastAsia"/>
          <w:b/>
          <w:color w:val="auto"/>
          <w:sz w:val="24"/>
          <w:highlight w:val="none"/>
        </w:rPr>
        <w:t>信息化运维管理要求</w:t>
      </w:r>
    </w:p>
    <w:p>
      <w:pPr>
        <w:spacing w:line="360" w:lineRule="auto"/>
        <w:ind w:firstLine="480" w:firstLineChars="200"/>
        <w:rPr>
          <w:rFonts w:asciiTheme="majorEastAsia" w:hAnsiTheme="majorEastAsia" w:eastAsiaTheme="majorEastAsia"/>
          <w:bCs/>
          <w:color w:val="auto"/>
          <w:sz w:val="24"/>
          <w:highlight w:val="none"/>
        </w:rPr>
      </w:pPr>
      <w:bookmarkStart w:id="16" w:name="_Toc160789152"/>
      <w:r>
        <w:rPr>
          <w:rFonts w:hint="eastAsia" w:asciiTheme="majorEastAsia" w:hAnsiTheme="majorEastAsia" w:eastAsiaTheme="majorEastAsia"/>
          <w:bCs/>
          <w:color w:val="auto"/>
          <w:sz w:val="24"/>
          <w:highlight w:val="none"/>
        </w:rPr>
        <w:t>供应商需提供智能运维管理系统，目的是统一工作标准，提高工作效率，让医院的智能运维管理水平得到提升；智能运维管理平台应包含在线报修、业务统计、智能巡检、保养管理、设备管理、人员管理等基本功能。</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2.8.1具备在线报修功能：实在可在线报修，工单可以实现流程节点追溯。</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2.8.2具备业务统计功能：方便管理者对各班组及班组成员的工作进行考察、考核。</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2.8.3智能巡检、保养管理：日常巡检、保养实现在线自动计划派单，巡检人员可在线接受系统派单巡检任务及路线完成日常巡检、保养工作。</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2.8.4人员管理：对运维人员信息进行统一管理，为运维提供人员支持等。</w:t>
      </w:r>
      <w:bookmarkEnd w:id="16"/>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2.8.5设备管理：设备信息录入查询、实现设备台账可查可关联。</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2.8.6其他管理：满足且有利于工作需要的其他功能等。</w:t>
      </w:r>
    </w:p>
    <w:p>
      <w:pPr>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3人员要求说明</w:t>
      </w:r>
    </w:p>
    <w:p>
      <w:pPr>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3.1人员岗位需求</w:t>
      </w:r>
    </w:p>
    <w:p>
      <w:pPr>
        <w:spacing w:line="360" w:lineRule="auto"/>
        <w:ind w:firstLine="480" w:firstLineChars="200"/>
        <w:rPr>
          <w:rFonts w:hint="eastAsia"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机电运维项目供应商人员配备方案</w:t>
      </w:r>
      <w:r>
        <w:rPr>
          <w:rFonts w:hint="eastAsia" w:asciiTheme="majorEastAsia" w:hAnsiTheme="majorEastAsia" w:eastAsiaTheme="majorEastAsia"/>
          <w:bCs/>
          <w:color w:val="auto"/>
          <w:sz w:val="24"/>
          <w:highlight w:val="none"/>
          <w:lang w:eastAsia="zh-CN"/>
        </w:rPr>
        <w:t>，</w:t>
      </w:r>
      <w:r>
        <w:rPr>
          <w:rFonts w:hint="eastAsia" w:asciiTheme="majorEastAsia" w:hAnsiTheme="majorEastAsia" w:eastAsiaTheme="majorEastAsia"/>
          <w:bCs/>
          <w:color w:val="auto"/>
          <w:sz w:val="24"/>
          <w:highlight w:val="none"/>
          <w:lang w:val="en-US" w:eastAsia="zh-CN"/>
        </w:rPr>
        <w:t>其中常日班根据医院作息进行排班，其余实行白班夜班倒班制。</w:t>
      </w:r>
    </w:p>
    <w:tbl>
      <w:tblPr>
        <w:tblStyle w:val="28"/>
        <w:tblW w:w="9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959"/>
        <w:gridCol w:w="1160"/>
        <w:gridCol w:w="1020"/>
        <w:gridCol w:w="2728"/>
        <w:gridCol w:w="3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班组</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岗位</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组员数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供应商派驻人员</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配置说明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项目管理</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管理</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项目经理1人，主管兼文员1人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项目经理：年龄在50周岁以下，大专及以上学历，有一年及以上三甲医院管理工作经历。常日班，做六休一，每班8小时。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auto"/>
                <w:sz w:val="20"/>
                <w:szCs w:val="20"/>
                <w:highlight w:val="none"/>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主管兼文员：协助经理做好日常接待，电话接听，工作调度，资料整理、记录、归档、负责所有人员的考勤等。常日班，做六休一，每班8小时。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综合维修组</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综合维修</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项目进场后根据院方需要派驻26人</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全部需要低压电工作业证。其中不少于2人需持焊接与热切割作业证，需配备一名班组长与院方班组长形成AB岗。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auto"/>
                <w:sz w:val="20"/>
                <w:szCs w:val="20"/>
                <w:highlight w:val="none"/>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高压配电组</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高配值守</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项目进场后根据院方需要派驻6人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全部需要高压电工作业证。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医用气体组</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气体供应</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项目进场后根据院方需要派驻4人，因有1名雷博人员退休，合同期内根据采购人需求可派驻到5人</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全部需要特种设备安全管理人员证或特种设备安全管理和作业人员证。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auto"/>
                <w:sz w:val="20"/>
                <w:szCs w:val="20"/>
                <w:highlight w:val="none"/>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层流净化组</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净化保障</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项目进场后根据院方需要派驻1人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全部需要低压电工作业证。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二期及开发区分院综合维修组</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综合维修</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项目进场后根据院方需要派驻二期及分院至10人</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全部需要低压电工作业证。需要配备一名班组长与院方班组长形成AB岗。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bl>
    <w:p>
      <w:pPr>
        <w:pStyle w:val="11"/>
        <w:rPr>
          <w:rFonts w:asciiTheme="majorEastAsia" w:hAnsiTheme="majorEastAsia" w:eastAsiaTheme="majorEastAsia"/>
          <w:color w:val="auto"/>
          <w:sz w:val="24"/>
          <w:szCs w:val="24"/>
          <w:highlight w:val="none"/>
        </w:rPr>
      </w:pP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3.2供应商应按照采购人要求逐步或一次性派驻人员，服务费按实际派驻现场人数人均单价结算。</w:t>
      </w:r>
    </w:p>
    <w:p>
      <w:pPr>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w:t>
      </w:r>
      <w:r>
        <w:rPr>
          <w:rFonts w:hint="eastAsia" w:asciiTheme="majorEastAsia" w:hAnsiTheme="majorEastAsia" w:eastAsiaTheme="majorEastAsia"/>
          <w:color w:val="auto"/>
          <w:sz w:val="24"/>
          <w:highlight w:val="none"/>
          <w:lang w:val="en-US" w:eastAsia="zh-CN"/>
        </w:rPr>
        <w:t>.</w:t>
      </w:r>
      <w:r>
        <w:rPr>
          <w:rFonts w:hint="eastAsia" w:asciiTheme="majorEastAsia" w:hAnsiTheme="majorEastAsia" w:eastAsiaTheme="majorEastAsia"/>
          <w:color w:val="auto"/>
          <w:sz w:val="24"/>
          <w:highlight w:val="none"/>
        </w:rPr>
        <w:t>3如甲方认为项目经理无法胜任，甲方有权要求乙方更换项目经理，甲方书面通知后，乙方需一个月内完成更换，直至甲方满意为止。乙方不得随意更换项目经理，如因特殊原因更换需书面申请并征得甲方同意。如未经甲方同意随意更换项目经理，甲方有权处罚2万/次。</w:t>
      </w:r>
    </w:p>
    <w:p>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rPr>
        <w:t>供应商应承诺严格执行地方政府最低工资标准，按国家劳动和社会保障部门规定办理员工养老保险、医疗保险和失业、工伤、生育保险（若遇政策调整工资费用由中标单位自理）。</w:t>
      </w:r>
    </w:p>
    <w:p>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rPr>
        <w:t>供应商应教育派驻员工自觉遵守被服务单位各项管理制度和有关要求。加强遵纪守法和敬业爱岗教育，抓好安全教育的业务培训，加强队伍管理，不断提高从业人员思想和业务素质。</w:t>
      </w:r>
    </w:p>
    <w:p>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w:t>
      </w:r>
      <w:r>
        <w:rPr>
          <w:rFonts w:hint="eastAsia" w:asciiTheme="majorEastAsia" w:hAnsiTheme="majorEastAsia" w:eastAsiaTheme="majorEastAsia"/>
          <w:color w:val="auto"/>
          <w:sz w:val="24"/>
          <w:highlight w:val="none"/>
          <w:lang w:val="en-US" w:eastAsia="zh-CN"/>
        </w:rPr>
        <w:t>6</w:t>
      </w:r>
      <w:r>
        <w:rPr>
          <w:rFonts w:hint="eastAsia" w:asciiTheme="majorEastAsia" w:hAnsiTheme="majorEastAsia" w:eastAsiaTheme="majorEastAsia"/>
          <w:color w:val="auto"/>
          <w:sz w:val="24"/>
          <w:highlight w:val="none"/>
        </w:rPr>
        <w:t>中标供应商有岗前培训机构，服务人员100%经过岗前培训合格才上岗，出现发生口角、纠纷，造成不良影响的，涉事员工一律清退。</w:t>
      </w:r>
    </w:p>
    <w:p>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w:t>
      </w:r>
      <w:r>
        <w:rPr>
          <w:rFonts w:hint="eastAsia" w:asciiTheme="majorEastAsia" w:hAnsiTheme="majorEastAsia" w:eastAsiaTheme="majorEastAsia"/>
          <w:color w:val="auto"/>
          <w:sz w:val="24"/>
          <w:highlight w:val="none"/>
          <w:lang w:val="en-US" w:eastAsia="zh-CN"/>
        </w:rPr>
        <w:t>7</w:t>
      </w:r>
      <w:r>
        <w:rPr>
          <w:rFonts w:hint="eastAsia" w:asciiTheme="majorEastAsia" w:hAnsiTheme="majorEastAsia" w:eastAsiaTheme="majorEastAsia"/>
          <w:color w:val="auto"/>
          <w:sz w:val="24"/>
          <w:highlight w:val="none"/>
        </w:rPr>
        <w:t>中标供应商自行负责其招聘员工的一切工资、福利；如发生工伤、疾病乃至死亡的一切责任及费用由中标供应商全部负责；中标供应商应严格遵守国家有关的法律、法规及行业标准。</w:t>
      </w:r>
    </w:p>
    <w:p>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w:t>
      </w:r>
      <w:r>
        <w:rPr>
          <w:rFonts w:hint="eastAsia" w:asciiTheme="majorEastAsia" w:hAnsiTheme="majorEastAsia" w:eastAsiaTheme="majorEastAsia"/>
          <w:color w:val="auto"/>
          <w:sz w:val="24"/>
          <w:highlight w:val="none"/>
          <w:lang w:val="en-US" w:eastAsia="zh-CN"/>
        </w:rPr>
        <w:t>8</w:t>
      </w:r>
      <w:r>
        <w:rPr>
          <w:rFonts w:hint="eastAsia" w:asciiTheme="majorEastAsia" w:hAnsiTheme="majorEastAsia" w:eastAsiaTheme="majorEastAsia"/>
          <w:color w:val="auto"/>
          <w:sz w:val="24"/>
          <w:highlight w:val="none"/>
        </w:rPr>
        <w:t>员工考核及待遇</w:t>
      </w:r>
    </w:p>
    <w:p>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中标供应商须严格按照国家和湖州市政府规定给员工缴纳各种社会保险（包括养老、医疗、工伤、生育险、失业保险等，必须在湖州市区购买）及国家规定的各类保险。如按政策该买未买而出现纠纷的，中标供应商承担由此带来的一切后果和责任，且招标采购单位有权单方解除合同。</w:t>
      </w:r>
    </w:p>
    <w:p>
      <w:pPr>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(2)服务期间因服务范围扩大或工作时间增加产生加班费用（以小时计，单价参考中标价）的需经采购人确认</w:t>
      </w:r>
      <w:r>
        <w:rPr>
          <w:rFonts w:hint="eastAsia" w:asciiTheme="majorEastAsia" w:hAnsiTheme="majorEastAsia" w:eastAsiaTheme="majorEastAsia"/>
          <w:color w:val="auto"/>
          <w:sz w:val="24"/>
          <w:highlight w:val="none"/>
          <w:lang w:eastAsia="zh-CN"/>
        </w:rPr>
        <w:t>。</w:t>
      </w:r>
    </w:p>
    <w:p>
      <w:pPr>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考核方式：根据考核细则，每月对服务人员质量进行考核，总分共100分，根据考核结果和实际到岗人数支付管理费。90分为合格，85分-89分扣除当月运维管理费的5%，84分以下扣除当月运维管理费10%。三次考核低于80分的，采购人可提前解除合同，不承担违约责任。</w:t>
      </w:r>
    </w:p>
    <w:p>
      <w:pPr>
        <w:rPr>
          <w:color w:val="auto"/>
          <w:highlight w:val="none"/>
        </w:rPr>
      </w:pPr>
      <w:r>
        <w:rPr>
          <w:rFonts w:hint="eastAsia" w:ascii="宋体" w:hAnsi="宋体"/>
          <w:b/>
          <w:color w:val="auto"/>
          <w:sz w:val="24"/>
          <w:highlight w:val="none"/>
        </w:rPr>
        <w:t>六、商务要求</w:t>
      </w:r>
    </w:p>
    <w:tbl>
      <w:tblPr>
        <w:tblStyle w:val="28"/>
        <w:tblW w:w="1049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85" w:type="dxa"/>
            <w:tcBorders>
              <w:top w:val="single" w:color="auto" w:sz="4" w:space="0"/>
              <w:left w:val="single" w:color="auto" w:sz="4" w:space="0"/>
              <w:bottom w:val="single" w:color="auto" w:sz="4" w:space="0"/>
              <w:right w:val="single" w:color="auto" w:sz="4" w:space="0"/>
            </w:tcBorders>
            <w:vAlign w:val="center"/>
          </w:tcPr>
          <w:p>
            <w:pPr>
              <w:rPr>
                <w:rFonts w:cs="仿宋_GB2312" w:asciiTheme="majorEastAsia" w:hAnsiTheme="majorEastAsia" w:eastAsiaTheme="majorEastAsia"/>
                <w:color w:val="auto"/>
                <w:sz w:val="24"/>
                <w:highlight w:val="none"/>
              </w:rPr>
            </w:pPr>
            <w:bookmarkStart w:id="17" w:name="_Hlk194328278"/>
            <w:r>
              <w:rPr>
                <w:rFonts w:hint="eastAsia" w:cs="仿宋_GB2312" w:asciiTheme="majorEastAsia" w:hAnsiTheme="majorEastAsia" w:eastAsiaTheme="majorEastAsia"/>
                <w:color w:val="auto"/>
                <w:sz w:val="24"/>
                <w:highlight w:val="none"/>
              </w:rPr>
              <w:t>服务期</w:t>
            </w:r>
          </w:p>
        </w:tc>
        <w:tc>
          <w:tcPr>
            <w:tcW w:w="8505" w:type="dxa"/>
            <w:tcBorders>
              <w:top w:val="single" w:color="auto" w:sz="4" w:space="0"/>
              <w:left w:val="single" w:color="auto" w:sz="4" w:space="0"/>
              <w:bottom w:val="single" w:color="auto" w:sz="4" w:space="0"/>
              <w:right w:val="single" w:color="auto" w:sz="4" w:space="0"/>
            </w:tcBorders>
          </w:tcPr>
          <w:p>
            <w:pPr>
              <w:tabs>
                <w:tab w:val="left" w:pos="8280"/>
              </w:tabs>
              <w:autoSpaceDE w:val="0"/>
              <w:autoSpaceDN w:val="0"/>
              <w:adjustRightInd w:val="0"/>
              <w:spacing w:line="480" w:lineRule="exact"/>
              <w:ind w:right="25"/>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▲自合同签订之日起3年。</w:t>
            </w:r>
          </w:p>
          <w:p>
            <w:pPr>
              <w:tabs>
                <w:tab w:val="left" w:pos="8280"/>
              </w:tabs>
              <w:autoSpaceDE w:val="0"/>
              <w:autoSpaceDN w:val="0"/>
              <w:adjustRightInd w:val="0"/>
              <w:spacing w:line="480" w:lineRule="exact"/>
              <w:ind w:right="25"/>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985" w:type="dxa"/>
            <w:tcBorders>
              <w:top w:val="single" w:color="auto" w:sz="4" w:space="0"/>
              <w:left w:val="single" w:color="auto" w:sz="4" w:space="0"/>
              <w:bottom w:val="single" w:color="auto" w:sz="4" w:space="0"/>
              <w:right w:val="single" w:color="auto" w:sz="4" w:space="0"/>
            </w:tcBorders>
          </w:tcPr>
          <w:p>
            <w:pP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付款方式</w:t>
            </w:r>
          </w:p>
        </w:tc>
        <w:tc>
          <w:tcPr>
            <w:tcW w:w="8505" w:type="dxa"/>
            <w:tcBorders>
              <w:top w:val="single" w:color="auto" w:sz="4" w:space="0"/>
              <w:left w:val="single" w:color="auto" w:sz="4" w:space="0"/>
              <w:bottom w:val="single" w:color="auto" w:sz="4" w:space="0"/>
              <w:right w:val="single" w:color="auto" w:sz="4" w:space="0"/>
            </w:tcBorders>
          </w:tcPr>
          <w:p>
            <w:pPr>
              <w:tabs>
                <w:tab w:val="left" w:pos="8280"/>
              </w:tabs>
              <w:autoSpaceDE w:val="0"/>
              <w:autoSpaceDN w:val="0"/>
              <w:adjustRightInd w:val="0"/>
              <w:spacing w:line="480" w:lineRule="exact"/>
              <w:ind w:right="25"/>
              <w:rPr>
                <w:rFonts w:ascii="宋体" w:hAnsi="宋体" w:cs="仿宋_GB2312"/>
                <w:color w:val="auto"/>
                <w:sz w:val="24"/>
                <w:highlight w:val="none"/>
              </w:rPr>
            </w:pPr>
            <w:r>
              <w:rPr>
                <w:rFonts w:hint="eastAsia" w:cs="仿宋_GB2312" w:asciiTheme="majorEastAsia" w:hAnsiTheme="majorEastAsia" w:eastAsiaTheme="majorEastAsia"/>
                <w:color w:val="auto"/>
                <w:sz w:val="24"/>
                <w:highlight w:val="none"/>
              </w:rPr>
              <w:t>▲根据《保障中小企业款项支付条例》、省财政厅《浙江省财政厅关于进一步发挥政府采购政策功能全力推动经济稳进提质的通知》（浙财采监【2022】3 号）要求，制定如下付款方式：合同生效以及具备实施条件后7个工作日支付年合同金额的30%作为预付款；</w:t>
            </w:r>
            <w:r>
              <w:rPr>
                <w:rFonts w:hint="eastAsia" w:ascii="宋体" w:hAnsi="宋体"/>
                <w:color w:val="auto"/>
                <w:sz w:val="24"/>
                <w:highlight w:val="none"/>
              </w:rPr>
              <w:t>管理费：每月结算一</w:t>
            </w:r>
            <w:r>
              <w:rPr>
                <w:rFonts w:hint="eastAsia" w:hAnsi="宋体"/>
                <w:color w:val="auto"/>
                <w:sz w:val="24"/>
                <w:highlight w:val="none"/>
              </w:rPr>
              <w:t>次</w:t>
            </w:r>
            <w:r>
              <w:rPr>
                <w:rFonts w:hint="eastAsia" w:ascii="宋体" w:hAnsi="宋体" w:cs="仿宋_GB2312"/>
                <w:color w:val="auto"/>
                <w:sz w:val="24"/>
                <w:highlight w:val="none"/>
              </w:rPr>
              <w:t>。</w:t>
            </w:r>
          </w:p>
          <w:p>
            <w:pPr>
              <w:tabs>
                <w:tab w:val="left" w:pos="8280"/>
              </w:tabs>
              <w:autoSpaceDE w:val="0"/>
              <w:autoSpaceDN w:val="0"/>
              <w:adjustRightInd w:val="0"/>
              <w:spacing w:line="480" w:lineRule="exact"/>
              <w:ind w:right="25"/>
              <w:rPr>
                <w:rFonts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sz w:val="24"/>
                <w:highlight w:val="none"/>
              </w:rPr>
              <w:t>注：若中标供应商明确表示无需预付款或者主动要求降低预付款比例的，采购人可不适用前述规定。</w:t>
            </w:r>
          </w:p>
        </w:tc>
      </w:tr>
      <w:bookmarkEnd w:id="17"/>
    </w:tbl>
    <w:p>
      <w:pPr>
        <w:spacing w:line="560" w:lineRule="exact"/>
        <w:jc w:val="left"/>
        <w:rPr>
          <w:rFonts w:ascii="宋体" w:hAnsi="宋体" w:cs="宋体"/>
          <w:b/>
          <w:color w:val="auto"/>
          <w:kern w:val="0"/>
          <w:sz w:val="24"/>
          <w:szCs w:val="22"/>
          <w:highlight w:val="none"/>
        </w:rPr>
      </w:pPr>
      <w:r>
        <w:rPr>
          <w:rFonts w:hint="eastAsia" w:ascii="宋体" w:hAnsi="宋体" w:cs="宋体"/>
          <w:b/>
          <w:color w:val="auto"/>
          <w:kern w:val="0"/>
          <w:sz w:val="24"/>
          <w:szCs w:val="22"/>
          <w:highlight w:val="none"/>
        </w:rPr>
        <w:t>注：1、本项目</w:t>
      </w:r>
      <w:r>
        <w:rPr>
          <w:rFonts w:ascii="宋体" w:hAnsi="宋体" w:cs="宋体"/>
          <w:b/>
          <w:color w:val="auto"/>
          <w:kern w:val="0"/>
          <w:sz w:val="24"/>
          <w:szCs w:val="22"/>
          <w:highlight w:val="none"/>
        </w:rPr>
        <w:t>采购标的对应的中小企业划分标准所属行业</w:t>
      </w:r>
      <w:r>
        <w:rPr>
          <w:rFonts w:hint="eastAsia" w:ascii="宋体" w:hAnsi="宋体" w:cs="宋体"/>
          <w:b/>
          <w:color w:val="auto"/>
          <w:kern w:val="0"/>
          <w:sz w:val="24"/>
          <w:szCs w:val="22"/>
          <w:highlight w:val="none"/>
        </w:rPr>
        <w:t>为其他未列明行业。</w:t>
      </w:r>
    </w:p>
    <w:p>
      <w:pPr>
        <w:spacing w:line="56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2.</w:t>
      </w:r>
      <w:r>
        <w:rPr>
          <w:rFonts w:ascii="宋体" w:hAnsi="宋体" w:cs="宋体"/>
          <w:b/>
          <w:color w:val="auto"/>
          <w:kern w:val="0"/>
          <w:sz w:val="24"/>
          <w:highlight w:val="none"/>
        </w:rPr>
        <w:t>依据《</w:t>
      </w:r>
      <w:r>
        <w:rPr>
          <w:rFonts w:hint="eastAsia" w:ascii="宋体" w:hAnsi="宋体" w:cs="宋体"/>
          <w:b/>
          <w:color w:val="auto"/>
          <w:kern w:val="0"/>
          <w:sz w:val="24"/>
          <w:highlight w:val="none"/>
        </w:rPr>
        <w:t>政府采购促进中小企业发展管理办法</w:t>
      </w:r>
      <w:r>
        <w:rPr>
          <w:rFonts w:ascii="宋体" w:hAnsi="宋体" w:cs="宋体"/>
          <w:b/>
          <w:color w:val="auto"/>
          <w:kern w:val="0"/>
          <w:sz w:val="24"/>
          <w:highlight w:val="none"/>
        </w:rPr>
        <w:t>》</w:t>
      </w:r>
      <w:r>
        <w:rPr>
          <w:rFonts w:hint="eastAsia" w:ascii="宋体" w:hAnsi="宋体" w:cs="宋体"/>
          <w:b/>
          <w:color w:val="auto"/>
          <w:kern w:val="0"/>
          <w:sz w:val="24"/>
          <w:highlight w:val="none"/>
        </w:rPr>
        <w:t>（财库【2020】46号）</w:t>
      </w:r>
      <w:r>
        <w:rPr>
          <w:rFonts w:ascii="宋体" w:hAnsi="宋体" w:cs="宋体"/>
          <w:b/>
          <w:color w:val="auto"/>
          <w:kern w:val="0"/>
          <w:sz w:val="24"/>
          <w:highlight w:val="none"/>
        </w:rPr>
        <w:t xml:space="preserve">规定享受扶持政策获得政府采购合同的，小微企业不得将合同分包给大中型企业，中型企业不得将合同分包给大型企业。 </w:t>
      </w:r>
    </w:p>
    <w:p>
      <w:pPr>
        <w:rPr>
          <w:rFonts w:ascii="黑体" w:hAnsi="黑体" w:eastAsia="黑体" w:cs="黑体"/>
          <w:color w:val="auto"/>
          <w:sz w:val="24"/>
          <w:highlight w:val="none"/>
        </w:rPr>
      </w:pPr>
    </w:p>
    <w:p>
      <w:pPr>
        <w:rPr>
          <w:rFonts w:ascii="黑体" w:hAnsi="黑体" w:eastAsia="黑体" w:cs="黑体"/>
          <w:color w:val="auto"/>
          <w:sz w:val="24"/>
          <w:highlight w:val="none"/>
        </w:rPr>
      </w:pPr>
    </w:p>
    <w:p>
      <w:pPr>
        <w:rPr>
          <w:rFonts w:ascii="黑体" w:hAnsi="黑体" w:eastAsia="黑体"/>
          <w:color w:val="auto"/>
          <w:sz w:val="36"/>
          <w:szCs w:val="36"/>
          <w:highlight w:val="none"/>
        </w:rPr>
      </w:pPr>
      <w:r>
        <w:rPr>
          <w:rFonts w:hint="eastAsia" w:ascii="黑体" w:hAnsi="黑体" w:eastAsia="黑体" w:cs="黑体"/>
          <w:color w:val="auto"/>
          <w:sz w:val="24"/>
          <w:highlight w:val="none"/>
        </w:rPr>
        <w:t>附件：</w:t>
      </w:r>
    </w:p>
    <w:p>
      <w:pPr>
        <w:jc w:val="center"/>
        <w:rPr>
          <w:rFonts w:ascii="黑体" w:hAnsi="黑体" w:eastAsia="黑体" w:cs="黑体"/>
          <w:color w:val="auto"/>
          <w:sz w:val="24"/>
          <w:highlight w:val="none"/>
        </w:rPr>
      </w:pPr>
      <w:r>
        <w:rPr>
          <w:rFonts w:hint="eastAsia" w:ascii="黑体" w:hAnsi="黑体" w:eastAsia="黑体" w:cs="黑体"/>
          <w:color w:val="auto"/>
          <w:sz w:val="30"/>
          <w:szCs w:val="30"/>
          <w:highlight w:val="none"/>
        </w:rPr>
        <w:t>管理项目考核评分表（试行）</w:t>
      </w:r>
    </w:p>
    <w:p>
      <w:pPr>
        <w:pStyle w:val="2"/>
        <w:rPr>
          <w:color w:val="auto"/>
          <w:highlight w:val="none"/>
        </w:rPr>
      </w:pPr>
    </w:p>
    <w:p>
      <w:pPr>
        <w:wordWrap w:val="0"/>
        <w:jc w:val="center"/>
        <w:rPr>
          <w:rFonts w:ascii="黑体" w:hAnsi="黑体" w:eastAsia="黑体" w:cs="黑体"/>
          <w:b/>
          <w:color w:val="auto"/>
          <w:sz w:val="24"/>
          <w:highlight w:val="none"/>
        </w:rPr>
      </w:pPr>
      <w:r>
        <w:rPr>
          <w:rFonts w:hint="eastAsia" w:ascii="黑体" w:hAnsi="黑体" w:eastAsia="黑体" w:cs="黑体"/>
          <w:b/>
          <w:color w:val="auto"/>
          <w:sz w:val="24"/>
          <w:highlight w:val="none"/>
        </w:rPr>
        <w:t xml:space="preserve">检查时间：      年     月    日      时   </w:t>
      </w:r>
    </w:p>
    <w:tbl>
      <w:tblPr>
        <w:tblStyle w:val="28"/>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000"/>
        <w:gridCol w:w="3587"/>
        <w:gridCol w:w="1131"/>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38" w:type="dxa"/>
            <w:noWrap/>
            <w:vAlign w:val="center"/>
          </w:tcPr>
          <w:p>
            <w:pPr>
              <w:jc w:val="center"/>
              <w:rPr>
                <w:rFonts w:ascii="黑体" w:hAnsi="黑体" w:eastAsia="黑体" w:cs="黑体"/>
                <w:b/>
                <w:color w:val="auto"/>
                <w:sz w:val="24"/>
                <w:highlight w:val="none"/>
              </w:rPr>
            </w:pPr>
            <w:r>
              <w:rPr>
                <w:rFonts w:hint="eastAsia" w:ascii="黑体" w:hAnsi="黑体" w:eastAsia="黑体" w:cs="黑体"/>
                <w:b/>
                <w:color w:val="auto"/>
                <w:sz w:val="24"/>
                <w:highlight w:val="none"/>
              </w:rPr>
              <w:t>序号</w:t>
            </w:r>
          </w:p>
        </w:tc>
        <w:tc>
          <w:tcPr>
            <w:tcW w:w="3000" w:type="dxa"/>
            <w:noWrap/>
            <w:vAlign w:val="center"/>
          </w:tcPr>
          <w:p>
            <w:pPr>
              <w:jc w:val="center"/>
              <w:rPr>
                <w:rFonts w:ascii="黑体" w:hAnsi="黑体" w:eastAsia="黑体" w:cs="黑体"/>
                <w:b/>
                <w:color w:val="auto"/>
                <w:sz w:val="24"/>
                <w:highlight w:val="none"/>
              </w:rPr>
            </w:pPr>
            <w:r>
              <w:rPr>
                <w:rFonts w:hint="eastAsia" w:ascii="黑体" w:hAnsi="黑体" w:eastAsia="黑体" w:cs="黑体"/>
                <w:b/>
                <w:color w:val="auto"/>
                <w:sz w:val="24"/>
                <w:highlight w:val="none"/>
              </w:rPr>
              <w:t>工作标准</w:t>
            </w:r>
          </w:p>
        </w:tc>
        <w:tc>
          <w:tcPr>
            <w:tcW w:w="3587" w:type="dxa"/>
            <w:noWrap/>
            <w:vAlign w:val="center"/>
          </w:tcPr>
          <w:p>
            <w:pPr>
              <w:jc w:val="center"/>
              <w:rPr>
                <w:rFonts w:ascii="黑体" w:hAnsi="黑体" w:eastAsia="黑体" w:cs="黑体"/>
                <w:b/>
                <w:color w:val="auto"/>
                <w:sz w:val="24"/>
                <w:highlight w:val="none"/>
              </w:rPr>
            </w:pPr>
            <w:r>
              <w:rPr>
                <w:rFonts w:hint="eastAsia" w:ascii="黑体" w:hAnsi="黑体" w:eastAsia="黑体" w:cs="黑体"/>
                <w:b/>
                <w:color w:val="auto"/>
                <w:sz w:val="24"/>
                <w:highlight w:val="none"/>
              </w:rPr>
              <w:t>检查及评分方法</w:t>
            </w:r>
          </w:p>
        </w:tc>
        <w:tc>
          <w:tcPr>
            <w:tcW w:w="1131" w:type="dxa"/>
            <w:noWrap/>
            <w:vAlign w:val="center"/>
          </w:tcPr>
          <w:p>
            <w:pPr>
              <w:spacing w:line="300" w:lineRule="exact"/>
              <w:jc w:val="center"/>
              <w:rPr>
                <w:rFonts w:ascii="黑体" w:hAnsi="黑体" w:eastAsia="黑体" w:cs="黑体"/>
                <w:b/>
                <w:color w:val="auto"/>
                <w:sz w:val="24"/>
                <w:highlight w:val="none"/>
              </w:rPr>
            </w:pPr>
            <w:r>
              <w:rPr>
                <w:rFonts w:hint="eastAsia" w:ascii="黑体" w:hAnsi="黑体" w:eastAsia="黑体" w:cs="黑体"/>
                <w:b/>
                <w:color w:val="auto"/>
                <w:sz w:val="24"/>
                <w:highlight w:val="none"/>
              </w:rPr>
              <w:t>分值</w:t>
            </w:r>
          </w:p>
        </w:tc>
        <w:tc>
          <w:tcPr>
            <w:tcW w:w="1609" w:type="dxa"/>
            <w:noWrap/>
            <w:vAlign w:val="center"/>
          </w:tcPr>
          <w:p>
            <w:pPr>
              <w:jc w:val="center"/>
              <w:rPr>
                <w:rFonts w:ascii="黑体" w:hAnsi="黑体" w:eastAsia="黑体" w:cs="黑体"/>
                <w:b/>
                <w:color w:val="auto"/>
                <w:sz w:val="24"/>
                <w:highlight w:val="none"/>
              </w:rPr>
            </w:pPr>
            <w:r>
              <w:rPr>
                <w:rFonts w:hint="eastAsia" w:ascii="黑体" w:hAnsi="黑体" w:eastAsia="黑体" w:cs="黑体"/>
                <w:b/>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noWrap/>
            <w:vAlign w:val="center"/>
          </w:tcPr>
          <w:p>
            <w:pPr>
              <w:rPr>
                <w:rFonts w:ascii="宋体" w:hAnsi="宋体"/>
                <w:color w:val="auto"/>
                <w:szCs w:val="21"/>
                <w:highlight w:val="none"/>
              </w:rPr>
            </w:pPr>
            <w:r>
              <w:rPr>
                <w:rFonts w:hint="eastAsia" w:ascii="宋体" w:hAnsi="宋体"/>
                <w:color w:val="auto"/>
                <w:szCs w:val="21"/>
                <w:highlight w:val="none"/>
              </w:rPr>
              <w:t>1</w:t>
            </w:r>
          </w:p>
        </w:tc>
        <w:tc>
          <w:tcPr>
            <w:tcW w:w="3000" w:type="dxa"/>
            <w:noWrap/>
            <w:vAlign w:val="center"/>
          </w:tcPr>
          <w:p>
            <w:pPr>
              <w:rPr>
                <w:rFonts w:ascii="宋体" w:hAnsi="宋体"/>
                <w:color w:val="auto"/>
                <w:szCs w:val="21"/>
                <w:highlight w:val="none"/>
              </w:rPr>
            </w:pPr>
            <w:r>
              <w:rPr>
                <w:rFonts w:hint="eastAsia" w:ascii="宋体" w:hAnsi="宋体"/>
                <w:color w:val="auto"/>
                <w:szCs w:val="21"/>
                <w:highlight w:val="none"/>
              </w:rPr>
              <w:t>服务人员上班考勤制度（查看资料）。</w:t>
            </w:r>
          </w:p>
        </w:tc>
        <w:tc>
          <w:tcPr>
            <w:tcW w:w="3587" w:type="dxa"/>
            <w:noWrap/>
            <w:vAlign w:val="center"/>
          </w:tcPr>
          <w:p>
            <w:pPr>
              <w:rPr>
                <w:color w:val="auto"/>
                <w:szCs w:val="21"/>
                <w:highlight w:val="none"/>
              </w:rPr>
            </w:pPr>
            <w:r>
              <w:rPr>
                <w:rFonts w:hint="eastAsia"/>
                <w:b/>
                <w:bCs/>
                <w:color w:val="auto"/>
                <w:szCs w:val="21"/>
                <w:highlight w:val="none"/>
              </w:rPr>
              <w:t>满</w:t>
            </w:r>
            <w:r>
              <w:rPr>
                <w:rFonts w:hint="eastAsia" w:ascii="新宋体" w:hAnsi="新宋体" w:eastAsia="新宋体"/>
                <w:b/>
                <w:bCs/>
                <w:color w:val="auto"/>
                <w:szCs w:val="21"/>
                <w:highlight w:val="none"/>
              </w:rPr>
              <w:t>分5分。</w:t>
            </w:r>
            <w:r>
              <w:rPr>
                <w:rFonts w:hint="eastAsia"/>
                <w:color w:val="auto"/>
                <w:szCs w:val="21"/>
                <w:highlight w:val="none"/>
              </w:rPr>
              <w:t>每发生1例，扣1分/人次，扣完为止。</w:t>
            </w:r>
          </w:p>
        </w:tc>
        <w:tc>
          <w:tcPr>
            <w:tcW w:w="1131"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609"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38" w:type="dxa"/>
            <w:noWrap/>
            <w:vAlign w:val="center"/>
          </w:tcPr>
          <w:p>
            <w:pPr>
              <w:rPr>
                <w:rFonts w:ascii="新宋体" w:hAnsi="新宋体" w:eastAsia="新宋体"/>
                <w:color w:val="auto"/>
                <w:szCs w:val="21"/>
                <w:highlight w:val="none"/>
              </w:rPr>
            </w:pPr>
            <w:r>
              <w:rPr>
                <w:rFonts w:hint="eastAsia" w:ascii="新宋体" w:hAnsi="新宋体" w:eastAsia="新宋体"/>
                <w:color w:val="auto"/>
                <w:szCs w:val="21"/>
                <w:highlight w:val="none"/>
              </w:rPr>
              <w:t>2</w:t>
            </w:r>
          </w:p>
        </w:tc>
        <w:tc>
          <w:tcPr>
            <w:tcW w:w="3000" w:type="dxa"/>
            <w:noWrap/>
            <w:vAlign w:val="center"/>
          </w:tcPr>
          <w:p>
            <w:pPr>
              <w:rPr>
                <w:rFonts w:ascii="新宋体" w:hAnsi="新宋体" w:eastAsia="新宋体"/>
                <w:color w:val="auto"/>
                <w:szCs w:val="21"/>
                <w:highlight w:val="none"/>
              </w:rPr>
            </w:pPr>
            <w:r>
              <w:rPr>
                <w:rFonts w:hint="eastAsia" w:ascii="新宋体" w:hAnsi="新宋体" w:eastAsia="新宋体"/>
                <w:color w:val="auto"/>
                <w:szCs w:val="21"/>
                <w:highlight w:val="none"/>
              </w:rPr>
              <w:t>服务人员</w:t>
            </w:r>
            <w:r>
              <w:rPr>
                <w:rFonts w:hint="eastAsia" w:ascii="新宋体" w:hAnsi="新宋体" w:eastAsia="新宋体"/>
                <w:color w:val="auto"/>
                <w:szCs w:val="21"/>
                <w:highlight w:val="none"/>
                <w:lang w:eastAsia="zh-CN"/>
              </w:rPr>
              <w:t>佩戴</w:t>
            </w:r>
            <w:r>
              <w:rPr>
                <w:rFonts w:hint="eastAsia" w:ascii="新宋体" w:hAnsi="新宋体" w:eastAsia="新宋体"/>
                <w:color w:val="auto"/>
                <w:szCs w:val="21"/>
                <w:highlight w:val="none"/>
              </w:rPr>
              <w:t>明显标志，从业人员统一着装，技术人员持证上岗。</w:t>
            </w:r>
          </w:p>
        </w:tc>
        <w:tc>
          <w:tcPr>
            <w:tcW w:w="3587" w:type="dxa"/>
            <w:noWrap/>
            <w:vAlign w:val="center"/>
          </w:tcPr>
          <w:p>
            <w:pPr>
              <w:spacing w:line="260" w:lineRule="exact"/>
              <w:rPr>
                <w:rFonts w:ascii="新宋体" w:hAnsi="新宋体" w:eastAsia="新宋体"/>
                <w:color w:val="auto"/>
                <w:szCs w:val="21"/>
                <w:highlight w:val="none"/>
              </w:rPr>
            </w:pPr>
            <w:r>
              <w:rPr>
                <w:rFonts w:hint="eastAsia" w:ascii="新宋体" w:hAnsi="新宋体" w:eastAsia="新宋体"/>
                <w:b/>
                <w:bCs/>
                <w:color w:val="auto"/>
                <w:szCs w:val="21"/>
                <w:highlight w:val="none"/>
              </w:rPr>
              <w:t>满分10分。</w:t>
            </w:r>
            <w:r>
              <w:rPr>
                <w:rFonts w:hint="eastAsia" w:ascii="新宋体" w:hAnsi="新宋体" w:eastAsia="新宋体"/>
                <w:color w:val="auto"/>
                <w:szCs w:val="21"/>
                <w:highlight w:val="none"/>
              </w:rPr>
              <w:t>发现未</w:t>
            </w:r>
            <w:r>
              <w:rPr>
                <w:rFonts w:hint="eastAsia" w:ascii="新宋体" w:hAnsi="新宋体" w:eastAsia="新宋体"/>
                <w:color w:val="auto"/>
                <w:szCs w:val="21"/>
                <w:highlight w:val="none"/>
                <w:lang w:eastAsia="zh-CN"/>
              </w:rPr>
              <w:t>佩戴</w:t>
            </w:r>
            <w:r>
              <w:rPr>
                <w:rFonts w:hint="eastAsia" w:ascii="新宋体" w:hAnsi="新宋体" w:eastAsia="新宋体"/>
                <w:color w:val="auto"/>
                <w:szCs w:val="21"/>
                <w:highlight w:val="none"/>
              </w:rPr>
              <w:t>标志或未着工作服扣0.5分/人次；技术人员未持证上岗扣2分/人次</w:t>
            </w:r>
          </w:p>
        </w:tc>
        <w:tc>
          <w:tcPr>
            <w:tcW w:w="1131"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09"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38" w:type="dxa"/>
            <w:noWrap/>
            <w:vAlign w:val="center"/>
          </w:tcPr>
          <w:p>
            <w:pPr>
              <w:rPr>
                <w:rFonts w:ascii="新宋体" w:hAnsi="新宋体" w:eastAsia="新宋体"/>
                <w:color w:val="auto"/>
                <w:szCs w:val="21"/>
                <w:highlight w:val="none"/>
              </w:rPr>
            </w:pPr>
            <w:r>
              <w:rPr>
                <w:rFonts w:hint="eastAsia" w:ascii="新宋体" w:hAnsi="新宋体" w:eastAsia="新宋体"/>
                <w:color w:val="auto"/>
                <w:szCs w:val="21"/>
                <w:highlight w:val="none"/>
              </w:rPr>
              <w:t>3</w:t>
            </w:r>
          </w:p>
        </w:tc>
        <w:tc>
          <w:tcPr>
            <w:tcW w:w="3000" w:type="dxa"/>
            <w:noWrap/>
            <w:vAlign w:val="center"/>
          </w:tcPr>
          <w:p>
            <w:pPr>
              <w:rPr>
                <w:color w:val="auto"/>
                <w:szCs w:val="21"/>
                <w:highlight w:val="none"/>
              </w:rPr>
            </w:pPr>
            <w:r>
              <w:rPr>
                <w:rFonts w:hint="eastAsia" w:ascii="新宋体" w:hAnsi="新宋体" w:eastAsia="新宋体"/>
                <w:color w:val="auto"/>
                <w:szCs w:val="21"/>
                <w:highlight w:val="none"/>
              </w:rPr>
              <w:t>人员按岗位要求规范在岗，服务态度好，敬业精神强。</w:t>
            </w:r>
          </w:p>
        </w:tc>
        <w:tc>
          <w:tcPr>
            <w:tcW w:w="3587" w:type="dxa"/>
            <w:noWrap/>
            <w:vAlign w:val="center"/>
          </w:tcPr>
          <w:p>
            <w:pPr>
              <w:rPr>
                <w:color w:val="auto"/>
                <w:szCs w:val="21"/>
                <w:highlight w:val="none"/>
              </w:rPr>
            </w:pPr>
            <w:r>
              <w:rPr>
                <w:rFonts w:hint="eastAsia" w:ascii="新宋体" w:hAnsi="新宋体" w:eastAsia="新宋体"/>
                <w:b/>
                <w:bCs/>
                <w:color w:val="auto"/>
                <w:szCs w:val="21"/>
                <w:highlight w:val="none"/>
              </w:rPr>
              <w:t>满分10分。</w:t>
            </w:r>
            <w:r>
              <w:rPr>
                <w:rFonts w:hint="eastAsia" w:ascii="新宋体" w:hAnsi="新宋体" w:eastAsia="新宋体"/>
                <w:color w:val="auto"/>
                <w:szCs w:val="21"/>
                <w:highlight w:val="none"/>
              </w:rPr>
              <w:t>检查发现未在岗人员扣2分/人次；发现在岗期间有损形象的言行扣0.5分/人次。</w:t>
            </w:r>
          </w:p>
        </w:tc>
        <w:tc>
          <w:tcPr>
            <w:tcW w:w="1131"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09"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38" w:type="dxa"/>
            <w:noWrap/>
            <w:vAlign w:val="center"/>
          </w:tcPr>
          <w:p>
            <w:pPr>
              <w:rPr>
                <w:rFonts w:ascii="新宋体" w:hAnsi="新宋体" w:eastAsia="新宋体"/>
                <w:color w:val="auto"/>
                <w:szCs w:val="21"/>
                <w:highlight w:val="none"/>
              </w:rPr>
            </w:pPr>
            <w:r>
              <w:rPr>
                <w:rFonts w:hint="eastAsia" w:ascii="新宋体" w:hAnsi="新宋体" w:eastAsia="新宋体"/>
                <w:color w:val="auto"/>
                <w:szCs w:val="21"/>
                <w:highlight w:val="none"/>
              </w:rPr>
              <w:t>4</w:t>
            </w:r>
          </w:p>
        </w:tc>
        <w:tc>
          <w:tcPr>
            <w:tcW w:w="3000" w:type="dxa"/>
            <w:noWrap/>
            <w:vAlign w:val="center"/>
          </w:tcPr>
          <w:p>
            <w:pPr>
              <w:rPr>
                <w:rFonts w:ascii="新宋体" w:hAnsi="新宋体" w:eastAsia="新宋体"/>
                <w:color w:val="auto"/>
                <w:szCs w:val="21"/>
                <w:highlight w:val="none"/>
              </w:rPr>
            </w:pPr>
            <w:r>
              <w:rPr>
                <w:rFonts w:hint="eastAsia" w:ascii="新宋体" w:hAnsi="新宋体" w:eastAsia="新宋体"/>
                <w:color w:val="auto"/>
                <w:szCs w:val="21"/>
                <w:highlight w:val="none"/>
              </w:rPr>
              <w:t>服务人员需求的合理配置。</w:t>
            </w:r>
          </w:p>
        </w:tc>
        <w:tc>
          <w:tcPr>
            <w:tcW w:w="3587" w:type="dxa"/>
            <w:noWrap/>
            <w:vAlign w:val="center"/>
          </w:tcPr>
          <w:p>
            <w:pPr>
              <w:rPr>
                <w:rFonts w:ascii="新宋体" w:hAnsi="新宋体" w:eastAsia="新宋体"/>
                <w:b/>
                <w:bCs/>
                <w:color w:val="auto"/>
                <w:szCs w:val="21"/>
                <w:highlight w:val="none"/>
              </w:rPr>
            </w:pPr>
            <w:r>
              <w:rPr>
                <w:rFonts w:hint="eastAsia" w:ascii="新宋体" w:hAnsi="新宋体" w:eastAsia="新宋体"/>
                <w:b/>
                <w:bCs/>
                <w:color w:val="auto"/>
                <w:szCs w:val="21"/>
                <w:highlight w:val="none"/>
                <w:lang w:val="zh-CN"/>
              </w:rPr>
              <w:t>按照采购要求配置服务人员，</w:t>
            </w:r>
            <w:r>
              <w:rPr>
                <w:rFonts w:hint="eastAsia" w:ascii="新宋体" w:hAnsi="新宋体" w:eastAsia="新宋体"/>
                <w:b/>
                <w:bCs/>
                <w:color w:val="auto"/>
                <w:szCs w:val="21"/>
                <w:highlight w:val="none"/>
              </w:rPr>
              <w:t>10分。</w:t>
            </w:r>
          </w:p>
          <w:p>
            <w:pPr>
              <w:rPr>
                <w:rFonts w:ascii="新宋体" w:hAnsi="新宋体" w:eastAsia="新宋体"/>
                <w:color w:val="auto"/>
                <w:szCs w:val="21"/>
                <w:highlight w:val="none"/>
              </w:rPr>
            </w:pPr>
            <w:r>
              <w:rPr>
                <w:rFonts w:hint="eastAsia" w:ascii="新宋体" w:hAnsi="新宋体" w:eastAsia="新宋体"/>
                <w:color w:val="auto"/>
                <w:szCs w:val="21"/>
                <w:highlight w:val="none"/>
              </w:rPr>
              <w:t>1、</w:t>
            </w:r>
            <w:r>
              <w:rPr>
                <w:rFonts w:hint="eastAsia" w:ascii="新宋体" w:hAnsi="新宋体" w:eastAsia="新宋体"/>
                <w:color w:val="auto"/>
                <w:szCs w:val="21"/>
                <w:highlight w:val="none"/>
                <w:lang w:val="zh-CN"/>
              </w:rPr>
              <w:t>派遣人员少于规定的人数</w:t>
            </w:r>
            <w:r>
              <w:rPr>
                <w:rFonts w:hint="eastAsia" w:ascii="新宋体" w:hAnsi="新宋体" w:eastAsia="新宋体"/>
                <w:color w:val="auto"/>
                <w:szCs w:val="21"/>
                <w:highlight w:val="none"/>
              </w:rPr>
              <w:t>或年龄不符合要求的，</w:t>
            </w:r>
            <w:r>
              <w:rPr>
                <w:rFonts w:hint="eastAsia" w:ascii="新宋体" w:hAnsi="新宋体" w:eastAsia="新宋体"/>
                <w:color w:val="auto"/>
                <w:szCs w:val="21"/>
                <w:highlight w:val="none"/>
                <w:lang w:val="zh-CN"/>
              </w:rPr>
              <w:t>每查实缺少1人</w:t>
            </w:r>
            <w:r>
              <w:rPr>
                <w:rFonts w:hint="eastAsia" w:ascii="新宋体" w:hAnsi="新宋体" w:eastAsia="新宋体"/>
                <w:color w:val="auto"/>
                <w:szCs w:val="21"/>
                <w:highlight w:val="none"/>
              </w:rPr>
              <w:t>或1人年龄不符合要求的</w:t>
            </w:r>
            <w:r>
              <w:rPr>
                <w:rFonts w:hint="eastAsia" w:ascii="新宋体" w:hAnsi="新宋体" w:eastAsia="新宋体"/>
                <w:color w:val="auto"/>
                <w:szCs w:val="21"/>
                <w:highlight w:val="none"/>
                <w:lang w:val="zh-CN"/>
              </w:rPr>
              <w:t>扣</w:t>
            </w:r>
            <w:r>
              <w:rPr>
                <w:rFonts w:hint="eastAsia" w:ascii="新宋体" w:hAnsi="新宋体" w:eastAsia="新宋体"/>
                <w:color w:val="auto"/>
                <w:szCs w:val="21"/>
                <w:highlight w:val="none"/>
              </w:rPr>
              <w:t>2分。</w:t>
            </w:r>
          </w:p>
          <w:p>
            <w:pPr>
              <w:rPr>
                <w:rFonts w:ascii="新宋体" w:hAnsi="新宋体" w:eastAsia="新宋体"/>
                <w:color w:val="auto"/>
                <w:szCs w:val="21"/>
                <w:highlight w:val="none"/>
              </w:rPr>
            </w:pPr>
            <w:r>
              <w:rPr>
                <w:rFonts w:hint="eastAsia" w:ascii="新宋体" w:hAnsi="新宋体" w:eastAsia="新宋体"/>
                <w:color w:val="auto"/>
                <w:szCs w:val="21"/>
                <w:highlight w:val="none"/>
              </w:rPr>
              <w:t>2、</w:t>
            </w:r>
            <w:r>
              <w:rPr>
                <w:rFonts w:hint="eastAsia" w:ascii="新宋体" w:hAnsi="新宋体" w:eastAsia="新宋体"/>
                <w:color w:val="auto"/>
                <w:szCs w:val="21"/>
                <w:highlight w:val="none"/>
                <w:lang w:val="zh-CN"/>
              </w:rPr>
              <w:t>未经采购人同意，擅自更换项目负责人的本项目不得分。</w:t>
            </w:r>
          </w:p>
        </w:tc>
        <w:tc>
          <w:tcPr>
            <w:tcW w:w="1131"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09"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38" w:type="dxa"/>
            <w:noWrap/>
            <w:vAlign w:val="center"/>
          </w:tcPr>
          <w:p>
            <w:pPr>
              <w:rPr>
                <w:rFonts w:ascii="新宋体" w:hAnsi="新宋体" w:eastAsia="新宋体"/>
                <w:color w:val="auto"/>
                <w:szCs w:val="21"/>
                <w:highlight w:val="none"/>
              </w:rPr>
            </w:pPr>
            <w:r>
              <w:rPr>
                <w:rFonts w:hint="eastAsia" w:ascii="新宋体" w:hAnsi="新宋体" w:eastAsia="新宋体"/>
                <w:color w:val="auto"/>
                <w:szCs w:val="21"/>
                <w:highlight w:val="none"/>
              </w:rPr>
              <w:t>5</w:t>
            </w:r>
          </w:p>
        </w:tc>
        <w:tc>
          <w:tcPr>
            <w:tcW w:w="3000" w:type="dxa"/>
            <w:noWrap/>
            <w:vAlign w:val="center"/>
          </w:tcPr>
          <w:p>
            <w:pPr>
              <w:numPr>
                <w:ilvl w:val="0"/>
                <w:numId w:val="3"/>
              </w:numPr>
              <w:rPr>
                <w:rFonts w:ascii="新宋体" w:hAnsi="新宋体" w:eastAsia="新宋体"/>
                <w:color w:val="auto"/>
                <w:szCs w:val="21"/>
                <w:highlight w:val="none"/>
              </w:rPr>
            </w:pPr>
            <w:r>
              <w:rPr>
                <w:rFonts w:hint="eastAsia" w:ascii="新宋体" w:hAnsi="新宋体" w:eastAsia="新宋体"/>
                <w:color w:val="auto"/>
                <w:szCs w:val="21"/>
                <w:highlight w:val="none"/>
              </w:rPr>
              <w:t>保持设备机房环境整洁卫生，物品摆放有序；</w:t>
            </w:r>
          </w:p>
          <w:p>
            <w:pPr>
              <w:numPr>
                <w:ilvl w:val="0"/>
                <w:numId w:val="3"/>
              </w:numPr>
              <w:rPr>
                <w:color w:val="auto"/>
                <w:szCs w:val="21"/>
                <w:highlight w:val="none"/>
              </w:rPr>
            </w:pPr>
            <w:r>
              <w:rPr>
                <w:rFonts w:hint="eastAsia" w:ascii="新宋体" w:hAnsi="新宋体" w:eastAsia="新宋体"/>
                <w:color w:val="auto"/>
                <w:szCs w:val="21"/>
                <w:highlight w:val="none"/>
              </w:rPr>
              <w:t>机房内严禁吸烟、饮酒等与工作不相符的事宜；</w:t>
            </w:r>
          </w:p>
          <w:p>
            <w:pPr>
              <w:numPr>
                <w:ilvl w:val="0"/>
                <w:numId w:val="3"/>
              </w:numPr>
              <w:rPr>
                <w:color w:val="auto"/>
                <w:szCs w:val="21"/>
                <w:highlight w:val="none"/>
              </w:rPr>
            </w:pPr>
            <w:r>
              <w:rPr>
                <w:rFonts w:hint="eastAsia" w:ascii="新宋体" w:hAnsi="新宋体" w:eastAsia="新宋体"/>
                <w:color w:val="auto"/>
                <w:szCs w:val="21"/>
                <w:highlight w:val="none"/>
              </w:rPr>
              <w:t>无关人员不得随意入内。</w:t>
            </w:r>
          </w:p>
        </w:tc>
        <w:tc>
          <w:tcPr>
            <w:tcW w:w="3587" w:type="dxa"/>
            <w:noWrap/>
            <w:vAlign w:val="center"/>
          </w:tcPr>
          <w:p>
            <w:pPr>
              <w:rPr>
                <w:color w:val="auto"/>
                <w:szCs w:val="21"/>
                <w:highlight w:val="none"/>
              </w:rPr>
            </w:pPr>
            <w:r>
              <w:rPr>
                <w:rFonts w:hint="eastAsia" w:ascii="新宋体" w:hAnsi="新宋体" w:eastAsia="新宋体"/>
                <w:b/>
                <w:bCs/>
                <w:color w:val="auto"/>
                <w:szCs w:val="21"/>
                <w:highlight w:val="none"/>
              </w:rPr>
              <w:t>满分5分。</w:t>
            </w:r>
            <w:r>
              <w:rPr>
                <w:rFonts w:hint="eastAsia" w:ascii="新宋体" w:hAnsi="新宋体" w:eastAsia="新宋体"/>
                <w:color w:val="auto"/>
                <w:szCs w:val="21"/>
                <w:highlight w:val="none"/>
              </w:rPr>
              <w:t>不定期抽查机房卫生及人员出入，发现不合规的每次扣1分。</w:t>
            </w:r>
          </w:p>
        </w:tc>
        <w:tc>
          <w:tcPr>
            <w:tcW w:w="1131"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609"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38" w:type="dxa"/>
            <w:noWrap/>
            <w:vAlign w:val="center"/>
          </w:tcPr>
          <w:p>
            <w:pPr>
              <w:rPr>
                <w:rFonts w:ascii="新宋体" w:hAnsi="新宋体" w:eastAsia="新宋体"/>
                <w:color w:val="auto"/>
                <w:szCs w:val="21"/>
                <w:highlight w:val="none"/>
              </w:rPr>
            </w:pPr>
            <w:r>
              <w:rPr>
                <w:rFonts w:hint="eastAsia" w:ascii="新宋体" w:hAnsi="新宋体" w:eastAsia="新宋体"/>
                <w:color w:val="auto"/>
                <w:szCs w:val="21"/>
                <w:highlight w:val="none"/>
              </w:rPr>
              <w:t>6</w:t>
            </w:r>
          </w:p>
        </w:tc>
        <w:tc>
          <w:tcPr>
            <w:tcW w:w="3000" w:type="dxa"/>
            <w:noWrap/>
            <w:vAlign w:val="center"/>
          </w:tcPr>
          <w:p>
            <w:pPr>
              <w:rPr>
                <w:rFonts w:ascii="新宋体" w:hAnsi="新宋体" w:eastAsia="新宋体"/>
                <w:color w:val="auto"/>
                <w:szCs w:val="21"/>
                <w:highlight w:val="none"/>
              </w:rPr>
            </w:pPr>
            <w:r>
              <w:rPr>
                <w:rFonts w:hint="eastAsia" w:ascii="新宋体" w:hAnsi="新宋体" w:eastAsia="新宋体"/>
                <w:color w:val="auto"/>
                <w:szCs w:val="21"/>
                <w:highlight w:val="none"/>
              </w:rPr>
              <w:t>档案资料齐全、管理完善、查阅方便（交接班记录、巡查记录、设施设备检查记录、维修记录、零部件更换记录等）。</w:t>
            </w:r>
          </w:p>
        </w:tc>
        <w:tc>
          <w:tcPr>
            <w:tcW w:w="3587" w:type="dxa"/>
            <w:noWrap/>
            <w:vAlign w:val="center"/>
          </w:tcPr>
          <w:p>
            <w:pPr>
              <w:rPr>
                <w:rFonts w:ascii="新宋体" w:hAnsi="新宋体" w:eastAsia="新宋体"/>
                <w:color w:val="auto"/>
                <w:szCs w:val="21"/>
                <w:highlight w:val="none"/>
              </w:rPr>
            </w:pPr>
            <w:r>
              <w:rPr>
                <w:rFonts w:hint="eastAsia" w:ascii="新宋体" w:hAnsi="新宋体" w:eastAsia="新宋体"/>
                <w:b/>
                <w:bCs/>
                <w:color w:val="auto"/>
                <w:szCs w:val="21"/>
                <w:highlight w:val="none"/>
              </w:rPr>
              <w:t>满分10分。</w:t>
            </w:r>
            <w:r>
              <w:rPr>
                <w:rFonts w:hint="eastAsia" w:ascii="新宋体" w:hAnsi="新宋体" w:eastAsia="新宋体"/>
                <w:color w:val="auto"/>
                <w:szCs w:val="21"/>
                <w:highlight w:val="none"/>
              </w:rPr>
              <w:t>未建档扣2分/项。发现遗漏或不完整，按具体情况扣0.5-2分/次。</w:t>
            </w:r>
          </w:p>
        </w:tc>
        <w:tc>
          <w:tcPr>
            <w:tcW w:w="1131"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09"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38" w:type="dxa"/>
            <w:noWrap/>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7</w:t>
            </w:r>
          </w:p>
        </w:tc>
        <w:tc>
          <w:tcPr>
            <w:tcW w:w="3000" w:type="dxa"/>
            <w:noWrap/>
            <w:vAlign w:val="center"/>
          </w:tcPr>
          <w:p>
            <w:pPr>
              <w:rPr>
                <w:rFonts w:ascii="仿宋_GB2312" w:hAnsi="宋体" w:eastAsia="新宋体"/>
                <w:color w:val="auto"/>
                <w:szCs w:val="21"/>
                <w:highlight w:val="none"/>
              </w:rPr>
            </w:pPr>
            <w:r>
              <w:rPr>
                <w:rFonts w:hint="eastAsia" w:ascii="新宋体" w:hAnsi="新宋体" w:eastAsia="新宋体"/>
                <w:color w:val="auto"/>
                <w:szCs w:val="21"/>
                <w:highlight w:val="none"/>
              </w:rPr>
              <w:t>严格24小时值班值勤制度，设立服务电话，接受采购人对管理服务报修、求助、建议、问询、质疑、</w:t>
            </w:r>
            <w:r>
              <w:rPr>
                <w:rFonts w:hint="eastAsia" w:ascii="新宋体" w:hAnsi="新宋体" w:eastAsia="新宋体"/>
                <w:color w:val="auto"/>
                <w:szCs w:val="21"/>
                <w:highlight w:val="none"/>
                <w:lang w:eastAsia="zh-CN"/>
              </w:rPr>
              <w:t>投诉</w:t>
            </w:r>
            <w:r>
              <w:rPr>
                <w:rFonts w:hint="eastAsia" w:ascii="新宋体" w:hAnsi="新宋体" w:eastAsia="新宋体"/>
                <w:color w:val="auto"/>
                <w:szCs w:val="21"/>
                <w:highlight w:val="none"/>
              </w:rPr>
              <w:t>等各类信息的收集和反馈，并及时处理，有回访制度和记录。</w:t>
            </w:r>
          </w:p>
        </w:tc>
        <w:tc>
          <w:tcPr>
            <w:tcW w:w="3587" w:type="dxa"/>
            <w:noWrap/>
            <w:vAlign w:val="center"/>
          </w:tcPr>
          <w:p>
            <w:pPr>
              <w:rPr>
                <w:rFonts w:ascii="新宋体" w:hAnsi="新宋体" w:eastAsia="新宋体"/>
                <w:color w:val="auto"/>
                <w:szCs w:val="21"/>
                <w:highlight w:val="none"/>
              </w:rPr>
            </w:pPr>
            <w:r>
              <w:rPr>
                <w:rFonts w:hint="eastAsia" w:ascii="新宋体" w:hAnsi="新宋体" w:eastAsia="新宋体"/>
                <w:b/>
                <w:bCs/>
                <w:color w:val="auto"/>
                <w:szCs w:val="21"/>
                <w:highlight w:val="none"/>
              </w:rPr>
              <w:t>满分10分。</w:t>
            </w:r>
            <w:r>
              <w:rPr>
                <w:rFonts w:hint="eastAsia" w:ascii="新宋体" w:hAnsi="新宋体" w:eastAsia="新宋体"/>
                <w:color w:val="auto"/>
                <w:szCs w:val="21"/>
                <w:highlight w:val="none"/>
              </w:rPr>
              <w:t>发现服务电话未及时接听的扣0.5分/次；</w:t>
            </w:r>
            <w:r>
              <w:rPr>
                <w:rFonts w:hint="eastAsia" w:ascii="宋体" w:hAnsi="宋体"/>
                <w:color w:val="auto"/>
                <w:szCs w:val="21"/>
                <w:highlight w:val="none"/>
              </w:rPr>
              <w:t>遇紧急意外事件未及时到现场处置的扣2分/次；对于多次反映的有效投诉未及时处置的扣3分/次。</w:t>
            </w:r>
          </w:p>
        </w:tc>
        <w:tc>
          <w:tcPr>
            <w:tcW w:w="1131"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09"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8" w:type="dxa"/>
            <w:noWrap/>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8</w:t>
            </w:r>
          </w:p>
        </w:tc>
        <w:tc>
          <w:tcPr>
            <w:tcW w:w="3000" w:type="dxa"/>
            <w:noWrap/>
            <w:vAlign w:val="center"/>
          </w:tcPr>
          <w:p>
            <w:pPr>
              <w:rPr>
                <w:rFonts w:ascii="仿宋_GB2312" w:hAnsi="宋体" w:eastAsia="仿宋_GB2312"/>
                <w:color w:val="auto"/>
                <w:szCs w:val="21"/>
                <w:highlight w:val="none"/>
              </w:rPr>
            </w:pPr>
            <w:r>
              <w:rPr>
                <w:rFonts w:hint="eastAsia"/>
                <w:color w:val="auto"/>
                <w:szCs w:val="21"/>
                <w:highlight w:val="none"/>
              </w:rPr>
              <w:t>建立规范的员工考核制度和奖罚制度，实行定期的考核和奖罚管理</w:t>
            </w:r>
          </w:p>
        </w:tc>
        <w:tc>
          <w:tcPr>
            <w:tcW w:w="3587" w:type="dxa"/>
            <w:noWrap/>
            <w:vAlign w:val="center"/>
          </w:tcPr>
          <w:p>
            <w:pPr>
              <w:pStyle w:val="24"/>
              <w:spacing w:line="360" w:lineRule="exact"/>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1、员工考核制度落实情况。落实到位得5分，考核措施不到位，视情况酌情扣1-3分。</w:t>
            </w:r>
          </w:p>
          <w:p>
            <w:pPr>
              <w:pStyle w:val="24"/>
              <w:spacing w:line="360" w:lineRule="exact"/>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2、员工奖罚制度落实情况。奖罚分明得5分。奖罚制度流于形式、表面化，本项不得分。</w:t>
            </w:r>
          </w:p>
          <w:p>
            <w:pPr>
              <w:rPr>
                <w:color w:val="auto"/>
                <w:szCs w:val="21"/>
                <w:highlight w:val="none"/>
              </w:rPr>
            </w:pPr>
            <w:r>
              <w:rPr>
                <w:rFonts w:hint="eastAsia"/>
                <w:color w:val="auto"/>
                <w:szCs w:val="21"/>
                <w:highlight w:val="none"/>
              </w:rPr>
              <w:t>3、日常检查中如发现员工有重大违反管理规定，每人次扣1分。该员工经教育后仍再犯，医院有权责令辞退。</w:t>
            </w:r>
          </w:p>
        </w:tc>
        <w:tc>
          <w:tcPr>
            <w:tcW w:w="1131"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09"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38" w:type="dxa"/>
            <w:noWrap/>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9</w:t>
            </w:r>
          </w:p>
        </w:tc>
        <w:tc>
          <w:tcPr>
            <w:tcW w:w="3000" w:type="dxa"/>
            <w:noWrap/>
            <w:vAlign w:val="center"/>
          </w:tcPr>
          <w:p>
            <w:pPr>
              <w:rPr>
                <w:color w:val="auto"/>
                <w:szCs w:val="21"/>
                <w:highlight w:val="none"/>
              </w:rPr>
            </w:pPr>
            <w:r>
              <w:rPr>
                <w:rFonts w:hint="eastAsia"/>
                <w:color w:val="auto"/>
                <w:szCs w:val="21"/>
                <w:highlight w:val="none"/>
              </w:rPr>
              <w:t>制定安全工作计划和自查并组织实行；每月召开管理会议。</w:t>
            </w:r>
          </w:p>
        </w:tc>
        <w:tc>
          <w:tcPr>
            <w:tcW w:w="3587" w:type="dxa"/>
            <w:noWrap/>
            <w:vAlign w:val="center"/>
          </w:tcPr>
          <w:p>
            <w:pPr>
              <w:rPr>
                <w:color w:val="auto"/>
                <w:szCs w:val="21"/>
                <w:highlight w:val="none"/>
              </w:rPr>
            </w:pPr>
            <w:r>
              <w:rPr>
                <w:rFonts w:hint="eastAsia"/>
                <w:color w:val="auto"/>
                <w:szCs w:val="21"/>
                <w:highlight w:val="none"/>
              </w:rPr>
              <w:t>1、每月有计划并上报医院后勤保障科得4分，不上报不得分。</w:t>
            </w:r>
          </w:p>
          <w:p>
            <w:pPr>
              <w:rPr>
                <w:color w:val="auto"/>
                <w:szCs w:val="21"/>
                <w:highlight w:val="none"/>
              </w:rPr>
            </w:pPr>
            <w:r>
              <w:rPr>
                <w:rFonts w:hint="eastAsia"/>
                <w:color w:val="auto"/>
                <w:szCs w:val="21"/>
                <w:highlight w:val="none"/>
              </w:rPr>
              <w:t>2、每月有自查与整改计划得4分，无不得分。</w:t>
            </w:r>
          </w:p>
          <w:p>
            <w:pPr>
              <w:rPr>
                <w:color w:val="auto"/>
                <w:szCs w:val="21"/>
                <w:highlight w:val="none"/>
              </w:rPr>
            </w:pPr>
            <w:r>
              <w:rPr>
                <w:rFonts w:hint="eastAsia"/>
                <w:color w:val="auto"/>
                <w:szCs w:val="21"/>
                <w:highlight w:val="none"/>
              </w:rPr>
              <w:t>3、每月有管理会议得2分。无不得分。</w:t>
            </w:r>
          </w:p>
        </w:tc>
        <w:tc>
          <w:tcPr>
            <w:tcW w:w="1131"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09"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638" w:type="dxa"/>
            <w:noWrap/>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10</w:t>
            </w:r>
          </w:p>
        </w:tc>
        <w:tc>
          <w:tcPr>
            <w:tcW w:w="3000" w:type="dxa"/>
            <w:noWrap/>
            <w:vAlign w:val="center"/>
          </w:tcPr>
          <w:p>
            <w:pPr>
              <w:pStyle w:val="2"/>
              <w:ind w:left="0" w:leftChars="0"/>
              <w:rPr>
                <w:color w:val="auto"/>
                <w:sz w:val="21"/>
                <w:szCs w:val="21"/>
                <w:highlight w:val="none"/>
              </w:rPr>
            </w:pPr>
          </w:p>
          <w:p>
            <w:pPr>
              <w:pStyle w:val="2"/>
              <w:ind w:left="0" w:leftChars="0"/>
              <w:rPr>
                <w:color w:val="auto"/>
                <w:sz w:val="21"/>
                <w:szCs w:val="21"/>
                <w:highlight w:val="none"/>
              </w:rPr>
            </w:pPr>
            <w:r>
              <w:rPr>
                <w:rFonts w:hint="eastAsia"/>
                <w:color w:val="auto"/>
                <w:sz w:val="21"/>
                <w:szCs w:val="21"/>
                <w:highlight w:val="none"/>
              </w:rPr>
              <w:t>兑现设备维修服务承诺，接报修10分钟内赶到现场维修。在设备维修过程中，非常规故障维修期限小修为6小时；中修12小时；大修24小时。要保证维修质量，减少返修，并有回访记录。</w:t>
            </w:r>
          </w:p>
        </w:tc>
        <w:tc>
          <w:tcPr>
            <w:tcW w:w="3587" w:type="dxa"/>
            <w:noWrap/>
            <w:vAlign w:val="center"/>
          </w:tcPr>
          <w:p>
            <w:pPr>
              <w:rPr>
                <w:b/>
                <w:bCs/>
                <w:color w:val="auto"/>
                <w:highlight w:val="none"/>
              </w:rPr>
            </w:pPr>
            <w:r>
              <w:rPr>
                <w:rFonts w:hint="eastAsia"/>
                <w:b/>
                <w:bCs/>
                <w:color w:val="auto"/>
                <w:highlight w:val="none"/>
              </w:rPr>
              <w:t>满分10分。</w:t>
            </w:r>
          </w:p>
          <w:p>
            <w:pPr>
              <w:rPr>
                <w:color w:val="auto"/>
                <w:highlight w:val="none"/>
              </w:rPr>
            </w:pPr>
            <w:r>
              <w:rPr>
                <w:rFonts w:hint="eastAsia"/>
                <w:color w:val="auto"/>
                <w:highlight w:val="none"/>
              </w:rPr>
              <w:t>根据维修记录情况酌情打分。</w:t>
            </w:r>
          </w:p>
          <w:p>
            <w:pPr>
              <w:pStyle w:val="2"/>
              <w:rPr>
                <w:color w:val="auto"/>
                <w:highlight w:val="none"/>
              </w:rPr>
            </w:pPr>
          </w:p>
        </w:tc>
        <w:tc>
          <w:tcPr>
            <w:tcW w:w="1131"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09"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38" w:type="dxa"/>
            <w:noWrap/>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11</w:t>
            </w:r>
          </w:p>
        </w:tc>
        <w:tc>
          <w:tcPr>
            <w:tcW w:w="3000" w:type="dxa"/>
            <w:noWrap/>
            <w:vAlign w:val="center"/>
          </w:tcPr>
          <w:p>
            <w:pPr>
              <w:rPr>
                <w:b/>
                <w:bCs/>
                <w:color w:val="auto"/>
                <w:szCs w:val="21"/>
                <w:highlight w:val="none"/>
              </w:rPr>
            </w:pPr>
            <w:r>
              <w:rPr>
                <w:rFonts w:hint="eastAsia"/>
                <w:color w:val="auto"/>
                <w:szCs w:val="21"/>
                <w:highlight w:val="none"/>
              </w:rPr>
              <w:t>对各类设备系统突发事件应急处置方案合理，处理及时。</w:t>
            </w:r>
          </w:p>
        </w:tc>
        <w:tc>
          <w:tcPr>
            <w:tcW w:w="3587" w:type="dxa"/>
            <w:noWrap/>
            <w:vAlign w:val="center"/>
          </w:tcPr>
          <w:p>
            <w:pPr>
              <w:rPr>
                <w:b/>
                <w:bCs/>
                <w:color w:val="auto"/>
                <w:highlight w:val="none"/>
              </w:rPr>
            </w:pPr>
            <w:r>
              <w:rPr>
                <w:rFonts w:hint="eastAsia"/>
                <w:b/>
                <w:bCs/>
                <w:color w:val="auto"/>
                <w:highlight w:val="none"/>
              </w:rPr>
              <w:t>满分10分。</w:t>
            </w:r>
          </w:p>
          <w:p>
            <w:pPr>
              <w:rPr>
                <w:color w:val="auto"/>
                <w:highlight w:val="none"/>
              </w:rPr>
            </w:pPr>
            <w:r>
              <w:rPr>
                <w:rFonts w:hint="eastAsia"/>
                <w:color w:val="auto"/>
                <w:highlight w:val="none"/>
              </w:rPr>
              <w:t>根据突发事件处理情况酌情打分；如处理不及时，影响医院各部门正常运行，严重的，扣10分</w:t>
            </w:r>
          </w:p>
        </w:tc>
        <w:tc>
          <w:tcPr>
            <w:tcW w:w="1131" w:type="dxa"/>
            <w:noWrap/>
            <w:vAlign w:val="center"/>
          </w:tcPr>
          <w:p>
            <w:pPr>
              <w:pStyle w:val="24"/>
              <w:spacing w:line="360" w:lineRule="exact"/>
              <w:jc w:val="center"/>
              <w:rPr>
                <w:rFonts w:ascii="宋体" w:hAnsi="宋体" w:cs="宋体"/>
                <w:b/>
                <w:bCs/>
                <w:color w:val="auto"/>
                <w:kern w:val="2"/>
                <w:sz w:val="21"/>
                <w:highlight w:val="none"/>
              </w:rPr>
            </w:pPr>
            <w:r>
              <w:rPr>
                <w:rFonts w:hint="eastAsia" w:ascii="宋体" w:hAnsi="宋体" w:cs="宋体"/>
                <w:color w:val="auto"/>
                <w:kern w:val="2"/>
                <w:sz w:val="21"/>
                <w:szCs w:val="21"/>
                <w:highlight w:val="none"/>
              </w:rPr>
              <w:t>10</w:t>
            </w:r>
          </w:p>
        </w:tc>
        <w:tc>
          <w:tcPr>
            <w:tcW w:w="1609" w:type="dxa"/>
            <w:noWrap/>
            <w:vAlign w:val="center"/>
          </w:tcPr>
          <w:p>
            <w:pPr>
              <w:jc w:val="center"/>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38" w:type="dxa"/>
            <w:noWrap/>
            <w:vAlign w:val="center"/>
          </w:tcPr>
          <w:p>
            <w:pPr>
              <w:rPr>
                <w:rFonts w:ascii="仿宋_GB2312" w:hAnsi="宋体" w:eastAsia="仿宋_GB2312"/>
                <w:color w:val="auto"/>
                <w:szCs w:val="21"/>
                <w:highlight w:val="none"/>
              </w:rPr>
            </w:pPr>
          </w:p>
        </w:tc>
        <w:tc>
          <w:tcPr>
            <w:tcW w:w="3000" w:type="dxa"/>
            <w:noWrap/>
            <w:vAlign w:val="center"/>
          </w:tcPr>
          <w:p>
            <w:pPr>
              <w:rPr>
                <w:b/>
                <w:bCs/>
                <w:color w:val="auto"/>
                <w:szCs w:val="21"/>
                <w:highlight w:val="none"/>
              </w:rPr>
            </w:pPr>
            <w:r>
              <w:rPr>
                <w:rFonts w:hint="eastAsia"/>
                <w:b/>
                <w:bCs/>
                <w:color w:val="auto"/>
                <w:szCs w:val="21"/>
                <w:highlight w:val="none"/>
              </w:rPr>
              <w:t>得 分</w:t>
            </w:r>
          </w:p>
        </w:tc>
        <w:tc>
          <w:tcPr>
            <w:tcW w:w="3587" w:type="dxa"/>
            <w:noWrap/>
            <w:vAlign w:val="center"/>
          </w:tcPr>
          <w:p>
            <w:pPr>
              <w:rPr>
                <w:b/>
                <w:bCs/>
                <w:color w:val="auto"/>
                <w:szCs w:val="21"/>
                <w:highlight w:val="none"/>
              </w:rPr>
            </w:pPr>
            <w:r>
              <w:rPr>
                <w:rFonts w:hint="eastAsia"/>
                <w:b/>
                <w:bCs/>
                <w:color w:val="auto"/>
                <w:szCs w:val="21"/>
                <w:highlight w:val="none"/>
              </w:rPr>
              <w:t>考核≥90分为合格。</w:t>
            </w:r>
          </w:p>
          <w:p>
            <w:pPr>
              <w:rPr>
                <w:b/>
                <w:bCs/>
                <w:color w:val="auto"/>
                <w:szCs w:val="21"/>
                <w:highlight w:val="none"/>
              </w:rPr>
            </w:pPr>
            <w:r>
              <w:rPr>
                <w:rFonts w:hint="eastAsia"/>
                <w:b/>
                <w:bCs/>
                <w:color w:val="auto"/>
                <w:szCs w:val="21"/>
                <w:highlight w:val="none"/>
              </w:rPr>
              <w:t>1、每月考核低于89-85分扣当月管理费的5%。</w:t>
            </w:r>
          </w:p>
          <w:p>
            <w:pPr>
              <w:rPr>
                <w:b/>
                <w:bCs/>
                <w:color w:val="auto"/>
                <w:szCs w:val="21"/>
                <w:highlight w:val="none"/>
              </w:rPr>
            </w:pPr>
            <w:r>
              <w:rPr>
                <w:rFonts w:hint="eastAsia"/>
                <w:b/>
                <w:bCs/>
                <w:color w:val="auto"/>
                <w:szCs w:val="21"/>
                <w:highlight w:val="none"/>
              </w:rPr>
              <w:t>2、每月考核低于84分及以下扣除当月管理费10%。</w:t>
            </w:r>
          </w:p>
          <w:p>
            <w:pPr>
              <w:rPr>
                <w:b/>
                <w:bCs/>
                <w:color w:val="auto"/>
                <w:szCs w:val="21"/>
                <w:highlight w:val="none"/>
              </w:rPr>
            </w:pPr>
            <w:r>
              <w:rPr>
                <w:rFonts w:hint="eastAsia"/>
                <w:b/>
                <w:bCs/>
                <w:color w:val="auto"/>
                <w:szCs w:val="21"/>
                <w:highlight w:val="none"/>
              </w:rPr>
              <w:t>3、连续或累计3个月考核不合格，院方有权自动终止合同，重新招标。</w:t>
            </w:r>
          </w:p>
        </w:tc>
        <w:tc>
          <w:tcPr>
            <w:tcW w:w="1131" w:type="dxa"/>
            <w:noWrap/>
            <w:vAlign w:val="center"/>
          </w:tcPr>
          <w:p>
            <w:pPr>
              <w:pStyle w:val="24"/>
              <w:spacing w:line="360" w:lineRule="exact"/>
              <w:jc w:val="center"/>
              <w:rPr>
                <w:rFonts w:ascii="宋体" w:hAnsi="宋体" w:cs="宋体"/>
                <w:b/>
                <w:bCs/>
                <w:color w:val="auto"/>
                <w:kern w:val="2"/>
                <w:sz w:val="21"/>
                <w:highlight w:val="none"/>
              </w:rPr>
            </w:pPr>
            <w:r>
              <w:rPr>
                <w:rFonts w:hint="eastAsia" w:ascii="宋体" w:hAnsi="宋体" w:cs="宋体"/>
                <w:b/>
                <w:bCs/>
                <w:color w:val="auto"/>
                <w:kern w:val="2"/>
                <w:sz w:val="21"/>
                <w:highlight w:val="none"/>
              </w:rPr>
              <w:t>100</w:t>
            </w:r>
          </w:p>
        </w:tc>
        <w:tc>
          <w:tcPr>
            <w:tcW w:w="1609" w:type="dxa"/>
            <w:noWrap/>
            <w:vAlign w:val="center"/>
          </w:tcPr>
          <w:p>
            <w:pPr>
              <w:jc w:val="center"/>
              <w:rPr>
                <w:b/>
                <w:bCs/>
                <w:color w:val="auto"/>
                <w:szCs w:val="21"/>
                <w:highlight w:val="none"/>
              </w:rPr>
            </w:pPr>
          </w:p>
        </w:tc>
      </w:tr>
    </w:tbl>
    <w:p>
      <w:pPr>
        <w:ind w:firstLine="3626" w:firstLineChars="1290"/>
        <w:rPr>
          <w:rFonts w:ascii="宋体" w:hAnsi="宋体"/>
          <w:b/>
          <w:color w:val="auto"/>
          <w:sz w:val="28"/>
          <w:szCs w:val="28"/>
          <w:highlight w:val="none"/>
        </w:rPr>
      </w:pPr>
    </w:p>
    <w:p>
      <w:pPr>
        <w:rPr>
          <w:rFonts w:ascii="宋体" w:hAnsi="宋体"/>
          <w:b/>
          <w:color w:val="auto"/>
          <w:sz w:val="24"/>
          <w:highlight w:val="none"/>
        </w:rPr>
      </w:pPr>
      <w:r>
        <w:rPr>
          <w:rFonts w:hint="eastAsia" w:ascii="宋体" w:hAnsi="宋体"/>
          <w:b/>
          <w:color w:val="auto"/>
          <w:sz w:val="24"/>
          <w:highlight w:val="none"/>
        </w:rPr>
        <w:t>检查人员签名：</w:t>
      </w:r>
    </w:p>
    <w:p>
      <w:pPr>
        <w:pStyle w:val="2"/>
        <w:rPr>
          <w:rFonts w:ascii="宋体" w:hAnsi="宋体"/>
          <w:b/>
          <w:color w:val="auto"/>
          <w:sz w:val="24"/>
          <w:highlight w:val="none"/>
        </w:rPr>
      </w:pPr>
    </w:p>
    <w:p>
      <w:pPr>
        <w:pStyle w:val="2"/>
        <w:rPr>
          <w:rFonts w:ascii="宋体" w:hAnsi="宋体"/>
          <w:b/>
          <w:color w:val="auto"/>
          <w:sz w:val="24"/>
          <w:highlight w:val="none"/>
        </w:rPr>
      </w:pPr>
    </w:p>
    <w:p>
      <w:pPr>
        <w:snapToGrid/>
        <w:spacing w:line="240" w:lineRule="auto"/>
        <w:jc w:val="left"/>
        <w:rPr>
          <w:rFonts w:hint="eastAsia" w:ascii="黑体" w:hAnsi="宋体" w:eastAsia="黑体"/>
          <w:color w:val="auto"/>
          <w:sz w:val="30"/>
          <w:szCs w:val="30"/>
          <w:highlight w:val="none"/>
        </w:rPr>
      </w:pPr>
      <w:r>
        <w:rPr>
          <w:rFonts w:hint="eastAsia" w:ascii="黑体" w:hAnsi="宋体" w:eastAsia="黑体"/>
          <w:color w:val="auto"/>
          <w:sz w:val="30"/>
          <w:szCs w:val="30"/>
          <w:highlight w:val="none"/>
        </w:rPr>
        <w:br w:type="page"/>
      </w:r>
    </w:p>
    <w:p>
      <w:pPr>
        <w:snapToGrid w:val="0"/>
        <w:spacing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第三章  投标人须知</w:t>
      </w:r>
    </w:p>
    <w:p>
      <w:pPr>
        <w:snapToGrid w:val="0"/>
        <w:spacing w:line="360" w:lineRule="auto"/>
        <w:ind w:left="238"/>
        <w:jc w:val="center"/>
        <w:outlineLvl w:val="1"/>
        <w:rPr>
          <w:rFonts w:ascii="宋体" w:hAnsi="宋体"/>
          <w:b/>
          <w:color w:val="auto"/>
          <w:sz w:val="30"/>
          <w:szCs w:val="30"/>
          <w:highlight w:val="none"/>
        </w:rPr>
      </w:pPr>
      <w:r>
        <w:rPr>
          <w:rFonts w:hint="eastAsia" w:ascii="宋体" w:hAnsi="宋体"/>
          <w:b/>
          <w:color w:val="auto"/>
          <w:sz w:val="30"/>
          <w:szCs w:val="30"/>
          <w:highlight w:val="none"/>
        </w:rPr>
        <w:t>前附表</w:t>
      </w:r>
    </w:p>
    <w:tbl>
      <w:tblPr>
        <w:tblStyle w:val="28"/>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序号</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项目名称：湖州市中心医院2025-2028年度机电运维管理项目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ascii="宋体" w:hAnsi="宋体"/>
                <w:color w:val="auto"/>
                <w:sz w:val="24"/>
                <w:highlight w:val="none"/>
              </w:rPr>
              <w:t>2</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采购数量及单位：详见招标文件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投标报价及费用：</w:t>
            </w:r>
            <w:r>
              <w:rPr>
                <w:rFonts w:ascii="宋体" w:hAnsi="宋体"/>
                <w:color w:val="auto"/>
                <w:sz w:val="24"/>
                <w:highlight w:val="none"/>
              </w:rPr>
              <w:t>1</w:t>
            </w:r>
            <w:r>
              <w:rPr>
                <w:rFonts w:hint="eastAsia" w:ascii="宋体" w:hAnsi="宋体"/>
                <w:color w:val="auto"/>
                <w:sz w:val="24"/>
                <w:highlight w:val="none"/>
              </w:rPr>
              <w:t>.本项目投标应以人民币报价；</w:t>
            </w:r>
            <w:r>
              <w:rPr>
                <w:rFonts w:ascii="宋体" w:hAnsi="宋体"/>
                <w:color w:val="auto"/>
                <w:sz w:val="24"/>
                <w:highlight w:val="none"/>
              </w:rPr>
              <w:t>2</w:t>
            </w:r>
            <w:r>
              <w:rPr>
                <w:rFonts w:hint="eastAsia" w:ascii="宋体" w:hAnsi="宋体"/>
                <w:color w:val="auto"/>
                <w:sz w:val="24"/>
                <w:highlight w:val="none"/>
              </w:rPr>
              <w:t>.不论投标结果如何，投标人均应自行承担所有与投标有关的全部费用。3.本项目招标</w:t>
            </w:r>
            <w:bookmarkStart w:id="95" w:name="_GoBack"/>
            <w:r>
              <w:rPr>
                <w:rFonts w:hint="eastAsia" w:ascii="宋体" w:hAnsi="宋体"/>
                <w:color w:val="auto"/>
                <w:sz w:val="24"/>
                <w:highlight w:val="none"/>
              </w:rPr>
              <w:t>代理服务费</w:t>
            </w:r>
            <w:bookmarkEnd w:id="95"/>
            <w:r>
              <w:rPr>
                <w:rFonts w:hint="eastAsia" w:ascii="宋体" w:hAnsi="宋体"/>
                <w:color w:val="auto"/>
                <w:sz w:val="24"/>
                <w:highlight w:val="none"/>
              </w:rPr>
              <w:t>人民币</w:t>
            </w:r>
            <w:r>
              <w:rPr>
                <w:rFonts w:hint="eastAsia" w:ascii="宋体" w:hAnsi="宋体"/>
                <w:color w:val="auto"/>
                <w:sz w:val="24"/>
                <w:highlight w:val="none"/>
                <w:lang w:eastAsia="zh-CN"/>
              </w:rPr>
              <w:t>贰万</w:t>
            </w:r>
            <w:r>
              <w:rPr>
                <w:rFonts w:hint="eastAsia" w:ascii="宋体" w:hAnsi="宋体"/>
                <w:color w:val="auto"/>
                <w:sz w:val="24"/>
                <w:highlight w:val="none"/>
                <w:lang w:val="en-US" w:eastAsia="zh-CN"/>
              </w:rPr>
              <w:t>陆仟</w:t>
            </w:r>
            <w:r>
              <w:rPr>
                <w:rFonts w:hint="eastAsia" w:ascii="宋体" w:hAnsi="宋体"/>
                <w:color w:val="auto"/>
                <w:sz w:val="24"/>
                <w:highlight w:val="none"/>
              </w:rPr>
              <w:t>元整（￥2</w:t>
            </w:r>
            <w:r>
              <w:rPr>
                <w:rFonts w:hint="eastAsia" w:ascii="宋体" w:hAnsi="宋体"/>
                <w:color w:val="auto"/>
                <w:sz w:val="24"/>
                <w:highlight w:val="none"/>
                <w:lang w:val="en-US" w:eastAsia="zh-CN"/>
              </w:rPr>
              <w:t>6000</w:t>
            </w:r>
            <w:r>
              <w:rPr>
                <w:rFonts w:hint="eastAsia" w:ascii="宋体" w:hAnsi="宋体"/>
                <w:color w:val="auto"/>
                <w:sz w:val="24"/>
                <w:highlight w:val="none"/>
              </w:rPr>
              <w:t>.00)，由中标人全额支付。在中标通知书发出后当日内一次性结清。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ascii="宋体" w:hAnsi="宋体"/>
                <w:color w:val="auto"/>
                <w:sz w:val="24"/>
                <w:highlight w:val="none"/>
              </w:rPr>
              <w:t>4</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ascii="宋体" w:hAnsi="宋体"/>
                <w:color w:val="auto"/>
                <w:sz w:val="24"/>
                <w:highlight w:val="none"/>
              </w:rPr>
              <w:t>5</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现场踏勘：不组织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6</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答疑与澄清：投标人如认为招标文件表述不清晰、存在歧视性或者其他违法内容的，可以在知道或者应知其权益受到损害之日起7个工作日内</w:t>
            </w:r>
            <w:r>
              <w:rPr>
                <w:rFonts w:hint="eastAsia" w:ascii="宋体" w:hAnsi="宋体" w:cs="仿宋"/>
                <w:color w:val="auto"/>
                <w:sz w:val="24"/>
                <w:highlight w:val="none"/>
              </w:rPr>
              <w:t>（公告期限届满后获取采购文件的，以公告期限届满之日为准）</w:t>
            </w:r>
            <w:r>
              <w:rPr>
                <w:rFonts w:hint="eastAsia" w:ascii="宋体" w:hAnsi="宋体"/>
                <w:color w:val="auto"/>
                <w:sz w:val="24"/>
                <w:highlight w:val="none"/>
              </w:rPr>
              <w:t>，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投标文件组成：1、电子投标文件（包括“电子加密投标文件”和“备份投标文件”，在投标文件编制完成后同时生成）</w:t>
            </w:r>
          </w:p>
          <w:p>
            <w:pPr>
              <w:widowControl/>
              <w:jc w:val="left"/>
              <w:rPr>
                <w:rFonts w:ascii="宋体" w:hAnsi="宋体"/>
                <w:color w:val="auto"/>
                <w:sz w:val="24"/>
                <w:highlight w:val="none"/>
              </w:rPr>
            </w:pPr>
            <w:r>
              <w:rPr>
                <w:rFonts w:hint="eastAsia" w:ascii="宋体" w:hAnsi="宋体"/>
                <w:color w:val="auto"/>
                <w:sz w:val="24"/>
                <w:highlight w:val="none"/>
              </w:rPr>
              <w:t>（1）“电子加密投标文件”是指通过“政采云电子交易客户端”完成投标文件编制后生成并加密的数据电文形式的投标文件。</w:t>
            </w:r>
          </w:p>
          <w:p>
            <w:pPr>
              <w:widowControl/>
              <w:jc w:val="left"/>
              <w:rPr>
                <w:rFonts w:ascii="宋体" w:hAnsi="宋体"/>
                <w:color w:val="auto"/>
                <w:sz w:val="24"/>
                <w:highlight w:val="none"/>
              </w:rPr>
            </w:pPr>
            <w:r>
              <w:rPr>
                <w:rFonts w:hint="eastAsia" w:ascii="宋体" w:hAnsi="宋体"/>
                <w:color w:val="auto"/>
                <w:sz w:val="24"/>
                <w:highlight w:val="none"/>
              </w:rPr>
              <w:t>（2）“备份投标文件”是指与“电子加密投标文件”同时生成的数据电文形式的电子文件（备份标书），其他方式编制的备份投标文件视为无效备份投标文件。仅在出现解密异常情况下使用。</w:t>
            </w:r>
          </w:p>
          <w:p>
            <w:pPr>
              <w:widowControl/>
              <w:autoSpaceDE w:val="0"/>
              <w:autoSpaceDN w:val="0"/>
              <w:jc w:val="left"/>
              <w:textAlignment w:val="bottom"/>
              <w:rPr>
                <w:rFonts w:ascii="宋体" w:hAnsi="宋体"/>
                <w:color w:val="auto"/>
                <w:sz w:val="24"/>
                <w:highlight w:val="none"/>
              </w:rPr>
            </w:pPr>
            <w:r>
              <w:rPr>
                <w:rFonts w:hint="eastAsia" w:ascii="宋体" w:hAnsi="宋体"/>
                <w:color w:val="auto"/>
                <w:sz w:val="24"/>
                <w:highlight w:val="none"/>
              </w:rPr>
              <w:t>2、中标后，中标单位需在领取中标通知书时，向招标代理机构提交与投标时电子投标文件一致的纸质版本一式三份（按照招标文件要求签字盖章）。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投标文件份数：1、“电子加密投标文件”：在线上传递交、一份。2、“备份投标文件”：一份。</w:t>
            </w:r>
            <w:r>
              <w:rPr>
                <w:rFonts w:ascii="宋体" w:hAnsi="宋体"/>
                <w:color w:val="auto"/>
                <w:sz w:val="24"/>
                <w:highlight w:val="none"/>
              </w:rPr>
              <w:t>以介质存储的数据电文形式的备份</w:t>
            </w:r>
            <w:r>
              <w:rPr>
                <w:rFonts w:hint="eastAsia" w:ascii="宋体" w:hAnsi="宋体"/>
                <w:color w:val="auto"/>
                <w:sz w:val="24"/>
                <w:highlight w:val="none"/>
              </w:rPr>
              <w:t>投标</w:t>
            </w:r>
            <w:r>
              <w:rPr>
                <w:rFonts w:ascii="宋体" w:hAnsi="宋体"/>
                <w:color w:val="auto"/>
                <w:sz w:val="24"/>
                <w:highlight w:val="none"/>
              </w:rPr>
              <w:t>文件</w:t>
            </w:r>
            <w:r>
              <w:rPr>
                <w:rFonts w:hint="eastAsia" w:ascii="宋体" w:hAnsi="宋体"/>
                <w:color w:val="auto"/>
                <w:sz w:val="24"/>
                <w:highlight w:val="none"/>
              </w:rPr>
              <w:t>（</w:t>
            </w:r>
            <w:r>
              <w:rPr>
                <w:rFonts w:ascii="宋体" w:hAnsi="宋体"/>
                <w:color w:val="auto"/>
                <w:sz w:val="24"/>
                <w:highlight w:val="none"/>
              </w:rPr>
              <w:t>BFBS格式)，按政采云平台项目采购-电子交易操作指南中上传的电子</w:t>
            </w:r>
            <w:r>
              <w:rPr>
                <w:rFonts w:hint="eastAsia" w:ascii="宋体" w:hAnsi="宋体"/>
                <w:color w:val="auto"/>
                <w:sz w:val="24"/>
                <w:highlight w:val="none"/>
              </w:rPr>
              <w:t>投标</w:t>
            </w:r>
            <w:r>
              <w:rPr>
                <w:rFonts w:ascii="宋体" w:hAnsi="宋体"/>
                <w:color w:val="auto"/>
                <w:sz w:val="24"/>
                <w:highlight w:val="none"/>
              </w:rPr>
              <w:t>文件格式，以U盘形式存储提供)。U盘盘面上粘贴标签，标注单位名称，装入一个外包封袋中进行邮寄</w:t>
            </w:r>
            <w:r>
              <w:rPr>
                <w:rFonts w:hint="eastAsia" w:ascii="宋体" w:hAnsi="宋体"/>
                <w:color w:val="auto"/>
                <w:sz w:val="24"/>
                <w:highlight w:val="none"/>
              </w:rPr>
              <w:t>。</w:t>
            </w:r>
            <w:r>
              <w:rPr>
                <w:rFonts w:ascii="宋体" w:hAnsi="宋体"/>
                <w:color w:val="auto"/>
                <w:sz w:val="24"/>
                <w:highlight w:val="none"/>
              </w:rPr>
              <w:t>邮寄时，总的外包封袋上可不注明单位名称，但应注明单位的联系人、联系电话及项目名称</w:t>
            </w:r>
            <w:r>
              <w:rPr>
                <w:rFonts w:hint="eastAsia" w:ascii="宋体" w:hAnsi="宋体"/>
                <w:color w:val="auto"/>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olor w:val="auto"/>
                <w:sz w:val="24"/>
                <w:highlight w:val="none"/>
              </w:rPr>
              <w:t>。供应商应于202</w:t>
            </w:r>
            <w:r>
              <w:rPr>
                <w:rFonts w:ascii="宋体" w:hAnsi="宋体"/>
                <w:color w:val="auto"/>
                <w:sz w:val="24"/>
                <w:highlight w:val="none"/>
              </w:rPr>
              <w:t>5</w:t>
            </w:r>
            <w:r>
              <w:rPr>
                <w:rFonts w:hint="eastAsia" w:ascii="宋体" w:hAnsi="宋体"/>
                <w:color w:val="auto"/>
                <w:sz w:val="24"/>
                <w:highlight w:val="none"/>
              </w:rPr>
              <w:t>年</w:t>
            </w:r>
            <w:r>
              <w:rPr>
                <w:rFonts w:hint="eastAsia" w:ascii="宋体" w:hAnsi="宋体"/>
                <w:color w:val="auto"/>
                <w:sz w:val="24"/>
                <w:highlight w:val="none"/>
              </w:rPr>
              <w:fldChar w:fldCharType="end"/>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15</w:t>
            </w:r>
            <w:r>
              <w:rPr>
                <w:rFonts w:hint="eastAsia" w:ascii="宋体" w:hAnsi="宋体"/>
                <w:color w:val="auto"/>
                <w:sz w:val="24"/>
                <w:highlight w:val="none"/>
              </w:rPr>
              <w:t>上午1</w:t>
            </w:r>
            <w:r>
              <w:rPr>
                <w:rFonts w:hint="eastAsia" w:ascii="宋体" w:hAnsi="宋体"/>
                <w:color w:val="auto"/>
                <w:sz w:val="24"/>
                <w:highlight w:val="none"/>
                <w:lang w:val="en-US" w:eastAsia="zh-CN"/>
              </w:rPr>
              <w:t>7</w:t>
            </w:r>
            <w:r>
              <w:rPr>
                <w:rFonts w:hint="eastAsia" w:ascii="宋体" w:hAnsi="宋体"/>
                <w:color w:val="auto"/>
                <w:sz w:val="24"/>
                <w:highlight w:val="none"/>
              </w:rPr>
              <w:t>:30时前准时送达，拒绝到付。以收件人实际签收时间为准，逾期送达的将拒绝接收。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9</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电子加密投标文件的解密和异常情况处理：</w:t>
            </w:r>
          </w:p>
          <w:p>
            <w:pPr>
              <w:widowControl/>
              <w:jc w:val="left"/>
              <w:rPr>
                <w:rFonts w:ascii="宋体" w:hAnsi="宋体"/>
                <w:color w:val="auto"/>
                <w:sz w:val="24"/>
                <w:highlight w:val="none"/>
              </w:rPr>
            </w:pPr>
            <w:r>
              <w:rPr>
                <w:rFonts w:hint="eastAsia" w:ascii="宋体" w:hAnsi="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pPr>
              <w:widowControl/>
              <w:jc w:val="left"/>
              <w:rPr>
                <w:rFonts w:ascii="宋体" w:hAnsi="宋体"/>
                <w:color w:val="auto"/>
                <w:sz w:val="24"/>
                <w:highlight w:val="none"/>
              </w:rPr>
            </w:pPr>
            <w:r>
              <w:rPr>
                <w:rFonts w:hint="eastAsia" w:ascii="宋体" w:hAnsi="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widowControl/>
              <w:jc w:val="left"/>
              <w:rPr>
                <w:rFonts w:ascii="宋体" w:hAnsi="宋体"/>
                <w:color w:val="auto"/>
                <w:sz w:val="24"/>
                <w:highlight w:val="none"/>
              </w:rPr>
            </w:pPr>
            <w:r>
              <w:rPr>
                <w:rFonts w:hint="eastAsia" w:ascii="宋体" w:hAnsi="宋体"/>
                <w:color w:val="auto"/>
                <w:sz w:val="24"/>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开标时间及地点：2025年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16</w:t>
            </w:r>
            <w:r>
              <w:rPr>
                <w:rFonts w:hint="eastAsia" w:ascii="宋体" w:hAnsi="宋体"/>
                <w:color w:val="auto"/>
                <w:sz w:val="24"/>
                <w:highlight w:val="none"/>
              </w:rPr>
              <w:t>日</w:t>
            </w:r>
            <w:r>
              <w:rPr>
                <w:rFonts w:hint="eastAsia" w:ascii="宋体" w:hAnsi="宋体"/>
                <w:color w:val="auto"/>
                <w:sz w:val="24"/>
                <w:highlight w:val="none"/>
                <w:lang w:val="en-US" w:eastAsia="zh-CN"/>
              </w:rPr>
              <w:t>09</w:t>
            </w:r>
            <w:r>
              <w:rPr>
                <w:rFonts w:hint="eastAsia" w:ascii="宋体" w:hAnsi="宋体"/>
                <w:color w:val="auto"/>
                <w:sz w:val="24"/>
                <w:highlight w:val="none"/>
              </w:rPr>
              <w:t>：00时</w:t>
            </w:r>
          </w:p>
          <w:p>
            <w:pPr>
              <w:widowControl/>
              <w:jc w:val="left"/>
              <w:rPr>
                <w:rFonts w:ascii="宋体" w:hAnsi="宋体"/>
                <w:color w:val="auto"/>
                <w:sz w:val="24"/>
                <w:highlight w:val="none"/>
              </w:rPr>
            </w:pPr>
            <w:r>
              <w:rPr>
                <w:rFonts w:hint="eastAsia" w:ascii="宋体" w:hAnsi="宋体"/>
                <w:color w:val="auto"/>
                <w:sz w:val="24"/>
                <w:highlight w:val="none"/>
              </w:rPr>
              <w:t>浙江省湖州市公共资源交易中心二楼开标室（湖州市仁皇山片区金盖山路</w:t>
            </w:r>
            <w:r>
              <w:rPr>
                <w:rFonts w:ascii="宋体" w:hAnsi="宋体"/>
                <w:color w:val="auto"/>
                <w:sz w:val="24"/>
                <w:highlight w:val="none"/>
              </w:rPr>
              <w:t>66</w:t>
            </w:r>
            <w:r>
              <w:rPr>
                <w:rFonts w:hint="eastAsia" w:ascii="宋体" w:hAnsi="宋体"/>
                <w:color w:val="auto"/>
                <w:sz w:val="24"/>
                <w:highlight w:val="none"/>
              </w:rPr>
              <w:t>号</w:t>
            </w:r>
            <w:r>
              <w:rPr>
                <w:rFonts w:ascii="宋体" w:hAnsi="宋体"/>
                <w:color w:val="auto"/>
                <w:sz w:val="24"/>
                <w:highlight w:val="none"/>
              </w:rPr>
              <w:t>2</w:t>
            </w:r>
            <w:r>
              <w:rPr>
                <w:rFonts w:hint="eastAsia" w:ascii="宋体" w:hAnsi="宋体"/>
                <w:color w:val="auto"/>
                <w:sz w:val="24"/>
                <w:highlight w:val="none"/>
              </w:rPr>
              <w:t>号楼，具体详见二楼大厅公告栏），供应商应在投标截止时间前登入“政府采购云平台（www.zcygov.cn）”在线参与开标，并完成CA锁在线解密投标文件等相关工作。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ascii="宋体" w:hAnsi="宋体"/>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评标办法及评分标准：详见招标文件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ascii="宋体" w:hAnsi="宋体"/>
                <w:color w:val="auto"/>
                <w:sz w:val="24"/>
                <w:highlight w:val="none"/>
              </w:rPr>
              <w:t>11</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中标公告：中标供应商确定后，中标公告于浙江省政府采购网：（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hAnsi="宋体"/>
                <w:color w:val="auto"/>
                <w:sz w:val="24"/>
                <w:highlight w:val="none"/>
              </w:rPr>
              <w:t>http://www.zjzfcg.gov.cn</w:t>
            </w:r>
            <w:r>
              <w:rPr>
                <w:rFonts w:ascii="宋体" w:hAnsi="宋体"/>
                <w:color w:val="auto"/>
                <w:sz w:val="24"/>
                <w:highlight w:val="none"/>
              </w:rPr>
              <w:fldChar w:fldCharType="end"/>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湖州市公共资源交易信息网http://ggzy.huzhou.gov.cn</w:t>
            </w:r>
            <w:r>
              <w:rPr>
                <w:rFonts w:hint="eastAsia" w:ascii="宋体" w:hAnsi="宋体"/>
                <w:color w:val="auto"/>
                <w:sz w:val="24"/>
                <w:highlight w:val="none"/>
              </w:rPr>
              <w:t>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ascii="宋体" w:hAnsi="宋体"/>
                <w:color w:val="auto"/>
                <w:sz w:val="24"/>
                <w:highlight w:val="none"/>
              </w:rPr>
              <w:t>12</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ascii="宋体" w:hAnsi="宋体"/>
                <w:color w:val="auto"/>
                <w:sz w:val="24"/>
                <w:highlight w:val="none"/>
              </w:rPr>
              <w:t>13</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本项目的履约保证金：</w:t>
            </w:r>
            <w:bookmarkStart w:id="18" w:name="OLE_LINK8"/>
            <w:r>
              <w:rPr>
                <w:rFonts w:hint="eastAsia" w:ascii="宋体" w:hAnsi="宋体" w:cs="宋体"/>
                <w:color w:val="auto"/>
                <w:sz w:val="24"/>
                <w:highlight w:val="none"/>
              </w:rPr>
              <w:t>合同价的1%</w:t>
            </w:r>
            <w:r>
              <w:rPr>
                <w:rFonts w:hint="eastAsia" w:ascii="宋体" w:hAnsi="宋体"/>
                <w:color w:val="auto"/>
                <w:sz w:val="24"/>
                <w:highlight w:val="none"/>
              </w:rPr>
              <w:t>，</w:t>
            </w:r>
            <w:bookmarkStart w:id="19" w:name="OLE_LINK2"/>
            <w:bookmarkStart w:id="20" w:name="OLE_LINK1"/>
            <w:r>
              <w:rPr>
                <w:rFonts w:hint="eastAsia" w:ascii="宋体" w:hAnsi="宋体"/>
                <w:color w:val="auto"/>
                <w:sz w:val="24"/>
                <w:highlight w:val="none"/>
              </w:rPr>
              <w:t>履约保证金形式为：银行转账或银行、保险公司出具的保函；</w:t>
            </w:r>
            <w:bookmarkStart w:id="21" w:name="OLE_LINK92"/>
            <w:bookmarkStart w:id="22" w:name="OLE_LINK93"/>
            <w:r>
              <w:rPr>
                <w:rFonts w:hint="eastAsia" w:ascii="宋体" w:hAnsi="宋体"/>
                <w:color w:val="auto"/>
                <w:sz w:val="24"/>
                <w:highlight w:val="none"/>
              </w:rPr>
              <w:t>合同期限结束后由采购人无息退还。</w:t>
            </w:r>
            <w:bookmarkEnd w:id="18"/>
            <w:bookmarkEnd w:id="19"/>
            <w:bookmarkEnd w:id="20"/>
            <w:bookmarkEnd w:id="21"/>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ascii="宋体" w:hAnsi="宋体"/>
                <w:color w:val="auto"/>
                <w:sz w:val="24"/>
                <w:highlight w:val="none"/>
              </w:rPr>
              <w:t>14</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ascii="宋体" w:hAnsi="宋体"/>
                <w:color w:val="auto"/>
                <w:sz w:val="24"/>
                <w:highlight w:val="none"/>
              </w:rPr>
              <w:t>15</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16</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投标文件有效期：120天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17</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Arial"/>
                <w:color w:val="auto"/>
                <w:sz w:val="24"/>
                <w:highlight w:val="none"/>
              </w:rPr>
            </w:pPr>
            <w:r>
              <w:rPr>
                <w:rFonts w:hint="eastAsia" w:ascii="宋体" w:hAnsi="宋体"/>
                <w:color w:val="auto"/>
                <w:sz w:val="24"/>
                <w:highlight w:val="none"/>
              </w:rPr>
              <w:t>招标单位：湖州市中心医院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18</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r>
              <w:rPr>
                <w:rFonts w:hint="eastAsia" w:ascii="宋体" w:hAnsi="宋体"/>
                <w:color w:val="auto"/>
                <w:sz w:val="24"/>
                <w:highlight w:val="none"/>
              </w:rPr>
              <w:t>解释：本招标文件的解释权属于招标采购单位</w:t>
            </w:r>
          </w:p>
        </w:tc>
      </w:tr>
    </w:tbl>
    <w:p>
      <w:pPr>
        <w:pStyle w:val="13"/>
        <w:snapToGrid w:val="0"/>
        <w:spacing w:beforeLines="0" w:afterLines="0" w:line="360" w:lineRule="auto"/>
        <w:ind w:firstLine="562" w:firstLineChars="200"/>
        <w:rPr>
          <w:rFonts w:hAnsi="宋体"/>
          <w:b/>
          <w:color w:val="auto"/>
          <w:sz w:val="28"/>
          <w:szCs w:val="28"/>
          <w:highlight w:val="none"/>
        </w:rPr>
      </w:pPr>
      <w:r>
        <w:rPr>
          <w:rFonts w:hint="eastAsia" w:hAnsi="宋体"/>
          <w:b/>
          <w:color w:val="auto"/>
          <w:sz w:val="28"/>
          <w:szCs w:val="28"/>
          <w:highlight w:val="none"/>
        </w:rPr>
        <w:t>一   总  则</w:t>
      </w:r>
    </w:p>
    <w:p>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本招标文件适用于湖州市中心医院2025-2028年度机电运维管理项目的招标、评标、定标、验收、合同履约、付款等（法律、法规另有规定的，从其规定）。</w:t>
      </w:r>
    </w:p>
    <w:p>
      <w:pPr>
        <w:snapToGrid w:val="0"/>
        <w:spacing w:line="360" w:lineRule="auto"/>
        <w:ind w:firstLine="354" w:firstLineChars="147"/>
        <w:jc w:val="left"/>
        <w:outlineLvl w:val="1"/>
        <w:rPr>
          <w:rFonts w:ascii="宋体" w:hAnsi="宋体"/>
          <w:b/>
          <w:color w:val="auto"/>
          <w:sz w:val="24"/>
          <w:szCs w:val="20"/>
          <w:highlight w:val="none"/>
        </w:rPr>
      </w:pPr>
      <w:r>
        <w:rPr>
          <w:rFonts w:hint="eastAsia" w:ascii="宋体" w:hAnsi="宋体"/>
          <w:b/>
          <w:color w:val="auto"/>
          <w:sz w:val="24"/>
          <w:highlight w:val="none"/>
        </w:rPr>
        <w:t>（二）定义</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招标采购单位系指组织本次招标的代理机构和采购单位</w:t>
      </w:r>
      <w:r>
        <w:rPr>
          <w:rFonts w:hint="eastAsia" w:ascii="宋体" w:hAnsi="宋体"/>
          <w:color w:val="auto"/>
          <w:sz w:val="24"/>
          <w:highlight w:val="none"/>
        </w:rPr>
        <w:t>（湖州市中心医院）</w:t>
      </w:r>
      <w:r>
        <w:rPr>
          <w:rFonts w:ascii="宋体" w:hAnsi="宋体"/>
          <w:color w:val="auto"/>
          <w:sz w:val="24"/>
          <w:highlight w:val="none"/>
        </w:rPr>
        <w:t>。</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投标人”系指向招标方提交投标文件的单位或个人。</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“产品”系指供方按招标文件规定，须向采购人提供的一切设备、保险、税金、备品备件、工具、手册</w:t>
      </w:r>
      <w:r>
        <w:rPr>
          <w:rFonts w:hint="eastAsia" w:ascii="宋体" w:hAnsi="宋体"/>
          <w:color w:val="auto"/>
          <w:sz w:val="24"/>
          <w:highlight w:val="none"/>
        </w:rPr>
        <w:t>及其他有关</w:t>
      </w:r>
      <w:r>
        <w:rPr>
          <w:rFonts w:ascii="宋体" w:hAnsi="宋体"/>
          <w:color w:val="auto"/>
          <w:sz w:val="24"/>
          <w:highlight w:val="none"/>
        </w:rPr>
        <w:t>技术资料和材料。</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“服务”系指招标文件规定投标人须承担的安装、调试、技术协助、校准、培训、技术指导以及其他类似的义务。</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“项目”系指投标人按招标文件规定向采购人提供的产品和服务。</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“书面形式”包括信函、传真、电报等。</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“▲”系指实质性要求条款。</w:t>
      </w:r>
    </w:p>
    <w:p>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（三）招标方式</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本次招标采用公开招标方式进行。</w:t>
      </w:r>
    </w:p>
    <w:p>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（四）投标委托</w:t>
      </w:r>
    </w:p>
    <w:p>
      <w:pPr>
        <w:pStyle w:val="2"/>
        <w:snapToGrid w:val="0"/>
        <w:spacing w:line="360" w:lineRule="auto"/>
        <w:ind w:firstLine="600" w:firstLineChars="250"/>
        <w:jc w:val="left"/>
        <w:rPr>
          <w:rFonts w:hAnsi="宋体"/>
          <w:color w:val="auto"/>
          <w:sz w:val="24"/>
          <w:szCs w:val="24"/>
          <w:highlight w:val="none"/>
        </w:rPr>
      </w:pPr>
      <w:r>
        <w:rPr>
          <w:rFonts w:hAnsi="宋体"/>
          <w:color w:val="auto"/>
          <w:sz w:val="24"/>
          <w:szCs w:val="24"/>
          <w:highlight w:val="none"/>
        </w:rPr>
        <w:t>投标人代表须携带</w:t>
      </w:r>
      <w:r>
        <w:rPr>
          <w:rFonts w:hint="eastAsia" w:hAnsi="宋体"/>
          <w:color w:val="auto"/>
          <w:sz w:val="24"/>
          <w:szCs w:val="24"/>
          <w:highlight w:val="none"/>
        </w:rPr>
        <w:t>有效</w:t>
      </w:r>
      <w:r>
        <w:rPr>
          <w:rFonts w:hAnsi="宋体"/>
          <w:color w:val="auto"/>
          <w:sz w:val="24"/>
          <w:szCs w:val="24"/>
          <w:highlight w:val="none"/>
        </w:rPr>
        <w:t>身份证</w:t>
      </w:r>
      <w:r>
        <w:rPr>
          <w:rFonts w:hint="eastAsia" w:hAnsi="宋体"/>
          <w:color w:val="auto"/>
          <w:sz w:val="24"/>
          <w:szCs w:val="24"/>
          <w:highlight w:val="none"/>
        </w:rPr>
        <w:t>件</w:t>
      </w:r>
      <w:r>
        <w:rPr>
          <w:rFonts w:hAnsi="宋体"/>
          <w:color w:val="auto"/>
          <w:sz w:val="24"/>
          <w:szCs w:val="24"/>
          <w:highlight w:val="none"/>
        </w:rPr>
        <w:t>。如投标人代表不是法定代表人，须有法定代表人出具的授权委托书</w:t>
      </w:r>
      <w:r>
        <w:rPr>
          <w:rFonts w:hint="eastAsia" w:hAnsi="宋体"/>
          <w:color w:val="auto"/>
          <w:sz w:val="24"/>
          <w:szCs w:val="24"/>
          <w:highlight w:val="none"/>
        </w:rPr>
        <w:t>及近1个月的社保证明复印件加盖公章</w:t>
      </w:r>
      <w:r>
        <w:rPr>
          <w:rFonts w:hAnsi="宋体"/>
          <w:color w:val="auto"/>
          <w:sz w:val="24"/>
          <w:szCs w:val="24"/>
          <w:highlight w:val="none"/>
        </w:rPr>
        <w:t>（格式见第四部分）。</w:t>
      </w:r>
    </w:p>
    <w:p>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（五）投标费用</w:t>
      </w:r>
    </w:p>
    <w:p>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1.不论投标结果如何，投标人均应自行承担所有与投标有关的全部费用（招标文件有相反规定除外）。</w:t>
      </w:r>
    </w:p>
    <w:p>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2..本项目招标代理服务费人民币贰万</w:t>
      </w:r>
      <w:r>
        <w:rPr>
          <w:rFonts w:hint="eastAsia" w:ascii="宋体" w:hAnsi="宋体"/>
          <w:color w:val="auto"/>
          <w:sz w:val="24"/>
          <w:highlight w:val="none"/>
          <w:lang w:val="en-US" w:eastAsia="zh-CN"/>
        </w:rPr>
        <w:t>陆</w:t>
      </w:r>
      <w:r>
        <w:rPr>
          <w:rFonts w:hint="eastAsia" w:ascii="宋体" w:hAnsi="宋体"/>
          <w:color w:val="auto"/>
          <w:sz w:val="24"/>
          <w:highlight w:val="none"/>
        </w:rPr>
        <w:t>仟元整（￥2</w:t>
      </w:r>
      <w:r>
        <w:rPr>
          <w:rFonts w:hint="eastAsia" w:ascii="宋体" w:hAnsi="宋体"/>
          <w:color w:val="auto"/>
          <w:sz w:val="24"/>
          <w:highlight w:val="none"/>
          <w:lang w:val="en-US" w:eastAsia="zh-CN"/>
        </w:rPr>
        <w:t>60</w:t>
      </w:r>
      <w:r>
        <w:rPr>
          <w:rFonts w:hint="eastAsia" w:ascii="宋体" w:hAnsi="宋体"/>
          <w:color w:val="auto"/>
          <w:sz w:val="24"/>
          <w:highlight w:val="none"/>
        </w:rPr>
        <w:t>00.00)，由中标人全额支付。在</w:t>
      </w:r>
      <w:r>
        <w:rPr>
          <w:rFonts w:hint="eastAsia" w:ascii="宋体" w:hAnsi="宋体"/>
          <w:bCs/>
          <w:color w:val="auto"/>
          <w:sz w:val="24"/>
          <w:highlight w:val="none"/>
        </w:rPr>
        <w:t>中标通知书发出后</w:t>
      </w:r>
      <w:r>
        <w:rPr>
          <w:rFonts w:hint="eastAsia" w:ascii="宋体" w:hAnsi="宋体"/>
          <w:color w:val="auto"/>
          <w:sz w:val="24"/>
          <w:highlight w:val="none"/>
        </w:rPr>
        <w:t>当日内一次性结清。</w:t>
      </w:r>
    </w:p>
    <w:p>
      <w:pPr>
        <w:snapToGrid w:val="0"/>
        <w:spacing w:line="360" w:lineRule="auto"/>
        <w:ind w:firstLine="482" w:firstLineChars="200"/>
        <w:jc w:val="left"/>
        <w:rPr>
          <w:rFonts w:ascii="宋体" w:hAnsi="宋体"/>
          <w:b/>
          <w:color w:val="auto"/>
          <w:sz w:val="24"/>
          <w:szCs w:val="20"/>
          <w:highlight w:val="none"/>
        </w:rPr>
      </w:pPr>
      <w:r>
        <w:rPr>
          <w:rFonts w:hint="eastAsia" w:ascii="宋体" w:hAnsi="宋体"/>
          <w:b/>
          <w:color w:val="auto"/>
          <w:sz w:val="24"/>
          <w:highlight w:val="none"/>
        </w:rPr>
        <w:t>（六）联合体投标</w:t>
      </w:r>
    </w:p>
    <w:p>
      <w:pPr>
        <w:snapToGrid w:val="0"/>
        <w:spacing w:line="360" w:lineRule="auto"/>
        <w:ind w:firstLine="720" w:firstLineChars="300"/>
        <w:jc w:val="left"/>
        <w:rPr>
          <w:rFonts w:ascii="宋体" w:hAnsi="宋体" w:cs="Arial"/>
          <w:color w:val="auto"/>
          <w:sz w:val="24"/>
          <w:highlight w:val="none"/>
        </w:rPr>
      </w:pPr>
      <w:r>
        <w:rPr>
          <w:rFonts w:hint="eastAsia" w:ascii="宋体" w:hAnsi="宋体" w:cs="Arial"/>
          <w:color w:val="auto"/>
          <w:sz w:val="24"/>
          <w:highlight w:val="none"/>
        </w:rPr>
        <w:t>1.本项目接受联合体投标。</w:t>
      </w:r>
    </w:p>
    <w:p>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2.由两个以上的投标人组成一个联合体以一个投标人身份共同投标时，应符合下列要求：</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1）投标人的投标文件及中标后签署的合同对联合体各方均具有法律约束力；</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2）联合体各方应签订共同投标协议，明确约定各方拟承担的工作和责任，并将该共同投标协议随投标文件一并提交采购人；</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3）联合体中标后，联合体各方应当共同与采购人签订合同，为履行合同向采购人承担连带责任；</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4）联合体的各方应共同推荐一名联合体主办人，由联合体各方各提交一份授权书，证明其主办人资格，该授权书作为投标文件的组成部分一并提交采购人；</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5）除非另有规定或说明，本须知中“投标人”一词亦指联合体各方。</w:t>
      </w:r>
    </w:p>
    <w:p>
      <w:pPr>
        <w:snapToGrid w:val="0"/>
        <w:spacing w:line="360" w:lineRule="auto"/>
        <w:ind w:firstLine="472" w:firstLineChars="196"/>
        <w:rPr>
          <w:rFonts w:ascii="宋体" w:hAnsi="宋体" w:cs="宋体"/>
          <w:b/>
          <w:color w:val="auto"/>
          <w:kern w:val="0"/>
          <w:sz w:val="24"/>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pPr>
        <w:snapToGrid w:val="0"/>
        <w:spacing w:line="360" w:lineRule="auto"/>
        <w:ind w:firstLine="480" w:firstLineChars="200"/>
        <w:rPr>
          <w:rFonts w:ascii="宋体" w:hAnsi="宋体"/>
          <w:color w:val="auto"/>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本项目可以</w:t>
      </w:r>
      <w:bookmarkStart w:id="23" w:name="OLE_LINK124"/>
      <w:bookmarkStart w:id="24" w:name="OLE_LINK125"/>
      <w:r>
        <w:rPr>
          <w:rFonts w:ascii="宋体" w:hAnsi="宋体" w:cs="宋体"/>
          <w:color w:val="auto"/>
          <w:kern w:val="0"/>
          <w:sz w:val="24"/>
          <w:highlight w:val="none"/>
        </w:rPr>
        <w:t>分包</w:t>
      </w:r>
      <w:bookmarkEnd w:id="23"/>
      <w:bookmarkEnd w:id="24"/>
      <w:r>
        <w:rPr>
          <w:rFonts w:hint="eastAsia" w:ascii="宋体" w:hAnsi="宋体"/>
          <w:color w:val="auto"/>
          <w:sz w:val="24"/>
          <w:highlight w:val="none"/>
        </w:rPr>
        <w:t>。</w:t>
      </w:r>
    </w:p>
    <w:p>
      <w:pPr>
        <w:snapToGrid w:val="0"/>
        <w:spacing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（八）特别说明：</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pPr>
        <w:pStyle w:val="13"/>
        <w:snapToGrid w:val="0"/>
        <w:spacing w:beforeLines="0" w:afterLines="0" w:line="360" w:lineRule="auto"/>
        <w:ind w:left="2" w:leftChars="1" w:firstLine="480" w:firstLineChars="200"/>
        <w:rPr>
          <w:rFonts w:hAnsi="宋体"/>
          <w:color w:val="auto"/>
          <w:sz w:val="24"/>
          <w:highlight w:val="none"/>
        </w:rPr>
      </w:pPr>
      <w:r>
        <w:rPr>
          <w:rFonts w:hAnsi="宋体"/>
          <w:color w:val="auto"/>
          <w:sz w:val="24"/>
          <w:highlight w:val="none"/>
        </w:rPr>
        <w:t>▲</w:t>
      </w:r>
      <w:r>
        <w:rPr>
          <w:rFonts w:hint="eastAsia" w:hAnsi="宋体"/>
          <w:color w:val="auto"/>
          <w:sz w:val="24"/>
          <w:highlight w:val="none"/>
        </w:rPr>
        <w:t>2.</w:t>
      </w:r>
      <w:r>
        <w:rPr>
          <w:rFonts w:hAnsi="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p>
    <w:p>
      <w:pPr>
        <w:pStyle w:val="13"/>
        <w:snapToGrid w:val="0"/>
        <w:spacing w:beforeLines="0" w:afterLines="0" w:line="360" w:lineRule="auto"/>
        <w:ind w:left="2" w:leftChars="1" w:firstLine="480" w:firstLineChars="200"/>
        <w:rPr>
          <w:rFonts w:hAnsi="宋体"/>
          <w:color w:val="auto"/>
          <w:sz w:val="24"/>
          <w:highlight w:val="none"/>
        </w:rPr>
      </w:pPr>
      <w:r>
        <w:rPr>
          <w:rFonts w:hAnsi="宋体"/>
          <w:color w:val="auto"/>
          <w:sz w:val="24"/>
          <w:highlight w:val="none"/>
        </w:rPr>
        <w:t>▲</w:t>
      </w:r>
      <w:r>
        <w:rPr>
          <w:rFonts w:hint="eastAsia" w:hAnsi="宋体"/>
          <w:color w:val="auto"/>
          <w:sz w:val="24"/>
          <w:highlight w:val="none"/>
        </w:rPr>
        <w:t>3.</w:t>
      </w:r>
      <w:r>
        <w:rPr>
          <w:rFonts w:hAnsi="宋体"/>
          <w:color w:val="auto"/>
          <w:sz w:val="24"/>
          <w:highlight w:val="none"/>
        </w:rPr>
        <w:t>投标人应仔细阅读招标文件的所有内容，按照招标文件的要求提交投标文件，并对所提供的全部资料的真实性承担法律责任。</w:t>
      </w:r>
    </w:p>
    <w:p>
      <w:pPr>
        <w:pStyle w:val="13"/>
        <w:snapToGrid w:val="0"/>
        <w:spacing w:beforeLines="0" w:afterLines="0" w:line="360" w:lineRule="auto"/>
        <w:ind w:left="2" w:leftChars="1" w:firstLine="480" w:firstLineChars="200"/>
        <w:rPr>
          <w:rFonts w:hAnsi="宋体"/>
          <w:b/>
          <w:color w:val="auto"/>
          <w:sz w:val="24"/>
          <w:highlight w:val="none"/>
        </w:rPr>
      </w:pPr>
      <w:r>
        <w:rPr>
          <w:rFonts w:hAnsi="宋体"/>
          <w:color w:val="auto"/>
          <w:sz w:val="24"/>
          <w:highlight w:val="none"/>
        </w:rPr>
        <w:t>▲</w:t>
      </w:r>
      <w:r>
        <w:rPr>
          <w:rFonts w:hint="eastAsia" w:hAnsi="宋体"/>
          <w:color w:val="auto"/>
          <w:sz w:val="24"/>
          <w:highlight w:val="none"/>
        </w:rPr>
        <w:t>4.</w:t>
      </w:r>
      <w:r>
        <w:rPr>
          <w:rFonts w:hAnsi="宋体"/>
          <w:color w:val="auto"/>
          <w:sz w:val="24"/>
          <w:highlight w:val="none"/>
        </w:rPr>
        <w:t>投标人在投标活动中提供任何虚假材料</w:t>
      </w:r>
      <w:r>
        <w:rPr>
          <w:rFonts w:hint="eastAsia" w:hAnsi="宋体"/>
          <w:color w:val="auto"/>
          <w:sz w:val="24"/>
          <w:highlight w:val="none"/>
        </w:rPr>
        <w:t>，</w:t>
      </w:r>
      <w:r>
        <w:rPr>
          <w:rFonts w:hAnsi="宋体"/>
          <w:color w:val="auto"/>
          <w:sz w:val="24"/>
          <w:highlight w:val="none"/>
        </w:rPr>
        <w:t>其投标无效，并报监管部门查处；中标后发现的</w:t>
      </w:r>
      <w:r>
        <w:rPr>
          <w:rFonts w:hint="eastAsia" w:hAnsi="宋体"/>
          <w:color w:val="auto"/>
          <w:sz w:val="24"/>
          <w:highlight w:val="none"/>
        </w:rPr>
        <w:t>，</w:t>
      </w:r>
      <w:r>
        <w:rPr>
          <w:rFonts w:hAnsi="宋体"/>
          <w:color w:val="auto"/>
          <w:sz w:val="24"/>
          <w:highlight w:val="none"/>
        </w:rPr>
        <w:t>中标人须依照《中华人民共和国消费者权益保护法》第49条之规定双倍赔偿采购人</w:t>
      </w:r>
      <w:r>
        <w:rPr>
          <w:rFonts w:hint="eastAsia" w:hAnsi="宋体"/>
          <w:color w:val="auto"/>
          <w:sz w:val="24"/>
          <w:highlight w:val="none"/>
        </w:rPr>
        <w:t>，</w:t>
      </w:r>
      <w:r>
        <w:rPr>
          <w:rFonts w:hAnsi="宋体"/>
          <w:color w:val="auto"/>
          <w:sz w:val="24"/>
          <w:highlight w:val="none"/>
        </w:rPr>
        <w:t>且民事赔偿并不免除违法投标人的行政与刑事责任。</w:t>
      </w:r>
    </w:p>
    <w:p>
      <w:pPr>
        <w:pStyle w:val="13"/>
        <w:snapToGrid w:val="0"/>
        <w:spacing w:beforeLines="0" w:afterLines="0" w:line="360" w:lineRule="auto"/>
        <w:ind w:firstLine="472" w:firstLineChars="196"/>
        <w:outlineLvl w:val="1"/>
        <w:rPr>
          <w:rFonts w:hAnsi="宋体"/>
          <w:b/>
          <w:bCs/>
          <w:color w:val="auto"/>
          <w:sz w:val="24"/>
          <w:highlight w:val="none"/>
        </w:rPr>
      </w:pPr>
      <w:r>
        <w:rPr>
          <w:rFonts w:hAnsi="宋体"/>
          <w:b/>
          <w:bCs/>
          <w:color w:val="auto"/>
          <w:sz w:val="24"/>
          <w:highlight w:val="none"/>
        </w:rPr>
        <w:t>（九）质疑和投诉</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提出质疑的供应商应当是参与所质疑项目采购活动的供应商。潜在供应商已依法获取其可质疑的采购文件的，可以对该文件提出质疑。对采购文件提出质疑的，应当在获取采购文件或者采购文件公告期限届满之日</w:t>
      </w:r>
      <w:r>
        <w:rPr>
          <w:rFonts w:hint="eastAsia" w:hAnsi="宋体" w:cs="仿宋"/>
          <w:color w:val="auto"/>
          <w:sz w:val="24"/>
          <w:highlight w:val="none"/>
        </w:rPr>
        <w:t>（公告期限届满后获取采购文件的，以公告期限届满之日为准）</w:t>
      </w:r>
      <w:r>
        <w:rPr>
          <w:rFonts w:hint="eastAsia" w:hAnsi="宋体"/>
          <w:color w:val="auto"/>
          <w:sz w:val="24"/>
          <w:highlight w:val="none"/>
        </w:rPr>
        <w:t>起7个工作日内，</w:t>
      </w:r>
      <w:r>
        <w:rPr>
          <w:rFonts w:hAnsi="宋体"/>
          <w:color w:val="auto"/>
          <w:sz w:val="24"/>
          <w:highlight w:val="none"/>
        </w:rPr>
        <w:t>以书面形式向采购人、采购代理机构提出质疑</w:t>
      </w:r>
      <w:r>
        <w:rPr>
          <w:rFonts w:hint="eastAsia" w:hAnsi="宋体"/>
          <w:color w:val="auto"/>
          <w:sz w:val="24"/>
          <w:highlight w:val="none"/>
        </w:rPr>
        <w:t>，并电话联系代理公司，由代理公司书面回复“已知悉”，否则代理公司有权不予认可该质疑</w:t>
      </w:r>
      <w:r>
        <w:rPr>
          <w:rFonts w:hAnsi="宋体"/>
          <w:color w:val="auto"/>
          <w:sz w:val="24"/>
          <w:highlight w:val="none"/>
        </w:rPr>
        <w:t>。</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供应商在法定质疑期内一次性提出针对同一采购程序环节的质疑。</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2.供应商提出质疑应当提交质疑函和必要的证明材料。质疑函应当包括下列内容：</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1）供应商的姓名或者名称、地址、邮编、联系人及联系电话；</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2）质疑项目的名称、编号；</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3）具体、明确的质疑事项和与质疑事项相关的请求；</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4）事实依据；</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5）必要的法律依据；</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6）提出质疑的日期。</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3.投诉人提起投诉应当符合下列条件：</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1）提起投诉前已依法进行质疑；</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2）投诉书内容符合本办法的规定；</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3）在投诉有效期限内提起投诉；</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4）同一投诉事项未经财政部门投诉处理；</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5）财政部规定的其他条件。</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4.投诉人投诉时，应当提交投诉书和必要的证明材料，并按照被投诉采购人、采购代理机构和与投诉事项有关的供应商数量提供投诉书的副本。投诉书应当包括下列内容：</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1）投诉人和被投诉人的姓名或者名称、通讯地址、邮编、联系人及联系电话；</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2）质疑和质疑答复情况说明及相关证明材料；</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3）具体、明确的投诉事项和与投诉事项相关的投诉请求；</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4）事实依据；</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5）法律依据；</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6）提起投诉的日期。</w:t>
      </w:r>
    </w:p>
    <w:p>
      <w:pPr>
        <w:pStyle w:val="13"/>
        <w:snapToGrid w:val="0"/>
        <w:spacing w:beforeLines="0" w:afterLines="0" w:line="360" w:lineRule="auto"/>
        <w:ind w:left="2" w:leftChars="1" w:firstLine="480" w:firstLineChars="200"/>
        <w:rPr>
          <w:rFonts w:hAnsi="宋体"/>
          <w:color w:val="auto"/>
          <w:sz w:val="24"/>
          <w:highlight w:val="none"/>
        </w:rPr>
      </w:pPr>
      <w:r>
        <w:rPr>
          <w:rFonts w:hAnsi="宋体"/>
          <w:color w:val="auto"/>
          <w:sz w:val="24"/>
          <w:highlight w:val="none"/>
        </w:rPr>
        <w:t>质疑供应商对采购人、采购代理机构的答复不满意，或者采购人、采购代理机构未在规定时间内作出答复的，可以在答复期满后15个工作日内向本办法第六条规定的财政部门提起投诉。</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5.质疑函须采用财政部发布的政府采购供应商质疑函范本（参考样式可从</w:t>
      </w:r>
      <w:r>
        <w:rPr>
          <w:rFonts w:hAnsi="宋体"/>
          <w:color w:val="auto"/>
          <w:sz w:val="24"/>
          <w:highlight w:val="none"/>
        </w:rPr>
        <w:t>浙江政府采购网下载专区下载</w:t>
      </w:r>
      <w:r>
        <w:rPr>
          <w:rFonts w:hint="eastAsia" w:hAnsi="宋体"/>
          <w:color w:val="auto"/>
          <w:sz w:val="24"/>
          <w:highlight w:val="none"/>
        </w:rPr>
        <w:t>），否则采购代理机构有权要求质疑供应商改正后重新提出。</w:t>
      </w:r>
    </w:p>
    <w:p>
      <w:pPr>
        <w:pStyle w:val="13"/>
        <w:snapToGrid w:val="0"/>
        <w:spacing w:beforeLines="0" w:afterLines="0" w:line="360" w:lineRule="auto"/>
        <w:ind w:firstLine="472" w:firstLineChars="196"/>
        <w:outlineLvl w:val="0"/>
        <w:rPr>
          <w:rFonts w:hAnsi="宋体"/>
          <w:b/>
          <w:color w:val="auto"/>
          <w:sz w:val="24"/>
          <w:highlight w:val="none"/>
        </w:rPr>
      </w:pPr>
      <w:r>
        <w:rPr>
          <w:rFonts w:hAnsi="宋体"/>
          <w:b/>
          <w:color w:val="auto"/>
          <w:sz w:val="24"/>
          <w:highlight w:val="none"/>
        </w:rPr>
        <w:t>二  招标文件</w:t>
      </w:r>
    </w:p>
    <w:p>
      <w:pPr>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招标公告</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投标文件格式</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p>
    <w:p>
      <w:pPr>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（二）投标人的风险</w:t>
      </w:r>
    </w:p>
    <w:p>
      <w:pPr>
        <w:pStyle w:val="22"/>
        <w:spacing w:line="360" w:lineRule="auto"/>
        <w:ind w:left="0" w:leftChars="0" w:firstLine="480" w:firstLineChars="200"/>
        <w:rPr>
          <w:rFonts w:ascii="宋体"/>
          <w:color w:val="auto"/>
          <w:sz w:val="24"/>
          <w:szCs w:val="24"/>
          <w:highlight w:val="none"/>
        </w:rPr>
      </w:pPr>
      <w:r>
        <w:rPr>
          <w:rFonts w:hint="eastAsia" w:ascii="宋体"/>
          <w:color w:val="auto"/>
          <w:sz w:val="24"/>
          <w:szCs w:val="24"/>
          <w:highlight w:val="none"/>
        </w:rPr>
        <w:t>投标人没有按照招标文件要求提供全部资料，或者投标人没有对招标文件在各方面作出实质性响应是投标人的风险，并可能导致其投标被拒绝。</w:t>
      </w:r>
    </w:p>
    <w:p>
      <w:pPr>
        <w:pStyle w:val="5"/>
        <w:numPr>
          <w:ilvl w:val="0"/>
          <w:numId w:val="0"/>
        </w:numPr>
        <w:tabs>
          <w:tab w:val="left" w:pos="720"/>
        </w:tabs>
        <w:snapToGrid w:val="0"/>
        <w:spacing w:line="360" w:lineRule="auto"/>
        <w:ind w:left="413"/>
        <w:rPr>
          <w:rFonts w:ascii="宋体" w:hAnsi="宋体"/>
          <w:b/>
          <w:color w:val="auto"/>
          <w:highlight w:val="none"/>
        </w:rPr>
      </w:pPr>
      <w:r>
        <w:rPr>
          <w:rFonts w:hint="eastAsia" w:ascii="宋体" w:hAnsi="宋体"/>
          <w:b/>
          <w:color w:val="auto"/>
          <w:highlight w:val="none"/>
        </w:rPr>
        <w:t>（三）招标文件的澄清与修改</w:t>
      </w:r>
    </w:p>
    <w:p>
      <w:pPr>
        <w:pStyle w:val="13"/>
        <w:snapToGrid w:val="0"/>
        <w:spacing w:beforeLines="0" w:afterLines="0" w:line="360" w:lineRule="auto"/>
        <w:ind w:firstLine="480" w:firstLineChars="200"/>
        <w:rPr>
          <w:rFonts w:ascii="仿宋" w:hAnsi="仿宋" w:eastAsia="仿宋"/>
          <w:color w:val="auto"/>
          <w:sz w:val="24"/>
          <w:highlight w:val="none"/>
        </w:rPr>
      </w:pPr>
      <w:r>
        <w:rPr>
          <w:rFonts w:hAnsi="宋体"/>
          <w:color w:val="auto"/>
          <w:sz w:val="24"/>
          <w:highlight w:val="none"/>
        </w:rPr>
        <w:t>1</w:t>
      </w:r>
      <w:r>
        <w:rPr>
          <w:rFonts w:hint="eastAsia" w:hAnsi="宋体"/>
          <w:color w:val="auto"/>
          <w:sz w:val="24"/>
          <w:highlight w:val="none"/>
        </w:rPr>
        <w:t>.投标人应认真阅读本招标文件，发现其中有误或有不合理要求的，投标人应当在获取招标文件或者招标文件公告期限届满之日起七个工作日内</w:t>
      </w:r>
      <w:r>
        <w:rPr>
          <w:rFonts w:hint="eastAsia" w:hAnsi="宋体" w:cs="仿宋"/>
          <w:color w:val="auto"/>
          <w:sz w:val="24"/>
          <w:highlight w:val="none"/>
        </w:rPr>
        <w:t>（公告期限届满后获取采购文件的，以公告期限届满之日为准）</w:t>
      </w:r>
      <w:r>
        <w:rPr>
          <w:rFonts w:hint="eastAsia" w:hAnsi="宋体"/>
          <w:color w:val="auto"/>
          <w:sz w:val="24"/>
          <w:highlight w:val="none"/>
        </w:rPr>
        <w:t>提出，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pPr>
        <w:pStyle w:val="13"/>
        <w:snapToGrid w:val="0"/>
        <w:spacing w:beforeLines="0" w:afterLines="0"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.采购人、采购代理机构必须在网上公布答复投标人要求澄清的问题，并将不包含问题来源的答复在网上公布。</w:t>
      </w:r>
      <w:r>
        <w:rPr>
          <w:rFonts w:hAnsi="宋体"/>
          <w:color w:val="auto"/>
          <w:sz w:val="24"/>
          <w:highlight w:val="none"/>
        </w:rPr>
        <w:t>除书面答复以外的其他澄清方式及澄清内容均无效。</w:t>
      </w:r>
    </w:p>
    <w:p>
      <w:pPr>
        <w:pStyle w:val="13"/>
        <w:snapToGrid w:val="0"/>
        <w:spacing w:beforeLines="0" w:afterLines="0" w:line="360" w:lineRule="auto"/>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招标文件澄清、答复、修改、补充的内容为招标文件的组成部分。当招标文件与招标文件的答复、澄清、修改、补充通知就同一内容的表述不一致时，以最后发出的书面文件为准。</w:t>
      </w:r>
    </w:p>
    <w:p>
      <w:pPr>
        <w:pStyle w:val="13"/>
        <w:snapToGrid w:val="0"/>
        <w:spacing w:beforeLines="0" w:afterLines="0" w:line="360" w:lineRule="auto"/>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招标文件的澄清、答复、修改或补充都应该通过本代理机构以法定形式发布，采购人非通过本机构，不得擅自澄清、答复、修改或补充招标文件。</w:t>
      </w:r>
    </w:p>
    <w:p>
      <w:pPr>
        <w:pStyle w:val="13"/>
        <w:snapToGrid w:val="0"/>
        <w:spacing w:beforeLines="0" w:afterLines="0" w:line="360" w:lineRule="auto"/>
        <w:ind w:firstLine="472" w:firstLineChars="196"/>
        <w:outlineLvl w:val="1"/>
        <w:rPr>
          <w:rFonts w:hAnsi="宋体"/>
          <w:b/>
          <w:color w:val="auto"/>
          <w:sz w:val="24"/>
          <w:highlight w:val="none"/>
        </w:rPr>
      </w:pPr>
      <w:r>
        <w:rPr>
          <w:rFonts w:hAnsi="宋体"/>
          <w:b/>
          <w:color w:val="auto"/>
          <w:sz w:val="24"/>
          <w:highlight w:val="none"/>
        </w:rPr>
        <w:t>三、投标文件的编制</w:t>
      </w:r>
    </w:p>
    <w:p>
      <w:pPr>
        <w:snapToGrid w:val="0"/>
        <w:spacing w:line="360" w:lineRule="auto"/>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（一）投标文件的组成</w:t>
      </w:r>
    </w:p>
    <w:p>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投标文件由</w:t>
      </w:r>
      <w:r>
        <w:rPr>
          <w:rFonts w:hint="eastAsia" w:ascii="宋体" w:hAnsi="宋体" w:cs="宋体"/>
          <w:color w:val="auto"/>
          <w:sz w:val="24"/>
          <w:highlight w:val="none"/>
        </w:rPr>
        <w:t>《</w:t>
      </w:r>
      <w:r>
        <w:rPr>
          <w:rFonts w:hint="eastAsia" w:ascii="宋体" w:hAnsi="宋体"/>
          <w:color w:val="auto"/>
          <w:sz w:val="24"/>
          <w:highlight w:val="none"/>
        </w:rPr>
        <w:t>资格文件</w:t>
      </w:r>
      <w:r>
        <w:rPr>
          <w:rFonts w:hint="eastAsia" w:ascii="宋体" w:hAnsi="宋体" w:cs="宋体"/>
          <w:color w:val="auto"/>
          <w:sz w:val="24"/>
          <w:highlight w:val="none"/>
        </w:rPr>
        <w:t>》</w:t>
      </w:r>
      <w:r>
        <w:rPr>
          <w:rFonts w:hint="eastAsia" w:ascii="宋体" w:hAnsi="宋体"/>
          <w:color w:val="auto"/>
          <w:sz w:val="24"/>
          <w:highlight w:val="none"/>
        </w:rPr>
        <w:t>、</w:t>
      </w:r>
      <w:r>
        <w:rPr>
          <w:rFonts w:hint="eastAsia" w:ascii="宋体" w:hAnsi="宋体" w:cs="宋体"/>
          <w:color w:val="auto"/>
          <w:sz w:val="24"/>
          <w:highlight w:val="none"/>
        </w:rPr>
        <w:t>《</w:t>
      </w:r>
      <w:r>
        <w:rPr>
          <w:rFonts w:hint="eastAsia" w:ascii="宋体" w:hAnsi="宋体"/>
          <w:color w:val="auto"/>
          <w:sz w:val="24"/>
          <w:highlight w:val="none"/>
        </w:rPr>
        <w:t>技术/资信/商务文件</w:t>
      </w:r>
      <w:r>
        <w:rPr>
          <w:rFonts w:hint="eastAsia" w:ascii="宋体" w:hAnsi="宋体" w:cs="宋体"/>
          <w:color w:val="auto"/>
          <w:sz w:val="24"/>
          <w:highlight w:val="none"/>
        </w:rPr>
        <w:t>》</w:t>
      </w:r>
      <w:r>
        <w:rPr>
          <w:rFonts w:hint="eastAsia" w:ascii="宋体" w:hAnsi="宋体"/>
          <w:color w:val="auto"/>
          <w:sz w:val="24"/>
          <w:highlight w:val="none"/>
        </w:rPr>
        <w:t>、</w:t>
      </w:r>
      <w:r>
        <w:rPr>
          <w:rFonts w:hint="eastAsia" w:ascii="宋体" w:hAnsi="宋体" w:cs="宋体"/>
          <w:color w:val="auto"/>
          <w:sz w:val="24"/>
          <w:highlight w:val="none"/>
        </w:rPr>
        <w:t>《</w:t>
      </w:r>
      <w:r>
        <w:rPr>
          <w:rFonts w:hint="eastAsia" w:ascii="宋体" w:hAnsi="宋体"/>
          <w:color w:val="auto"/>
          <w:sz w:val="24"/>
          <w:highlight w:val="none"/>
        </w:rPr>
        <w:t>投标报价</w:t>
      </w:r>
      <w:r>
        <w:rPr>
          <w:rFonts w:hint="eastAsia" w:ascii="宋体" w:hAnsi="宋体" w:cs="宋体"/>
          <w:color w:val="auto"/>
          <w:sz w:val="24"/>
          <w:highlight w:val="none"/>
        </w:rPr>
        <w:t>》</w:t>
      </w:r>
      <w:r>
        <w:rPr>
          <w:rFonts w:hint="eastAsia" w:ascii="宋体" w:hAnsi="宋体"/>
          <w:color w:val="auto"/>
          <w:sz w:val="24"/>
          <w:highlight w:val="none"/>
        </w:rPr>
        <w:t>文件三部分组成。（电子投标文件中所盖公章均采用CA签章）。</w:t>
      </w:r>
    </w:p>
    <w:p>
      <w:pPr>
        <w:snapToGrid w:val="0"/>
        <w:spacing w:line="360" w:lineRule="auto"/>
        <w:ind w:firstLine="482" w:firstLineChars="200"/>
        <w:jc w:val="left"/>
        <w:rPr>
          <w:rFonts w:ascii="宋体" w:hAnsi="宋体" w:cs="宋体"/>
          <w:b/>
          <w:bCs/>
          <w:color w:val="auto"/>
          <w:sz w:val="24"/>
          <w:highlight w:val="none"/>
        </w:rPr>
      </w:pPr>
      <w:bookmarkStart w:id="25" w:name="OLE_LINK113"/>
      <w:bookmarkStart w:id="26" w:name="OLE_LINK114"/>
      <w:r>
        <w:rPr>
          <w:rFonts w:hint="eastAsia" w:ascii="宋体" w:hAnsi="宋体" w:cs="宋体"/>
          <w:b/>
          <w:bCs/>
          <w:color w:val="auto"/>
          <w:sz w:val="24"/>
          <w:highlight w:val="none"/>
        </w:rPr>
        <w:t>1.资格文件（</w:t>
      </w:r>
      <w:r>
        <w:rPr>
          <w:rFonts w:hint="eastAsia" w:ascii="宋体" w:hAnsi="宋体"/>
          <w:b/>
          <w:color w:val="auto"/>
          <w:sz w:val="24"/>
          <w:highlight w:val="none"/>
        </w:rPr>
        <w:t>如</w:t>
      </w:r>
      <w:r>
        <w:rPr>
          <w:rFonts w:ascii="宋体" w:hAnsi="宋体"/>
          <w:b/>
          <w:color w:val="auto"/>
          <w:sz w:val="24"/>
          <w:highlight w:val="none"/>
        </w:rPr>
        <w:t>组成联合体</w:t>
      </w:r>
      <w:r>
        <w:rPr>
          <w:rFonts w:hint="eastAsia" w:ascii="宋体" w:hAnsi="宋体"/>
          <w:b/>
          <w:color w:val="auto"/>
          <w:sz w:val="24"/>
          <w:highlight w:val="none"/>
        </w:rPr>
        <w:t>投标</w:t>
      </w:r>
      <w:r>
        <w:rPr>
          <w:rFonts w:ascii="宋体" w:hAnsi="宋体"/>
          <w:b/>
          <w:color w:val="auto"/>
          <w:sz w:val="24"/>
          <w:highlight w:val="none"/>
        </w:rPr>
        <w:t>的，</w:t>
      </w:r>
      <w:r>
        <w:rPr>
          <w:rFonts w:hint="eastAsia" w:ascii="宋体" w:hAnsi="宋体"/>
          <w:b/>
          <w:color w:val="auto"/>
          <w:sz w:val="24"/>
          <w:highlight w:val="none"/>
        </w:rPr>
        <w:t>需提供</w:t>
      </w:r>
      <w:r>
        <w:rPr>
          <w:rFonts w:ascii="宋体" w:hAnsi="宋体"/>
          <w:b/>
          <w:color w:val="auto"/>
          <w:sz w:val="24"/>
          <w:highlight w:val="none"/>
        </w:rPr>
        <w:t>联合体各方</w:t>
      </w:r>
      <w:r>
        <w:rPr>
          <w:rFonts w:hint="eastAsia" w:ascii="宋体" w:hAnsi="宋体"/>
          <w:b/>
          <w:color w:val="auto"/>
          <w:sz w:val="24"/>
          <w:highlight w:val="none"/>
        </w:rPr>
        <w:t>资料）</w:t>
      </w:r>
    </w:p>
    <w:p>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（1）投标声明书（</w:t>
      </w:r>
      <w:r>
        <w:rPr>
          <w:rFonts w:ascii="宋体" w:hAnsi="宋体"/>
          <w:color w:val="auto"/>
          <w:sz w:val="24"/>
          <w:highlight w:val="none"/>
        </w:rPr>
        <w:t>格式见附件)；</w:t>
      </w:r>
    </w:p>
    <w:p>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（2）有效的营业执照、税务登记证、组织机构代码证或“三证合一”的营业执照或“五证合一”的营业执照（</w:t>
      </w:r>
      <w:r>
        <w:rPr>
          <w:rFonts w:hint="eastAsia" w:ascii="宋体" w:hAnsi="宋体"/>
          <w:bCs/>
          <w:color w:val="auto"/>
          <w:sz w:val="24"/>
          <w:highlight w:val="none"/>
        </w:rPr>
        <w:t>复印件各一份</w:t>
      </w:r>
      <w:r>
        <w:rPr>
          <w:rFonts w:hint="eastAsia" w:ascii="宋体" w:hAnsi="宋体"/>
          <w:color w:val="auto"/>
          <w:sz w:val="24"/>
          <w:highlight w:val="none"/>
        </w:rPr>
        <w:t>）；</w:t>
      </w:r>
    </w:p>
    <w:p>
      <w:pPr>
        <w:spacing w:line="360" w:lineRule="auto"/>
        <w:ind w:firstLine="470" w:firstLineChars="196"/>
        <w:jc w:val="left"/>
        <w:rPr>
          <w:color w:val="auto"/>
          <w:sz w:val="24"/>
          <w:highlight w:val="none"/>
        </w:rPr>
      </w:pPr>
      <w:r>
        <w:rPr>
          <w:rFonts w:hint="eastAsia" w:ascii="宋体" w:hAnsi="宋体"/>
          <w:color w:val="auto"/>
          <w:sz w:val="24"/>
          <w:highlight w:val="none"/>
        </w:rPr>
        <w:t>（3）法定代表人有效身份证明书或法定代表人授权书</w:t>
      </w:r>
      <w:r>
        <w:rPr>
          <w:rFonts w:ascii="宋体" w:hAnsi="宋体"/>
          <w:color w:val="auto"/>
          <w:sz w:val="24"/>
          <w:highlight w:val="none"/>
        </w:rPr>
        <w:t>及授权代理人社保证明复印件（社保机构出具的由本单位或分公司为其缴纳的</w:t>
      </w:r>
      <w:r>
        <w:rPr>
          <w:rFonts w:hint="eastAsia" w:ascii="宋体" w:hAnsi="宋体" w:cs="宋体"/>
          <w:color w:val="auto"/>
          <w:kern w:val="0"/>
          <w:sz w:val="24"/>
          <w:highlight w:val="none"/>
        </w:rPr>
        <w:t>最近一个月</w:t>
      </w:r>
      <w:r>
        <w:rPr>
          <w:rFonts w:ascii="宋体" w:hAnsi="宋体"/>
          <w:color w:val="auto"/>
          <w:sz w:val="24"/>
          <w:highlight w:val="none"/>
        </w:rPr>
        <w:t>的社保证明）</w:t>
      </w:r>
      <w:r>
        <w:rPr>
          <w:rFonts w:hint="eastAsia" w:ascii="宋体" w:hAnsi="宋体"/>
          <w:color w:val="auto"/>
          <w:sz w:val="24"/>
          <w:highlight w:val="none"/>
        </w:rPr>
        <w:t>（如</w:t>
      </w:r>
      <w:r>
        <w:rPr>
          <w:rFonts w:ascii="Calibri" w:hAnsi="Calibri"/>
          <w:snapToGrid w:val="0"/>
          <w:color w:val="auto"/>
          <w:sz w:val="24"/>
          <w:highlight w:val="none"/>
        </w:rPr>
        <w:t>组成联合体</w:t>
      </w:r>
      <w:r>
        <w:rPr>
          <w:rFonts w:hint="eastAsia"/>
          <w:snapToGrid w:val="0"/>
          <w:color w:val="auto"/>
          <w:sz w:val="24"/>
          <w:highlight w:val="none"/>
        </w:rPr>
        <w:t>投标</w:t>
      </w:r>
      <w:r>
        <w:rPr>
          <w:rFonts w:ascii="Calibri" w:hAnsi="Calibri"/>
          <w:snapToGrid w:val="0"/>
          <w:color w:val="auto"/>
          <w:sz w:val="24"/>
          <w:highlight w:val="none"/>
        </w:rPr>
        <w:t>的，</w:t>
      </w:r>
      <w:r>
        <w:rPr>
          <w:rFonts w:hint="eastAsia" w:ascii="宋体" w:hAnsi="宋体"/>
          <w:color w:val="auto"/>
          <w:sz w:val="24"/>
          <w:highlight w:val="none"/>
        </w:rPr>
        <w:t>联合体各方各提交一份联合体主办人授权书）；</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（4）投标承诺书；</w:t>
      </w:r>
    </w:p>
    <w:p>
      <w:pPr>
        <w:widowControl/>
        <w:spacing w:line="360" w:lineRule="auto"/>
        <w:ind w:right="6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）信用承诺书；</w:t>
      </w:r>
    </w:p>
    <w:p>
      <w:pPr>
        <w:spacing w:line="360" w:lineRule="auto"/>
        <w:ind w:firstLine="470" w:firstLineChars="196"/>
        <w:rPr>
          <w:rFonts w:ascii="宋体" w:hAnsi="宋体"/>
          <w:color w:val="auto"/>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6</w:t>
      </w:r>
      <w:r>
        <w:rPr>
          <w:rFonts w:hint="eastAsia" w:ascii="宋体" w:hAnsi="宋体" w:cs="Arial"/>
          <w:color w:val="auto"/>
          <w:kern w:val="0"/>
          <w:sz w:val="24"/>
          <w:highlight w:val="none"/>
        </w:rPr>
        <w:t>）</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以开标当日采购人或由采购代理机构核实的查询结果为准）；</w:t>
      </w:r>
    </w:p>
    <w:p>
      <w:pPr>
        <w:widowControl/>
        <w:spacing w:line="360" w:lineRule="auto"/>
        <w:ind w:right="60"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w:t>
      </w:r>
      <w:bookmarkStart w:id="27" w:name="OLE_LINK67"/>
      <w:r>
        <w:rPr>
          <w:rFonts w:hint="eastAsia" w:ascii="宋体" w:hAnsi="宋体"/>
          <w:color w:val="auto"/>
          <w:sz w:val="24"/>
          <w:highlight w:val="none"/>
        </w:rPr>
        <w:t>联合体各方共同投标协议（如有，格式自拟）。</w:t>
      </w:r>
      <w:bookmarkEnd w:id="27"/>
    </w:p>
    <w:p>
      <w:pPr>
        <w:spacing w:line="360" w:lineRule="auto"/>
        <w:ind w:firstLine="472" w:firstLineChars="196"/>
        <w:jc w:val="left"/>
        <w:rPr>
          <w:rFonts w:ascii="宋体" w:hAnsi="宋体"/>
          <w:b/>
          <w:bCs/>
          <w:color w:val="auto"/>
          <w:sz w:val="24"/>
          <w:highlight w:val="none"/>
        </w:rPr>
      </w:pPr>
      <w:r>
        <w:rPr>
          <w:rFonts w:hint="eastAsia" w:ascii="宋体" w:hAnsi="宋体"/>
          <w:b/>
          <w:color w:val="auto"/>
          <w:sz w:val="24"/>
          <w:highlight w:val="none"/>
        </w:rPr>
        <w:t>2.</w:t>
      </w:r>
      <w:r>
        <w:rPr>
          <w:rFonts w:ascii="宋体" w:hAnsi="宋体"/>
          <w:b/>
          <w:bCs/>
          <w:color w:val="auto"/>
          <w:sz w:val="24"/>
          <w:highlight w:val="none"/>
        </w:rPr>
        <w:t xml:space="preserve"> 技术文件</w:t>
      </w:r>
    </w:p>
    <w:p>
      <w:pPr>
        <w:snapToGrid w:val="0"/>
        <w:spacing w:line="360" w:lineRule="auto"/>
        <w:ind w:firstLine="480" w:firstLineChars="200"/>
        <w:jc w:val="left"/>
        <w:rPr>
          <w:rFonts w:ascii="宋体" w:hAnsi="宋体"/>
          <w:color w:val="auto"/>
          <w:sz w:val="24"/>
          <w:highlight w:val="none"/>
        </w:rPr>
      </w:pPr>
      <w:bookmarkStart w:id="28" w:name="OLE_LINK79"/>
      <w:bookmarkStart w:id="29" w:name="OLE_LINK96"/>
      <w:bookmarkStart w:id="30" w:name="OLE_LINK80"/>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对项目的理解；</w:t>
      </w:r>
    </w:p>
    <w:p>
      <w:pPr>
        <w:snapToGrid w:val="0"/>
        <w:spacing w:line="360" w:lineRule="auto"/>
        <w:ind w:firstLine="480" w:firstLineChars="200"/>
        <w:jc w:val="left"/>
        <w:rPr>
          <w:rFonts w:hAnsi="宋体" w:cs="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hAnsi="宋体" w:cs="宋体"/>
          <w:color w:val="auto"/>
          <w:sz w:val="24"/>
          <w:highlight w:val="none"/>
        </w:rPr>
        <w:t>运营服务方案；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管理规章制度</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s="宋体"/>
          <w:color w:val="auto"/>
          <w:sz w:val="24"/>
          <w:highlight w:val="none"/>
        </w:rPr>
        <w:t>项目质量保证措施；</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）应急预案</w:t>
      </w:r>
      <w:bookmarkStart w:id="31" w:name="OLE_LINK72"/>
      <w:bookmarkStart w:id="32" w:name="OLE_LINK71"/>
      <w:r>
        <w:rPr>
          <w:rFonts w:hint="eastAsia" w:ascii="宋体" w:hAnsi="宋体"/>
          <w:color w:val="auto"/>
          <w:sz w:val="24"/>
          <w:highlight w:val="none"/>
        </w:rPr>
        <w:t>；</w:t>
      </w:r>
      <w:bookmarkEnd w:id="31"/>
      <w:bookmarkEnd w:id="32"/>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拟投入本项目人员；</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kern w:val="0"/>
          <w:sz w:val="24"/>
          <w:highlight w:val="none"/>
        </w:rPr>
        <w:t>拟投入本项目信息化系统</w:t>
      </w:r>
      <w:r>
        <w:rPr>
          <w:rFonts w:hint="eastAsia" w:ascii="宋体" w:hAnsi="宋体"/>
          <w:color w:val="auto"/>
          <w:sz w:val="24"/>
          <w:highlight w:val="none"/>
        </w:rPr>
        <w:t>；</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）投标人对本项目的合理化建议和改进措施</w:t>
      </w:r>
      <w:r>
        <w:rPr>
          <w:rFonts w:hint="eastAsia" w:ascii="宋体" w:hAnsi="宋体"/>
          <w:color w:val="auto"/>
          <w:sz w:val="24"/>
          <w:highlight w:val="none"/>
        </w:rPr>
        <w:t>；</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）投标人需要说明的其他文件和说明（格式略）</w:t>
      </w:r>
      <w:r>
        <w:rPr>
          <w:rFonts w:hint="eastAsia" w:ascii="宋体" w:hAnsi="宋体"/>
          <w:color w:val="auto"/>
          <w:sz w:val="24"/>
          <w:highlight w:val="none"/>
        </w:rPr>
        <w:t>；</w:t>
      </w:r>
    </w:p>
    <w:p>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资信文件：</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类似案例成功的业绩（投标人同类项目实施情况一览表、合同复印件）；</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）权威认证证书；</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（12）其他特殊资质证书</w:t>
      </w:r>
      <w:r>
        <w:rPr>
          <w:rFonts w:ascii="宋体" w:hAnsi="宋体"/>
          <w:color w:val="auto"/>
          <w:sz w:val="24"/>
          <w:highlight w:val="none"/>
        </w:rPr>
        <w:t>（如</w:t>
      </w:r>
      <w:r>
        <w:rPr>
          <w:rFonts w:hint="eastAsia" w:ascii="宋体" w:hAnsi="宋体"/>
          <w:color w:val="auto"/>
          <w:sz w:val="24"/>
          <w:highlight w:val="none"/>
        </w:rPr>
        <w:t>本地化服务能力等）；</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（13）投标人认为可以证明其能力或业绩的其他材料；</w:t>
      </w:r>
    </w:p>
    <w:p>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商务文件</w:t>
      </w:r>
    </w:p>
    <w:p>
      <w:pPr>
        <w:snapToGrid w:val="0"/>
        <w:spacing w:line="360" w:lineRule="auto"/>
        <w:ind w:firstLine="480" w:firstLineChars="200"/>
        <w:jc w:val="left"/>
        <w:rPr>
          <w:rFonts w:ascii="宋体" w:hAnsi="宋体"/>
          <w:color w:val="auto"/>
          <w:sz w:val="24"/>
          <w:highlight w:val="none"/>
        </w:rPr>
      </w:pPr>
      <w:bookmarkStart w:id="33" w:name="OLE_LINK77"/>
      <w:bookmarkStart w:id="34" w:name="OLE_LINK78"/>
      <w:r>
        <w:rPr>
          <w:rFonts w:hint="eastAsia" w:ascii="宋体" w:hAnsi="宋体"/>
          <w:color w:val="auto"/>
          <w:sz w:val="24"/>
          <w:highlight w:val="none"/>
        </w:rPr>
        <w:t>（14）</w:t>
      </w:r>
      <w:bookmarkEnd w:id="33"/>
      <w:bookmarkEnd w:id="34"/>
      <w:r>
        <w:rPr>
          <w:rFonts w:hint="eastAsia" w:ascii="宋体" w:hAnsi="宋体"/>
          <w:color w:val="auto"/>
          <w:sz w:val="24"/>
          <w:highlight w:val="none"/>
        </w:rPr>
        <w:t>商务响应表（格式见附件）；</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服务承诺；</w:t>
      </w:r>
    </w:p>
    <w:p>
      <w:pPr>
        <w:snapToGrid w:val="0"/>
        <w:spacing w:line="360" w:lineRule="auto"/>
        <w:ind w:firstLine="480" w:firstLineChars="200"/>
        <w:jc w:val="left"/>
        <w:rPr>
          <w:color w:val="auto"/>
          <w:highlight w:val="none"/>
        </w:rPr>
      </w:pPr>
      <w:r>
        <w:rPr>
          <w:rFonts w:hint="eastAsia" w:ascii="宋体" w:hAnsi="宋体"/>
          <w:color w:val="auto"/>
          <w:sz w:val="24"/>
          <w:highlight w:val="none"/>
        </w:rPr>
        <w:t>（16）培训方案；</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w:t>
      </w:r>
      <w:r>
        <w:rPr>
          <w:rFonts w:ascii="宋体" w:hAnsi="宋体"/>
          <w:color w:val="auto"/>
          <w:sz w:val="24"/>
          <w:highlight w:val="none"/>
        </w:rPr>
        <w:t>）</w:t>
      </w:r>
      <w:r>
        <w:rPr>
          <w:rFonts w:hint="eastAsia" w:hAnsi="宋体" w:cs="宋体"/>
          <w:color w:val="auto"/>
          <w:sz w:val="24"/>
          <w:highlight w:val="none"/>
        </w:rPr>
        <w:t>响应时间；</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w:t>
      </w:r>
      <w:r>
        <w:rPr>
          <w:rFonts w:hint="eastAsia" w:ascii="宋体" w:hAnsi="宋体"/>
          <w:color w:val="auto"/>
          <w:sz w:val="24"/>
          <w:highlight w:val="none"/>
        </w:rPr>
        <w:t>技术、商务、资信及其他分自评表。</w:t>
      </w:r>
    </w:p>
    <w:bookmarkEnd w:id="28"/>
    <w:bookmarkEnd w:id="29"/>
    <w:bookmarkEnd w:id="30"/>
    <w:p>
      <w:pPr>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报价文件：</w:t>
      </w:r>
    </w:p>
    <w:p>
      <w:pPr>
        <w:spacing w:line="360" w:lineRule="auto"/>
        <w:ind w:firstLine="470" w:firstLineChars="196"/>
        <w:jc w:val="left"/>
        <w:rPr>
          <w:rFonts w:ascii="宋体" w:hAnsi="宋体"/>
          <w:color w:val="auto"/>
          <w:sz w:val="24"/>
          <w:highlight w:val="none"/>
        </w:rPr>
      </w:pPr>
      <w:bookmarkStart w:id="35" w:name="OLE_LINK73"/>
      <w:r>
        <w:rPr>
          <w:rFonts w:hint="eastAsia" w:ascii="宋体" w:hAnsi="宋体"/>
          <w:color w:val="auto"/>
          <w:sz w:val="24"/>
          <w:highlight w:val="none"/>
        </w:rPr>
        <w:t xml:space="preserve">（1）投标函（格式见附件）； </w:t>
      </w:r>
    </w:p>
    <w:p>
      <w:pPr>
        <w:spacing w:line="360" w:lineRule="auto"/>
        <w:ind w:firstLine="470" w:firstLineChars="196"/>
        <w:jc w:val="left"/>
        <w:rPr>
          <w:rFonts w:ascii="宋体" w:hAnsi="宋体"/>
          <w:color w:val="auto"/>
          <w:sz w:val="24"/>
          <w:highlight w:val="none"/>
        </w:rPr>
      </w:pPr>
      <w:bookmarkStart w:id="36" w:name="OLE_LINK76"/>
      <w:r>
        <w:rPr>
          <w:rFonts w:hint="eastAsia" w:ascii="宋体" w:hAnsi="宋体"/>
          <w:color w:val="auto"/>
          <w:sz w:val="24"/>
          <w:highlight w:val="none"/>
        </w:rPr>
        <w:t>（2</w:t>
      </w:r>
      <w:r>
        <w:rPr>
          <w:rFonts w:ascii="宋体" w:hAnsi="宋体"/>
          <w:color w:val="auto"/>
          <w:sz w:val="24"/>
          <w:highlight w:val="none"/>
        </w:rPr>
        <w:t>）报价明细表</w:t>
      </w:r>
      <w:r>
        <w:rPr>
          <w:rFonts w:hint="eastAsia" w:ascii="宋体" w:hAnsi="宋体"/>
          <w:color w:val="auto"/>
          <w:sz w:val="24"/>
          <w:highlight w:val="none"/>
        </w:rPr>
        <w:t>（格式自拟）</w:t>
      </w:r>
      <w:r>
        <w:rPr>
          <w:rFonts w:ascii="宋体" w:hAnsi="宋体"/>
          <w:color w:val="auto"/>
          <w:sz w:val="24"/>
          <w:highlight w:val="none"/>
        </w:rPr>
        <w:t>；</w:t>
      </w:r>
    </w:p>
    <w:p>
      <w:pPr>
        <w:spacing w:line="360" w:lineRule="auto"/>
        <w:ind w:firstLine="470" w:firstLineChars="196"/>
        <w:jc w:val="left"/>
        <w:rPr>
          <w:rFonts w:ascii="宋体" w:hAnsi="宋体"/>
          <w:color w:val="auto"/>
          <w:sz w:val="24"/>
          <w:highlight w:val="none"/>
        </w:rPr>
      </w:pPr>
      <w:bookmarkStart w:id="37" w:name="OLE_LINK75"/>
      <w:bookmarkStart w:id="38" w:name="OLE_LINK74"/>
      <w:r>
        <w:rPr>
          <w:rFonts w:hint="eastAsia" w:ascii="宋体" w:hAnsi="宋体" w:cs="仿宋"/>
          <w:color w:val="auto"/>
          <w:sz w:val="24"/>
          <w:highlight w:val="none"/>
        </w:rPr>
        <w:t>（3）</w:t>
      </w:r>
      <w:r>
        <w:rPr>
          <w:rFonts w:hint="eastAsia" w:ascii="宋体" w:hAnsi="宋体"/>
          <w:color w:val="auto"/>
          <w:sz w:val="24"/>
          <w:highlight w:val="none"/>
        </w:rPr>
        <w:t>中小企业声明函（如有，格式见附件）；</w:t>
      </w:r>
    </w:p>
    <w:p>
      <w:pPr>
        <w:spacing w:line="360" w:lineRule="auto"/>
        <w:ind w:firstLine="470" w:firstLineChars="196"/>
        <w:jc w:val="left"/>
        <w:rPr>
          <w:rFonts w:ascii="宋体" w:hAnsi="宋体" w:cs="仿宋"/>
          <w:color w:val="auto"/>
          <w:sz w:val="24"/>
          <w:highlight w:val="none"/>
        </w:rPr>
      </w:pPr>
      <w:r>
        <w:rPr>
          <w:rFonts w:hint="eastAsia" w:ascii="宋体" w:hAnsi="宋体" w:cs="仿宋"/>
          <w:color w:val="auto"/>
          <w:sz w:val="24"/>
          <w:highlight w:val="none"/>
        </w:rPr>
        <w:t xml:space="preserve">（4）残疾人福利企业声明函（如有，格式见附件）； </w:t>
      </w:r>
    </w:p>
    <w:p>
      <w:pPr>
        <w:spacing w:line="360" w:lineRule="auto"/>
        <w:ind w:firstLine="470" w:firstLineChars="196"/>
        <w:jc w:val="left"/>
        <w:rPr>
          <w:rFonts w:ascii="宋体" w:hAnsi="宋体" w:cs="仿宋"/>
          <w:color w:val="auto"/>
          <w:sz w:val="24"/>
          <w:highlight w:val="none"/>
        </w:rPr>
      </w:pPr>
      <w:r>
        <w:rPr>
          <w:rFonts w:hint="eastAsia" w:ascii="宋体" w:hAnsi="宋体"/>
          <w:color w:val="auto"/>
          <w:sz w:val="24"/>
          <w:highlight w:val="none"/>
        </w:rPr>
        <w:t>（5）</w:t>
      </w:r>
      <w:r>
        <w:rPr>
          <w:rFonts w:hint="eastAsia" w:ascii="宋体" w:hAnsi="宋体" w:cs="仿宋"/>
          <w:color w:val="auto"/>
          <w:sz w:val="24"/>
          <w:highlight w:val="none"/>
        </w:rPr>
        <w:t>属于监狱企业的证明文件（如有）；</w:t>
      </w:r>
    </w:p>
    <w:p>
      <w:pPr>
        <w:spacing w:line="360" w:lineRule="auto"/>
        <w:ind w:firstLine="470" w:firstLineChars="196"/>
        <w:jc w:val="left"/>
        <w:rPr>
          <w:rFonts w:ascii="宋体" w:hAnsi="宋体" w:cs="仿宋"/>
          <w:color w:val="auto"/>
          <w:sz w:val="24"/>
          <w:highlight w:val="none"/>
        </w:rPr>
      </w:pPr>
      <w:bookmarkStart w:id="39" w:name="OLE_LINK13"/>
      <w:r>
        <w:rPr>
          <w:rFonts w:hint="eastAsia" w:ascii="宋体" w:hAnsi="宋体"/>
          <w:color w:val="auto"/>
          <w:sz w:val="24"/>
          <w:highlight w:val="none"/>
        </w:rPr>
        <w:t>（6）</w:t>
      </w:r>
      <w:bookmarkStart w:id="40" w:name="OLE_LINK126"/>
      <w:bookmarkStart w:id="41" w:name="OLE_LINK127"/>
      <w:r>
        <w:rPr>
          <w:rFonts w:hint="eastAsia" w:ascii="宋体" w:hAnsi="宋体" w:cs="仿宋"/>
          <w:color w:val="auto"/>
          <w:sz w:val="24"/>
          <w:highlight w:val="none"/>
        </w:rPr>
        <w:t>联合体各方共同投标协议或分包意向协议（如有，格式自拟）</w:t>
      </w:r>
      <w:bookmarkEnd w:id="39"/>
      <w:bookmarkEnd w:id="40"/>
      <w:bookmarkEnd w:id="41"/>
    </w:p>
    <w:p>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（7）投标人针对报价需要说明的其他文件和说明（格式自拟）；</w:t>
      </w:r>
    </w:p>
    <w:p>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（8）招标代理费承诺函；</w:t>
      </w:r>
    </w:p>
    <w:p>
      <w:pPr>
        <w:spacing w:line="360" w:lineRule="auto"/>
        <w:ind w:firstLine="470" w:firstLineChars="196"/>
        <w:jc w:val="left"/>
        <w:rPr>
          <w:color w:val="auto"/>
          <w:highlight w:val="none"/>
        </w:rPr>
      </w:pPr>
      <w:r>
        <w:rPr>
          <w:rFonts w:hint="eastAsia" w:ascii="宋体" w:hAnsi="宋体"/>
          <w:color w:val="auto"/>
          <w:sz w:val="24"/>
          <w:highlight w:val="none"/>
        </w:rPr>
        <w:t>（9）开标一览表（格式见附件）。</w:t>
      </w:r>
    </w:p>
    <w:bookmarkEnd w:id="25"/>
    <w:bookmarkEnd w:id="26"/>
    <w:bookmarkEnd w:id="35"/>
    <w:bookmarkEnd w:id="36"/>
    <w:bookmarkEnd w:id="37"/>
    <w:bookmarkEnd w:id="38"/>
    <w:p>
      <w:pPr>
        <w:pStyle w:val="23"/>
        <w:widowControl w:val="0"/>
        <w:spacing w:before="0" w:afterLines="0" w:line="360" w:lineRule="auto"/>
        <w:ind w:firstLine="482" w:firstLineChars="200"/>
        <w:rPr>
          <w:b/>
          <w:bCs/>
          <w:color w:val="auto"/>
          <w:sz w:val="24"/>
          <w:szCs w:val="24"/>
          <w:highlight w:val="none"/>
        </w:rPr>
      </w:pPr>
      <w:r>
        <w:rPr>
          <w:b/>
          <w:color w:val="auto"/>
          <w:sz w:val="24"/>
          <w:szCs w:val="24"/>
          <w:highlight w:val="none"/>
        </w:rPr>
        <w:t>▲</w:t>
      </w:r>
      <w:r>
        <w:rPr>
          <w:b/>
          <w:bCs/>
          <w:color w:val="auto"/>
          <w:sz w:val="24"/>
          <w:szCs w:val="24"/>
          <w:highlight w:val="none"/>
        </w:rPr>
        <w:t>注：法定代表人授权委托书、投标声明书、投标函、开标一览表必须由法定代表人签名并加盖单位公章。</w:t>
      </w:r>
    </w:p>
    <w:p>
      <w:pPr>
        <w:snapToGrid w:val="0"/>
        <w:spacing w:line="360" w:lineRule="auto"/>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（二）投标文件的语言及计量</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b/>
          <w:color w:val="auto"/>
          <w:kern w:val="0"/>
          <w:sz w:val="24"/>
          <w:highlight w:val="none"/>
        </w:rPr>
      </w:pPr>
      <w:r>
        <w:rPr>
          <w:rFonts w:hint="eastAsia" w:ascii="宋体" w:hAnsi="宋体"/>
          <w:b/>
          <w:color w:val="auto"/>
          <w:kern w:val="0"/>
          <w:sz w:val="24"/>
          <w:highlight w:val="none"/>
        </w:rPr>
        <w:t>（三）投标报价</w:t>
      </w:r>
    </w:p>
    <w:p>
      <w:pPr>
        <w:snapToGrid w:val="0"/>
        <w:spacing w:line="360" w:lineRule="auto"/>
        <w:ind w:firstLine="411" w:firstLineChars="196"/>
        <w:jc w:val="left"/>
        <w:outlineLvl w:val="0"/>
        <w:rPr>
          <w:rFonts w:ascii="宋体" w:hAnsi="宋体" w:cs="宋体"/>
          <w:color w:val="auto"/>
          <w:sz w:val="24"/>
          <w:highlight w:val="none"/>
        </w:rPr>
      </w:pPr>
      <w:r>
        <w:rPr>
          <w:rFonts w:hint="eastAsia" w:hAnsi="宋体"/>
          <w:color w:val="auto"/>
          <w:highlight w:val="none"/>
        </w:rPr>
        <w:t>▲</w:t>
      </w:r>
      <w:r>
        <w:rPr>
          <w:rFonts w:hint="eastAsia" w:ascii="宋体" w:hAnsi="宋体"/>
          <w:color w:val="auto"/>
          <w:sz w:val="24"/>
          <w:highlight w:val="none"/>
        </w:rPr>
        <w:t>1.</w:t>
      </w:r>
      <w:r>
        <w:rPr>
          <w:rFonts w:hint="eastAsia" w:ascii="宋体" w:hAnsi="宋体" w:cs="宋体"/>
          <w:color w:val="auto"/>
          <w:sz w:val="24"/>
          <w:highlight w:val="none"/>
        </w:rPr>
        <w:t>投标报价应按招标文件中相关附表格式填写。投标报价为本招标项目全部工作内容的报价。</w:t>
      </w:r>
    </w:p>
    <w:p>
      <w:pPr>
        <w:snapToGrid w:val="0"/>
        <w:spacing w:line="360" w:lineRule="auto"/>
        <w:ind w:firstLine="411" w:firstLineChars="196"/>
        <w:jc w:val="left"/>
        <w:outlineLvl w:val="0"/>
        <w:rPr>
          <w:rFonts w:ascii="宋体" w:hAnsi="宋体" w:cs="宋体"/>
          <w:color w:val="auto"/>
          <w:sz w:val="24"/>
          <w:highlight w:val="none"/>
        </w:rPr>
      </w:pPr>
      <w:r>
        <w:rPr>
          <w:rFonts w:hint="eastAsia" w:hAnsi="宋体"/>
          <w:color w:val="auto"/>
          <w:highlight w:val="none"/>
        </w:rPr>
        <w:t>▲</w:t>
      </w:r>
      <w:r>
        <w:rPr>
          <w:rFonts w:hint="eastAsia" w:ascii="宋体" w:hAnsi="宋体" w:cs="宋体"/>
          <w:color w:val="auto"/>
          <w:sz w:val="24"/>
          <w:highlight w:val="none"/>
        </w:rPr>
        <w:t>2.投标报价是履行合同的最终价格，完成项目的各种费用及必要的保险费用和各项税金等所有费用的总和，其市场风险由投标人承担。</w:t>
      </w:r>
    </w:p>
    <w:p>
      <w:pPr>
        <w:tabs>
          <w:tab w:val="left" w:pos="525"/>
        </w:tabs>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▲3.投标文件只允许有一个报价，有选择的或有条件的报价将不予接受。</w:t>
      </w:r>
    </w:p>
    <w:p>
      <w:pPr>
        <w:pStyle w:val="5"/>
        <w:numPr>
          <w:ilvl w:val="0"/>
          <w:numId w:val="0"/>
        </w:numPr>
        <w:tabs>
          <w:tab w:val="left" w:pos="720"/>
        </w:tabs>
        <w:snapToGrid w:val="0"/>
        <w:spacing w:line="360" w:lineRule="auto"/>
        <w:ind w:left="413"/>
        <w:rPr>
          <w:rFonts w:ascii="宋体" w:hAnsi="宋体"/>
          <w:b/>
          <w:color w:val="auto"/>
          <w:highlight w:val="none"/>
        </w:rPr>
      </w:pPr>
      <w:r>
        <w:rPr>
          <w:rFonts w:hint="eastAsia" w:ascii="宋体" w:hAnsi="宋体"/>
          <w:b/>
          <w:color w:val="auto"/>
          <w:highlight w:val="none"/>
        </w:rPr>
        <w:t>（四）投标文件的有效期</w:t>
      </w:r>
    </w:p>
    <w:p>
      <w:pPr>
        <w:pStyle w:val="5"/>
        <w:numPr>
          <w:ilvl w:val="0"/>
          <w:numId w:val="0"/>
        </w:numPr>
        <w:tabs>
          <w:tab w:val="left" w:pos="720"/>
        </w:tabs>
        <w:snapToGrid w:val="0"/>
        <w:spacing w:line="360" w:lineRule="auto"/>
        <w:ind w:left="42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自投标截止日起</w:t>
      </w:r>
      <w:r>
        <w:rPr>
          <w:rFonts w:hint="eastAsia" w:ascii="宋体" w:hAnsi="宋体" w:cs="宋体"/>
          <w:color w:val="auto"/>
          <w:sz w:val="24"/>
          <w:highlight w:val="none"/>
        </w:rPr>
        <w:t>120</w:t>
      </w:r>
      <w:r>
        <w:rPr>
          <w:rFonts w:ascii="宋体" w:hAnsi="宋体" w:cs="宋体"/>
          <w:color w:val="auto"/>
          <w:sz w:val="24"/>
          <w:highlight w:val="none"/>
        </w:rPr>
        <w:t>天投标</w:t>
      </w:r>
      <w:r>
        <w:rPr>
          <w:rFonts w:hint="eastAsia" w:ascii="宋体" w:hAnsi="宋体" w:cs="宋体"/>
          <w:color w:val="auto"/>
          <w:sz w:val="24"/>
          <w:highlight w:val="none"/>
        </w:rPr>
        <w:t>文件</w:t>
      </w:r>
      <w:r>
        <w:rPr>
          <w:rFonts w:ascii="宋体" w:hAnsi="宋体" w:cs="宋体"/>
          <w:color w:val="auto"/>
          <w:sz w:val="24"/>
          <w:highlight w:val="none"/>
        </w:rPr>
        <w:t>应保持有效。有效期</w:t>
      </w:r>
      <w:r>
        <w:rPr>
          <w:rFonts w:hint="eastAsia" w:ascii="宋体" w:hAnsi="宋体" w:cs="宋体"/>
          <w:color w:val="auto"/>
          <w:sz w:val="24"/>
          <w:highlight w:val="none"/>
        </w:rPr>
        <w:t>不足</w:t>
      </w:r>
      <w:r>
        <w:rPr>
          <w:rFonts w:ascii="宋体" w:hAnsi="宋体" w:cs="宋体"/>
          <w:color w:val="auto"/>
          <w:sz w:val="24"/>
          <w:highlight w:val="none"/>
        </w:rPr>
        <w:t>的投标</w:t>
      </w:r>
      <w:r>
        <w:rPr>
          <w:rFonts w:hint="eastAsia" w:ascii="宋体" w:hAnsi="宋体" w:cs="宋体"/>
          <w:color w:val="auto"/>
          <w:sz w:val="24"/>
          <w:highlight w:val="none"/>
        </w:rPr>
        <w:t>文件</w:t>
      </w:r>
      <w:r>
        <w:rPr>
          <w:rFonts w:ascii="宋体" w:hAnsi="宋体" w:cs="宋体"/>
          <w:color w:val="auto"/>
          <w:sz w:val="24"/>
          <w:highlight w:val="none"/>
        </w:rPr>
        <w:t>将被拒绝。</w:t>
      </w:r>
    </w:p>
    <w:p>
      <w:pPr>
        <w:pStyle w:val="5"/>
        <w:numPr>
          <w:ilvl w:val="0"/>
          <w:numId w:val="0"/>
        </w:numPr>
        <w:tabs>
          <w:tab w:val="left" w:pos="720"/>
        </w:tabs>
        <w:snapToGrid w:val="0"/>
        <w:spacing w:line="360" w:lineRule="auto"/>
        <w:ind w:left="42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在特殊情况下，招标人可与投标人协商延长投标书的有效期，这种要求和答复均以书面形式进行。</w:t>
      </w:r>
    </w:p>
    <w:p>
      <w:pPr>
        <w:pStyle w:val="5"/>
        <w:numPr>
          <w:ilvl w:val="0"/>
          <w:numId w:val="0"/>
        </w:numPr>
        <w:tabs>
          <w:tab w:val="left" w:pos="720"/>
        </w:tabs>
        <w:snapToGrid w:val="0"/>
        <w:spacing w:line="360" w:lineRule="auto"/>
        <w:ind w:left="42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w:t>
      </w:r>
      <w:r>
        <w:rPr>
          <w:rFonts w:ascii="宋体" w:hAnsi="宋体" w:cs="宋体"/>
          <w:color w:val="auto"/>
          <w:sz w:val="24"/>
          <w:highlight w:val="none"/>
        </w:rPr>
        <w:t>投标人可拒绝接受延期要求。同意延长有效期的投标人不能修改投标文件。</w:t>
      </w:r>
    </w:p>
    <w:p>
      <w:pPr>
        <w:pStyle w:val="5"/>
        <w:numPr>
          <w:ilvl w:val="0"/>
          <w:numId w:val="0"/>
        </w:numPr>
        <w:tabs>
          <w:tab w:val="left" w:pos="720"/>
        </w:tabs>
        <w:snapToGrid w:val="0"/>
        <w:spacing w:line="360" w:lineRule="auto"/>
        <w:ind w:left="42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w:t>
      </w:r>
      <w:r>
        <w:rPr>
          <w:rFonts w:ascii="宋体" w:hAnsi="宋体" w:cs="宋体"/>
          <w:color w:val="auto"/>
          <w:sz w:val="24"/>
          <w:highlight w:val="none"/>
        </w:rPr>
        <w:t>中标人的投标文件自开标之日起至合同履行完毕止均应保持有效。</w:t>
      </w:r>
    </w:p>
    <w:p>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（五）投标文件的签署和份数</w:t>
      </w:r>
    </w:p>
    <w:p>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本项目通过“政府采购云平台（www.zcygov.cn）”实行在线投标响应（电子投标）。供应商应通过“政采云电子交易客户端”，并按照本招标文件和“政府采购云平台”的要求编制并加密投标文件。</w:t>
      </w:r>
    </w:p>
    <w:p>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3.投标文件内容不完整、编排混乱导致投标文件被误读、漏读或者查找不到相关内容的，是投标供应商的责任。</w:t>
      </w:r>
    </w:p>
    <w:p>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4.投标文件因字迹潦草或表达不清所引起的后果由投标供应商负责。</w:t>
      </w:r>
      <w:r>
        <w:rPr>
          <w:rFonts w:ascii="宋体" w:hAnsi="宋体"/>
          <w:color w:val="auto"/>
          <w:sz w:val="24"/>
          <w:highlight w:val="none"/>
        </w:rPr>
        <w:tab/>
      </w:r>
    </w:p>
    <w:p>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（六）投标文件的签署</w:t>
      </w:r>
    </w:p>
    <w:p>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《投标文件》应由投标供应商法定代表人或其授权代表签字（或盖章），并加盖投标供应商公章。</w:t>
      </w:r>
    </w:p>
    <w:p>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（七）投标文件的形式</w:t>
      </w:r>
    </w:p>
    <w:p>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1.投标文件的形式：见《前附表》；</w:t>
      </w:r>
    </w:p>
    <w:p>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2.“电子加密投标文件”：“电子加密投标文件”是指通过“政采云电子交易客户端”完成投标文件编制后生成并加密的数据电文形式的投标文件。</w:t>
      </w:r>
    </w:p>
    <w:p>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3.“备份投标文件”：“备份投标文件”是指与“电子加密投标文件”同时生成的数据电文形式的电子文件（备份标书），其他方式编制的“备份投标文件”视为无效的“备份投标文件”。</w:t>
      </w:r>
    </w:p>
    <w:p>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（八）投标文件的份数：见《前附表》。</w:t>
      </w:r>
    </w:p>
    <w:p>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（九）投标文件的上传和递交：见《前附表》。</w:t>
      </w:r>
    </w:p>
    <w:p>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（十）“电子加密投标文件”解密和异常情况处理：见《前附表》。</w:t>
      </w:r>
    </w:p>
    <w:p>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（十一）投标文件的补充、修改或撤回</w:t>
      </w:r>
    </w:p>
    <w:p>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2.投标截止时间后，投标供应商不得撤回、修改投标文件。</w:t>
      </w:r>
    </w:p>
    <w:p>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（十二）投标文件的备选方案</w:t>
      </w:r>
    </w:p>
    <w:p>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投标供应商不得递交任何的投标备选（替代）方案，否则其投标文件将作无效标处理。与“电子加密投标文件”同时生成的“备份投标文件”不是投标备选（替代）方案。</w:t>
      </w:r>
    </w:p>
    <w:p>
      <w:pPr>
        <w:snapToGrid w:val="0"/>
        <w:spacing w:beforeLines="50" w:line="360" w:lineRule="auto"/>
        <w:ind w:firstLine="472" w:firstLineChars="196"/>
        <w:outlineLvl w:val="2"/>
        <w:rPr>
          <w:rFonts w:ascii="宋体" w:hAnsi="宋体"/>
          <w:b/>
          <w:color w:val="auto"/>
          <w:sz w:val="24"/>
          <w:highlight w:val="none"/>
        </w:rPr>
      </w:pPr>
      <w:r>
        <w:rPr>
          <w:rFonts w:hint="eastAsia" w:ascii="宋体" w:hAnsi="宋体"/>
          <w:b/>
          <w:color w:val="auto"/>
          <w:sz w:val="24"/>
          <w:highlight w:val="none"/>
        </w:rPr>
        <w:t>（十三）投标无效的情形</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.在评标开始前，招标采购单位对投标人的资格进行审查，如发现下列情形之一的，投标文件将被视为无效，不再进行下一步评审：</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（1）未提供有效的营业执照、税务登记证、组织机构代码证或未提供“三证合一”的营业执照或未提供“五证合一”的营业执照；</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（2）未提供法定代表人有效身份证明书及身份证或未提供法定代表人授权书及授权人身份证或与法定代表人授权委托人身份不符的；或未提供法定代表人授权委托人社保的；</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（3）未提供投标承诺书的；</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（4）未提供信用承诺书的；</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（5）未</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6</w:t>
      </w:r>
      <w:r>
        <w:rPr>
          <w:rFonts w:hint="eastAsia" w:ascii="宋体" w:hAnsi="宋体"/>
          <w:bCs/>
          <w:color w:val="auto"/>
          <w:sz w:val="24"/>
          <w:highlight w:val="none"/>
        </w:rPr>
        <w:t>）资格证明文件不全的，或者不符合招标文件标明的资格要求的。</w:t>
      </w:r>
    </w:p>
    <w:p>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2</w:t>
      </w:r>
      <w:r>
        <w:rPr>
          <w:rFonts w:ascii="宋体" w:hAnsi="宋体"/>
          <w:b/>
          <w:bCs/>
          <w:color w:val="auto"/>
          <w:sz w:val="24"/>
          <w:highlight w:val="none"/>
        </w:rPr>
        <w:t>.在符合性审查和商务评审时，如发现下列情形之一的，投标文件将被视为无效：</w:t>
      </w:r>
    </w:p>
    <w:p>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）投标文件无法定代表人签字或未</w:t>
      </w:r>
      <w:r>
        <w:rPr>
          <w:rFonts w:hint="eastAsia" w:ascii="宋体" w:hAnsi="宋体"/>
          <w:bCs/>
          <w:color w:val="auto"/>
          <w:sz w:val="24"/>
          <w:highlight w:val="none"/>
        </w:rPr>
        <w:t>提供投标声明书或者填写项目不齐全的；</w:t>
      </w:r>
    </w:p>
    <w:p>
      <w:pPr>
        <w:snapToGrid w:val="0"/>
        <w:spacing w:line="360" w:lineRule="auto"/>
        <w:ind w:firstLine="470" w:firstLineChars="196"/>
        <w:rPr>
          <w:rFonts w:hAnsi="宋体"/>
          <w:bCs/>
          <w:color w:val="auto"/>
          <w:sz w:val="24"/>
          <w:highlight w:val="none"/>
        </w:rPr>
      </w:pPr>
      <w:r>
        <w:rPr>
          <w:rFonts w:hAnsi="宋体"/>
          <w:bCs/>
          <w:color w:val="auto"/>
          <w:sz w:val="24"/>
          <w:highlight w:val="none"/>
        </w:rPr>
        <w:t>（2）投标文件格式不规范、项目不齐全或者内容虚假的；</w:t>
      </w:r>
    </w:p>
    <w:p>
      <w:pPr>
        <w:snapToGrid w:val="0"/>
        <w:spacing w:line="360" w:lineRule="auto"/>
        <w:ind w:firstLine="470" w:firstLineChars="196"/>
        <w:rPr>
          <w:rFonts w:hAnsi="宋体"/>
          <w:bCs/>
          <w:color w:val="auto"/>
          <w:sz w:val="24"/>
          <w:highlight w:val="none"/>
        </w:rPr>
      </w:pPr>
      <w:r>
        <w:rPr>
          <w:rFonts w:hAnsi="宋体"/>
          <w:bCs/>
          <w:color w:val="auto"/>
          <w:sz w:val="24"/>
          <w:highlight w:val="none"/>
        </w:rPr>
        <w:t>（3）投标文件的实质性内容未使用中文表述、意思表述不明确、前后矛盾或者使用计量单位不符合招标文件要求的（经评标委员会认定</w:t>
      </w:r>
      <w:r>
        <w:rPr>
          <w:rFonts w:hint="eastAsia" w:hAnsi="宋体"/>
          <w:bCs/>
          <w:color w:val="auto"/>
          <w:sz w:val="24"/>
          <w:highlight w:val="none"/>
        </w:rPr>
        <w:t>并</w:t>
      </w:r>
      <w:r>
        <w:rPr>
          <w:rFonts w:hAnsi="宋体"/>
          <w:bCs/>
          <w:color w:val="auto"/>
          <w:sz w:val="24"/>
          <w:highlight w:val="none"/>
        </w:rPr>
        <w:t>允许其当场更正的笔误除外）</w:t>
      </w:r>
      <w:r>
        <w:rPr>
          <w:rFonts w:hint="eastAsia" w:hAnsi="宋体"/>
          <w:bCs/>
          <w:color w:val="auto"/>
          <w:sz w:val="24"/>
          <w:highlight w:val="none"/>
        </w:rPr>
        <w:t>；</w:t>
      </w:r>
    </w:p>
    <w:p>
      <w:pPr>
        <w:snapToGrid w:val="0"/>
        <w:spacing w:line="360" w:lineRule="auto"/>
        <w:ind w:firstLine="470" w:firstLineChars="196"/>
        <w:rPr>
          <w:rFonts w:hAnsi="宋体"/>
          <w:bCs/>
          <w:color w:val="auto"/>
          <w:sz w:val="24"/>
          <w:highlight w:val="none"/>
        </w:rPr>
      </w:pPr>
      <w:r>
        <w:rPr>
          <w:rFonts w:hAnsi="宋体"/>
          <w:bCs/>
          <w:color w:val="auto"/>
          <w:sz w:val="24"/>
          <w:highlight w:val="none"/>
        </w:rPr>
        <w:t>（4）</w:t>
      </w:r>
      <w:r>
        <w:rPr>
          <w:rFonts w:ascii="宋体" w:hAnsi="宋体"/>
          <w:bCs/>
          <w:color w:val="auto"/>
          <w:sz w:val="24"/>
          <w:highlight w:val="none"/>
        </w:rPr>
        <w:t>投标有效期、服务期、</w:t>
      </w:r>
      <w:r>
        <w:rPr>
          <w:rFonts w:hint="eastAsia" w:ascii="宋体" w:hAnsi="宋体"/>
          <w:bCs/>
          <w:color w:val="auto"/>
          <w:sz w:val="24"/>
          <w:highlight w:val="none"/>
        </w:rPr>
        <w:t>交货期</w:t>
      </w:r>
      <w:r>
        <w:rPr>
          <w:rFonts w:ascii="宋体" w:hAnsi="宋体"/>
          <w:bCs/>
          <w:color w:val="auto"/>
          <w:sz w:val="24"/>
          <w:highlight w:val="none"/>
        </w:rPr>
        <w:t>、质保期等商务条款不能满足招标文件要求的</w:t>
      </w:r>
      <w:r>
        <w:rPr>
          <w:rFonts w:hAnsi="宋体"/>
          <w:bCs/>
          <w:color w:val="auto"/>
          <w:sz w:val="24"/>
          <w:highlight w:val="none"/>
        </w:rPr>
        <w:t>；</w:t>
      </w:r>
    </w:p>
    <w:p>
      <w:pPr>
        <w:snapToGrid w:val="0"/>
        <w:spacing w:line="360" w:lineRule="auto"/>
        <w:ind w:firstLine="470" w:firstLineChars="196"/>
        <w:rPr>
          <w:color w:val="auto"/>
          <w:sz w:val="24"/>
          <w:highlight w:val="none"/>
        </w:rPr>
      </w:pPr>
      <w:r>
        <w:rPr>
          <w:rFonts w:hAnsi="宋体"/>
          <w:bCs/>
          <w:color w:val="auto"/>
          <w:sz w:val="24"/>
          <w:highlight w:val="none"/>
        </w:rPr>
        <w:t>（5）</w:t>
      </w:r>
      <w:r>
        <w:rPr>
          <w:rFonts w:hint="eastAsia" w:hAnsi="宋体"/>
          <w:bCs/>
          <w:color w:val="auto"/>
          <w:sz w:val="24"/>
          <w:highlight w:val="none"/>
        </w:rPr>
        <w:t>未实质性</w:t>
      </w:r>
      <w:r>
        <w:rPr>
          <w:rFonts w:hAnsi="宋体"/>
          <w:bCs/>
          <w:color w:val="auto"/>
          <w:sz w:val="24"/>
          <w:highlight w:val="none"/>
        </w:rPr>
        <w:t>响应招标文件要求或者投标文件有招标方不能接受</w:t>
      </w:r>
      <w:r>
        <w:rPr>
          <w:color w:val="auto"/>
          <w:sz w:val="24"/>
          <w:highlight w:val="none"/>
        </w:rPr>
        <w:t>的附加条件的；</w:t>
      </w:r>
    </w:p>
    <w:p>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w:t>
      </w:r>
      <w:r>
        <w:rPr>
          <w:rFonts w:ascii="宋体" w:hAnsi="宋体"/>
          <w:b/>
          <w:bCs/>
          <w:color w:val="auto"/>
          <w:sz w:val="24"/>
          <w:highlight w:val="none"/>
        </w:rPr>
        <w:t>在技术评审时，如发现下列情形之一的，投标文件将被视为无效：</w:t>
      </w:r>
    </w:p>
    <w:p>
      <w:pPr>
        <w:snapToGrid w:val="0"/>
        <w:spacing w:line="360" w:lineRule="auto"/>
        <w:ind w:firstLine="472" w:firstLineChars="196"/>
        <w:rPr>
          <w:rFonts w:hAnsi="宋体"/>
          <w:color w:val="auto"/>
          <w:sz w:val="24"/>
          <w:highlight w:val="none"/>
        </w:rPr>
      </w:pPr>
      <w:r>
        <w:rPr>
          <w:rFonts w:hAnsi="宋体"/>
          <w:b/>
          <w:color w:val="auto"/>
          <w:sz w:val="24"/>
          <w:highlight w:val="none"/>
        </w:rPr>
        <w:t>（</w:t>
      </w:r>
      <w:r>
        <w:rPr>
          <w:rFonts w:hAnsi="宋体"/>
          <w:color w:val="auto"/>
          <w:sz w:val="24"/>
          <w:highlight w:val="none"/>
        </w:rPr>
        <w:t>1）未提供或未如实提供投标项目的技术参数，或者投标文件标明的响应或偏离与事实不符或虚假投标的；</w:t>
      </w:r>
    </w:p>
    <w:p>
      <w:pPr>
        <w:snapToGrid w:val="0"/>
        <w:spacing w:line="360" w:lineRule="auto"/>
        <w:ind w:firstLine="470" w:firstLineChars="196"/>
        <w:rPr>
          <w:color w:val="auto"/>
          <w:sz w:val="24"/>
          <w:highlight w:val="none"/>
        </w:rPr>
      </w:pPr>
      <w:r>
        <w:rPr>
          <w:color w:val="auto"/>
          <w:sz w:val="24"/>
          <w:highlight w:val="none"/>
        </w:rPr>
        <w:t>（2）明显不符合招标文件</w:t>
      </w:r>
      <w:r>
        <w:rPr>
          <w:rFonts w:hint="eastAsia"/>
          <w:color w:val="auto"/>
          <w:sz w:val="24"/>
          <w:highlight w:val="none"/>
        </w:rPr>
        <w:t>要求</w:t>
      </w:r>
      <w:r>
        <w:rPr>
          <w:color w:val="auto"/>
          <w:sz w:val="24"/>
          <w:highlight w:val="none"/>
        </w:rPr>
        <w:t>的规格型号、质量标准，或者</w:t>
      </w:r>
      <w:r>
        <w:rPr>
          <w:rFonts w:hint="eastAsia"/>
          <w:color w:val="auto"/>
          <w:sz w:val="24"/>
          <w:highlight w:val="none"/>
        </w:rPr>
        <w:t>与</w:t>
      </w:r>
      <w:r>
        <w:rPr>
          <w:color w:val="auto"/>
          <w:sz w:val="24"/>
          <w:highlight w:val="none"/>
        </w:rPr>
        <w:t>招标文件中标“▲”的技术指标、主要功能项目发生实质性偏离的；</w:t>
      </w:r>
    </w:p>
    <w:p>
      <w:pPr>
        <w:snapToGrid w:val="0"/>
        <w:spacing w:line="360" w:lineRule="auto"/>
        <w:ind w:firstLine="470" w:firstLineChars="196"/>
        <w:rPr>
          <w:color w:val="auto"/>
          <w:sz w:val="24"/>
          <w:highlight w:val="none"/>
        </w:rPr>
      </w:pPr>
      <w:r>
        <w:rPr>
          <w:color w:val="auto"/>
          <w:sz w:val="24"/>
          <w:highlight w:val="none"/>
        </w:rPr>
        <w:t>（3）投标技术方案不明确，存在一个或一个以上备选（替代）投标方案的；</w:t>
      </w:r>
    </w:p>
    <w:p>
      <w:pPr>
        <w:snapToGrid w:val="0"/>
        <w:spacing w:line="360" w:lineRule="auto"/>
        <w:ind w:firstLine="470" w:firstLineChars="196"/>
        <w:rPr>
          <w:color w:val="auto"/>
          <w:sz w:val="24"/>
          <w:highlight w:val="none"/>
        </w:rPr>
      </w:pPr>
      <w:r>
        <w:rPr>
          <w:color w:val="auto"/>
          <w:sz w:val="24"/>
          <w:highlight w:val="none"/>
        </w:rPr>
        <w:t>（4）</w:t>
      </w:r>
      <w:r>
        <w:rPr>
          <w:rFonts w:hint="eastAsia"/>
          <w:color w:val="auto"/>
          <w:sz w:val="24"/>
          <w:highlight w:val="none"/>
        </w:rPr>
        <w:t>与其他参加本次投标供应商的投标文件（技术文件）的文字表述内容相同连续20行以上或者差错相同2处以上的；</w:t>
      </w:r>
    </w:p>
    <w:p>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4</w:t>
      </w:r>
      <w:r>
        <w:rPr>
          <w:rFonts w:hint="eastAsia" w:ascii="宋体" w:hAnsi="宋体"/>
          <w:b/>
          <w:bCs/>
          <w:color w:val="auto"/>
          <w:sz w:val="24"/>
          <w:highlight w:val="none"/>
        </w:rPr>
        <w:t>.</w:t>
      </w:r>
      <w:r>
        <w:rPr>
          <w:rFonts w:ascii="宋体" w:hAnsi="宋体"/>
          <w:b/>
          <w:bCs/>
          <w:color w:val="auto"/>
          <w:sz w:val="24"/>
          <w:highlight w:val="none"/>
        </w:rPr>
        <w:t>在报价评审时，如发现下列情形之一的，投标文件将被视为无效：</w:t>
      </w:r>
    </w:p>
    <w:p>
      <w:pPr>
        <w:snapToGrid w:val="0"/>
        <w:spacing w:line="360" w:lineRule="auto"/>
        <w:ind w:firstLine="470" w:firstLineChars="196"/>
        <w:rPr>
          <w:color w:val="auto"/>
          <w:sz w:val="24"/>
          <w:highlight w:val="none"/>
        </w:rPr>
      </w:pPr>
      <w:r>
        <w:rPr>
          <w:color w:val="auto"/>
          <w:sz w:val="24"/>
          <w:highlight w:val="none"/>
        </w:rPr>
        <w:t>（1）未采用人民币报价或者未按照招标文件标明的币种报价的；</w:t>
      </w:r>
    </w:p>
    <w:p>
      <w:pPr>
        <w:snapToGrid w:val="0"/>
        <w:spacing w:line="360" w:lineRule="auto"/>
        <w:ind w:firstLine="470" w:firstLineChars="196"/>
        <w:rPr>
          <w:color w:val="auto"/>
          <w:sz w:val="24"/>
          <w:highlight w:val="none"/>
        </w:rPr>
      </w:pPr>
      <w:r>
        <w:rPr>
          <w:color w:val="auto"/>
          <w:sz w:val="24"/>
          <w:highlight w:val="none"/>
        </w:rPr>
        <w:t>（2）报价超出最高限价的</w:t>
      </w:r>
      <w:r>
        <w:rPr>
          <w:rFonts w:hint="eastAsia"/>
          <w:color w:val="auto"/>
          <w:sz w:val="24"/>
          <w:highlight w:val="none"/>
        </w:rPr>
        <w:t>；</w:t>
      </w:r>
    </w:p>
    <w:p>
      <w:pPr>
        <w:snapToGrid w:val="0"/>
        <w:spacing w:line="360" w:lineRule="auto"/>
        <w:ind w:firstLine="470" w:firstLineChars="196"/>
        <w:rPr>
          <w:color w:val="auto"/>
          <w:sz w:val="24"/>
          <w:highlight w:val="none"/>
        </w:rPr>
      </w:pPr>
      <w:r>
        <w:rPr>
          <w:rFonts w:hint="eastAsia"/>
          <w:color w:val="auto"/>
          <w:sz w:val="24"/>
          <w:highlight w:val="none"/>
        </w:rPr>
        <w:t>（3）投标报价具有选择性，或者开标价格与投标文件承诺的优惠（折扣）价格不一致的；</w:t>
      </w:r>
    </w:p>
    <w:p>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5</w:t>
      </w:r>
      <w:r>
        <w:rPr>
          <w:rFonts w:hint="eastAsia" w:ascii="宋体" w:hAnsi="宋体"/>
          <w:b/>
          <w:bCs/>
          <w:color w:val="auto"/>
          <w:sz w:val="24"/>
          <w:highlight w:val="none"/>
        </w:rPr>
        <w:t>.</w:t>
      </w:r>
      <w:r>
        <w:rPr>
          <w:rFonts w:ascii="宋体" w:hAnsi="宋体"/>
          <w:b/>
          <w:bCs/>
          <w:color w:val="auto"/>
          <w:sz w:val="24"/>
          <w:highlight w:val="none"/>
        </w:rPr>
        <w:t>被拒绝的投标文件为无效</w:t>
      </w:r>
      <w:r>
        <w:rPr>
          <w:rFonts w:hint="eastAsia" w:ascii="宋体" w:hAnsi="宋体"/>
          <w:b/>
          <w:bCs/>
          <w:color w:val="auto"/>
          <w:sz w:val="24"/>
          <w:highlight w:val="none"/>
        </w:rPr>
        <w:t>；仅提供备份投标文件的无效。</w:t>
      </w:r>
    </w:p>
    <w:p>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6.投标人存在下列情形之一且无法合理解释的，其投标（响应）文件无效：</w:t>
      </w:r>
    </w:p>
    <w:p>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）不同供应商的电子投标（响应）文件上传计算机的网卡</w:t>
      </w:r>
      <w:r>
        <w:rPr>
          <w:color w:val="auto"/>
          <w:sz w:val="24"/>
          <w:highlight w:val="none"/>
        </w:rPr>
        <w:t>MAC</w:t>
      </w:r>
      <w:r>
        <w:rPr>
          <w:rFonts w:hint="eastAsia"/>
          <w:color w:val="auto"/>
          <w:sz w:val="24"/>
          <w:highlight w:val="none"/>
        </w:rPr>
        <w:t>地址或硬盘序列号等硬件信息相同的；</w:t>
      </w:r>
    </w:p>
    <w:p>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）上传的电子投标（响应）文件若出现使用本项目其他投标（响应）供应商的数字证书加密的，或者加盖本项目其他投标（响应）供应商的电子印章的；</w:t>
      </w:r>
    </w:p>
    <w:p>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）不同供应商的投标（响应）文件的内容存在</w:t>
      </w:r>
      <w:r>
        <w:rPr>
          <w:color w:val="auto"/>
          <w:sz w:val="24"/>
          <w:highlight w:val="none"/>
        </w:rPr>
        <w:t>3</w:t>
      </w:r>
      <w:r>
        <w:rPr>
          <w:rFonts w:hint="eastAsia"/>
          <w:color w:val="auto"/>
          <w:sz w:val="24"/>
          <w:highlight w:val="none"/>
        </w:rPr>
        <w:t>处（含）以上错误一致的；</w:t>
      </w:r>
    </w:p>
    <w:p>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）不同供应商联系人为同一人或不同联系人的联系电话一致的。</w:t>
      </w:r>
    </w:p>
    <w:p>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7.投标人有下列情形之一的，属于恶意串通，其投标无效：</w:t>
      </w:r>
    </w:p>
    <w:p>
      <w:pPr>
        <w:snapToGrid w:val="0"/>
        <w:spacing w:line="360" w:lineRule="auto"/>
        <w:ind w:firstLine="470" w:firstLineChars="196"/>
        <w:rPr>
          <w:color w:val="auto"/>
          <w:sz w:val="24"/>
          <w:highlight w:val="none"/>
        </w:rPr>
      </w:pPr>
      <w:r>
        <w:rPr>
          <w:rFonts w:hint="eastAsia"/>
          <w:color w:val="auto"/>
          <w:sz w:val="24"/>
          <w:highlight w:val="none"/>
        </w:rPr>
        <w:t>（1）投标人直接或者间接从采购人或者采购代理机构处获得其他投标人的相关情况并修改其投标（响应）文件；</w:t>
      </w:r>
    </w:p>
    <w:p>
      <w:pPr>
        <w:snapToGrid w:val="0"/>
        <w:spacing w:line="360" w:lineRule="auto"/>
        <w:ind w:firstLine="470" w:firstLineChars="196"/>
        <w:rPr>
          <w:color w:val="auto"/>
          <w:sz w:val="24"/>
          <w:highlight w:val="none"/>
        </w:rPr>
      </w:pPr>
      <w:r>
        <w:rPr>
          <w:rFonts w:hint="eastAsia"/>
          <w:color w:val="auto"/>
          <w:sz w:val="24"/>
          <w:highlight w:val="none"/>
        </w:rPr>
        <w:t>（2）投标人按照采购人或者采购代理机构的授意撤换、修改投标（响应）文件；</w:t>
      </w:r>
    </w:p>
    <w:p>
      <w:pPr>
        <w:snapToGrid w:val="0"/>
        <w:spacing w:line="360" w:lineRule="auto"/>
        <w:ind w:firstLine="470" w:firstLineChars="196"/>
        <w:rPr>
          <w:color w:val="auto"/>
          <w:sz w:val="24"/>
          <w:highlight w:val="none"/>
        </w:rPr>
      </w:pPr>
      <w:r>
        <w:rPr>
          <w:rFonts w:hint="eastAsia"/>
          <w:color w:val="auto"/>
          <w:sz w:val="24"/>
          <w:highlight w:val="none"/>
        </w:rPr>
        <w:t>（3）投标人之间协商报价、技术方案等投标（响应）文件的实质性内容；</w:t>
      </w:r>
    </w:p>
    <w:p>
      <w:pPr>
        <w:snapToGrid w:val="0"/>
        <w:spacing w:line="360" w:lineRule="auto"/>
        <w:ind w:firstLine="470" w:firstLineChars="196"/>
        <w:rPr>
          <w:color w:val="auto"/>
          <w:sz w:val="24"/>
          <w:highlight w:val="none"/>
        </w:rPr>
      </w:pPr>
      <w:r>
        <w:rPr>
          <w:rFonts w:hint="eastAsia"/>
          <w:color w:val="auto"/>
          <w:sz w:val="24"/>
          <w:highlight w:val="none"/>
        </w:rPr>
        <w:t>（4）属于同一集团、协会、商会等组织成员的投标人按照该组织要求协同参加政府采购活动；</w:t>
      </w:r>
    </w:p>
    <w:p>
      <w:pPr>
        <w:snapToGrid w:val="0"/>
        <w:spacing w:line="360" w:lineRule="auto"/>
        <w:ind w:firstLine="470" w:firstLineChars="196"/>
        <w:rPr>
          <w:color w:val="auto"/>
          <w:sz w:val="24"/>
          <w:highlight w:val="none"/>
        </w:rPr>
      </w:pPr>
      <w:r>
        <w:rPr>
          <w:rFonts w:hint="eastAsia"/>
          <w:color w:val="auto"/>
          <w:sz w:val="24"/>
          <w:highlight w:val="none"/>
        </w:rPr>
        <w:t>（5）投标人之间事先约定由某一特定投标人中标、成交；</w:t>
      </w:r>
    </w:p>
    <w:p>
      <w:pPr>
        <w:snapToGrid w:val="0"/>
        <w:spacing w:line="360" w:lineRule="auto"/>
        <w:ind w:firstLine="470" w:firstLineChars="196"/>
        <w:rPr>
          <w:color w:val="auto"/>
          <w:sz w:val="24"/>
          <w:highlight w:val="none"/>
        </w:rPr>
      </w:pPr>
      <w:r>
        <w:rPr>
          <w:rFonts w:hint="eastAsia"/>
          <w:color w:val="auto"/>
          <w:sz w:val="24"/>
          <w:highlight w:val="none"/>
        </w:rPr>
        <w:t>（6）投标人之间商定部分投标人放弃参加政府采购活动或者放弃中标、成交；</w:t>
      </w:r>
    </w:p>
    <w:p>
      <w:pPr>
        <w:snapToGrid w:val="0"/>
        <w:spacing w:line="360" w:lineRule="auto"/>
        <w:ind w:firstLine="470" w:firstLineChars="196"/>
        <w:rPr>
          <w:color w:val="auto"/>
          <w:sz w:val="24"/>
          <w:highlight w:val="none"/>
        </w:rPr>
      </w:pPr>
      <w:r>
        <w:rPr>
          <w:rFonts w:hint="eastAsia"/>
          <w:color w:val="auto"/>
          <w:sz w:val="24"/>
          <w:highlight w:val="none"/>
        </w:rPr>
        <w:t>（7）投标人与采购人或者采购代理机构之间、投标人相互之间，为谋求特定投标人中标、成交或者排斥其他投标人的其他串通行为。</w:t>
      </w:r>
    </w:p>
    <w:p>
      <w:pPr>
        <w:snapToGrid w:val="0"/>
        <w:spacing w:line="360" w:lineRule="auto"/>
        <w:ind w:firstLine="472" w:firstLineChars="196"/>
        <w:rPr>
          <w:rFonts w:hAnsi="宋体"/>
          <w:b/>
          <w:color w:val="auto"/>
          <w:sz w:val="24"/>
          <w:highlight w:val="none"/>
        </w:rPr>
      </w:pPr>
      <w:r>
        <w:rPr>
          <w:rFonts w:hint="eastAsia" w:hAnsi="宋体"/>
          <w:b/>
          <w:color w:val="auto"/>
          <w:sz w:val="24"/>
          <w:highlight w:val="none"/>
        </w:rPr>
        <w:t>四、开标</w:t>
      </w:r>
    </w:p>
    <w:p>
      <w:pPr>
        <w:snapToGrid w:val="0"/>
        <w:spacing w:line="360" w:lineRule="auto"/>
        <w:ind w:firstLine="472" w:firstLineChars="196"/>
        <w:rPr>
          <w:rFonts w:hAnsi="宋体"/>
          <w:b/>
          <w:color w:val="auto"/>
          <w:sz w:val="24"/>
          <w:highlight w:val="none"/>
        </w:rPr>
      </w:pPr>
      <w:r>
        <w:rPr>
          <w:rFonts w:hAnsi="宋体"/>
          <w:b/>
          <w:color w:val="auto"/>
          <w:sz w:val="24"/>
          <w:highlight w:val="none"/>
        </w:rPr>
        <w:t>（一）开标准备</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1.组织机构将按照招标文件规定的时间通过“政府采购云平台”组织开标、开启投标文件，所有供应商均应当准时在线参加。</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2.按照“不见面、少接触”的原则，本项目原则上采取“不见面”形式进行开评标活动，法定代表人或其授权代表无须到场，在线响应即可（通过指定的电子邮箱、传真等），但也允许供应商派授权代表出席开标会议。</w:t>
      </w:r>
    </w:p>
    <w:p>
      <w:pPr>
        <w:snapToGrid w:val="0"/>
        <w:spacing w:line="360" w:lineRule="auto"/>
        <w:ind w:firstLine="472" w:firstLineChars="196"/>
        <w:rPr>
          <w:rFonts w:hAnsi="宋体"/>
          <w:b/>
          <w:color w:val="auto"/>
          <w:sz w:val="24"/>
          <w:highlight w:val="none"/>
        </w:rPr>
      </w:pPr>
      <w:r>
        <w:rPr>
          <w:rFonts w:hAnsi="宋体"/>
          <w:b/>
          <w:color w:val="auto"/>
          <w:sz w:val="24"/>
          <w:highlight w:val="none"/>
        </w:rPr>
        <w:t>（二） 开标程序：</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1.开标的准备工作由采购组织机构负责落实；</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360" w:lineRule="auto"/>
        <w:ind w:firstLine="472" w:firstLineChars="196"/>
        <w:rPr>
          <w:rFonts w:hAnsi="宋体"/>
          <w:b/>
          <w:color w:val="auto"/>
          <w:sz w:val="24"/>
          <w:highlight w:val="none"/>
        </w:rPr>
      </w:pPr>
      <w:r>
        <w:rPr>
          <w:rFonts w:hint="eastAsia" w:hAnsi="宋体"/>
          <w:b/>
          <w:color w:val="auto"/>
          <w:sz w:val="24"/>
          <w:highlight w:val="none"/>
        </w:rPr>
        <w:t>（三）开标流程</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2.投标文件解密结束；</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3.开启投标文件，进入资格审查；</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4.开启资格审查通过的投标供应商的商务技术文件进入符合性审查、商务技术评审；</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1）符合性审查、商务技术评审结束后，公布符合性审查、商务技术评审无效供应商名称及理由；公布经商务技术评审后有效投标供应商的名单，同时公布其商务技术部分得分情况。</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2）开启符合性审查、商务技术评审有效投标供应商的《报价文件》，公布开标一览表有关内容，同时当场制作开标记录表，唱标结束后，由评标委员会对报价的合理性、准确性等进行审查核实。</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3）公布报价部分得分情况；</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4）评审结束后，公布中标（成交）候选供应商名单等。</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5）开标结束。</w:t>
      </w:r>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特别说明：如遇“政府采购云平台”电子化开标或评审程序调整的，按调整后程序执行。</w:t>
      </w:r>
      <w:bookmarkStart w:id="42" w:name="_Toc24550037"/>
      <w:bookmarkStart w:id="43" w:name="_Toc33194393"/>
    </w:p>
    <w:p>
      <w:pPr>
        <w:snapToGrid w:val="0"/>
        <w:spacing w:line="360" w:lineRule="auto"/>
        <w:ind w:firstLine="472" w:firstLineChars="196"/>
        <w:rPr>
          <w:rFonts w:hAnsi="宋体"/>
          <w:b/>
          <w:color w:val="auto"/>
          <w:sz w:val="24"/>
          <w:highlight w:val="none"/>
        </w:rPr>
      </w:pPr>
      <w:r>
        <w:rPr>
          <w:rFonts w:hint="eastAsia" w:hAnsi="宋体"/>
          <w:b/>
          <w:color w:val="auto"/>
          <w:sz w:val="24"/>
          <w:highlight w:val="none"/>
        </w:rPr>
        <w:t>（四）投标供应商资格审查</w:t>
      </w:r>
      <w:bookmarkEnd w:id="42"/>
      <w:bookmarkEnd w:id="43"/>
    </w:p>
    <w:p>
      <w:pPr>
        <w:snapToGrid w:val="0"/>
        <w:spacing w:line="360" w:lineRule="auto"/>
        <w:ind w:firstLine="470" w:firstLineChars="196"/>
        <w:rPr>
          <w:rFonts w:hAnsi="宋体"/>
          <w:color w:val="auto"/>
          <w:sz w:val="24"/>
          <w:highlight w:val="none"/>
        </w:rPr>
      </w:pPr>
      <w:r>
        <w:rPr>
          <w:rFonts w:hint="eastAsia" w:hAnsi="宋体"/>
          <w:color w:val="auto"/>
          <w:sz w:val="24"/>
          <w:highlight w:val="none"/>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3"/>
        <w:snapToGrid w:val="0"/>
        <w:spacing w:beforeLines="0" w:afterLines="0" w:line="360" w:lineRule="auto"/>
        <w:ind w:firstLine="480" w:firstLineChars="200"/>
        <w:rPr>
          <w:rFonts w:hAnsi="宋体"/>
          <w:color w:val="auto"/>
          <w:sz w:val="24"/>
          <w:highlight w:val="none"/>
        </w:rPr>
      </w:pPr>
      <w:r>
        <w:rPr>
          <w:rFonts w:hint="eastAsia" w:hAnsi="宋体"/>
          <w:color w:val="auto"/>
          <w:sz w:val="24"/>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13"/>
        <w:snapToGrid w:val="0"/>
        <w:spacing w:beforeLines="0" w:afterLines="0" w:line="360" w:lineRule="auto"/>
        <w:ind w:firstLine="480" w:firstLineChars="200"/>
        <w:rPr>
          <w:rFonts w:hAnsi="宋体"/>
          <w:bCs/>
          <w:color w:val="auto"/>
          <w:sz w:val="24"/>
          <w:highlight w:val="none"/>
        </w:rPr>
      </w:pPr>
      <w:r>
        <w:rPr>
          <w:rFonts w:hint="eastAsia" w:hAnsi="宋体"/>
          <w:color w:val="auto"/>
          <w:sz w:val="24"/>
          <w:highlight w:val="none"/>
        </w:rPr>
        <w:t>3.单位负责人为同一人或者存在直接控股、管理关系的不同供应商参加同一合同项下的政府采购活动的，相关投标供应商均作资格无效处理。</w:t>
      </w:r>
    </w:p>
    <w:p>
      <w:pPr>
        <w:pStyle w:val="13"/>
        <w:snapToGrid w:val="0"/>
        <w:spacing w:beforeLines="0" w:afterLines="0" w:line="360" w:lineRule="auto"/>
        <w:ind w:left="802" w:leftChars="267" w:hanging="241" w:hangingChars="100"/>
        <w:outlineLvl w:val="1"/>
        <w:rPr>
          <w:rFonts w:hAnsi="宋体"/>
          <w:b/>
          <w:color w:val="auto"/>
          <w:sz w:val="24"/>
          <w:highlight w:val="none"/>
        </w:rPr>
      </w:pPr>
      <w:r>
        <w:rPr>
          <w:rFonts w:hint="eastAsia" w:hAnsi="宋体"/>
          <w:b/>
          <w:color w:val="auto"/>
          <w:sz w:val="24"/>
          <w:highlight w:val="none"/>
        </w:rPr>
        <w:t>五、评标</w:t>
      </w:r>
    </w:p>
    <w:p>
      <w:pPr>
        <w:pStyle w:val="13"/>
        <w:snapToGrid w:val="0"/>
        <w:spacing w:beforeLines="0" w:afterLines="0" w:line="360" w:lineRule="auto"/>
        <w:ind w:left="720" w:leftChars="228" w:hanging="241" w:hangingChars="100"/>
        <w:rPr>
          <w:rFonts w:hAnsi="宋体"/>
          <w:b/>
          <w:color w:val="auto"/>
          <w:sz w:val="24"/>
          <w:highlight w:val="none"/>
        </w:rPr>
      </w:pPr>
      <w:r>
        <w:rPr>
          <w:rFonts w:hAnsi="宋体"/>
          <w:b/>
          <w:color w:val="auto"/>
          <w:sz w:val="24"/>
          <w:highlight w:val="none"/>
        </w:rPr>
        <w:t>（一）组建评标委员会</w:t>
      </w:r>
    </w:p>
    <w:p>
      <w:pPr>
        <w:pStyle w:val="13"/>
        <w:snapToGrid w:val="0"/>
        <w:spacing w:beforeLines="0" w:afterLines="0" w:line="360" w:lineRule="auto"/>
        <w:ind w:firstLine="480" w:firstLineChars="200"/>
        <w:rPr>
          <w:rFonts w:hAnsi="宋体"/>
          <w:color w:val="auto"/>
          <w:sz w:val="24"/>
          <w:highlight w:val="none"/>
        </w:rPr>
      </w:pPr>
      <w:r>
        <w:rPr>
          <w:rFonts w:hAnsi="宋体"/>
          <w:color w:val="auto"/>
          <w:sz w:val="24"/>
          <w:highlight w:val="none"/>
        </w:rPr>
        <w:t>本项目评标委员会由政府</w:t>
      </w:r>
      <w:r>
        <w:rPr>
          <w:rFonts w:hint="eastAsia" w:hAnsi="宋体"/>
          <w:color w:val="auto"/>
          <w:sz w:val="24"/>
          <w:highlight w:val="none"/>
        </w:rPr>
        <w:t>采购评审专家</w:t>
      </w:r>
      <w:r>
        <w:rPr>
          <w:rFonts w:hAnsi="宋体"/>
          <w:color w:val="auto"/>
          <w:sz w:val="24"/>
          <w:highlight w:val="none"/>
        </w:rPr>
        <w:t xml:space="preserve"> 5</w:t>
      </w:r>
      <w:r>
        <w:rPr>
          <w:rFonts w:hint="eastAsia" w:hAnsi="宋体"/>
          <w:color w:val="auto"/>
          <w:sz w:val="24"/>
          <w:highlight w:val="none"/>
        </w:rPr>
        <w:t>人，采购人</w:t>
      </w:r>
      <w:r>
        <w:rPr>
          <w:rFonts w:hAnsi="宋体"/>
          <w:color w:val="auto"/>
          <w:sz w:val="24"/>
          <w:highlight w:val="none"/>
        </w:rPr>
        <w:t>2</w:t>
      </w:r>
      <w:r>
        <w:rPr>
          <w:rFonts w:hint="eastAsia" w:hAnsi="宋体"/>
          <w:color w:val="auto"/>
          <w:sz w:val="24"/>
          <w:highlight w:val="none"/>
        </w:rPr>
        <w:t>人组成。</w:t>
      </w:r>
    </w:p>
    <w:p>
      <w:pPr>
        <w:pStyle w:val="13"/>
        <w:snapToGrid w:val="0"/>
        <w:spacing w:beforeLines="0" w:afterLines="0" w:line="360" w:lineRule="auto"/>
        <w:ind w:firstLine="482" w:firstLineChars="200"/>
        <w:rPr>
          <w:rFonts w:hAnsi="宋体"/>
          <w:b/>
          <w:color w:val="auto"/>
          <w:sz w:val="24"/>
          <w:highlight w:val="none"/>
        </w:rPr>
      </w:pPr>
      <w:r>
        <w:rPr>
          <w:rFonts w:hAnsi="宋体"/>
          <w:b/>
          <w:color w:val="auto"/>
          <w:sz w:val="24"/>
          <w:highlight w:val="none"/>
        </w:rPr>
        <w:t>（二）评标的方式</w:t>
      </w:r>
    </w:p>
    <w:p>
      <w:pPr>
        <w:pStyle w:val="13"/>
        <w:snapToGrid w:val="0"/>
        <w:spacing w:beforeLines="0" w:afterLines="0" w:line="360" w:lineRule="auto"/>
        <w:ind w:left="719" w:leftChars="228" w:hanging="240" w:hangingChars="100"/>
        <w:rPr>
          <w:rFonts w:hAnsi="宋体"/>
          <w:color w:val="auto"/>
          <w:sz w:val="24"/>
          <w:highlight w:val="none"/>
        </w:rPr>
      </w:pPr>
      <w:r>
        <w:rPr>
          <w:rFonts w:hAnsi="宋体"/>
          <w:color w:val="auto"/>
          <w:sz w:val="24"/>
          <w:highlight w:val="none"/>
        </w:rPr>
        <w:t>本项目采用不公开方式评标，评标的依据为招标文件和投标文件。</w:t>
      </w:r>
    </w:p>
    <w:p>
      <w:pPr>
        <w:pStyle w:val="13"/>
        <w:snapToGrid w:val="0"/>
        <w:spacing w:beforeLines="0" w:afterLines="0" w:line="360" w:lineRule="auto"/>
        <w:ind w:left="720" w:leftChars="228" w:hanging="241" w:hangingChars="100"/>
        <w:rPr>
          <w:rFonts w:hAnsi="宋体"/>
          <w:b/>
          <w:bCs/>
          <w:color w:val="auto"/>
          <w:sz w:val="24"/>
          <w:highlight w:val="none"/>
        </w:rPr>
      </w:pPr>
      <w:r>
        <w:rPr>
          <w:rFonts w:hAnsi="宋体"/>
          <w:b/>
          <w:color w:val="auto"/>
          <w:sz w:val="24"/>
          <w:highlight w:val="none"/>
        </w:rPr>
        <w:t>（三）</w:t>
      </w:r>
      <w:r>
        <w:rPr>
          <w:rFonts w:hAnsi="宋体"/>
          <w:b/>
          <w:bCs/>
          <w:color w:val="auto"/>
          <w:sz w:val="24"/>
          <w:highlight w:val="none"/>
        </w:rPr>
        <w:t>评标程序</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1.对所有通过资格审查的投标供应商的投标文件进行初步审查，审查、评价投标文件是否符合招标文件的商务、技术、服务等实质性要求。</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（四）澄清问题的形式</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（五）错误修正</w:t>
      </w:r>
    </w:p>
    <w:p>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投标文件如果出现计算或表达上的错误，修正错误的原则如下：</w:t>
      </w:r>
    </w:p>
    <w:p>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1</w:t>
      </w:r>
      <w:r>
        <w:rPr>
          <w:rFonts w:hint="eastAsia" w:hAnsi="宋体"/>
          <w:color w:val="auto"/>
          <w:sz w:val="24"/>
          <w:highlight w:val="none"/>
        </w:rPr>
        <w:t>.开标一览表总价与投标报价明细表汇总数不一致的，以开标一览表为准；</w:t>
      </w:r>
    </w:p>
    <w:p>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投标文件的大写金额和小写金额不一致的，以大写金额为准；</w:t>
      </w:r>
    </w:p>
    <w:p>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总价金额与按单价汇总金额不一致的，以单价金额计算结果为准；</w:t>
      </w:r>
    </w:p>
    <w:p>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对不同文字文本投标文件的解释发生异议的，以中文文本为准。</w:t>
      </w:r>
    </w:p>
    <w:p>
      <w:pPr>
        <w:pStyle w:val="13"/>
        <w:snapToGrid w:val="0"/>
        <w:spacing w:beforeLines="0" w:afterLines="0" w:line="360" w:lineRule="auto"/>
        <w:ind w:firstLine="482" w:firstLineChars="200"/>
        <w:rPr>
          <w:rFonts w:hAnsi="宋体"/>
          <w:b/>
          <w:bCs/>
          <w:color w:val="auto"/>
          <w:sz w:val="24"/>
          <w:highlight w:val="none"/>
        </w:rPr>
      </w:pPr>
      <w:r>
        <w:rPr>
          <w:rFonts w:hAnsi="宋体"/>
          <w:b/>
          <w:bCs/>
          <w:color w:val="auto"/>
          <w:sz w:val="24"/>
          <w:highlight w:val="none"/>
        </w:rPr>
        <w:t>按上述修正错误的原则及方法调整或修正投标文件的投标报价，投标人同意</w:t>
      </w:r>
      <w:r>
        <w:rPr>
          <w:rFonts w:hint="eastAsia" w:hAnsi="宋体"/>
          <w:b/>
          <w:bCs/>
          <w:color w:val="auto"/>
          <w:sz w:val="24"/>
          <w:highlight w:val="none"/>
        </w:rPr>
        <w:t>并签字确认</w:t>
      </w:r>
      <w:r>
        <w:rPr>
          <w:rFonts w:hAnsi="宋体"/>
          <w:b/>
          <w:bCs/>
          <w:color w:val="auto"/>
          <w:sz w:val="24"/>
          <w:highlight w:val="none"/>
        </w:rPr>
        <w:t>后，调整后的投标报价对投标人具有约束作用。如果投标人不接受修正后的报价，则其投标将</w:t>
      </w:r>
      <w:r>
        <w:rPr>
          <w:rFonts w:hint="eastAsia" w:hAnsi="宋体"/>
          <w:b/>
          <w:bCs/>
          <w:color w:val="auto"/>
          <w:sz w:val="24"/>
          <w:highlight w:val="none"/>
        </w:rPr>
        <w:t>作为无效投标处理</w:t>
      </w:r>
      <w:r>
        <w:rPr>
          <w:rFonts w:hAnsi="宋体"/>
          <w:b/>
          <w:bCs/>
          <w:color w:val="auto"/>
          <w:sz w:val="24"/>
          <w:highlight w:val="none"/>
        </w:rPr>
        <w:t>。</w:t>
      </w:r>
    </w:p>
    <w:p>
      <w:pPr>
        <w:pStyle w:val="13"/>
        <w:tabs>
          <w:tab w:val="left" w:pos="630"/>
        </w:tabs>
        <w:snapToGrid w:val="0"/>
        <w:spacing w:beforeLines="0" w:afterLines="0" w:line="360" w:lineRule="auto"/>
        <w:ind w:firstLine="472" w:firstLineChars="196"/>
        <w:rPr>
          <w:rFonts w:hAnsi="宋体"/>
          <w:b/>
          <w:color w:val="auto"/>
          <w:sz w:val="24"/>
          <w:highlight w:val="none"/>
        </w:rPr>
      </w:pPr>
      <w:r>
        <w:rPr>
          <w:rFonts w:hAnsi="宋体"/>
          <w:b/>
          <w:color w:val="auto"/>
          <w:sz w:val="24"/>
          <w:highlight w:val="none"/>
        </w:rPr>
        <w:t>（六）评标原则和评标办法</w:t>
      </w:r>
    </w:p>
    <w:p>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评标办法。本项目评标办法是本项目采取综合评分法，具体评标内容及评分标准等详见《第四章：评标办法及评分标准》。</w:t>
      </w:r>
    </w:p>
    <w:p>
      <w:pPr>
        <w:pStyle w:val="13"/>
        <w:snapToGrid w:val="0"/>
        <w:spacing w:beforeLines="0" w:afterLines="0" w:line="360" w:lineRule="auto"/>
        <w:ind w:firstLine="482" w:firstLineChars="200"/>
        <w:rPr>
          <w:rFonts w:hAnsi="宋体"/>
          <w:b/>
          <w:color w:val="auto"/>
          <w:sz w:val="24"/>
          <w:highlight w:val="none"/>
        </w:rPr>
      </w:pPr>
      <w:r>
        <w:rPr>
          <w:rFonts w:hint="eastAsia" w:hAnsi="宋体"/>
          <w:b/>
          <w:color w:val="auto"/>
          <w:sz w:val="24"/>
          <w:highlight w:val="none"/>
        </w:rPr>
        <w:t>（七）废标</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在采购中，出现下列情形之一的，应予废标：</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1.符合专业条件的供应商或者对招标文件作实质响应的供应商不足3家的；</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2.出现影响采购公正的违法、违规行为的；</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3.报价均超过预算，不能支付的；</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4.因重大变故，采购任务取消的。</w:t>
      </w:r>
    </w:p>
    <w:p>
      <w:pPr>
        <w:pStyle w:val="13"/>
        <w:snapToGrid w:val="0"/>
        <w:spacing w:beforeLines="0" w:afterLines="0" w:line="360" w:lineRule="auto"/>
        <w:ind w:firstLine="482" w:firstLineChars="200"/>
        <w:rPr>
          <w:rFonts w:hAnsi="宋体"/>
          <w:b/>
          <w:color w:val="auto"/>
          <w:sz w:val="24"/>
          <w:highlight w:val="none"/>
        </w:rPr>
      </w:pPr>
      <w:r>
        <w:rPr>
          <w:rFonts w:hint="eastAsia" w:hAnsi="宋体"/>
          <w:b/>
          <w:color w:val="auto"/>
          <w:sz w:val="24"/>
          <w:highlight w:val="none"/>
        </w:rPr>
        <w:t>（八）可中止电子交易活动的情形</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采购过程中出现以下情形，导致电子交易平台无法正常运行，或者无法保证电子交易的公平、公正和安全时，采购组织机构可中止电子交易活动：</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1、电子交易平台发生故障而无法登录访问的；</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2、电子交易平台应用或数据库出现错误，不能进行正常操作的；</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3、电子交易平台发现严重安全漏洞，有潜在泄密危险的；</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4、病毒发作导致不能进行正常操作的；</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5、其他无法保证电子交易的公平、公正和安全的情况。</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出现前款规定情形，不影响采购公平、公正性的，采购组织机构可以待上述情形消除后继续组织电子交易活动；影响或可能影响采购公平、公正性的，应当重新采购。</w:t>
      </w:r>
    </w:p>
    <w:p>
      <w:pPr>
        <w:pStyle w:val="13"/>
        <w:snapToGrid w:val="0"/>
        <w:spacing w:beforeLines="0" w:afterLines="0" w:line="360" w:lineRule="auto"/>
        <w:ind w:firstLine="472" w:firstLineChars="196"/>
        <w:outlineLvl w:val="1"/>
        <w:rPr>
          <w:rFonts w:hAnsi="宋体"/>
          <w:b/>
          <w:color w:val="auto"/>
          <w:sz w:val="24"/>
          <w:highlight w:val="none"/>
        </w:rPr>
      </w:pPr>
      <w:r>
        <w:rPr>
          <w:rFonts w:hint="eastAsia" w:hAnsi="宋体"/>
          <w:b/>
          <w:color w:val="auto"/>
          <w:sz w:val="24"/>
          <w:highlight w:val="none"/>
        </w:rPr>
        <w:t>六、定标</w:t>
      </w:r>
    </w:p>
    <w:p>
      <w:pPr>
        <w:pStyle w:val="13"/>
        <w:snapToGrid w:val="0"/>
        <w:spacing w:beforeLines="0" w:afterLines="0" w:line="360" w:lineRule="auto"/>
        <w:ind w:firstLine="472" w:firstLineChars="196"/>
        <w:rPr>
          <w:rFonts w:hAnsi="宋体"/>
          <w:b/>
          <w:bCs/>
          <w:color w:val="auto"/>
          <w:sz w:val="24"/>
          <w:highlight w:val="none"/>
        </w:rPr>
      </w:pPr>
      <w:r>
        <w:rPr>
          <w:rFonts w:hint="eastAsia" w:hAnsi="宋体"/>
          <w:b/>
          <w:bCs/>
          <w:color w:val="auto"/>
          <w:sz w:val="24"/>
          <w:highlight w:val="none"/>
        </w:rPr>
        <w:t>（一）确定中标人。</w:t>
      </w:r>
      <w:r>
        <w:rPr>
          <w:rFonts w:hint="eastAsia" w:hAnsi="宋体"/>
          <w:b/>
          <w:color w:val="auto"/>
          <w:sz w:val="24"/>
          <w:highlight w:val="none"/>
        </w:rPr>
        <w:t>本项目由采购人授权评标委员会确定中标人。</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1.采购人在收到评标报告后五个工作日内，依法确认中标供应商。</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2.中标供应商确定后，中标结果在财政部门指定的政府采购信息发布媒体上公告。</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3.在发布公告的同时，招标采购单位向中标供应商发出中标通知书，中标通知书对采购人和中标供应商具有同等法律效力。</w:t>
      </w:r>
    </w:p>
    <w:p>
      <w:pPr>
        <w:pStyle w:val="13"/>
        <w:snapToGrid w:val="0"/>
        <w:spacing w:beforeLines="0" w:afterLines="0" w:line="360" w:lineRule="auto"/>
        <w:ind w:firstLine="472" w:firstLineChars="196"/>
        <w:rPr>
          <w:rFonts w:hAnsi="宋体"/>
          <w:b/>
          <w:color w:val="auto"/>
          <w:sz w:val="24"/>
          <w:highlight w:val="none"/>
        </w:rPr>
      </w:pPr>
      <w:r>
        <w:rPr>
          <w:rFonts w:hint="eastAsia" w:hAnsi="宋体"/>
          <w:b/>
          <w:color w:val="auto"/>
          <w:sz w:val="24"/>
          <w:highlight w:val="none"/>
        </w:rPr>
        <w:t>4根据浙江省财政厅《</w:t>
      </w:r>
      <w:r>
        <w:rPr>
          <w:rFonts w:hAnsi="宋体"/>
          <w:b/>
          <w:color w:val="auto"/>
          <w:sz w:val="24"/>
          <w:highlight w:val="none"/>
        </w:rPr>
        <w:t>关于印发浙江省政府采购供应商注册及诚信管理暂行办法的通知</w:t>
      </w:r>
      <w:r>
        <w:rPr>
          <w:rFonts w:hint="eastAsia" w:hAnsi="宋体"/>
          <w:b/>
          <w:color w:val="auto"/>
          <w:sz w:val="24"/>
          <w:highlight w:val="none"/>
        </w:rPr>
        <w:t>》[</w:t>
      </w:r>
      <w:r>
        <w:rPr>
          <w:rFonts w:hAnsi="宋体"/>
          <w:b/>
          <w:color w:val="auto"/>
          <w:sz w:val="24"/>
          <w:highlight w:val="none"/>
        </w:rPr>
        <w:t>浙财采监字〔2009〕28号</w:t>
      </w:r>
      <w:r>
        <w:rPr>
          <w:rFonts w:hint="eastAsia" w:hAnsi="宋体"/>
          <w:b/>
          <w:color w:val="auto"/>
          <w:sz w:val="24"/>
          <w:highlight w:val="none"/>
        </w:rPr>
        <w:t>]精神，中标供应商在领取中标通知书前，必须在《浙江省政府采购网》上完成供应商的注册工作，经初审、终审及公示后方可正式领取中标通知书。</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5.中标通知书发出后，采购人改变中标结果，或者中标供应商放弃中标，应当承担相应的法律责任。</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pPr>
        <w:pStyle w:val="13"/>
        <w:snapToGrid w:val="0"/>
        <w:spacing w:beforeLines="0" w:afterLines="0" w:line="360" w:lineRule="auto"/>
        <w:ind w:firstLine="472" w:firstLineChars="196"/>
        <w:rPr>
          <w:rFonts w:hAnsi="宋体"/>
          <w:b/>
          <w:color w:val="auto"/>
          <w:sz w:val="24"/>
          <w:highlight w:val="none"/>
        </w:rPr>
      </w:pPr>
      <w:r>
        <w:rPr>
          <w:rFonts w:hint="eastAsia" w:hAnsi="宋体"/>
          <w:b/>
          <w:color w:val="auto"/>
          <w:sz w:val="24"/>
          <w:highlight w:val="none"/>
        </w:rPr>
        <w:t>（二）中标通知书</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1.确定中标供应商后，招标采购单位将以书面形式发出中标通知书，通知中标的投标人其投标被接受。</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2.中标通知书为双方签订合同的依据。</w:t>
      </w:r>
    </w:p>
    <w:p>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3.中标供应商应根据中标通知书中规定的时间内，由法定代表人或其授权代理人与采购人签订合同。</w:t>
      </w:r>
    </w:p>
    <w:p>
      <w:pPr>
        <w:pStyle w:val="13"/>
        <w:snapToGrid w:val="0"/>
        <w:spacing w:beforeLines="0" w:afterLines="0" w:line="360" w:lineRule="auto"/>
        <w:ind w:firstLine="472" w:firstLineChars="196"/>
        <w:outlineLvl w:val="1"/>
        <w:rPr>
          <w:rFonts w:hAnsi="宋体"/>
          <w:b/>
          <w:color w:val="auto"/>
          <w:sz w:val="24"/>
          <w:highlight w:val="none"/>
        </w:rPr>
      </w:pPr>
      <w:r>
        <w:rPr>
          <w:rFonts w:hint="eastAsia" w:hAnsi="宋体"/>
          <w:b/>
          <w:color w:val="auto"/>
          <w:sz w:val="24"/>
          <w:highlight w:val="none"/>
        </w:rPr>
        <w:t>七、合同授予</w:t>
      </w:r>
    </w:p>
    <w:p>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（一）签订合同</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》发出之日起30日内签订政府采购合同。同时，采购代理机构对合同内容进行审查，如发现与采购结果和投标承诺内容不一致的，应予以纠正。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中标人拖延、拒签合同的</w:t>
      </w:r>
      <w:r>
        <w:rPr>
          <w:rFonts w:hint="eastAsia" w:ascii="宋体" w:hAnsi="宋体"/>
          <w:color w:val="auto"/>
          <w:sz w:val="24"/>
          <w:highlight w:val="none"/>
        </w:rPr>
        <w:t>，</w:t>
      </w:r>
      <w:r>
        <w:rPr>
          <w:rFonts w:ascii="宋体" w:hAnsi="宋体"/>
          <w:color w:val="auto"/>
          <w:sz w:val="24"/>
          <w:highlight w:val="none"/>
        </w:rPr>
        <w:t>将被取消中标资格。</w:t>
      </w:r>
    </w:p>
    <w:p>
      <w:pPr>
        <w:pStyle w:val="13"/>
        <w:snapToGrid w:val="0"/>
        <w:spacing w:beforeLines="0" w:afterLines="0" w:line="360" w:lineRule="auto"/>
        <w:ind w:firstLine="472" w:firstLineChars="196"/>
        <w:rPr>
          <w:rFonts w:hAnsi="宋体"/>
          <w:b/>
          <w:color w:val="auto"/>
          <w:sz w:val="24"/>
          <w:highlight w:val="none"/>
        </w:rPr>
      </w:pPr>
      <w:r>
        <w:rPr>
          <w:rFonts w:hAnsi="宋体"/>
          <w:b/>
          <w:color w:val="auto"/>
          <w:sz w:val="24"/>
          <w:highlight w:val="none"/>
        </w:rPr>
        <w:t>（二）履约保证金</w:t>
      </w:r>
    </w:p>
    <w:p>
      <w:pPr>
        <w:pStyle w:val="13"/>
        <w:snapToGrid w:val="0"/>
        <w:spacing w:beforeLines="0" w:afterLines="0" w:line="360" w:lineRule="auto"/>
        <w:ind w:firstLine="470" w:firstLineChars="196"/>
        <w:outlineLvl w:val="1"/>
        <w:rPr>
          <w:rFonts w:hAnsi="宋体"/>
          <w:color w:val="auto"/>
          <w:sz w:val="24"/>
          <w:highlight w:val="none"/>
        </w:rPr>
      </w:pPr>
      <w:r>
        <w:rPr>
          <w:rFonts w:hint="eastAsia" w:hAnsi="宋体"/>
          <w:color w:val="auto"/>
          <w:sz w:val="24"/>
          <w:highlight w:val="none"/>
        </w:rPr>
        <w:t>履约保证金为合同价的1%，履约保证金形式为：银行转账或银行、保险公司出具的保函；合同期限结束后由采购人无息退还。</w:t>
      </w:r>
    </w:p>
    <w:p>
      <w:pPr>
        <w:pStyle w:val="13"/>
        <w:snapToGrid w:val="0"/>
        <w:spacing w:beforeLines="0" w:afterLines="0" w:line="360" w:lineRule="auto"/>
        <w:ind w:firstLine="472" w:firstLineChars="196"/>
        <w:outlineLvl w:val="1"/>
        <w:rPr>
          <w:rFonts w:hAnsi="宋体"/>
          <w:b/>
          <w:color w:val="auto"/>
          <w:sz w:val="24"/>
          <w:highlight w:val="none"/>
        </w:rPr>
      </w:pPr>
      <w:r>
        <w:rPr>
          <w:rFonts w:hint="eastAsia" w:hAnsi="宋体"/>
          <w:b/>
          <w:color w:val="auto"/>
          <w:sz w:val="24"/>
          <w:highlight w:val="none"/>
        </w:rPr>
        <w:t>（三)其他</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供应商有下列情形之一的，自愿接受取消投标资格；如已中标的，自动放弃中标资格，并承担全部法律责任；给采购人造成损失的，依法承担赔偿责任：</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（1）供应商在投标有效期内撤回投标文件的；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（2）供应商在投标过程中弄虚作假，提供虚假材料的；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（3）中标供应商无正当理由不与采购人签订合同的；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（4）将中标项目转让给他人或者在投标文件中未说明且未经招标采购人同意，将中标项目分包给他人的；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（5）拒绝履行合同义务的；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（6）其他严重扰乱招投标程序的。</w:t>
      </w:r>
    </w:p>
    <w:p>
      <w:pPr>
        <w:pStyle w:val="2"/>
        <w:rPr>
          <w:color w:val="auto"/>
          <w:highlight w:val="none"/>
        </w:rPr>
      </w:pPr>
      <w:r>
        <w:rPr>
          <w:color w:val="auto"/>
          <w:highlight w:val="none"/>
        </w:rPr>
        <w:br w:type="page"/>
      </w:r>
    </w:p>
    <w:p>
      <w:pPr>
        <w:pStyle w:val="13"/>
        <w:snapToGrid w:val="0"/>
        <w:spacing w:beforeLines="0" w:afterLines="0"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第四章  评标办法及评分标准</w:t>
      </w:r>
    </w:p>
    <w:p>
      <w:pPr>
        <w:spacing w:line="360" w:lineRule="auto"/>
        <w:ind w:firstLine="420"/>
        <w:rPr>
          <w:rFonts w:ascii="宋体" w:hAnsi="宋体"/>
          <w:color w:val="auto"/>
          <w:sz w:val="24"/>
          <w:highlight w:val="none"/>
        </w:rPr>
      </w:pPr>
      <w:r>
        <w:rPr>
          <w:rFonts w:hint="eastAsia" w:ascii="宋体" w:hAnsi="宋体"/>
          <w:color w:val="auto"/>
          <w:sz w:val="24"/>
          <w:highlight w:val="none"/>
        </w:rPr>
        <w:t>为公正、公平、科学地选择中标人，根据《中华人民共和国政府采购法》等有关法律法规的规定和《</w:t>
      </w:r>
      <w:r>
        <w:rPr>
          <w:rFonts w:hint="eastAsia"/>
          <w:color w:val="auto"/>
          <w:sz w:val="24"/>
          <w:highlight w:val="none"/>
        </w:rPr>
        <w:t>湖州市中心医院2025-2028年度机电运维管理项目</w:t>
      </w:r>
      <w:r>
        <w:rPr>
          <w:rFonts w:hint="eastAsia" w:ascii="宋体" w:hAnsi="宋体"/>
          <w:color w:val="auto"/>
          <w:sz w:val="24"/>
          <w:highlight w:val="none"/>
        </w:rPr>
        <w:t>》</w:t>
      </w:r>
      <w:r>
        <w:rPr>
          <w:rFonts w:hint="eastAsia"/>
          <w:color w:val="auto"/>
          <w:sz w:val="24"/>
          <w:highlight w:val="none"/>
        </w:rPr>
        <w:t>采购文件的</w:t>
      </w:r>
      <w:r>
        <w:rPr>
          <w:rFonts w:hint="eastAsia" w:ascii="宋体" w:hAnsi="宋体"/>
          <w:color w:val="auto"/>
          <w:sz w:val="24"/>
          <w:highlight w:val="none"/>
        </w:rPr>
        <w:t>规定，并结合本项目的实际，制定本办法。</w:t>
      </w:r>
    </w:p>
    <w:p>
      <w:pPr>
        <w:spacing w:line="360" w:lineRule="auto"/>
        <w:ind w:firstLine="420"/>
        <w:rPr>
          <w:rFonts w:ascii="宋体" w:hAnsi="宋体"/>
          <w:bCs/>
          <w:color w:val="auto"/>
          <w:sz w:val="24"/>
          <w:szCs w:val="48"/>
          <w:highlight w:val="none"/>
        </w:rPr>
      </w:pPr>
      <w:r>
        <w:rPr>
          <w:rFonts w:hint="eastAsia" w:ascii="宋体" w:hAnsi="宋体"/>
          <w:color w:val="auto"/>
          <w:sz w:val="24"/>
          <w:highlight w:val="none"/>
        </w:rPr>
        <w:t>本办法适用于</w:t>
      </w:r>
      <w:r>
        <w:rPr>
          <w:rFonts w:hint="eastAsia"/>
          <w:b/>
          <w:color w:val="auto"/>
          <w:sz w:val="24"/>
          <w:highlight w:val="none"/>
        </w:rPr>
        <w:t>湖州市中心医院2025-2028年度机电运维管理项目</w:t>
      </w:r>
      <w:r>
        <w:rPr>
          <w:rFonts w:hint="eastAsia" w:ascii="宋体" w:hAnsi="宋体"/>
          <w:bCs/>
          <w:color w:val="auto"/>
          <w:sz w:val="24"/>
          <w:szCs w:val="48"/>
          <w:highlight w:val="none"/>
        </w:rPr>
        <w:t>的评标。</w:t>
      </w:r>
    </w:p>
    <w:p>
      <w:pPr>
        <w:spacing w:line="360" w:lineRule="auto"/>
        <w:ind w:firstLine="551" w:firstLineChars="196"/>
        <w:rPr>
          <w:rFonts w:ascii="宋体" w:hAnsi="宋体"/>
          <w:b/>
          <w:color w:val="auto"/>
          <w:sz w:val="28"/>
          <w:szCs w:val="28"/>
          <w:highlight w:val="none"/>
        </w:rPr>
      </w:pPr>
      <w:r>
        <w:rPr>
          <w:rFonts w:hint="eastAsia" w:ascii="宋体" w:hAnsi="宋体"/>
          <w:b/>
          <w:color w:val="auto"/>
          <w:sz w:val="28"/>
          <w:szCs w:val="28"/>
          <w:highlight w:val="none"/>
        </w:rPr>
        <w:t>一、总则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本次评标采用综合评分法，</w:t>
      </w:r>
      <w:r>
        <w:rPr>
          <w:rFonts w:hint="eastAsia" w:ascii="宋体" w:hAnsi="宋体"/>
          <w:b/>
          <w:color w:val="auto"/>
          <w:sz w:val="24"/>
          <w:highlight w:val="none"/>
        </w:rPr>
        <w:t>总分为100分，包含：价格分（20分）、技术、商务、资信及其他分（80分）</w:t>
      </w:r>
      <w:r>
        <w:rPr>
          <w:rFonts w:hint="eastAsia" w:ascii="宋体" w:hAnsi="宋体"/>
          <w:color w:val="auto"/>
          <w:sz w:val="24"/>
          <w:highlight w:val="none"/>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color w:val="auto"/>
          <w:sz w:val="24"/>
          <w:highlight w:val="none"/>
        </w:rPr>
        <w:t>评分过程中采用四舍五入法，并保留小数2位。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综合得分=价格分+（技术分+商务、资信及其他分)</w:t>
      </w:r>
    </w:p>
    <w:p>
      <w:pPr>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二、评标内容及标准</w:t>
      </w:r>
    </w:p>
    <w:p>
      <w:pPr>
        <w:pStyle w:val="2"/>
        <w:spacing w:line="360" w:lineRule="auto"/>
        <w:rPr>
          <w:rFonts w:ascii="宋体" w:hAnsi="宋体"/>
          <w:b/>
          <w:color w:val="auto"/>
          <w:kern w:val="2"/>
          <w:sz w:val="24"/>
          <w:szCs w:val="24"/>
          <w:highlight w:val="none"/>
        </w:rPr>
      </w:pPr>
      <w:r>
        <w:rPr>
          <w:rFonts w:hint="eastAsia" w:ascii="宋体" w:hAnsi="宋体"/>
          <w:b/>
          <w:color w:val="auto"/>
          <w:kern w:val="2"/>
          <w:sz w:val="24"/>
          <w:szCs w:val="24"/>
          <w:highlight w:val="none"/>
        </w:rPr>
        <w:t>（一）价格分（20分）</w:t>
      </w:r>
    </w:p>
    <w:p>
      <w:pPr>
        <w:pStyle w:val="2"/>
        <w:spacing w:line="360" w:lineRule="auto"/>
        <w:ind w:left="0" w:leftChars="0" w:firstLine="480" w:firstLineChars="200"/>
        <w:rPr>
          <w:rFonts w:ascii="宋体" w:hAnsi="宋体"/>
          <w:bCs/>
          <w:color w:val="auto"/>
          <w:kern w:val="2"/>
          <w:sz w:val="24"/>
          <w:szCs w:val="24"/>
          <w:highlight w:val="none"/>
        </w:rPr>
      </w:pPr>
      <w:r>
        <w:rPr>
          <w:rFonts w:hint="eastAsia" w:ascii="宋体" w:hAnsi="宋体"/>
          <w:bCs/>
          <w:color w:val="auto"/>
          <w:kern w:val="2"/>
          <w:sz w:val="24"/>
          <w:szCs w:val="24"/>
          <w:highlight w:val="none"/>
        </w:rPr>
        <w:t>价格分采用低价优先法计算，即满足招标文件要求且投标价格最低的投标报价为评标基准价，其他投标人的价格分按照下列公式计算：</w:t>
      </w:r>
    </w:p>
    <w:p>
      <w:pPr>
        <w:pStyle w:val="2"/>
        <w:spacing w:line="360" w:lineRule="auto"/>
        <w:ind w:left="0" w:leftChars="0" w:firstLine="480" w:firstLineChars="200"/>
        <w:rPr>
          <w:rFonts w:ascii="宋体" w:hAnsi="宋体"/>
          <w:bCs/>
          <w:color w:val="auto"/>
          <w:kern w:val="2"/>
          <w:sz w:val="24"/>
          <w:szCs w:val="24"/>
          <w:highlight w:val="none"/>
        </w:rPr>
      </w:pPr>
      <w:r>
        <w:rPr>
          <w:rFonts w:hint="eastAsia" w:ascii="宋体" w:hAnsi="宋体"/>
          <w:bCs/>
          <w:color w:val="auto"/>
          <w:kern w:val="2"/>
          <w:sz w:val="24"/>
          <w:szCs w:val="24"/>
          <w:highlight w:val="none"/>
        </w:rPr>
        <w:t>价格分=（评标基准价/投标报价）×20%×100</w:t>
      </w:r>
    </w:p>
    <w:p>
      <w:pPr>
        <w:spacing w:line="360" w:lineRule="auto"/>
        <w:ind w:firstLine="457" w:firstLineChars="196"/>
        <w:jc w:val="left"/>
        <w:rPr>
          <w:rFonts w:ascii="宋体" w:hAnsi="宋体"/>
          <w:b/>
          <w:bCs/>
          <w:color w:val="auto"/>
          <w:spacing w:val="-4"/>
          <w:sz w:val="24"/>
          <w:highlight w:val="none"/>
        </w:rPr>
      </w:pPr>
      <w:r>
        <w:rPr>
          <w:rFonts w:hint="eastAsia" w:ascii="宋体" w:hAnsi="宋体"/>
          <w:b/>
          <w:bCs/>
          <w:color w:val="auto"/>
          <w:spacing w:val="-4"/>
          <w:sz w:val="24"/>
          <w:highlight w:val="none"/>
        </w:rPr>
        <w:t>1.符合财政部、工业和信息化部制定的《政府采购促进中小企业发展管理办法》（财库【2020】46号）第二条、第四条规定的供应商，根据《浙江省财政厅关于进一步发挥政府采购政策功能全力推动经济稳进提质的通知》（浙财采监[2022]3号）和《浙江省财政厅关于进一步加大政府采购 支持中小企业力度 助力扎实稳住经济 的通知》（浙财采监[2022]8号），对小微企业报价给予10%的扣除，用扣除后的价格参加评审。符合《浙江省财政厅关于进一步发挥政府采购政策功能全力推动经济稳进提质的通知》（浙财采监[2022]3号）第四条规定的供应商，对于联合协议或者分包意向协议约定小微企业的合同份额占到合同总金额30%以上的，对联合体或者大中型企业的报价按3%给予扣除，用扣除后的价格参加评审（提供联合体各方共同投标协议或分包意向协议）。</w:t>
      </w:r>
    </w:p>
    <w:p>
      <w:pPr>
        <w:spacing w:line="360" w:lineRule="auto"/>
        <w:ind w:firstLine="466" w:firstLineChars="200"/>
        <w:rPr>
          <w:rFonts w:ascii="宋体" w:hAnsi="宋体"/>
          <w:bCs/>
          <w:color w:val="auto"/>
          <w:spacing w:val="-4"/>
          <w:sz w:val="24"/>
          <w:highlight w:val="none"/>
        </w:rPr>
      </w:pPr>
      <w:r>
        <w:rPr>
          <w:rFonts w:hint="eastAsia" w:ascii="宋体" w:hAnsi="宋体"/>
          <w:b/>
          <w:bCs/>
          <w:color w:val="auto"/>
          <w:spacing w:val="-4"/>
          <w:sz w:val="24"/>
          <w:highlight w:val="none"/>
        </w:rPr>
        <w:t>2.本项目划分的行业为其他未列明行业</w:t>
      </w:r>
      <w:r>
        <w:rPr>
          <w:rFonts w:hint="eastAsia" w:ascii="宋体" w:hAnsi="宋体"/>
          <w:bCs/>
          <w:color w:val="auto"/>
          <w:spacing w:val="-4"/>
          <w:sz w:val="24"/>
          <w:highlight w:val="none"/>
        </w:rPr>
        <w:t>。投标人应自行根据《关于印发中小企业划型标准规定的通知》（工信部联企业〔2011〕300 号），确定：货物采购项目的服务是否全部由符合政策要求的中小企业承接。投标人根据实际情况填写《中小企业声明函》（格式见附件），作为供应商是否享受本项目价格扣除政策的依据。</w:t>
      </w:r>
    </w:p>
    <w:p>
      <w:pPr>
        <w:spacing w:line="360" w:lineRule="auto"/>
        <w:ind w:firstLine="464" w:firstLineChars="200"/>
        <w:rPr>
          <w:rFonts w:ascii="宋体" w:hAnsi="宋体"/>
          <w:bCs/>
          <w:color w:val="auto"/>
          <w:spacing w:val="-4"/>
          <w:sz w:val="24"/>
          <w:highlight w:val="none"/>
        </w:rPr>
      </w:pPr>
      <w:r>
        <w:rPr>
          <w:rFonts w:hint="eastAsia" w:ascii="宋体" w:hAnsi="宋体"/>
          <w:bCs/>
          <w:color w:val="auto"/>
          <w:spacing w:val="-4"/>
          <w:sz w:val="24"/>
          <w:highlight w:val="none"/>
        </w:rPr>
        <w:t>3.根据《政府采购促进中小企业发展管理办法》（财库【2020】46号）第二十条规定，投标人按照该办法规定提供声明函内容不实的，属于提供虚假材料谋取中标、成交，依照《中华人民共和国政府采购法》等国家有关规定追究相应责任。适用招标投标法的政府采购工程建设项目，投标人按照该办法规定提供声明函内容不实的，属于弄虚作假骗取中标，依照《中华人民共和国招标投标法》等国家有关规定追究相应责任。</w:t>
      </w:r>
    </w:p>
    <w:p>
      <w:pPr>
        <w:spacing w:line="360" w:lineRule="auto"/>
        <w:ind w:firstLine="464" w:firstLineChars="200"/>
        <w:rPr>
          <w:rFonts w:ascii="宋体" w:hAnsi="宋体"/>
          <w:bCs/>
          <w:color w:val="auto"/>
          <w:spacing w:val="-4"/>
          <w:sz w:val="24"/>
          <w:highlight w:val="none"/>
        </w:rPr>
      </w:pPr>
      <w:r>
        <w:rPr>
          <w:rFonts w:hint="eastAsia" w:ascii="宋体" w:hAnsi="宋体"/>
          <w:bCs/>
          <w:color w:val="auto"/>
          <w:spacing w:val="-4"/>
          <w:sz w:val="24"/>
          <w:highlight w:val="none"/>
        </w:rPr>
        <w:t>4.监狱企业参加政府采购提供《监狱企业声明函》（格式自拟）及其相关的充分的证明材料的，视为小型、微型企业，享受小微企业政策扶持；监狱企业属于小型、微型企业的，不重复享受政策。</w:t>
      </w:r>
    </w:p>
    <w:p>
      <w:pPr>
        <w:spacing w:line="360" w:lineRule="auto"/>
        <w:ind w:firstLine="464" w:firstLineChars="200"/>
        <w:rPr>
          <w:rFonts w:ascii="宋体" w:hAnsi="宋体"/>
          <w:bCs/>
          <w:color w:val="auto"/>
          <w:spacing w:val="-4"/>
          <w:sz w:val="24"/>
          <w:highlight w:val="none"/>
        </w:rPr>
      </w:pPr>
      <w:r>
        <w:rPr>
          <w:rFonts w:hint="eastAsia" w:ascii="宋体" w:hAnsi="宋体"/>
          <w:bCs/>
          <w:color w:val="auto"/>
          <w:spacing w:val="-4"/>
          <w:sz w:val="24"/>
          <w:highlight w:val="none"/>
        </w:rPr>
        <w:t>5.残疾人福利性单位参加政府采购提供《残疾人福利性单位声明函》（格式自拟），视为小型、微型企业，享受小微企业政策扶持；残疾人福利性单位属于小型、微型企业的，不重复享受政策。</w:t>
      </w:r>
      <w:bookmarkStart w:id="44" w:name="OLE_LINK55"/>
      <w:bookmarkStart w:id="45" w:name="OLE_LINK56"/>
    </w:p>
    <w:p>
      <w:pPr>
        <w:spacing w:line="360" w:lineRule="auto"/>
        <w:ind w:firstLine="466" w:firstLineChars="200"/>
        <w:rPr>
          <w:rFonts w:ascii="宋体" w:hAnsi="宋体"/>
          <w:color w:val="auto"/>
          <w:sz w:val="24"/>
          <w:highlight w:val="none"/>
        </w:rPr>
      </w:pPr>
      <w:r>
        <w:rPr>
          <w:rFonts w:hint="eastAsia" w:ascii="宋体" w:hAnsi="宋体"/>
          <w:b/>
          <w:bCs/>
          <w:color w:val="auto"/>
          <w:spacing w:val="-4"/>
          <w:sz w:val="24"/>
          <w:highlight w:val="none"/>
        </w:rPr>
        <w:t>上述计算扣除不累计计算，最高扣除10%</w:t>
      </w:r>
      <w:r>
        <w:rPr>
          <w:rFonts w:hint="eastAsia" w:ascii="宋体" w:hAnsi="宋体"/>
          <w:bCs/>
          <w:color w:val="auto"/>
          <w:sz w:val="24"/>
          <w:highlight w:val="none"/>
        </w:rPr>
        <w:t>；未提供以上相关材料的，均不给予价格计算扣除。</w:t>
      </w:r>
    </w:p>
    <w:p>
      <w:pPr>
        <w:spacing w:line="360" w:lineRule="auto"/>
        <w:ind w:left="9094" w:leftChars="200" w:hanging="8674" w:hangingChars="3600"/>
        <w:jc w:val="left"/>
        <w:rPr>
          <w:rFonts w:ascii="宋体" w:hAnsi="宋体"/>
          <w:b/>
          <w:color w:val="auto"/>
          <w:sz w:val="24"/>
          <w:highlight w:val="none"/>
        </w:rPr>
      </w:pPr>
      <w:r>
        <w:rPr>
          <w:rFonts w:hint="eastAsia" w:ascii="宋体" w:hAnsi="宋体"/>
          <w:b/>
          <w:bCs/>
          <w:color w:val="auto"/>
          <w:sz w:val="24"/>
          <w:highlight w:val="none"/>
        </w:rPr>
        <w:t>（二）</w:t>
      </w:r>
      <w:r>
        <w:rPr>
          <w:rFonts w:hint="eastAsia" w:ascii="宋体" w:hAnsi="宋体"/>
          <w:b/>
          <w:color w:val="auto"/>
          <w:sz w:val="24"/>
          <w:highlight w:val="none"/>
        </w:rPr>
        <w:t>技术分、商务、资信及其他分（80分）</w:t>
      </w:r>
    </w:p>
    <w:tbl>
      <w:tblPr>
        <w:tblStyle w:val="28"/>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2"/>
        <w:gridCol w:w="793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rPr>
                <w:rFonts w:hAnsi="宋体"/>
                <w:color w:val="auto"/>
                <w:sz w:val="24"/>
                <w:szCs w:val="21"/>
                <w:highlight w:val="none"/>
              </w:rPr>
            </w:pPr>
            <w:r>
              <w:rPr>
                <w:rFonts w:hint="eastAsia" w:hAnsi="宋体"/>
                <w:color w:val="auto"/>
                <w:sz w:val="24"/>
                <w:szCs w:val="21"/>
                <w:highlight w:val="none"/>
              </w:rPr>
              <w:t>评定项目</w:t>
            </w:r>
          </w:p>
        </w:tc>
        <w:tc>
          <w:tcPr>
            <w:tcW w:w="8080" w:type="dxa"/>
            <w:gridSpan w:val="2"/>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firstLine="480" w:firstLineChars="200"/>
              <w:rPr>
                <w:rFonts w:hAnsi="宋体"/>
                <w:color w:val="auto"/>
                <w:sz w:val="24"/>
                <w:szCs w:val="21"/>
                <w:highlight w:val="none"/>
              </w:rPr>
            </w:pPr>
            <w:r>
              <w:rPr>
                <w:rFonts w:hint="eastAsia" w:hAnsi="宋体"/>
                <w:color w:val="auto"/>
                <w:sz w:val="24"/>
                <w:szCs w:val="21"/>
                <w:highlight w:val="none"/>
              </w:rPr>
              <w:t>评定内容</w:t>
            </w: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rPr>
                <w:rFonts w:hAnsi="宋体"/>
                <w:color w:val="auto"/>
                <w:sz w:val="24"/>
                <w:szCs w:val="21"/>
                <w:highlight w:val="none"/>
              </w:rPr>
            </w:pPr>
            <w:r>
              <w:rPr>
                <w:rFonts w:hint="eastAsia" w:hAnsi="宋体"/>
                <w:color w:val="auto"/>
                <w:sz w:val="24"/>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357" w:type="dxa"/>
            <w:gridSpan w:val="3"/>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技术部分</w:t>
            </w: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对项目的</w:t>
            </w:r>
            <w:bookmarkStart w:id="46" w:name="OLE_LINK48"/>
            <w:bookmarkStart w:id="47" w:name="OLE_LINK47"/>
            <w:r>
              <w:rPr>
                <w:rFonts w:hint="eastAsia" w:hAnsi="宋体" w:cs="宋体"/>
                <w:color w:val="auto"/>
                <w:sz w:val="24"/>
                <w:szCs w:val="24"/>
                <w:highlight w:val="none"/>
              </w:rPr>
              <w:t>理解</w:t>
            </w:r>
            <w:bookmarkEnd w:id="46"/>
            <w:bookmarkEnd w:id="47"/>
          </w:p>
        </w:tc>
        <w:tc>
          <w:tcPr>
            <w:tcW w:w="7938" w:type="dxa"/>
            <w:tcBorders>
              <w:top w:val="single" w:color="auto" w:sz="4" w:space="0"/>
              <w:left w:val="single" w:color="auto" w:sz="4" w:space="0"/>
              <w:bottom w:val="single" w:color="auto" w:sz="4" w:space="0"/>
              <w:right w:val="single" w:color="auto" w:sz="4" w:space="0"/>
            </w:tcBorders>
          </w:tcPr>
          <w:p>
            <w:pPr>
              <w:pStyle w:val="2"/>
              <w:spacing w:beforeLines="50" w:afterLines="50" w:line="360" w:lineRule="auto"/>
              <w:ind w:left="0" w:leftChars="0"/>
              <w:jc w:val="left"/>
              <w:rPr>
                <w:rFonts w:hAnsi="宋体"/>
                <w:bCs/>
                <w:color w:val="auto"/>
                <w:sz w:val="24"/>
                <w:szCs w:val="24"/>
                <w:highlight w:val="none"/>
              </w:rPr>
            </w:pPr>
            <w:r>
              <w:rPr>
                <w:rFonts w:hint="eastAsia" w:cs="宋体" w:asciiTheme="minorEastAsia" w:hAnsiTheme="minorEastAsia" w:eastAsiaTheme="minorEastAsia"/>
                <w:color w:val="auto"/>
                <w:sz w:val="24"/>
                <w:szCs w:val="24"/>
                <w:highlight w:val="none"/>
              </w:rPr>
              <w:t>对项目理解到位，有针对本项目的近期、远期服务目标，目标层次非常清晰、具体，可执行、可测量</w:t>
            </w:r>
            <w:bookmarkStart w:id="48" w:name="OLE_LINK15"/>
            <w:bookmarkStart w:id="49" w:name="OLE_LINK16"/>
            <w:r>
              <w:rPr>
                <w:rFonts w:hint="eastAsia" w:cs="宋体" w:asciiTheme="minorEastAsia" w:hAnsiTheme="minorEastAsia" w:eastAsiaTheme="minorEastAsia"/>
                <w:color w:val="auto"/>
                <w:sz w:val="24"/>
                <w:szCs w:val="24"/>
                <w:highlight w:val="none"/>
              </w:rPr>
              <w:t>，满足采购人实际需求的，有针对性解释说明：4分；提供的方案基本全面，有针对性解释说明：3分；提供的方案不够全面，有针对性有解释说明：2分；提供的方案不全面，没有解释说明：1分；未提供不得分。</w:t>
            </w:r>
            <w:bookmarkEnd w:id="48"/>
            <w:bookmarkEnd w:id="49"/>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ascii="宋体" w:hAnsi="宋体" w:cs="宋体"/>
                <w:color w:val="auto"/>
                <w:sz w:val="24"/>
                <w:highlight w:val="none"/>
              </w:rPr>
            </w:pPr>
            <w:r>
              <w:rPr>
                <w:rFonts w:hint="eastAsia" w:cs="宋体" w:asciiTheme="minorEastAsia" w:hAnsiTheme="minorEastAsia" w:eastAsiaTheme="minorEastAsia"/>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cs="宋体"/>
                <w:color w:val="auto"/>
                <w:sz w:val="24"/>
                <w:szCs w:val="24"/>
                <w:highlight w:val="none"/>
              </w:rPr>
            </w:pPr>
            <w:bookmarkStart w:id="50" w:name="OLE_LINK62"/>
            <w:bookmarkStart w:id="51" w:name="OLE_LINK61"/>
            <w:r>
              <w:rPr>
                <w:rFonts w:hint="eastAsia" w:hAnsi="宋体" w:cs="宋体"/>
                <w:color w:val="auto"/>
                <w:sz w:val="24"/>
                <w:szCs w:val="24"/>
                <w:highlight w:val="none"/>
              </w:rPr>
              <w:t>运营服务方案</w:t>
            </w:r>
            <w:bookmarkEnd w:id="50"/>
            <w:bookmarkEnd w:id="51"/>
          </w:p>
        </w:tc>
        <w:tc>
          <w:tcPr>
            <w:tcW w:w="7938"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cs="宋体"/>
                <w:color w:val="auto"/>
                <w:sz w:val="24"/>
                <w:szCs w:val="24"/>
                <w:highlight w:val="none"/>
              </w:rPr>
            </w:pPr>
            <w:r>
              <w:rPr>
                <w:rFonts w:hAnsi="宋体" w:cs="宋体"/>
                <w:color w:val="auto"/>
                <w:sz w:val="24"/>
                <w:szCs w:val="24"/>
                <w:highlight w:val="none"/>
              </w:rPr>
              <w:t>1.</w:t>
            </w:r>
            <w:r>
              <w:rPr>
                <w:rFonts w:hint="eastAsia" w:hAnsi="宋体" w:cs="宋体"/>
                <w:color w:val="auto"/>
                <w:sz w:val="24"/>
                <w:szCs w:val="24"/>
                <w:highlight w:val="none"/>
              </w:rPr>
              <w:t>服务管理理念合理，运营服务方案的先后、主次安排逻辑合理，管理模式能够切合实际，能体现专业能力、关键技术和创新性</w:t>
            </w:r>
            <w:bookmarkStart w:id="52" w:name="OLE_LINK19"/>
            <w:bookmarkStart w:id="53" w:name="OLE_LINK17"/>
            <w:bookmarkStart w:id="54" w:name="OLE_LINK18"/>
            <w:r>
              <w:rPr>
                <w:rFonts w:hint="eastAsia" w:hAnsi="宋体" w:cs="宋体"/>
                <w:color w:val="auto"/>
                <w:sz w:val="24"/>
                <w:szCs w:val="24"/>
                <w:highlight w:val="none"/>
              </w:rPr>
              <w:t>，</w:t>
            </w:r>
            <w:r>
              <w:rPr>
                <w:rFonts w:hint="eastAsia" w:hAnsi="宋体"/>
                <w:bCs/>
                <w:color w:val="auto"/>
                <w:sz w:val="24"/>
                <w:highlight w:val="none"/>
              </w:rPr>
              <w:t>满足采购人实际需求的，有针对性解释说明：</w:t>
            </w:r>
            <w:r>
              <w:rPr>
                <w:rFonts w:hAnsi="宋体"/>
                <w:bCs/>
                <w:color w:val="auto"/>
                <w:sz w:val="24"/>
                <w:highlight w:val="none"/>
              </w:rPr>
              <w:t>6</w:t>
            </w:r>
            <w:r>
              <w:rPr>
                <w:rFonts w:hint="eastAsia" w:hAnsi="宋体"/>
                <w:bCs/>
                <w:color w:val="auto"/>
                <w:sz w:val="24"/>
                <w:highlight w:val="none"/>
              </w:rPr>
              <w:t>分；提供的方案基本全面，有针对性解释说明：</w:t>
            </w:r>
            <w:r>
              <w:rPr>
                <w:rFonts w:hAnsi="宋体"/>
                <w:bCs/>
                <w:color w:val="auto"/>
                <w:sz w:val="24"/>
                <w:highlight w:val="none"/>
              </w:rPr>
              <w:t>5</w:t>
            </w:r>
            <w:r>
              <w:rPr>
                <w:rFonts w:hint="eastAsia" w:hAnsi="宋体"/>
                <w:bCs/>
                <w:color w:val="auto"/>
                <w:sz w:val="24"/>
                <w:highlight w:val="none"/>
              </w:rPr>
              <w:t>分；提供的方案不够全面，有针对性有解释说明：</w:t>
            </w:r>
            <w:r>
              <w:rPr>
                <w:rFonts w:hAnsi="宋体"/>
                <w:bCs/>
                <w:color w:val="auto"/>
                <w:sz w:val="24"/>
                <w:highlight w:val="none"/>
              </w:rPr>
              <w:t>4</w:t>
            </w:r>
            <w:r>
              <w:rPr>
                <w:rFonts w:hint="eastAsia" w:hAnsi="宋体"/>
                <w:bCs/>
                <w:color w:val="auto"/>
                <w:sz w:val="24"/>
                <w:highlight w:val="none"/>
              </w:rPr>
              <w:t>分；提供的方案不全面，有解释说明：</w:t>
            </w:r>
            <w:r>
              <w:rPr>
                <w:rFonts w:hAnsi="宋体"/>
                <w:bCs/>
                <w:color w:val="auto"/>
                <w:sz w:val="24"/>
                <w:highlight w:val="none"/>
              </w:rPr>
              <w:t>3</w:t>
            </w:r>
            <w:r>
              <w:rPr>
                <w:rFonts w:hint="eastAsia" w:hAnsi="宋体"/>
                <w:bCs/>
                <w:color w:val="auto"/>
                <w:sz w:val="24"/>
                <w:highlight w:val="none"/>
              </w:rPr>
              <w:t>分；提供的方案不全面，没有解释说明：</w:t>
            </w:r>
            <w:r>
              <w:rPr>
                <w:rFonts w:hAnsi="宋体"/>
                <w:bCs/>
                <w:color w:val="auto"/>
                <w:sz w:val="24"/>
                <w:highlight w:val="none"/>
              </w:rPr>
              <w:t>1</w:t>
            </w:r>
            <w:r>
              <w:rPr>
                <w:rFonts w:hint="eastAsia" w:hAnsi="宋体"/>
                <w:bCs/>
                <w:color w:val="auto"/>
                <w:sz w:val="24"/>
                <w:highlight w:val="none"/>
              </w:rPr>
              <w:t>分；未提供不得分。</w:t>
            </w:r>
            <w:bookmarkEnd w:id="52"/>
            <w:bookmarkEnd w:id="53"/>
            <w:bookmarkEnd w:id="54"/>
          </w:p>
          <w:p>
            <w:pPr>
              <w:pStyle w:val="2"/>
              <w:spacing w:beforeLines="50" w:afterLines="50" w:line="360" w:lineRule="auto"/>
              <w:ind w:left="0" w:leftChars="0"/>
              <w:jc w:val="left"/>
              <w:rPr>
                <w:rFonts w:hAnsi="宋体" w:cs="宋体"/>
                <w:color w:val="auto"/>
                <w:sz w:val="24"/>
                <w:szCs w:val="24"/>
                <w:highlight w:val="none"/>
              </w:rPr>
            </w:pPr>
            <w:r>
              <w:rPr>
                <w:rFonts w:hAnsi="宋体" w:cs="宋体"/>
                <w:color w:val="auto"/>
                <w:sz w:val="24"/>
                <w:szCs w:val="24"/>
                <w:highlight w:val="none"/>
              </w:rPr>
              <w:t>2.</w:t>
            </w:r>
            <w:r>
              <w:rPr>
                <w:rFonts w:hint="eastAsia" w:hAnsi="宋体" w:cs="宋体"/>
                <w:color w:val="auto"/>
                <w:sz w:val="24"/>
                <w:szCs w:val="24"/>
                <w:highlight w:val="none"/>
              </w:rPr>
              <w:t>对项目重点问题和难点的深入分析，根据工作经验对本项目实施过程中可能遇到的重点、难点问题进行分析预判，方案内容齐全、结构完整、表述准确，</w:t>
            </w:r>
            <w:r>
              <w:rPr>
                <w:rFonts w:hint="eastAsia" w:hAnsi="宋体"/>
                <w:bCs/>
                <w:color w:val="auto"/>
                <w:sz w:val="24"/>
                <w:highlight w:val="none"/>
              </w:rPr>
              <w:t>满足采购人实际需求的，有针对性解释说明：</w:t>
            </w:r>
            <w:r>
              <w:rPr>
                <w:rFonts w:hAnsi="宋体"/>
                <w:bCs/>
                <w:color w:val="auto"/>
                <w:sz w:val="24"/>
                <w:highlight w:val="none"/>
              </w:rPr>
              <w:t>6</w:t>
            </w:r>
            <w:r>
              <w:rPr>
                <w:rFonts w:hint="eastAsia" w:hAnsi="宋体"/>
                <w:bCs/>
                <w:color w:val="auto"/>
                <w:sz w:val="24"/>
                <w:highlight w:val="none"/>
              </w:rPr>
              <w:t>分；提供的方案基本全面，有针对性解释说明：</w:t>
            </w:r>
            <w:r>
              <w:rPr>
                <w:rFonts w:hAnsi="宋体"/>
                <w:bCs/>
                <w:color w:val="auto"/>
                <w:sz w:val="24"/>
                <w:highlight w:val="none"/>
              </w:rPr>
              <w:t>5</w:t>
            </w:r>
            <w:r>
              <w:rPr>
                <w:rFonts w:hint="eastAsia" w:hAnsi="宋体"/>
                <w:bCs/>
                <w:color w:val="auto"/>
                <w:sz w:val="24"/>
                <w:highlight w:val="none"/>
              </w:rPr>
              <w:t>分；提供的方案不够全面，有针对性有解释说明：</w:t>
            </w:r>
            <w:r>
              <w:rPr>
                <w:rFonts w:hAnsi="宋体"/>
                <w:bCs/>
                <w:color w:val="auto"/>
                <w:sz w:val="24"/>
                <w:highlight w:val="none"/>
              </w:rPr>
              <w:t>4</w:t>
            </w:r>
            <w:r>
              <w:rPr>
                <w:rFonts w:hint="eastAsia" w:hAnsi="宋体"/>
                <w:bCs/>
                <w:color w:val="auto"/>
                <w:sz w:val="24"/>
                <w:highlight w:val="none"/>
              </w:rPr>
              <w:t>分；提供的方案不全面，有解释说明：</w:t>
            </w:r>
            <w:r>
              <w:rPr>
                <w:rFonts w:hAnsi="宋体"/>
                <w:bCs/>
                <w:color w:val="auto"/>
                <w:sz w:val="24"/>
                <w:highlight w:val="none"/>
              </w:rPr>
              <w:t>3</w:t>
            </w:r>
            <w:r>
              <w:rPr>
                <w:rFonts w:hint="eastAsia" w:hAnsi="宋体"/>
                <w:bCs/>
                <w:color w:val="auto"/>
                <w:sz w:val="24"/>
                <w:highlight w:val="none"/>
              </w:rPr>
              <w:t>分；提供的方案不全面，没有解释说明：</w:t>
            </w:r>
            <w:r>
              <w:rPr>
                <w:rFonts w:hAnsi="宋体"/>
                <w:bCs/>
                <w:color w:val="auto"/>
                <w:sz w:val="24"/>
                <w:highlight w:val="none"/>
              </w:rPr>
              <w:t>1</w:t>
            </w:r>
            <w:r>
              <w:rPr>
                <w:rFonts w:hint="eastAsia" w:hAnsi="宋体"/>
                <w:bCs/>
                <w:color w:val="auto"/>
                <w:sz w:val="24"/>
                <w:highlight w:val="none"/>
              </w:rPr>
              <w:t>分；未提供不得分。</w:t>
            </w:r>
          </w:p>
          <w:p>
            <w:pPr>
              <w:pStyle w:val="2"/>
              <w:spacing w:beforeLines="50" w:afterLines="50" w:line="360" w:lineRule="auto"/>
              <w:ind w:left="0" w:leftChars="0"/>
              <w:jc w:val="left"/>
              <w:rPr>
                <w:rFonts w:hAnsi="宋体" w:cs="宋体"/>
                <w:color w:val="auto"/>
                <w:sz w:val="24"/>
                <w:szCs w:val="24"/>
                <w:highlight w:val="none"/>
              </w:rPr>
            </w:pPr>
            <w:r>
              <w:rPr>
                <w:rFonts w:hAnsi="宋体" w:cs="宋体"/>
                <w:color w:val="auto"/>
                <w:sz w:val="24"/>
                <w:szCs w:val="24"/>
                <w:highlight w:val="none"/>
              </w:rPr>
              <w:t>3.</w:t>
            </w:r>
            <w:r>
              <w:rPr>
                <w:rFonts w:hint="eastAsia" w:hAnsi="宋体" w:cs="宋体"/>
                <w:color w:val="auto"/>
                <w:sz w:val="24"/>
                <w:szCs w:val="24"/>
                <w:highlight w:val="none"/>
              </w:rPr>
              <w:t>项目重点问题和难点提供的解决方案，解决方案合理可行、执行有保障、内容齐全、结构完整、表述准确，</w:t>
            </w:r>
            <w:r>
              <w:rPr>
                <w:rFonts w:hint="eastAsia" w:hAnsi="宋体"/>
                <w:bCs/>
                <w:color w:val="auto"/>
                <w:sz w:val="24"/>
                <w:highlight w:val="none"/>
              </w:rPr>
              <w:t>满足采购人实际需求的，有针对性解释说明：</w:t>
            </w:r>
            <w:r>
              <w:rPr>
                <w:rFonts w:hAnsi="宋体"/>
                <w:bCs/>
                <w:color w:val="auto"/>
                <w:sz w:val="24"/>
                <w:highlight w:val="none"/>
              </w:rPr>
              <w:t>6</w:t>
            </w:r>
            <w:r>
              <w:rPr>
                <w:rFonts w:hint="eastAsia" w:hAnsi="宋体"/>
                <w:bCs/>
                <w:color w:val="auto"/>
                <w:sz w:val="24"/>
                <w:highlight w:val="none"/>
              </w:rPr>
              <w:t>分；提供的方案基本全面，有针对性解释说明：</w:t>
            </w:r>
            <w:r>
              <w:rPr>
                <w:rFonts w:hAnsi="宋体"/>
                <w:bCs/>
                <w:color w:val="auto"/>
                <w:sz w:val="24"/>
                <w:highlight w:val="none"/>
              </w:rPr>
              <w:t>5</w:t>
            </w:r>
            <w:r>
              <w:rPr>
                <w:rFonts w:hint="eastAsia" w:hAnsi="宋体"/>
                <w:bCs/>
                <w:color w:val="auto"/>
                <w:sz w:val="24"/>
                <w:highlight w:val="none"/>
              </w:rPr>
              <w:t>分；提供的方案不够全面，有针对性有解释说明：</w:t>
            </w:r>
            <w:r>
              <w:rPr>
                <w:rFonts w:hAnsi="宋体"/>
                <w:bCs/>
                <w:color w:val="auto"/>
                <w:sz w:val="24"/>
                <w:highlight w:val="none"/>
              </w:rPr>
              <w:t>4</w:t>
            </w:r>
            <w:r>
              <w:rPr>
                <w:rFonts w:hint="eastAsia" w:hAnsi="宋体"/>
                <w:bCs/>
                <w:color w:val="auto"/>
                <w:sz w:val="24"/>
                <w:highlight w:val="none"/>
              </w:rPr>
              <w:t>分；提供的方案不全面，有解释说明：</w:t>
            </w:r>
            <w:r>
              <w:rPr>
                <w:rFonts w:hAnsi="宋体"/>
                <w:bCs/>
                <w:color w:val="auto"/>
                <w:sz w:val="24"/>
                <w:highlight w:val="none"/>
              </w:rPr>
              <w:t>3</w:t>
            </w:r>
            <w:r>
              <w:rPr>
                <w:rFonts w:hint="eastAsia" w:hAnsi="宋体"/>
                <w:bCs/>
                <w:color w:val="auto"/>
                <w:sz w:val="24"/>
                <w:highlight w:val="none"/>
              </w:rPr>
              <w:t>分；提供的方案不全面，没有解释说明：</w:t>
            </w:r>
            <w:r>
              <w:rPr>
                <w:rFonts w:hAnsi="宋体"/>
                <w:bCs/>
                <w:color w:val="auto"/>
                <w:sz w:val="24"/>
                <w:highlight w:val="none"/>
              </w:rPr>
              <w:t>1</w:t>
            </w:r>
            <w:r>
              <w:rPr>
                <w:rFonts w:hint="eastAsia" w:hAnsi="宋体"/>
                <w:bCs/>
                <w:color w:val="auto"/>
                <w:sz w:val="24"/>
                <w:highlight w:val="none"/>
              </w:rPr>
              <w:t>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pPr>
              <w:pStyle w:val="4"/>
              <w:rPr>
                <w:rFonts w:ascii="Times New Roman" w:hAnsi="宋体"/>
                <w:b w:val="0"/>
                <w:color w:val="auto"/>
                <w:sz w:val="24"/>
                <w:szCs w:val="24"/>
                <w:highlight w:val="none"/>
              </w:rPr>
            </w:pPr>
            <w:r>
              <w:rPr>
                <w:rFonts w:ascii="Times New Roman" w:hAnsi="宋体"/>
                <w:b w:val="0"/>
                <w:color w:val="auto"/>
                <w:sz w:val="24"/>
                <w:szCs w:val="24"/>
                <w:highlight w:val="none"/>
              </w:rPr>
              <w:t>18</w:t>
            </w:r>
            <w:r>
              <w:rPr>
                <w:rFonts w:hint="eastAsia" w:ascii="Times New Roman" w:hAnsi="宋体"/>
                <w:b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cs="宋体"/>
                <w:color w:val="auto"/>
                <w:sz w:val="24"/>
                <w:szCs w:val="24"/>
                <w:highlight w:val="none"/>
              </w:rPr>
            </w:pPr>
            <w:bookmarkStart w:id="55" w:name="OLE_LINK68"/>
            <w:r>
              <w:rPr>
                <w:rFonts w:hint="eastAsia" w:hAnsi="宋体" w:cs="宋体"/>
                <w:color w:val="auto"/>
                <w:sz w:val="24"/>
                <w:szCs w:val="24"/>
                <w:highlight w:val="none"/>
              </w:rPr>
              <w:t>管理规章</w:t>
            </w:r>
            <w:bookmarkStart w:id="56" w:name="OLE_LINK43"/>
            <w:bookmarkStart w:id="57" w:name="OLE_LINK41"/>
            <w:bookmarkStart w:id="58" w:name="OLE_LINK44"/>
            <w:bookmarkStart w:id="59" w:name="OLE_LINK42"/>
            <w:r>
              <w:rPr>
                <w:rFonts w:hint="eastAsia" w:hAnsi="宋体" w:cs="宋体"/>
                <w:color w:val="auto"/>
                <w:sz w:val="24"/>
                <w:szCs w:val="24"/>
                <w:highlight w:val="none"/>
              </w:rPr>
              <w:t>制度</w:t>
            </w:r>
            <w:bookmarkEnd w:id="55"/>
            <w:bookmarkEnd w:id="56"/>
            <w:bookmarkEnd w:id="57"/>
            <w:bookmarkEnd w:id="58"/>
            <w:bookmarkEnd w:id="59"/>
          </w:p>
        </w:tc>
        <w:tc>
          <w:tcPr>
            <w:tcW w:w="7938"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各项规章制度、内部岗位责任制度、管理运作制度、考核制度及标准、设备图纸、维修台账资料等档案的建立与管理，要求符合规范，体现高标准、高档次、科学合理、详细完备</w:t>
            </w:r>
            <w:r>
              <w:rPr>
                <w:rFonts w:hint="eastAsia" w:hAnsi="宋体"/>
                <w:bCs/>
                <w:color w:val="auto"/>
                <w:sz w:val="24"/>
                <w:szCs w:val="24"/>
                <w:highlight w:val="none"/>
              </w:rPr>
              <w:t>，</w:t>
            </w:r>
            <w:bookmarkStart w:id="60" w:name="OLE_LINK40"/>
            <w:bookmarkStart w:id="61" w:name="OLE_LINK39"/>
            <w:r>
              <w:rPr>
                <w:rFonts w:hint="eastAsia" w:hAnsi="宋体"/>
                <w:bCs/>
                <w:color w:val="auto"/>
                <w:sz w:val="24"/>
                <w:szCs w:val="24"/>
                <w:highlight w:val="none"/>
              </w:rPr>
              <w:t>有针对性解释说明：</w:t>
            </w:r>
            <w:r>
              <w:rPr>
                <w:rFonts w:hAnsi="宋体"/>
                <w:bCs/>
                <w:color w:val="auto"/>
                <w:sz w:val="24"/>
                <w:szCs w:val="24"/>
                <w:highlight w:val="none"/>
              </w:rPr>
              <w:t>6</w:t>
            </w:r>
            <w:r>
              <w:rPr>
                <w:rFonts w:hint="eastAsia" w:hAnsi="宋体"/>
                <w:bCs/>
                <w:color w:val="auto"/>
                <w:sz w:val="24"/>
                <w:szCs w:val="24"/>
                <w:highlight w:val="none"/>
              </w:rPr>
              <w:t>分；提供的</w:t>
            </w:r>
            <w:r>
              <w:rPr>
                <w:rFonts w:hint="eastAsia" w:hAnsi="宋体" w:cs="宋体"/>
                <w:color w:val="auto"/>
                <w:sz w:val="24"/>
                <w:szCs w:val="24"/>
                <w:highlight w:val="none"/>
              </w:rPr>
              <w:t>制度</w:t>
            </w:r>
            <w:r>
              <w:rPr>
                <w:rFonts w:hint="eastAsia" w:hAnsi="宋体"/>
                <w:bCs/>
                <w:color w:val="auto"/>
                <w:sz w:val="24"/>
                <w:szCs w:val="24"/>
                <w:highlight w:val="none"/>
              </w:rPr>
              <w:t>基本全面，有针对性解释说明：</w:t>
            </w:r>
            <w:r>
              <w:rPr>
                <w:rFonts w:hAnsi="宋体"/>
                <w:bCs/>
                <w:color w:val="auto"/>
                <w:sz w:val="24"/>
                <w:szCs w:val="24"/>
                <w:highlight w:val="none"/>
              </w:rPr>
              <w:t>5</w:t>
            </w:r>
            <w:r>
              <w:rPr>
                <w:rFonts w:hint="eastAsia" w:hAnsi="宋体"/>
                <w:bCs/>
                <w:color w:val="auto"/>
                <w:sz w:val="24"/>
                <w:szCs w:val="24"/>
                <w:highlight w:val="none"/>
              </w:rPr>
              <w:t>分；提供的</w:t>
            </w:r>
            <w:r>
              <w:rPr>
                <w:rFonts w:hint="eastAsia" w:hAnsi="宋体" w:cs="宋体"/>
                <w:color w:val="auto"/>
                <w:sz w:val="24"/>
                <w:szCs w:val="24"/>
                <w:highlight w:val="none"/>
              </w:rPr>
              <w:t>制度</w:t>
            </w:r>
            <w:r>
              <w:rPr>
                <w:rFonts w:hint="eastAsia" w:hAnsi="宋体"/>
                <w:bCs/>
                <w:color w:val="auto"/>
                <w:sz w:val="24"/>
                <w:szCs w:val="24"/>
                <w:highlight w:val="none"/>
              </w:rPr>
              <w:t>不够全面，有针对性有解释说明：</w:t>
            </w:r>
            <w:r>
              <w:rPr>
                <w:rFonts w:hAnsi="宋体"/>
                <w:bCs/>
                <w:color w:val="auto"/>
                <w:sz w:val="24"/>
                <w:szCs w:val="24"/>
                <w:highlight w:val="none"/>
              </w:rPr>
              <w:t>4</w:t>
            </w:r>
            <w:r>
              <w:rPr>
                <w:rFonts w:hint="eastAsia" w:hAnsi="宋体"/>
                <w:bCs/>
                <w:color w:val="auto"/>
                <w:sz w:val="24"/>
                <w:szCs w:val="24"/>
                <w:highlight w:val="none"/>
              </w:rPr>
              <w:t>分；提供的</w:t>
            </w:r>
            <w:r>
              <w:rPr>
                <w:rFonts w:hint="eastAsia" w:hAnsi="宋体" w:cs="宋体"/>
                <w:color w:val="auto"/>
                <w:sz w:val="24"/>
                <w:szCs w:val="24"/>
                <w:highlight w:val="none"/>
              </w:rPr>
              <w:t>制度</w:t>
            </w:r>
            <w:r>
              <w:rPr>
                <w:rFonts w:hint="eastAsia" w:hAnsi="宋体"/>
                <w:bCs/>
                <w:color w:val="auto"/>
                <w:sz w:val="24"/>
                <w:szCs w:val="24"/>
                <w:highlight w:val="none"/>
              </w:rPr>
              <w:t>不全面，有解释说明：</w:t>
            </w:r>
            <w:r>
              <w:rPr>
                <w:rFonts w:hAnsi="宋体"/>
                <w:bCs/>
                <w:color w:val="auto"/>
                <w:sz w:val="24"/>
                <w:szCs w:val="24"/>
                <w:highlight w:val="none"/>
              </w:rPr>
              <w:t>3</w:t>
            </w:r>
            <w:r>
              <w:rPr>
                <w:rFonts w:hint="eastAsia" w:hAnsi="宋体"/>
                <w:bCs/>
                <w:color w:val="auto"/>
                <w:sz w:val="24"/>
                <w:szCs w:val="24"/>
                <w:highlight w:val="none"/>
              </w:rPr>
              <w:t>分；提供的</w:t>
            </w:r>
            <w:r>
              <w:rPr>
                <w:rFonts w:hint="eastAsia" w:hAnsi="宋体" w:cs="宋体"/>
                <w:color w:val="auto"/>
                <w:sz w:val="24"/>
                <w:szCs w:val="24"/>
                <w:highlight w:val="none"/>
              </w:rPr>
              <w:t>制度</w:t>
            </w:r>
            <w:r>
              <w:rPr>
                <w:rFonts w:hint="eastAsia" w:hAnsi="宋体"/>
                <w:bCs/>
                <w:color w:val="auto"/>
                <w:sz w:val="24"/>
                <w:szCs w:val="24"/>
                <w:highlight w:val="none"/>
              </w:rPr>
              <w:t>不全面，没有解释说明：</w:t>
            </w:r>
            <w:r>
              <w:rPr>
                <w:rFonts w:hAnsi="宋体"/>
                <w:bCs/>
                <w:color w:val="auto"/>
                <w:sz w:val="24"/>
                <w:szCs w:val="24"/>
                <w:highlight w:val="none"/>
              </w:rPr>
              <w:t>1</w:t>
            </w:r>
            <w:r>
              <w:rPr>
                <w:rFonts w:hint="eastAsia" w:hAnsi="宋体"/>
                <w:bCs/>
                <w:color w:val="auto"/>
                <w:sz w:val="24"/>
                <w:szCs w:val="24"/>
                <w:highlight w:val="none"/>
              </w:rPr>
              <w:t>分；未提供不得分。</w:t>
            </w:r>
            <w:bookmarkEnd w:id="60"/>
            <w:bookmarkEnd w:id="61"/>
          </w:p>
        </w:tc>
        <w:tc>
          <w:tcPr>
            <w:tcW w:w="8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left="0" w:leftChars="0"/>
              <w:jc w:val="center"/>
              <w:rPr>
                <w:rFonts w:ascii="Times New Roman" w:hAnsi="宋体" w:cs="宋体"/>
                <w:color w:val="auto"/>
                <w:kern w:val="0"/>
                <w:sz w:val="24"/>
                <w:highlight w:val="none"/>
              </w:rPr>
            </w:pPr>
            <w:r>
              <w:rPr>
                <w:rFonts w:ascii="Times New Roman" w:hAnsi="宋体" w:cs="宋体"/>
                <w:color w:val="auto"/>
                <w:kern w:val="0"/>
                <w:sz w:val="24"/>
                <w:highlight w:val="none"/>
              </w:rPr>
              <w:t>6</w:t>
            </w:r>
            <w:r>
              <w:rPr>
                <w:rFonts w:hint="eastAsia" w:ascii="Times New Roman" w:hAnsi="宋体" w:cs="宋体"/>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bookmarkStart w:id="62" w:name="OLE_LINK65"/>
            <w:bookmarkStart w:id="63" w:name="OLE_LINK66"/>
            <w:r>
              <w:rPr>
                <w:rFonts w:hint="eastAsia" w:hAnsi="宋体"/>
                <w:bCs/>
                <w:color w:val="auto"/>
                <w:sz w:val="24"/>
                <w:szCs w:val="24"/>
                <w:highlight w:val="none"/>
              </w:rPr>
              <w:t>质量保证</w:t>
            </w:r>
            <w:bookmarkStart w:id="64" w:name="OLE_LINK45"/>
            <w:bookmarkStart w:id="65" w:name="OLE_LINK46"/>
            <w:r>
              <w:rPr>
                <w:rFonts w:hint="eastAsia" w:hAnsi="宋体"/>
                <w:bCs/>
                <w:color w:val="auto"/>
                <w:sz w:val="24"/>
                <w:szCs w:val="24"/>
                <w:highlight w:val="none"/>
              </w:rPr>
              <w:t>措施</w:t>
            </w:r>
            <w:bookmarkEnd w:id="62"/>
            <w:bookmarkEnd w:id="63"/>
            <w:bookmarkEnd w:id="64"/>
            <w:bookmarkEnd w:id="65"/>
          </w:p>
        </w:tc>
        <w:tc>
          <w:tcPr>
            <w:tcW w:w="7938" w:type="dxa"/>
            <w:tcBorders>
              <w:top w:val="single" w:color="auto" w:sz="4" w:space="0"/>
              <w:left w:val="single" w:color="auto" w:sz="4" w:space="0"/>
              <w:bottom w:val="single" w:color="auto" w:sz="4" w:space="0"/>
              <w:right w:val="single" w:color="auto" w:sz="4" w:space="0"/>
            </w:tcBorders>
          </w:tcPr>
          <w:p>
            <w:pPr>
              <w:pStyle w:val="2"/>
              <w:spacing w:beforeLines="50" w:afterLines="50" w:line="360" w:lineRule="auto"/>
              <w:ind w:left="0" w:leftChars="0"/>
              <w:jc w:val="left"/>
              <w:rPr>
                <w:rFonts w:hAnsi="宋体"/>
                <w:bCs/>
                <w:color w:val="auto"/>
                <w:sz w:val="24"/>
                <w:szCs w:val="24"/>
                <w:highlight w:val="none"/>
              </w:rPr>
            </w:pPr>
            <w:r>
              <w:rPr>
                <w:rFonts w:hint="eastAsia" w:hAnsi="宋体" w:cs="宋体"/>
                <w:color w:val="auto"/>
                <w:sz w:val="24"/>
                <w:highlight w:val="none"/>
              </w:rPr>
              <w:t>有明确的服务质量保证、服务保障措施，质量保证措施合理可行、执行有保障、内容齐全、表述准确，措施科学有效</w:t>
            </w:r>
            <w:r>
              <w:rPr>
                <w:rFonts w:hint="eastAsia" w:hAnsi="宋体"/>
                <w:bCs/>
                <w:color w:val="auto"/>
                <w:sz w:val="24"/>
                <w:szCs w:val="24"/>
                <w:highlight w:val="none"/>
              </w:rPr>
              <w:t>，有针对性解释说明：</w:t>
            </w:r>
            <w:r>
              <w:rPr>
                <w:rFonts w:hAnsi="宋体"/>
                <w:bCs/>
                <w:color w:val="auto"/>
                <w:sz w:val="24"/>
                <w:szCs w:val="24"/>
                <w:highlight w:val="none"/>
              </w:rPr>
              <w:t>6</w:t>
            </w:r>
            <w:r>
              <w:rPr>
                <w:rFonts w:hint="eastAsia" w:hAnsi="宋体"/>
                <w:bCs/>
                <w:color w:val="auto"/>
                <w:sz w:val="24"/>
                <w:szCs w:val="24"/>
                <w:highlight w:val="none"/>
              </w:rPr>
              <w:t>分；提供的措施基本全面，有针对性解释说明：</w:t>
            </w:r>
            <w:r>
              <w:rPr>
                <w:rFonts w:hAnsi="宋体"/>
                <w:bCs/>
                <w:color w:val="auto"/>
                <w:sz w:val="24"/>
                <w:szCs w:val="24"/>
                <w:highlight w:val="none"/>
              </w:rPr>
              <w:t>5</w:t>
            </w:r>
            <w:r>
              <w:rPr>
                <w:rFonts w:hint="eastAsia" w:hAnsi="宋体"/>
                <w:bCs/>
                <w:color w:val="auto"/>
                <w:sz w:val="24"/>
                <w:szCs w:val="24"/>
                <w:highlight w:val="none"/>
              </w:rPr>
              <w:t>分；提供的措施不够全面，有针对性有解释说明：</w:t>
            </w:r>
            <w:r>
              <w:rPr>
                <w:rFonts w:hAnsi="宋体"/>
                <w:bCs/>
                <w:color w:val="auto"/>
                <w:sz w:val="24"/>
                <w:szCs w:val="24"/>
                <w:highlight w:val="none"/>
              </w:rPr>
              <w:t>4</w:t>
            </w:r>
            <w:r>
              <w:rPr>
                <w:rFonts w:hint="eastAsia" w:hAnsi="宋体"/>
                <w:bCs/>
                <w:color w:val="auto"/>
                <w:sz w:val="24"/>
                <w:szCs w:val="24"/>
                <w:highlight w:val="none"/>
              </w:rPr>
              <w:t>分；提供的措施不全面，有解释说明：</w:t>
            </w:r>
            <w:r>
              <w:rPr>
                <w:rFonts w:hAnsi="宋体"/>
                <w:bCs/>
                <w:color w:val="auto"/>
                <w:sz w:val="24"/>
                <w:szCs w:val="24"/>
                <w:highlight w:val="none"/>
              </w:rPr>
              <w:t>3</w:t>
            </w:r>
            <w:r>
              <w:rPr>
                <w:rFonts w:hint="eastAsia" w:hAnsi="宋体"/>
                <w:bCs/>
                <w:color w:val="auto"/>
                <w:sz w:val="24"/>
                <w:szCs w:val="24"/>
                <w:highlight w:val="none"/>
              </w:rPr>
              <w:t>分；提供的措施不全面，没有解释说明：</w:t>
            </w:r>
            <w:r>
              <w:rPr>
                <w:rFonts w:hAnsi="宋体"/>
                <w:bCs/>
                <w:color w:val="auto"/>
                <w:sz w:val="24"/>
                <w:szCs w:val="24"/>
                <w:highlight w:val="none"/>
              </w:rPr>
              <w:t>1</w:t>
            </w:r>
            <w:r>
              <w:rPr>
                <w:rFonts w:hint="eastAsia" w:hAnsi="宋体"/>
                <w:bCs/>
                <w:color w:val="auto"/>
                <w:sz w:val="24"/>
                <w:szCs w:val="24"/>
                <w:highlight w:val="none"/>
              </w:rPr>
              <w:t>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应急预案</w:t>
            </w:r>
          </w:p>
        </w:tc>
        <w:tc>
          <w:tcPr>
            <w:tcW w:w="7938"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针对本项目的应急预案包括但不限于临时突发性、特殊性、急件等服务项目，阐述内容切合本项目实施的情况</w:t>
            </w:r>
            <w:bookmarkStart w:id="66" w:name="OLE_LINK33"/>
            <w:bookmarkStart w:id="67" w:name="OLE_LINK32"/>
            <w:r>
              <w:rPr>
                <w:rFonts w:hint="eastAsia" w:hAnsi="宋体"/>
                <w:bCs/>
                <w:color w:val="auto"/>
                <w:sz w:val="24"/>
                <w:szCs w:val="24"/>
                <w:highlight w:val="none"/>
              </w:rPr>
              <w:t>，有针对性解释说明：</w:t>
            </w:r>
            <w:r>
              <w:rPr>
                <w:rFonts w:hAnsi="宋体"/>
                <w:bCs/>
                <w:color w:val="auto"/>
                <w:sz w:val="24"/>
                <w:szCs w:val="24"/>
                <w:highlight w:val="none"/>
              </w:rPr>
              <w:t>6</w:t>
            </w:r>
            <w:r>
              <w:rPr>
                <w:rFonts w:hint="eastAsia" w:hAnsi="宋体"/>
                <w:bCs/>
                <w:color w:val="auto"/>
                <w:sz w:val="24"/>
                <w:szCs w:val="24"/>
                <w:highlight w:val="none"/>
              </w:rPr>
              <w:t>分；提供的方案基本全面，有针对性解释说明：</w:t>
            </w:r>
            <w:r>
              <w:rPr>
                <w:rFonts w:hAnsi="宋体"/>
                <w:bCs/>
                <w:color w:val="auto"/>
                <w:sz w:val="24"/>
                <w:szCs w:val="24"/>
                <w:highlight w:val="none"/>
              </w:rPr>
              <w:t>5</w:t>
            </w:r>
            <w:r>
              <w:rPr>
                <w:rFonts w:hint="eastAsia" w:hAnsi="宋体"/>
                <w:bCs/>
                <w:color w:val="auto"/>
                <w:sz w:val="24"/>
                <w:szCs w:val="24"/>
                <w:highlight w:val="none"/>
              </w:rPr>
              <w:t>分；提供的方案不够全面，有针对性有解释说明：</w:t>
            </w:r>
            <w:r>
              <w:rPr>
                <w:rFonts w:hAnsi="宋体"/>
                <w:bCs/>
                <w:color w:val="auto"/>
                <w:sz w:val="24"/>
                <w:szCs w:val="24"/>
                <w:highlight w:val="none"/>
              </w:rPr>
              <w:t>4</w:t>
            </w:r>
            <w:r>
              <w:rPr>
                <w:rFonts w:hint="eastAsia" w:hAnsi="宋体"/>
                <w:bCs/>
                <w:color w:val="auto"/>
                <w:sz w:val="24"/>
                <w:szCs w:val="24"/>
                <w:highlight w:val="none"/>
              </w:rPr>
              <w:t>分；提供的方案不全面，有解释说明：</w:t>
            </w:r>
            <w:r>
              <w:rPr>
                <w:rFonts w:hAnsi="宋体"/>
                <w:bCs/>
                <w:color w:val="auto"/>
                <w:sz w:val="24"/>
                <w:szCs w:val="24"/>
                <w:highlight w:val="none"/>
              </w:rPr>
              <w:t>3</w:t>
            </w:r>
            <w:r>
              <w:rPr>
                <w:rFonts w:hint="eastAsia" w:hAnsi="宋体"/>
                <w:bCs/>
                <w:color w:val="auto"/>
                <w:sz w:val="24"/>
                <w:szCs w:val="24"/>
                <w:highlight w:val="none"/>
              </w:rPr>
              <w:t>分；提供的方案不全面，没有解释说明：</w:t>
            </w:r>
            <w:r>
              <w:rPr>
                <w:rFonts w:hAnsi="宋体"/>
                <w:bCs/>
                <w:color w:val="auto"/>
                <w:sz w:val="24"/>
                <w:szCs w:val="24"/>
                <w:highlight w:val="none"/>
              </w:rPr>
              <w:t>1</w:t>
            </w:r>
            <w:r>
              <w:rPr>
                <w:rFonts w:hint="eastAsia" w:hAnsi="宋体"/>
                <w:bCs/>
                <w:color w:val="auto"/>
                <w:sz w:val="24"/>
                <w:szCs w:val="24"/>
                <w:highlight w:val="none"/>
              </w:rPr>
              <w:t>分；未提供不得分。</w:t>
            </w:r>
            <w:bookmarkEnd w:id="66"/>
            <w:bookmarkEnd w:id="67"/>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center"/>
              <w:rPr>
                <w:rFonts w:hAnsi="宋体" w:cs="宋体"/>
                <w:color w:val="auto"/>
                <w:sz w:val="24"/>
                <w:szCs w:val="24"/>
                <w:highlight w:val="none"/>
              </w:rPr>
            </w:pPr>
            <w:r>
              <w:rPr>
                <w:rFonts w:hint="eastAsia" w:ascii="宋体" w:hAnsi="宋体"/>
                <w:color w:val="auto"/>
                <w:sz w:val="24"/>
                <w:szCs w:val="24"/>
                <w:highlight w:val="none"/>
              </w:rPr>
              <w:t>拟投入本项目人员</w:t>
            </w:r>
          </w:p>
        </w:tc>
        <w:tc>
          <w:tcPr>
            <w:tcW w:w="7938"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拟投入本项目人员：</w:t>
            </w:r>
          </w:p>
          <w:p>
            <w:pPr>
              <w:pStyle w:val="2"/>
              <w:spacing w:beforeLines="50" w:afterLines="50" w:line="360" w:lineRule="auto"/>
              <w:ind w:left="0" w:leftChars="0"/>
              <w:jc w:val="left"/>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①</w:t>
            </w:r>
            <w:r>
              <w:rPr>
                <w:rFonts w:hint="eastAsia" w:cs="宋体" w:asciiTheme="minorEastAsia" w:hAnsiTheme="minorEastAsia" w:eastAsiaTheme="minorEastAsia"/>
                <w:color w:val="auto"/>
                <w:sz w:val="24"/>
                <w:szCs w:val="24"/>
                <w:highlight w:val="none"/>
              </w:rPr>
              <w:t>项目经理具有大专及以上学历的得1分，具有人社部门颁发中级工程师或高级技师及以上的得1分，项目经理需提供三年及以上三甲医院管理经验的得1分；</w:t>
            </w:r>
          </w:p>
          <w:p>
            <w:pPr>
              <w:pStyle w:val="2"/>
              <w:spacing w:beforeLines="50" w:afterLines="50" w:line="360" w:lineRule="auto"/>
              <w:ind w:left="0" w:leftChars="0"/>
              <w:jc w:val="left"/>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②</w:t>
            </w:r>
            <w:r>
              <w:rPr>
                <w:rFonts w:hint="eastAsia" w:cs="宋体" w:asciiTheme="minorEastAsia" w:hAnsiTheme="minorEastAsia" w:eastAsiaTheme="minorEastAsia"/>
                <w:color w:val="auto"/>
                <w:sz w:val="24"/>
                <w:szCs w:val="24"/>
                <w:highlight w:val="none"/>
              </w:rPr>
              <w:t>具有有效期内的高压电工作业证6个及以上的得2分；具有有效期内的低压电工作业证30个及以上的得2分；</w:t>
            </w:r>
          </w:p>
          <w:p>
            <w:pPr>
              <w:pStyle w:val="2"/>
              <w:spacing w:beforeLines="50" w:afterLines="50" w:line="360" w:lineRule="auto"/>
              <w:ind w:left="0" w:leftChars="0"/>
              <w:jc w:val="left"/>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③</w:t>
            </w:r>
            <w:r>
              <w:rPr>
                <w:rFonts w:hint="eastAsia" w:cs="宋体" w:asciiTheme="minorEastAsia" w:hAnsiTheme="minorEastAsia" w:eastAsiaTheme="minorEastAsia"/>
                <w:color w:val="auto"/>
                <w:sz w:val="24"/>
                <w:szCs w:val="24"/>
                <w:highlight w:val="none"/>
              </w:rPr>
              <w:t>具有有效期内的特种设备安全管理人员证或特种设备安全管理和作业人员证4个及以上的得2分；</w:t>
            </w:r>
          </w:p>
          <w:p>
            <w:pPr>
              <w:pStyle w:val="2"/>
              <w:spacing w:beforeLines="50" w:afterLines="50" w:line="360" w:lineRule="auto"/>
              <w:ind w:left="0" w:leftChars="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④具有有效期内的制冷和空调作业证2个及以上的得1分；</w:t>
            </w:r>
          </w:p>
          <w:p>
            <w:pPr>
              <w:pStyle w:val="2"/>
              <w:spacing w:beforeLines="50" w:afterLines="50" w:line="360" w:lineRule="auto"/>
              <w:ind w:left="0" w:leftChars="0"/>
              <w:jc w:val="left"/>
              <w:rPr>
                <w:rFonts w:ascii="宋体" w:hAnsi="宋体"/>
                <w:color w:val="auto"/>
                <w:sz w:val="24"/>
                <w:szCs w:val="24"/>
                <w:highlight w:val="none"/>
              </w:rPr>
            </w:pPr>
            <w:r>
              <w:rPr>
                <w:rFonts w:hint="eastAsia" w:cs="宋体" w:asciiTheme="minorEastAsia" w:hAnsiTheme="minorEastAsia" w:eastAsiaTheme="minorEastAsia"/>
                <w:color w:val="auto"/>
                <w:sz w:val="24"/>
                <w:szCs w:val="24"/>
                <w:highlight w:val="none"/>
              </w:rPr>
              <w:t>（注：以上证书发证单位需各级行政管理部门，提供人员证书及近半年内在本单位社保缴纳证明复印件，未提供不得分）。</w:t>
            </w: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center"/>
              <w:rPr>
                <w:rFonts w:ascii="宋体" w:hAnsi="宋体"/>
                <w:color w:val="auto"/>
                <w:sz w:val="24"/>
                <w:szCs w:val="24"/>
                <w:highlight w:val="none"/>
              </w:rPr>
            </w:pPr>
            <w:bookmarkStart w:id="68" w:name="_Hlk194324194"/>
            <w:r>
              <w:rPr>
                <w:rFonts w:hint="eastAsia" w:ascii="宋体" w:hAnsi="宋体"/>
                <w:color w:val="auto"/>
                <w:sz w:val="24"/>
                <w:szCs w:val="24"/>
                <w:highlight w:val="none"/>
              </w:rPr>
              <w:t>拟投入本项目信息化系统</w:t>
            </w:r>
          </w:p>
        </w:tc>
        <w:tc>
          <w:tcPr>
            <w:tcW w:w="7938"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拟投入本项目的信息化软件管理系统的描述：智能运维管理平台应包含在线报修、业务统计、智能巡检、保养管理、设备管理、人员管理等基本功能。（1）具备在线报修功能：实在可在线报修，工单可以实现流程节点追溯。（2）具备业务统计功能：方便管理者对各班组及班组成员的工作进行考察、考核。（3）智能巡检、保养管理：日常巡检、保养实现在线自动计划派单，巡检人员可在线接受系统派单巡检任务及路线完成日常巡检、保养工作。（4）人员管理：对运维人员信息进行统一管理，为运维提供人员支持等。（5）设备管理：设备信息录入查询、实现设备台账可查可关联。（6）其他管理：满足且有利于工作需要的其他功能等。</w:t>
            </w:r>
          </w:p>
          <w:p>
            <w:pPr>
              <w:pStyle w:val="2"/>
              <w:spacing w:beforeLines="50" w:afterLines="50" w:line="360" w:lineRule="auto"/>
              <w:ind w:left="0" w:leftChars="0"/>
              <w:jc w:val="left"/>
              <w:rPr>
                <w:rFonts w:hAnsi="宋体"/>
                <w:bCs/>
                <w:color w:val="auto"/>
                <w:sz w:val="24"/>
                <w:szCs w:val="24"/>
                <w:highlight w:val="none"/>
              </w:rPr>
            </w:pPr>
            <w:r>
              <w:rPr>
                <w:rFonts w:hint="eastAsia" w:cs="宋体" w:asciiTheme="minorEastAsia" w:hAnsiTheme="minorEastAsia" w:eastAsiaTheme="minorEastAsia"/>
                <w:color w:val="auto"/>
                <w:sz w:val="24"/>
                <w:szCs w:val="24"/>
                <w:highlight w:val="none"/>
              </w:rPr>
              <w:t>按系统解决方案科学合理，有针对性解释说明：</w:t>
            </w:r>
            <w:bookmarkStart w:id="69" w:name="OLE_LINK53"/>
            <w:bookmarkStart w:id="70" w:name="OLE_LINK54"/>
            <w:r>
              <w:rPr>
                <w:rFonts w:hint="eastAsia" w:cs="宋体" w:asciiTheme="minorEastAsia" w:hAnsiTheme="minorEastAsia" w:eastAsiaTheme="minorEastAsia"/>
                <w:color w:val="auto"/>
                <w:sz w:val="24"/>
                <w:szCs w:val="24"/>
                <w:highlight w:val="none"/>
              </w:rPr>
              <w:t>6分；提供的方案基本全面，有针对性解释说明：5分；提供的方案不够全面，有针对性有解释说明：4分；提供的方案不全面，有解释说明：3分；提供的方案不全面，没有解释说明：1分；未提供不得分。</w:t>
            </w:r>
            <w:bookmarkEnd w:id="69"/>
            <w:bookmarkEnd w:id="70"/>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cs="宋体"/>
                <w:color w:val="auto"/>
                <w:sz w:val="24"/>
                <w:szCs w:val="24"/>
                <w:highlight w:val="none"/>
              </w:rPr>
            </w:pPr>
            <w:r>
              <w:rPr>
                <w:rFonts w:hAnsi="宋体" w:cs="宋体"/>
                <w:color w:val="auto"/>
                <w:sz w:val="24"/>
                <w:szCs w:val="24"/>
                <w:highlight w:val="none"/>
              </w:rPr>
              <w:t>6</w:t>
            </w:r>
            <w:r>
              <w:rPr>
                <w:rFonts w:hint="eastAsia" w:hAnsi="宋体" w:cs="宋体"/>
                <w:color w:val="auto"/>
                <w:sz w:val="24"/>
                <w:szCs w:val="24"/>
                <w:highlight w:val="none"/>
              </w:rPr>
              <w:t>分</w:t>
            </w:r>
          </w:p>
        </w:tc>
      </w:tr>
      <w:bookmark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合理化建议</w:t>
            </w:r>
          </w:p>
        </w:tc>
        <w:tc>
          <w:tcPr>
            <w:tcW w:w="7938"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int="eastAsia" w:cs="宋体" w:asciiTheme="minorEastAsia" w:hAnsiTheme="minorEastAsia" w:eastAsiaTheme="minorEastAsia"/>
                <w:color w:val="auto"/>
                <w:sz w:val="24"/>
                <w:szCs w:val="24"/>
                <w:highlight w:val="none"/>
              </w:rPr>
              <w:t>提供能源消耗的现状分析和能源管理思路；节能降耗的实施措施和预计目标成效；方案内容齐全、表述准确的得3-4分；方案基本合理但欠佳的得1-2分；方案存在明显缺陷的得0-1分；未提供不得分。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新宋体" w:hAnsi="新宋体" w:eastAsia="新宋体" w:cs="新宋体"/>
                <w:color w:val="auto"/>
                <w:kern w:val="0"/>
                <w:sz w:val="24"/>
                <w:szCs w:val="20"/>
                <w:highlight w:val="none"/>
              </w:rPr>
            </w:pPr>
            <w:r>
              <w:rPr>
                <w:rFonts w:hint="eastAsia" w:ascii="新宋体" w:hAnsi="新宋体" w:eastAsia="新宋体" w:cs="新宋体"/>
                <w:color w:val="auto"/>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7" w:type="dxa"/>
            <w:gridSpan w:val="3"/>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ascii="宋体" w:hAnsi="宋体" w:cs="宋体"/>
                <w:bCs/>
                <w:color w:val="auto"/>
                <w:sz w:val="24"/>
                <w:highlight w:val="none"/>
              </w:rPr>
            </w:pPr>
            <w:r>
              <w:rPr>
                <w:rFonts w:hint="eastAsia" w:ascii="宋体" w:hAnsi="宋体" w:cs="宋体"/>
                <w:bCs/>
                <w:color w:val="auto"/>
                <w:sz w:val="24"/>
                <w:highlight w:val="none"/>
              </w:rPr>
              <w:t>资信、商务及其他部分</w:t>
            </w: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ascii="宋体" w:hAnsi="宋体" w:cs="宋体"/>
                <w:bCs/>
                <w:color w:val="auto"/>
                <w:sz w:val="24"/>
                <w:highlight w:val="none"/>
              </w:rPr>
            </w:pPr>
            <w:r>
              <w:rPr>
                <w:rFonts w:hint="eastAsia" w:ascii="宋体" w:hAnsi="宋体" w:cs="宋体"/>
                <w:bCs/>
                <w:color w:val="auto"/>
                <w:sz w:val="24"/>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企业业绩</w:t>
            </w:r>
          </w:p>
        </w:tc>
        <w:tc>
          <w:tcPr>
            <w:tcW w:w="8080" w:type="dxa"/>
            <w:gridSpan w:val="2"/>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投标人</w:t>
            </w:r>
            <w:r>
              <w:rPr>
                <w:rFonts w:hAnsi="宋体"/>
                <w:bCs/>
                <w:color w:val="auto"/>
                <w:sz w:val="24"/>
                <w:szCs w:val="24"/>
                <w:highlight w:val="none"/>
              </w:rPr>
              <w:t>2022</w:t>
            </w:r>
            <w:r>
              <w:rPr>
                <w:rFonts w:hint="eastAsia" w:hAnsi="宋体"/>
                <w:bCs/>
                <w:color w:val="auto"/>
                <w:sz w:val="24"/>
                <w:szCs w:val="24"/>
                <w:highlight w:val="none"/>
              </w:rPr>
              <w:t>年</w:t>
            </w:r>
            <w:r>
              <w:rPr>
                <w:rFonts w:hAnsi="宋体"/>
                <w:bCs/>
                <w:color w:val="auto"/>
                <w:sz w:val="24"/>
                <w:szCs w:val="24"/>
                <w:highlight w:val="none"/>
              </w:rPr>
              <w:t>1</w:t>
            </w:r>
            <w:r>
              <w:rPr>
                <w:rFonts w:hint="eastAsia" w:hAnsi="宋体"/>
                <w:bCs/>
                <w:color w:val="auto"/>
                <w:sz w:val="24"/>
                <w:szCs w:val="24"/>
                <w:highlight w:val="none"/>
              </w:rPr>
              <w:t>月</w:t>
            </w:r>
            <w:r>
              <w:rPr>
                <w:rFonts w:hAnsi="宋体"/>
                <w:bCs/>
                <w:color w:val="auto"/>
                <w:sz w:val="24"/>
                <w:szCs w:val="24"/>
                <w:highlight w:val="none"/>
              </w:rPr>
              <w:t>1</w:t>
            </w:r>
            <w:r>
              <w:rPr>
                <w:rFonts w:hint="eastAsia" w:hAnsi="宋体"/>
                <w:bCs/>
                <w:color w:val="auto"/>
                <w:sz w:val="24"/>
                <w:szCs w:val="24"/>
                <w:highlight w:val="none"/>
              </w:rPr>
              <w:t>日至今（以合同签订时间为准）同类项目业绩，每提供</w:t>
            </w:r>
            <w:r>
              <w:rPr>
                <w:rFonts w:hAnsi="宋体"/>
                <w:bCs/>
                <w:color w:val="auto"/>
                <w:sz w:val="24"/>
                <w:szCs w:val="24"/>
                <w:highlight w:val="none"/>
              </w:rPr>
              <w:t>1</w:t>
            </w:r>
            <w:r>
              <w:rPr>
                <w:rFonts w:hint="eastAsia" w:hAnsi="宋体"/>
                <w:bCs/>
                <w:color w:val="auto"/>
                <w:sz w:val="24"/>
                <w:szCs w:val="24"/>
                <w:highlight w:val="none"/>
              </w:rPr>
              <w:t>个合同的得</w:t>
            </w:r>
            <w:r>
              <w:rPr>
                <w:rFonts w:hAnsi="宋体"/>
                <w:bCs/>
                <w:color w:val="auto"/>
                <w:sz w:val="24"/>
                <w:szCs w:val="24"/>
                <w:highlight w:val="none"/>
              </w:rPr>
              <w:t>1</w:t>
            </w:r>
            <w:r>
              <w:rPr>
                <w:rFonts w:hint="eastAsia" w:hAnsi="宋体"/>
                <w:bCs/>
                <w:color w:val="auto"/>
                <w:sz w:val="24"/>
                <w:szCs w:val="24"/>
                <w:highlight w:val="none"/>
              </w:rPr>
              <w:t>分，最高得</w:t>
            </w:r>
            <w:r>
              <w:rPr>
                <w:rFonts w:hAnsi="宋体"/>
                <w:bCs/>
                <w:color w:val="auto"/>
                <w:sz w:val="24"/>
                <w:szCs w:val="24"/>
                <w:highlight w:val="none"/>
              </w:rPr>
              <w:t>2</w:t>
            </w:r>
            <w:r>
              <w:rPr>
                <w:rFonts w:hint="eastAsia" w:hAnsi="宋体"/>
                <w:bCs/>
                <w:color w:val="auto"/>
                <w:sz w:val="24"/>
                <w:szCs w:val="24"/>
                <w:highlight w:val="none"/>
              </w:rPr>
              <w:t>分，未提供采购项目合同复印件的不得分。</w:t>
            </w: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Ansi="宋体"/>
                <w:bCs/>
                <w:color w:val="auto"/>
                <w:sz w:val="24"/>
                <w:szCs w:val="24"/>
                <w:highlight w:val="none"/>
              </w:rPr>
              <w:t>2</w:t>
            </w:r>
            <w:r>
              <w:rPr>
                <w:rFonts w:hint="eastAsia" w:hAnsi="宋体"/>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权威认证</w:t>
            </w:r>
          </w:p>
        </w:tc>
        <w:tc>
          <w:tcPr>
            <w:tcW w:w="8080" w:type="dxa"/>
            <w:gridSpan w:val="2"/>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投标人具有有效期内的质量管理体系认证证书、环境管理体系认证证书、职业健康安全认证证书的，每项得</w:t>
            </w:r>
            <w:r>
              <w:rPr>
                <w:rFonts w:hAnsi="宋体"/>
                <w:bCs/>
                <w:color w:val="auto"/>
                <w:sz w:val="24"/>
                <w:szCs w:val="24"/>
                <w:highlight w:val="none"/>
              </w:rPr>
              <w:t>1</w:t>
            </w:r>
            <w:r>
              <w:rPr>
                <w:rFonts w:hint="eastAsia" w:hAnsi="宋体"/>
                <w:bCs/>
                <w:color w:val="auto"/>
                <w:sz w:val="24"/>
                <w:szCs w:val="24"/>
                <w:highlight w:val="none"/>
              </w:rPr>
              <w:t>分，最高得</w:t>
            </w:r>
            <w:r>
              <w:rPr>
                <w:rFonts w:hAnsi="宋体"/>
                <w:bCs/>
                <w:color w:val="auto"/>
                <w:sz w:val="24"/>
                <w:szCs w:val="24"/>
                <w:highlight w:val="none"/>
              </w:rPr>
              <w:t>3</w:t>
            </w:r>
            <w:r>
              <w:rPr>
                <w:rFonts w:hint="eastAsia" w:hAnsi="宋体"/>
                <w:bCs/>
                <w:color w:val="auto"/>
                <w:sz w:val="24"/>
                <w:szCs w:val="24"/>
                <w:highlight w:val="none"/>
              </w:rPr>
              <w:t>分。注：提供认证证书复印件及全国认证认可信息公共服务平台网站截图，未提供不得分。</w:t>
            </w: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Ansi="宋体"/>
                <w:bCs/>
                <w:color w:val="auto"/>
                <w:sz w:val="24"/>
                <w:szCs w:val="24"/>
                <w:highlight w:val="none"/>
              </w:rPr>
              <w:t>3</w:t>
            </w:r>
            <w:r>
              <w:rPr>
                <w:rFonts w:hint="eastAsia" w:hAnsi="宋体"/>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服务承诺</w:t>
            </w:r>
          </w:p>
        </w:tc>
        <w:tc>
          <w:tcPr>
            <w:tcW w:w="8080" w:type="dxa"/>
            <w:gridSpan w:val="2"/>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针对本项目的服务方案（包括但不限于服务内容、服务响应时间、其他优惠性承诺等）服务方案完整、可行，落实保障措施和其他优惠承诺等全面周到，有针对性解释说明：有针对性解释说明：</w:t>
            </w:r>
            <w:r>
              <w:rPr>
                <w:rFonts w:hAnsi="宋体"/>
                <w:bCs/>
                <w:color w:val="auto"/>
                <w:sz w:val="24"/>
                <w:highlight w:val="none"/>
              </w:rPr>
              <w:t>6</w:t>
            </w:r>
            <w:r>
              <w:rPr>
                <w:rFonts w:hint="eastAsia" w:hAnsi="宋体"/>
                <w:bCs/>
                <w:color w:val="auto"/>
                <w:sz w:val="24"/>
                <w:highlight w:val="none"/>
              </w:rPr>
              <w:t>分；提供的方案基本全面，有针对性解释说明：</w:t>
            </w:r>
            <w:r>
              <w:rPr>
                <w:rFonts w:hAnsi="宋体"/>
                <w:bCs/>
                <w:color w:val="auto"/>
                <w:sz w:val="24"/>
                <w:highlight w:val="none"/>
              </w:rPr>
              <w:t>5</w:t>
            </w:r>
            <w:r>
              <w:rPr>
                <w:rFonts w:hint="eastAsia" w:hAnsi="宋体"/>
                <w:bCs/>
                <w:color w:val="auto"/>
                <w:sz w:val="24"/>
                <w:highlight w:val="none"/>
              </w:rPr>
              <w:t>分；提供的方案不够全面，有针对性有解释说明：</w:t>
            </w:r>
            <w:r>
              <w:rPr>
                <w:rFonts w:hAnsi="宋体"/>
                <w:bCs/>
                <w:color w:val="auto"/>
                <w:sz w:val="24"/>
                <w:highlight w:val="none"/>
              </w:rPr>
              <w:t>4</w:t>
            </w:r>
            <w:r>
              <w:rPr>
                <w:rFonts w:hint="eastAsia" w:hAnsi="宋体"/>
                <w:bCs/>
                <w:color w:val="auto"/>
                <w:sz w:val="24"/>
                <w:highlight w:val="none"/>
              </w:rPr>
              <w:t>分；提供的方案不全面，有解释说明：</w:t>
            </w:r>
            <w:r>
              <w:rPr>
                <w:rFonts w:hAnsi="宋体"/>
                <w:bCs/>
                <w:color w:val="auto"/>
                <w:sz w:val="24"/>
                <w:highlight w:val="none"/>
              </w:rPr>
              <w:t>3</w:t>
            </w:r>
            <w:r>
              <w:rPr>
                <w:rFonts w:hint="eastAsia" w:hAnsi="宋体"/>
                <w:bCs/>
                <w:color w:val="auto"/>
                <w:sz w:val="24"/>
                <w:highlight w:val="none"/>
              </w:rPr>
              <w:t>分；提供的方案不全面，没有解释说明：</w:t>
            </w:r>
            <w:r>
              <w:rPr>
                <w:rFonts w:hAnsi="宋体"/>
                <w:bCs/>
                <w:color w:val="auto"/>
                <w:sz w:val="24"/>
                <w:highlight w:val="none"/>
              </w:rPr>
              <w:t>1</w:t>
            </w:r>
            <w:r>
              <w:rPr>
                <w:rFonts w:hint="eastAsia" w:hAnsi="宋体"/>
                <w:bCs/>
                <w:color w:val="auto"/>
                <w:sz w:val="24"/>
                <w:highlight w:val="none"/>
              </w:rPr>
              <w:t>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Ansi="宋体"/>
                <w:bCs/>
                <w:color w:val="auto"/>
                <w:sz w:val="24"/>
                <w:szCs w:val="24"/>
                <w:highlight w:val="none"/>
              </w:rPr>
              <w:t>6</w:t>
            </w:r>
            <w:r>
              <w:rPr>
                <w:rFonts w:hint="eastAsia" w:hAnsi="宋体"/>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培训方案</w:t>
            </w:r>
          </w:p>
        </w:tc>
        <w:tc>
          <w:tcPr>
            <w:tcW w:w="8080" w:type="dxa"/>
            <w:gridSpan w:val="2"/>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r>
              <w:rPr>
                <w:rFonts w:hint="eastAsia" w:cs="宋体" w:asciiTheme="minorEastAsia" w:hAnsiTheme="minorEastAsia" w:eastAsiaTheme="minorEastAsia"/>
                <w:color w:val="auto"/>
                <w:sz w:val="24"/>
                <w:szCs w:val="24"/>
                <w:highlight w:val="none"/>
              </w:rPr>
              <w:t>培训计划和承诺完善且有针对性，能与本项目需求贴合且有详细的培训计划，培训方案（培训计划、地点、组织、人员配备、资料等）内容完整、科学合理、切实可行的，有针对性解释说明：5-6分； 提供的方案基本全面，有针对性解释说明3-4分；提供的方案不够全面，有针对性有解释说明：2-3分；提供的方案不全面：0-1分；未提供不得分。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bCs/>
                <w:color w:val="auto"/>
                <w:sz w:val="24"/>
                <w:szCs w:val="24"/>
                <w:highlight w:val="none"/>
              </w:rPr>
            </w:pPr>
            <w:bookmarkStart w:id="71" w:name="OLE_LINK51"/>
            <w:bookmarkStart w:id="72" w:name="OLE_LINK52"/>
            <w:r>
              <w:rPr>
                <w:rFonts w:hint="eastAsia" w:hAnsi="宋体"/>
                <w:bCs/>
                <w:color w:val="auto"/>
                <w:sz w:val="24"/>
                <w:szCs w:val="24"/>
                <w:highlight w:val="none"/>
              </w:rPr>
              <w:t>6分</w:t>
            </w:r>
            <w:bookmarkEnd w:id="71"/>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响应时间</w:t>
            </w:r>
          </w:p>
        </w:tc>
        <w:tc>
          <w:tcPr>
            <w:tcW w:w="8080" w:type="dxa"/>
            <w:gridSpan w:val="2"/>
            <w:tcBorders>
              <w:top w:val="single" w:color="auto" w:sz="4" w:space="0"/>
              <w:left w:val="single" w:color="auto" w:sz="4" w:space="0"/>
              <w:bottom w:val="single" w:color="auto" w:sz="4" w:space="0"/>
              <w:right w:val="single" w:color="auto" w:sz="4" w:space="0"/>
            </w:tcBorders>
            <w:vAlign w:val="center"/>
          </w:tcPr>
          <w:p>
            <w:pPr>
              <w:spacing w:beforeLines="50" w:afterLines="50" w:line="400" w:lineRule="exact"/>
              <w:rPr>
                <w:rFonts w:hAnsi="宋体" w:cs="宋体"/>
                <w:color w:val="auto"/>
                <w:kern w:val="0"/>
                <w:sz w:val="24"/>
                <w:highlight w:val="none"/>
              </w:rPr>
            </w:pPr>
            <w:r>
              <w:rPr>
                <w:rFonts w:hint="eastAsia" w:ascii="宋体" w:hAnsi="宋体"/>
                <w:color w:val="auto"/>
                <w:sz w:val="24"/>
                <w:highlight w:val="none"/>
              </w:rPr>
              <w:t>接到采购人通知（电话、电传等）后2小时现场响应，每减少 0.5 小时加 1 分，最高得3分。</w:t>
            </w: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beforeLines="50" w:afterLines="50" w:line="360" w:lineRule="auto"/>
              <w:ind w:left="0" w:leftChars="0"/>
              <w:jc w:val="left"/>
              <w:rPr>
                <w:rFonts w:hAnsi="宋体" w:cs="宋体"/>
                <w:color w:val="auto"/>
                <w:sz w:val="24"/>
                <w:szCs w:val="24"/>
                <w:highlight w:val="none"/>
              </w:rPr>
            </w:pPr>
            <w:r>
              <w:rPr>
                <w:rFonts w:hAnsi="宋体"/>
                <w:bCs/>
                <w:color w:val="auto"/>
                <w:sz w:val="24"/>
                <w:szCs w:val="24"/>
                <w:highlight w:val="none"/>
              </w:rPr>
              <w:t>3</w:t>
            </w:r>
            <w:r>
              <w:rPr>
                <w:rFonts w:hint="eastAsia" w:hAnsi="宋体"/>
                <w:bCs/>
                <w:color w:val="auto"/>
                <w:sz w:val="24"/>
                <w:szCs w:val="24"/>
                <w:highlight w:val="none"/>
              </w:rPr>
              <w:t>分</w:t>
            </w:r>
          </w:p>
        </w:tc>
      </w:tr>
    </w:tbl>
    <w:p>
      <w:pPr>
        <w:spacing w:line="360" w:lineRule="auto"/>
        <w:ind w:left="9094" w:leftChars="200" w:hanging="8674" w:hangingChars="3600"/>
        <w:jc w:val="left"/>
        <w:rPr>
          <w:rFonts w:ascii="宋体" w:hAnsi="宋体"/>
          <w:b/>
          <w:bCs/>
          <w:color w:val="auto"/>
          <w:sz w:val="24"/>
          <w:highlight w:val="none"/>
        </w:rPr>
      </w:pPr>
      <w:r>
        <w:rPr>
          <w:rFonts w:hint="eastAsia" w:ascii="宋体" w:hAnsi="宋体"/>
          <w:b/>
          <w:bCs/>
          <w:color w:val="auto"/>
          <w:sz w:val="24"/>
          <w:highlight w:val="none"/>
        </w:rPr>
        <w:t>（三）技术、商务、资信及其他分的计算</w:t>
      </w:r>
    </w:p>
    <w:p>
      <w:pPr>
        <w:spacing w:beforeLines="50" w:afterLines="50" w:line="360" w:lineRule="auto"/>
        <w:ind w:firstLine="480" w:firstLineChars="200"/>
        <w:rPr>
          <w:color w:val="auto"/>
          <w:highlight w:val="none"/>
        </w:rPr>
      </w:pPr>
      <w:r>
        <w:rPr>
          <w:rFonts w:hint="eastAsia" w:ascii="宋体" w:hAnsi="宋体"/>
          <w:color w:val="auto"/>
          <w:sz w:val="24"/>
          <w:highlight w:val="none"/>
        </w:rPr>
        <w:t>技术、商务、资信及其他分按照评标委员会成员的独立评分结果汇总数的算术平均分计算，计算公式为：技术商务资信分=（评标委员会所有成员评分合计数）/（评标委员会组成人员数）</w:t>
      </w:r>
    </w:p>
    <w:bookmarkEnd w:id="44"/>
    <w:bookmarkEnd w:id="45"/>
    <w:p>
      <w:pPr>
        <w:pStyle w:val="2"/>
        <w:rPr>
          <w:color w:val="auto"/>
          <w:highlight w:val="none"/>
        </w:rPr>
      </w:pPr>
      <w:r>
        <w:rPr>
          <w:color w:val="auto"/>
          <w:highlight w:val="none"/>
        </w:rPr>
        <w:br w:type="page"/>
      </w:r>
    </w:p>
    <w:p>
      <w:pPr>
        <w:adjustRightInd w:val="0"/>
        <w:spacing w:line="360" w:lineRule="auto"/>
        <w:jc w:val="center"/>
        <w:rPr>
          <w:rFonts w:ascii="黑体" w:hAnsi="宋体" w:eastAsia="黑体"/>
          <w:bCs/>
          <w:color w:val="auto"/>
          <w:sz w:val="30"/>
          <w:szCs w:val="30"/>
          <w:highlight w:val="none"/>
        </w:rPr>
      </w:pPr>
      <w:r>
        <w:rPr>
          <w:rFonts w:hint="eastAsia" w:ascii="黑体" w:hAnsi="宋体" w:eastAsia="黑体"/>
          <w:color w:val="auto"/>
          <w:sz w:val="30"/>
          <w:szCs w:val="30"/>
          <w:highlight w:val="none"/>
        </w:rPr>
        <w:t xml:space="preserve">第五章  </w:t>
      </w:r>
      <w:r>
        <w:rPr>
          <w:rFonts w:hint="eastAsia" w:ascii="黑体" w:hAnsi="宋体" w:eastAsia="黑体"/>
          <w:bCs/>
          <w:color w:val="auto"/>
          <w:sz w:val="30"/>
          <w:szCs w:val="30"/>
          <w:highlight w:val="none"/>
        </w:rPr>
        <w:t xml:space="preserve">合同主要条款（供参考）                           </w:t>
      </w:r>
    </w:p>
    <w:p>
      <w:pPr>
        <w:snapToGrid w:val="0"/>
        <w:spacing w:line="360" w:lineRule="auto"/>
        <w:jc w:val="center"/>
        <w:outlineLvl w:val="0"/>
        <w:rPr>
          <w:rFonts w:ascii="宋体" w:hAnsi="宋体"/>
          <w:b/>
          <w:bCs/>
          <w:color w:val="auto"/>
          <w:sz w:val="30"/>
          <w:szCs w:val="20"/>
          <w:highlight w:val="none"/>
        </w:rPr>
      </w:pPr>
      <w:r>
        <w:rPr>
          <w:rFonts w:hint="eastAsia" w:ascii="宋体" w:hAnsi="宋体"/>
          <w:b/>
          <w:color w:val="auto"/>
          <w:sz w:val="30"/>
          <w:highlight w:val="none"/>
        </w:rPr>
        <w:t>浙江省政府采购合同指引（货物）</w:t>
      </w:r>
    </w:p>
    <w:p>
      <w:pPr>
        <w:pStyle w:val="13"/>
        <w:snapToGrid w:val="0"/>
        <w:spacing w:beforeLines="0" w:afterLines="0" w:line="360" w:lineRule="auto"/>
        <w:rPr>
          <w:rFonts w:hAnsi="宋体"/>
          <w:color w:val="auto"/>
          <w:kern w:val="2"/>
          <w:sz w:val="24"/>
          <w:highlight w:val="none"/>
        </w:rPr>
      </w:pPr>
      <w:r>
        <w:rPr>
          <w:rFonts w:hAnsi="宋体"/>
          <w:color w:val="auto"/>
          <w:kern w:val="2"/>
          <w:sz w:val="24"/>
          <w:highlight w:val="none"/>
        </w:rPr>
        <w:t>项目名称：                                       项目编号：</w:t>
      </w:r>
    </w:p>
    <w:p>
      <w:pPr>
        <w:pStyle w:val="13"/>
        <w:snapToGrid w:val="0"/>
        <w:spacing w:beforeLines="0" w:afterLines="0" w:line="360" w:lineRule="auto"/>
        <w:rPr>
          <w:rFonts w:hAnsi="宋体"/>
          <w:color w:val="auto"/>
          <w:kern w:val="2"/>
          <w:sz w:val="24"/>
          <w:highlight w:val="none"/>
        </w:rPr>
      </w:pPr>
      <w:r>
        <w:rPr>
          <w:rFonts w:hAnsi="宋体"/>
          <w:color w:val="auto"/>
          <w:kern w:val="2"/>
          <w:sz w:val="24"/>
          <w:highlight w:val="none"/>
        </w:rPr>
        <w:t>甲方：（买方）</w:t>
      </w:r>
    </w:p>
    <w:p>
      <w:pPr>
        <w:pStyle w:val="13"/>
        <w:snapToGrid w:val="0"/>
        <w:spacing w:beforeLines="0" w:afterLines="0" w:line="360" w:lineRule="auto"/>
        <w:rPr>
          <w:rFonts w:hAnsi="宋体"/>
          <w:color w:val="auto"/>
          <w:kern w:val="2"/>
          <w:sz w:val="24"/>
          <w:highlight w:val="none"/>
        </w:rPr>
      </w:pPr>
      <w:r>
        <w:rPr>
          <w:rFonts w:hAnsi="宋体"/>
          <w:color w:val="auto"/>
          <w:kern w:val="2"/>
          <w:sz w:val="24"/>
          <w:highlight w:val="none"/>
        </w:rPr>
        <w:t>乙方：（卖方）</w:t>
      </w:r>
    </w:p>
    <w:p>
      <w:pPr>
        <w:pStyle w:val="13"/>
        <w:snapToGrid w:val="0"/>
        <w:spacing w:beforeLines="0" w:afterLines="0" w:line="360" w:lineRule="auto"/>
        <w:rPr>
          <w:rFonts w:hAnsi="宋体"/>
          <w:b/>
          <w:color w:val="auto"/>
          <w:highlight w:val="none"/>
        </w:rPr>
      </w:pPr>
    </w:p>
    <w:p>
      <w:pPr>
        <w:spacing w:line="460" w:lineRule="exact"/>
        <w:ind w:left="165" w:firstLine="480" w:firstLineChars="200"/>
        <w:rPr>
          <w:rFonts w:ascii="宋体" w:hAnsi="宋体" w:cs="宋体"/>
          <w:color w:val="auto"/>
          <w:sz w:val="24"/>
          <w:highlight w:val="none"/>
        </w:rPr>
      </w:pPr>
      <w:r>
        <w:rPr>
          <w:rFonts w:hint="eastAsia" w:ascii="宋体" w:hAnsi="宋体" w:cs="宋体"/>
          <w:color w:val="auto"/>
          <w:sz w:val="24"/>
          <w:highlight w:val="none"/>
        </w:rPr>
        <w:t>乙双方根据</w:t>
      </w:r>
      <w:r>
        <w:rPr>
          <w:rFonts w:hint="eastAsia" w:ascii="宋体" w:hAnsi="宋体" w:cs="宋体"/>
          <w:color w:val="auto"/>
          <w:sz w:val="24"/>
          <w:highlight w:val="none"/>
          <w:u w:val="single"/>
        </w:rPr>
        <w:t>浙江华耀建设咨询有限公司</w:t>
      </w:r>
      <w:r>
        <w:rPr>
          <w:rFonts w:hint="eastAsia" w:ascii="宋体" w:hAnsi="宋体" w:cs="宋体"/>
          <w:color w:val="auto"/>
          <w:sz w:val="24"/>
          <w:highlight w:val="none"/>
        </w:rPr>
        <w:t>关于</w:t>
      </w:r>
      <w:bookmarkStart w:id="73" w:name="OLE_LINK84"/>
      <w:bookmarkStart w:id="74" w:name="OLE_LINK85"/>
      <w:r>
        <w:rPr>
          <w:rFonts w:hint="eastAsia" w:ascii="宋体" w:hAnsi="宋体" w:cs="宋体"/>
          <w:color w:val="auto"/>
          <w:spacing w:val="-4"/>
          <w:sz w:val="24"/>
          <w:highlight w:val="none"/>
          <w:u w:val="single"/>
        </w:rPr>
        <w:t>湖州市中心医院2025-2028年度</w:t>
      </w:r>
      <w:bookmarkStart w:id="75" w:name="OLE_LINK83"/>
      <w:r>
        <w:rPr>
          <w:rFonts w:hint="eastAsia" w:ascii="宋体" w:hAnsi="宋体" w:cs="宋体"/>
          <w:color w:val="auto"/>
          <w:spacing w:val="-4"/>
          <w:sz w:val="24"/>
          <w:highlight w:val="none"/>
          <w:u w:val="single"/>
        </w:rPr>
        <w:t>机电运维</w:t>
      </w:r>
      <w:bookmarkEnd w:id="75"/>
      <w:r>
        <w:rPr>
          <w:rFonts w:hint="eastAsia" w:ascii="宋体" w:hAnsi="宋体" w:cs="宋体"/>
          <w:color w:val="auto"/>
          <w:spacing w:val="-4"/>
          <w:sz w:val="24"/>
          <w:highlight w:val="none"/>
          <w:u w:val="single"/>
        </w:rPr>
        <w:t>管理项目</w:t>
      </w:r>
      <w:bookmarkEnd w:id="73"/>
      <w:bookmarkEnd w:id="74"/>
      <w:r>
        <w:rPr>
          <w:rFonts w:hint="eastAsia" w:ascii="宋体" w:hAnsi="宋体" w:cs="宋体"/>
          <w:color w:val="auto"/>
          <w:spacing w:val="-4"/>
          <w:sz w:val="24"/>
          <w:highlight w:val="none"/>
          <w:u w:val="single"/>
        </w:rPr>
        <w:t xml:space="preserve">  公开招标</w:t>
      </w:r>
      <w:r>
        <w:rPr>
          <w:rFonts w:hint="eastAsia" w:ascii="宋体" w:hAnsi="宋体" w:cs="宋体"/>
          <w:color w:val="auto"/>
          <w:sz w:val="24"/>
          <w:highlight w:val="none"/>
        </w:rPr>
        <w:t>的结果，签署本合同。</w:t>
      </w:r>
    </w:p>
    <w:p>
      <w:pPr>
        <w:spacing w:line="460" w:lineRule="exact"/>
        <w:ind w:left="165" w:firstLine="422" w:firstLineChars="200"/>
        <w:rPr>
          <w:rFonts w:hAnsi="宋体"/>
          <w:b/>
          <w:color w:val="auto"/>
          <w:highlight w:val="none"/>
        </w:rPr>
      </w:pPr>
      <w:r>
        <w:rPr>
          <w:rFonts w:hAnsi="宋体"/>
          <w:b/>
          <w:color w:val="auto"/>
          <w:highlight w:val="none"/>
        </w:rPr>
        <w:t>一、</w:t>
      </w:r>
      <w:r>
        <w:rPr>
          <w:rFonts w:hint="eastAsia" w:ascii="宋体" w:hAnsi="宋体" w:cs="宋体"/>
          <w:b/>
          <w:bCs/>
          <w:color w:val="auto"/>
          <w:sz w:val="24"/>
          <w:highlight w:val="none"/>
        </w:rPr>
        <w:t>服务内容</w:t>
      </w:r>
    </w:p>
    <w:p>
      <w:pPr>
        <w:spacing w:line="460" w:lineRule="exact"/>
        <w:ind w:left="165" w:firstLine="480" w:firstLineChars="200"/>
        <w:rPr>
          <w:rFonts w:ascii="宋体" w:hAnsi="宋体" w:cs="宋体"/>
          <w:color w:val="auto"/>
          <w:sz w:val="24"/>
          <w:highlight w:val="none"/>
        </w:rPr>
      </w:pPr>
      <w:r>
        <w:rPr>
          <w:rFonts w:ascii="宋体" w:hAnsi="宋体" w:cs="宋体"/>
          <w:color w:val="auto"/>
          <w:sz w:val="24"/>
          <w:highlight w:val="none"/>
        </w:rPr>
        <w:t>1.货物名称：</w:t>
      </w:r>
      <w:r>
        <w:rPr>
          <w:rFonts w:hint="eastAsia" w:ascii="宋体" w:hAnsi="宋体" w:cs="宋体"/>
          <w:color w:val="auto"/>
          <w:sz w:val="24"/>
          <w:highlight w:val="none"/>
        </w:rPr>
        <w:t xml:space="preserve">湖州市中心医院2025-2028年度机电运维管理项目  </w:t>
      </w:r>
    </w:p>
    <w:p>
      <w:pPr>
        <w:spacing w:line="460" w:lineRule="exact"/>
        <w:ind w:firstLine="482" w:firstLineChars="200"/>
        <w:rPr>
          <w:rFonts w:ascii="宋体"/>
          <w:b/>
          <w:bCs/>
          <w:color w:val="auto"/>
          <w:sz w:val="24"/>
          <w:highlight w:val="none"/>
        </w:rPr>
      </w:pPr>
      <w:r>
        <w:rPr>
          <w:rFonts w:hint="eastAsia" w:ascii="宋体" w:hAnsi="宋体" w:cs="宋体"/>
          <w:b/>
          <w:bCs/>
          <w:color w:val="auto"/>
          <w:sz w:val="24"/>
          <w:highlight w:val="none"/>
        </w:rPr>
        <w:t>二、合同金额</w:t>
      </w:r>
    </w:p>
    <w:p>
      <w:pPr>
        <w:spacing w:line="460" w:lineRule="exact"/>
        <w:ind w:firstLine="480" w:firstLineChars="200"/>
        <w:rPr>
          <w:rFonts w:hAnsi="宋体"/>
          <w:color w:val="auto"/>
          <w:sz w:val="24"/>
          <w:highlight w:val="none"/>
        </w:rPr>
      </w:pPr>
      <w:r>
        <w:rPr>
          <w:rFonts w:hint="eastAsia" w:hAnsi="宋体" w:cs="宋体"/>
          <w:color w:val="auto"/>
          <w:sz w:val="24"/>
          <w:highlight w:val="none"/>
        </w:rPr>
        <w:t>本合同金额为（大写）：</w:t>
      </w:r>
      <w:r>
        <w:rPr>
          <w:rFonts w:hAnsi="宋体"/>
          <w:color w:val="auto"/>
          <w:sz w:val="24"/>
          <w:highlight w:val="none"/>
        </w:rPr>
        <w:t>_________________________________</w:t>
      </w:r>
      <w:r>
        <w:rPr>
          <w:rFonts w:hint="eastAsia" w:hAnsi="宋体" w:cs="宋体"/>
          <w:color w:val="auto"/>
          <w:sz w:val="24"/>
          <w:highlight w:val="none"/>
        </w:rPr>
        <w:t>元（￥</w:t>
      </w:r>
      <w:r>
        <w:rPr>
          <w:rFonts w:hAnsi="宋体"/>
          <w:color w:val="auto"/>
          <w:sz w:val="24"/>
          <w:highlight w:val="none"/>
        </w:rPr>
        <w:t>_______________</w:t>
      </w:r>
      <w:r>
        <w:rPr>
          <w:rFonts w:hint="eastAsia" w:hAnsi="宋体" w:cs="宋体"/>
          <w:color w:val="auto"/>
          <w:sz w:val="24"/>
          <w:highlight w:val="none"/>
        </w:rPr>
        <w:t>元）人民币。</w:t>
      </w:r>
    </w:p>
    <w:p>
      <w:pPr>
        <w:spacing w:line="460" w:lineRule="exact"/>
        <w:ind w:firstLine="482" w:firstLineChars="200"/>
        <w:rPr>
          <w:rFonts w:ascii="宋体"/>
          <w:color w:val="auto"/>
          <w:sz w:val="24"/>
          <w:highlight w:val="none"/>
        </w:rPr>
      </w:pPr>
      <w:r>
        <w:rPr>
          <w:rFonts w:hint="eastAsia" w:ascii="宋体" w:hAnsi="宋体" w:cs="宋体"/>
          <w:b/>
          <w:bCs/>
          <w:color w:val="auto"/>
          <w:sz w:val="24"/>
          <w:highlight w:val="none"/>
        </w:rPr>
        <w:t>三、技术资料</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1</w:t>
      </w:r>
      <w:r>
        <w:rPr>
          <w:rFonts w:hint="eastAsia" w:ascii="宋体" w:cs="宋体"/>
          <w:color w:val="auto"/>
          <w:sz w:val="24"/>
          <w:highlight w:val="none"/>
        </w:rPr>
        <w:t>.</w:t>
      </w:r>
      <w:r>
        <w:rPr>
          <w:rFonts w:hint="eastAsia" w:ascii="宋体" w:hAnsi="宋体" w:cs="宋体"/>
          <w:color w:val="auto"/>
          <w:sz w:val="24"/>
          <w:highlight w:val="none"/>
        </w:rPr>
        <w:t>乙方应按招标文件规定的时间向甲方提供有关技术资料。</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2</w:t>
      </w:r>
      <w:r>
        <w:rPr>
          <w:rFonts w:hint="eastAsia" w:ascii="宋体" w:cs="宋体"/>
          <w:color w:val="auto"/>
          <w:sz w:val="24"/>
          <w:highlight w:val="none"/>
        </w:rPr>
        <w:t>.</w:t>
      </w:r>
      <w:r>
        <w:rPr>
          <w:rFonts w:hint="eastAsia" w:ascii="宋体" w:hAnsi="宋体" w:cs="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60" w:lineRule="exact"/>
        <w:ind w:firstLine="482" w:firstLineChars="200"/>
        <w:rPr>
          <w:rFonts w:ascii="宋体"/>
          <w:b/>
          <w:bCs/>
          <w:color w:val="auto"/>
          <w:sz w:val="24"/>
          <w:highlight w:val="none"/>
        </w:rPr>
      </w:pPr>
      <w:r>
        <w:rPr>
          <w:rFonts w:hint="eastAsia" w:ascii="宋体" w:hAnsi="宋体" w:cs="宋体"/>
          <w:b/>
          <w:bCs/>
          <w:color w:val="auto"/>
          <w:sz w:val="24"/>
          <w:highlight w:val="none"/>
        </w:rPr>
        <w:t>四、知识产权</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乙方应保证提供服务过程中不会侵犯任何第三方的知识产权。</w:t>
      </w:r>
    </w:p>
    <w:p>
      <w:pPr>
        <w:spacing w:line="460" w:lineRule="exact"/>
        <w:ind w:firstLine="482" w:firstLineChars="200"/>
        <w:rPr>
          <w:rFonts w:ascii="宋体"/>
          <w:b/>
          <w:bCs/>
          <w:color w:val="auto"/>
          <w:sz w:val="24"/>
          <w:highlight w:val="none"/>
        </w:rPr>
      </w:pPr>
      <w:r>
        <w:rPr>
          <w:rFonts w:hint="eastAsia" w:ascii="宋体" w:hAnsi="宋体" w:cs="宋体"/>
          <w:b/>
          <w:bCs/>
          <w:color w:val="auto"/>
          <w:sz w:val="24"/>
          <w:highlight w:val="none"/>
        </w:rPr>
        <w:t>五、转包或分包</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cs="宋体"/>
          <w:color w:val="auto"/>
          <w:sz w:val="24"/>
          <w:highlight w:val="none"/>
        </w:rPr>
        <w:t>.</w:t>
      </w:r>
      <w:r>
        <w:rPr>
          <w:rFonts w:hint="eastAsia" w:ascii="宋体" w:hAnsi="宋体" w:cs="宋体"/>
          <w:color w:val="auto"/>
          <w:sz w:val="24"/>
          <w:highlight w:val="none"/>
        </w:rPr>
        <w:t>本合同范围的服务，应由乙方直接供应，不得转让他人供应。</w:t>
      </w:r>
    </w:p>
    <w:p>
      <w:pPr>
        <w:spacing w:line="460" w:lineRule="exact"/>
        <w:ind w:firstLine="480" w:firstLineChars="200"/>
        <w:rPr>
          <w:rFonts w:ascii="宋体" w:hAnsi="宋体"/>
          <w:color w:val="auto"/>
          <w:sz w:val="24"/>
          <w:highlight w:val="none"/>
        </w:rPr>
      </w:pPr>
      <w:r>
        <w:rPr>
          <w:rFonts w:hint="eastAsia" w:ascii="宋体" w:hAnsi="宋体" w:cs="宋体"/>
          <w:color w:val="auto"/>
          <w:sz w:val="24"/>
          <w:highlight w:val="none"/>
        </w:rPr>
        <w:t>2</w:t>
      </w:r>
      <w:r>
        <w:rPr>
          <w:rFonts w:hint="eastAsia" w:ascii="宋体" w:cs="宋体"/>
          <w:color w:val="auto"/>
          <w:sz w:val="24"/>
          <w:highlight w:val="none"/>
        </w:rPr>
        <w:t>.</w:t>
      </w:r>
      <w:r>
        <w:rPr>
          <w:rFonts w:hint="eastAsia" w:ascii="宋体" w:hAnsi="宋体" w:cs="宋体"/>
          <w:color w:val="auto"/>
          <w:kern w:val="0"/>
          <w:sz w:val="24"/>
          <w:highlight w:val="none"/>
        </w:rPr>
        <w:t>本项目可以分包（允许</w:t>
      </w:r>
      <w:r>
        <w:rPr>
          <w:rFonts w:hint="eastAsia" w:ascii="宋体" w:hAnsi="宋体"/>
          <w:color w:val="auto"/>
          <w:sz w:val="24"/>
          <w:highlight w:val="none"/>
        </w:rPr>
        <w:t>中型企业向小微企业、小微企业向小微企业合理分包）。</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3</w:t>
      </w:r>
      <w:r>
        <w:rPr>
          <w:rFonts w:hint="eastAsia" w:ascii="宋体" w:cs="宋体"/>
          <w:color w:val="auto"/>
          <w:sz w:val="24"/>
          <w:highlight w:val="none"/>
        </w:rPr>
        <w:t>.</w:t>
      </w:r>
      <w:r>
        <w:rPr>
          <w:rFonts w:hint="eastAsia" w:ascii="宋体" w:hAnsi="宋体" w:cs="宋体"/>
          <w:color w:val="auto"/>
          <w:sz w:val="24"/>
          <w:highlight w:val="none"/>
        </w:rPr>
        <w:t>如有转让，甲方有权解除合同并追究乙方的违约责任。</w:t>
      </w:r>
    </w:p>
    <w:p>
      <w:pPr>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六、合同履行时间</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1.履行时间：自合同签订之日起3年。</w:t>
      </w:r>
    </w:p>
    <w:p>
      <w:pPr>
        <w:spacing w:line="460" w:lineRule="exact"/>
        <w:ind w:firstLine="482" w:firstLineChars="200"/>
        <w:rPr>
          <w:rFonts w:hAnsi="宋体" w:cs="宋体"/>
          <w:b/>
          <w:bCs/>
          <w:color w:val="auto"/>
          <w:sz w:val="24"/>
          <w:highlight w:val="none"/>
        </w:rPr>
      </w:pPr>
      <w:r>
        <w:rPr>
          <w:rFonts w:hint="eastAsia" w:hAnsi="宋体" w:cs="宋体"/>
          <w:b/>
          <w:bCs/>
          <w:color w:val="auto"/>
          <w:sz w:val="24"/>
          <w:highlight w:val="none"/>
        </w:rPr>
        <w:t>七、履约保证金</w:t>
      </w:r>
    </w:p>
    <w:p>
      <w:pPr>
        <w:spacing w:line="4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本项目的</w:t>
      </w:r>
      <w:bookmarkStart w:id="76" w:name="OLE_LINK88"/>
      <w:bookmarkStart w:id="77" w:name="OLE_LINK89"/>
      <w:bookmarkStart w:id="78" w:name="OLE_LINK90"/>
      <w:bookmarkStart w:id="79" w:name="OLE_LINK91"/>
      <w:r>
        <w:rPr>
          <w:rFonts w:hint="eastAsia" w:ascii="宋体" w:hAnsi="宋体" w:cs="宋体"/>
          <w:color w:val="auto"/>
          <w:sz w:val="24"/>
          <w:highlight w:val="none"/>
        </w:rPr>
        <w:t>履约保证金</w:t>
      </w:r>
      <w:bookmarkEnd w:id="76"/>
      <w:bookmarkEnd w:id="77"/>
      <w:r>
        <w:rPr>
          <w:rFonts w:hint="eastAsia" w:ascii="宋体" w:hAnsi="宋体" w:cs="宋体"/>
          <w:color w:val="auto"/>
          <w:sz w:val="24"/>
          <w:highlight w:val="none"/>
        </w:rPr>
        <w:t>为合同价的1%</w:t>
      </w:r>
      <w:bookmarkEnd w:id="78"/>
      <w:bookmarkEnd w:id="79"/>
      <w:r>
        <w:rPr>
          <w:rFonts w:hint="eastAsia" w:ascii="宋体" w:hAnsi="宋体" w:cs="宋体"/>
          <w:color w:val="auto"/>
          <w:sz w:val="24"/>
          <w:highlight w:val="none"/>
        </w:rPr>
        <w:t>；履约保证金形式为：银行转账或银行、保险公司出具的保函；中标人应根据采购人要求汇入采购人指定账号或提供保函。</w:t>
      </w:r>
      <w:r>
        <w:rPr>
          <w:rFonts w:hint="eastAsia" w:ascii="宋体" w:hAnsi="宋体"/>
          <w:color w:val="auto"/>
          <w:sz w:val="24"/>
          <w:highlight w:val="none"/>
        </w:rPr>
        <w:t>合同期限结束后由采购人无息退还。</w:t>
      </w:r>
    </w:p>
    <w:p>
      <w:pPr>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八、款项支付</w:t>
      </w:r>
    </w:p>
    <w:p>
      <w:pPr>
        <w:snapToGrid w:val="0"/>
        <w:spacing w:line="360" w:lineRule="auto"/>
        <w:ind w:firstLine="480" w:firstLineChars="200"/>
        <w:rPr>
          <w:rFonts w:ascii="宋体" w:hAnsi="宋体" w:cs="仿宋_GB2312"/>
          <w:color w:val="auto"/>
          <w:sz w:val="24"/>
          <w:highlight w:val="none"/>
        </w:rPr>
      </w:pPr>
      <w:r>
        <w:rPr>
          <w:rFonts w:hint="eastAsia" w:ascii="宋体" w:hAnsi="Courier New" w:cs="宋体"/>
          <w:color w:val="auto"/>
          <w:kern w:val="0"/>
          <w:sz w:val="24"/>
          <w:highlight w:val="none"/>
        </w:rPr>
        <w:t>1.</w:t>
      </w:r>
      <w:r>
        <w:rPr>
          <w:rFonts w:hint="eastAsia" w:ascii="宋体" w:hAnsi="宋体" w:cs="仿宋_GB2312"/>
          <w:color w:val="auto"/>
          <w:sz w:val="24"/>
          <w:highlight w:val="none"/>
        </w:rPr>
        <w:t>根据《保障中小企业款项支付条例》、《浙江省财政厅关于坚决打赢疫情防控阻击战进一步做好政府采购资金支持企业发展工作的通知》（浙财采监〔2022〕3号）、《浙江省财政厅关于进一步发挥政府采购政策功能全力推动经济稳进提质的通知》（浙财采监〔2022〕3号）要求，制定如以下付款方式：</w:t>
      </w:r>
      <w:bookmarkStart w:id="80" w:name="OLE_LINK94"/>
      <w:bookmarkStart w:id="81" w:name="OLE_LINK95"/>
      <w:r>
        <w:rPr>
          <w:rFonts w:hint="eastAsia" w:ascii="宋体" w:hAnsi="宋体" w:cs="仿宋_GB2312"/>
          <w:color w:val="auto"/>
          <w:sz w:val="24"/>
          <w:highlight w:val="none"/>
        </w:rPr>
        <w:t xml:space="preserve"> 签订并具备实施条件后7个工作日内，支付合同金额30%作为预付款</w:t>
      </w:r>
      <w:r>
        <w:rPr>
          <w:rFonts w:hint="eastAsia" w:ascii="宋体" w:hAnsi="宋体" w:cs="宋体"/>
          <w:color w:val="auto"/>
          <w:sz w:val="24"/>
          <w:highlight w:val="none"/>
        </w:rPr>
        <w:t>，</w:t>
      </w:r>
      <w:r>
        <w:rPr>
          <w:rFonts w:hint="eastAsia" w:ascii="宋体" w:hAnsi="宋体"/>
          <w:color w:val="auto"/>
          <w:sz w:val="24"/>
          <w:highlight w:val="none"/>
        </w:rPr>
        <w:t>管理费：每月结算一</w:t>
      </w:r>
      <w:r>
        <w:rPr>
          <w:rFonts w:hint="eastAsia" w:hAnsi="宋体"/>
          <w:color w:val="auto"/>
          <w:sz w:val="24"/>
          <w:highlight w:val="none"/>
        </w:rPr>
        <w:t>次</w:t>
      </w:r>
      <w:r>
        <w:rPr>
          <w:rFonts w:hint="eastAsia" w:ascii="宋体" w:hAnsi="宋体" w:cs="仿宋_GB2312"/>
          <w:color w:val="auto"/>
          <w:sz w:val="24"/>
          <w:highlight w:val="none"/>
        </w:rPr>
        <w:t>。</w:t>
      </w:r>
    </w:p>
    <w:bookmarkEnd w:id="80"/>
    <w:bookmarkEnd w:id="81"/>
    <w:p>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注：若中标供应商明确表示无需预付款或者主动要求降低预付款比例的，采购人可不适用前述规定。</w:t>
      </w:r>
    </w:p>
    <w:p>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2.当采购数量与实际使用不一致时，乙方应根据实际情况，合同的最终结算金额按实际使用量乘以成交单价进行计算。</w:t>
      </w:r>
    </w:p>
    <w:p>
      <w:pPr>
        <w:pStyle w:val="35"/>
        <w:numPr>
          <w:ilvl w:val="0"/>
          <w:numId w:val="0"/>
        </w:numPr>
        <w:tabs>
          <w:tab w:val="left" w:pos="900"/>
          <w:tab w:val="left" w:pos="980"/>
          <w:tab w:val="left" w:pos="1710"/>
        </w:tabs>
        <w:spacing w:before="120" w:after="120" w:line="360" w:lineRule="auto"/>
        <w:ind w:left="2"/>
        <w:rPr>
          <w:rFonts w:ascii="宋体" w:hAnsi="宋体" w:cs="宋体"/>
          <w:b/>
          <w:bCs/>
          <w:color w:val="auto"/>
          <w:sz w:val="24"/>
          <w:highlight w:val="none"/>
        </w:rPr>
      </w:pPr>
      <w:r>
        <w:rPr>
          <w:rFonts w:hint="eastAsia" w:ascii="宋体" w:hAnsi="宋体" w:cs="宋体"/>
          <w:b/>
          <w:bCs/>
          <w:color w:val="auto"/>
          <w:sz w:val="24"/>
          <w:highlight w:val="none"/>
        </w:rPr>
        <w:t>九、税费</w:t>
      </w:r>
    </w:p>
    <w:p>
      <w:pPr>
        <w:spacing w:line="360" w:lineRule="auto"/>
        <w:ind w:firstLine="480" w:firstLineChars="200"/>
        <w:rPr>
          <w:rFonts w:ascii="宋体"/>
          <w:color w:val="auto"/>
          <w:sz w:val="24"/>
          <w:highlight w:val="none"/>
        </w:rPr>
      </w:pPr>
      <w:r>
        <w:rPr>
          <w:rFonts w:hint="eastAsia" w:ascii="宋体" w:hAnsi="宋体" w:cs="宋体"/>
          <w:color w:val="auto"/>
          <w:sz w:val="24"/>
          <w:highlight w:val="none"/>
        </w:rPr>
        <w:t>本合同执行中相关的一切税费均由乙方负担。</w:t>
      </w:r>
    </w:p>
    <w:p>
      <w:pPr>
        <w:spacing w:line="360" w:lineRule="auto"/>
        <w:rPr>
          <w:rFonts w:ascii="宋体"/>
          <w:b/>
          <w:bCs/>
          <w:color w:val="auto"/>
          <w:sz w:val="24"/>
          <w:highlight w:val="none"/>
        </w:rPr>
      </w:pPr>
      <w:r>
        <w:rPr>
          <w:rFonts w:hint="eastAsia" w:ascii="宋体" w:hAnsi="宋体" w:cs="宋体"/>
          <w:b/>
          <w:bCs/>
          <w:color w:val="auto"/>
          <w:sz w:val="24"/>
          <w:highlight w:val="none"/>
        </w:rPr>
        <w:t>十、质量保证及后续服务</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1．乙方应按磋商文件规定向甲方提供服务。</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2．乙方提供的服务不到要求者，根据实际情况，经双方协商，可按以下办法处理：</w:t>
      </w:r>
    </w:p>
    <w:p>
      <w:pPr>
        <w:spacing w:line="460" w:lineRule="exact"/>
        <w:ind w:firstLine="480" w:firstLineChars="200"/>
        <w:rPr>
          <w:rFonts w:ascii="宋体"/>
          <w:color w:val="auto"/>
          <w:sz w:val="24"/>
          <w:highlight w:val="none"/>
        </w:rPr>
      </w:pPr>
      <w:r>
        <w:rPr>
          <w:rFonts w:hint="eastAsia" w:ascii="宋体" w:cs="宋体"/>
          <w:color w:val="auto"/>
          <w:sz w:val="24"/>
          <w:highlight w:val="none"/>
        </w:rPr>
        <w:t>⑴</w:t>
      </w:r>
      <w:r>
        <w:rPr>
          <w:rFonts w:hint="eastAsia" w:ascii="宋体" w:hAnsi="宋体" w:cs="宋体"/>
          <w:color w:val="auto"/>
          <w:sz w:val="24"/>
          <w:highlight w:val="none"/>
        </w:rPr>
        <w:t>重做：由乙方承担所发生的全部费用。</w:t>
      </w:r>
    </w:p>
    <w:p>
      <w:pPr>
        <w:spacing w:line="460" w:lineRule="exact"/>
        <w:ind w:firstLine="480" w:firstLineChars="200"/>
        <w:rPr>
          <w:rFonts w:ascii="宋体"/>
          <w:color w:val="auto"/>
          <w:sz w:val="24"/>
          <w:highlight w:val="none"/>
        </w:rPr>
      </w:pPr>
      <w:r>
        <w:rPr>
          <w:rFonts w:hint="eastAsia" w:ascii="宋体" w:cs="宋体"/>
          <w:color w:val="auto"/>
          <w:sz w:val="24"/>
          <w:highlight w:val="none"/>
        </w:rPr>
        <w:t>⑵</w:t>
      </w:r>
      <w:r>
        <w:rPr>
          <w:rFonts w:hint="eastAsia" w:ascii="宋体" w:hAnsi="宋体" w:cs="宋体"/>
          <w:color w:val="auto"/>
          <w:sz w:val="24"/>
          <w:highlight w:val="none"/>
        </w:rPr>
        <w:t>贬值处理：由甲乙双方合议定价。</w:t>
      </w:r>
    </w:p>
    <w:p>
      <w:pPr>
        <w:spacing w:line="460" w:lineRule="exact"/>
        <w:ind w:firstLine="480" w:firstLineChars="200"/>
        <w:rPr>
          <w:rFonts w:ascii="宋体"/>
          <w:color w:val="auto"/>
          <w:sz w:val="24"/>
          <w:highlight w:val="none"/>
        </w:rPr>
      </w:pPr>
      <w:r>
        <w:rPr>
          <w:rFonts w:hint="eastAsia" w:ascii="宋体" w:cs="宋体"/>
          <w:color w:val="auto"/>
          <w:sz w:val="24"/>
          <w:highlight w:val="none"/>
        </w:rPr>
        <w:t>⑶</w:t>
      </w:r>
      <w:r>
        <w:rPr>
          <w:rFonts w:hint="eastAsia" w:ascii="宋体" w:hAnsi="宋体" w:cs="宋体"/>
          <w:color w:val="auto"/>
          <w:sz w:val="24"/>
          <w:highlight w:val="none"/>
        </w:rPr>
        <w:t>解除合同。</w:t>
      </w:r>
    </w:p>
    <w:p>
      <w:pPr>
        <w:spacing w:line="460" w:lineRule="exact"/>
        <w:rPr>
          <w:rFonts w:ascii="宋体"/>
          <w:b/>
          <w:bCs/>
          <w:color w:val="auto"/>
          <w:sz w:val="24"/>
          <w:highlight w:val="none"/>
        </w:rPr>
      </w:pPr>
      <w:r>
        <w:rPr>
          <w:rFonts w:hint="eastAsia" w:ascii="宋体" w:hAnsi="宋体" w:cs="宋体"/>
          <w:b/>
          <w:bCs/>
          <w:color w:val="auto"/>
          <w:sz w:val="24"/>
          <w:highlight w:val="none"/>
        </w:rPr>
        <w:t>十一、违约责任</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1．甲方无正当理由拒收接受服务的，甲方向乙方偿付合同款项百分之五作为违约金。</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spacing w:line="460" w:lineRule="exact"/>
        <w:rPr>
          <w:rFonts w:ascii="宋体"/>
          <w:b/>
          <w:bCs/>
          <w:color w:val="auto"/>
          <w:sz w:val="24"/>
          <w:highlight w:val="none"/>
        </w:rPr>
      </w:pPr>
      <w:r>
        <w:rPr>
          <w:rFonts w:hint="eastAsia" w:ascii="宋体" w:hAnsi="宋体" w:cs="宋体"/>
          <w:b/>
          <w:bCs/>
          <w:color w:val="auto"/>
          <w:sz w:val="24"/>
          <w:highlight w:val="none"/>
        </w:rPr>
        <w:t>十二、不可抗力事件处理</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pPr>
        <w:spacing w:line="460" w:lineRule="exact"/>
        <w:rPr>
          <w:rFonts w:ascii="宋体"/>
          <w:b/>
          <w:bCs/>
          <w:color w:val="auto"/>
          <w:sz w:val="24"/>
          <w:highlight w:val="none"/>
        </w:rPr>
      </w:pPr>
      <w:r>
        <w:rPr>
          <w:rFonts w:hint="eastAsia" w:ascii="宋体" w:hAnsi="宋体" w:cs="宋体"/>
          <w:b/>
          <w:bCs/>
          <w:color w:val="auto"/>
          <w:sz w:val="24"/>
          <w:highlight w:val="none"/>
        </w:rPr>
        <w:t>十三、诉讼</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pPr>
        <w:spacing w:line="460" w:lineRule="exact"/>
        <w:rPr>
          <w:rFonts w:ascii="宋体"/>
          <w:b/>
          <w:bCs/>
          <w:color w:val="auto"/>
          <w:sz w:val="24"/>
          <w:highlight w:val="none"/>
        </w:rPr>
      </w:pPr>
      <w:r>
        <w:rPr>
          <w:rFonts w:hint="eastAsia" w:ascii="宋体" w:hAnsi="宋体" w:cs="宋体"/>
          <w:b/>
          <w:bCs/>
          <w:color w:val="auto"/>
          <w:sz w:val="24"/>
          <w:highlight w:val="none"/>
        </w:rPr>
        <w:t>十四、合同生效及其它</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1．合同经双方法定代表人或授权代表签字并加盖单位公章后生效。</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2．合同执行中涉及采购资金和采购内容修改或补充的，须经财政部门审批，并签书面补充协议报政府采购监督管理部门备案，方可作为主合同不可分割的一部分。</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3．本合同未尽事宜，遵照《中华人民共和国民法典》有关条文执行。</w:t>
      </w:r>
    </w:p>
    <w:p>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4．合同正本一式五份，甲乙双方各执两份，</w:t>
      </w:r>
      <w:r>
        <w:rPr>
          <w:rFonts w:hint="eastAsia" w:ascii="宋体" w:hAnsi="宋体" w:cs="宋体"/>
          <w:color w:val="auto"/>
          <w:kern w:val="0"/>
          <w:sz w:val="24"/>
          <w:highlight w:val="none"/>
        </w:rPr>
        <w:t>浙江华耀建设咨询有限公司</w:t>
      </w:r>
      <w:r>
        <w:rPr>
          <w:rFonts w:hint="eastAsia" w:ascii="宋体" w:hAnsi="宋体" w:cs="宋体"/>
          <w:color w:val="auto"/>
          <w:sz w:val="24"/>
          <w:highlight w:val="none"/>
        </w:rPr>
        <w:t>（招标代理机构）执一份备案。</w:t>
      </w:r>
    </w:p>
    <w:p>
      <w:pPr>
        <w:spacing w:line="460" w:lineRule="exact"/>
        <w:ind w:firstLine="482" w:firstLineChars="200"/>
        <w:rPr>
          <w:rFonts w:ascii="宋体"/>
          <w:b/>
          <w:bCs/>
          <w:color w:val="auto"/>
          <w:sz w:val="24"/>
          <w:highlight w:val="none"/>
        </w:rPr>
      </w:pPr>
    </w:p>
    <w:p>
      <w:pPr>
        <w:spacing w:line="460" w:lineRule="exact"/>
        <w:rPr>
          <w:rFonts w:ascii="宋体"/>
          <w:b/>
          <w:bCs/>
          <w:color w:val="auto"/>
          <w:sz w:val="24"/>
          <w:highlight w:val="none"/>
        </w:rPr>
      </w:pPr>
      <w:r>
        <w:rPr>
          <w:rFonts w:hint="eastAsia" w:ascii="宋体" w:hAnsi="宋体" w:cs="宋体"/>
          <w:b/>
          <w:bCs/>
          <w:color w:val="auto"/>
          <w:sz w:val="24"/>
          <w:highlight w:val="none"/>
        </w:rPr>
        <w:t>十五、补充条款</w:t>
      </w:r>
    </w:p>
    <w:p>
      <w:pPr>
        <w:spacing w:line="460" w:lineRule="exact"/>
        <w:rPr>
          <w:rFonts w:ascii="宋体"/>
          <w:color w:val="auto"/>
          <w:sz w:val="24"/>
          <w:highlight w:val="none"/>
        </w:rPr>
      </w:pPr>
    </w:p>
    <w:p>
      <w:pPr>
        <w:tabs>
          <w:tab w:val="left" w:pos="1440"/>
        </w:tabs>
        <w:spacing w:line="460" w:lineRule="exact"/>
        <w:rPr>
          <w:rFonts w:ascii="宋体"/>
          <w:color w:val="auto"/>
          <w:sz w:val="24"/>
          <w:highlight w:val="none"/>
        </w:rPr>
      </w:pPr>
    </w:p>
    <w:p>
      <w:pPr>
        <w:tabs>
          <w:tab w:val="left" w:pos="1440"/>
        </w:tabs>
        <w:spacing w:line="460" w:lineRule="exact"/>
        <w:rPr>
          <w:rFonts w:ascii="宋体"/>
          <w:color w:val="auto"/>
          <w:sz w:val="24"/>
          <w:highlight w:val="none"/>
        </w:rPr>
      </w:pPr>
      <w:r>
        <w:rPr>
          <w:rFonts w:hint="eastAsia" w:ascii="宋体" w:hAnsi="宋体" w:cs="宋体"/>
          <w:color w:val="auto"/>
          <w:sz w:val="24"/>
          <w:highlight w:val="none"/>
        </w:rPr>
        <w:t>甲方：                         乙方：</w:t>
      </w:r>
    </w:p>
    <w:p>
      <w:pPr>
        <w:tabs>
          <w:tab w:val="left" w:pos="1440"/>
        </w:tabs>
        <w:spacing w:line="460" w:lineRule="exact"/>
        <w:rPr>
          <w:rFonts w:ascii="宋体"/>
          <w:color w:val="auto"/>
          <w:sz w:val="24"/>
          <w:highlight w:val="none"/>
        </w:rPr>
      </w:pPr>
      <w:r>
        <w:rPr>
          <w:rFonts w:hint="eastAsia" w:ascii="宋体" w:hAnsi="宋体" w:cs="宋体"/>
          <w:color w:val="auto"/>
          <w:sz w:val="24"/>
          <w:highlight w:val="none"/>
        </w:rPr>
        <w:t>地址：                         地址：</w:t>
      </w:r>
    </w:p>
    <w:p>
      <w:pPr>
        <w:tabs>
          <w:tab w:val="left" w:pos="1440"/>
        </w:tabs>
        <w:spacing w:line="460" w:lineRule="exact"/>
        <w:rPr>
          <w:rFonts w:ascii="宋体"/>
          <w:color w:val="auto"/>
          <w:sz w:val="24"/>
          <w:highlight w:val="none"/>
        </w:rPr>
      </w:pPr>
      <w:r>
        <w:rPr>
          <w:rFonts w:hint="eastAsia" w:ascii="宋体" w:hAnsi="宋体" w:cs="宋体"/>
          <w:color w:val="auto"/>
          <w:sz w:val="24"/>
          <w:highlight w:val="none"/>
        </w:rPr>
        <w:t>法定（授权）代表人：           法定（授权）代表人：</w:t>
      </w:r>
    </w:p>
    <w:p>
      <w:pPr>
        <w:tabs>
          <w:tab w:val="left" w:pos="1440"/>
        </w:tabs>
        <w:spacing w:line="460" w:lineRule="exact"/>
        <w:rPr>
          <w:rFonts w:ascii="宋体"/>
          <w:color w:val="auto"/>
          <w:sz w:val="24"/>
          <w:highlight w:val="none"/>
        </w:rPr>
      </w:pPr>
      <w:r>
        <w:rPr>
          <w:rFonts w:hint="eastAsia" w:ascii="宋体" w:hAnsi="宋体" w:cs="宋体"/>
          <w:color w:val="auto"/>
          <w:sz w:val="24"/>
          <w:highlight w:val="none"/>
        </w:rPr>
        <w:t>邮编：                         邮编：</w:t>
      </w:r>
    </w:p>
    <w:p>
      <w:pPr>
        <w:spacing w:line="460" w:lineRule="exact"/>
        <w:ind w:right="420" w:rightChars="200"/>
        <w:rPr>
          <w:rFonts w:ascii="宋体"/>
          <w:color w:val="auto"/>
          <w:sz w:val="24"/>
          <w:highlight w:val="none"/>
        </w:rPr>
      </w:pPr>
      <w:r>
        <w:rPr>
          <w:rFonts w:hint="eastAsia" w:ascii="宋体" w:hAnsi="宋体" w:cs="宋体"/>
          <w:color w:val="auto"/>
          <w:sz w:val="24"/>
          <w:highlight w:val="none"/>
        </w:rPr>
        <w:t>日期：                         日期：</w:t>
      </w:r>
    </w:p>
    <w:p>
      <w:pPr>
        <w:snapToGrid w:val="0"/>
        <w:spacing w:line="360" w:lineRule="auto"/>
        <w:jc w:val="center"/>
        <w:rPr>
          <w:color w:val="auto"/>
          <w:sz w:val="30"/>
          <w:szCs w:val="30"/>
          <w:highlight w:val="none"/>
        </w:rPr>
      </w:pPr>
    </w:p>
    <w:p>
      <w:pPr>
        <w:pStyle w:val="3"/>
        <w:rPr>
          <w:color w:val="auto"/>
          <w:highlight w:val="none"/>
        </w:rPr>
      </w:pPr>
      <w:r>
        <w:rPr>
          <w:color w:val="auto"/>
          <w:highlight w:val="none"/>
        </w:rPr>
        <w:br w:type="page"/>
      </w:r>
    </w:p>
    <w:p>
      <w:pPr>
        <w:snapToGrid w:val="0"/>
        <w:spacing w:line="360" w:lineRule="auto"/>
        <w:jc w:val="center"/>
        <w:rPr>
          <w:color w:val="auto"/>
          <w:sz w:val="30"/>
          <w:szCs w:val="30"/>
          <w:highlight w:val="none"/>
        </w:rPr>
      </w:pPr>
      <w:r>
        <w:rPr>
          <w:rFonts w:hint="eastAsia"/>
          <w:color w:val="auto"/>
          <w:sz w:val="30"/>
          <w:szCs w:val="30"/>
          <w:highlight w:val="none"/>
        </w:rPr>
        <w:t>第六章　投标文件格式</w:t>
      </w:r>
    </w:p>
    <w:p>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一、资格文件格式</w:t>
      </w:r>
    </w:p>
    <w:p>
      <w:pPr>
        <w:snapToGrid w:val="0"/>
        <w:spacing w:line="360" w:lineRule="auto"/>
        <w:jc w:val="center"/>
        <w:rPr>
          <w:rFonts w:ascii="宋体" w:hAnsi="宋体"/>
          <w:color w:val="auto"/>
          <w:sz w:val="24"/>
          <w:szCs w:val="20"/>
          <w:highlight w:val="none"/>
        </w:rPr>
      </w:pP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1.资格文件封面格式：</w:t>
      </w:r>
    </w:p>
    <w:p>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资 格 文件</w:t>
      </w:r>
    </w:p>
    <w:p>
      <w:pPr>
        <w:snapToGrid w:val="0"/>
        <w:spacing w:line="360" w:lineRule="auto"/>
        <w:rPr>
          <w:rFonts w:ascii="宋体" w:hAnsi="宋体"/>
          <w:bCs/>
          <w:color w:val="auto"/>
          <w:sz w:val="24"/>
          <w:szCs w:val="20"/>
          <w:highlight w:val="none"/>
        </w:rPr>
      </w:pPr>
    </w:p>
    <w:p>
      <w:pPr>
        <w:snapToGrid w:val="0"/>
        <w:spacing w:line="360" w:lineRule="auto"/>
        <w:ind w:left="1918" w:leftChars="456" w:hanging="960" w:hangingChars="400"/>
        <w:rPr>
          <w:rFonts w:ascii="宋体" w:hAnsi="宋体"/>
          <w:bCs/>
          <w:color w:val="auto"/>
          <w:sz w:val="24"/>
          <w:szCs w:val="20"/>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湖州市中心医院2025-2028年度机电运维管理项目</w:t>
      </w:r>
    </w:p>
    <w:p>
      <w:pPr>
        <w:snapToGrid w:val="0"/>
        <w:spacing w:line="360" w:lineRule="auto"/>
        <w:ind w:firstLine="960" w:firstLineChars="400"/>
        <w:rPr>
          <w:rFonts w:hint="eastAsia" w:ascii="宋体" w:hAnsi="宋体" w:eastAsia="宋体"/>
          <w:bCs/>
          <w:color w:val="auto"/>
          <w:sz w:val="24"/>
          <w:szCs w:val="20"/>
          <w:highlight w:val="none"/>
          <w:lang w:eastAsia="zh-CN"/>
        </w:rPr>
      </w:pPr>
      <w:r>
        <w:rPr>
          <w:rFonts w:hint="eastAsia" w:ascii="宋体" w:hAnsi="宋体"/>
          <w:bCs/>
          <w:color w:val="auto"/>
          <w:sz w:val="24"/>
          <w:highlight w:val="none"/>
        </w:rPr>
        <w:t>项目编号：</w:t>
      </w:r>
      <w:r>
        <w:rPr>
          <w:rFonts w:hint="eastAsia" w:ascii="宋体" w:hAnsi="宋体"/>
          <w:color w:val="auto"/>
          <w:sz w:val="24"/>
          <w:highlight w:val="none"/>
          <w:lang w:eastAsia="zh-CN"/>
        </w:rPr>
        <w:t>HYHZ2025-54（1）</w:t>
      </w:r>
    </w:p>
    <w:p>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pPr>
        <w:snapToGrid w:val="0"/>
        <w:spacing w:line="360" w:lineRule="auto"/>
        <w:ind w:firstLine="645"/>
        <w:jc w:val="center"/>
        <w:rPr>
          <w:rFonts w:ascii="宋体" w:hAnsi="宋体"/>
          <w:color w:val="auto"/>
          <w:sz w:val="24"/>
          <w:szCs w:val="20"/>
          <w:highlight w:val="none"/>
        </w:rPr>
      </w:pPr>
      <w:r>
        <w:rPr>
          <w:rFonts w:hint="eastAsia" w:ascii="宋体" w:hAnsi="宋体"/>
          <w:color w:val="auto"/>
          <w:sz w:val="24"/>
          <w:highlight w:val="none"/>
        </w:rPr>
        <w:t>年月日</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b/>
          <w:bCs/>
          <w:color w:val="auto"/>
          <w:sz w:val="24"/>
          <w:highlight w:val="none"/>
        </w:rPr>
      </w:pPr>
      <w:r>
        <w:rPr>
          <w:rFonts w:hint="eastAsia" w:ascii="宋体" w:hAnsi="宋体"/>
          <w:color w:val="auto"/>
          <w:sz w:val="24"/>
          <w:highlight w:val="none"/>
        </w:rPr>
        <w:t>2.</w:t>
      </w:r>
      <w:r>
        <w:rPr>
          <w:rFonts w:hint="eastAsia" w:ascii="宋体" w:hAnsi="宋体"/>
          <w:b/>
          <w:bCs/>
          <w:color w:val="auto"/>
          <w:sz w:val="24"/>
          <w:highlight w:val="none"/>
        </w:rPr>
        <w:t>资格文件目录</w:t>
      </w:r>
    </w:p>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）投标声明书————————（页码）</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）有效的营业执照、税务登记证、组织机构代码证或“三证合一”的营业执照或“五证合一”的营业执照————————</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（3）法定代表人有效身份证明书或法定代表人授权书</w:t>
      </w:r>
      <w:r>
        <w:rPr>
          <w:rFonts w:ascii="宋体" w:hAnsi="宋体"/>
          <w:color w:val="auto"/>
          <w:sz w:val="24"/>
          <w:highlight w:val="none"/>
        </w:rPr>
        <w:t>及授权代理人社保证明复印件（社保机构出具的由本单位或分公司为其缴纳的</w:t>
      </w:r>
      <w:r>
        <w:rPr>
          <w:rFonts w:hint="eastAsia" w:ascii="宋体" w:hAnsi="宋体" w:cs="宋体"/>
          <w:color w:val="auto"/>
          <w:kern w:val="0"/>
          <w:sz w:val="24"/>
          <w:highlight w:val="none"/>
        </w:rPr>
        <w:t>最近一个月</w:t>
      </w:r>
      <w:r>
        <w:rPr>
          <w:rFonts w:ascii="宋体" w:hAnsi="宋体"/>
          <w:color w:val="auto"/>
          <w:sz w:val="24"/>
          <w:highlight w:val="none"/>
        </w:rPr>
        <w:t>的社保证明）</w:t>
      </w:r>
      <w:r>
        <w:rPr>
          <w:rFonts w:hint="eastAsia" w:ascii="宋体" w:hAnsi="宋体"/>
          <w:color w:val="auto"/>
          <w:sz w:val="24"/>
          <w:highlight w:val="none"/>
        </w:rPr>
        <w:t>————————</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（4）投标承诺书———————</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w:t>
      </w:r>
      <w:r>
        <w:rPr>
          <w:rFonts w:hint="eastAsia" w:ascii="宋体" w:hAnsi="宋体" w:cs="宋体"/>
          <w:color w:val="auto"/>
          <w:sz w:val="24"/>
          <w:highlight w:val="none"/>
        </w:rPr>
        <w:t>信用承诺书</w:t>
      </w:r>
      <w:r>
        <w:rPr>
          <w:rFonts w:hint="eastAsia" w:ascii="宋体" w:hAnsi="宋体"/>
          <w:color w:val="auto"/>
          <w:sz w:val="24"/>
          <w:highlight w:val="none"/>
        </w:rPr>
        <w:t>———————</w:t>
      </w:r>
    </w:p>
    <w:p>
      <w:pPr>
        <w:snapToGrid w:val="0"/>
        <w:spacing w:line="360" w:lineRule="auto"/>
        <w:jc w:val="left"/>
        <w:rPr>
          <w:rFonts w:ascii="宋体" w:hAnsi="宋体"/>
          <w:color w:val="auto"/>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6</w:t>
      </w:r>
      <w:r>
        <w:rPr>
          <w:rFonts w:hint="eastAsia" w:ascii="宋体" w:hAnsi="宋体" w:cs="Arial"/>
          <w:color w:val="auto"/>
          <w:kern w:val="0"/>
          <w:sz w:val="24"/>
          <w:highlight w:val="none"/>
        </w:rPr>
        <w:t>）</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pPr>
        <w:snapToGrid w:val="0"/>
        <w:spacing w:line="360" w:lineRule="auto"/>
        <w:jc w:val="left"/>
        <w:rPr>
          <w:rFonts w:ascii="宋体" w:hAnsi="宋体"/>
          <w:color w:val="auto"/>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7</w:t>
      </w:r>
      <w:r>
        <w:rPr>
          <w:rFonts w:hint="eastAsia" w:ascii="宋体" w:hAnsi="宋体" w:cs="Arial"/>
          <w:color w:val="auto"/>
          <w:kern w:val="0"/>
          <w:sz w:val="24"/>
          <w:highlight w:val="none"/>
        </w:rPr>
        <w:t>）</w:t>
      </w:r>
      <w:bookmarkStart w:id="82" w:name="OLE_LINK117"/>
      <w:r>
        <w:rPr>
          <w:rFonts w:hint="eastAsia" w:ascii="宋体" w:hAnsi="宋体"/>
          <w:color w:val="auto"/>
          <w:kern w:val="0"/>
          <w:sz w:val="24"/>
          <w:highlight w:val="none"/>
        </w:rPr>
        <w:t>联合体各方共同投标协议（如有，格式自拟）</w:t>
      </w:r>
      <w:bookmarkEnd w:id="82"/>
      <w:r>
        <w:rPr>
          <w:rFonts w:hint="eastAsia" w:ascii="宋体" w:hAnsi="宋体"/>
          <w:color w:val="auto"/>
          <w:sz w:val="24"/>
          <w:highlight w:val="none"/>
        </w:rPr>
        <w:t>————————</w:t>
      </w:r>
    </w:p>
    <w:p>
      <w:pPr>
        <w:pStyle w:val="11"/>
        <w:rPr>
          <w:color w:val="auto"/>
          <w:highlight w:val="none"/>
        </w:rPr>
      </w:pPr>
    </w:p>
    <w:p>
      <w:pPr>
        <w:rPr>
          <w:color w:val="auto"/>
          <w:highlight w:val="none"/>
        </w:rPr>
      </w:pPr>
    </w:p>
    <w:p>
      <w:pPr>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napToGrid w:val="0"/>
        <w:spacing w:line="360" w:lineRule="auto"/>
        <w:jc w:val="left"/>
        <w:rPr>
          <w:rFonts w:ascii="宋体" w:hAnsi="宋体"/>
          <w:color w:val="auto"/>
          <w:sz w:val="24"/>
          <w:szCs w:val="20"/>
          <w:highlight w:val="none"/>
        </w:rPr>
      </w:pPr>
      <w:r>
        <w:rPr>
          <w:rFonts w:hint="eastAsia" w:ascii="宋体" w:hAnsi="宋体"/>
          <w:color w:val="auto"/>
          <w:highlight w:val="none"/>
        </w:rPr>
        <w:t>3</w:t>
      </w:r>
      <w:r>
        <w:rPr>
          <w:rFonts w:hint="eastAsia" w:ascii="宋体" w:hAnsi="宋体"/>
          <w:color w:val="auto"/>
          <w:sz w:val="24"/>
          <w:highlight w:val="none"/>
        </w:rPr>
        <w:t>.投标声明书格式：</w:t>
      </w:r>
    </w:p>
    <w:p>
      <w:pPr>
        <w:snapToGrid w:val="0"/>
        <w:spacing w:line="360" w:lineRule="auto"/>
        <w:jc w:val="center"/>
        <w:rPr>
          <w:rFonts w:ascii="宋体" w:hAnsi="宋体"/>
          <w:color w:val="auto"/>
          <w:sz w:val="24"/>
          <w:szCs w:val="20"/>
          <w:highlight w:val="none"/>
        </w:rPr>
      </w:pPr>
      <w:r>
        <w:rPr>
          <w:rFonts w:hint="eastAsia" w:ascii="宋体" w:hAnsi="宋体"/>
          <w:color w:val="auto"/>
          <w:sz w:val="30"/>
          <w:highlight w:val="none"/>
        </w:rPr>
        <w:t>投标声明书</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pPr>
        <w:snapToGrid w:val="0"/>
        <w:spacing w:line="360" w:lineRule="auto"/>
        <w:ind w:firstLine="720" w:firstLineChars="300"/>
        <w:rPr>
          <w:rFonts w:ascii="宋体" w:hAnsi="宋体"/>
          <w:color w:val="auto"/>
          <w:sz w:val="24"/>
          <w:szCs w:val="20"/>
          <w:highlight w:val="none"/>
        </w:rPr>
      </w:pP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（投标人名称）系中华人民共和国合法企业，经营地址。</w:t>
      </w:r>
    </w:p>
    <w:p>
      <w:pPr>
        <w:snapToGrid w:val="0"/>
        <w:spacing w:line="360" w:lineRule="auto"/>
        <w:ind w:firstLine="645"/>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w:t>
      </w:r>
      <w:r>
        <w:rPr>
          <w:rFonts w:ascii="宋体" w:hAnsi="宋体"/>
          <w:color w:val="auto"/>
          <w:sz w:val="24"/>
          <w:highlight w:val="none"/>
          <w:u w:val="single"/>
        </w:rPr>
        <w:t xml:space="preserve">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（投标人名称）的法定代表人，我方愿意参加贵方组织的</w:t>
      </w:r>
      <w:r>
        <w:rPr>
          <w:rFonts w:ascii="宋体" w:hAnsi="宋体"/>
          <w:color w:val="auto"/>
          <w:sz w:val="24"/>
          <w:highlight w:val="none"/>
        </w:rPr>
        <w:t>_____</w:t>
      </w:r>
      <w:r>
        <w:rPr>
          <w:rFonts w:ascii="宋体" w:hAnsi="宋体"/>
          <w:color w:val="auto"/>
          <w:sz w:val="24"/>
          <w:highlight w:val="none"/>
          <w:u w:val="single"/>
        </w:rPr>
        <w:t>_              _     _</w:t>
      </w:r>
      <w:r>
        <w:rPr>
          <w:rFonts w:ascii="宋体" w:hAnsi="宋体"/>
          <w:color w:val="auto"/>
          <w:sz w:val="24"/>
          <w:highlight w:val="none"/>
        </w:rPr>
        <w:t>_</w:t>
      </w:r>
      <w:r>
        <w:rPr>
          <w:rFonts w:hint="eastAsia" w:ascii="宋体" w:hAnsi="宋体"/>
          <w:color w:val="auto"/>
          <w:sz w:val="24"/>
          <w:highlight w:val="none"/>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我方向贵方提交的所有投标文件、资料都是准确的和真实的</w:t>
      </w:r>
      <w:r>
        <w:rPr>
          <w:rFonts w:hint="eastAsia" w:ascii="宋体" w:hAnsi="宋体"/>
          <w:color w:val="auto"/>
          <w:sz w:val="24"/>
          <w:highlight w:val="none"/>
        </w:rPr>
        <w:t>。</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我方诚意提请贵方关注：</w:t>
      </w:r>
      <w:r>
        <w:rPr>
          <w:rFonts w:hint="eastAsia" w:ascii="宋体" w:hAnsi="宋体"/>
          <w:color w:val="auto"/>
          <w:sz w:val="24"/>
          <w:highlight w:val="none"/>
        </w:rPr>
        <w:t>近期</w:t>
      </w:r>
      <w:r>
        <w:rPr>
          <w:rFonts w:ascii="宋体" w:hAnsi="宋体"/>
          <w:color w:val="auto"/>
          <w:sz w:val="24"/>
          <w:highlight w:val="none"/>
        </w:rPr>
        <w:t>有关该型号产品的</w:t>
      </w:r>
      <w:r>
        <w:rPr>
          <w:rFonts w:hint="eastAsia" w:ascii="宋体" w:hAnsi="宋体"/>
          <w:color w:val="auto"/>
          <w:sz w:val="24"/>
          <w:highlight w:val="none"/>
        </w:rPr>
        <w:t>生产、供货、售后服务以及性能等方面的重大决策和事项有：</w:t>
      </w:r>
    </w:p>
    <w:p>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u w:val="single"/>
        </w:rPr>
        <w:t>　　　　　　　　　　　　　　　　　　　　　　　　　　　</w:t>
      </w:r>
    </w:p>
    <w:p>
      <w:pPr>
        <w:pStyle w:val="2"/>
        <w:snapToGrid w:val="0"/>
        <w:spacing w:line="360" w:lineRule="auto"/>
        <w:rPr>
          <w:rFonts w:ascii="宋体" w:hAnsi="宋体"/>
          <w:color w:val="auto"/>
          <w:kern w:val="2"/>
          <w:sz w:val="24"/>
          <w:szCs w:val="24"/>
          <w:highlight w:val="none"/>
        </w:rPr>
      </w:pPr>
      <w:r>
        <w:rPr>
          <w:rFonts w:ascii="宋体" w:hAnsi="宋体"/>
          <w:color w:val="auto"/>
          <w:kern w:val="2"/>
          <w:sz w:val="24"/>
          <w:szCs w:val="24"/>
          <w:highlight w:val="none"/>
        </w:rPr>
        <w:t>4</w:t>
      </w:r>
      <w:r>
        <w:rPr>
          <w:rFonts w:hint="eastAsia" w:ascii="宋体" w:hAnsi="宋体"/>
          <w:color w:val="auto"/>
          <w:kern w:val="2"/>
          <w:sz w:val="24"/>
          <w:szCs w:val="24"/>
          <w:highlight w:val="none"/>
        </w:rPr>
        <w:t>.我方及由本人担任法定代表人的其他机构</w:t>
      </w:r>
      <w:r>
        <w:rPr>
          <w:rFonts w:ascii="宋体" w:hAnsi="宋体"/>
          <w:color w:val="auto"/>
          <w:kern w:val="2"/>
          <w:sz w:val="24"/>
          <w:szCs w:val="24"/>
          <w:highlight w:val="none"/>
        </w:rPr>
        <w:t>最近三年内被</w:t>
      </w:r>
      <w:r>
        <w:rPr>
          <w:rFonts w:hint="eastAsia" w:ascii="宋体" w:hAnsi="宋体"/>
          <w:color w:val="auto"/>
          <w:kern w:val="2"/>
          <w:sz w:val="24"/>
          <w:szCs w:val="24"/>
          <w:highlight w:val="none"/>
        </w:rPr>
        <w:t>通报或者被处罚的</w:t>
      </w:r>
      <w:r>
        <w:rPr>
          <w:rFonts w:ascii="宋体" w:hAnsi="宋体"/>
          <w:color w:val="auto"/>
          <w:kern w:val="2"/>
          <w:sz w:val="24"/>
          <w:szCs w:val="24"/>
          <w:highlight w:val="none"/>
        </w:rPr>
        <w:t>违法行为有：</w:t>
      </w:r>
    </w:p>
    <w:p>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.以上事项如有虚假或隐瞒，我方愿意承担一切后果，并不再寻求任何旨在减轻或免除法律责任的辩解。</w:t>
      </w:r>
    </w:p>
    <w:p>
      <w:pPr>
        <w:pStyle w:val="36"/>
        <w:snapToGrid w:val="0"/>
        <w:spacing w:line="360" w:lineRule="auto"/>
        <w:ind w:firstLine="220"/>
        <w:rPr>
          <w:rFonts w:ascii="宋体" w:hAnsi="宋体"/>
          <w:color w:val="auto"/>
          <w:highlight w:val="none"/>
        </w:rPr>
      </w:pPr>
    </w:p>
    <w:p>
      <w:pPr>
        <w:snapToGrid w:val="0"/>
        <w:spacing w:line="360" w:lineRule="auto"/>
        <w:ind w:firstLine="200"/>
        <w:rPr>
          <w:rFonts w:ascii="宋体" w:hAnsi="宋体"/>
          <w:color w:val="auto"/>
          <w:sz w:val="24"/>
          <w:szCs w:val="20"/>
          <w:highlight w:val="none"/>
          <w:u w:val="single"/>
        </w:rPr>
      </w:pPr>
      <w:r>
        <w:rPr>
          <w:rFonts w:hint="eastAsia" w:ascii="宋体" w:hAnsi="宋体"/>
          <w:color w:val="auto"/>
          <w:sz w:val="24"/>
          <w:highlight w:val="none"/>
        </w:rPr>
        <w:t>法定代表人签字：</w:t>
      </w:r>
    </w:p>
    <w:p>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投标人公章：</w:t>
      </w:r>
      <w:r>
        <w:rPr>
          <w:rFonts w:ascii="宋体" w:hAnsi="宋体"/>
          <w:color w:val="auto"/>
          <w:sz w:val="24"/>
          <w:highlight w:val="none"/>
        </w:rPr>
        <w:t xml:space="preserve">                      年    月    日</w:t>
      </w:r>
    </w:p>
    <w:p>
      <w:pPr>
        <w:pStyle w:val="11"/>
        <w:rPr>
          <w:color w:val="auto"/>
          <w:highlight w:val="none"/>
        </w:rPr>
      </w:pPr>
    </w:p>
    <w:p>
      <w:pPr>
        <w:pStyle w:val="37"/>
        <w:rPr>
          <w:color w:val="auto"/>
          <w:highlight w:val="none"/>
        </w:rPr>
      </w:pPr>
    </w:p>
    <w:p>
      <w:pPr>
        <w:snapToGrid w:val="0"/>
        <w:spacing w:line="360" w:lineRule="auto"/>
        <w:rPr>
          <w:rFonts w:ascii="宋体" w:hAnsi="宋体"/>
          <w:color w:val="auto"/>
          <w:sz w:val="24"/>
          <w:szCs w:val="20"/>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4. 有效的营业执照、税务登记证、组织机构代码证或“三证合一”的营业执照或“五证合一”的营业执照复印件</w:t>
      </w:r>
    </w:p>
    <w:p>
      <w:pPr>
        <w:pStyle w:val="2"/>
        <w:rPr>
          <w:color w:val="auto"/>
          <w:highlight w:val="none"/>
        </w:rPr>
      </w:pPr>
    </w:p>
    <w:p>
      <w:pPr>
        <w:snapToGrid w:val="0"/>
        <w:spacing w:line="360" w:lineRule="auto"/>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5.法定代表人有效身份证明书格式：</w:t>
      </w:r>
    </w:p>
    <w:p>
      <w:pPr>
        <w:snapToGrid w:val="0"/>
        <w:spacing w:line="360" w:lineRule="auto"/>
        <w:rPr>
          <w:rFonts w:ascii="宋体" w:hAnsi="宋体"/>
          <w:color w:val="auto"/>
          <w:sz w:val="24"/>
          <w:highlight w:val="none"/>
        </w:rPr>
      </w:pP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法定代表人有效身份证明书</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（姓名）是（投标人全称）的法定代表人，身份证号码为 ______________。</w:t>
      </w:r>
    </w:p>
    <w:p>
      <w:pPr>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rPr>
        <w:t>特此证明。</w:t>
      </w:r>
    </w:p>
    <w:p>
      <w:pPr>
        <w:spacing w:line="500" w:lineRule="exact"/>
        <w:jc w:val="left"/>
        <w:rPr>
          <w:rFonts w:ascii="宋体" w:hAnsi="宋体"/>
          <w:color w:val="auto"/>
          <w:sz w:val="24"/>
          <w:highlight w:val="none"/>
        </w:rPr>
      </w:pPr>
    </w:p>
    <w:p>
      <w:pPr>
        <w:spacing w:line="500" w:lineRule="exact"/>
        <w:jc w:val="left"/>
        <w:rPr>
          <w:rFonts w:ascii="宋体" w:hAnsi="宋体"/>
          <w:color w:val="auto"/>
          <w:sz w:val="24"/>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pPr>
        <w:spacing w:line="500" w:lineRule="exact"/>
        <w:jc w:val="left"/>
        <w:rPr>
          <w:rFonts w:ascii="宋体" w:hAnsi="宋体"/>
          <w:color w:val="auto"/>
          <w:sz w:val="24"/>
          <w:highlight w:val="none"/>
        </w:rPr>
      </w:pPr>
      <w:r>
        <w:rPr>
          <w:rFonts w:hint="eastAsia" w:ascii="宋体" w:hAnsi="宋体"/>
          <w:color w:val="auto"/>
          <w:sz w:val="24"/>
          <w:highlight w:val="none"/>
        </w:rPr>
        <w:t>法定代表人（签名）：</w:t>
      </w:r>
    </w:p>
    <w:p>
      <w:pPr>
        <w:spacing w:line="500" w:lineRule="exact"/>
        <w:jc w:val="left"/>
        <w:rPr>
          <w:rFonts w:ascii="宋体" w:hAnsi="宋体"/>
          <w:color w:val="auto"/>
          <w:sz w:val="24"/>
          <w:highlight w:val="none"/>
        </w:rPr>
      </w:pPr>
    </w:p>
    <w:p>
      <w:pPr>
        <w:spacing w:line="500" w:lineRule="exact"/>
        <w:jc w:val="left"/>
        <w:rPr>
          <w:rFonts w:ascii="宋体" w:hAnsi="宋体"/>
          <w:color w:val="auto"/>
          <w:sz w:val="24"/>
          <w:highlight w:val="none"/>
        </w:rPr>
      </w:pPr>
      <w:r>
        <w:rPr>
          <w:rFonts w:hint="eastAsia" w:ascii="宋体" w:hAnsi="宋体"/>
          <w:color w:val="auto"/>
          <w:sz w:val="24"/>
          <w:highlight w:val="none"/>
        </w:rPr>
        <w:t>日期：      年   月   日</w:t>
      </w:r>
    </w:p>
    <w:p>
      <w:pPr>
        <w:spacing w:line="50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p>
      <w:pPr>
        <w:spacing w:line="500" w:lineRule="exact"/>
        <w:jc w:val="center"/>
        <w:rPr>
          <w:rFonts w:ascii="仿宋" w:hAnsi="仿宋" w:eastAsia="仿宋" w:cs="宋体"/>
          <w:color w:val="auto"/>
          <w:kern w:val="0"/>
          <w:sz w:val="24"/>
          <w:highlight w:val="none"/>
        </w:rPr>
      </w:pPr>
    </w:p>
    <w:p>
      <w:pPr>
        <w:spacing w:line="500" w:lineRule="exact"/>
        <w:jc w:val="center"/>
        <w:rPr>
          <w:rFonts w:ascii="宋体" w:hAnsi="宋体"/>
          <w:color w:val="auto"/>
          <w:sz w:val="24"/>
          <w:highlight w:val="none"/>
        </w:rPr>
      </w:pPr>
      <w:r>
        <w:rPr>
          <w:rFonts w:hint="eastAsia" w:ascii="宋体" w:hAnsi="宋体"/>
          <w:color w:val="auto"/>
          <w:sz w:val="24"/>
          <w:highlight w:val="none"/>
        </w:rPr>
        <w:t>有效身份证明复印件粘贴处</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法定代表人授权委托书格式：</w:t>
      </w:r>
    </w:p>
    <w:p>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pPr>
        <w:snapToGrid w:val="0"/>
        <w:spacing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pPr>
        <w:snapToGrid w:val="0"/>
        <w:spacing w:line="360" w:lineRule="auto"/>
        <w:ind w:firstLine="720" w:firstLineChars="300"/>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（投标人名称）的法定代表人，现授权委托本单位在职职工（姓名）以我方的名义参加</w:t>
      </w:r>
      <w:r>
        <w:rPr>
          <w:rFonts w:hint="eastAsia" w:ascii="宋体" w:hAnsi="宋体"/>
          <w:color w:val="auto"/>
          <w:spacing w:val="-20"/>
          <w:sz w:val="24"/>
          <w:highlight w:val="none"/>
          <w:u w:val="single"/>
        </w:rPr>
        <w:t>湖州市中心医院2025-2028年度机电运维管理项目</w:t>
      </w:r>
      <w:r>
        <w:rPr>
          <w:rFonts w:hint="eastAsia" w:ascii="宋体" w:hAnsi="宋体"/>
          <w:color w:val="auto"/>
          <w:sz w:val="24"/>
          <w:highlight w:val="none"/>
        </w:rPr>
        <w:t>的投标活动，并代表我方全权办理针对上述项目的投标、开标、评标、签约等具体事务和签署相关文件。</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我方对被授权人的签名事项负全部责任。</w:t>
      </w:r>
    </w:p>
    <w:p>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pPr>
        <w:snapToGrid w:val="0"/>
        <w:spacing w:line="360" w:lineRule="auto"/>
        <w:rPr>
          <w:rFonts w:ascii="宋体" w:hAnsi="宋体"/>
          <w:color w:val="auto"/>
          <w:sz w:val="24"/>
          <w:szCs w:val="20"/>
          <w:highlight w:val="none"/>
        </w:rPr>
      </w:pPr>
    </w:p>
    <w:p>
      <w:pPr>
        <w:snapToGrid w:val="0"/>
        <w:spacing w:line="360" w:lineRule="auto"/>
        <w:rPr>
          <w:rFonts w:ascii="宋体" w:hAnsi="宋体"/>
          <w:color w:val="auto"/>
          <w:sz w:val="24"/>
          <w:szCs w:val="20"/>
          <w:highlight w:val="none"/>
          <w:u w:val="single"/>
        </w:rPr>
      </w:pPr>
      <w:r>
        <w:rPr>
          <w:rFonts w:hint="eastAsia" w:ascii="宋体" w:hAnsi="宋体"/>
          <w:color w:val="auto"/>
          <w:sz w:val="24"/>
          <w:highlight w:val="none"/>
        </w:rPr>
        <w:t>被授权人签名： 法定代表人签名：</w:t>
      </w:r>
    </w:p>
    <w:p>
      <w:pPr>
        <w:snapToGrid w:val="0"/>
        <w:spacing w:line="360" w:lineRule="auto"/>
        <w:ind w:firstLine="960" w:firstLineChars="400"/>
        <w:rPr>
          <w:rFonts w:ascii="宋体" w:hAnsi="宋体"/>
          <w:color w:val="auto"/>
          <w:sz w:val="24"/>
          <w:szCs w:val="20"/>
          <w:highlight w:val="none"/>
        </w:rPr>
      </w:pPr>
      <w:r>
        <w:rPr>
          <w:rFonts w:hint="eastAsia" w:ascii="宋体" w:hAnsi="宋体"/>
          <w:color w:val="auto"/>
          <w:sz w:val="24"/>
          <w:highlight w:val="none"/>
        </w:rPr>
        <w:t>职务： 职务：</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被授权人身份证号码：</w:t>
      </w:r>
    </w:p>
    <w:p>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pPr>
        <w:pStyle w:val="6"/>
        <w:spacing w:line="360" w:lineRule="auto"/>
        <w:ind w:firstLine="374" w:firstLineChars="156"/>
        <w:rPr>
          <w:rFonts w:ascii="宋体" w:hAnsi="宋体"/>
          <w:color w:val="auto"/>
          <w:sz w:val="24"/>
          <w:szCs w:val="24"/>
          <w:highlight w:val="none"/>
        </w:rPr>
      </w:pPr>
      <w:r>
        <w:rPr>
          <w:rFonts w:hint="eastAsia" w:ascii="宋体" w:hAnsi="宋体"/>
          <w:color w:val="auto"/>
          <w:sz w:val="24"/>
          <w:szCs w:val="24"/>
          <w:highlight w:val="none"/>
        </w:rPr>
        <w:t>————————————————————-----------</w:t>
      </w:r>
    </w:p>
    <w:p>
      <w:pPr>
        <w:pStyle w:val="6"/>
        <w:spacing w:line="360" w:lineRule="auto"/>
        <w:ind w:firstLine="374" w:firstLineChars="156"/>
        <w:jc w:val="center"/>
        <w:rPr>
          <w:rFonts w:ascii="宋体" w:hAnsi="宋体"/>
          <w:color w:val="auto"/>
          <w:sz w:val="24"/>
          <w:szCs w:val="24"/>
          <w:highlight w:val="none"/>
        </w:rPr>
      </w:pPr>
    </w:p>
    <w:p>
      <w:pPr>
        <w:pStyle w:val="6"/>
        <w:spacing w:line="360" w:lineRule="auto"/>
        <w:ind w:firstLine="374" w:firstLineChars="156"/>
        <w:jc w:val="center"/>
        <w:rPr>
          <w:rFonts w:ascii="宋体" w:hAnsi="宋体"/>
          <w:color w:val="auto"/>
          <w:sz w:val="24"/>
          <w:szCs w:val="24"/>
          <w:highlight w:val="none"/>
        </w:rPr>
      </w:pPr>
      <w:r>
        <w:rPr>
          <w:rFonts w:hint="eastAsia" w:ascii="宋体" w:hAnsi="宋体"/>
          <w:color w:val="auto"/>
          <w:sz w:val="24"/>
          <w:szCs w:val="24"/>
          <w:highlight w:val="none"/>
        </w:rPr>
        <w:t>授权代理人有效身份证明复印件粘贴处</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年月日</w:t>
      </w:r>
    </w:p>
    <w:p>
      <w:pPr>
        <w:snapToGrid w:val="0"/>
        <w:spacing w:beforeLines="50" w:after="50"/>
        <w:rPr>
          <w:color w:val="auto"/>
          <w:sz w:val="24"/>
          <w:highlight w:val="none"/>
        </w:rPr>
      </w:pPr>
      <w:r>
        <w:rPr>
          <w:rFonts w:hint="eastAsia"/>
          <w:color w:val="auto"/>
          <w:sz w:val="24"/>
          <w:highlight w:val="none"/>
        </w:rPr>
        <w:t>附：</w:t>
      </w:r>
      <w:r>
        <w:rPr>
          <w:color w:val="auto"/>
          <w:sz w:val="24"/>
          <w:highlight w:val="none"/>
        </w:rPr>
        <w:t>授权代理人社保证明复印件</w:t>
      </w:r>
      <w:r>
        <w:rPr>
          <w:rFonts w:hint="eastAsia"/>
          <w:color w:val="auto"/>
          <w:sz w:val="24"/>
          <w:highlight w:val="none"/>
        </w:rPr>
        <w:t>（</w:t>
      </w:r>
      <w:r>
        <w:rPr>
          <w:color w:val="auto"/>
          <w:sz w:val="24"/>
          <w:highlight w:val="none"/>
        </w:rPr>
        <w:t>社保机构出具的由本单位或分公司为其缴纳的近1个月的社保证明</w:t>
      </w:r>
      <w:r>
        <w:rPr>
          <w:rFonts w:hint="eastAsia"/>
          <w:color w:val="auto"/>
          <w:sz w:val="24"/>
          <w:highlight w:val="none"/>
        </w:rPr>
        <w:t>）</w:t>
      </w:r>
    </w:p>
    <w:p>
      <w:pPr>
        <w:snapToGrid w:val="0"/>
        <w:spacing w:line="360" w:lineRule="auto"/>
        <w:rPr>
          <w:rFonts w:ascii="宋体" w:hAnsi="宋体"/>
          <w:color w:val="auto"/>
          <w:highlight w:val="none"/>
        </w:rPr>
      </w:pPr>
    </w:p>
    <w:p>
      <w:pPr>
        <w:rPr>
          <w:color w:val="auto"/>
          <w:highlight w:val="none"/>
        </w:rPr>
      </w:pPr>
    </w:p>
    <w:p>
      <w:pPr>
        <w:snapToGrid w:val="0"/>
        <w:spacing w:line="560" w:lineRule="exact"/>
        <w:rPr>
          <w:color w:val="auto"/>
          <w:sz w:val="24"/>
          <w:highlight w:val="none"/>
        </w:rPr>
      </w:pPr>
      <w:r>
        <w:rPr>
          <w:rFonts w:ascii="宋体" w:hAnsi="宋体"/>
          <w:color w:val="auto"/>
          <w:sz w:val="24"/>
          <w:highlight w:val="none"/>
        </w:rPr>
        <w:t>7.</w:t>
      </w:r>
      <w:r>
        <w:rPr>
          <w:rFonts w:hint="eastAsia"/>
          <w:color w:val="auto"/>
          <w:sz w:val="24"/>
          <w:highlight w:val="none"/>
        </w:rPr>
        <w:t>投标承诺书</w:t>
      </w:r>
    </w:p>
    <w:p>
      <w:pPr>
        <w:snapToGrid w:val="0"/>
        <w:spacing w:beforeLines="50" w:after="50" w:line="500" w:lineRule="exact"/>
        <w:rPr>
          <w:color w:val="auto"/>
          <w:sz w:val="24"/>
          <w:highlight w:val="none"/>
        </w:rPr>
      </w:pPr>
      <w:r>
        <w:rPr>
          <w:rFonts w:hint="eastAsia"/>
          <w:color w:val="auto"/>
          <w:sz w:val="24"/>
          <w:highlight w:val="none"/>
        </w:rPr>
        <w:t>（投标人）现参加               （项目名称）政府采购活动，我单位承诺如下：</w:t>
      </w:r>
    </w:p>
    <w:p>
      <w:pPr>
        <w:numPr>
          <w:ilvl w:val="0"/>
          <w:numId w:val="4"/>
        </w:numPr>
        <w:snapToGrid w:val="0"/>
        <w:spacing w:beforeLines="50" w:after="50" w:line="500" w:lineRule="exact"/>
        <w:ind w:firstLine="480" w:firstLineChars="200"/>
        <w:rPr>
          <w:color w:val="auto"/>
          <w:sz w:val="24"/>
          <w:highlight w:val="none"/>
        </w:rPr>
      </w:pPr>
      <w:r>
        <w:rPr>
          <w:rFonts w:hint="eastAsia"/>
          <w:color w:val="auto"/>
          <w:sz w:val="24"/>
          <w:highlight w:val="none"/>
        </w:rPr>
        <w:t>符合参与政府采购活动的资格条件（符合《中华人民共和国政府采购法》第二十二条规定和浙财采监【2013】24号《关于规范政府采购投标人资格设定及资格审查的通知》第六条规定；未被“信用中国”（www.creditchina.gov.cn）、“中国政府采购网”（www.ccgp.gov.cn）列入失信被执行人、重大税收违法案件当事人名单、政府采购严重违法失信行为记录名单）。</w:t>
      </w:r>
    </w:p>
    <w:p>
      <w:pPr>
        <w:numPr>
          <w:ilvl w:val="0"/>
          <w:numId w:val="4"/>
        </w:numPr>
        <w:snapToGrid w:val="0"/>
        <w:spacing w:beforeLines="50" w:after="50" w:line="500" w:lineRule="exact"/>
        <w:ind w:firstLine="480" w:firstLineChars="200"/>
        <w:rPr>
          <w:color w:val="auto"/>
          <w:sz w:val="24"/>
          <w:highlight w:val="none"/>
        </w:rPr>
      </w:pPr>
      <w:r>
        <w:rPr>
          <w:rFonts w:hint="eastAsia"/>
          <w:color w:val="auto"/>
          <w:sz w:val="24"/>
          <w:highlight w:val="none"/>
        </w:rPr>
        <w:t>没有税收缴纳、社会保障等方面的失信记录，若违背以上承诺的，我单位愿意承担相应法律后果和责任，并依法依规列入严重失信名单。</w:t>
      </w:r>
    </w:p>
    <w:p>
      <w:pPr>
        <w:snapToGrid w:val="0"/>
        <w:spacing w:beforeLines="50" w:after="50" w:line="500" w:lineRule="exact"/>
        <w:rPr>
          <w:color w:val="auto"/>
          <w:sz w:val="24"/>
          <w:highlight w:val="none"/>
        </w:rPr>
      </w:pPr>
    </w:p>
    <w:p>
      <w:pPr>
        <w:snapToGrid w:val="0"/>
        <w:spacing w:beforeLines="50" w:after="50" w:line="500" w:lineRule="exact"/>
        <w:rPr>
          <w:color w:val="auto"/>
          <w:sz w:val="24"/>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pPr>
        <w:snapToGrid w:val="0"/>
        <w:spacing w:beforeLines="50" w:after="50" w:line="500" w:lineRule="exact"/>
        <w:rPr>
          <w:color w:val="auto"/>
          <w:sz w:val="24"/>
          <w:highlight w:val="none"/>
        </w:rPr>
      </w:pPr>
      <w:r>
        <w:rPr>
          <w:rFonts w:hint="eastAsia"/>
          <w:color w:val="auto"/>
          <w:sz w:val="24"/>
          <w:highlight w:val="none"/>
        </w:rPr>
        <w:t>时  间：     年     月    日</w:t>
      </w:r>
    </w:p>
    <w:p>
      <w:pPr>
        <w:snapToGrid w:val="0"/>
        <w:spacing w:line="360" w:lineRule="auto"/>
        <w:rPr>
          <w:color w:val="auto"/>
          <w:sz w:val="24"/>
          <w:highlight w:val="none"/>
        </w:rPr>
      </w:pPr>
      <w:r>
        <w:rPr>
          <w:color w:val="auto"/>
          <w:sz w:val="24"/>
          <w:highlight w:val="none"/>
        </w:rPr>
        <w:br w:type="page"/>
      </w:r>
    </w:p>
    <w:p>
      <w:pPr>
        <w:snapToGrid w:val="0"/>
        <w:spacing w:line="360" w:lineRule="auto"/>
        <w:jc w:val="left"/>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.信用承诺书</w:t>
      </w:r>
    </w:p>
    <w:p>
      <w:pPr>
        <w:tabs>
          <w:tab w:val="left" w:pos="1650"/>
        </w:tabs>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信用承诺书</w:t>
      </w:r>
    </w:p>
    <w:p>
      <w:pPr>
        <w:tabs>
          <w:tab w:val="left" w:pos="1650"/>
        </w:tabs>
        <w:spacing w:line="360" w:lineRule="auto"/>
        <w:jc w:val="left"/>
        <w:rPr>
          <w:rFonts w:ascii="宋体" w:hAnsi="宋体"/>
          <w:color w:val="auto"/>
          <w:sz w:val="24"/>
          <w:highlight w:val="none"/>
        </w:rPr>
      </w:pPr>
      <w:r>
        <w:rPr>
          <w:rFonts w:hint="eastAsia" w:ascii="宋体" w:hAnsi="宋体"/>
          <w:color w:val="auto"/>
          <w:sz w:val="24"/>
          <w:highlight w:val="none"/>
        </w:rPr>
        <w:t>（投标单位）现参加（采购项目）政府采购活动，郑重承诺如下：</w:t>
      </w:r>
    </w:p>
    <w:p>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对所提供的资料合法性、真实性、准确性和有效性负责；</w:t>
      </w:r>
    </w:p>
    <w:p>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严格按照国家法律、法规和规章，依法开展相关经济活动，全面履行应尽的责任和义务；</w:t>
      </w:r>
    </w:p>
    <w:p>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加强自我约束、自我规范、自我管理，不制假售假、不虚假宣传、不违约毁约、不恶意逃债、不偷税漏税，诚信依法经营；</w:t>
      </w:r>
    </w:p>
    <w:p>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自愿接受行政主管部门的依法检查、违背承诺约定将自愿承担违约责任，并接受法律法规和相关部门规章制度的惩戒和约束；</w:t>
      </w:r>
    </w:p>
    <w:p>
      <w:pPr>
        <w:tabs>
          <w:tab w:val="left" w:pos="1650"/>
        </w:tabs>
        <w:spacing w:line="360" w:lineRule="auto"/>
        <w:ind w:firstLine="630"/>
        <w:rPr>
          <w:rFonts w:ascii="宋体" w:hAnsi="宋体"/>
          <w:color w:val="auto"/>
          <w:sz w:val="24"/>
          <w:highlight w:val="none"/>
        </w:rPr>
      </w:pPr>
      <w:r>
        <w:rPr>
          <w:rFonts w:hint="eastAsia" w:ascii="宋体" w:hAnsi="宋体"/>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pStyle w:val="40"/>
        <w:spacing w:before="0" w:beforeAutospacing="0" w:after="0" w:afterAutospacing="0" w:line="360" w:lineRule="auto"/>
        <w:ind w:firstLine="600" w:firstLineChars="250"/>
        <w:rPr>
          <w:rFonts w:cs="Times New Roman"/>
          <w:color w:val="auto"/>
          <w:kern w:val="2"/>
          <w:highlight w:val="none"/>
        </w:rPr>
      </w:pPr>
      <w:r>
        <w:rPr>
          <w:rFonts w:hint="eastAsia" w:cs="Times New Roman"/>
          <w:color w:val="auto"/>
          <w:kern w:val="2"/>
          <w:highlight w:val="none"/>
        </w:rPr>
        <w:t>统一社会信用代码：</w:t>
      </w:r>
    </w:p>
    <w:p>
      <w:pPr>
        <w:pStyle w:val="40"/>
        <w:spacing w:before="0" w:beforeAutospacing="0" w:after="0" w:afterAutospacing="0" w:line="360" w:lineRule="auto"/>
        <w:ind w:firstLine="600" w:firstLineChars="250"/>
        <w:rPr>
          <w:rFonts w:cs="Times New Roman"/>
          <w:color w:val="auto"/>
          <w:kern w:val="2"/>
          <w:highlight w:val="none"/>
        </w:rPr>
      </w:pPr>
    </w:p>
    <w:p>
      <w:pPr>
        <w:pStyle w:val="40"/>
        <w:spacing w:before="0" w:beforeAutospacing="0" w:after="0" w:afterAutospacing="0" w:line="360" w:lineRule="auto"/>
        <w:ind w:firstLine="565" w:firstLineChars="250"/>
        <w:rPr>
          <w:rFonts w:cs="Times New Roman"/>
          <w:color w:val="auto"/>
          <w:spacing w:val="-7"/>
          <w:highlight w:val="none"/>
        </w:rPr>
      </w:pPr>
    </w:p>
    <w:p>
      <w:pPr>
        <w:pStyle w:val="40"/>
        <w:spacing w:before="0" w:beforeAutospacing="0" w:after="0" w:afterAutospacing="0" w:line="360" w:lineRule="auto"/>
        <w:ind w:firstLine="3240" w:firstLineChars="1350"/>
        <w:rPr>
          <w:rFonts w:cs="Times New Roman"/>
          <w:color w:val="auto"/>
          <w:kern w:val="2"/>
          <w:highlight w:val="none"/>
        </w:rPr>
      </w:pPr>
      <w:r>
        <w:rPr>
          <w:rFonts w:hint="eastAsia" w:cs="Times New Roman"/>
          <w:color w:val="auto"/>
          <w:kern w:val="2"/>
          <w:highlight w:val="none"/>
        </w:rPr>
        <w:t>承诺单位</w:t>
      </w:r>
      <w:r>
        <w:rPr>
          <w:rFonts w:cs="Times New Roman"/>
          <w:color w:val="auto"/>
          <w:kern w:val="2"/>
          <w:highlight w:val="none"/>
        </w:rPr>
        <w:t>/</w:t>
      </w:r>
      <w:r>
        <w:rPr>
          <w:rFonts w:hint="eastAsia" w:cs="Times New Roman"/>
          <w:color w:val="auto"/>
          <w:kern w:val="2"/>
          <w:highlight w:val="none"/>
        </w:rPr>
        <w:t>个人（盖章</w:t>
      </w:r>
      <w:r>
        <w:rPr>
          <w:rFonts w:cs="Times New Roman"/>
          <w:color w:val="auto"/>
          <w:kern w:val="2"/>
          <w:highlight w:val="none"/>
        </w:rPr>
        <w:t>/</w:t>
      </w:r>
      <w:r>
        <w:rPr>
          <w:rFonts w:hint="eastAsia" w:cs="Times New Roman"/>
          <w:color w:val="auto"/>
          <w:kern w:val="2"/>
          <w:highlight w:val="none"/>
        </w:rPr>
        <w:t>签名）</w:t>
      </w:r>
    </w:p>
    <w:p>
      <w:pPr>
        <w:spacing w:line="360" w:lineRule="auto"/>
        <w:ind w:firstLine="3480" w:firstLineChars="1450"/>
        <w:rPr>
          <w:rFonts w:ascii="宋体" w:hAnsi="宋体"/>
          <w:color w:val="auto"/>
          <w:sz w:val="24"/>
          <w:highlight w:val="none"/>
        </w:rPr>
      </w:pPr>
      <w:r>
        <w:rPr>
          <w:rFonts w:hint="eastAsia" w:ascii="宋体" w:hAnsi="宋体"/>
          <w:color w:val="auto"/>
          <w:sz w:val="24"/>
          <w:highlight w:val="none"/>
        </w:rPr>
        <w:t>时间：</w:t>
      </w:r>
      <w:r>
        <w:rPr>
          <w:rFonts w:ascii="宋体" w:hAnsi="宋体"/>
          <w:color w:val="auto"/>
          <w:sz w:val="24"/>
          <w:highlight w:val="none"/>
        </w:rPr>
        <w:t>2025年</w:t>
      </w:r>
      <w:r>
        <w:rPr>
          <w:rFonts w:hint="eastAsia" w:ascii="宋体" w:hAnsi="宋体"/>
          <w:color w:val="auto"/>
          <w:sz w:val="24"/>
          <w:highlight w:val="none"/>
        </w:rPr>
        <w:t xml:space="preserve"> 月 日</w:t>
      </w:r>
    </w:p>
    <w:p>
      <w:pPr>
        <w:pStyle w:val="11"/>
        <w:rPr>
          <w:color w:val="auto"/>
          <w:highlight w:val="none"/>
        </w:rPr>
      </w:pPr>
    </w:p>
    <w:p>
      <w:pPr>
        <w:pStyle w:val="14"/>
        <w:rPr>
          <w:color w:val="auto"/>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9.提供自招标公告发布之日起至投标截止日内任意时间的“信用中国”网站（www.creditchina.gov.cn）、中国政府采购网（www.ccgp.gov.cn）投标人信用查询网页截图</w:t>
      </w:r>
    </w:p>
    <w:p>
      <w:pPr>
        <w:snapToGrid w:val="0"/>
        <w:spacing w:line="360" w:lineRule="auto"/>
        <w:jc w:val="left"/>
        <w:rPr>
          <w:rFonts w:ascii="宋体" w:hAnsi="宋体"/>
          <w:color w:val="auto"/>
          <w:sz w:val="24"/>
          <w:highlight w:val="none"/>
        </w:rPr>
      </w:pPr>
    </w:p>
    <w:p>
      <w:pPr>
        <w:pStyle w:val="11"/>
        <w:rPr>
          <w:color w:val="auto"/>
          <w:highlight w:val="none"/>
        </w:rPr>
      </w:pPr>
    </w:p>
    <w:p>
      <w:pPr>
        <w:rPr>
          <w:color w:val="auto"/>
          <w:highlight w:val="none"/>
        </w:rPr>
      </w:pPr>
    </w:p>
    <w:p>
      <w:pPr>
        <w:pStyle w:val="2"/>
        <w:rPr>
          <w:color w:val="auto"/>
          <w:highlight w:val="none"/>
        </w:rPr>
      </w:pPr>
    </w:p>
    <w:p>
      <w:pPr>
        <w:snapToGrid w:val="0"/>
        <w:spacing w:line="360" w:lineRule="auto"/>
        <w:jc w:val="left"/>
        <w:rPr>
          <w:rFonts w:ascii="宋体" w:hAnsi="宋体" w:cs="宋体"/>
          <w:color w:val="auto"/>
          <w:highlight w:val="none"/>
        </w:rPr>
      </w:pPr>
      <w:r>
        <w:rPr>
          <w:rFonts w:ascii="宋体" w:hAnsi="宋体"/>
          <w:color w:val="auto"/>
          <w:sz w:val="24"/>
          <w:highlight w:val="none"/>
        </w:rPr>
        <w:t>10.</w:t>
      </w:r>
      <w:bookmarkStart w:id="83" w:name="OLE_LINK118"/>
      <w:r>
        <w:rPr>
          <w:rFonts w:hint="eastAsia" w:ascii="宋体" w:hAnsi="宋体"/>
          <w:color w:val="auto"/>
          <w:sz w:val="24"/>
          <w:highlight w:val="none"/>
        </w:rPr>
        <w:t>联合体各方共同投标协议（如有，格式自拟）</w:t>
      </w:r>
      <w:bookmarkEnd w:id="83"/>
    </w:p>
    <w:p>
      <w:pPr>
        <w:pStyle w:val="2"/>
        <w:rPr>
          <w:color w:val="auto"/>
          <w:highlight w:val="none"/>
        </w:rPr>
      </w:pPr>
      <w:r>
        <w:rPr>
          <w:color w:val="auto"/>
          <w:highlight w:val="none"/>
        </w:rPr>
        <w:br w:type="page"/>
      </w:r>
    </w:p>
    <w:p>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二、技术/资信/商务文件格式</w:t>
      </w:r>
    </w:p>
    <w:p>
      <w:pPr>
        <w:snapToGrid w:val="0"/>
        <w:spacing w:line="360" w:lineRule="auto"/>
        <w:jc w:val="center"/>
        <w:rPr>
          <w:rFonts w:ascii="宋体" w:hAnsi="宋体"/>
          <w:color w:val="auto"/>
          <w:sz w:val="24"/>
          <w:szCs w:val="20"/>
          <w:highlight w:val="none"/>
        </w:rPr>
      </w:pP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11.技术/资信/商务文件封面格式：</w:t>
      </w:r>
    </w:p>
    <w:p>
      <w:pPr>
        <w:snapToGrid w:val="0"/>
        <w:spacing w:line="360" w:lineRule="auto"/>
        <w:jc w:val="center"/>
        <w:rPr>
          <w:rFonts w:ascii="宋体" w:hAnsi="宋体"/>
          <w:bCs/>
          <w:color w:val="auto"/>
          <w:sz w:val="24"/>
          <w:szCs w:val="20"/>
          <w:highlight w:val="none"/>
        </w:rPr>
      </w:pPr>
    </w:p>
    <w:p>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技术/资信/商务文件</w:t>
      </w:r>
    </w:p>
    <w:p>
      <w:pPr>
        <w:snapToGrid w:val="0"/>
        <w:spacing w:line="360" w:lineRule="auto"/>
        <w:rPr>
          <w:rFonts w:ascii="宋体" w:hAnsi="宋体"/>
          <w:bCs/>
          <w:color w:val="auto"/>
          <w:sz w:val="24"/>
          <w:szCs w:val="20"/>
          <w:highlight w:val="none"/>
        </w:rPr>
      </w:pPr>
    </w:p>
    <w:p>
      <w:pPr>
        <w:snapToGrid w:val="0"/>
        <w:spacing w:line="360" w:lineRule="auto"/>
        <w:ind w:left="1918" w:leftChars="456" w:hanging="960" w:hangingChars="400"/>
        <w:rPr>
          <w:rFonts w:ascii="宋体" w:hAnsi="宋体"/>
          <w:bCs/>
          <w:color w:val="auto"/>
          <w:sz w:val="24"/>
          <w:szCs w:val="20"/>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湖州市中心医院2025-2028年度机电运维管理项目</w:t>
      </w:r>
    </w:p>
    <w:p>
      <w:pPr>
        <w:snapToGrid w:val="0"/>
        <w:spacing w:line="360" w:lineRule="auto"/>
        <w:ind w:firstLine="960" w:firstLineChars="400"/>
        <w:rPr>
          <w:rFonts w:hint="eastAsia" w:ascii="宋体" w:hAnsi="宋体" w:eastAsia="宋体"/>
          <w:bCs/>
          <w:color w:val="auto"/>
          <w:sz w:val="24"/>
          <w:szCs w:val="20"/>
          <w:highlight w:val="none"/>
          <w:lang w:eastAsia="zh-CN"/>
        </w:rPr>
      </w:pPr>
      <w:r>
        <w:rPr>
          <w:rFonts w:hint="eastAsia" w:ascii="宋体" w:hAnsi="宋体"/>
          <w:bCs/>
          <w:color w:val="auto"/>
          <w:sz w:val="24"/>
          <w:highlight w:val="none"/>
        </w:rPr>
        <w:t>项目编号：</w:t>
      </w:r>
      <w:r>
        <w:rPr>
          <w:rFonts w:hint="eastAsia" w:ascii="宋体" w:hAnsi="宋体"/>
          <w:color w:val="auto"/>
          <w:sz w:val="24"/>
          <w:highlight w:val="none"/>
          <w:lang w:eastAsia="zh-CN"/>
        </w:rPr>
        <w:t>HYHZ2025-54（1）</w:t>
      </w:r>
    </w:p>
    <w:p>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pPr>
        <w:snapToGrid w:val="0"/>
        <w:spacing w:line="360" w:lineRule="auto"/>
        <w:ind w:firstLine="645"/>
        <w:jc w:val="center"/>
        <w:rPr>
          <w:rFonts w:ascii="宋体" w:hAnsi="宋体"/>
          <w:color w:val="auto"/>
          <w:sz w:val="24"/>
          <w:highlight w:val="none"/>
        </w:rPr>
      </w:pPr>
      <w:r>
        <w:rPr>
          <w:rFonts w:hint="eastAsia" w:ascii="宋体" w:hAnsi="宋体"/>
          <w:color w:val="auto"/>
          <w:sz w:val="24"/>
          <w:highlight w:val="none"/>
        </w:rPr>
        <w:t>年月日</w:t>
      </w:r>
    </w:p>
    <w:p>
      <w:pPr>
        <w:snapToGrid w:val="0"/>
        <w:spacing w:line="360" w:lineRule="auto"/>
        <w:ind w:firstLine="645"/>
        <w:jc w:val="center"/>
        <w:rPr>
          <w:rFonts w:ascii="宋体" w:hAnsi="宋体"/>
          <w:color w:val="auto"/>
          <w:sz w:val="24"/>
          <w:highlight w:val="none"/>
        </w:rPr>
      </w:pPr>
    </w:p>
    <w:p>
      <w:pPr>
        <w:pStyle w:val="11"/>
        <w:rPr>
          <w:color w:val="auto"/>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12.</w:t>
      </w:r>
      <w:r>
        <w:rPr>
          <w:rFonts w:hint="eastAsia" w:ascii="宋体" w:hAnsi="宋体"/>
          <w:b/>
          <w:bCs/>
          <w:color w:val="auto"/>
          <w:sz w:val="24"/>
          <w:highlight w:val="none"/>
        </w:rPr>
        <w:t>技术/资信/商务文件目录</w:t>
      </w:r>
    </w:p>
    <w:p>
      <w:pPr>
        <w:snapToGrid w:val="0"/>
        <w:spacing w:line="360" w:lineRule="auto"/>
        <w:rPr>
          <w:rFonts w:ascii="宋体" w:hAnsi="宋体"/>
          <w:color w:val="auto"/>
          <w:sz w:val="24"/>
          <w:highlight w:val="none"/>
        </w:rPr>
      </w:pPr>
      <w:r>
        <w:rPr>
          <w:rFonts w:hint="eastAsia" w:ascii="宋体" w:hAnsi="宋体"/>
          <w:color w:val="auto"/>
          <w:sz w:val="24"/>
          <w:highlight w:val="none"/>
        </w:rPr>
        <w:t>技术：</w:t>
      </w:r>
    </w:p>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）对项目的理解————————（页码）</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hAnsi="宋体" w:cs="宋体"/>
          <w:color w:val="auto"/>
          <w:sz w:val="24"/>
          <w:highlight w:val="none"/>
        </w:rPr>
        <w:t>运营服务方案</w:t>
      </w:r>
      <w:r>
        <w:rPr>
          <w:rFonts w:hint="eastAsia" w:ascii="宋体" w:hAnsi="宋体"/>
          <w:color w:val="auto"/>
          <w:sz w:val="24"/>
          <w:highlight w:val="none"/>
        </w:rPr>
        <w:t>————————</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）管理规章制度————————</w:t>
      </w:r>
    </w:p>
    <w:p>
      <w:pPr>
        <w:pStyle w:val="11"/>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w:t>
      </w:r>
      <w:r>
        <w:rPr>
          <w:rFonts w:hint="eastAsia" w:ascii="宋体" w:hAnsi="宋体" w:cs="宋体"/>
          <w:color w:val="auto"/>
          <w:sz w:val="24"/>
          <w:highlight w:val="none"/>
        </w:rPr>
        <w:t>项目质量保证措施</w:t>
      </w:r>
      <w:r>
        <w:rPr>
          <w:rFonts w:hint="eastAsia" w:ascii="宋体" w:hAnsi="宋体"/>
          <w:color w:val="auto"/>
          <w:sz w:val="24"/>
          <w:highlight w:val="none"/>
        </w:rPr>
        <w:t>————————</w:t>
      </w:r>
    </w:p>
    <w:p>
      <w:pPr>
        <w:pStyle w:val="11"/>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）应急预案</w:t>
      </w:r>
      <w:bookmarkStart w:id="84" w:name="OLE_LINK99"/>
      <w:bookmarkStart w:id="85" w:name="OLE_LINK101"/>
      <w:bookmarkStart w:id="86" w:name="OLE_LINK100"/>
      <w:r>
        <w:rPr>
          <w:rFonts w:hint="eastAsia" w:ascii="宋体" w:hAnsi="宋体"/>
          <w:color w:val="auto"/>
          <w:sz w:val="24"/>
          <w:highlight w:val="none"/>
        </w:rPr>
        <w:t>————————</w:t>
      </w:r>
      <w:bookmarkEnd w:id="84"/>
      <w:bookmarkEnd w:id="85"/>
      <w:bookmarkEnd w:id="86"/>
    </w:p>
    <w:p>
      <w:pPr>
        <w:pStyle w:val="11"/>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szCs w:val="24"/>
          <w:highlight w:val="none"/>
        </w:rPr>
        <w:t>拟投入本项目人员</w:t>
      </w:r>
      <w:r>
        <w:rPr>
          <w:rFonts w:hint="eastAsia" w:ascii="宋体" w:hAnsi="宋体"/>
          <w:color w:val="auto"/>
          <w:sz w:val="24"/>
          <w:highlight w:val="none"/>
        </w:rPr>
        <w:t>————————</w:t>
      </w:r>
    </w:p>
    <w:p>
      <w:pPr>
        <w:pStyle w:val="11"/>
        <w:rPr>
          <w:rFonts w:ascii="宋体" w:hAnsi="宋体"/>
          <w:color w:val="auto"/>
          <w:sz w:val="24"/>
          <w:szCs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szCs w:val="24"/>
          <w:highlight w:val="none"/>
        </w:rPr>
        <w:t>拟投入本项目信息化系统</w:t>
      </w:r>
      <w:r>
        <w:rPr>
          <w:rFonts w:hint="eastAsia" w:ascii="宋体" w:hAnsi="宋体"/>
          <w:color w:val="auto"/>
          <w:sz w:val="24"/>
          <w:highlight w:val="none"/>
        </w:rPr>
        <w:t>————————</w:t>
      </w:r>
    </w:p>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（8）投标人对本项目的合理化建议和改进措施————————</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）投标人需要说明的其他文件和说明</w:t>
      </w:r>
      <w:r>
        <w:rPr>
          <w:rFonts w:hint="eastAsia" w:ascii="宋体" w:hAnsi="宋体"/>
          <w:color w:val="auto"/>
          <w:sz w:val="24"/>
          <w:highlight w:val="none"/>
        </w:rPr>
        <w:t>————————</w:t>
      </w:r>
    </w:p>
    <w:p>
      <w:pPr>
        <w:snapToGrid w:val="0"/>
        <w:spacing w:line="360" w:lineRule="auto"/>
        <w:rPr>
          <w:rFonts w:ascii="宋体" w:hAnsi="宋体"/>
          <w:color w:val="auto"/>
          <w:sz w:val="24"/>
          <w:highlight w:val="none"/>
        </w:rPr>
      </w:pPr>
      <w:r>
        <w:rPr>
          <w:rFonts w:hint="eastAsia" w:ascii="宋体" w:hAnsi="宋体"/>
          <w:color w:val="auto"/>
          <w:sz w:val="24"/>
          <w:highlight w:val="none"/>
        </w:rPr>
        <w:t>资信：</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（10）类似成功案例的业绩证明（投标人同类项目实施情况一览表、合同复印件）————————</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（11）权威认证证书————————</w:t>
      </w:r>
    </w:p>
    <w:p>
      <w:pPr>
        <w:pStyle w:val="11"/>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2）其他特殊资质证书</w:t>
      </w:r>
      <w:r>
        <w:rPr>
          <w:rFonts w:ascii="宋体" w:hAnsi="宋体"/>
          <w:color w:val="auto"/>
          <w:sz w:val="24"/>
          <w:highlight w:val="none"/>
        </w:rPr>
        <w:t>（如</w:t>
      </w:r>
      <w:r>
        <w:rPr>
          <w:rFonts w:hint="eastAsia" w:ascii="宋体" w:hAnsi="宋体"/>
          <w:color w:val="auto"/>
          <w:sz w:val="24"/>
          <w:highlight w:val="none"/>
        </w:rPr>
        <w:t>本地化服务能力等）（格式可自拟）—————</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（13）投标人认为可以证明其能力或业绩的其他材料————————</w:t>
      </w:r>
    </w:p>
    <w:p>
      <w:pPr>
        <w:snapToGrid w:val="0"/>
        <w:spacing w:line="360" w:lineRule="auto"/>
        <w:rPr>
          <w:rFonts w:ascii="宋体" w:hAnsi="宋体"/>
          <w:color w:val="auto"/>
          <w:sz w:val="24"/>
          <w:highlight w:val="none"/>
        </w:rPr>
      </w:pPr>
      <w:r>
        <w:rPr>
          <w:rFonts w:hint="eastAsia" w:ascii="宋体" w:hAnsi="宋体"/>
          <w:color w:val="auto"/>
          <w:sz w:val="24"/>
          <w:highlight w:val="none"/>
        </w:rPr>
        <w:t>商务：</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（14）商务响应表————————</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服务</w:t>
      </w:r>
      <w:r>
        <w:rPr>
          <w:rFonts w:hint="eastAsia" w:ascii="宋体" w:hAnsi="宋体"/>
          <w:color w:val="auto"/>
          <w:sz w:val="24"/>
          <w:highlight w:val="none"/>
        </w:rPr>
        <w:t>承诺————————</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（16）培训方案————————</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（17）</w:t>
      </w:r>
      <w:r>
        <w:rPr>
          <w:rFonts w:hint="eastAsia" w:hAnsi="宋体" w:cs="宋体"/>
          <w:color w:val="auto"/>
          <w:sz w:val="24"/>
          <w:highlight w:val="none"/>
        </w:rPr>
        <w:t>响应时间</w:t>
      </w:r>
      <w:r>
        <w:rPr>
          <w:rFonts w:hint="eastAsia" w:ascii="宋体" w:hAnsi="宋体"/>
          <w:color w:val="auto"/>
          <w:sz w:val="24"/>
          <w:highlight w:val="none"/>
        </w:rPr>
        <w:t>————————</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8）技术、商务、资信及其他分自评表————————</w:t>
      </w:r>
    </w:p>
    <w:p>
      <w:pPr>
        <w:snapToGrid w:val="0"/>
        <w:spacing w:line="360" w:lineRule="auto"/>
        <w:jc w:val="left"/>
        <w:rPr>
          <w:color w:val="auto"/>
          <w:highlight w:val="none"/>
        </w:rPr>
      </w:pPr>
    </w:p>
    <w:p>
      <w:pPr>
        <w:pStyle w:val="11"/>
        <w:rPr>
          <w:color w:val="auto"/>
          <w:highlight w:val="none"/>
        </w:rPr>
      </w:pPr>
    </w:p>
    <w:p>
      <w:pPr>
        <w:rPr>
          <w:color w:val="auto"/>
          <w:highlight w:val="none"/>
        </w:rPr>
      </w:pPr>
    </w:p>
    <w:p>
      <w:pPr>
        <w:rPr>
          <w:color w:val="auto"/>
          <w:highlight w:val="none"/>
        </w:rPr>
      </w:pPr>
    </w:p>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13.对项目的理解（格式自拟）</w:t>
      </w:r>
    </w:p>
    <w:p>
      <w:pPr>
        <w:pStyle w:val="2"/>
        <w:rPr>
          <w:color w:val="auto"/>
          <w:highlight w:val="none"/>
        </w:rPr>
      </w:pPr>
    </w:p>
    <w:p>
      <w:pPr>
        <w:pStyle w:val="2"/>
        <w:rPr>
          <w:color w:val="auto"/>
          <w:highlight w:val="none"/>
        </w:rPr>
      </w:pPr>
    </w:p>
    <w:p>
      <w:pPr>
        <w:pStyle w:val="2"/>
        <w:rPr>
          <w:color w:val="auto"/>
          <w:highlight w:val="none"/>
        </w:rPr>
      </w:pPr>
    </w:p>
    <w:p>
      <w:pPr>
        <w:rPr>
          <w:color w:val="auto"/>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14.运营服务方案</w:t>
      </w:r>
      <w:bookmarkStart w:id="87" w:name="OLE_LINK103"/>
      <w:bookmarkStart w:id="88" w:name="OLE_LINK102"/>
      <w:r>
        <w:rPr>
          <w:rFonts w:hint="eastAsia" w:ascii="宋体" w:hAnsi="宋体"/>
          <w:color w:val="auto"/>
          <w:sz w:val="24"/>
          <w:highlight w:val="none"/>
        </w:rPr>
        <w:t>（格式自拟）</w:t>
      </w:r>
      <w:bookmarkEnd w:id="87"/>
      <w:bookmarkEnd w:id="88"/>
    </w:p>
    <w:p>
      <w:pPr>
        <w:pStyle w:val="11"/>
        <w:rPr>
          <w:color w:val="auto"/>
          <w:highlight w:val="none"/>
        </w:rPr>
      </w:pPr>
    </w:p>
    <w:p>
      <w:pPr>
        <w:pStyle w:val="2"/>
        <w:ind w:left="0" w:leftChars="0"/>
        <w:rPr>
          <w:rFonts w:ascii="宋体" w:hAnsi="宋体"/>
          <w:color w:val="auto"/>
          <w:kern w:val="2"/>
          <w:sz w:val="24"/>
          <w:highlight w:val="none"/>
        </w:rPr>
      </w:pPr>
    </w:p>
    <w:p>
      <w:pPr>
        <w:pStyle w:val="2"/>
        <w:ind w:left="0" w:leftChars="0"/>
        <w:rPr>
          <w:rFonts w:ascii="宋体" w:hAnsi="宋体"/>
          <w:color w:val="auto"/>
          <w:kern w:val="2"/>
          <w:sz w:val="24"/>
          <w:highlight w:val="none"/>
        </w:rPr>
      </w:pPr>
    </w:p>
    <w:p>
      <w:pPr>
        <w:pStyle w:val="2"/>
        <w:ind w:left="0" w:leftChars="0"/>
        <w:rPr>
          <w:color w:val="auto"/>
          <w:highlight w:val="none"/>
        </w:rPr>
      </w:pPr>
    </w:p>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15.管理规章制度（格式自拟）</w:t>
      </w:r>
    </w:p>
    <w:p>
      <w:pPr>
        <w:pStyle w:val="11"/>
        <w:rPr>
          <w:color w:val="auto"/>
          <w:highlight w:val="none"/>
        </w:rPr>
      </w:pPr>
    </w:p>
    <w:p>
      <w:pPr>
        <w:rPr>
          <w:color w:val="auto"/>
          <w:highlight w:val="none"/>
        </w:rPr>
      </w:pPr>
    </w:p>
    <w:p>
      <w:pPr>
        <w:pStyle w:val="2"/>
        <w:rPr>
          <w:color w:val="auto"/>
          <w:highlight w:val="none"/>
        </w:rPr>
      </w:pPr>
    </w:p>
    <w:p>
      <w:pPr>
        <w:rPr>
          <w:color w:val="auto"/>
          <w:highlight w:val="none"/>
        </w:rPr>
      </w:pPr>
    </w:p>
    <w:p>
      <w:pPr>
        <w:pStyle w:val="11"/>
        <w:rPr>
          <w:color w:val="auto"/>
          <w:highlight w:val="none"/>
        </w:rPr>
      </w:pPr>
    </w:p>
    <w:p>
      <w:pPr>
        <w:rPr>
          <w:color w:val="auto"/>
          <w:highlight w:val="none"/>
        </w:rPr>
      </w:pPr>
    </w:p>
    <w:p>
      <w:pPr>
        <w:pStyle w:val="37"/>
        <w:rPr>
          <w:rFonts w:hAnsi="宋体" w:cs="Times New Roman"/>
          <w:color w:val="auto"/>
          <w:kern w:val="2"/>
          <w:highlight w:val="none"/>
        </w:rPr>
      </w:pPr>
      <w:r>
        <w:rPr>
          <w:rFonts w:hint="eastAsia" w:hAnsi="宋体" w:cs="Times New Roman"/>
          <w:color w:val="auto"/>
          <w:kern w:val="2"/>
          <w:highlight w:val="none"/>
        </w:rPr>
        <w:t>16.项目质量保证措施（格式自拟）</w:t>
      </w:r>
    </w:p>
    <w:p>
      <w:pPr>
        <w:pStyle w:val="38"/>
        <w:rPr>
          <w:color w:val="auto"/>
          <w:highlight w:val="none"/>
        </w:rPr>
      </w:pPr>
    </w:p>
    <w:p>
      <w:pPr>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11"/>
        <w:rPr>
          <w:color w:val="auto"/>
          <w:highlight w:val="none"/>
        </w:rPr>
      </w:pPr>
    </w:p>
    <w:p>
      <w:pPr>
        <w:rPr>
          <w:color w:val="auto"/>
          <w:highlight w:val="none"/>
        </w:rPr>
      </w:pPr>
    </w:p>
    <w:p>
      <w:pPr>
        <w:snapToGrid w:val="0"/>
        <w:spacing w:line="360" w:lineRule="auto"/>
        <w:jc w:val="left"/>
        <w:rPr>
          <w:color w:val="auto"/>
          <w:highlight w:val="none"/>
        </w:rPr>
      </w:pPr>
      <w:r>
        <w:rPr>
          <w:rFonts w:hint="eastAsia" w:ascii="宋体" w:hAnsi="宋体"/>
          <w:color w:val="auto"/>
          <w:sz w:val="24"/>
          <w:highlight w:val="none"/>
        </w:rPr>
        <w:t>17.应急预案</w:t>
      </w:r>
      <w:bookmarkStart w:id="89" w:name="OLE_LINK106"/>
      <w:bookmarkStart w:id="90" w:name="OLE_LINK105"/>
      <w:r>
        <w:rPr>
          <w:rFonts w:hint="eastAsia" w:ascii="宋体" w:hAnsi="宋体"/>
          <w:color w:val="auto"/>
          <w:sz w:val="24"/>
          <w:highlight w:val="none"/>
        </w:rPr>
        <w:t>（格式自拟）</w:t>
      </w:r>
      <w:bookmarkEnd w:id="89"/>
      <w:bookmarkEnd w:id="90"/>
    </w:p>
    <w:p>
      <w:pPr>
        <w:snapToGrid w:val="0"/>
        <w:spacing w:line="360" w:lineRule="auto"/>
        <w:jc w:val="left"/>
        <w:rPr>
          <w:rFonts w:ascii="宋体" w:hAnsi="宋体"/>
          <w:color w:val="auto"/>
          <w:sz w:val="24"/>
          <w:highlight w:val="none"/>
        </w:rPr>
      </w:pPr>
    </w:p>
    <w:p>
      <w:pPr>
        <w:pStyle w:val="2"/>
        <w:rPr>
          <w:color w:val="auto"/>
          <w:highlight w:val="none"/>
        </w:rPr>
      </w:pPr>
    </w:p>
    <w:p>
      <w:pPr>
        <w:snapToGrid w:val="0"/>
        <w:spacing w:line="360" w:lineRule="auto"/>
        <w:ind w:firstLine="480" w:firstLineChars="200"/>
        <w:jc w:val="left"/>
        <w:rPr>
          <w:rFonts w:ascii="宋体" w:hAnsi="宋体"/>
          <w:color w:val="auto"/>
          <w:sz w:val="24"/>
          <w:highlight w:val="none"/>
        </w:rPr>
      </w:pPr>
      <w:bookmarkStart w:id="91" w:name="OLE_LINK98"/>
      <w:bookmarkStart w:id="92" w:name="OLE_LINK97"/>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18.</w:t>
      </w:r>
      <w:bookmarkStart w:id="93" w:name="OLE_LINK107"/>
      <w:bookmarkStart w:id="94" w:name="OLE_LINK108"/>
      <w:r>
        <w:rPr>
          <w:rFonts w:hint="eastAsia" w:ascii="宋体" w:hAnsi="宋体"/>
          <w:color w:val="auto"/>
          <w:sz w:val="24"/>
          <w:highlight w:val="none"/>
        </w:rPr>
        <w:t>项目实施人员一览表格式：</w:t>
      </w:r>
    </w:p>
    <w:p>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项目实施人员（主要从业人员及其技术资格）一览表</w:t>
      </w:r>
    </w:p>
    <w:p>
      <w:pPr>
        <w:snapToGrid w:val="0"/>
        <w:spacing w:line="360" w:lineRule="auto"/>
        <w:rPr>
          <w:rFonts w:ascii="宋体" w:hAnsi="宋体"/>
          <w:color w:val="auto"/>
          <w:sz w:val="24"/>
          <w:szCs w:val="20"/>
          <w:highlight w:val="none"/>
        </w:rPr>
      </w:pPr>
      <w:r>
        <w:rPr>
          <w:rFonts w:hint="eastAsia" w:ascii="宋体" w:hAnsi="宋体"/>
          <w:color w:val="auto"/>
          <w:highlight w:val="none"/>
        </w:rPr>
        <w:t>项目名称：</w:t>
      </w:r>
    </w:p>
    <w:tbl>
      <w:tblPr>
        <w:tblStyle w:val="28"/>
        <w:tblW w:w="8535"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4"/>
        <w:gridCol w:w="1261"/>
        <w:gridCol w:w="1621"/>
        <w:gridCol w:w="19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color w:val="auto"/>
                <w:sz w:val="24"/>
                <w:szCs w:val="20"/>
                <w:highlight w:val="none"/>
              </w:rPr>
            </w:pPr>
            <w:r>
              <w:rPr>
                <w:rFonts w:hint="eastAsia" w:ascii="宋体" w:hAnsi="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color w:val="auto"/>
                <w:sz w:val="24"/>
                <w:szCs w:val="20"/>
                <w:highlight w:val="none"/>
              </w:rPr>
            </w:pPr>
            <w:r>
              <w:rPr>
                <w:rFonts w:hint="eastAsia" w:ascii="宋体" w:hAnsi="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color w:val="auto"/>
                <w:sz w:val="24"/>
                <w:szCs w:val="20"/>
                <w:highlight w:val="none"/>
              </w:rPr>
            </w:pPr>
            <w:r>
              <w:rPr>
                <w:rFonts w:hint="eastAsia" w:ascii="宋体" w:hAnsi="宋体"/>
                <w:color w:val="auto"/>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bCs/>
                <w:color w:val="auto"/>
                <w:sz w:val="24"/>
                <w:szCs w:val="20"/>
                <w:highlight w:val="none"/>
              </w:rPr>
            </w:pPr>
            <w:r>
              <w:rPr>
                <w:rFonts w:hint="eastAsia" w:ascii="宋体" w:hAnsi="宋体"/>
                <w:bCs/>
                <w:color w:val="auto"/>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bCs/>
                <w:color w:val="auto"/>
                <w:sz w:val="24"/>
                <w:szCs w:val="20"/>
                <w:highlight w:val="none"/>
              </w:rPr>
            </w:pPr>
            <w:r>
              <w:rPr>
                <w:rFonts w:hint="eastAsia" w:ascii="宋体" w:hAnsi="宋体"/>
                <w:bCs/>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pPr>
              <w:pStyle w:val="15"/>
              <w:snapToGrid w:val="0"/>
              <w:spacing w:line="360" w:lineRule="auto"/>
              <w:ind w:left="5250" w:leftChars="0"/>
              <w:rPr>
                <w:rFonts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r>
    </w:tbl>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注：在填写时，如本表格不适合投标单位的实际情况，可根据本表格式自行划表填写。</w:t>
      </w:r>
    </w:p>
    <w:p>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p>
    <w:p>
      <w:pPr>
        <w:snapToGrid w:val="0"/>
        <w:spacing w:line="360" w:lineRule="auto"/>
        <w:jc w:val="left"/>
        <w:rPr>
          <w:rFonts w:ascii="宋体" w:hAnsi="宋体"/>
          <w:color w:val="auto"/>
          <w:spacing w:val="20"/>
          <w:sz w:val="24"/>
          <w:szCs w:val="20"/>
          <w:highlight w:val="none"/>
          <w:u w:val="single"/>
        </w:rPr>
      </w:pPr>
      <w:r>
        <w:rPr>
          <w:rFonts w:hint="eastAsia" w:ascii="宋体" w:hAnsi="宋体"/>
          <w:color w:val="auto"/>
          <w:spacing w:val="20"/>
          <w:sz w:val="24"/>
          <w:highlight w:val="none"/>
        </w:rPr>
        <w:t>投标人盖章：日期：</w:t>
      </w:r>
    </w:p>
    <w:p>
      <w:pPr>
        <w:rPr>
          <w:color w:val="auto"/>
          <w:highlight w:val="none"/>
        </w:rPr>
      </w:pPr>
    </w:p>
    <w:bookmarkEnd w:id="93"/>
    <w:bookmarkEnd w:id="94"/>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19.</w:t>
      </w:r>
      <w:r>
        <w:rPr>
          <w:rFonts w:hint="eastAsia" w:ascii="宋体" w:hAnsi="宋体"/>
          <w:color w:val="auto"/>
          <w:kern w:val="0"/>
          <w:sz w:val="24"/>
          <w:highlight w:val="none"/>
        </w:rPr>
        <w:t>拟投入本项目信息化系统</w:t>
      </w:r>
      <w:r>
        <w:rPr>
          <w:rFonts w:hint="eastAsia" w:ascii="宋体" w:hAnsi="宋体"/>
          <w:color w:val="auto"/>
          <w:sz w:val="24"/>
          <w:highlight w:val="none"/>
        </w:rPr>
        <w:t>（格式自拟）</w:t>
      </w:r>
    </w:p>
    <w:bookmarkEnd w:id="91"/>
    <w:bookmarkEnd w:id="92"/>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20.投标人对本项目的合理化建议和改进措施（格式自拟）</w:t>
      </w:r>
    </w:p>
    <w:p>
      <w:pPr>
        <w:snapToGrid w:val="0"/>
        <w:spacing w:line="360" w:lineRule="auto"/>
        <w:jc w:val="left"/>
        <w:rPr>
          <w:rFonts w:ascii="宋体" w:hAnsi="宋体"/>
          <w:color w:val="auto"/>
          <w:sz w:val="24"/>
          <w:szCs w:val="20"/>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11"/>
        <w:rPr>
          <w:color w:val="auto"/>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投标人需要说明的其他文件和说明（格式自拟）</w:t>
      </w:r>
    </w:p>
    <w:p>
      <w:pPr>
        <w:pStyle w:val="11"/>
        <w:rPr>
          <w:color w:val="auto"/>
          <w:highlight w:val="none"/>
        </w:rPr>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投标人的类似成功案例的业绩证明文件：</w:t>
      </w:r>
    </w:p>
    <w:p>
      <w:pPr>
        <w:pStyle w:val="20"/>
        <w:snapToGrid w:val="0"/>
        <w:spacing w:line="360" w:lineRule="auto"/>
        <w:ind w:left="480" w:hanging="480"/>
        <w:rPr>
          <w:rFonts w:ascii="宋体" w:hAnsi="宋体"/>
          <w:color w:val="auto"/>
          <w:sz w:val="24"/>
          <w:highlight w:val="none"/>
        </w:rPr>
      </w:pPr>
      <w:r>
        <w:rPr>
          <w:rFonts w:ascii="宋体" w:hAnsi="宋体"/>
          <w:color w:val="auto"/>
          <w:sz w:val="24"/>
          <w:highlight w:val="none"/>
        </w:rPr>
        <w:t>投标人同类项目实施情况一览表格式：（投标人同类项目合同复印件）</w:t>
      </w:r>
    </w:p>
    <w:tbl>
      <w:tblPr>
        <w:tblStyle w:val="28"/>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w:t>
            </w:r>
          </w:p>
          <w:p>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p>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金额</w:t>
            </w:r>
          </w:p>
          <w:p>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采购单位联系人及</w:t>
            </w:r>
          </w:p>
          <w:p>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8"/>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r>
    </w:tbl>
    <w:p>
      <w:pPr>
        <w:pStyle w:val="7"/>
        <w:snapToGrid w:val="0"/>
        <w:spacing w:line="360" w:lineRule="auto"/>
        <w:rPr>
          <w:rFonts w:ascii="宋体" w:hAnsi="宋体" w:eastAsia="宋体"/>
          <w:color w:val="auto"/>
          <w:sz w:val="24"/>
          <w:highlight w:val="none"/>
        </w:rPr>
      </w:pPr>
    </w:p>
    <w:p>
      <w:pPr>
        <w:pStyle w:val="7"/>
        <w:snapToGrid w:val="0"/>
        <w:spacing w:line="360" w:lineRule="auto"/>
        <w:ind w:firstLine="600" w:firstLineChars="250"/>
        <w:rPr>
          <w:rFonts w:ascii="宋体" w:hAnsi="宋体" w:eastAsia="宋体"/>
          <w:color w:val="auto"/>
          <w:sz w:val="24"/>
          <w:highlight w:val="none"/>
          <w:u w:val="single"/>
        </w:rPr>
      </w:pPr>
      <w:r>
        <w:rPr>
          <w:rFonts w:hint="eastAsia" w:ascii="宋体" w:hAnsi="宋体" w:eastAsia="宋体"/>
          <w:color w:val="auto"/>
          <w:sz w:val="24"/>
          <w:highlight w:val="none"/>
        </w:rPr>
        <w:t>法定代表人签字：</w:t>
      </w:r>
      <w:r>
        <w:rPr>
          <w:rFonts w:hint="eastAsia" w:ascii="宋体" w:hAnsi="宋体" w:eastAsia="宋体"/>
          <w:color w:val="auto"/>
          <w:sz w:val="24"/>
          <w:highlight w:val="none"/>
          <w:u w:val="single"/>
        </w:rPr>
        <w:t>　　　　　</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投标人公章：年月日</w:t>
      </w:r>
    </w:p>
    <w:p>
      <w:pPr>
        <w:snapToGrid w:val="0"/>
        <w:spacing w:line="360" w:lineRule="auto"/>
        <w:ind w:firstLine="480" w:firstLineChars="200"/>
        <w:jc w:val="left"/>
        <w:rPr>
          <w:rFonts w:ascii="仿宋_GB2312" w:eastAsia="仿宋_GB2312"/>
          <w:color w:val="auto"/>
          <w:sz w:val="24"/>
          <w:highlight w:val="none"/>
        </w:rPr>
      </w:pPr>
    </w:p>
    <w:p>
      <w:pPr>
        <w:snapToGrid w:val="0"/>
        <w:spacing w:line="360" w:lineRule="auto"/>
        <w:jc w:val="left"/>
        <w:rPr>
          <w:rFonts w:ascii="宋体" w:hAnsi="宋体"/>
          <w:color w:val="auto"/>
          <w:sz w:val="24"/>
          <w:highlight w:val="none"/>
        </w:rPr>
        <w:sectPr>
          <w:pgSz w:w="16838" w:h="11906" w:orient="landscape"/>
          <w:pgMar w:top="1797" w:right="1474" w:bottom="1797" w:left="1247" w:header="851" w:footer="851" w:gutter="0"/>
          <w:cols w:space="720" w:num="1"/>
          <w:docGrid w:linePitch="312" w:charSpace="0"/>
        </w:sect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23.</w:t>
      </w:r>
      <w:r>
        <w:rPr>
          <w:rFonts w:ascii="宋体" w:hAnsi="宋体"/>
          <w:color w:val="auto"/>
          <w:sz w:val="24"/>
          <w:highlight w:val="none"/>
        </w:rPr>
        <w:t>权威认证证书复印件</w:t>
      </w:r>
    </w:p>
    <w:p>
      <w:pPr>
        <w:pStyle w:val="11"/>
        <w:rPr>
          <w:color w:val="auto"/>
          <w:highlight w:val="none"/>
        </w:rPr>
      </w:pPr>
    </w:p>
    <w:p>
      <w:pPr>
        <w:rPr>
          <w:color w:val="auto"/>
          <w:highlight w:val="none"/>
        </w:rPr>
      </w:pPr>
    </w:p>
    <w:p>
      <w:pPr>
        <w:pStyle w:val="11"/>
        <w:rPr>
          <w:rFonts w:ascii="宋体" w:hAnsi="宋体"/>
          <w:color w:val="auto"/>
          <w:kern w:val="2"/>
          <w:sz w:val="24"/>
          <w:szCs w:val="24"/>
          <w:highlight w:val="none"/>
        </w:rPr>
      </w:pPr>
    </w:p>
    <w:p>
      <w:pPr>
        <w:rPr>
          <w:color w:val="auto"/>
          <w:highlight w:val="none"/>
        </w:rPr>
      </w:pPr>
    </w:p>
    <w:p>
      <w:pPr>
        <w:pStyle w:val="2"/>
        <w:rPr>
          <w:color w:val="auto"/>
          <w:highlight w:val="none"/>
        </w:rPr>
      </w:pPr>
    </w:p>
    <w:p>
      <w:pPr>
        <w:pStyle w:val="2"/>
        <w:rPr>
          <w:color w:val="auto"/>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24.其他特殊资质证书</w:t>
      </w:r>
      <w:r>
        <w:rPr>
          <w:rFonts w:ascii="宋体" w:hAnsi="宋体"/>
          <w:color w:val="auto"/>
          <w:sz w:val="24"/>
          <w:highlight w:val="none"/>
        </w:rPr>
        <w:t>（如</w:t>
      </w:r>
      <w:r>
        <w:rPr>
          <w:rFonts w:hint="eastAsia" w:ascii="宋体" w:hAnsi="宋体"/>
          <w:color w:val="auto"/>
          <w:sz w:val="24"/>
          <w:highlight w:val="none"/>
        </w:rPr>
        <w:t>本地化服务能力等）（格式可自拟）</w:t>
      </w:r>
    </w:p>
    <w:p>
      <w:pPr>
        <w:snapToGrid w:val="0"/>
        <w:spacing w:line="360" w:lineRule="auto"/>
        <w:jc w:val="left"/>
        <w:rPr>
          <w:rFonts w:ascii="宋体" w:hAnsi="宋体"/>
          <w:color w:val="auto"/>
          <w:sz w:val="24"/>
          <w:highlight w:val="none"/>
        </w:rPr>
      </w:pPr>
    </w:p>
    <w:p>
      <w:pPr>
        <w:pStyle w:val="2"/>
        <w:rPr>
          <w:color w:val="auto"/>
          <w:highlight w:val="none"/>
        </w:rPr>
      </w:pPr>
    </w:p>
    <w:p>
      <w:pPr>
        <w:pStyle w:val="2"/>
        <w:rPr>
          <w:color w:val="auto"/>
          <w:highlight w:val="none"/>
        </w:rPr>
      </w:pPr>
    </w:p>
    <w:p>
      <w:pPr>
        <w:pStyle w:val="2"/>
        <w:rPr>
          <w:color w:val="auto"/>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25.投标人认为可以证明其能力或业绩的其他材料（格式自拟）</w:t>
      </w:r>
    </w:p>
    <w:p>
      <w:pPr>
        <w:pStyle w:val="37"/>
        <w:rPr>
          <w:color w:val="auto"/>
          <w:highlight w:val="none"/>
        </w:rPr>
      </w:pPr>
    </w:p>
    <w:p>
      <w:pPr>
        <w:pStyle w:val="37"/>
        <w:rPr>
          <w:color w:val="auto"/>
          <w:highlight w:val="none"/>
        </w:rPr>
      </w:pPr>
    </w:p>
    <w:p>
      <w:pPr>
        <w:pStyle w:val="37"/>
        <w:rPr>
          <w:color w:val="auto"/>
          <w:highlight w:val="none"/>
        </w:rPr>
      </w:pPr>
    </w:p>
    <w:p>
      <w:pPr>
        <w:pStyle w:val="37"/>
        <w:rPr>
          <w:color w:val="auto"/>
          <w:highlight w:val="none"/>
        </w:rPr>
      </w:pPr>
    </w:p>
    <w:p>
      <w:pPr>
        <w:pStyle w:val="37"/>
        <w:rPr>
          <w:color w:val="auto"/>
          <w:highlight w:val="none"/>
        </w:rPr>
      </w:pPr>
    </w:p>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26.商务响应表格式：</w:t>
      </w:r>
    </w:p>
    <w:p>
      <w:pPr>
        <w:snapToGrid w:val="0"/>
        <w:spacing w:line="360" w:lineRule="auto"/>
        <w:jc w:val="left"/>
        <w:rPr>
          <w:rFonts w:ascii="宋体" w:hAnsi="宋体"/>
          <w:color w:val="auto"/>
          <w:sz w:val="24"/>
          <w:szCs w:val="20"/>
          <w:highlight w:val="none"/>
          <w:u w:val="single"/>
        </w:rPr>
      </w:pPr>
      <w:r>
        <w:rPr>
          <w:rFonts w:hint="eastAsia" w:ascii="宋体" w:hAnsi="宋体"/>
          <w:color w:val="auto"/>
          <w:sz w:val="24"/>
          <w:highlight w:val="none"/>
        </w:rPr>
        <w:t>项目名称：</w:t>
      </w:r>
    </w:p>
    <w:tbl>
      <w:tblPr>
        <w:tblStyle w:val="28"/>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7"/>
        <w:gridCol w:w="6520"/>
        <w:gridCol w:w="992"/>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7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w:t>
            </w:r>
          </w:p>
        </w:tc>
        <w:tc>
          <w:tcPr>
            <w:tcW w:w="65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r>
              <w:rPr>
                <w:rFonts w:hint="eastAsia" w:ascii="宋体" w:hAnsi="宋体"/>
                <w:color w:val="auto"/>
                <w:sz w:val="24"/>
                <w:highlight w:val="none"/>
              </w:rPr>
              <w:t>招标文件要求</w:t>
            </w: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r>
              <w:rPr>
                <w:rFonts w:hint="eastAsia" w:ascii="宋体" w:hAnsi="宋体"/>
                <w:color w:val="auto"/>
                <w:sz w:val="24"/>
                <w:highlight w:val="none"/>
              </w:rPr>
              <w:t>是否响应</w:t>
            </w: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77" w:type="dxa"/>
            <w:tcBorders>
              <w:top w:val="single" w:color="auto" w:sz="4" w:space="0"/>
              <w:left w:val="single" w:color="auto" w:sz="4" w:space="0"/>
              <w:bottom w:val="single" w:color="auto" w:sz="4" w:space="0"/>
              <w:right w:val="single" w:color="auto" w:sz="4" w:space="0"/>
            </w:tcBorders>
            <w:vAlign w:val="center"/>
          </w:tcPr>
          <w:p>
            <w:pP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服务期</w:t>
            </w:r>
          </w:p>
        </w:tc>
        <w:tc>
          <w:tcPr>
            <w:tcW w:w="6520" w:type="dxa"/>
            <w:tcBorders>
              <w:top w:val="single" w:color="auto" w:sz="4" w:space="0"/>
              <w:left w:val="single" w:color="auto" w:sz="4" w:space="0"/>
              <w:bottom w:val="single" w:color="auto" w:sz="4" w:space="0"/>
              <w:right w:val="single" w:color="auto" w:sz="4" w:space="0"/>
            </w:tcBorders>
          </w:tcPr>
          <w:p>
            <w:pPr>
              <w:tabs>
                <w:tab w:val="left" w:pos="8280"/>
              </w:tabs>
              <w:autoSpaceDE w:val="0"/>
              <w:autoSpaceDN w:val="0"/>
              <w:adjustRightInd w:val="0"/>
              <w:spacing w:line="480" w:lineRule="exact"/>
              <w:ind w:right="25"/>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▲自合同签订之日起3年。</w:t>
            </w:r>
          </w:p>
          <w:p>
            <w:pPr>
              <w:tabs>
                <w:tab w:val="left" w:pos="8280"/>
              </w:tabs>
              <w:autoSpaceDE w:val="0"/>
              <w:autoSpaceDN w:val="0"/>
              <w:adjustRightInd w:val="0"/>
              <w:spacing w:line="480" w:lineRule="exact"/>
              <w:ind w:right="25"/>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地点：采购人指定地点 </w:t>
            </w: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277" w:type="dxa"/>
            <w:tcBorders>
              <w:top w:val="single" w:color="auto" w:sz="4" w:space="0"/>
              <w:left w:val="single" w:color="auto" w:sz="4" w:space="0"/>
              <w:bottom w:val="single" w:color="auto" w:sz="4" w:space="0"/>
              <w:right w:val="single" w:color="auto" w:sz="4" w:space="0"/>
            </w:tcBorders>
          </w:tcPr>
          <w:p>
            <w:pP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付款方式</w:t>
            </w:r>
          </w:p>
        </w:tc>
        <w:tc>
          <w:tcPr>
            <w:tcW w:w="6520" w:type="dxa"/>
            <w:tcBorders>
              <w:top w:val="single" w:color="auto" w:sz="4" w:space="0"/>
              <w:left w:val="single" w:color="auto" w:sz="4" w:space="0"/>
              <w:bottom w:val="single" w:color="auto" w:sz="4" w:space="0"/>
              <w:right w:val="single" w:color="auto" w:sz="4" w:space="0"/>
            </w:tcBorders>
          </w:tcPr>
          <w:p>
            <w:pPr>
              <w:tabs>
                <w:tab w:val="left" w:pos="8280"/>
              </w:tabs>
              <w:autoSpaceDE w:val="0"/>
              <w:autoSpaceDN w:val="0"/>
              <w:adjustRightInd w:val="0"/>
              <w:spacing w:line="480" w:lineRule="exact"/>
              <w:ind w:right="25"/>
              <w:rPr>
                <w:rFonts w:ascii="宋体" w:hAnsi="宋体" w:cs="仿宋_GB2312"/>
                <w:color w:val="auto"/>
                <w:sz w:val="24"/>
                <w:highlight w:val="none"/>
              </w:rPr>
            </w:pPr>
            <w:r>
              <w:rPr>
                <w:rFonts w:hint="eastAsia" w:cs="仿宋_GB2312" w:asciiTheme="majorEastAsia" w:hAnsiTheme="majorEastAsia" w:eastAsiaTheme="majorEastAsia"/>
                <w:color w:val="auto"/>
                <w:sz w:val="24"/>
                <w:highlight w:val="none"/>
              </w:rPr>
              <w:t>▲根据《保障中小企业款项支付条例》、省财政厅《浙江省财政厅关于进一步发挥政府采购政策功能全力推动经济稳进提质的通知》（浙财采监【2022】3 号）要求，制定如下付款方式：合同生效以及具备实施条件后7个工作日支付年合同金额的30%作为预付款；</w:t>
            </w:r>
            <w:r>
              <w:rPr>
                <w:rFonts w:hint="eastAsia" w:ascii="宋体" w:hAnsi="宋体"/>
                <w:color w:val="auto"/>
                <w:sz w:val="24"/>
                <w:highlight w:val="none"/>
              </w:rPr>
              <w:t>管理费：每月结算一</w:t>
            </w:r>
            <w:r>
              <w:rPr>
                <w:rFonts w:hint="eastAsia" w:hAnsi="宋体"/>
                <w:color w:val="auto"/>
                <w:sz w:val="24"/>
                <w:highlight w:val="none"/>
              </w:rPr>
              <w:t>次</w:t>
            </w:r>
            <w:r>
              <w:rPr>
                <w:rFonts w:hint="eastAsia" w:ascii="宋体" w:hAnsi="宋体" w:cs="仿宋_GB2312"/>
                <w:color w:val="auto"/>
                <w:sz w:val="24"/>
                <w:highlight w:val="none"/>
              </w:rPr>
              <w:t>。</w:t>
            </w:r>
          </w:p>
          <w:p>
            <w:pPr>
              <w:tabs>
                <w:tab w:val="left" w:pos="8280"/>
              </w:tabs>
              <w:autoSpaceDE w:val="0"/>
              <w:autoSpaceDN w:val="0"/>
              <w:adjustRightInd w:val="0"/>
              <w:spacing w:line="480" w:lineRule="exact"/>
              <w:ind w:right="25"/>
              <w:rPr>
                <w:rFonts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sz w:val="24"/>
                <w:highlight w:val="none"/>
              </w:rPr>
              <w:t>注：若中标供应商明确表示无需预付款或者主动要求降低预付款比例的，采购人可不适用前述规定。</w:t>
            </w: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highlight w:val="none"/>
              </w:rPr>
            </w:pPr>
          </w:p>
        </w:tc>
      </w:tr>
    </w:tbl>
    <w:p>
      <w:pPr>
        <w:rPr>
          <w:color w:val="auto"/>
          <w:highlight w:val="none"/>
        </w:rPr>
      </w:pPr>
    </w:p>
    <w:p>
      <w:pPr>
        <w:pStyle w:val="11"/>
        <w:rPr>
          <w:color w:val="auto"/>
          <w:highlight w:val="none"/>
        </w:rPr>
      </w:pPr>
    </w:p>
    <w:p>
      <w:pPr>
        <w:rPr>
          <w:color w:val="auto"/>
          <w:highlight w:val="none"/>
        </w:rPr>
      </w:pPr>
    </w:p>
    <w:p>
      <w:pPr>
        <w:snapToGrid w:val="0"/>
        <w:spacing w:line="360" w:lineRule="auto"/>
        <w:jc w:val="left"/>
        <w:rPr>
          <w:color w:val="auto"/>
          <w:highlight w:val="none"/>
        </w:rPr>
      </w:pPr>
      <w:r>
        <w:rPr>
          <w:rFonts w:hint="eastAsia" w:ascii="宋体" w:hAnsi="宋体"/>
          <w:bCs/>
          <w:color w:val="auto"/>
          <w:sz w:val="24"/>
          <w:highlight w:val="none"/>
        </w:rPr>
        <w:t>27.</w:t>
      </w:r>
      <w:r>
        <w:rPr>
          <w:rFonts w:hint="eastAsia" w:ascii="新宋体" w:hAnsi="新宋体" w:eastAsia="新宋体" w:cs="新宋体"/>
          <w:color w:val="auto"/>
          <w:kern w:val="0"/>
          <w:sz w:val="24"/>
          <w:szCs w:val="20"/>
          <w:highlight w:val="none"/>
        </w:rPr>
        <w:t>服务承诺</w:t>
      </w:r>
      <w:r>
        <w:rPr>
          <w:rFonts w:hint="eastAsia" w:ascii="宋体" w:hAnsi="宋体"/>
          <w:color w:val="auto"/>
          <w:sz w:val="24"/>
          <w:highlight w:val="none"/>
        </w:rPr>
        <w:t>（格式自拟）</w:t>
      </w:r>
    </w:p>
    <w:p>
      <w:pPr>
        <w:pStyle w:val="37"/>
        <w:rPr>
          <w:color w:val="auto"/>
          <w:highlight w:val="none"/>
        </w:rPr>
      </w:pPr>
    </w:p>
    <w:p>
      <w:pPr>
        <w:pStyle w:val="37"/>
        <w:rPr>
          <w:color w:val="auto"/>
          <w:highlight w:val="none"/>
        </w:rPr>
      </w:pPr>
    </w:p>
    <w:p>
      <w:pPr>
        <w:pStyle w:val="37"/>
        <w:rPr>
          <w:color w:val="auto"/>
          <w:highlight w:val="none"/>
        </w:rPr>
      </w:pPr>
    </w:p>
    <w:p>
      <w:pPr>
        <w:pStyle w:val="37"/>
        <w:rPr>
          <w:color w:val="auto"/>
          <w:highlight w:val="none"/>
        </w:rPr>
      </w:pPr>
    </w:p>
    <w:p>
      <w:pPr>
        <w:pStyle w:val="11"/>
        <w:rPr>
          <w:rFonts w:ascii="宋体" w:hAnsi="宋体"/>
          <w:color w:val="auto"/>
          <w:sz w:val="24"/>
          <w:highlight w:val="none"/>
        </w:rPr>
      </w:pPr>
      <w:r>
        <w:rPr>
          <w:rFonts w:hint="eastAsia" w:ascii="宋体" w:hAnsi="宋体"/>
          <w:color w:val="auto"/>
          <w:sz w:val="24"/>
          <w:highlight w:val="none"/>
        </w:rPr>
        <w:t>28.培训方案（格式自拟）</w:t>
      </w:r>
    </w:p>
    <w:p>
      <w:pPr>
        <w:pStyle w:val="2"/>
        <w:rPr>
          <w:color w:val="auto"/>
          <w:highlight w:val="none"/>
        </w:rPr>
      </w:pPr>
    </w:p>
    <w:p>
      <w:pPr>
        <w:pStyle w:val="2"/>
        <w:rPr>
          <w:color w:val="auto"/>
          <w:highlight w:val="none"/>
        </w:rPr>
      </w:pPr>
    </w:p>
    <w:p>
      <w:pPr>
        <w:pStyle w:val="2"/>
        <w:rPr>
          <w:color w:val="auto"/>
          <w:highlight w:val="none"/>
        </w:rPr>
      </w:pPr>
    </w:p>
    <w:p>
      <w:pPr>
        <w:snapToGrid w:val="0"/>
        <w:spacing w:line="360" w:lineRule="auto"/>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9.</w:t>
      </w:r>
      <w:r>
        <w:rPr>
          <w:rFonts w:hint="eastAsia" w:hAnsi="宋体"/>
          <w:bCs/>
          <w:color w:val="auto"/>
          <w:sz w:val="24"/>
          <w:highlight w:val="none"/>
        </w:rPr>
        <w:t>响应时间</w:t>
      </w:r>
      <w:r>
        <w:rPr>
          <w:rFonts w:hint="eastAsia" w:ascii="宋体" w:hAnsi="宋体"/>
          <w:color w:val="auto"/>
          <w:sz w:val="24"/>
          <w:highlight w:val="none"/>
        </w:rPr>
        <w:t>（格式自拟）</w:t>
      </w:r>
    </w:p>
    <w:p>
      <w:pPr>
        <w:snapToGrid w:val="0"/>
        <w:spacing w:line="360" w:lineRule="auto"/>
        <w:jc w:val="left"/>
        <w:rPr>
          <w:rFonts w:ascii="宋体" w:hAnsi="宋体"/>
          <w:i/>
          <w:color w:val="auto"/>
          <w:sz w:val="24"/>
          <w:highlight w:val="none"/>
        </w:rPr>
      </w:pPr>
      <w:r>
        <w:rPr>
          <w:rFonts w:hint="eastAsia" w:ascii="宋体" w:hAnsi="宋体"/>
          <w:color w:val="auto"/>
          <w:sz w:val="24"/>
          <w:highlight w:val="none"/>
        </w:rPr>
        <w:t>距采购人最近或者能为本项目提供最优服务的网点情况表</w:t>
      </w:r>
    </w:p>
    <w:tbl>
      <w:tblPr>
        <w:tblStyle w:val="28"/>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227"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投标文件</w:t>
            </w:r>
          </w:p>
          <w:p>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其中：投标人出资比例</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ind w:left="6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经营期限</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工作业绩</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ind w:firstLine="240" w:firstLineChars="100"/>
              <w:jc w:val="left"/>
              <w:rPr>
                <w:rFonts w:ascii="宋体" w:hAnsi="宋体"/>
                <w:color w:val="auto"/>
                <w:sz w:val="24"/>
                <w:szCs w:val="20"/>
                <w:highlight w:val="none"/>
              </w:rPr>
            </w:pPr>
            <w:r>
              <w:rPr>
                <w:rFonts w:hint="eastAsia" w:ascii="宋体" w:hAnsi="宋体"/>
                <w:color w:val="auto"/>
                <w:sz w:val="24"/>
                <w:highlight w:val="none"/>
              </w:rPr>
              <w:t>传</w:t>
            </w:r>
            <w:r>
              <w:rPr>
                <w:rFonts w:ascii="宋体" w:hAnsi="宋体"/>
                <w:color w:val="auto"/>
                <w:sz w:val="24"/>
                <w:highlight w:val="none"/>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联系电话</w:t>
            </w:r>
          </w:p>
        </w:tc>
        <w:tc>
          <w:tcPr>
            <w:tcW w:w="2323" w:type="dxa"/>
            <w:gridSpan w:val="2"/>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highlight w:val="none"/>
              </w:rPr>
            </w:pPr>
          </w:p>
        </w:tc>
      </w:tr>
    </w:tbl>
    <w:p>
      <w:pPr>
        <w:pStyle w:val="7"/>
        <w:snapToGrid w:val="0"/>
        <w:spacing w:line="360" w:lineRule="auto"/>
        <w:rPr>
          <w:rFonts w:ascii="宋体" w:hAnsi="宋体" w:eastAsia="宋体"/>
          <w:color w:val="auto"/>
          <w:sz w:val="24"/>
          <w:highlight w:val="none"/>
          <w:u w:val="single"/>
        </w:rPr>
      </w:pPr>
      <w:r>
        <w:rPr>
          <w:rFonts w:hint="eastAsia" w:ascii="宋体" w:hAnsi="宋体" w:eastAsia="宋体"/>
          <w:color w:val="auto"/>
          <w:sz w:val="24"/>
          <w:highlight w:val="none"/>
        </w:rPr>
        <w:t>授权代表签字：</w:t>
      </w:r>
      <w:r>
        <w:rPr>
          <w:rFonts w:hint="eastAsia" w:ascii="宋体" w:hAnsi="宋体" w:eastAsia="宋体"/>
          <w:color w:val="auto"/>
          <w:sz w:val="24"/>
          <w:highlight w:val="none"/>
          <w:u w:val="single"/>
        </w:rPr>
        <w:t>　　　　　</w:t>
      </w:r>
    </w:p>
    <w:p>
      <w:pPr>
        <w:pStyle w:val="11"/>
        <w:snapToGrid w:val="0"/>
        <w:spacing w:after="0" w:line="360" w:lineRule="auto"/>
        <w:rPr>
          <w:rFonts w:ascii="宋体" w:hAnsi="宋体"/>
          <w:color w:val="auto"/>
          <w:sz w:val="24"/>
          <w:highlight w:val="none"/>
        </w:rPr>
      </w:pPr>
      <w:r>
        <w:rPr>
          <w:rFonts w:hint="eastAsia" w:ascii="宋体" w:hAnsi="宋体"/>
          <w:color w:val="auto"/>
          <w:sz w:val="24"/>
          <w:highlight w:val="none"/>
        </w:rPr>
        <w:t>投标人公章：　 年月　 日</w:t>
      </w:r>
    </w:p>
    <w:p>
      <w:pPr>
        <w:rPr>
          <w:color w:val="auto"/>
          <w:highlight w:val="none"/>
        </w:rPr>
      </w:pPr>
    </w:p>
    <w:p>
      <w:pPr>
        <w:pStyle w:val="11"/>
        <w:rPr>
          <w:color w:val="auto"/>
          <w:highlight w:val="none"/>
        </w:rPr>
      </w:pPr>
    </w:p>
    <w:p>
      <w:pPr>
        <w:pStyle w:val="11"/>
        <w:rPr>
          <w:rFonts w:ascii="宋体" w:hAnsi="宋体"/>
          <w:color w:val="auto"/>
          <w:sz w:val="24"/>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napToGrid w:val="0"/>
        <w:spacing w:line="360" w:lineRule="auto"/>
        <w:rPr>
          <w:rFonts w:ascii="宋体" w:hAnsi="宋体"/>
          <w:color w:val="auto"/>
          <w:sz w:val="24"/>
          <w:highlight w:val="none"/>
        </w:rPr>
      </w:pPr>
      <w:r>
        <w:rPr>
          <w:rFonts w:hint="eastAsia" w:ascii="宋体" w:hAnsi="宋体"/>
          <w:bCs/>
          <w:color w:val="auto"/>
          <w:sz w:val="24"/>
          <w:highlight w:val="none"/>
        </w:rPr>
        <w:t>30.</w:t>
      </w:r>
      <w:r>
        <w:rPr>
          <w:rFonts w:hint="eastAsia" w:ascii="宋体" w:hAnsi="宋体"/>
          <w:color w:val="auto"/>
          <w:sz w:val="24"/>
          <w:highlight w:val="none"/>
        </w:rPr>
        <w:t xml:space="preserve">技术、商务、资信及其他分自评表  </w:t>
      </w:r>
    </w:p>
    <w:p>
      <w:pPr>
        <w:pStyle w:val="2"/>
        <w:spacing w:line="360" w:lineRule="auto"/>
        <w:ind w:firstLine="311" w:firstLineChars="129"/>
        <w:rPr>
          <w:rFonts w:hAnsi="宋体"/>
          <w:b/>
          <w:color w:val="auto"/>
          <w:sz w:val="24"/>
          <w:highlight w:val="none"/>
        </w:rPr>
      </w:pPr>
      <w:r>
        <w:rPr>
          <w:rFonts w:hint="eastAsia" w:hAnsi="宋体"/>
          <w:b/>
          <w:color w:val="auto"/>
          <w:sz w:val="24"/>
          <w:highlight w:val="none"/>
        </w:rPr>
        <w:t>投标人名称</w:t>
      </w:r>
    </w:p>
    <w:tbl>
      <w:tblPr>
        <w:tblStyle w:val="28"/>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评分项目</w:t>
            </w:r>
          </w:p>
        </w:tc>
        <w:tc>
          <w:tcPr>
            <w:tcW w:w="22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投标文件对应资料</w:t>
            </w:r>
          </w:p>
        </w:tc>
        <w:tc>
          <w:tcPr>
            <w:tcW w:w="1276"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自评分</w:t>
            </w:r>
          </w:p>
        </w:tc>
        <w:tc>
          <w:tcPr>
            <w:tcW w:w="170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技</w:t>
            </w:r>
          </w:p>
          <w:p>
            <w:pPr>
              <w:spacing w:line="360" w:lineRule="auto"/>
              <w:jc w:val="center"/>
              <w:rPr>
                <w:rFonts w:ascii="宋体" w:hAnsi="宋体"/>
                <w:color w:val="auto"/>
                <w:sz w:val="24"/>
                <w:highlight w:val="none"/>
              </w:rPr>
            </w:pPr>
            <w:r>
              <w:rPr>
                <w:rFonts w:hint="eastAsia" w:ascii="宋体" w:hAnsi="宋体"/>
                <w:color w:val="auto"/>
                <w:sz w:val="24"/>
                <w:highlight w:val="none"/>
              </w:rPr>
              <w:t>术</w:t>
            </w:r>
          </w:p>
          <w:p>
            <w:pPr>
              <w:spacing w:line="360" w:lineRule="auto"/>
              <w:jc w:val="center"/>
              <w:rPr>
                <w:rFonts w:ascii="宋体" w:hAnsi="宋体"/>
                <w:color w:val="auto"/>
                <w:sz w:val="24"/>
                <w:highlight w:val="none"/>
              </w:rPr>
            </w:pPr>
            <w:r>
              <w:rPr>
                <w:rFonts w:hint="eastAsia" w:ascii="宋体" w:hAnsi="宋体"/>
                <w:color w:val="auto"/>
                <w:sz w:val="24"/>
                <w:highlight w:val="none"/>
              </w:rPr>
              <w:t>分</w:t>
            </w:r>
          </w:p>
          <w:p>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61</w:t>
            </w:r>
          </w:p>
          <w:p>
            <w:pPr>
              <w:spacing w:line="360" w:lineRule="auto"/>
              <w:jc w:val="center"/>
              <w:rPr>
                <w:rFonts w:ascii="宋体" w:hAnsi="宋体"/>
                <w:color w:val="auto"/>
                <w:sz w:val="24"/>
                <w:highlight w:val="none"/>
              </w:rPr>
            </w:pPr>
            <w:r>
              <w:rPr>
                <w:rFonts w:hint="eastAsia" w:ascii="宋体" w:hAnsi="宋体"/>
                <w:color w:val="auto"/>
                <w:sz w:val="24"/>
                <w:highlight w:val="none"/>
              </w:rPr>
              <w:t>分</w:t>
            </w:r>
          </w:p>
        </w:tc>
        <w:tc>
          <w:tcPr>
            <w:tcW w:w="3533" w:type="dxa"/>
          </w:tcPr>
          <w:p>
            <w:pPr>
              <w:spacing w:line="360" w:lineRule="auto"/>
              <w:jc w:val="left"/>
              <w:rPr>
                <w:rFonts w:ascii="宋体" w:hAnsi="宋体"/>
                <w:color w:val="auto"/>
                <w:sz w:val="24"/>
                <w:highlight w:val="none"/>
              </w:rPr>
            </w:pPr>
          </w:p>
        </w:tc>
        <w:tc>
          <w:tcPr>
            <w:tcW w:w="2268" w:type="dxa"/>
          </w:tcPr>
          <w:p>
            <w:pPr>
              <w:spacing w:line="360" w:lineRule="auto"/>
              <w:rPr>
                <w:rFonts w:ascii="宋体" w:hAnsi="宋体"/>
                <w:color w:val="auto"/>
                <w:sz w:val="24"/>
                <w:highlight w:val="none"/>
              </w:rPr>
            </w:pPr>
          </w:p>
        </w:tc>
        <w:tc>
          <w:tcPr>
            <w:tcW w:w="1276" w:type="dxa"/>
          </w:tcPr>
          <w:p>
            <w:pPr>
              <w:spacing w:line="360" w:lineRule="auto"/>
              <w:rPr>
                <w:rFonts w:ascii="宋体" w:hAnsi="宋体"/>
                <w:color w:val="auto"/>
                <w:sz w:val="24"/>
                <w:highlight w:val="none"/>
              </w:rPr>
            </w:pPr>
          </w:p>
        </w:tc>
        <w:tc>
          <w:tcPr>
            <w:tcW w:w="1701"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highlight w:val="none"/>
              </w:rPr>
            </w:pPr>
          </w:p>
        </w:tc>
        <w:tc>
          <w:tcPr>
            <w:tcW w:w="3533" w:type="dxa"/>
          </w:tcPr>
          <w:p>
            <w:pPr>
              <w:spacing w:line="360" w:lineRule="auto"/>
              <w:jc w:val="left"/>
              <w:rPr>
                <w:rFonts w:ascii="宋体" w:hAnsi="宋体"/>
                <w:color w:val="auto"/>
                <w:sz w:val="24"/>
                <w:highlight w:val="none"/>
              </w:rPr>
            </w:pPr>
          </w:p>
        </w:tc>
        <w:tc>
          <w:tcPr>
            <w:tcW w:w="2268" w:type="dxa"/>
          </w:tcPr>
          <w:p>
            <w:pPr>
              <w:spacing w:line="360" w:lineRule="auto"/>
              <w:rPr>
                <w:rFonts w:ascii="宋体" w:hAnsi="宋体"/>
                <w:color w:val="auto"/>
                <w:sz w:val="24"/>
                <w:highlight w:val="none"/>
              </w:rPr>
            </w:pPr>
          </w:p>
        </w:tc>
        <w:tc>
          <w:tcPr>
            <w:tcW w:w="1276" w:type="dxa"/>
          </w:tcPr>
          <w:p>
            <w:pPr>
              <w:spacing w:line="360" w:lineRule="auto"/>
              <w:rPr>
                <w:rFonts w:ascii="宋体" w:hAnsi="宋体"/>
                <w:color w:val="auto"/>
                <w:sz w:val="24"/>
                <w:highlight w:val="none"/>
              </w:rPr>
            </w:pPr>
          </w:p>
        </w:tc>
        <w:tc>
          <w:tcPr>
            <w:tcW w:w="1701"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highlight w:val="none"/>
              </w:rPr>
            </w:pPr>
          </w:p>
        </w:tc>
        <w:tc>
          <w:tcPr>
            <w:tcW w:w="3533" w:type="dxa"/>
          </w:tcPr>
          <w:p>
            <w:pPr>
              <w:spacing w:line="360" w:lineRule="auto"/>
              <w:jc w:val="left"/>
              <w:rPr>
                <w:rFonts w:ascii="宋体" w:hAnsi="宋体"/>
                <w:color w:val="auto"/>
                <w:sz w:val="24"/>
                <w:highlight w:val="none"/>
              </w:rPr>
            </w:pPr>
          </w:p>
        </w:tc>
        <w:tc>
          <w:tcPr>
            <w:tcW w:w="2268" w:type="dxa"/>
          </w:tcPr>
          <w:p>
            <w:pPr>
              <w:spacing w:line="360" w:lineRule="auto"/>
              <w:rPr>
                <w:rFonts w:ascii="宋体" w:hAnsi="宋体"/>
                <w:color w:val="auto"/>
                <w:sz w:val="24"/>
                <w:highlight w:val="none"/>
              </w:rPr>
            </w:pPr>
          </w:p>
        </w:tc>
        <w:tc>
          <w:tcPr>
            <w:tcW w:w="1276" w:type="dxa"/>
          </w:tcPr>
          <w:p>
            <w:pPr>
              <w:spacing w:line="360" w:lineRule="auto"/>
              <w:rPr>
                <w:rFonts w:ascii="宋体" w:hAnsi="宋体"/>
                <w:color w:val="auto"/>
                <w:sz w:val="24"/>
                <w:highlight w:val="none"/>
              </w:rPr>
            </w:pPr>
          </w:p>
        </w:tc>
        <w:tc>
          <w:tcPr>
            <w:tcW w:w="1701"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highlight w:val="none"/>
              </w:rPr>
            </w:pPr>
          </w:p>
        </w:tc>
        <w:tc>
          <w:tcPr>
            <w:tcW w:w="3533" w:type="dxa"/>
          </w:tcPr>
          <w:p>
            <w:pPr>
              <w:spacing w:line="360" w:lineRule="auto"/>
              <w:jc w:val="left"/>
              <w:rPr>
                <w:rFonts w:ascii="宋体" w:hAnsi="宋体"/>
                <w:color w:val="auto"/>
                <w:sz w:val="24"/>
                <w:highlight w:val="none"/>
              </w:rPr>
            </w:pPr>
          </w:p>
        </w:tc>
        <w:tc>
          <w:tcPr>
            <w:tcW w:w="2268" w:type="dxa"/>
          </w:tcPr>
          <w:p>
            <w:pPr>
              <w:spacing w:line="360" w:lineRule="auto"/>
              <w:rPr>
                <w:rFonts w:ascii="宋体" w:hAnsi="宋体"/>
                <w:color w:val="auto"/>
                <w:sz w:val="24"/>
                <w:highlight w:val="none"/>
              </w:rPr>
            </w:pPr>
          </w:p>
        </w:tc>
        <w:tc>
          <w:tcPr>
            <w:tcW w:w="1276" w:type="dxa"/>
          </w:tcPr>
          <w:p>
            <w:pPr>
              <w:spacing w:line="360" w:lineRule="auto"/>
              <w:rPr>
                <w:rFonts w:ascii="宋体" w:hAnsi="宋体"/>
                <w:color w:val="auto"/>
                <w:sz w:val="24"/>
                <w:highlight w:val="none"/>
              </w:rPr>
            </w:pPr>
          </w:p>
        </w:tc>
        <w:tc>
          <w:tcPr>
            <w:tcW w:w="1701"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highlight w:val="none"/>
              </w:rPr>
            </w:pPr>
          </w:p>
        </w:tc>
        <w:tc>
          <w:tcPr>
            <w:tcW w:w="3533" w:type="dxa"/>
          </w:tcPr>
          <w:p>
            <w:pPr>
              <w:spacing w:line="360" w:lineRule="auto"/>
              <w:jc w:val="left"/>
              <w:rPr>
                <w:rFonts w:ascii="宋体" w:hAnsi="宋体"/>
                <w:color w:val="auto"/>
                <w:sz w:val="24"/>
                <w:highlight w:val="none"/>
              </w:rPr>
            </w:pPr>
          </w:p>
        </w:tc>
        <w:tc>
          <w:tcPr>
            <w:tcW w:w="2268" w:type="dxa"/>
          </w:tcPr>
          <w:p>
            <w:pPr>
              <w:spacing w:line="360" w:lineRule="auto"/>
              <w:rPr>
                <w:rFonts w:ascii="宋体" w:hAnsi="宋体"/>
                <w:color w:val="auto"/>
                <w:sz w:val="24"/>
                <w:highlight w:val="none"/>
              </w:rPr>
            </w:pPr>
          </w:p>
        </w:tc>
        <w:tc>
          <w:tcPr>
            <w:tcW w:w="1276" w:type="dxa"/>
          </w:tcPr>
          <w:p>
            <w:pPr>
              <w:spacing w:line="360" w:lineRule="auto"/>
              <w:rPr>
                <w:rFonts w:ascii="宋体" w:hAnsi="宋体"/>
                <w:color w:val="auto"/>
                <w:sz w:val="24"/>
                <w:highlight w:val="none"/>
              </w:rPr>
            </w:pPr>
          </w:p>
        </w:tc>
        <w:tc>
          <w:tcPr>
            <w:tcW w:w="1701"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highlight w:val="none"/>
              </w:rPr>
            </w:pPr>
          </w:p>
        </w:tc>
        <w:tc>
          <w:tcPr>
            <w:tcW w:w="3533" w:type="dxa"/>
          </w:tcPr>
          <w:p>
            <w:pPr>
              <w:spacing w:line="360" w:lineRule="auto"/>
              <w:jc w:val="left"/>
              <w:rPr>
                <w:rFonts w:ascii="宋体" w:hAnsi="宋体"/>
                <w:color w:val="auto"/>
                <w:sz w:val="24"/>
                <w:highlight w:val="none"/>
              </w:rPr>
            </w:pPr>
          </w:p>
        </w:tc>
        <w:tc>
          <w:tcPr>
            <w:tcW w:w="2268" w:type="dxa"/>
          </w:tcPr>
          <w:p>
            <w:pPr>
              <w:spacing w:line="360" w:lineRule="auto"/>
              <w:rPr>
                <w:rFonts w:ascii="宋体" w:hAnsi="宋体"/>
                <w:color w:val="auto"/>
                <w:sz w:val="24"/>
                <w:highlight w:val="none"/>
              </w:rPr>
            </w:pPr>
          </w:p>
        </w:tc>
        <w:tc>
          <w:tcPr>
            <w:tcW w:w="1276" w:type="dxa"/>
          </w:tcPr>
          <w:p>
            <w:pPr>
              <w:spacing w:line="360" w:lineRule="auto"/>
              <w:rPr>
                <w:rFonts w:ascii="宋体" w:hAnsi="宋体"/>
                <w:color w:val="auto"/>
                <w:sz w:val="24"/>
                <w:highlight w:val="none"/>
              </w:rPr>
            </w:pPr>
          </w:p>
        </w:tc>
        <w:tc>
          <w:tcPr>
            <w:tcW w:w="1701"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highlight w:val="none"/>
              </w:rPr>
            </w:pPr>
          </w:p>
        </w:tc>
        <w:tc>
          <w:tcPr>
            <w:tcW w:w="3533" w:type="dxa"/>
          </w:tcPr>
          <w:p>
            <w:pPr>
              <w:spacing w:line="360" w:lineRule="auto"/>
              <w:jc w:val="left"/>
              <w:rPr>
                <w:rFonts w:ascii="宋体" w:hAnsi="宋体"/>
                <w:color w:val="auto"/>
                <w:sz w:val="24"/>
                <w:highlight w:val="none"/>
              </w:rPr>
            </w:pPr>
          </w:p>
        </w:tc>
        <w:tc>
          <w:tcPr>
            <w:tcW w:w="2268" w:type="dxa"/>
          </w:tcPr>
          <w:p>
            <w:pPr>
              <w:spacing w:line="360" w:lineRule="auto"/>
              <w:rPr>
                <w:rFonts w:ascii="宋体" w:hAnsi="宋体"/>
                <w:color w:val="auto"/>
                <w:sz w:val="24"/>
                <w:highlight w:val="none"/>
              </w:rPr>
            </w:pPr>
          </w:p>
        </w:tc>
        <w:tc>
          <w:tcPr>
            <w:tcW w:w="1276" w:type="dxa"/>
          </w:tcPr>
          <w:p>
            <w:pPr>
              <w:spacing w:line="360" w:lineRule="auto"/>
              <w:rPr>
                <w:rFonts w:ascii="宋体" w:hAnsi="宋体"/>
                <w:color w:val="auto"/>
                <w:sz w:val="24"/>
                <w:highlight w:val="none"/>
              </w:rPr>
            </w:pPr>
          </w:p>
        </w:tc>
        <w:tc>
          <w:tcPr>
            <w:tcW w:w="1701"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highlight w:val="none"/>
              </w:rPr>
            </w:pPr>
          </w:p>
        </w:tc>
        <w:tc>
          <w:tcPr>
            <w:tcW w:w="3533" w:type="dxa"/>
          </w:tcPr>
          <w:p>
            <w:pPr>
              <w:spacing w:line="360" w:lineRule="auto"/>
              <w:jc w:val="left"/>
              <w:rPr>
                <w:rFonts w:ascii="宋体" w:hAnsi="宋体"/>
                <w:color w:val="auto"/>
                <w:sz w:val="24"/>
                <w:highlight w:val="none"/>
              </w:rPr>
            </w:pPr>
          </w:p>
        </w:tc>
        <w:tc>
          <w:tcPr>
            <w:tcW w:w="2268" w:type="dxa"/>
          </w:tcPr>
          <w:p>
            <w:pPr>
              <w:spacing w:line="360" w:lineRule="auto"/>
              <w:rPr>
                <w:rFonts w:ascii="宋体" w:hAnsi="宋体"/>
                <w:color w:val="auto"/>
                <w:sz w:val="24"/>
                <w:highlight w:val="none"/>
              </w:rPr>
            </w:pPr>
          </w:p>
        </w:tc>
        <w:tc>
          <w:tcPr>
            <w:tcW w:w="1276" w:type="dxa"/>
          </w:tcPr>
          <w:p>
            <w:pPr>
              <w:spacing w:line="360" w:lineRule="auto"/>
              <w:rPr>
                <w:rFonts w:ascii="宋体" w:hAnsi="宋体"/>
                <w:color w:val="auto"/>
                <w:sz w:val="24"/>
                <w:highlight w:val="none"/>
              </w:rPr>
            </w:pPr>
          </w:p>
        </w:tc>
        <w:tc>
          <w:tcPr>
            <w:tcW w:w="1701"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商务、资信及其他</w:t>
            </w:r>
          </w:p>
          <w:p>
            <w:pPr>
              <w:spacing w:line="360" w:lineRule="auto"/>
              <w:jc w:val="center"/>
              <w:rPr>
                <w:rFonts w:ascii="宋体" w:hAnsi="宋体"/>
                <w:color w:val="auto"/>
                <w:sz w:val="24"/>
                <w:highlight w:val="none"/>
              </w:rPr>
            </w:pPr>
            <w:r>
              <w:rPr>
                <w:rFonts w:hint="eastAsia" w:ascii="宋体" w:hAnsi="宋体"/>
                <w:color w:val="auto"/>
                <w:sz w:val="24"/>
                <w:highlight w:val="none"/>
              </w:rPr>
              <w:t>19分</w:t>
            </w:r>
          </w:p>
        </w:tc>
        <w:tc>
          <w:tcPr>
            <w:tcW w:w="3533" w:type="dxa"/>
          </w:tcPr>
          <w:p>
            <w:pPr>
              <w:spacing w:line="360" w:lineRule="auto"/>
              <w:jc w:val="left"/>
              <w:rPr>
                <w:rFonts w:ascii="宋体" w:hAnsi="宋体"/>
                <w:color w:val="auto"/>
                <w:sz w:val="24"/>
                <w:highlight w:val="none"/>
              </w:rPr>
            </w:pPr>
          </w:p>
        </w:tc>
        <w:tc>
          <w:tcPr>
            <w:tcW w:w="2268" w:type="dxa"/>
          </w:tcPr>
          <w:p>
            <w:pPr>
              <w:spacing w:line="360" w:lineRule="auto"/>
              <w:rPr>
                <w:rFonts w:ascii="宋体" w:hAnsi="宋体"/>
                <w:color w:val="auto"/>
                <w:sz w:val="24"/>
                <w:highlight w:val="none"/>
              </w:rPr>
            </w:pPr>
          </w:p>
        </w:tc>
        <w:tc>
          <w:tcPr>
            <w:tcW w:w="1276" w:type="dxa"/>
          </w:tcPr>
          <w:p>
            <w:pPr>
              <w:spacing w:line="360" w:lineRule="auto"/>
              <w:rPr>
                <w:rFonts w:ascii="宋体" w:hAnsi="宋体"/>
                <w:color w:val="auto"/>
                <w:sz w:val="24"/>
                <w:highlight w:val="none"/>
              </w:rPr>
            </w:pPr>
          </w:p>
        </w:tc>
        <w:tc>
          <w:tcPr>
            <w:tcW w:w="1701"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color w:val="auto"/>
                <w:sz w:val="24"/>
                <w:highlight w:val="none"/>
              </w:rPr>
            </w:pPr>
          </w:p>
        </w:tc>
        <w:tc>
          <w:tcPr>
            <w:tcW w:w="3533" w:type="dxa"/>
          </w:tcPr>
          <w:p>
            <w:pPr>
              <w:spacing w:line="360" w:lineRule="auto"/>
              <w:jc w:val="left"/>
              <w:rPr>
                <w:rFonts w:ascii="宋体" w:hAnsi="宋体"/>
                <w:color w:val="auto"/>
                <w:sz w:val="24"/>
                <w:highlight w:val="none"/>
              </w:rPr>
            </w:pPr>
          </w:p>
        </w:tc>
        <w:tc>
          <w:tcPr>
            <w:tcW w:w="2268" w:type="dxa"/>
          </w:tcPr>
          <w:p>
            <w:pPr>
              <w:spacing w:line="360" w:lineRule="auto"/>
              <w:rPr>
                <w:rFonts w:ascii="宋体" w:hAnsi="宋体"/>
                <w:color w:val="auto"/>
                <w:sz w:val="24"/>
                <w:highlight w:val="none"/>
              </w:rPr>
            </w:pPr>
          </w:p>
        </w:tc>
        <w:tc>
          <w:tcPr>
            <w:tcW w:w="1276" w:type="dxa"/>
          </w:tcPr>
          <w:p>
            <w:pPr>
              <w:spacing w:line="360" w:lineRule="auto"/>
              <w:rPr>
                <w:rFonts w:ascii="宋体" w:hAnsi="宋体"/>
                <w:color w:val="auto"/>
                <w:sz w:val="24"/>
                <w:highlight w:val="none"/>
              </w:rPr>
            </w:pPr>
          </w:p>
        </w:tc>
        <w:tc>
          <w:tcPr>
            <w:tcW w:w="1701"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color w:val="auto"/>
                <w:sz w:val="24"/>
                <w:highlight w:val="none"/>
              </w:rPr>
            </w:pPr>
          </w:p>
        </w:tc>
        <w:tc>
          <w:tcPr>
            <w:tcW w:w="3533" w:type="dxa"/>
          </w:tcPr>
          <w:p>
            <w:pPr>
              <w:spacing w:line="360" w:lineRule="auto"/>
              <w:jc w:val="left"/>
              <w:rPr>
                <w:rFonts w:ascii="宋体" w:hAnsi="宋体"/>
                <w:color w:val="auto"/>
                <w:sz w:val="24"/>
                <w:highlight w:val="none"/>
              </w:rPr>
            </w:pPr>
          </w:p>
        </w:tc>
        <w:tc>
          <w:tcPr>
            <w:tcW w:w="2268" w:type="dxa"/>
          </w:tcPr>
          <w:p>
            <w:pPr>
              <w:spacing w:line="360" w:lineRule="auto"/>
              <w:rPr>
                <w:rFonts w:ascii="宋体" w:hAnsi="宋体"/>
                <w:color w:val="auto"/>
                <w:sz w:val="24"/>
                <w:highlight w:val="none"/>
              </w:rPr>
            </w:pPr>
          </w:p>
        </w:tc>
        <w:tc>
          <w:tcPr>
            <w:tcW w:w="1276" w:type="dxa"/>
          </w:tcPr>
          <w:p>
            <w:pPr>
              <w:spacing w:line="360" w:lineRule="auto"/>
              <w:rPr>
                <w:rFonts w:ascii="宋体" w:hAnsi="宋体"/>
                <w:color w:val="auto"/>
                <w:sz w:val="24"/>
                <w:highlight w:val="none"/>
              </w:rPr>
            </w:pPr>
          </w:p>
        </w:tc>
        <w:tc>
          <w:tcPr>
            <w:tcW w:w="1701"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color w:val="auto"/>
                <w:sz w:val="24"/>
                <w:highlight w:val="none"/>
              </w:rPr>
            </w:pPr>
          </w:p>
        </w:tc>
        <w:tc>
          <w:tcPr>
            <w:tcW w:w="3533" w:type="dxa"/>
          </w:tcPr>
          <w:p>
            <w:pPr>
              <w:spacing w:line="360" w:lineRule="auto"/>
              <w:jc w:val="left"/>
              <w:rPr>
                <w:rFonts w:ascii="宋体" w:hAnsi="宋体"/>
                <w:color w:val="auto"/>
                <w:sz w:val="24"/>
                <w:highlight w:val="none"/>
              </w:rPr>
            </w:pPr>
          </w:p>
        </w:tc>
        <w:tc>
          <w:tcPr>
            <w:tcW w:w="2268" w:type="dxa"/>
          </w:tcPr>
          <w:p>
            <w:pPr>
              <w:spacing w:line="360" w:lineRule="auto"/>
              <w:rPr>
                <w:rFonts w:ascii="宋体" w:hAnsi="宋体"/>
                <w:color w:val="auto"/>
                <w:sz w:val="24"/>
                <w:highlight w:val="none"/>
              </w:rPr>
            </w:pPr>
          </w:p>
        </w:tc>
        <w:tc>
          <w:tcPr>
            <w:tcW w:w="1276" w:type="dxa"/>
          </w:tcPr>
          <w:p>
            <w:pPr>
              <w:spacing w:line="360" w:lineRule="auto"/>
              <w:rPr>
                <w:rFonts w:ascii="宋体" w:hAnsi="宋体"/>
                <w:color w:val="auto"/>
                <w:sz w:val="24"/>
                <w:highlight w:val="none"/>
              </w:rPr>
            </w:pPr>
          </w:p>
        </w:tc>
        <w:tc>
          <w:tcPr>
            <w:tcW w:w="1701"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pPr>
              <w:spacing w:line="360" w:lineRule="auto"/>
              <w:rPr>
                <w:rFonts w:ascii="宋体" w:hAnsi="宋体"/>
                <w:color w:val="auto"/>
                <w:sz w:val="24"/>
                <w:highlight w:val="none"/>
              </w:rPr>
            </w:pPr>
          </w:p>
        </w:tc>
        <w:tc>
          <w:tcPr>
            <w:tcW w:w="3533" w:type="dxa"/>
          </w:tcPr>
          <w:p>
            <w:pPr>
              <w:spacing w:line="360" w:lineRule="auto"/>
              <w:jc w:val="left"/>
              <w:rPr>
                <w:rFonts w:ascii="宋体" w:hAnsi="宋体"/>
                <w:color w:val="auto"/>
                <w:sz w:val="24"/>
                <w:highlight w:val="none"/>
              </w:rPr>
            </w:pPr>
          </w:p>
        </w:tc>
        <w:tc>
          <w:tcPr>
            <w:tcW w:w="2268" w:type="dxa"/>
          </w:tcPr>
          <w:p>
            <w:pPr>
              <w:spacing w:line="360" w:lineRule="auto"/>
              <w:rPr>
                <w:rFonts w:ascii="宋体" w:hAnsi="宋体"/>
                <w:color w:val="auto"/>
                <w:sz w:val="24"/>
                <w:highlight w:val="none"/>
              </w:rPr>
            </w:pPr>
          </w:p>
        </w:tc>
        <w:tc>
          <w:tcPr>
            <w:tcW w:w="1276" w:type="dxa"/>
          </w:tcPr>
          <w:p>
            <w:pPr>
              <w:spacing w:line="360" w:lineRule="auto"/>
              <w:rPr>
                <w:rFonts w:ascii="宋体" w:hAnsi="宋体"/>
                <w:color w:val="auto"/>
                <w:sz w:val="24"/>
                <w:highlight w:val="none"/>
              </w:rPr>
            </w:pPr>
          </w:p>
        </w:tc>
        <w:tc>
          <w:tcPr>
            <w:tcW w:w="1701"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总分</w:t>
            </w:r>
          </w:p>
        </w:tc>
        <w:tc>
          <w:tcPr>
            <w:tcW w:w="2268" w:type="dxa"/>
          </w:tcPr>
          <w:p>
            <w:pPr>
              <w:spacing w:line="360" w:lineRule="auto"/>
              <w:rPr>
                <w:rFonts w:ascii="宋体" w:hAnsi="宋体"/>
                <w:color w:val="auto"/>
                <w:sz w:val="24"/>
                <w:highlight w:val="none"/>
              </w:rPr>
            </w:pPr>
          </w:p>
        </w:tc>
        <w:tc>
          <w:tcPr>
            <w:tcW w:w="2977" w:type="dxa"/>
            <w:gridSpan w:val="2"/>
          </w:tcPr>
          <w:p>
            <w:pPr>
              <w:spacing w:line="360" w:lineRule="auto"/>
              <w:rPr>
                <w:rFonts w:ascii="宋体" w:hAnsi="宋体"/>
                <w:color w:val="auto"/>
                <w:sz w:val="24"/>
                <w:highlight w:val="none"/>
              </w:rPr>
            </w:pPr>
          </w:p>
        </w:tc>
      </w:tr>
    </w:tbl>
    <w:p>
      <w:pPr>
        <w:pStyle w:val="2"/>
        <w:spacing w:line="360" w:lineRule="auto"/>
        <w:ind w:firstLine="258" w:firstLineChars="129"/>
        <w:rPr>
          <w:color w:val="auto"/>
          <w:highlight w:val="none"/>
        </w:rPr>
      </w:pPr>
    </w:p>
    <w:p>
      <w:pPr>
        <w:pStyle w:val="2"/>
        <w:rPr>
          <w:color w:val="auto"/>
          <w:highlight w:val="none"/>
        </w:rPr>
      </w:pPr>
      <w:r>
        <w:rPr>
          <w:color w:val="auto"/>
          <w:highlight w:val="none"/>
        </w:rPr>
        <w:br w:type="page"/>
      </w:r>
    </w:p>
    <w:p>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三、报价文件格式</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31.报价文件封面格式：</w:t>
      </w:r>
    </w:p>
    <w:p>
      <w:pPr>
        <w:snapToGrid w:val="0"/>
        <w:spacing w:line="360" w:lineRule="auto"/>
        <w:rPr>
          <w:rFonts w:ascii="宋体" w:hAnsi="宋体"/>
          <w:color w:val="auto"/>
          <w:sz w:val="24"/>
          <w:szCs w:val="20"/>
          <w:highlight w:val="none"/>
        </w:rPr>
      </w:pPr>
    </w:p>
    <w:p>
      <w:pPr>
        <w:snapToGrid w:val="0"/>
        <w:spacing w:line="360" w:lineRule="auto"/>
        <w:jc w:val="center"/>
        <w:rPr>
          <w:rFonts w:ascii="宋体" w:hAnsi="宋体"/>
          <w:bCs/>
          <w:color w:val="auto"/>
          <w:sz w:val="24"/>
          <w:szCs w:val="20"/>
          <w:highlight w:val="none"/>
        </w:rPr>
      </w:pPr>
    </w:p>
    <w:p>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报价文件</w:t>
      </w:r>
    </w:p>
    <w:p>
      <w:pPr>
        <w:snapToGrid w:val="0"/>
        <w:spacing w:line="360" w:lineRule="auto"/>
        <w:rPr>
          <w:rFonts w:ascii="宋体" w:hAnsi="宋体"/>
          <w:bCs/>
          <w:color w:val="auto"/>
          <w:sz w:val="24"/>
          <w:szCs w:val="20"/>
          <w:highlight w:val="none"/>
        </w:rPr>
      </w:pPr>
    </w:p>
    <w:p>
      <w:pPr>
        <w:snapToGrid w:val="0"/>
        <w:spacing w:line="360" w:lineRule="auto"/>
        <w:ind w:firstLine="960" w:firstLineChars="40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湖州市中心医院2025-2028年度机电运维管理项目</w:t>
      </w:r>
    </w:p>
    <w:p>
      <w:pPr>
        <w:snapToGrid w:val="0"/>
        <w:spacing w:line="360" w:lineRule="auto"/>
        <w:ind w:firstLine="1080" w:firstLineChars="450"/>
        <w:jc w:val="left"/>
        <w:rPr>
          <w:rFonts w:hint="eastAsia" w:ascii="宋体" w:hAnsi="宋体" w:eastAsia="宋体"/>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HYHZ2025-54（1）</w:t>
      </w:r>
    </w:p>
    <w:p>
      <w:pPr>
        <w:snapToGrid w:val="0"/>
        <w:spacing w:line="360" w:lineRule="auto"/>
        <w:ind w:firstLine="1080" w:firstLineChars="450"/>
        <w:rPr>
          <w:color w:val="auto"/>
          <w:sz w:val="24"/>
          <w:highlight w:val="none"/>
        </w:rPr>
      </w:pPr>
      <w:r>
        <w:rPr>
          <w:rFonts w:hint="eastAsia"/>
          <w:color w:val="auto"/>
          <w:sz w:val="24"/>
          <w:highlight w:val="none"/>
        </w:rPr>
        <w:t>投标人名称：</w:t>
      </w:r>
    </w:p>
    <w:p>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pPr>
        <w:pStyle w:val="6"/>
        <w:snapToGrid w:val="0"/>
        <w:spacing w:line="360" w:lineRule="auto"/>
        <w:ind w:firstLine="960" w:firstLineChars="400"/>
        <w:rPr>
          <w:rFonts w:ascii="宋体" w:hAnsi="宋体"/>
          <w:bCs/>
          <w:color w:val="auto"/>
          <w:sz w:val="24"/>
          <w:szCs w:val="24"/>
          <w:highlight w:val="none"/>
        </w:rPr>
      </w:pPr>
    </w:p>
    <w:p>
      <w:pPr>
        <w:pStyle w:val="6"/>
        <w:snapToGrid w:val="0"/>
        <w:spacing w:line="360" w:lineRule="auto"/>
        <w:ind w:firstLine="1497" w:firstLineChars="416"/>
        <w:rPr>
          <w:rFonts w:ascii="宋体" w:hAnsi="宋体"/>
          <w:color w:val="auto"/>
          <w:sz w:val="36"/>
          <w:highlight w:val="none"/>
        </w:rPr>
      </w:pPr>
    </w:p>
    <w:p>
      <w:pPr>
        <w:snapToGrid w:val="0"/>
        <w:spacing w:line="360" w:lineRule="auto"/>
        <w:ind w:firstLine="4080" w:firstLineChars="1700"/>
        <w:rPr>
          <w:rFonts w:ascii="宋体" w:hAnsi="宋体"/>
          <w:color w:val="auto"/>
          <w:sz w:val="24"/>
          <w:szCs w:val="20"/>
          <w:highlight w:val="none"/>
        </w:rPr>
      </w:pPr>
    </w:p>
    <w:p>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年月日</w:t>
      </w:r>
    </w:p>
    <w:p>
      <w:pPr>
        <w:snapToGrid w:val="0"/>
        <w:spacing w:line="360" w:lineRule="auto"/>
        <w:jc w:val="center"/>
        <w:rPr>
          <w:rFonts w:ascii="宋体" w:hAnsi="宋体"/>
          <w:color w:val="auto"/>
          <w:sz w:val="30"/>
          <w:szCs w:val="20"/>
          <w:highlight w:val="none"/>
        </w:rPr>
      </w:pPr>
    </w:p>
    <w:p>
      <w:pPr>
        <w:snapToGrid w:val="0"/>
        <w:spacing w:line="360" w:lineRule="auto"/>
        <w:rPr>
          <w:rFonts w:ascii="宋体" w:hAnsi="宋体"/>
          <w:color w:val="auto"/>
          <w:sz w:val="24"/>
          <w:szCs w:val="20"/>
          <w:highlight w:val="none"/>
        </w:rPr>
      </w:pPr>
      <w:r>
        <w:rPr>
          <w:rFonts w:ascii="宋体" w:hAnsi="宋体"/>
          <w:color w:val="auto"/>
          <w:highlight w:val="none"/>
        </w:rPr>
        <w:br w:type="page"/>
      </w:r>
      <w:r>
        <w:rPr>
          <w:rFonts w:hint="eastAsia" w:ascii="宋体" w:hAnsi="宋体"/>
          <w:color w:val="auto"/>
          <w:sz w:val="24"/>
          <w:highlight w:val="none"/>
        </w:rPr>
        <w:t>32.投标函格式：</w:t>
      </w:r>
    </w:p>
    <w:p>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投标函</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根据贵方为项目的招标公告</w:t>
      </w:r>
      <w:r>
        <w:rPr>
          <w:rFonts w:ascii="宋体" w:hAnsi="宋体"/>
          <w:color w:val="auto"/>
          <w:sz w:val="24"/>
          <w:highlight w:val="none"/>
        </w:rPr>
        <w:t>/</w:t>
      </w:r>
      <w:r>
        <w:rPr>
          <w:rFonts w:hint="eastAsia" w:ascii="宋体" w:hAnsi="宋体"/>
          <w:color w:val="auto"/>
          <w:sz w:val="24"/>
          <w:highlight w:val="none"/>
        </w:rPr>
        <w:t>投标邀请书</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（项目编号：</w:t>
      </w:r>
      <w:r>
        <w:rPr>
          <w:rFonts w:ascii="宋体" w:hAnsi="宋体"/>
          <w:color w:val="auto"/>
          <w:sz w:val="24"/>
          <w:highlight w:val="none"/>
        </w:rPr>
        <w:t>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），签字代表</w:t>
      </w:r>
      <w:r>
        <w:rPr>
          <w:rFonts w:ascii="宋体" w:hAnsi="宋体"/>
          <w:color w:val="auto"/>
          <w:sz w:val="24"/>
          <w:highlight w:val="none"/>
        </w:rPr>
        <w:t>______</w:t>
      </w:r>
      <w:r>
        <w:rPr>
          <w:rFonts w:ascii="宋体" w:hAnsi="宋体"/>
          <w:color w:val="auto"/>
          <w:sz w:val="24"/>
          <w:highlight w:val="none"/>
          <w:u w:val="single"/>
        </w:rPr>
        <w:t xml:space="preserve">_     </w:t>
      </w:r>
      <w:r>
        <w:rPr>
          <w:rFonts w:hint="eastAsia" w:ascii="宋体" w:hAnsi="宋体"/>
          <w:color w:val="auto"/>
          <w:sz w:val="24"/>
          <w:highlight w:val="none"/>
        </w:rPr>
        <w:t>（全名）经正式授权并代表投标人</w:t>
      </w:r>
      <w:r>
        <w:rPr>
          <w:rFonts w:ascii="宋体" w:hAnsi="宋体"/>
          <w:color w:val="auto"/>
          <w:sz w:val="24"/>
          <w:highlight w:val="none"/>
        </w:rPr>
        <w:t>_____</w:t>
      </w:r>
      <w:r>
        <w:rPr>
          <w:rFonts w:ascii="宋体" w:hAnsi="宋体"/>
          <w:color w:val="auto"/>
          <w:sz w:val="24"/>
          <w:highlight w:val="none"/>
          <w:u w:val="single"/>
        </w:rPr>
        <w:t>__                    __</w:t>
      </w:r>
      <w:r>
        <w:rPr>
          <w:rFonts w:hint="eastAsia" w:ascii="宋体" w:hAnsi="宋体"/>
          <w:color w:val="auto"/>
          <w:sz w:val="24"/>
          <w:highlight w:val="none"/>
        </w:rPr>
        <w:t>（投标人名称）提交资格文件、技术/资信/商务文件</w:t>
      </w:r>
      <w:r>
        <w:rPr>
          <w:rFonts w:hint="eastAsia" w:ascii="宋体" w:hAnsi="宋体" w:cs="Arial"/>
          <w:color w:val="auto"/>
          <w:sz w:val="24"/>
          <w:highlight w:val="none"/>
        </w:rPr>
        <w:t>、</w:t>
      </w:r>
      <w:r>
        <w:rPr>
          <w:rFonts w:hint="eastAsia" w:ascii="宋体" w:hAnsi="宋体"/>
          <w:color w:val="auto"/>
          <w:sz w:val="24"/>
          <w:highlight w:val="none"/>
        </w:rPr>
        <w:t>投标报价文件各一份。</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据此函，签字代表宣布同意如下：</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.本投标有效期自开标日起</w:t>
      </w:r>
      <w:r>
        <w:rPr>
          <w:rFonts w:ascii="宋体" w:hAnsi="宋体"/>
          <w:color w:val="auto"/>
          <w:sz w:val="24"/>
          <w:highlight w:val="none"/>
        </w:rPr>
        <w:t xml:space="preserve"> ______</w:t>
      </w:r>
      <w:r>
        <w:rPr>
          <w:rFonts w:hint="eastAsia" w:ascii="宋体" w:hAnsi="宋体"/>
          <w:color w:val="auto"/>
          <w:sz w:val="24"/>
          <w:highlight w:val="none"/>
        </w:rPr>
        <w:t>个日。</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.投标人同意按照贵方要求提供与投标有关的一切数据或资料。</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.与本投标有关的一切正式往来信函请寄：</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地址：</w:t>
      </w:r>
      <w:r>
        <w:rPr>
          <w:rFonts w:ascii="宋体" w:hAnsi="宋体"/>
          <w:color w:val="auto"/>
          <w:sz w:val="24"/>
          <w:highlight w:val="none"/>
        </w:rPr>
        <w:t>__________</w:t>
      </w:r>
      <w:r>
        <w:rPr>
          <w:rFonts w:ascii="宋体" w:hAnsi="宋体"/>
          <w:color w:val="auto"/>
          <w:sz w:val="24"/>
          <w:highlight w:val="none"/>
          <w:u w:val="single"/>
        </w:rPr>
        <w:t xml:space="preserve">        _</w:t>
      </w:r>
      <w:r>
        <w:rPr>
          <w:rFonts w:ascii="宋体" w:hAnsi="宋体"/>
          <w:color w:val="auto"/>
          <w:sz w:val="24"/>
          <w:highlight w:val="none"/>
        </w:rPr>
        <w:t>____</w:t>
      </w:r>
      <w:r>
        <w:rPr>
          <w:rFonts w:hint="eastAsia" w:ascii="宋体" w:hAnsi="宋体"/>
          <w:color w:val="auto"/>
          <w:sz w:val="24"/>
          <w:highlight w:val="none"/>
        </w:rPr>
        <w:t>邮编：</w:t>
      </w:r>
      <w:r>
        <w:rPr>
          <w:rFonts w:ascii="宋体" w:hAnsi="宋体"/>
          <w:color w:val="auto"/>
          <w:sz w:val="24"/>
          <w:highlight w:val="none"/>
        </w:rPr>
        <w:t xml:space="preserve">__________   </w:t>
      </w:r>
      <w:r>
        <w:rPr>
          <w:rFonts w:hint="eastAsia" w:ascii="宋体" w:hAnsi="宋体"/>
          <w:color w:val="auto"/>
          <w:sz w:val="24"/>
          <w:highlight w:val="none"/>
        </w:rPr>
        <w:t>电话：</w:t>
      </w:r>
      <w:r>
        <w:rPr>
          <w:rFonts w:ascii="宋体" w:hAnsi="宋体"/>
          <w:color w:val="auto"/>
          <w:sz w:val="24"/>
          <w:highlight w:val="none"/>
        </w:rPr>
        <w:t>______________</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传真：</w:t>
      </w:r>
      <w:r>
        <w:rPr>
          <w:rFonts w:ascii="宋体" w:hAnsi="宋体"/>
          <w:color w:val="auto"/>
          <w:sz w:val="24"/>
          <w:highlight w:val="none"/>
        </w:rPr>
        <w:t>______________</w:t>
      </w:r>
      <w:r>
        <w:rPr>
          <w:rFonts w:hint="eastAsia" w:ascii="宋体" w:hAnsi="宋体"/>
          <w:color w:val="auto"/>
          <w:sz w:val="24"/>
          <w:highlight w:val="none"/>
        </w:rPr>
        <w:t>投标人代表姓名</w:t>
      </w:r>
      <w:r>
        <w:rPr>
          <w:rFonts w:ascii="宋体" w:hAnsi="宋体"/>
          <w:color w:val="auto"/>
          <w:sz w:val="24"/>
          <w:highlight w:val="none"/>
        </w:rPr>
        <w:t xml:space="preserve"> ___________  </w:t>
      </w:r>
      <w:r>
        <w:rPr>
          <w:rFonts w:hint="eastAsia" w:ascii="宋体" w:hAnsi="宋体"/>
          <w:color w:val="auto"/>
          <w:sz w:val="24"/>
          <w:highlight w:val="none"/>
        </w:rPr>
        <w:t>职务：</w:t>
      </w:r>
      <w:r>
        <w:rPr>
          <w:rFonts w:ascii="宋体" w:hAnsi="宋体"/>
          <w:color w:val="auto"/>
          <w:sz w:val="24"/>
          <w:highlight w:val="none"/>
        </w:rPr>
        <w:t>_____________</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投标人名称（公章</w:t>
      </w:r>
      <w:r>
        <w:rPr>
          <w:rFonts w:ascii="宋体" w:hAnsi="宋体"/>
          <w:color w:val="auto"/>
          <w:sz w:val="24"/>
          <w:highlight w:val="none"/>
        </w:rPr>
        <w:t>):___________________</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开户银行：银行账号：</w:t>
      </w:r>
    </w:p>
    <w:p>
      <w:pPr>
        <w:snapToGrid w:val="0"/>
        <w:spacing w:line="360" w:lineRule="auto"/>
        <w:rPr>
          <w:rFonts w:ascii="宋体" w:hAnsi="宋体"/>
          <w:color w:val="auto"/>
          <w:sz w:val="30"/>
          <w:szCs w:val="20"/>
          <w:highlight w:val="none"/>
        </w:rPr>
      </w:pPr>
      <w:r>
        <w:rPr>
          <w:rFonts w:hint="eastAsia" w:ascii="宋体" w:hAnsi="宋体"/>
          <w:color w:val="auto"/>
          <w:sz w:val="24"/>
          <w:highlight w:val="none"/>
        </w:rPr>
        <w:t>法定代表人签字：</w:t>
      </w:r>
      <w:r>
        <w:rPr>
          <w:rFonts w:ascii="宋体" w:hAnsi="宋体"/>
          <w:color w:val="auto"/>
          <w:sz w:val="24"/>
          <w:highlight w:val="none"/>
        </w:rPr>
        <w:t xml:space="preserve">___________                      </w:t>
      </w: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pPr>
        <w:pStyle w:val="13"/>
        <w:snapToGrid w:val="0"/>
        <w:spacing w:beforeLines="0" w:afterLines="0" w:line="360" w:lineRule="auto"/>
        <w:rPr>
          <w:rFonts w:hAnsi="宋体"/>
          <w:color w:val="auto"/>
          <w:highlight w:val="none"/>
        </w:rPr>
      </w:pPr>
    </w:p>
    <w:p>
      <w:pPr>
        <w:snapToGrid w:val="0"/>
        <w:spacing w:line="360" w:lineRule="auto"/>
        <w:jc w:val="left"/>
        <w:rPr>
          <w:rFonts w:hAnsi="宋体" w:cs="仿宋"/>
          <w:color w:val="auto"/>
          <w:highlight w:val="none"/>
        </w:rPr>
      </w:pPr>
      <w:r>
        <w:rPr>
          <w:rFonts w:hAnsi="宋体"/>
          <w:color w:val="auto"/>
          <w:highlight w:val="none"/>
        </w:rPr>
        <w:br w:type="page"/>
      </w:r>
    </w:p>
    <w:p>
      <w:pPr>
        <w:pStyle w:val="13"/>
        <w:snapToGrid w:val="0"/>
        <w:spacing w:beforeLines="0" w:afterLines="0" w:line="360" w:lineRule="auto"/>
        <w:rPr>
          <w:rFonts w:hAnsi="宋体" w:cs="Times New Roman"/>
          <w:color w:val="auto"/>
          <w:kern w:val="2"/>
          <w:sz w:val="24"/>
          <w:highlight w:val="none"/>
        </w:rPr>
      </w:pPr>
      <w:r>
        <w:rPr>
          <w:rFonts w:hint="eastAsia" w:hAnsi="宋体" w:cs="Times New Roman"/>
          <w:color w:val="auto"/>
          <w:kern w:val="2"/>
          <w:sz w:val="24"/>
          <w:highlight w:val="none"/>
        </w:rPr>
        <w:t>33.</w:t>
      </w:r>
      <w:r>
        <w:rPr>
          <w:rFonts w:hAnsi="宋体" w:cs="Times New Roman"/>
          <w:color w:val="auto"/>
          <w:kern w:val="2"/>
          <w:sz w:val="24"/>
          <w:highlight w:val="none"/>
        </w:rPr>
        <w:t xml:space="preserve">投标报价明细表：       </w:t>
      </w:r>
    </w:p>
    <w:p>
      <w:pPr>
        <w:pStyle w:val="13"/>
        <w:snapToGrid w:val="0"/>
        <w:spacing w:beforeLines="0" w:afterLines="0" w:line="360" w:lineRule="auto"/>
        <w:rPr>
          <w:rFonts w:hAnsi="宋体" w:cs="Times New Roman"/>
          <w:color w:val="auto"/>
          <w:kern w:val="2"/>
          <w:sz w:val="24"/>
          <w:highlight w:val="none"/>
        </w:rPr>
      </w:pPr>
    </w:p>
    <w:p>
      <w:pPr>
        <w:pStyle w:val="13"/>
        <w:snapToGrid w:val="0"/>
        <w:spacing w:beforeLines="0" w:afterLines="0" w:line="360" w:lineRule="auto"/>
        <w:ind w:left="1470" w:right="1470"/>
        <w:jc w:val="center"/>
        <w:rPr>
          <w:rFonts w:hAnsi="宋体" w:cs="Times New Roman"/>
          <w:color w:val="auto"/>
          <w:kern w:val="2"/>
          <w:sz w:val="24"/>
          <w:highlight w:val="none"/>
        </w:rPr>
      </w:pPr>
      <w:r>
        <w:rPr>
          <w:rFonts w:hAnsi="宋体" w:cs="Times New Roman"/>
          <w:color w:val="auto"/>
          <w:kern w:val="2"/>
          <w:sz w:val="24"/>
          <w:highlight w:val="none"/>
        </w:rPr>
        <w:t>投标报价明细表</w:t>
      </w:r>
      <w:r>
        <w:rPr>
          <w:rFonts w:hint="eastAsia" w:hAnsi="宋体" w:cs="Times New Roman"/>
          <w:color w:val="auto"/>
          <w:kern w:val="2"/>
          <w:sz w:val="24"/>
          <w:highlight w:val="none"/>
        </w:rPr>
        <w:t>（格式自拟）</w:t>
      </w:r>
    </w:p>
    <w:p>
      <w:pPr>
        <w:spacing w:line="360" w:lineRule="auto"/>
        <w:jc w:val="left"/>
        <w:rPr>
          <w:rFonts w:ascii="宋体" w:hAnsi="宋体"/>
          <w:color w:val="auto"/>
          <w:sz w:val="24"/>
          <w:highlight w:val="none"/>
        </w:rPr>
      </w:pPr>
      <w:r>
        <w:rPr>
          <w:rFonts w:ascii="宋体" w:hAnsi="宋体"/>
          <w:color w:val="auto"/>
          <w:sz w:val="24"/>
          <w:highlight w:val="none"/>
        </w:rPr>
        <w:t>项目名称：金额单位：人民币（元）</w:t>
      </w:r>
    </w:p>
    <w:p>
      <w:pPr>
        <w:spacing w:line="360" w:lineRule="auto"/>
        <w:jc w:val="left"/>
        <w:rPr>
          <w:rFonts w:hAnsi="宋体"/>
          <w:color w:val="auto"/>
          <w:szCs w:val="21"/>
          <w:highlight w:val="none"/>
        </w:rPr>
      </w:pPr>
    </w:p>
    <w:p>
      <w:pPr>
        <w:spacing w:line="360" w:lineRule="auto"/>
        <w:jc w:val="left"/>
        <w:rPr>
          <w:rFonts w:hAnsi="宋体"/>
          <w:color w:val="auto"/>
          <w:szCs w:val="21"/>
          <w:highlight w:val="none"/>
        </w:rPr>
      </w:pPr>
    </w:p>
    <w:p>
      <w:pPr>
        <w:pStyle w:val="2"/>
        <w:rPr>
          <w:color w:val="auto"/>
          <w:highlight w:val="none"/>
        </w:rPr>
      </w:pPr>
    </w:p>
    <w:p>
      <w:pPr>
        <w:rPr>
          <w:color w:val="auto"/>
          <w:highlight w:val="none"/>
        </w:rPr>
      </w:pPr>
    </w:p>
    <w:p>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p>
    <w:p>
      <w:pPr>
        <w:snapToGrid w:val="0"/>
        <w:spacing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投标人盖章：日期：</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34.中小企业声明函</w:t>
      </w:r>
    </w:p>
    <w:p>
      <w:pPr>
        <w:pStyle w:val="11"/>
        <w:rPr>
          <w:color w:val="auto"/>
          <w:highlight w:val="none"/>
        </w:rPr>
      </w:pPr>
    </w:p>
    <w:p>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本公司（联合体）郑重声明，根据《政府采购促进中小企业发展管理办法》（财库</w:t>
      </w:r>
      <w:r>
        <w:rPr>
          <w:rFonts w:hint="eastAsia" w:ascii="宋体" w:hAnsi="宋体" w:cs="宋体"/>
          <w:color w:val="auto"/>
          <w:kern w:val="0"/>
          <w:sz w:val="24"/>
          <w:highlight w:val="none"/>
        </w:rPr>
        <w:t>﹝</w:t>
      </w:r>
      <w:r>
        <w:rPr>
          <w:rFonts w:ascii="宋体" w:hAnsi="宋体" w:cs="仿宋"/>
          <w:color w:val="auto"/>
          <w:kern w:val="0"/>
          <w:sz w:val="24"/>
          <w:highlight w:val="none"/>
        </w:rPr>
        <w:t>2020</w:t>
      </w:r>
      <w:r>
        <w:rPr>
          <w:rFonts w:hint="eastAsia" w:ascii="宋体" w:hAnsi="宋体" w:cs="宋体"/>
          <w:color w:val="auto"/>
          <w:kern w:val="0"/>
          <w:sz w:val="24"/>
          <w:highlight w:val="none"/>
        </w:rPr>
        <w:t>﹞</w:t>
      </w:r>
      <w:r>
        <w:rPr>
          <w:rFonts w:ascii="宋体" w:hAnsi="宋体" w:cs="仿宋"/>
          <w:color w:val="auto"/>
          <w:kern w:val="0"/>
          <w:sz w:val="24"/>
          <w:highlight w:val="none"/>
        </w:rPr>
        <w:t xml:space="preserve">46 </w:t>
      </w:r>
      <w:r>
        <w:rPr>
          <w:rFonts w:hint="eastAsia" w:ascii="宋体" w:hAnsi="宋体" w:cs="仿宋"/>
          <w:color w:val="auto"/>
          <w:kern w:val="0"/>
          <w:sz w:val="24"/>
          <w:highlight w:val="none"/>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仿宋"/>
          <w:color w:val="auto"/>
          <w:kern w:val="0"/>
          <w:sz w:val="24"/>
          <w:highlight w:val="none"/>
        </w:rPr>
      </w:pPr>
      <w:r>
        <w:rPr>
          <w:rFonts w:ascii="宋体" w:hAnsi="宋体" w:cs="仿宋"/>
          <w:color w:val="auto"/>
          <w:kern w:val="0"/>
          <w:sz w:val="24"/>
          <w:highlight w:val="none"/>
        </w:rPr>
        <w:t xml:space="preserve">1. </w:t>
      </w:r>
      <w:r>
        <w:rPr>
          <w:rFonts w:hint="eastAsia" w:ascii="宋体" w:hAnsi="宋体" w:cs="仿宋"/>
          <w:color w:val="auto"/>
          <w:kern w:val="0"/>
          <w:sz w:val="24"/>
          <w:highlight w:val="none"/>
        </w:rPr>
        <w:t>（标的名称），属于（采购文件中明确的所属行业）行业；制造商为（企业名称），从业人员人，营业收入为万元，资产总额为万元</w:t>
      </w:r>
      <w:r>
        <w:rPr>
          <w:rFonts w:hint="eastAsia" w:ascii="宋体" w:hAnsi="宋体" w:cs="TimesNewRomanPSMT"/>
          <w:color w:val="auto"/>
          <w:kern w:val="0"/>
          <w:sz w:val="24"/>
          <w:highlight w:val="none"/>
        </w:rPr>
        <w:t>①</w:t>
      </w:r>
      <w:r>
        <w:rPr>
          <w:rFonts w:hint="eastAsia" w:ascii="宋体" w:hAnsi="宋体" w:cs="仿宋"/>
          <w:color w:val="auto"/>
          <w:kern w:val="0"/>
          <w:sz w:val="24"/>
          <w:highlight w:val="none"/>
        </w:rPr>
        <w:t>，属于（中型企业、小型企业、微型企业）；</w:t>
      </w:r>
    </w:p>
    <w:p>
      <w:pPr>
        <w:spacing w:line="360" w:lineRule="auto"/>
        <w:ind w:firstLine="480" w:firstLineChars="200"/>
        <w:rPr>
          <w:rFonts w:ascii="宋体" w:hAnsi="宋体" w:cs="仿宋"/>
          <w:color w:val="auto"/>
          <w:kern w:val="0"/>
          <w:sz w:val="24"/>
          <w:highlight w:val="none"/>
        </w:rPr>
      </w:pPr>
      <w:r>
        <w:rPr>
          <w:rFonts w:ascii="宋体" w:hAnsi="宋体" w:cs="仿宋"/>
          <w:color w:val="auto"/>
          <w:kern w:val="0"/>
          <w:sz w:val="24"/>
          <w:highlight w:val="none"/>
        </w:rPr>
        <w:t xml:space="preserve">2. </w:t>
      </w:r>
      <w:r>
        <w:rPr>
          <w:rFonts w:hint="eastAsia" w:ascii="宋体" w:hAnsi="宋体" w:cs="仿宋"/>
          <w:color w:val="auto"/>
          <w:kern w:val="0"/>
          <w:sz w:val="24"/>
          <w:highlight w:val="none"/>
        </w:rPr>
        <w:t>（标的名称），属于（采购文件中明确的所属行业）行业；制造商为（企业名称），从业人员人，营业收入为万元，资产总额为万元，属于（中型企业、小型企业、微型企业）；</w:t>
      </w:r>
    </w:p>
    <w:p>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w:t>
      </w:r>
    </w:p>
    <w:p>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本企业对上述声明内容的真实性负责。如有虚假，将依法承担相应责任。</w:t>
      </w:r>
    </w:p>
    <w:p>
      <w:pPr>
        <w:spacing w:line="360" w:lineRule="auto"/>
        <w:ind w:firstLine="5640" w:firstLineChars="2350"/>
        <w:rPr>
          <w:rFonts w:ascii="宋体" w:hAnsi="宋体" w:cs="仿宋"/>
          <w:color w:val="auto"/>
          <w:kern w:val="0"/>
          <w:sz w:val="24"/>
          <w:highlight w:val="none"/>
        </w:rPr>
      </w:pPr>
    </w:p>
    <w:p>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企业名称（盖章）：</w:t>
      </w:r>
    </w:p>
    <w:p>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日期：</w:t>
      </w:r>
    </w:p>
    <w:p>
      <w:pPr>
        <w:numPr>
          <w:ilvl w:val="0"/>
          <w:numId w:val="5"/>
        </w:numPr>
        <w:snapToGrid w:val="0"/>
        <w:spacing w:before="50" w:after="50" w:line="360" w:lineRule="auto"/>
        <w:jc w:val="left"/>
        <w:rPr>
          <w:rFonts w:ascii="宋体" w:hAnsi="宋体" w:cs="仿宋"/>
          <w:color w:val="auto"/>
          <w:sz w:val="24"/>
          <w:highlight w:val="none"/>
        </w:rPr>
      </w:pPr>
      <w:r>
        <w:rPr>
          <w:rFonts w:hint="eastAsia" w:ascii="宋体" w:cs="宋体"/>
          <w:color w:val="auto"/>
          <w:kern w:val="0"/>
          <w:sz w:val="18"/>
          <w:szCs w:val="18"/>
          <w:highlight w:val="none"/>
        </w:rPr>
        <w:t>从业人员、营业收入、资产总额填报上一年度数据，无上一年度数据的新成立企业可不填报。</w:t>
      </w:r>
    </w:p>
    <w:p>
      <w:pPr>
        <w:spacing w:line="360" w:lineRule="auto"/>
        <w:jc w:val="left"/>
        <w:outlineLvl w:val="1"/>
        <w:rPr>
          <w:rFonts w:ascii="宋体" w:hAnsi="宋体" w:cs="宋体"/>
          <w:color w:val="auto"/>
          <w:highlight w:val="none"/>
        </w:rPr>
      </w:pPr>
      <w:r>
        <w:rPr>
          <w:rFonts w:hint="eastAsia" w:hAnsi="宋体" w:cs="宋体"/>
          <w:color w:val="auto"/>
          <w:sz w:val="24"/>
          <w:highlight w:val="none"/>
          <w:u w:val="single"/>
        </w:rPr>
        <w:t>此表必须如实填写，不能留有空格。</w:t>
      </w:r>
    </w:p>
    <w:p>
      <w:pPr>
        <w:spacing w:line="588" w:lineRule="exact"/>
        <w:jc w:val="center"/>
        <w:rPr>
          <w:rFonts w:ascii="宋体" w:hAnsi="宋体"/>
          <w:b/>
          <w:bCs/>
          <w:color w:val="auto"/>
          <w:sz w:val="30"/>
          <w:highlight w:val="none"/>
        </w:rPr>
      </w:pPr>
    </w:p>
    <w:p>
      <w:pPr>
        <w:spacing w:line="588" w:lineRule="exact"/>
        <w:jc w:val="center"/>
        <w:rPr>
          <w:rFonts w:ascii="宋体" w:hAnsi="宋体"/>
          <w:b/>
          <w:bCs/>
          <w:color w:val="auto"/>
          <w:sz w:val="30"/>
          <w:highlight w:val="none"/>
        </w:rPr>
      </w:pPr>
      <w:r>
        <w:rPr>
          <w:rFonts w:hint="eastAsia" w:ascii="宋体" w:hAnsi="宋体"/>
          <w:b/>
          <w:bCs/>
          <w:color w:val="auto"/>
          <w:sz w:val="30"/>
          <w:highlight w:val="none"/>
        </w:rPr>
        <w:t>残疾人福利性单位声明函</w:t>
      </w:r>
    </w:p>
    <w:p>
      <w:pPr>
        <w:spacing w:line="588" w:lineRule="exact"/>
        <w:jc w:val="center"/>
        <w:rPr>
          <w:rFonts w:ascii="宋体" w:hAnsi="宋体"/>
          <w:b/>
          <w:color w:val="auto"/>
          <w:spacing w:val="6"/>
          <w:sz w:val="24"/>
          <w:highlight w:val="none"/>
        </w:rPr>
      </w:pP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napToGrid w:val="0"/>
        <w:spacing w:line="360" w:lineRule="auto"/>
        <w:ind w:firstLine="480" w:firstLineChars="200"/>
        <w:rPr>
          <w:rFonts w:ascii="宋体" w:hAnsi="宋体"/>
          <w:color w:val="auto"/>
          <w:sz w:val="24"/>
          <w:highlight w:val="none"/>
        </w:rPr>
      </w:pPr>
    </w:p>
    <w:p>
      <w:pPr>
        <w:spacing w:line="588" w:lineRule="exact"/>
        <w:ind w:firstLine="504" w:firstLineChars="200"/>
        <w:rPr>
          <w:rFonts w:ascii="宋体" w:hAnsi="宋体"/>
          <w:color w:val="auto"/>
          <w:spacing w:val="6"/>
          <w:sz w:val="24"/>
          <w:highlight w:val="none"/>
        </w:rPr>
      </w:pPr>
    </w:p>
    <w:p>
      <w:pPr>
        <w:snapToGrid w:val="0"/>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单位名称（盖章）：</w:t>
      </w:r>
    </w:p>
    <w:p>
      <w:pPr>
        <w:snapToGrid w:val="0"/>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w:t>
      </w:r>
    </w:p>
    <w:p>
      <w:pPr>
        <w:rPr>
          <w:rFonts w:ascii="宋体" w:hAnsi="宋体"/>
          <w:color w:val="auto"/>
          <w:sz w:val="24"/>
          <w:highlight w:val="none"/>
        </w:rPr>
      </w:pPr>
    </w:p>
    <w:p>
      <w:pPr>
        <w:rPr>
          <w:rFonts w:ascii="宋体" w:hAnsi="宋体"/>
          <w:color w:val="auto"/>
          <w:sz w:val="24"/>
          <w:highlight w:val="none"/>
        </w:rPr>
      </w:pPr>
    </w:p>
    <w:p>
      <w:pPr>
        <w:pStyle w:val="6"/>
        <w:spacing w:line="500" w:lineRule="exact"/>
        <w:ind w:firstLine="0"/>
        <w:rPr>
          <w:rFonts w:ascii="宋体" w:hAnsi="宋体"/>
          <w:color w:val="auto"/>
          <w:szCs w:val="24"/>
          <w:highlight w:val="none"/>
        </w:rPr>
      </w:pPr>
    </w:p>
    <w:p>
      <w:pPr>
        <w:pStyle w:val="6"/>
        <w:spacing w:line="500" w:lineRule="exact"/>
        <w:ind w:firstLine="0"/>
        <w:rPr>
          <w:rFonts w:ascii="宋体" w:hAnsi="宋体"/>
          <w:color w:val="auto"/>
          <w:szCs w:val="24"/>
          <w:highlight w:val="none"/>
        </w:rPr>
      </w:pPr>
    </w:p>
    <w:p>
      <w:pPr>
        <w:snapToGrid w:val="0"/>
        <w:spacing w:before="50"/>
        <w:jc w:val="center"/>
        <w:rPr>
          <w:rFonts w:ascii="宋体" w:hAnsi="宋体"/>
          <w:b/>
          <w:color w:val="auto"/>
          <w:spacing w:val="40"/>
          <w:kern w:val="0"/>
          <w:sz w:val="24"/>
          <w:highlight w:val="none"/>
        </w:rPr>
      </w:pPr>
    </w:p>
    <w:p>
      <w:pPr>
        <w:snapToGrid w:val="0"/>
        <w:spacing w:before="50"/>
        <w:rPr>
          <w:rFonts w:ascii="宋体" w:hAnsi="宋体"/>
          <w:b/>
          <w:color w:val="auto"/>
          <w:spacing w:val="40"/>
          <w:kern w:val="0"/>
          <w:sz w:val="24"/>
          <w:highlight w:val="none"/>
        </w:rPr>
      </w:pPr>
      <w:r>
        <w:rPr>
          <w:rFonts w:hint="eastAsia" w:ascii="宋体" w:hAnsi="宋体"/>
          <w:color w:val="auto"/>
          <w:sz w:val="24"/>
          <w:highlight w:val="none"/>
          <w:u w:val="single"/>
        </w:rPr>
        <w:t>注：若不是残疾人福利性单位，请勿填写此表。</w:t>
      </w:r>
    </w:p>
    <w:p>
      <w:pPr>
        <w:rPr>
          <w:rFonts w:ascii="宋体" w:hAnsi="宋体"/>
          <w:color w:val="auto"/>
          <w:sz w:val="24"/>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rPr>
          <w:color w:val="auto"/>
          <w:highlight w:val="none"/>
        </w:rPr>
      </w:pPr>
    </w:p>
    <w:p>
      <w:pPr>
        <w:rPr>
          <w:color w:val="auto"/>
          <w:highlight w:val="none"/>
        </w:rPr>
      </w:pPr>
      <w:r>
        <w:rPr>
          <w:rFonts w:hint="eastAsia" w:ascii="宋体" w:hAnsi="宋体" w:cs="仿宋"/>
          <w:color w:val="auto"/>
          <w:sz w:val="24"/>
          <w:highlight w:val="none"/>
        </w:rPr>
        <w:t>35.联合体各方共同投标协议或分包意向协议（如有，格式自拟）</w:t>
      </w:r>
    </w:p>
    <w:p>
      <w:pPr>
        <w:pStyle w:val="11"/>
        <w:rPr>
          <w:color w:val="auto"/>
          <w:highlight w:val="none"/>
        </w:rPr>
      </w:pPr>
    </w:p>
    <w:p>
      <w:pPr>
        <w:rPr>
          <w:color w:val="auto"/>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36.投标人针对报价需要说明的其他文件和说明（格式自拟）</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37.招标代理服务费承诺函</w:t>
      </w:r>
    </w:p>
    <w:p>
      <w:pPr>
        <w:spacing w:line="360" w:lineRule="auto"/>
        <w:jc w:val="center"/>
        <w:rPr>
          <w:b/>
          <w:color w:val="auto"/>
          <w:sz w:val="32"/>
          <w:highlight w:val="none"/>
        </w:rPr>
      </w:pPr>
    </w:p>
    <w:p>
      <w:pPr>
        <w:tabs>
          <w:tab w:val="left" w:pos="2996"/>
        </w:tabs>
        <w:spacing w:line="360" w:lineRule="auto"/>
        <w:ind w:firstLine="480" w:firstLineChars="200"/>
        <w:rPr>
          <w:color w:val="auto"/>
          <w:sz w:val="24"/>
          <w:highlight w:val="none"/>
        </w:rPr>
      </w:pPr>
      <w:r>
        <w:rPr>
          <w:rFonts w:hint="eastAsia"/>
          <w:color w:val="auto"/>
          <w:sz w:val="24"/>
          <w:highlight w:val="none"/>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pPr>
        <w:spacing w:line="360" w:lineRule="auto"/>
        <w:rPr>
          <w:color w:val="auto"/>
          <w:sz w:val="24"/>
          <w:highlight w:val="none"/>
        </w:rPr>
      </w:pPr>
    </w:p>
    <w:p>
      <w:pPr>
        <w:spacing w:line="360" w:lineRule="auto"/>
        <w:rPr>
          <w:color w:val="auto"/>
          <w:sz w:val="24"/>
          <w:highlight w:val="none"/>
        </w:rPr>
      </w:pPr>
    </w:p>
    <w:p>
      <w:pPr>
        <w:pStyle w:val="6"/>
        <w:spacing w:line="360" w:lineRule="auto"/>
        <w:ind w:firstLine="1454" w:firstLineChars="606"/>
        <w:rPr>
          <w:rFonts w:ascii="宋体" w:hAnsi="宋体"/>
          <w:color w:val="auto"/>
          <w:sz w:val="24"/>
          <w:szCs w:val="24"/>
          <w:highlight w:val="none"/>
        </w:rPr>
      </w:pPr>
      <w:r>
        <w:rPr>
          <w:rFonts w:hint="eastAsia" w:ascii="宋体" w:hAnsi="宋体"/>
          <w:color w:val="auto"/>
          <w:sz w:val="24"/>
          <w:szCs w:val="24"/>
          <w:highlight w:val="none"/>
        </w:rPr>
        <w:t>投标人：（盖章）</w:t>
      </w:r>
    </w:p>
    <w:p>
      <w:pPr>
        <w:pStyle w:val="6"/>
        <w:spacing w:line="360" w:lineRule="auto"/>
        <w:ind w:firstLine="374" w:firstLineChars="156"/>
        <w:rPr>
          <w:rFonts w:ascii="宋体" w:hAnsi="宋体"/>
          <w:color w:val="auto"/>
          <w:sz w:val="24"/>
          <w:szCs w:val="24"/>
          <w:highlight w:val="none"/>
        </w:rPr>
      </w:pPr>
    </w:p>
    <w:p>
      <w:pPr>
        <w:pStyle w:val="6"/>
        <w:spacing w:line="360" w:lineRule="auto"/>
        <w:ind w:firstLine="1334" w:firstLineChars="556"/>
        <w:rPr>
          <w:rFonts w:ascii="宋体" w:hAnsi="宋体"/>
          <w:color w:val="auto"/>
          <w:sz w:val="24"/>
          <w:szCs w:val="24"/>
          <w:highlight w:val="none"/>
        </w:rPr>
      </w:pPr>
      <w:r>
        <w:rPr>
          <w:rFonts w:hint="eastAsia" w:ascii="宋体" w:hAnsi="宋体"/>
          <w:color w:val="auto"/>
          <w:sz w:val="24"/>
          <w:szCs w:val="24"/>
          <w:highlight w:val="none"/>
        </w:rPr>
        <w:t>法定代表人或其授权代理人（签名或盖章）</w:t>
      </w:r>
    </w:p>
    <w:p>
      <w:pPr>
        <w:pStyle w:val="6"/>
        <w:spacing w:line="360" w:lineRule="auto"/>
        <w:ind w:firstLine="374" w:firstLineChars="156"/>
        <w:jc w:val="center"/>
        <w:rPr>
          <w:rFonts w:ascii="宋体" w:hAnsi="宋体"/>
          <w:color w:val="auto"/>
          <w:sz w:val="24"/>
          <w:szCs w:val="24"/>
          <w:highlight w:val="none"/>
        </w:rPr>
      </w:pPr>
    </w:p>
    <w:p>
      <w:pPr>
        <w:pStyle w:val="6"/>
        <w:spacing w:line="360" w:lineRule="auto"/>
        <w:ind w:left="840" w:firstLine="374" w:firstLineChars="156"/>
        <w:rPr>
          <w:rFonts w:ascii="宋体" w:hAnsi="宋体"/>
          <w:color w:val="auto"/>
          <w:sz w:val="24"/>
          <w:szCs w:val="24"/>
          <w:highlight w:val="none"/>
        </w:rPr>
      </w:pPr>
      <w:r>
        <w:rPr>
          <w:rFonts w:hint="eastAsia" w:ascii="宋体" w:hAnsi="宋体"/>
          <w:color w:val="auto"/>
          <w:sz w:val="24"/>
          <w:szCs w:val="24"/>
          <w:highlight w:val="none"/>
        </w:rPr>
        <w:t xml:space="preserve">              日期：    年   月   日</w:t>
      </w:r>
    </w:p>
    <w:p>
      <w:pPr>
        <w:pStyle w:val="13"/>
        <w:snapToGrid w:val="0"/>
        <w:spacing w:beforeLines="0" w:afterLines="0" w:line="360" w:lineRule="auto"/>
        <w:rPr>
          <w:color w:val="auto"/>
          <w:highlight w:val="none"/>
        </w:rPr>
      </w:pPr>
    </w:p>
    <w:p>
      <w:pPr>
        <w:pStyle w:val="6"/>
        <w:spacing w:line="500" w:lineRule="exact"/>
        <w:ind w:firstLine="0"/>
        <w:jc w:val="left"/>
        <w:rPr>
          <w:rFonts w:ascii="宋体" w:hAnsi="宋体"/>
          <w:color w:val="auto"/>
          <w:sz w:val="24"/>
          <w:szCs w:val="24"/>
          <w:highlight w:val="none"/>
          <w:u w:val="single"/>
        </w:rPr>
      </w:pPr>
    </w:p>
    <w:p>
      <w:pPr>
        <w:pStyle w:val="6"/>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____________________________________________________________________________</w:t>
      </w:r>
    </w:p>
    <w:p>
      <w:pPr>
        <w:pStyle w:val="6"/>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代理费汇款账号：</w:t>
      </w:r>
    </w:p>
    <w:p>
      <w:pPr>
        <w:snapToGrid w:val="0"/>
        <w:jc w:val="left"/>
        <w:rPr>
          <w:rFonts w:ascii="宋体" w:hAnsi="宋体"/>
          <w:color w:val="auto"/>
          <w:sz w:val="24"/>
          <w:highlight w:val="none"/>
        </w:rPr>
      </w:pPr>
    </w:p>
    <w:p>
      <w:pPr>
        <w:snapToGrid w:val="0"/>
        <w:jc w:val="left"/>
        <w:rPr>
          <w:rFonts w:ascii="宋体" w:hAnsi="宋体"/>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单位名称：浙江华耀建设咨询有限公司龙溪北路分公司</w:t>
      </w:r>
    </w:p>
    <w:p>
      <w:pPr>
        <w:snapToGrid w:val="0"/>
        <w:rPr>
          <w:rFonts w:ascii="宋体" w:hAnsi="宋体"/>
          <w:color w:val="auto"/>
          <w:sz w:val="24"/>
          <w:highlight w:val="none"/>
        </w:rPr>
      </w:pPr>
      <w:r>
        <w:rPr>
          <w:rFonts w:hint="eastAsia" w:ascii="宋体" w:hAnsi="宋体"/>
          <w:color w:val="auto"/>
          <w:sz w:val="24"/>
          <w:highlight w:val="none"/>
        </w:rPr>
        <w:t>开户银行：中国工商银行股份有限公司湖州经济开发区支行</w:t>
      </w:r>
    </w:p>
    <w:p>
      <w:pPr>
        <w:snapToGrid w:val="0"/>
        <w:spacing w:line="360" w:lineRule="auto"/>
        <w:rPr>
          <w:rFonts w:ascii="宋体" w:hAnsi="宋体"/>
          <w:b/>
          <w:color w:val="auto"/>
          <w:sz w:val="24"/>
          <w:highlight w:val="none"/>
        </w:rPr>
      </w:pPr>
      <w:r>
        <w:rPr>
          <w:rFonts w:hint="eastAsia" w:ascii="宋体" w:hAnsi="宋体"/>
          <w:color w:val="auto"/>
          <w:sz w:val="24"/>
          <w:highlight w:val="none"/>
        </w:rPr>
        <w:t>银行账号：1205210409001029749</w:t>
      </w:r>
    </w:p>
    <w:p>
      <w:pPr>
        <w:snapToGrid w:val="0"/>
        <w:spacing w:line="360" w:lineRule="auto"/>
        <w:rPr>
          <w:rFonts w:ascii="宋体" w:hAnsi="宋体"/>
          <w:b/>
          <w:color w:val="auto"/>
          <w:sz w:val="24"/>
          <w:highlight w:val="none"/>
        </w:rPr>
      </w:pPr>
    </w:p>
    <w:p>
      <w:pPr>
        <w:snapToGrid w:val="0"/>
        <w:spacing w:line="360" w:lineRule="auto"/>
        <w:rPr>
          <w:rFonts w:ascii="宋体" w:hAnsi="宋体"/>
          <w:b/>
          <w:color w:val="auto"/>
          <w:sz w:val="24"/>
          <w:highlight w:val="none"/>
        </w:rPr>
      </w:pPr>
    </w:p>
    <w:p>
      <w:pPr>
        <w:snapToGrid w:val="0"/>
        <w:spacing w:line="360" w:lineRule="auto"/>
        <w:rPr>
          <w:rFonts w:ascii="宋体" w:hAnsi="宋体"/>
          <w:b/>
          <w:color w:val="auto"/>
          <w:sz w:val="24"/>
          <w:highlight w:val="none"/>
        </w:rPr>
      </w:pPr>
    </w:p>
    <w:p>
      <w:pPr>
        <w:snapToGrid w:val="0"/>
        <w:spacing w:line="360" w:lineRule="auto"/>
        <w:rPr>
          <w:rFonts w:ascii="宋体" w:hAnsi="宋体"/>
          <w:b/>
          <w:color w:val="auto"/>
          <w:sz w:val="24"/>
          <w:highlight w:val="none"/>
        </w:rPr>
      </w:pPr>
    </w:p>
    <w:p>
      <w:pPr>
        <w:snapToGrid w:val="0"/>
        <w:spacing w:line="360" w:lineRule="auto"/>
        <w:rPr>
          <w:rFonts w:ascii="宋体" w:hAnsi="宋体"/>
          <w:b/>
          <w:color w:val="auto"/>
          <w:sz w:val="24"/>
          <w:highlight w:val="none"/>
        </w:rPr>
      </w:pPr>
    </w:p>
    <w:p>
      <w:pPr>
        <w:snapToGrid w:val="0"/>
        <w:spacing w:line="360" w:lineRule="auto"/>
        <w:rPr>
          <w:rFonts w:ascii="宋体" w:hAnsi="宋体"/>
          <w:b/>
          <w:color w:val="auto"/>
          <w:sz w:val="24"/>
          <w:highlight w:val="none"/>
        </w:rPr>
      </w:pPr>
    </w:p>
    <w:p>
      <w:pPr>
        <w:snapToGrid w:val="0"/>
        <w:spacing w:line="360" w:lineRule="auto"/>
        <w:rPr>
          <w:rFonts w:ascii="宋体" w:hAnsi="宋体"/>
          <w:b/>
          <w:color w:val="auto"/>
          <w:sz w:val="24"/>
          <w:highlight w:val="none"/>
        </w:rPr>
      </w:pPr>
    </w:p>
    <w:p>
      <w:pPr>
        <w:snapToGrid w:val="0"/>
        <w:spacing w:line="360" w:lineRule="auto"/>
        <w:rPr>
          <w:rFonts w:ascii="宋体" w:hAnsi="宋体"/>
          <w:b/>
          <w:color w:val="auto"/>
          <w:sz w:val="24"/>
          <w:highlight w:val="none"/>
        </w:rPr>
      </w:pPr>
    </w:p>
    <w:p>
      <w:pPr>
        <w:snapToGrid w:val="0"/>
        <w:spacing w:line="360" w:lineRule="auto"/>
        <w:rPr>
          <w:rFonts w:ascii="宋体" w:hAnsi="宋体"/>
          <w:b/>
          <w:color w:val="auto"/>
          <w:sz w:val="24"/>
          <w:highlight w:val="none"/>
        </w:rPr>
      </w:pPr>
    </w:p>
    <w:p>
      <w:pPr>
        <w:snapToGrid w:val="0"/>
        <w:spacing w:line="360" w:lineRule="auto"/>
        <w:rPr>
          <w:rFonts w:ascii="宋体" w:hAnsi="宋体"/>
          <w:b/>
          <w:color w:val="auto"/>
          <w:sz w:val="24"/>
          <w:highlight w:val="none"/>
        </w:rPr>
      </w:pPr>
    </w:p>
    <w:p>
      <w:pPr>
        <w:snapToGrid w:val="0"/>
        <w:spacing w:line="360" w:lineRule="auto"/>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 xml:space="preserve">8.开标一览表 </w:t>
      </w:r>
    </w:p>
    <w:p>
      <w:pPr>
        <w:snapToGrid w:val="0"/>
        <w:spacing w:line="360" w:lineRule="auto"/>
        <w:jc w:val="center"/>
        <w:rPr>
          <w:rFonts w:ascii="宋体" w:hAnsi="宋体"/>
          <w:b/>
          <w:color w:val="auto"/>
          <w:sz w:val="30"/>
          <w:szCs w:val="20"/>
          <w:highlight w:val="none"/>
        </w:rPr>
      </w:pPr>
      <w:r>
        <w:rPr>
          <w:rFonts w:hint="eastAsia" w:ascii="宋体" w:hAnsi="宋体"/>
          <w:b/>
          <w:color w:val="auto"/>
          <w:sz w:val="30"/>
          <w:highlight w:val="none"/>
        </w:rPr>
        <w:t>开标一览表</w:t>
      </w:r>
    </w:p>
    <w:p>
      <w:pPr>
        <w:snapToGrid w:val="0"/>
        <w:spacing w:before="50" w:after="50"/>
        <w:rPr>
          <w:rFonts w:ascii="宋体" w:hAnsi="宋体"/>
          <w:color w:val="auto"/>
          <w:sz w:val="24"/>
          <w:szCs w:val="20"/>
          <w:highlight w:val="none"/>
        </w:rPr>
      </w:pPr>
      <w:r>
        <w:rPr>
          <w:rFonts w:hint="eastAsia" w:ascii="宋体" w:hAnsi="宋体"/>
          <w:color w:val="auto"/>
          <w:sz w:val="24"/>
          <w:highlight w:val="none"/>
        </w:rPr>
        <w:t>招标编号：项目名称：投标人名称：单位：元</w:t>
      </w:r>
    </w:p>
    <w:tbl>
      <w:tblPr>
        <w:tblStyle w:val="28"/>
        <w:tblW w:w="106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995"/>
        <w:gridCol w:w="2931"/>
        <w:gridCol w:w="1978"/>
        <w:gridCol w:w="2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序号</w:t>
            </w:r>
          </w:p>
        </w:tc>
        <w:tc>
          <w:tcPr>
            <w:tcW w:w="19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名称</w:t>
            </w:r>
          </w:p>
        </w:tc>
        <w:tc>
          <w:tcPr>
            <w:tcW w:w="29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数量</w:t>
            </w: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单价</w:t>
            </w: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1</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32"/>
                <w:szCs w:val="21"/>
                <w:highlight w:val="none"/>
              </w:rPr>
            </w:pPr>
            <w:r>
              <w:rPr>
                <w:rFonts w:hint="eastAsia" w:ascii="宋体" w:hAnsi="宋体"/>
                <w:bCs/>
                <w:color w:val="auto"/>
                <w:sz w:val="24"/>
                <w:highlight w:val="none"/>
              </w:rPr>
              <w:t>供应商派驻人员</w:t>
            </w:r>
          </w:p>
        </w:tc>
        <w:tc>
          <w:tcPr>
            <w:tcW w:w="2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32"/>
                <w:szCs w:val="21"/>
                <w:highlight w:val="none"/>
              </w:rPr>
            </w:pPr>
            <w:r>
              <w:rPr>
                <w:rFonts w:hint="eastAsia" w:ascii="宋体" w:hAnsi="宋体"/>
                <w:bCs/>
                <w:color w:val="auto"/>
                <w:sz w:val="24"/>
                <w:highlight w:val="none"/>
              </w:rPr>
              <w:t>5</w:t>
            </w:r>
            <w:r>
              <w:rPr>
                <w:rFonts w:hint="eastAsia" w:ascii="宋体" w:hAnsi="宋体"/>
                <w:bCs/>
                <w:color w:val="auto"/>
                <w:sz w:val="24"/>
                <w:highlight w:val="none"/>
                <w:lang w:val="en-US" w:eastAsia="zh-CN"/>
              </w:rPr>
              <w:t>0</w:t>
            </w:r>
            <w:r>
              <w:rPr>
                <w:rFonts w:hint="eastAsia" w:ascii="宋体" w:hAnsi="宋体"/>
                <w:bCs/>
                <w:color w:val="auto"/>
                <w:sz w:val="24"/>
                <w:highlight w:val="none"/>
              </w:rPr>
              <w:t>人/36月</w:t>
            </w: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32"/>
                <w:szCs w:val="21"/>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039"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24"/>
                <w:szCs w:val="21"/>
                <w:highlight w:val="none"/>
              </w:rPr>
            </w:pPr>
            <w:r>
              <w:rPr>
                <w:rFonts w:hint="eastAsia" w:ascii="宋体" w:hAnsi="宋体"/>
                <w:color w:val="auto"/>
                <w:sz w:val="24"/>
                <w:szCs w:val="21"/>
                <w:highlight w:val="none"/>
              </w:rPr>
              <w:t>投标费用及利润</w:t>
            </w: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63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24"/>
                <w:szCs w:val="21"/>
                <w:highlight w:val="none"/>
                <w:u w:val="single"/>
              </w:rPr>
            </w:pPr>
            <w:r>
              <w:rPr>
                <w:rFonts w:hint="eastAsia" w:ascii="宋体" w:hAnsi="宋体"/>
                <w:color w:val="auto"/>
                <w:sz w:val="24"/>
                <w:szCs w:val="21"/>
                <w:highlight w:val="none"/>
              </w:rPr>
              <w:t>合计金额大写：</w:t>
            </w:r>
            <w:r>
              <w:rPr>
                <w:rFonts w:hint="eastAsia"/>
                <w:color w:val="auto"/>
                <w:sz w:val="24"/>
                <w:highlight w:val="none"/>
              </w:rPr>
              <w:t>人民币元￥</w:t>
            </w:r>
          </w:p>
        </w:tc>
      </w:tr>
    </w:tbl>
    <w:p>
      <w:pPr>
        <w:snapToGrid w:val="0"/>
        <w:spacing w:before="50" w:after="50"/>
        <w:jc w:val="left"/>
        <w:rPr>
          <w:rFonts w:ascii="宋体" w:hAnsi="宋体"/>
          <w:color w:val="auto"/>
          <w:sz w:val="24"/>
          <w:szCs w:val="20"/>
          <w:highlight w:val="none"/>
        </w:rPr>
      </w:pPr>
      <w:r>
        <w:rPr>
          <w:rFonts w:hint="eastAsia" w:ascii="宋体" w:hAnsi="宋体"/>
          <w:color w:val="auto"/>
          <w:sz w:val="24"/>
          <w:highlight w:val="none"/>
        </w:rPr>
        <w:t>注</w:t>
      </w:r>
      <w:r>
        <w:rPr>
          <w:rFonts w:ascii="宋体" w:hAnsi="宋体"/>
          <w:color w:val="auto"/>
          <w:sz w:val="24"/>
          <w:highlight w:val="none"/>
        </w:rPr>
        <w:t>: 1</w:t>
      </w:r>
      <w:r>
        <w:rPr>
          <w:rFonts w:hint="eastAsia" w:ascii="宋体" w:hAnsi="宋体"/>
          <w:color w:val="auto"/>
          <w:sz w:val="24"/>
          <w:highlight w:val="none"/>
        </w:rPr>
        <w:t>、报价一经涂改，应在涂改处加盖单位公章或者由法定代表人或授权委托人签字或盖章，否则其投标作无效标处理。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、投标费用包括项目实施所需的人工费、服务费、运输费、安装调试费、购买及制作标书费、税费及其他一切费用。</w:t>
      </w:r>
    </w:p>
    <w:p>
      <w:pPr>
        <w:snapToGrid w:val="0"/>
        <w:spacing w:before="50" w:after="50"/>
        <w:ind w:firstLine="480" w:firstLineChars="200"/>
        <w:jc w:val="left"/>
        <w:rPr>
          <w:rFonts w:ascii="宋体" w:hAnsi="宋体"/>
          <w:color w:val="auto"/>
          <w:sz w:val="24"/>
          <w:szCs w:val="20"/>
          <w:highlight w:val="none"/>
        </w:rPr>
      </w:pPr>
      <w:r>
        <w:rPr>
          <w:rFonts w:hint="eastAsia" w:ascii="宋体" w:hAnsi="宋体"/>
          <w:color w:val="auto"/>
          <w:sz w:val="24"/>
          <w:highlight w:val="none"/>
        </w:rPr>
        <w:t>3、以上报价应与“投标报价明细表”中的“投标总价”相一致。</w:t>
      </w:r>
    </w:p>
    <w:p>
      <w:pPr>
        <w:snapToGrid w:val="0"/>
        <w:spacing w:before="50" w:after="50"/>
        <w:ind w:firstLine="480" w:firstLineChars="200"/>
        <w:rPr>
          <w:rFonts w:ascii="宋体" w:hAnsi="宋体"/>
          <w:color w:val="auto"/>
          <w:sz w:val="24"/>
          <w:szCs w:val="20"/>
          <w:highlight w:val="none"/>
        </w:rPr>
      </w:pPr>
    </w:p>
    <w:p>
      <w:pPr>
        <w:spacing w:line="360" w:lineRule="auto"/>
        <w:rPr>
          <w:color w:val="auto"/>
          <w:sz w:val="28"/>
          <w:szCs w:val="28"/>
          <w:highlight w:val="none"/>
        </w:rPr>
      </w:pPr>
    </w:p>
    <w:p>
      <w:pPr>
        <w:spacing w:line="360" w:lineRule="auto"/>
        <w:rPr>
          <w:color w:val="auto"/>
          <w:sz w:val="28"/>
          <w:szCs w:val="28"/>
          <w:highlight w:val="none"/>
        </w:rPr>
      </w:pPr>
      <w:r>
        <w:rPr>
          <w:rFonts w:hint="eastAsia"/>
          <w:color w:val="auto"/>
          <w:sz w:val="28"/>
          <w:szCs w:val="28"/>
          <w:highlight w:val="none"/>
        </w:rPr>
        <w:t>附件：</w:t>
      </w:r>
      <w:r>
        <w:rPr>
          <w:color w:val="auto"/>
          <w:sz w:val="28"/>
          <w:szCs w:val="28"/>
          <w:highlight w:val="none"/>
        </w:rPr>
        <w:t xml:space="preserve"> “</w:t>
      </w:r>
      <w:r>
        <w:rPr>
          <w:rFonts w:hint="eastAsia"/>
          <w:color w:val="auto"/>
          <w:sz w:val="28"/>
          <w:szCs w:val="28"/>
          <w:highlight w:val="none"/>
        </w:rPr>
        <w:t>信用中国</w:t>
      </w:r>
      <w:r>
        <w:rPr>
          <w:color w:val="auto"/>
          <w:sz w:val="28"/>
          <w:szCs w:val="28"/>
          <w:highlight w:val="none"/>
        </w:rPr>
        <w:t>”</w:t>
      </w:r>
      <w:r>
        <w:rPr>
          <w:rFonts w:hint="eastAsia"/>
          <w:color w:val="auto"/>
          <w:sz w:val="28"/>
          <w:szCs w:val="28"/>
          <w:highlight w:val="none"/>
        </w:rPr>
        <w:t>（</w:t>
      </w:r>
      <w:r>
        <w:rPr>
          <w:color w:val="auto"/>
          <w:sz w:val="28"/>
          <w:szCs w:val="28"/>
          <w:highlight w:val="none"/>
        </w:rPr>
        <w:t>www.creditchina.gov.cn</w:t>
      </w:r>
      <w:r>
        <w:rPr>
          <w:rFonts w:hint="eastAsia"/>
          <w:color w:val="auto"/>
          <w:sz w:val="28"/>
          <w:szCs w:val="28"/>
          <w:highlight w:val="none"/>
        </w:rPr>
        <w:t>）、</w:t>
      </w:r>
      <w:r>
        <w:rPr>
          <w:color w:val="auto"/>
          <w:sz w:val="28"/>
          <w:szCs w:val="28"/>
          <w:highlight w:val="none"/>
        </w:rPr>
        <w:t>“</w:t>
      </w:r>
      <w:r>
        <w:rPr>
          <w:rFonts w:hint="eastAsia"/>
          <w:color w:val="auto"/>
          <w:sz w:val="28"/>
          <w:szCs w:val="28"/>
          <w:highlight w:val="none"/>
        </w:rPr>
        <w:t>中国政府采购网</w:t>
      </w:r>
      <w:r>
        <w:rPr>
          <w:color w:val="auto"/>
          <w:sz w:val="28"/>
          <w:szCs w:val="28"/>
          <w:highlight w:val="none"/>
        </w:rPr>
        <w:t>”</w:t>
      </w:r>
      <w:r>
        <w:rPr>
          <w:rFonts w:hint="eastAsia"/>
          <w:color w:val="auto"/>
          <w:sz w:val="28"/>
          <w:szCs w:val="28"/>
          <w:highlight w:val="none"/>
        </w:rPr>
        <w:t>（</w:t>
      </w:r>
      <w:r>
        <w:rPr>
          <w:color w:val="auto"/>
          <w:sz w:val="28"/>
          <w:szCs w:val="28"/>
          <w:highlight w:val="none"/>
        </w:rPr>
        <w:t>www.ccgp.gov.cn</w:t>
      </w:r>
      <w:r>
        <w:rPr>
          <w:rFonts w:hint="eastAsia"/>
          <w:color w:val="auto"/>
          <w:sz w:val="28"/>
          <w:szCs w:val="28"/>
          <w:highlight w:val="none"/>
        </w:rPr>
        <w:t>）网页截图</w:t>
      </w:r>
      <w:r>
        <w:rPr>
          <w:color w:val="auto"/>
          <w:sz w:val="28"/>
          <w:szCs w:val="28"/>
          <w:highlight w:val="none"/>
        </w:rPr>
        <w:t>模板</w:t>
      </w:r>
    </w:p>
    <w:p>
      <w:pPr>
        <w:spacing w:line="360" w:lineRule="auto"/>
        <w:rPr>
          <w:i/>
          <w:color w:val="auto"/>
          <w:sz w:val="28"/>
          <w:szCs w:val="28"/>
          <w:highlight w:val="none"/>
        </w:rPr>
      </w:pPr>
    </w:p>
    <w:p>
      <w:pPr>
        <w:spacing w:line="360" w:lineRule="auto"/>
        <w:rPr>
          <w:i/>
          <w:color w:val="auto"/>
          <w:sz w:val="28"/>
          <w:szCs w:val="28"/>
          <w:highlight w:val="none"/>
        </w:rPr>
      </w:pPr>
    </w:p>
    <w:p>
      <w:pPr>
        <w:rPr>
          <w:color w:val="auto"/>
          <w:highlight w:val="none"/>
        </w:rPr>
      </w:pPr>
      <w:r>
        <w:rPr>
          <w:color w:val="auto"/>
          <w:highlight w:val="none"/>
        </w:rPr>
        <w:drawing>
          <wp:inline distT="0" distB="0" distL="0" distR="0">
            <wp:extent cx="5172075" cy="38442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175766" cy="3847079"/>
                    </a:xfrm>
                    <a:prstGeom prst="rect">
                      <a:avLst/>
                    </a:prstGeom>
                  </pic:spPr>
                </pic:pic>
              </a:graphicData>
            </a:graphic>
          </wp:inline>
        </w:drawing>
      </w:r>
      <w:r>
        <w:rPr>
          <w:color w:val="auto"/>
          <w:highlight w:val="none"/>
        </w:rPr>
        <w:drawing>
          <wp:inline distT="0" distB="0" distL="0" distR="0">
            <wp:extent cx="5274310" cy="30657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4310" cy="3066327"/>
                    </a:xfrm>
                    <a:prstGeom prst="rect">
                      <a:avLst/>
                    </a:prstGeom>
                  </pic:spPr>
                </pic:pic>
              </a:graphicData>
            </a:graphic>
          </wp:inline>
        </w:drawing>
      </w:r>
    </w:p>
    <w:sectPr>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00"/>
    <w:family w:val="modern"/>
    <w:pitch w:val="default"/>
    <w:sig w:usb0="00000000" w:usb1="00000000" w:usb2="0000001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0"/>
        <w:rFonts w:ascii="宋体" w:hAnsi="宋体"/>
        <w:sz w:val="28"/>
        <w:szCs w:val="28"/>
      </w:rPr>
    </w:pPr>
  </w:p>
  <w:p>
    <w:pPr>
      <w:pStyle w:val="41"/>
      <w:ind w:firstLine="420"/>
      <w:rPr>
        <w:sz w:val="24"/>
      </w:rPr>
    </w:pPr>
    <w:r>
      <w:rPr>
        <w:rFonts w:hint="eastAsia"/>
      </w:rPr>
      <w:t xml:space="preserve">   浙江华耀建设咨询有限公司                                  </w:t>
    </w:r>
    <w:r>
      <w:tab/>
    </w:r>
    <w:r>
      <w:rPr>
        <w:sz w:val="24"/>
      </w:rPr>
      <w:t xml:space="preserve">- </w:t>
    </w:r>
    <w:r>
      <w:rPr>
        <w:sz w:val="24"/>
      </w:rPr>
      <w:fldChar w:fldCharType="begin"/>
    </w:r>
    <w:r>
      <w:rPr>
        <w:sz w:val="24"/>
      </w:rPr>
      <w:instrText xml:space="preserve"> PAGE </w:instrText>
    </w:r>
    <w:r>
      <w:rPr>
        <w:sz w:val="24"/>
      </w:rPr>
      <w:fldChar w:fldCharType="separate"/>
    </w:r>
    <w:r>
      <w:rPr>
        <w:sz w:val="24"/>
      </w:rPr>
      <w:t>36</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0"/>
      </w:rPr>
    </w:pPr>
    <w:r>
      <w:fldChar w:fldCharType="begin"/>
    </w:r>
    <w:r>
      <w:rPr>
        <w:rStyle w:val="30"/>
      </w:rPr>
      <w:instrText xml:space="preserve">PAGE  </w:instrText>
    </w:r>
    <w:r>
      <w:fldChar w:fldCharType="end"/>
    </w:r>
  </w:p>
  <w:p>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napToGrid w:val="0"/>
      <w:spacing w:beforeLines="0" w:afterLines="0" w:line="360" w:lineRule="auto"/>
      <w:rPr>
        <w:rFonts w:hAnsi="宋体"/>
        <w:szCs w:val="21"/>
        <w:u w:val="single"/>
      </w:rPr>
    </w:pPr>
    <w:r>
      <w:rPr>
        <w:rFonts w:hint="eastAsia" w:cs="Arial"/>
        <w:szCs w:val="21"/>
        <w:u w:val="single"/>
      </w:rPr>
      <w:t xml:space="preserve">湖州市中心医院2025-2028年度机电运维管理项目                                      </w:t>
    </w:r>
    <w:r>
      <w:rPr>
        <w:rFonts w:hint="eastAsia" w:hAnsi="宋体" w:cs="Arial"/>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B10928"/>
    <w:multiLevelType w:val="singleLevel"/>
    <w:tmpl w:val="9FB10928"/>
    <w:lvl w:ilvl="0" w:tentative="0">
      <w:start w:val="1"/>
      <w:numFmt w:val="decimal"/>
      <w:suff w:val="nothing"/>
      <w:lvlText w:val="%1、"/>
      <w:lvlJc w:val="left"/>
    </w:lvl>
  </w:abstractNum>
  <w:abstractNum w:abstractNumId="1">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3D7572D5"/>
    <w:multiLevelType w:val="singleLevel"/>
    <w:tmpl w:val="3D7572D5"/>
    <w:lvl w:ilvl="0" w:tentative="0">
      <w:start w:val="1"/>
      <w:numFmt w:val="decimal"/>
      <w:suff w:val="nothing"/>
      <w:lvlText w:val="%1、"/>
      <w:lvlJc w:val="left"/>
    </w:lvl>
  </w:abstractNum>
  <w:abstractNum w:abstractNumId="3">
    <w:nsid w:val="56F656F8"/>
    <w:multiLevelType w:val="singleLevel"/>
    <w:tmpl w:val="56F656F8"/>
    <w:lvl w:ilvl="0" w:tentative="0">
      <w:start w:val="1"/>
      <w:numFmt w:val="decimal"/>
      <w:pStyle w:val="5"/>
      <w:lvlText w:val="%1."/>
      <w:lvlJc w:val="left"/>
      <w:pPr>
        <w:tabs>
          <w:tab w:val="left" w:pos="360"/>
        </w:tabs>
        <w:ind w:left="360" w:hanging="360"/>
      </w:pPr>
    </w:lvl>
  </w:abstractNum>
  <w:abstractNum w:abstractNumId="4">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zJlMmZmMDkwMzU3M2RlN2ZjMTllNmYwMDAxODAifQ=="/>
  </w:docVars>
  <w:rsids>
    <w:rsidRoot w:val="28232F7C"/>
    <w:rsid w:val="00000701"/>
    <w:rsid w:val="000045D3"/>
    <w:rsid w:val="00006338"/>
    <w:rsid w:val="00010312"/>
    <w:rsid w:val="000138A1"/>
    <w:rsid w:val="00016C33"/>
    <w:rsid w:val="00021634"/>
    <w:rsid w:val="00021B93"/>
    <w:rsid w:val="00021FF8"/>
    <w:rsid w:val="00035F22"/>
    <w:rsid w:val="00041A43"/>
    <w:rsid w:val="00045563"/>
    <w:rsid w:val="0005153A"/>
    <w:rsid w:val="00073FEA"/>
    <w:rsid w:val="00076791"/>
    <w:rsid w:val="000776F2"/>
    <w:rsid w:val="0008013B"/>
    <w:rsid w:val="00085BFC"/>
    <w:rsid w:val="00092169"/>
    <w:rsid w:val="00092D84"/>
    <w:rsid w:val="000A00D9"/>
    <w:rsid w:val="000A325C"/>
    <w:rsid w:val="000B5F7D"/>
    <w:rsid w:val="000B7AAE"/>
    <w:rsid w:val="000C527E"/>
    <w:rsid w:val="000C6F88"/>
    <w:rsid w:val="000D3511"/>
    <w:rsid w:val="000D651F"/>
    <w:rsid w:val="000E2576"/>
    <w:rsid w:val="000E2A70"/>
    <w:rsid w:val="001073D0"/>
    <w:rsid w:val="00107581"/>
    <w:rsid w:val="001112B3"/>
    <w:rsid w:val="001157E7"/>
    <w:rsid w:val="00117528"/>
    <w:rsid w:val="00127349"/>
    <w:rsid w:val="00132197"/>
    <w:rsid w:val="0013220D"/>
    <w:rsid w:val="0015219A"/>
    <w:rsid w:val="00154530"/>
    <w:rsid w:val="00155AF0"/>
    <w:rsid w:val="00155E2D"/>
    <w:rsid w:val="001735C2"/>
    <w:rsid w:val="00176451"/>
    <w:rsid w:val="00181A69"/>
    <w:rsid w:val="001860E1"/>
    <w:rsid w:val="001872FA"/>
    <w:rsid w:val="001952E2"/>
    <w:rsid w:val="00195FD3"/>
    <w:rsid w:val="001A10BC"/>
    <w:rsid w:val="001A2E9E"/>
    <w:rsid w:val="001B00C4"/>
    <w:rsid w:val="001B223C"/>
    <w:rsid w:val="001B2748"/>
    <w:rsid w:val="001B5FEE"/>
    <w:rsid w:val="001B6AA1"/>
    <w:rsid w:val="001C024F"/>
    <w:rsid w:val="001C0C09"/>
    <w:rsid w:val="001C4D30"/>
    <w:rsid w:val="001E233A"/>
    <w:rsid w:val="001E5D57"/>
    <w:rsid w:val="001F16B4"/>
    <w:rsid w:val="001F707C"/>
    <w:rsid w:val="002079DF"/>
    <w:rsid w:val="00213C68"/>
    <w:rsid w:val="002311A1"/>
    <w:rsid w:val="00245DCF"/>
    <w:rsid w:val="00251C28"/>
    <w:rsid w:val="0025728C"/>
    <w:rsid w:val="00260B21"/>
    <w:rsid w:val="00260FE5"/>
    <w:rsid w:val="00261A8C"/>
    <w:rsid w:val="00267F43"/>
    <w:rsid w:val="00276846"/>
    <w:rsid w:val="00280419"/>
    <w:rsid w:val="002810D2"/>
    <w:rsid w:val="0028268C"/>
    <w:rsid w:val="00286AA0"/>
    <w:rsid w:val="0029037E"/>
    <w:rsid w:val="002A0ED9"/>
    <w:rsid w:val="002A2D2C"/>
    <w:rsid w:val="002A4A61"/>
    <w:rsid w:val="002A7901"/>
    <w:rsid w:val="002B0FDC"/>
    <w:rsid w:val="002B2AD7"/>
    <w:rsid w:val="002B3FC4"/>
    <w:rsid w:val="002C11DB"/>
    <w:rsid w:val="002C54F6"/>
    <w:rsid w:val="002C577F"/>
    <w:rsid w:val="002C5AD4"/>
    <w:rsid w:val="002C7FC6"/>
    <w:rsid w:val="002D129E"/>
    <w:rsid w:val="002D240E"/>
    <w:rsid w:val="002D3696"/>
    <w:rsid w:val="002D75B2"/>
    <w:rsid w:val="002F087A"/>
    <w:rsid w:val="002F09B4"/>
    <w:rsid w:val="002F1F6E"/>
    <w:rsid w:val="0030671C"/>
    <w:rsid w:val="00306C52"/>
    <w:rsid w:val="0031666A"/>
    <w:rsid w:val="003304B9"/>
    <w:rsid w:val="003321BB"/>
    <w:rsid w:val="003370DD"/>
    <w:rsid w:val="0033761C"/>
    <w:rsid w:val="00350592"/>
    <w:rsid w:val="00354AF5"/>
    <w:rsid w:val="00361530"/>
    <w:rsid w:val="0036220B"/>
    <w:rsid w:val="00365BD2"/>
    <w:rsid w:val="00371294"/>
    <w:rsid w:val="00376316"/>
    <w:rsid w:val="003A0CF5"/>
    <w:rsid w:val="003A4194"/>
    <w:rsid w:val="003A6B66"/>
    <w:rsid w:val="003B2CED"/>
    <w:rsid w:val="003B3DD4"/>
    <w:rsid w:val="003B5F16"/>
    <w:rsid w:val="003C08BA"/>
    <w:rsid w:val="003C4DBB"/>
    <w:rsid w:val="003D0CB3"/>
    <w:rsid w:val="003D2847"/>
    <w:rsid w:val="003E0A09"/>
    <w:rsid w:val="003E307D"/>
    <w:rsid w:val="003E58C1"/>
    <w:rsid w:val="003E7B24"/>
    <w:rsid w:val="003F0534"/>
    <w:rsid w:val="003F316D"/>
    <w:rsid w:val="00401622"/>
    <w:rsid w:val="0040672F"/>
    <w:rsid w:val="004115A5"/>
    <w:rsid w:val="00416B81"/>
    <w:rsid w:val="00421384"/>
    <w:rsid w:val="004243F2"/>
    <w:rsid w:val="00432377"/>
    <w:rsid w:val="004334CF"/>
    <w:rsid w:val="00444E2D"/>
    <w:rsid w:val="0044518B"/>
    <w:rsid w:val="00445AC4"/>
    <w:rsid w:val="00446F75"/>
    <w:rsid w:val="00447C29"/>
    <w:rsid w:val="00452183"/>
    <w:rsid w:val="004532B2"/>
    <w:rsid w:val="004544B4"/>
    <w:rsid w:val="004610C7"/>
    <w:rsid w:val="0046375D"/>
    <w:rsid w:val="004655D2"/>
    <w:rsid w:val="00474B75"/>
    <w:rsid w:val="00482E2A"/>
    <w:rsid w:val="00485227"/>
    <w:rsid w:val="004927E6"/>
    <w:rsid w:val="004A0AA6"/>
    <w:rsid w:val="004A6F2C"/>
    <w:rsid w:val="004B6F52"/>
    <w:rsid w:val="004C05B3"/>
    <w:rsid w:val="004C268A"/>
    <w:rsid w:val="004C4F98"/>
    <w:rsid w:val="004C53BC"/>
    <w:rsid w:val="004D5310"/>
    <w:rsid w:val="004E644A"/>
    <w:rsid w:val="004E7DA5"/>
    <w:rsid w:val="004F41CF"/>
    <w:rsid w:val="00505034"/>
    <w:rsid w:val="005170C0"/>
    <w:rsid w:val="00521E1D"/>
    <w:rsid w:val="0052672C"/>
    <w:rsid w:val="00533AFF"/>
    <w:rsid w:val="005432D3"/>
    <w:rsid w:val="005512E3"/>
    <w:rsid w:val="00560660"/>
    <w:rsid w:val="00563B3E"/>
    <w:rsid w:val="00565C35"/>
    <w:rsid w:val="0056624C"/>
    <w:rsid w:val="0057603B"/>
    <w:rsid w:val="005779F8"/>
    <w:rsid w:val="005829F5"/>
    <w:rsid w:val="00584FF2"/>
    <w:rsid w:val="00585C59"/>
    <w:rsid w:val="005B0F4F"/>
    <w:rsid w:val="005B65C5"/>
    <w:rsid w:val="005C27D7"/>
    <w:rsid w:val="005C45AB"/>
    <w:rsid w:val="005D2111"/>
    <w:rsid w:val="005D38B7"/>
    <w:rsid w:val="005D5CF5"/>
    <w:rsid w:val="00611146"/>
    <w:rsid w:val="00613F7A"/>
    <w:rsid w:val="006162AA"/>
    <w:rsid w:val="0061742D"/>
    <w:rsid w:val="0061784B"/>
    <w:rsid w:val="0062253B"/>
    <w:rsid w:val="006467CA"/>
    <w:rsid w:val="0064697B"/>
    <w:rsid w:val="0065030A"/>
    <w:rsid w:val="0065034A"/>
    <w:rsid w:val="006556E4"/>
    <w:rsid w:val="006627F0"/>
    <w:rsid w:val="00665BAD"/>
    <w:rsid w:val="00667F32"/>
    <w:rsid w:val="00670EED"/>
    <w:rsid w:val="00676DDB"/>
    <w:rsid w:val="00683D08"/>
    <w:rsid w:val="006847D2"/>
    <w:rsid w:val="0068532B"/>
    <w:rsid w:val="006B0AAA"/>
    <w:rsid w:val="006B69E0"/>
    <w:rsid w:val="006B7AA9"/>
    <w:rsid w:val="006C34B5"/>
    <w:rsid w:val="006C546B"/>
    <w:rsid w:val="006C76E9"/>
    <w:rsid w:val="006C7748"/>
    <w:rsid w:val="006D19FE"/>
    <w:rsid w:val="006D2196"/>
    <w:rsid w:val="006D35C8"/>
    <w:rsid w:val="006E0E3B"/>
    <w:rsid w:val="006E7641"/>
    <w:rsid w:val="00700765"/>
    <w:rsid w:val="007020B8"/>
    <w:rsid w:val="00705E97"/>
    <w:rsid w:val="00711DF2"/>
    <w:rsid w:val="007156A8"/>
    <w:rsid w:val="007173C8"/>
    <w:rsid w:val="0073121D"/>
    <w:rsid w:val="007326E0"/>
    <w:rsid w:val="00741308"/>
    <w:rsid w:val="00745DF1"/>
    <w:rsid w:val="00756C16"/>
    <w:rsid w:val="007570F8"/>
    <w:rsid w:val="00761893"/>
    <w:rsid w:val="00765402"/>
    <w:rsid w:val="007755F5"/>
    <w:rsid w:val="00776CA4"/>
    <w:rsid w:val="00781376"/>
    <w:rsid w:val="0079261F"/>
    <w:rsid w:val="007938D9"/>
    <w:rsid w:val="00793D61"/>
    <w:rsid w:val="0079531C"/>
    <w:rsid w:val="007B3149"/>
    <w:rsid w:val="007E20BF"/>
    <w:rsid w:val="007F5443"/>
    <w:rsid w:val="007F5586"/>
    <w:rsid w:val="007F572F"/>
    <w:rsid w:val="007F6C30"/>
    <w:rsid w:val="007F7A32"/>
    <w:rsid w:val="0080236C"/>
    <w:rsid w:val="00820716"/>
    <w:rsid w:val="0084624A"/>
    <w:rsid w:val="0086100F"/>
    <w:rsid w:val="008637A5"/>
    <w:rsid w:val="00870985"/>
    <w:rsid w:val="00874A97"/>
    <w:rsid w:val="00883DD6"/>
    <w:rsid w:val="00883DE8"/>
    <w:rsid w:val="008912FE"/>
    <w:rsid w:val="00896FC8"/>
    <w:rsid w:val="008A3C74"/>
    <w:rsid w:val="008B203F"/>
    <w:rsid w:val="008B43CE"/>
    <w:rsid w:val="008B47C1"/>
    <w:rsid w:val="008B6811"/>
    <w:rsid w:val="008C228F"/>
    <w:rsid w:val="008C5030"/>
    <w:rsid w:val="008C6FEC"/>
    <w:rsid w:val="008D3331"/>
    <w:rsid w:val="008D64CE"/>
    <w:rsid w:val="008E5BCC"/>
    <w:rsid w:val="008E600F"/>
    <w:rsid w:val="008F3887"/>
    <w:rsid w:val="008F55ED"/>
    <w:rsid w:val="009100EF"/>
    <w:rsid w:val="009128F0"/>
    <w:rsid w:val="00915DAF"/>
    <w:rsid w:val="00926C51"/>
    <w:rsid w:val="009504A8"/>
    <w:rsid w:val="00960069"/>
    <w:rsid w:val="00960A7D"/>
    <w:rsid w:val="0096382C"/>
    <w:rsid w:val="009759D1"/>
    <w:rsid w:val="0097618E"/>
    <w:rsid w:val="00977CD5"/>
    <w:rsid w:val="009828B3"/>
    <w:rsid w:val="00986692"/>
    <w:rsid w:val="00991CD2"/>
    <w:rsid w:val="00993F0C"/>
    <w:rsid w:val="0099704B"/>
    <w:rsid w:val="0099707E"/>
    <w:rsid w:val="009A0970"/>
    <w:rsid w:val="009A3F2F"/>
    <w:rsid w:val="009B0C98"/>
    <w:rsid w:val="009B5959"/>
    <w:rsid w:val="009C08E5"/>
    <w:rsid w:val="009C0B3E"/>
    <w:rsid w:val="009D4636"/>
    <w:rsid w:val="009D6D08"/>
    <w:rsid w:val="009E2AD4"/>
    <w:rsid w:val="009E6612"/>
    <w:rsid w:val="009F3875"/>
    <w:rsid w:val="00A017F8"/>
    <w:rsid w:val="00A0198D"/>
    <w:rsid w:val="00A22994"/>
    <w:rsid w:val="00A25EFB"/>
    <w:rsid w:val="00A25F83"/>
    <w:rsid w:val="00A31D2F"/>
    <w:rsid w:val="00A3526D"/>
    <w:rsid w:val="00A43597"/>
    <w:rsid w:val="00A627C2"/>
    <w:rsid w:val="00A62894"/>
    <w:rsid w:val="00A70611"/>
    <w:rsid w:val="00A70CF4"/>
    <w:rsid w:val="00A7172C"/>
    <w:rsid w:val="00A769B0"/>
    <w:rsid w:val="00A86455"/>
    <w:rsid w:val="00A9273C"/>
    <w:rsid w:val="00AA3226"/>
    <w:rsid w:val="00AB1630"/>
    <w:rsid w:val="00AD0394"/>
    <w:rsid w:val="00AD0FC6"/>
    <w:rsid w:val="00AD31F1"/>
    <w:rsid w:val="00AE0FC3"/>
    <w:rsid w:val="00AF0E6A"/>
    <w:rsid w:val="00AF1141"/>
    <w:rsid w:val="00AF18CA"/>
    <w:rsid w:val="00AF1E0E"/>
    <w:rsid w:val="00B0476F"/>
    <w:rsid w:val="00B1685E"/>
    <w:rsid w:val="00B36471"/>
    <w:rsid w:val="00B4015E"/>
    <w:rsid w:val="00B51FA4"/>
    <w:rsid w:val="00B71E84"/>
    <w:rsid w:val="00B81253"/>
    <w:rsid w:val="00B831E4"/>
    <w:rsid w:val="00B839B5"/>
    <w:rsid w:val="00B857C1"/>
    <w:rsid w:val="00BA01D2"/>
    <w:rsid w:val="00BA36C6"/>
    <w:rsid w:val="00BB549B"/>
    <w:rsid w:val="00BB5729"/>
    <w:rsid w:val="00BC3175"/>
    <w:rsid w:val="00BD38DA"/>
    <w:rsid w:val="00BF4A62"/>
    <w:rsid w:val="00BF524B"/>
    <w:rsid w:val="00BF6AE9"/>
    <w:rsid w:val="00C00B08"/>
    <w:rsid w:val="00C0232C"/>
    <w:rsid w:val="00C028C4"/>
    <w:rsid w:val="00C02EE2"/>
    <w:rsid w:val="00C053DE"/>
    <w:rsid w:val="00C15342"/>
    <w:rsid w:val="00C20861"/>
    <w:rsid w:val="00C3438E"/>
    <w:rsid w:val="00C35DE3"/>
    <w:rsid w:val="00C41753"/>
    <w:rsid w:val="00C456C5"/>
    <w:rsid w:val="00C47EDC"/>
    <w:rsid w:val="00C6377E"/>
    <w:rsid w:val="00C64807"/>
    <w:rsid w:val="00C65D13"/>
    <w:rsid w:val="00C743B7"/>
    <w:rsid w:val="00C75F4A"/>
    <w:rsid w:val="00C76387"/>
    <w:rsid w:val="00C777F5"/>
    <w:rsid w:val="00C81585"/>
    <w:rsid w:val="00C830BC"/>
    <w:rsid w:val="00C835A4"/>
    <w:rsid w:val="00C90D35"/>
    <w:rsid w:val="00CA4B8E"/>
    <w:rsid w:val="00CA5297"/>
    <w:rsid w:val="00CA6EAD"/>
    <w:rsid w:val="00CB27D6"/>
    <w:rsid w:val="00CB3439"/>
    <w:rsid w:val="00CB43D5"/>
    <w:rsid w:val="00CC6E2C"/>
    <w:rsid w:val="00CD323A"/>
    <w:rsid w:val="00CD4ACF"/>
    <w:rsid w:val="00CD5612"/>
    <w:rsid w:val="00CD6670"/>
    <w:rsid w:val="00CF0C93"/>
    <w:rsid w:val="00CF2A1A"/>
    <w:rsid w:val="00CF2C22"/>
    <w:rsid w:val="00D00CAB"/>
    <w:rsid w:val="00D0253B"/>
    <w:rsid w:val="00D05D64"/>
    <w:rsid w:val="00D12CC3"/>
    <w:rsid w:val="00D17020"/>
    <w:rsid w:val="00D24576"/>
    <w:rsid w:val="00D542A5"/>
    <w:rsid w:val="00D5688F"/>
    <w:rsid w:val="00D614FC"/>
    <w:rsid w:val="00D65011"/>
    <w:rsid w:val="00D70471"/>
    <w:rsid w:val="00D718CE"/>
    <w:rsid w:val="00D72177"/>
    <w:rsid w:val="00D7675B"/>
    <w:rsid w:val="00D81F6D"/>
    <w:rsid w:val="00D913A7"/>
    <w:rsid w:val="00D96D17"/>
    <w:rsid w:val="00DA0E19"/>
    <w:rsid w:val="00DA5CFB"/>
    <w:rsid w:val="00DB1C34"/>
    <w:rsid w:val="00DB2C50"/>
    <w:rsid w:val="00DC14C3"/>
    <w:rsid w:val="00DE1C0C"/>
    <w:rsid w:val="00DF0DF7"/>
    <w:rsid w:val="00DF1019"/>
    <w:rsid w:val="00DF5060"/>
    <w:rsid w:val="00E00E7D"/>
    <w:rsid w:val="00E02F10"/>
    <w:rsid w:val="00E13576"/>
    <w:rsid w:val="00E16E31"/>
    <w:rsid w:val="00E244E4"/>
    <w:rsid w:val="00E2527D"/>
    <w:rsid w:val="00E27495"/>
    <w:rsid w:val="00E33E85"/>
    <w:rsid w:val="00E344D1"/>
    <w:rsid w:val="00E3711F"/>
    <w:rsid w:val="00E5138B"/>
    <w:rsid w:val="00E553F5"/>
    <w:rsid w:val="00E634F5"/>
    <w:rsid w:val="00E63C69"/>
    <w:rsid w:val="00E676E7"/>
    <w:rsid w:val="00E7175A"/>
    <w:rsid w:val="00E7380F"/>
    <w:rsid w:val="00E74E5F"/>
    <w:rsid w:val="00E76429"/>
    <w:rsid w:val="00E80F17"/>
    <w:rsid w:val="00E86491"/>
    <w:rsid w:val="00EA261A"/>
    <w:rsid w:val="00EB33BB"/>
    <w:rsid w:val="00EC2358"/>
    <w:rsid w:val="00EC4E58"/>
    <w:rsid w:val="00EF2CBC"/>
    <w:rsid w:val="00EF545F"/>
    <w:rsid w:val="00EF7362"/>
    <w:rsid w:val="00F03836"/>
    <w:rsid w:val="00F041F1"/>
    <w:rsid w:val="00F04D64"/>
    <w:rsid w:val="00F1459F"/>
    <w:rsid w:val="00F24B8D"/>
    <w:rsid w:val="00F4402A"/>
    <w:rsid w:val="00F45157"/>
    <w:rsid w:val="00F46011"/>
    <w:rsid w:val="00F47566"/>
    <w:rsid w:val="00F63709"/>
    <w:rsid w:val="00F63E50"/>
    <w:rsid w:val="00F67DED"/>
    <w:rsid w:val="00F76C7E"/>
    <w:rsid w:val="00F8579C"/>
    <w:rsid w:val="00F85AD2"/>
    <w:rsid w:val="00F958E5"/>
    <w:rsid w:val="00FA4265"/>
    <w:rsid w:val="00FB1654"/>
    <w:rsid w:val="00FB3A4A"/>
    <w:rsid w:val="00FE2A09"/>
    <w:rsid w:val="00FE48DE"/>
    <w:rsid w:val="00FE4CC2"/>
    <w:rsid w:val="00FE6202"/>
    <w:rsid w:val="00FF3808"/>
    <w:rsid w:val="01011432"/>
    <w:rsid w:val="01396E1E"/>
    <w:rsid w:val="014772CD"/>
    <w:rsid w:val="01541EA9"/>
    <w:rsid w:val="01675739"/>
    <w:rsid w:val="01853E11"/>
    <w:rsid w:val="01D43167"/>
    <w:rsid w:val="01F47019"/>
    <w:rsid w:val="022950E4"/>
    <w:rsid w:val="02441F1E"/>
    <w:rsid w:val="02704AC1"/>
    <w:rsid w:val="028916DF"/>
    <w:rsid w:val="02A837E9"/>
    <w:rsid w:val="03634626"/>
    <w:rsid w:val="03FB03BA"/>
    <w:rsid w:val="04071455"/>
    <w:rsid w:val="04117BDE"/>
    <w:rsid w:val="042A0CA0"/>
    <w:rsid w:val="0442248D"/>
    <w:rsid w:val="044955CA"/>
    <w:rsid w:val="045E13F8"/>
    <w:rsid w:val="04781A0B"/>
    <w:rsid w:val="04D70E27"/>
    <w:rsid w:val="04F512AE"/>
    <w:rsid w:val="05065269"/>
    <w:rsid w:val="051C683A"/>
    <w:rsid w:val="05740424"/>
    <w:rsid w:val="0620235A"/>
    <w:rsid w:val="06B01930"/>
    <w:rsid w:val="06B31420"/>
    <w:rsid w:val="06B84C89"/>
    <w:rsid w:val="06C35333"/>
    <w:rsid w:val="06E45A7E"/>
    <w:rsid w:val="06F04422"/>
    <w:rsid w:val="06F3181D"/>
    <w:rsid w:val="071166D0"/>
    <w:rsid w:val="07140111"/>
    <w:rsid w:val="07230354"/>
    <w:rsid w:val="07234B3D"/>
    <w:rsid w:val="072440CC"/>
    <w:rsid w:val="074309F6"/>
    <w:rsid w:val="0757624F"/>
    <w:rsid w:val="07853973"/>
    <w:rsid w:val="078B54F2"/>
    <w:rsid w:val="07AD5E6F"/>
    <w:rsid w:val="07F95559"/>
    <w:rsid w:val="08404F36"/>
    <w:rsid w:val="089D5EE4"/>
    <w:rsid w:val="08A059D4"/>
    <w:rsid w:val="08D35DAA"/>
    <w:rsid w:val="0972399A"/>
    <w:rsid w:val="099512B1"/>
    <w:rsid w:val="099948FD"/>
    <w:rsid w:val="099E3CC2"/>
    <w:rsid w:val="09A62B9B"/>
    <w:rsid w:val="09E55D95"/>
    <w:rsid w:val="09F2348E"/>
    <w:rsid w:val="0A2763AD"/>
    <w:rsid w:val="0A3665F0"/>
    <w:rsid w:val="0A3D0AAA"/>
    <w:rsid w:val="0AFD2C6A"/>
    <w:rsid w:val="0B2D79F3"/>
    <w:rsid w:val="0B723658"/>
    <w:rsid w:val="0B882E7B"/>
    <w:rsid w:val="0B953FE6"/>
    <w:rsid w:val="0BBF6171"/>
    <w:rsid w:val="0BFE6C9A"/>
    <w:rsid w:val="0C30706F"/>
    <w:rsid w:val="0C9413AC"/>
    <w:rsid w:val="0DA16476"/>
    <w:rsid w:val="0DB25F8E"/>
    <w:rsid w:val="0DC24FC9"/>
    <w:rsid w:val="0DE14AC5"/>
    <w:rsid w:val="0E056A05"/>
    <w:rsid w:val="0E5139F9"/>
    <w:rsid w:val="0E833DCE"/>
    <w:rsid w:val="0EA224A6"/>
    <w:rsid w:val="0EB9334C"/>
    <w:rsid w:val="0EEA5BFB"/>
    <w:rsid w:val="0F1B4006"/>
    <w:rsid w:val="0FA1275E"/>
    <w:rsid w:val="102E38C6"/>
    <w:rsid w:val="106D0892"/>
    <w:rsid w:val="10741C20"/>
    <w:rsid w:val="10833C11"/>
    <w:rsid w:val="10853E2D"/>
    <w:rsid w:val="109C4CD3"/>
    <w:rsid w:val="10C761F4"/>
    <w:rsid w:val="10CB29C9"/>
    <w:rsid w:val="10E8616A"/>
    <w:rsid w:val="1102547E"/>
    <w:rsid w:val="11276C93"/>
    <w:rsid w:val="116D47E1"/>
    <w:rsid w:val="117D7D70"/>
    <w:rsid w:val="118C2F9A"/>
    <w:rsid w:val="11A025A1"/>
    <w:rsid w:val="11CB1D14"/>
    <w:rsid w:val="11D32B00"/>
    <w:rsid w:val="124949E7"/>
    <w:rsid w:val="12E60488"/>
    <w:rsid w:val="1331204B"/>
    <w:rsid w:val="13511DA5"/>
    <w:rsid w:val="138D1895"/>
    <w:rsid w:val="13C94031"/>
    <w:rsid w:val="143F2545"/>
    <w:rsid w:val="14830684"/>
    <w:rsid w:val="14BC1DE8"/>
    <w:rsid w:val="15172003"/>
    <w:rsid w:val="152D05F0"/>
    <w:rsid w:val="1537146E"/>
    <w:rsid w:val="15406575"/>
    <w:rsid w:val="15465DC7"/>
    <w:rsid w:val="15695ACC"/>
    <w:rsid w:val="15B30AF5"/>
    <w:rsid w:val="15B4486D"/>
    <w:rsid w:val="15C40F54"/>
    <w:rsid w:val="161A6DC6"/>
    <w:rsid w:val="161C2B3E"/>
    <w:rsid w:val="163B0AEA"/>
    <w:rsid w:val="16551BAC"/>
    <w:rsid w:val="165A3666"/>
    <w:rsid w:val="1666025D"/>
    <w:rsid w:val="16A11295"/>
    <w:rsid w:val="16C3745D"/>
    <w:rsid w:val="17092996"/>
    <w:rsid w:val="171C4DC0"/>
    <w:rsid w:val="17A36DC0"/>
    <w:rsid w:val="17A56B63"/>
    <w:rsid w:val="17F3167D"/>
    <w:rsid w:val="180E2209"/>
    <w:rsid w:val="181C3D41"/>
    <w:rsid w:val="182F467F"/>
    <w:rsid w:val="18316649"/>
    <w:rsid w:val="18553484"/>
    <w:rsid w:val="18680CC1"/>
    <w:rsid w:val="18866995"/>
    <w:rsid w:val="18C13529"/>
    <w:rsid w:val="18F356AC"/>
    <w:rsid w:val="191F64A1"/>
    <w:rsid w:val="192A37C4"/>
    <w:rsid w:val="19832ED4"/>
    <w:rsid w:val="199C5D44"/>
    <w:rsid w:val="1A231FC1"/>
    <w:rsid w:val="1A4A5842"/>
    <w:rsid w:val="1AA44AD4"/>
    <w:rsid w:val="1AA72BF2"/>
    <w:rsid w:val="1AB05F4B"/>
    <w:rsid w:val="1B19589E"/>
    <w:rsid w:val="1B8A22F8"/>
    <w:rsid w:val="1B917B2A"/>
    <w:rsid w:val="1C550B58"/>
    <w:rsid w:val="1C56042C"/>
    <w:rsid w:val="1C5E3972"/>
    <w:rsid w:val="1C8B457A"/>
    <w:rsid w:val="1CA13D9D"/>
    <w:rsid w:val="1CCC6940"/>
    <w:rsid w:val="1D097B94"/>
    <w:rsid w:val="1D175E0D"/>
    <w:rsid w:val="1D7E7C3A"/>
    <w:rsid w:val="1D884F5D"/>
    <w:rsid w:val="1DCC59BC"/>
    <w:rsid w:val="1E002D45"/>
    <w:rsid w:val="1E0D5462"/>
    <w:rsid w:val="1E2E78B2"/>
    <w:rsid w:val="1E6257AE"/>
    <w:rsid w:val="1E7D7EF2"/>
    <w:rsid w:val="1ED1023E"/>
    <w:rsid w:val="1F242A63"/>
    <w:rsid w:val="1F2E38E2"/>
    <w:rsid w:val="1F6E1F30"/>
    <w:rsid w:val="1F8352B0"/>
    <w:rsid w:val="1F941997"/>
    <w:rsid w:val="1FB65DB1"/>
    <w:rsid w:val="1FBA5176"/>
    <w:rsid w:val="1FDE70B6"/>
    <w:rsid w:val="1FEF6BCD"/>
    <w:rsid w:val="20783067"/>
    <w:rsid w:val="20A025BE"/>
    <w:rsid w:val="20BF6A58"/>
    <w:rsid w:val="212B632B"/>
    <w:rsid w:val="21463165"/>
    <w:rsid w:val="21555156"/>
    <w:rsid w:val="21582E98"/>
    <w:rsid w:val="21661111"/>
    <w:rsid w:val="217C6B87"/>
    <w:rsid w:val="219519F6"/>
    <w:rsid w:val="21A67760"/>
    <w:rsid w:val="224156DA"/>
    <w:rsid w:val="226544D7"/>
    <w:rsid w:val="22BB36DF"/>
    <w:rsid w:val="22C95DFC"/>
    <w:rsid w:val="22EC1AEA"/>
    <w:rsid w:val="22FF641A"/>
    <w:rsid w:val="237D2742"/>
    <w:rsid w:val="238910E7"/>
    <w:rsid w:val="239301B8"/>
    <w:rsid w:val="23E51E25"/>
    <w:rsid w:val="23ED5B1A"/>
    <w:rsid w:val="23F21382"/>
    <w:rsid w:val="241035B6"/>
    <w:rsid w:val="241660B5"/>
    <w:rsid w:val="245071DF"/>
    <w:rsid w:val="24561911"/>
    <w:rsid w:val="245636BF"/>
    <w:rsid w:val="24961D0D"/>
    <w:rsid w:val="249661B1"/>
    <w:rsid w:val="24D942F0"/>
    <w:rsid w:val="25355375"/>
    <w:rsid w:val="254554E2"/>
    <w:rsid w:val="256718FC"/>
    <w:rsid w:val="25695674"/>
    <w:rsid w:val="25D86356"/>
    <w:rsid w:val="25E1345C"/>
    <w:rsid w:val="25F611CE"/>
    <w:rsid w:val="25F72C80"/>
    <w:rsid w:val="26192BF6"/>
    <w:rsid w:val="264D28A0"/>
    <w:rsid w:val="26527EB6"/>
    <w:rsid w:val="26834513"/>
    <w:rsid w:val="26B66507"/>
    <w:rsid w:val="27602AA7"/>
    <w:rsid w:val="27787DF0"/>
    <w:rsid w:val="279667D6"/>
    <w:rsid w:val="279A7D67"/>
    <w:rsid w:val="27B320D8"/>
    <w:rsid w:val="27E9484A"/>
    <w:rsid w:val="28232F7C"/>
    <w:rsid w:val="285443B9"/>
    <w:rsid w:val="2890400A"/>
    <w:rsid w:val="28951D06"/>
    <w:rsid w:val="28AB1650"/>
    <w:rsid w:val="28CD5F1A"/>
    <w:rsid w:val="28FB3648"/>
    <w:rsid w:val="29051210"/>
    <w:rsid w:val="292A4B5E"/>
    <w:rsid w:val="29440AF1"/>
    <w:rsid w:val="29543F45"/>
    <w:rsid w:val="29564161"/>
    <w:rsid w:val="29E03A2B"/>
    <w:rsid w:val="2A0B6CFA"/>
    <w:rsid w:val="2A175F39"/>
    <w:rsid w:val="2A6B59EA"/>
    <w:rsid w:val="2AA84549"/>
    <w:rsid w:val="2AA9206F"/>
    <w:rsid w:val="2B887662"/>
    <w:rsid w:val="2BC929C8"/>
    <w:rsid w:val="2BF81969"/>
    <w:rsid w:val="2C4E2ECE"/>
    <w:rsid w:val="2CF9552F"/>
    <w:rsid w:val="2D2B1461"/>
    <w:rsid w:val="2D564730"/>
    <w:rsid w:val="2D5E35E4"/>
    <w:rsid w:val="2D8017AD"/>
    <w:rsid w:val="2DCF003E"/>
    <w:rsid w:val="2DE24215"/>
    <w:rsid w:val="2E6966E5"/>
    <w:rsid w:val="2E8250B1"/>
    <w:rsid w:val="2E9B6172"/>
    <w:rsid w:val="2EAB4607"/>
    <w:rsid w:val="2EF44200"/>
    <w:rsid w:val="2EFE0BDB"/>
    <w:rsid w:val="2F2D7712"/>
    <w:rsid w:val="2F4800A8"/>
    <w:rsid w:val="2F5C7FF7"/>
    <w:rsid w:val="2FA8323D"/>
    <w:rsid w:val="2FEF6776"/>
    <w:rsid w:val="305A34E1"/>
    <w:rsid w:val="307229AC"/>
    <w:rsid w:val="307849BD"/>
    <w:rsid w:val="30C3032E"/>
    <w:rsid w:val="30C419B0"/>
    <w:rsid w:val="30F027A5"/>
    <w:rsid w:val="31327262"/>
    <w:rsid w:val="31342FDA"/>
    <w:rsid w:val="3140197F"/>
    <w:rsid w:val="315D6349"/>
    <w:rsid w:val="31927D00"/>
    <w:rsid w:val="31DB5204"/>
    <w:rsid w:val="326E7E26"/>
    <w:rsid w:val="32BF68D3"/>
    <w:rsid w:val="32CB34CA"/>
    <w:rsid w:val="32DD4FAB"/>
    <w:rsid w:val="33224751"/>
    <w:rsid w:val="33466FF4"/>
    <w:rsid w:val="334943EF"/>
    <w:rsid w:val="335C6818"/>
    <w:rsid w:val="336B6A5B"/>
    <w:rsid w:val="33B822E0"/>
    <w:rsid w:val="34056568"/>
    <w:rsid w:val="34237336"/>
    <w:rsid w:val="34515C51"/>
    <w:rsid w:val="34735BC7"/>
    <w:rsid w:val="34862740"/>
    <w:rsid w:val="348C4837"/>
    <w:rsid w:val="34D04145"/>
    <w:rsid w:val="34EA39B0"/>
    <w:rsid w:val="355A6D87"/>
    <w:rsid w:val="358944C3"/>
    <w:rsid w:val="35C80195"/>
    <w:rsid w:val="35CD57AB"/>
    <w:rsid w:val="35E054DE"/>
    <w:rsid w:val="361B6516"/>
    <w:rsid w:val="36317AE8"/>
    <w:rsid w:val="36A4475E"/>
    <w:rsid w:val="36E25286"/>
    <w:rsid w:val="37256F21"/>
    <w:rsid w:val="3744384B"/>
    <w:rsid w:val="37732382"/>
    <w:rsid w:val="37863E63"/>
    <w:rsid w:val="37A60062"/>
    <w:rsid w:val="37CE75B8"/>
    <w:rsid w:val="37F039D3"/>
    <w:rsid w:val="39367114"/>
    <w:rsid w:val="393D2C48"/>
    <w:rsid w:val="39810D86"/>
    <w:rsid w:val="398400B9"/>
    <w:rsid w:val="39AB5E03"/>
    <w:rsid w:val="3A8A5A19"/>
    <w:rsid w:val="3AAF722D"/>
    <w:rsid w:val="3AB900AC"/>
    <w:rsid w:val="3AC802EF"/>
    <w:rsid w:val="3AD43138"/>
    <w:rsid w:val="3AE0388B"/>
    <w:rsid w:val="3B2C2F74"/>
    <w:rsid w:val="3B824942"/>
    <w:rsid w:val="3B954675"/>
    <w:rsid w:val="3B9F72A2"/>
    <w:rsid w:val="3BE63123"/>
    <w:rsid w:val="3C6D73A0"/>
    <w:rsid w:val="3CBC3E83"/>
    <w:rsid w:val="3CD411CD"/>
    <w:rsid w:val="3CE358B4"/>
    <w:rsid w:val="3CE8111C"/>
    <w:rsid w:val="3CF655E7"/>
    <w:rsid w:val="3D17266E"/>
    <w:rsid w:val="3D2D6B2F"/>
    <w:rsid w:val="3D5A3DC8"/>
    <w:rsid w:val="3D793B23"/>
    <w:rsid w:val="3D7E738B"/>
    <w:rsid w:val="3D9B618F"/>
    <w:rsid w:val="3DFC4E7F"/>
    <w:rsid w:val="3E2E7003"/>
    <w:rsid w:val="3E703177"/>
    <w:rsid w:val="3E9B4698"/>
    <w:rsid w:val="3F0A537A"/>
    <w:rsid w:val="3F21764F"/>
    <w:rsid w:val="3F4F5483"/>
    <w:rsid w:val="3F6A7BC7"/>
    <w:rsid w:val="3FD856FA"/>
    <w:rsid w:val="3FDC2527"/>
    <w:rsid w:val="404228F2"/>
    <w:rsid w:val="40460634"/>
    <w:rsid w:val="40463747"/>
    <w:rsid w:val="404E1296"/>
    <w:rsid w:val="40B41A41"/>
    <w:rsid w:val="40CD2B03"/>
    <w:rsid w:val="40CD48B1"/>
    <w:rsid w:val="40DA51F5"/>
    <w:rsid w:val="41270465"/>
    <w:rsid w:val="414A4154"/>
    <w:rsid w:val="419378A9"/>
    <w:rsid w:val="41C51A2C"/>
    <w:rsid w:val="420267DC"/>
    <w:rsid w:val="42156510"/>
    <w:rsid w:val="42305010"/>
    <w:rsid w:val="426E6A8F"/>
    <w:rsid w:val="42894808"/>
    <w:rsid w:val="431A7B56"/>
    <w:rsid w:val="433C7ACC"/>
    <w:rsid w:val="434846C3"/>
    <w:rsid w:val="43C31F9B"/>
    <w:rsid w:val="43EC14F2"/>
    <w:rsid w:val="43FD0358"/>
    <w:rsid w:val="44872FC9"/>
    <w:rsid w:val="448E25A9"/>
    <w:rsid w:val="44B00772"/>
    <w:rsid w:val="44D91E82"/>
    <w:rsid w:val="457C4AF8"/>
    <w:rsid w:val="46207231"/>
    <w:rsid w:val="46431172"/>
    <w:rsid w:val="46AE0CE1"/>
    <w:rsid w:val="46E14C12"/>
    <w:rsid w:val="471F573B"/>
    <w:rsid w:val="47341BB2"/>
    <w:rsid w:val="4780267D"/>
    <w:rsid w:val="479B74B7"/>
    <w:rsid w:val="47A81BD4"/>
    <w:rsid w:val="48052B82"/>
    <w:rsid w:val="48082673"/>
    <w:rsid w:val="4851401A"/>
    <w:rsid w:val="48684EBF"/>
    <w:rsid w:val="486E697A"/>
    <w:rsid w:val="488D500E"/>
    <w:rsid w:val="489108BA"/>
    <w:rsid w:val="48C90054"/>
    <w:rsid w:val="492B6619"/>
    <w:rsid w:val="496D4D42"/>
    <w:rsid w:val="49924E7D"/>
    <w:rsid w:val="49C34AA3"/>
    <w:rsid w:val="49D722FD"/>
    <w:rsid w:val="49D83239"/>
    <w:rsid w:val="49EC3FFA"/>
    <w:rsid w:val="49F7299F"/>
    <w:rsid w:val="4A037596"/>
    <w:rsid w:val="4A0B1FA6"/>
    <w:rsid w:val="4A370FED"/>
    <w:rsid w:val="4A421E6C"/>
    <w:rsid w:val="4A5901D3"/>
    <w:rsid w:val="4A7933B4"/>
    <w:rsid w:val="4A871FE0"/>
    <w:rsid w:val="4ADA6548"/>
    <w:rsid w:val="4AF34F14"/>
    <w:rsid w:val="4B1D6435"/>
    <w:rsid w:val="4B4C2876"/>
    <w:rsid w:val="4BC30D8B"/>
    <w:rsid w:val="4BFC429C"/>
    <w:rsid w:val="4C3457E4"/>
    <w:rsid w:val="4C3B3017"/>
    <w:rsid w:val="4C8A5D4C"/>
    <w:rsid w:val="4CBB5F06"/>
    <w:rsid w:val="4CCA7EF7"/>
    <w:rsid w:val="4CDF39D3"/>
    <w:rsid w:val="4CF431C6"/>
    <w:rsid w:val="4D45285B"/>
    <w:rsid w:val="4D4C4DB0"/>
    <w:rsid w:val="4D6263BA"/>
    <w:rsid w:val="4D720CBA"/>
    <w:rsid w:val="4D7C5695"/>
    <w:rsid w:val="4DD23507"/>
    <w:rsid w:val="4E02140A"/>
    <w:rsid w:val="4E077897"/>
    <w:rsid w:val="4E320449"/>
    <w:rsid w:val="4E455264"/>
    <w:rsid w:val="4E4A7541"/>
    <w:rsid w:val="4E4B0007"/>
    <w:rsid w:val="4E6879C7"/>
    <w:rsid w:val="4E6D1482"/>
    <w:rsid w:val="4EAF1A9A"/>
    <w:rsid w:val="4EDE7C89"/>
    <w:rsid w:val="4EFF2EE8"/>
    <w:rsid w:val="4EFF657E"/>
    <w:rsid w:val="4F1B0927"/>
    <w:rsid w:val="4F560168"/>
    <w:rsid w:val="4F7505EE"/>
    <w:rsid w:val="4F7C5E20"/>
    <w:rsid w:val="4FF57980"/>
    <w:rsid w:val="4FF82FCD"/>
    <w:rsid w:val="50302767"/>
    <w:rsid w:val="50355FCF"/>
    <w:rsid w:val="506A3ECB"/>
    <w:rsid w:val="506E0596"/>
    <w:rsid w:val="508C2093"/>
    <w:rsid w:val="50AD2009"/>
    <w:rsid w:val="50DB0924"/>
    <w:rsid w:val="514912B3"/>
    <w:rsid w:val="51740794"/>
    <w:rsid w:val="51CE66DB"/>
    <w:rsid w:val="51EE6435"/>
    <w:rsid w:val="520420FD"/>
    <w:rsid w:val="524B1ADA"/>
    <w:rsid w:val="52812CEA"/>
    <w:rsid w:val="529E7E5B"/>
    <w:rsid w:val="52FB3500"/>
    <w:rsid w:val="53277E51"/>
    <w:rsid w:val="53A2397B"/>
    <w:rsid w:val="53A75991"/>
    <w:rsid w:val="53C47D96"/>
    <w:rsid w:val="53D17DBD"/>
    <w:rsid w:val="53F561A1"/>
    <w:rsid w:val="542E16B3"/>
    <w:rsid w:val="54731328"/>
    <w:rsid w:val="55187274"/>
    <w:rsid w:val="55D50038"/>
    <w:rsid w:val="561548D9"/>
    <w:rsid w:val="562B7C58"/>
    <w:rsid w:val="56A53E84"/>
    <w:rsid w:val="56C055A1"/>
    <w:rsid w:val="56F20776"/>
    <w:rsid w:val="57272B15"/>
    <w:rsid w:val="572B1EDA"/>
    <w:rsid w:val="575651A9"/>
    <w:rsid w:val="57730ABB"/>
    <w:rsid w:val="577D0987"/>
    <w:rsid w:val="57D96174"/>
    <w:rsid w:val="57E40AB2"/>
    <w:rsid w:val="5853793A"/>
    <w:rsid w:val="585F62DF"/>
    <w:rsid w:val="587F6039"/>
    <w:rsid w:val="58845D45"/>
    <w:rsid w:val="58DC7930"/>
    <w:rsid w:val="59050C34"/>
    <w:rsid w:val="59486D73"/>
    <w:rsid w:val="59BE49C7"/>
    <w:rsid w:val="59F64A21"/>
    <w:rsid w:val="59FC3C55"/>
    <w:rsid w:val="5A054C64"/>
    <w:rsid w:val="5A1629CD"/>
    <w:rsid w:val="5A2F3A8F"/>
    <w:rsid w:val="5A427C66"/>
    <w:rsid w:val="5A9F6E67"/>
    <w:rsid w:val="5AAC3332"/>
    <w:rsid w:val="5AB13C9A"/>
    <w:rsid w:val="5AC661A1"/>
    <w:rsid w:val="5AC93EE4"/>
    <w:rsid w:val="5AD92379"/>
    <w:rsid w:val="5AE66844"/>
    <w:rsid w:val="5B57504B"/>
    <w:rsid w:val="5B5C073F"/>
    <w:rsid w:val="5B5E09DF"/>
    <w:rsid w:val="5B6B4F9B"/>
    <w:rsid w:val="5B6F1195"/>
    <w:rsid w:val="5BE70AC5"/>
    <w:rsid w:val="5BFD2097"/>
    <w:rsid w:val="5C1E3DBB"/>
    <w:rsid w:val="5C341831"/>
    <w:rsid w:val="5C6739B4"/>
    <w:rsid w:val="5CA3685F"/>
    <w:rsid w:val="5CFC40FC"/>
    <w:rsid w:val="5D137698"/>
    <w:rsid w:val="5D4D4958"/>
    <w:rsid w:val="5D79399F"/>
    <w:rsid w:val="5D845EA0"/>
    <w:rsid w:val="5D900CE9"/>
    <w:rsid w:val="5D902A97"/>
    <w:rsid w:val="5DA327CA"/>
    <w:rsid w:val="5DB20402"/>
    <w:rsid w:val="5DBE5856"/>
    <w:rsid w:val="5DCA7D57"/>
    <w:rsid w:val="5E032790"/>
    <w:rsid w:val="5E280F21"/>
    <w:rsid w:val="5E2E29DB"/>
    <w:rsid w:val="5E4C2E61"/>
    <w:rsid w:val="5E5F0DE7"/>
    <w:rsid w:val="5E783C56"/>
    <w:rsid w:val="5E7D126D"/>
    <w:rsid w:val="5EA507C4"/>
    <w:rsid w:val="5EE22B24"/>
    <w:rsid w:val="5F13572D"/>
    <w:rsid w:val="5F296CFF"/>
    <w:rsid w:val="5F3F6522"/>
    <w:rsid w:val="5F700DD2"/>
    <w:rsid w:val="5F9178E6"/>
    <w:rsid w:val="5FCC24AC"/>
    <w:rsid w:val="60114363"/>
    <w:rsid w:val="60A01243"/>
    <w:rsid w:val="60EC4488"/>
    <w:rsid w:val="60EF08C9"/>
    <w:rsid w:val="60F734C9"/>
    <w:rsid w:val="61023D19"/>
    <w:rsid w:val="6106379C"/>
    <w:rsid w:val="61511552"/>
    <w:rsid w:val="61AE798F"/>
    <w:rsid w:val="61BA27D8"/>
    <w:rsid w:val="61BE4251"/>
    <w:rsid w:val="61FB0E26"/>
    <w:rsid w:val="62127F1E"/>
    <w:rsid w:val="625B7B17"/>
    <w:rsid w:val="62CC4571"/>
    <w:rsid w:val="63343EC4"/>
    <w:rsid w:val="6353259C"/>
    <w:rsid w:val="63743970"/>
    <w:rsid w:val="63860BC4"/>
    <w:rsid w:val="63CA50B9"/>
    <w:rsid w:val="63DF6526"/>
    <w:rsid w:val="63FD075A"/>
    <w:rsid w:val="63FF2724"/>
    <w:rsid w:val="649E018F"/>
    <w:rsid w:val="64BE5FF1"/>
    <w:rsid w:val="650E2532"/>
    <w:rsid w:val="655645C6"/>
    <w:rsid w:val="65566374"/>
    <w:rsid w:val="65571EF8"/>
    <w:rsid w:val="657E59F6"/>
    <w:rsid w:val="658630FD"/>
    <w:rsid w:val="661701F9"/>
    <w:rsid w:val="66763171"/>
    <w:rsid w:val="66AA4BC9"/>
    <w:rsid w:val="66D460EA"/>
    <w:rsid w:val="673D3C8F"/>
    <w:rsid w:val="679622BC"/>
    <w:rsid w:val="67BF46A4"/>
    <w:rsid w:val="67E22141"/>
    <w:rsid w:val="683A3D2B"/>
    <w:rsid w:val="687E00BB"/>
    <w:rsid w:val="68907DEF"/>
    <w:rsid w:val="68A65864"/>
    <w:rsid w:val="68AB69D7"/>
    <w:rsid w:val="68BE670A"/>
    <w:rsid w:val="68E33569"/>
    <w:rsid w:val="68F760C0"/>
    <w:rsid w:val="69071835"/>
    <w:rsid w:val="69407A67"/>
    <w:rsid w:val="69AE2C22"/>
    <w:rsid w:val="69B12712"/>
    <w:rsid w:val="69BA3040"/>
    <w:rsid w:val="69D16911"/>
    <w:rsid w:val="69EB79D2"/>
    <w:rsid w:val="6A786D8C"/>
    <w:rsid w:val="6A955B90"/>
    <w:rsid w:val="6AC7420E"/>
    <w:rsid w:val="6AD14E1A"/>
    <w:rsid w:val="6AE227FD"/>
    <w:rsid w:val="6B054AC4"/>
    <w:rsid w:val="6B364C7D"/>
    <w:rsid w:val="6B3B04E6"/>
    <w:rsid w:val="6B767770"/>
    <w:rsid w:val="6B961BC0"/>
    <w:rsid w:val="6BBD539F"/>
    <w:rsid w:val="6BC10BC1"/>
    <w:rsid w:val="6BE04BE9"/>
    <w:rsid w:val="6BFD579B"/>
    <w:rsid w:val="6C157FF3"/>
    <w:rsid w:val="6C6677E4"/>
    <w:rsid w:val="6C9768B4"/>
    <w:rsid w:val="6CD96208"/>
    <w:rsid w:val="6CFC3CA5"/>
    <w:rsid w:val="6D033285"/>
    <w:rsid w:val="6D062D75"/>
    <w:rsid w:val="6D0D4104"/>
    <w:rsid w:val="6D301BA0"/>
    <w:rsid w:val="6D7E0B5E"/>
    <w:rsid w:val="6D8E6FF3"/>
    <w:rsid w:val="6DC5678C"/>
    <w:rsid w:val="6DFA6436"/>
    <w:rsid w:val="6E361438"/>
    <w:rsid w:val="6E761835"/>
    <w:rsid w:val="6E8B52E0"/>
    <w:rsid w:val="6ECE1671"/>
    <w:rsid w:val="6ED049B2"/>
    <w:rsid w:val="6F060E0B"/>
    <w:rsid w:val="6F141779"/>
    <w:rsid w:val="6F481423"/>
    <w:rsid w:val="6FAA3E8C"/>
    <w:rsid w:val="6FD42CB7"/>
    <w:rsid w:val="6FE26134"/>
    <w:rsid w:val="7047554C"/>
    <w:rsid w:val="70B34FC2"/>
    <w:rsid w:val="70E64A50"/>
    <w:rsid w:val="71467BE4"/>
    <w:rsid w:val="71685DAD"/>
    <w:rsid w:val="71A46B79"/>
    <w:rsid w:val="71C1726B"/>
    <w:rsid w:val="721E646B"/>
    <w:rsid w:val="72380B59"/>
    <w:rsid w:val="729F57FE"/>
    <w:rsid w:val="72E72D01"/>
    <w:rsid w:val="731D739D"/>
    <w:rsid w:val="736D76AA"/>
    <w:rsid w:val="737A1DC7"/>
    <w:rsid w:val="73ED2599"/>
    <w:rsid w:val="740D6797"/>
    <w:rsid w:val="74137884"/>
    <w:rsid w:val="7467234B"/>
    <w:rsid w:val="7480399B"/>
    <w:rsid w:val="74FD4A5E"/>
    <w:rsid w:val="75104791"/>
    <w:rsid w:val="754E29F1"/>
    <w:rsid w:val="75867A9D"/>
    <w:rsid w:val="75B275F6"/>
    <w:rsid w:val="75C637CD"/>
    <w:rsid w:val="75E55C1E"/>
    <w:rsid w:val="76236746"/>
    <w:rsid w:val="764C17F9"/>
    <w:rsid w:val="764C63FC"/>
    <w:rsid w:val="76C21ABB"/>
    <w:rsid w:val="76DE441B"/>
    <w:rsid w:val="76E00193"/>
    <w:rsid w:val="7706409E"/>
    <w:rsid w:val="77AE0291"/>
    <w:rsid w:val="77B70525"/>
    <w:rsid w:val="77E45A61"/>
    <w:rsid w:val="78066D81"/>
    <w:rsid w:val="780D4FB8"/>
    <w:rsid w:val="781C344D"/>
    <w:rsid w:val="78880AE2"/>
    <w:rsid w:val="78A16222"/>
    <w:rsid w:val="78B10039"/>
    <w:rsid w:val="78C31D61"/>
    <w:rsid w:val="78F16688"/>
    <w:rsid w:val="7918401D"/>
    <w:rsid w:val="79366790"/>
    <w:rsid w:val="795D579D"/>
    <w:rsid w:val="795F1843"/>
    <w:rsid w:val="79891BE0"/>
    <w:rsid w:val="79AE6327"/>
    <w:rsid w:val="79C21DD2"/>
    <w:rsid w:val="79C43D9C"/>
    <w:rsid w:val="79D33FDF"/>
    <w:rsid w:val="79F71A7C"/>
    <w:rsid w:val="79FE123F"/>
    <w:rsid w:val="7A0348C4"/>
    <w:rsid w:val="7A546ECE"/>
    <w:rsid w:val="7A552C46"/>
    <w:rsid w:val="7A7E03EF"/>
    <w:rsid w:val="7A97500D"/>
    <w:rsid w:val="7A9E283F"/>
    <w:rsid w:val="7B1D5512"/>
    <w:rsid w:val="7B7D06A6"/>
    <w:rsid w:val="7B95154C"/>
    <w:rsid w:val="7C232FFC"/>
    <w:rsid w:val="7C3F3BAE"/>
    <w:rsid w:val="7C741AA9"/>
    <w:rsid w:val="7C8141C6"/>
    <w:rsid w:val="7CB225D2"/>
    <w:rsid w:val="7CD36E45"/>
    <w:rsid w:val="7CFD1A9F"/>
    <w:rsid w:val="7D0C7F34"/>
    <w:rsid w:val="7D456FA2"/>
    <w:rsid w:val="7D586CD5"/>
    <w:rsid w:val="7D8775BA"/>
    <w:rsid w:val="7D902913"/>
    <w:rsid w:val="7DA243F4"/>
    <w:rsid w:val="7DBF4025"/>
    <w:rsid w:val="7DF341D3"/>
    <w:rsid w:val="7E4337D6"/>
    <w:rsid w:val="7E5D031B"/>
    <w:rsid w:val="7E6671D0"/>
    <w:rsid w:val="7EE34CC4"/>
    <w:rsid w:val="7F315A30"/>
    <w:rsid w:val="7F857B2A"/>
    <w:rsid w:val="7F8813C8"/>
    <w:rsid w:val="7FA02BB5"/>
    <w:rsid w:val="7FE26D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qFormat="1" w:unhideWhenUsed="0" w:uiPriority="99"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qFormat="1" w:unhideWhenUsed="0" w:uiPriority="0" w:semiHidden="0" w:name="Body Text 2"/>
    <w:lsdException w:qFormat="1" w:uiPriority="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cs="Arial"/>
      <w:b/>
      <w:bCs/>
      <w:kern w:val="0"/>
      <w:sz w:val="28"/>
      <w:szCs w:val="28"/>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45"/>
    <w:qFormat/>
    <w:uiPriority w:val="0"/>
    <w:pPr>
      <w:spacing w:after="120"/>
      <w:ind w:left="420" w:leftChars="200"/>
    </w:pPr>
    <w:rPr>
      <w:kern w:val="0"/>
      <w:sz w:val="20"/>
      <w:szCs w:val="20"/>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kern w:val="0"/>
      <w:sz w:val="20"/>
      <w:szCs w:val="20"/>
    </w:rPr>
  </w:style>
  <w:style w:type="paragraph" w:styleId="7">
    <w:name w:val="caption"/>
    <w:basedOn w:val="1"/>
    <w:next w:val="1"/>
    <w:qFormat/>
    <w:uiPriority w:val="0"/>
    <w:rPr>
      <w:rFonts w:ascii="Arial" w:hAnsi="Arial" w:eastAsia="黑体" w:cs="Arial"/>
      <w:sz w:val="20"/>
      <w:szCs w:val="20"/>
    </w:rPr>
  </w:style>
  <w:style w:type="paragraph" w:styleId="8">
    <w:name w:val="Document Map"/>
    <w:basedOn w:val="1"/>
    <w:link w:val="62"/>
    <w:semiHidden/>
    <w:unhideWhenUsed/>
    <w:qFormat/>
    <w:uiPriority w:val="0"/>
    <w:rPr>
      <w:rFonts w:ascii="宋体"/>
      <w:sz w:val="18"/>
      <w:szCs w:val="18"/>
    </w:rPr>
  </w:style>
  <w:style w:type="paragraph" w:styleId="9">
    <w:name w:val="annotation text"/>
    <w:basedOn w:val="1"/>
    <w:link w:val="55"/>
    <w:semiHidden/>
    <w:unhideWhenUsed/>
    <w:qFormat/>
    <w:uiPriority w:val="99"/>
    <w:pPr>
      <w:jc w:val="left"/>
    </w:pPr>
    <w:rPr>
      <w:rFonts w:ascii="Calibri" w:hAnsi="Calibri"/>
      <w:szCs w:val="22"/>
    </w:rPr>
  </w:style>
  <w:style w:type="paragraph" w:styleId="10">
    <w:name w:val="Body Text 3"/>
    <w:basedOn w:val="1"/>
    <w:link w:val="58"/>
    <w:semiHidden/>
    <w:unhideWhenUsed/>
    <w:qFormat/>
    <w:uiPriority w:val="0"/>
    <w:pPr>
      <w:spacing w:after="120"/>
    </w:pPr>
    <w:rPr>
      <w:sz w:val="16"/>
      <w:szCs w:val="16"/>
    </w:rPr>
  </w:style>
  <w:style w:type="paragraph" w:styleId="11">
    <w:name w:val="Body Text"/>
    <w:basedOn w:val="1"/>
    <w:next w:val="1"/>
    <w:qFormat/>
    <w:uiPriority w:val="0"/>
    <w:pPr>
      <w:spacing w:after="120"/>
    </w:pPr>
    <w:rPr>
      <w:kern w:val="0"/>
      <w:sz w:val="20"/>
      <w:szCs w:val="20"/>
    </w:rPr>
  </w:style>
  <w:style w:type="paragraph" w:styleId="12">
    <w:name w:val="Block Text"/>
    <w:basedOn w:val="1"/>
    <w:qFormat/>
    <w:uiPriority w:val="0"/>
    <w:pPr>
      <w:spacing w:line="390" w:lineRule="exact"/>
      <w:ind w:left="735" w:right="-296" w:rightChars="-141"/>
    </w:pPr>
    <w:rPr>
      <w:rFonts w:ascii="宋体" w:hAnsi="Calibri"/>
    </w:rPr>
  </w:style>
  <w:style w:type="paragraph" w:styleId="13">
    <w:name w:val="Plain Text"/>
    <w:basedOn w:val="1"/>
    <w:link w:val="52"/>
    <w:qFormat/>
    <w:uiPriority w:val="0"/>
    <w:pPr>
      <w:spacing w:beforeLines="50" w:afterLines="50" w:line="400" w:lineRule="exact"/>
    </w:pPr>
    <w:rPr>
      <w:rFonts w:ascii="宋体" w:hAnsi="Courier New" w:cs="宋体"/>
      <w:kern w:val="0"/>
    </w:rPr>
  </w:style>
  <w:style w:type="paragraph" w:styleId="14">
    <w:name w:val="toc 8"/>
    <w:basedOn w:val="1"/>
    <w:next w:val="1"/>
    <w:qFormat/>
    <w:uiPriority w:val="0"/>
    <w:pPr>
      <w:ind w:left="1470"/>
      <w:jc w:val="left"/>
    </w:pPr>
    <w:rPr>
      <w:sz w:val="18"/>
      <w:szCs w:val="18"/>
    </w:rPr>
  </w:style>
  <w:style w:type="paragraph" w:styleId="15">
    <w:name w:val="Date"/>
    <w:basedOn w:val="1"/>
    <w:next w:val="1"/>
    <w:link w:val="61"/>
    <w:qFormat/>
    <w:uiPriority w:val="0"/>
    <w:pPr>
      <w:ind w:left="100" w:leftChars="2500"/>
    </w:pPr>
    <w:rPr>
      <w:kern w:val="0"/>
      <w:sz w:val="20"/>
      <w:szCs w:val="20"/>
    </w:rPr>
  </w:style>
  <w:style w:type="paragraph" w:styleId="16">
    <w:name w:val="Body Text Indent 2"/>
    <w:basedOn w:val="1"/>
    <w:link w:val="60"/>
    <w:unhideWhenUsed/>
    <w:qFormat/>
    <w:uiPriority w:val="0"/>
    <w:pPr>
      <w:spacing w:after="120" w:line="480" w:lineRule="auto"/>
      <w:ind w:left="420" w:leftChars="200"/>
    </w:pPr>
    <w:rPr>
      <w:rFonts w:ascii="Calibri" w:hAnsi="Calibri"/>
    </w:rPr>
  </w:style>
  <w:style w:type="paragraph" w:styleId="17">
    <w:name w:val="Balloon Text"/>
    <w:basedOn w:val="1"/>
    <w:link w:val="42"/>
    <w:qFormat/>
    <w:uiPriority w:val="0"/>
    <w:rPr>
      <w:sz w:val="18"/>
      <w:szCs w:val="18"/>
    </w:rPr>
  </w:style>
  <w:style w:type="paragraph" w:styleId="18">
    <w:name w:val="footer"/>
    <w:basedOn w:val="1"/>
    <w:qFormat/>
    <w:uiPriority w:val="0"/>
    <w:pPr>
      <w:tabs>
        <w:tab w:val="center" w:pos="4153"/>
        <w:tab w:val="right" w:pos="8306"/>
      </w:tabs>
      <w:snapToGrid w:val="0"/>
      <w:jc w:val="left"/>
    </w:pPr>
    <w:rPr>
      <w:kern w:val="0"/>
      <w:sz w:val="18"/>
      <w:szCs w:val="18"/>
    </w:rPr>
  </w:style>
  <w:style w:type="paragraph" w:styleId="19">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sz w:val="28"/>
      <w:szCs w:val="28"/>
    </w:rPr>
  </w:style>
  <w:style w:type="paragraph" w:styleId="21">
    <w:name w:val="footnote text"/>
    <w:basedOn w:val="1"/>
    <w:semiHidden/>
    <w:qFormat/>
    <w:uiPriority w:val="99"/>
    <w:pPr>
      <w:snapToGrid w:val="0"/>
      <w:jc w:val="left"/>
    </w:pPr>
    <w:rPr>
      <w:kern w:val="0"/>
      <w:sz w:val="18"/>
      <w:szCs w:val="18"/>
    </w:rPr>
  </w:style>
  <w:style w:type="paragraph" w:styleId="22">
    <w:name w:val="Body Text Indent 3"/>
    <w:basedOn w:val="1"/>
    <w:qFormat/>
    <w:uiPriority w:val="0"/>
    <w:pPr>
      <w:spacing w:after="120"/>
      <w:ind w:left="420" w:leftChars="200"/>
    </w:pPr>
    <w:rPr>
      <w:kern w:val="0"/>
      <w:sz w:val="16"/>
      <w:szCs w:val="16"/>
    </w:rPr>
  </w:style>
  <w:style w:type="paragraph" w:styleId="23">
    <w:name w:val="Body Text 2"/>
    <w:basedOn w:val="1"/>
    <w:qFormat/>
    <w:uiPriority w:val="0"/>
    <w:pPr>
      <w:widowControl/>
      <w:snapToGrid w:val="0"/>
      <w:spacing w:before="50" w:afterLines="50" w:line="400" w:lineRule="exact"/>
      <w:jc w:val="left"/>
    </w:pPr>
    <w:rPr>
      <w:kern w:val="0"/>
      <w:sz w:val="20"/>
      <w:szCs w:val="20"/>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hAnsi="Arial"/>
      <w:kern w:val="0"/>
      <w:sz w:val="23"/>
      <w:szCs w:val="23"/>
    </w:rPr>
  </w:style>
  <w:style w:type="paragraph" w:styleId="2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next w:val="1"/>
    <w:qFormat/>
    <w:uiPriority w:val="0"/>
    <w:pPr>
      <w:spacing w:before="240" w:after="60" w:line="480" w:lineRule="exact"/>
      <w:jc w:val="center"/>
      <w:outlineLvl w:val="0"/>
    </w:pPr>
    <w:rPr>
      <w:rFonts w:ascii="Cambria" w:hAnsi="Cambria" w:cs="Cambria"/>
      <w:b/>
      <w:bCs/>
      <w:kern w:val="0"/>
      <w:sz w:val="32"/>
      <w:szCs w:val="32"/>
    </w:rPr>
  </w:style>
  <w:style w:type="paragraph" w:styleId="27">
    <w:name w:val="Body Text First Indent"/>
    <w:basedOn w:val="11"/>
    <w:link w:val="53"/>
    <w:qFormat/>
    <w:uiPriority w:val="99"/>
    <w:pPr>
      <w:spacing w:line="390" w:lineRule="atLeast"/>
      <w:ind w:firstLine="420" w:firstLineChars="100"/>
    </w:pPr>
    <w:rPr>
      <w:sz w:val="24"/>
      <w:szCs w:val="24"/>
    </w:rPr>
  </w:style>
  <w:style w:type="character" w:styleId="30">
    <w:name w:val="page number"/>
    <w:qFormat/>
    <w:uiPriority w:val="0"/>
  </w:style>
  <w:style w:type="character" w:styleId="31">
    <w:name w:val="Hyperlink"/>
    <w:qFormat/>
    <w:uiPriority w:val="0"/>
    <w:rPr>
      <w:color w:val="333333"/>
      <w:u w:val="none"/>
    </w:rPr>
  </w:style>
  <w:style w:type="paragraph" w:customStyle="1" w:styleId="32">
    <w:name w:val="列出段落1"/>
    <w:basedOn w:val="1"/>
    <w:qFormat/>
    <w:uiPriority w:val="34"/>
    <w:pPr>
      <w:ind w:firstLine="420" w:firstLineChars="200"/>
    </w:pPr>
    <w:rPr>
      <w:rFonts w:ascii="Calibri" w:hAnsi="Calibri"/>
      <w:kern w:val="0"/>
      <w:sz w:val="20"/>
      <w:szCs w:val="20"/>
    </w:rPr>
  </w:style>
  <w:style w:type="paragraph" w:customStyle="1" w:styleId="33">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34">
    <w:name w:val="表正文"/>
    <w:basedOn w:val="1"/>
    <w:qFormat/>
    <w:uiPriority w:val="0"/>
    <w:pPr>
      <w:jc w:val="left"/>
    </w:pPr>
    <w:rPr>
      <w:rFonts w:ascii="Arial" w:hAnsi="Arial"/>
      <w:sz w:val="18"/>
      <w:szCs w:val="21"/>
    </w:rPr>
  </w:style>
  <w:style w:type="paragraph" w:customStyle="1" w:styleId="35">
    <w:name w:val="样式 列表编号 + 段后: 0.5 行"/>
    <w:basedOn w:val="5"/>
    <w:qFormat/>
    <w:uiPriority w:val="0"/>
  </w:style>
  <w:style w:type="paragraph" w:customStyle="1" w:styleId="36">
    <w:name w:val="默认段落字体 Para Char Char Char Char Char Char Char Char Char1 Char Char Char Char"/>
    <w:basedOn w:val="1"/>
    <w:qFormat/>
    <w:uiPriority w:val="0"/>
    <w:rPr>
      <w:rFonts w:ascii="Tahoma" w:hAnsi="Tahoma" w:cs="Tahoma"/>
      <w:sz w:val="24"/>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9">
    <w:name w:val="表格文字"/>
    <w:basedOn w:val="1"/>
    <w:qFormat/>
    <w:uiPriority w:val="0"/>
    <w:pPr>
      <w:spacing w:before="25" w:after="25"/>
      <w:jc w:val="left"/>
    </w:pPr>
    <w:rPr>
      <w:spacing w:val="10"/>
      <w:kern w:val="0"/>
      <w:sz w:val="24"/>
    </w:rPr>
  </w:style>
  <w:style w:type="paragraph" w:customStyle="1" w:styleId="4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Char"/>
    <w:basedOn w:val="1"/>
    <w:qFormat/>
    <w:uiPriority w:val="0"/>
  </w:style>
  <w:style w:type="character" w:customStyle="1" w:styleId="42">
    <w:name w:val="批注框文本 Char"/>
    <w:basedOn w:val="29"/>
    <w:link w:val="17"/>
    <w:qFormat/>
    <w:uiPriority w:val="0"/>
    <w:rPr>
      <w:rFonts w:ascii="Times New Roman" w:hAnsi="Times New Roman" w:eastAsia="宋体" w:cs="Times New Roman"/>
      <w:kern w:val="2"/>
      <w:sz w:val="18"/>
      <w:szCs w:val="18"/>
    </w:rPr>
  </w:style>
  <w:style w:type="character" w:customStyle="1" w:styleId="43">
    <w:name w:val="页眉 Char"/>
    <w:basedOn w:val="29"/>
    <w:link w:val="19"/>
    <w:qFormat/>
    <w:uiPriority w:val="0"/>
    <w:rPr>
      <w:rFonts w:ascii="Times New Roman" w:hAnsi="Times New Roman" w:eastAsia="宋体" w:cs="Times New Roman"/>
      <w:kern w:val="2"/>
      <w:sz w:val="18"/>
      <w:szCs w:val="18"/>
    </w:rPr>
  </w:style>
  <w:style w:type="paragraph" w:customStyle="1" w:styleId="44">
    <w:name w:val="样式4"/>
    <w:basedOn w:val="1"/>
    <w:qFormat/>
    <w:uiPriority w:val="0"/>
    <w:pPr>
      <w:ind w:firstLine="482"/>
    </w:pPr>
    <w:rPr>
      <w:rFonts w:asciiTheme="minorHAnsi" w:hAnsiTheme="minorHAnsi" w:eastAsiaTheme="minorEastAsia" w:cstheme="minorBidi"/>
      <w:b/>
    </w:rPr>
  </w:style>
  <w:style w:type="character" w:customStyle="1" w:styleId="45">
    <w:name w:val="正文文本缩进 Char"/>
    <w:basedOn w:val="29"/>
    <w:link w:val="2"/>
    <w:qFormat/>
    <w:uiPriority w:val="0"/>
    <w:rPr>
      <w:rFonts w:ascii="Times New Roman" w:hAnsi="Times New Roman" w:eastAsia="宋体" w:cs="Times New Roman"/>
    </w:rPr>
  </w:style>
  <w:style w:type="paragraph" w:styleId="4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7">
    <w:name w:val="font41"/>
    <w:basedOn w:val="29"/>
    <w:qFormat/>
    <w:uiPriority w:val="0"/>
    <w:rPr>
      <w:rFonts w:hint="eastAsia" w:ascii="宋体" w:hAnsi="宋体" w:eastAsia="宋体" w:cs="宋体"/>
      <w:b/>
      <w:bCs/>
      <w:color w:val="000000"/>
      <w:sz w:val="24"/>
      <w:szCs w:val="24"/>
      <w:u w:val="none"/>
    </w:rPr>
  </w:style>
  <w:style w:type="character" w:customStyle="1" w:styleId="48">
    <w:name w:val="font31"/>
    <w:basedOn w:val="29"/>
    <w:qFormat/>
    <w:uiPriority w:val="0"/>
    <w:rPr>
      <w:rFonts w:hint="eastAsia" w:ascii="宋体" w:hAnsi="宋体" w:eastAsia="宋体" w:cs="宋体"/>
      <w:color w:val="000000"/>
      <w:sz w:val="23"/>
      <w:szCs w:val="23"/>
      <w:u w:val="none"/>
    </w:rPr>
  </w:style>
  <w:style w:type="character" w:customStyle="1" w:styleId="49">
    <w:name w:val="font51"/>
    <w:basedOn w:val="29"/>
    <w:qFormat/>
    <w:uiPriority w:val="0"/>
    <w:rPr>
      <w:rFonts w:hint="eastAsia" w:ascii="宋体" w:hAnsi="宋体" w:eastAsia="宋体" w:cs="宋体"/>
      <w:color w:val="000000"/>
      <w:sz w:val="24"/>
      <w:szCs w:val="24"/>
      <w:u w:val="none"/>
    </w:rPr>
  </w:style>
  <w:style w:type="character" w:customStyle="1" w:styleId="50">
    <w:name w:val="font61"/>
    <w:basedOn w:val="29"/>
    <w:qFormat/>
    <w:uiPriority w:val="0"/>
    <w:rPr>
      <w:rFonts w:hint="eastAsia" w:ascii="宋体" w:hAnsi="宋体" w:eastAsia="宋体" w:cs="宋体"/>
      <w:color w:val="000000"/>
      <w:sz w:val="22"/>
      <w:szCs w:val="22"/>
      <w:u w:val="none"/>
    </w:rPr>
  </w:style>
  <w:style w:type="character" w:customStyle="1" w:styleId="51">
    <w:name w:val="font01"/>
    <w:basedOn w:val="29"/>
    <w:qFormat/>
    <w:uiPriority w:val="0"/>
    <w:rPr>
      <w:rFonts w:hint="eastAsia" w:ascii="宋体" w:hAnsi="宋体" w:eastAsia="宋体" w:cs="宋体"/>
      <w:b/>
      <w:bCs/>
      <w:color w:val="000000"/>
      <w:sz w:val="18"/>
      <w:szCs w:val="18"/>
      <w:u w:val="none"/>
    </w:rPr>
  </w:style>
  <w:style w:type="character" w:customStyle="1" w:styleId="52">
    <w:name w:val="纯文本 Char"/>
    <w:basedOn w:val="29"/>
    <w:link w:val="13"/>
    <w:qFormat/>
    <w:uiPriority w:val="0"/>
    <w:rPr>
      <w:rFonts w:ascii="宋体" w:hAnsi="Courier New" w:cs="宋体"/>
      <w:sz w:val="21"/>
      <w:szCs w:val="24"/>
    </w:rPr>
  </w:style>
  <w:style w:type="character" w:customStyle="1" w:styleId="53">
    <w:name w:val="正文首行缩进 Char"/>
    <w:link w:val="27"/>
    <w:qFormat/>
    <w:locked/>
    <w:uiPriority w:val="99"/>
    <w:rPr>
      <w:sz w:val="24"/>
      <w:szCs w:val="24"/>
    </w:rPr>
  </w:style>
  <w:style w:type="character" w:customStyle="1" w:styleId="54">
    <w:name w:val="标题 1 Char"/>
    <w:basedOn w:val="29"/>
    <w:link w:val="3"/>
    <w:qFormat/>
    <w:uiPriority w:val="0"/>
    <w:rPr>
      <w:b/>
      <w:bCs/>
      <w:kern w:val="44"/>
      <w:sz w:val="44"/>
      <w:szCs w:val="44"/>
    </w:rPr>
  </w:style>
  <w:style w:type="character" w:customStyle="1" w:styleId="55">
    <w:name w:val="批注文字 Char"/>
    <w:basedOn w:val="29"/>
    <w:link w:val="9"/>
    <w:semiHidden/>
    <w:qFormat/>
    <w:uiPriority w:val="99"/>
    <w:rPr>
      <w:rFonts w:ascii="Calibri" w:hAnsi="Calibri"/>
      <w:kern w:val="2"/>
      <w:sz w:val="21"/>
      <w:szCs w:val="22"/>
    </w:rPr>
  </w:style>
  <w:style w:type="paragraph" w:customStyle="1" w:styleId="56">
    <w:name w:val="Default Text"/>
    <w:basedOn w:val="1"/>
    <w:qFormat/>
    <w:uiPriority w:val="0"/>
    <w:pPr>
      <w:widowControl/>
      <w:overflowPunct w:val="0"/>
      <w:autoSpaceDE w:val="0"/>
      <w:autoSpaceDN w:val="0"/>
      <w:adjustRightInd w:val="0"/>
      <w:jc w:val="left"/>
      <w:textAlignment w:val="baseline"/>
    </w:pPr>
    <w:rPr>
      <w:rFonts w:ascii="Calibri" w:hAnsi="Calibri" w:cs="Arial"/>
      <w:kern w:val="0"/>
      <w:sz w:val="24"/>
      <w:szCs w:val="20"/>
    </w:rPr>
  </w:style>
  <w:style w:type="paragraph" w:customStyle="1" w:styleId="57">
    <w:name w:val="p0"/>
    <w:basedOn w:val="1"/>
    <w:qFormat/>
    <w:uiPriority w:val="0"/>
    <w:pPr>
      <w:widowControl/>
    </w:pPr>
    <w:rPr>
      <w:rFonts w:ascii="Calibri" w:hAnsi="Calibri" w:cs="Arial"/>
      <w:kern w:val="0"/>
      <w:szCs w:val="21"/>
    </w:rPr>
  </w:style>
  <w:style w:type="character" w:customStyle="1" w:styleId="58">
    <w:name w:val="正文文本 3 Char"/>
    <w:basedOn w:val="29"/>
    <w:link w:val="10"/>
    <w:semiHidden/>
    <w:qFormat/>
    <w:uiPriority w:val="0"/>
    <w:rPr>
      <w:kern w:val="2"/>
      <w:sz w:val="16"/>
      <w:szCs w:val="16"/>
    </w:rPr>
  </w:style>
  <w:style w:type="character" w:customStyle="1" w:styleId="59">
    <w:name w:val="纯文本 Char1"/>
    <w:qFormat/>
    <w:uiPriority w:val="0"/>
    <w:rPr>
      <w:rFonts w:ascii="宋体" w:hAnsi="Courier New" w:eastAsia="宋体"/>
      <w:kern w:val="2"/>
      <w:sz w:val="24"/>
      <w:szCs w:val="24"/>
      <w:lang w:val="en-US" w:eastAsia="zh-CN" w:bidi="ar-SA"/>
    </w:rPr>
  </w:style>
  <w:style w:type="character" w:customStyle="1" w:styleId="60">
    <w:name w:val="正文文本缩进 2 Char"/>
    <w:basedOn w:val="29"/>
    <w:link w:val="16"/>
    <w:qFormat/>
    <w:uiPriority w:val="0"/>
    <w:rPr>
      <w:rFonts w:ascii="Calibri" w:hAnsi="Calibri"/>
      <w:kern w:val="2"/>
      <w:sz w:val="21"/>
      <w:szCs w:val="24"/>
    </w:rPr>
  </w:style>
  <w:style w:type="character" w:customStyle="1" w:styleId="61">
    <w:name w:val="日期 Char"/>
    <w:basedOn w:val="29"/>
    <w:link w:val="15"/>
    <w:qFormat/>
    <w:uiPriority w:val="0"/>
  </w:style>
  <w:style w:type="character" w:customStyle="1" w:styleId="62">
    <w:name w:val="文档结构图 Char"/>
    <w:basedOn w:val="29"/>
    <w:link w:val="8"/>
    <w:semiHidden/>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95B2E-81A9-49CF-99F2-75657CEBD763}">
  <ds:schemaRefs/>
</ds:datastoreItem>
</file>

<file path=docProps/app.xml><?xml version="1.0" encoding="utf-8"?>
<Properties xmlns="http://schemas.openxmlformats.org/officeDocument/2006/extended-properties" xmlns:vt="http://schemas.openxmlformats.org/officeDocument/2006/docPropsVTypes">
  <Template>Normal</Template>
  <Pages>57</Pages>
  <Words>6064</Words>
  <Characters>7268</Characters>
  <Lines>266</Lines>
  <Paragraphs>74</Paragraphs>
  <TotalTime>21</TotalTime>
  <ScaleCrop>false</ScaleCrop>
  <LinksUpToDate>false</LinksUpToDate>
  <CharactersWithSpaces>7515</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2025-02-18T00:35:00Z</dcterms:created>
  <dc:creator>小浪花</dc:creator>
  <cp:lastModifiedBy>Administrator</cp:lastModifiedBy>
  <dcterms:modified xsi:type="dcterms:W3CDTF">2025-06-23T07:01:06Z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29EA5E6940754511A80CDDDF9DD466E2_13</vt:lpwstr>
  </property>
  <property fmtid="{D5CDD505-2E9C-101B-9397-08002B2CF9AE}" pid="4" name="KSOTemplateDocerSaveRecord">
    <vt:lpwstr>eyJoZGlkIjoiMGI3YzJlMmZmMDkwMzU3M2RlN2ZjMTllNmYwMDAxODAiLCJ1c2VySWQiOiI5NDU3ODA3MTMifQ==</vt:lpwstr>
  </property>
</Properties>
</file>